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5"/>
        </w:rPr>
      </w:pPr>
    </w:p>
    <w:p>
      <w:pPr>
        <w:pStyle w:val="BodyText"/>
        <w:spacing w:before="36"/>
        <w:ind w:right="428"/>
        <w:jc w:val="right"/>
      </w:pPr>
      <w:r>
        <w:rPr/>
        <w:drawing>
          <wp:anchor distT="0" distB="0" distL="0" distR="0" allowOverlap="1" layoutInCell="1" locked="0" behindDoc="0" simplePos="0" relativeHeight="0">
            <wp:simplePos x="0" y="0"/>
            <wp:positionH relativeFrom="page">
              <wp:posOffset>5607050</wp:posOffset>
            </wp:positionH>
            <wp:positionV relativeFrom="paragraph">
              <wp:posOffset>260904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华泰人寿[2017]疾病保险 011 号</w:t>
      </w:r>
    </w:p>
    <w:p>
      <w:pPr>
        <w:pStyle w:val="BodyText"/>
        <w:spacing w:before="13"/>
        <w:ind w:right="743"/>
        <w:jc w:val="right"/>
      </w:pPr>
      <w:r>
        <w:rPr/>
        <w:t>请扫描以查询验证条款</w:t>
      </w:r>
    </w:p>
    <w:p>
      <w:pPr>
        <w:spacing w:line="220" w:lineRule="auto" w:before="44"/>
        <w:ind w:left="4192" w:right="3009" w:hanging="1362"/>
        <w:jc w:val="left"/>
        <w:rPr>
          <w:rFonts w:ascii="微软雅黑" w:eastAsia="微软雅黑" w:hint="eastAsia"/>
          <w:b/>
          <w:sz w:val="32"/>
        </w:rPr>
      </w:pPr>
      <w:r>
        <w:rPr>
          <w:rFonts w:ascii="微软雅黑" w:eastAsia="微软雅黑" w:hint="eastAsia"/>
          <w:b/>
          <w:sz w:val="32"/>
        </w:rPr>
        <w:t>福佑一生终身重大疾病保险条款阅  读  指 引</w:t>
      </w:r>
    </w:p>
    <w:p>
      <w:pPr>
        <w:pStyle w:val="BodyText"/>
        <w:spacing w:before="1"/>
        <w:rPr>
          <w:rFonts w:ascii="微软雅黑"/>
          <w:b/>
          <w:sz w:val="11"/>
        </w:rPr>
      </w:pPr>
    </w:p>
    <w:p>
      <w:pPr>
        <w:pStyle w:val="BodyText"/>
        <w:spacing w:before="36"/>
        <w:ind w:left="2018" w:right="2136"/>
        <w:jc w:val="center"/>
      </w:pPr>
      <w:r>
        <w:rPr/>
        <w:drawing>
          <wp:anchor distT="0" distB="0" distL="0" distR="0" allowOverlap="1" layoutInCell="1" locked="0" behindDoc="1" simplePos="0" relativeHeight="268386383">
            <wp:simplePos x="0" y="0"/>
            <wp:positionH relativeFrom="page">
              <wp:posOffset>630936</wp:posOffset>
            </wp:positionH>
            <wp:positionV relativeFrom="paragraph">
              <wp:posOffset>271572</wp:posOffset>
            </wp:positionV>
            <wp:extent cx="6318249" cy="621888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18249" cy="621888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2"/>
          <w:w w:val="100"/>
          <w:position w:val="-7"/>
        </w:rPr>
        <w:t>．</w:t>
      </w:r>
      <w:r>
        <w:rPr>
          <w:spacing w:val="-152"/>
          <w:w w:val="100"/>
        </w:rPr>
        <w:t>。</w:t>
      </w:r>
      <w:r>
        <w:rPr>
          <w:w w:val="100"/>
          <w:position w:val="-7"/>
        </w:rPr>
        <w:t>．</w:t>
      </w:r>
    </w:p>
    <w:p>
      <w:pPr>
        <w:pStyle w:val="Heading1"/>
        <w:tabs>
          <w:tab w:pos="1263" w:val="left" w:leader="none"/>
        </w:tabs>
        <w:spacing w:before="84"/>
        <w:ind w:left="252"/>
      </w:pPr>
      <w:r>
        <w:rPr>
          <w:rFonts w:ascii="Arial" w:hAnsi="Arial" w:eastAsia="Arial"/>
          <w:w w:val="105"/>
          <w:position w:val="-11"/>
          <w:sz w:val="52"/>
        </w:rPr>
        <w:t></w:t>
        <w:tab/>
      </w:r>
      <w:r>
        <w:rPr>
          <w:spacing w:val="-1"/>
        </w:rPr>
        <w:t>您拥有的重要权益</w:t>
      </w:r>
    </w:p>
    <w:p>
      <w:pPr>
        <w:pStyle w:val="ListParagraph"/>
        <w:numPr>
          <w:ilvl w:val="0"/>
          <w:numId w:val="1"/>
        </w:numPr>
        <w:tabs>
          <w:tab w:pos="1283" w:val="left" w:leader="none"/>
          <w:tab w:pos="9285" w:val="left" w:leader="dot"/>
        </w:tabs>
        <w:spacing w:line="259" w:lineRule="auto" w:before="25" w:after="0"/>
        <w:ind w:left="252" w:right="392" w:firstLine="632"/>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33"/>
          <w:sz w:val="21"/>
        </w:rPr>
        <w:t> </w:t>
      </w:r>
      <w:r>
        <w:rPr>
          <w:sz w:val="21"/>
        </w:rPr>
        <w:t>10</w:t>
      </w:r>
      <w:r>
        <w:rPr>
          <w:spacing w:val="-34"/>
          <w:sz w:val="21"/>
        </w:rPr>
        <w:t> </w:t>
      </w:r>
      <w:r>
        <w:rPr>
          <w:spacing w:val="-3"/>
          <w:sz w:val="21"/>
        </w:rPr>
        <w:t>日</w:t>
      </w:r>
      <w:r>
        <w:rPr>
          <w:spacing w:val="-24"/>
          <w:sz w:val="21"/>
        </w:rPr>
        <w:t>内</w:t>
      </w:r>
      <w:r>
        <w:rPr>
          <w:sz w:val="21"/>
        </w:rPr>
        <w:t>（</w:t>
      </w:r>
      <w:r>
        <w:rPr>
          <w:spacing w:val="-3"/>
          <w:sz w:val="21"/>
        </w:rPr>
        <w:t>即</w:t>
      </w:r>
      <w:r>
        <w:rPr>
          <w:sz w:val="21"/>
        </w:rPr>
        <w:t>犹</w:t>
      </w:r>
      <w:r>
        <w:rPr>
          <w:spacing w:val="-3"/>
          <w:sz w:val="21"/>
        </w:rPr>
        <w:t>豫</w:t>
      </w:r>
      <w:r>
        <w:rPr>
          <w:sz w:val="21"/>
        </w:rPr>
        <w:t>期</w:t>
      </w:r>
      <w:r>
        <w:rPr>
          <w:spacing w:val="-27"/>
          <w:sz w:val="21"/>
        </w:rPr>
        <w:t>）</w:t>
      </w:r>
      <w:r>
        <w:rPr>
          <w:sz w:val="21"/>
        </w:rPr>
        <w:t>您若</w:t>
      </w:r>
      <w:r>
        <w:rPr>
          <w:spacing w:val="-3"/>
          <w:sz w:val="21"/>
        </w:rPr>
        <w:t>要</w:t>
      </w:r>
      <w:r>
        <w:rPr>
          <w:sz w:val="21"/>
        </w:rPr>
        <w:t>求</w:t>
      </w:r>
      <w:r>
        <w:rPr>
          <w:spacing w:val="-3"/>
          <w:sz w:val="21"/>
        </w:rPr>
        <w:t>退</w:t>
      </w:r>
      <w:r>
        <w:rPr>
          <w:sz w:val="21"/>
        </w:rPr>
        <w:t>保</w:t>
      </w:r>
      <w:r>
        <w:rPr>
          <w:spacing w:val="-27"/>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r>
      <w:r>
        <w:rPr>
          <w:spacing w:val="-3"/>
          <w:sz w:val="21"/>
        </w:rPr>
        <w:t>后</w:t>
      </w:r>
      <w:r>
        <w:rPr>
          <w:sz w:val="21"/>
        </w:rPr>
        <w:t>无</w:t>
      </w:r>
      <w:r>
        <w:rPr>
          <w:spacing w:val="-3"/>
          <w:sz w:val="21"/>
        </w:rPr>
        <w:t>息</w:t>
      </w:r>
      <w:r>
        <w:rPr>
          <w:sz w:val="21"/>
        </w:rPr>
        <w:t>退</w:t>
      </w:r>
      <w:r>
        <w:rPr>
          <w:spacing w:val="-3"/>
          <w:sz w:val="21"/>
        </w:rPr>
        <w:t>还</w:t>
      </w:r>
      <w:r>
        <w:rPr>
          <w:sz w:val="21"/>
        </w:rPr>
        <w:t>所</w:t>
      </w:r>
      <w:r>
        <w:rPr>
          <w:spacing w:val="-3"/>
          <w:sz w:val="21"/>
        </w:rPr>
        <w:t>交</w:t>
      </w:r>
      <w:r>
        <w:rPr>
          <w:sz w:val="21"/>
        </w:rPr>
        <w:t>纳的保费</w:t>
        <w:tab/>
        <w:t>1.4</w:t>
      </w:r>
    </w:p>
    <w:p>
      <w:pPr>
        <w:pStyle w:val="ListParagraph"/>
        <w:numPr>
          <w:ilvl w:val="0"/>
          <w:numId w:val="1"/>
        </w:numPr>
        <w:tabs>
          <w:tab w:pos="1282" w:val="left" w:leader="none"/>
          <w:tab w:pos="1283" w:val="left" w:leader="none"/>
          <w:tab w:pos="9264" w:val="left" w:leader="dot"/>
        </w:tabs>
        <w:spacing w:line="240" w:lineRule="auto" w:before="19" w:after="0"/>
        <w:ind w:left="252" w:right="0" w:firstLine="632"/>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pStyle w:val="ListParagraph"/>
        <w:numPr>
          <w:ilvl w:val="0"/>
          <w:numId w:val="1"/>
        </w:numPr>
        <w:tabs>
          <w:tab w:pos="1282" w:val="left" w:leader="none"/>
          <w:tab w:pos="1283" w:val="left" w:leader="none"/>
          <w:tab w:pos="9261" w:val="left" w:leader="dot"/>
        </w:tabs>
        <w:spacing w:line="240" w:lineRule="auto" w:before="22" w:after="0"/>
        <w:ind w:left="1282" w:right="0" w:hanging="398"/>
        <w:jc w:val="left"/>
        <w:rPr>
          <w:sz w:val="21"/>
        </w:rPr>
      </w:pPr>
      <w:r>
        <w:rPr>
          <w:spacing w:val="-3"/>
          <w:sz w:val="21"/>
        </w:rPr>
        <w:t>您</w:t>
      </w:r>
      <w:r>
        <w:rPr>
          <w:sz w:val="21"/>
        </w:rPr>
        <w:t>有</w:t>
      </w:r>
      <w:r>
        <w:rPr>
          <w:spacing w:val="-3"/>
          <w:sz w:val="21"/>
        </w:rPr>
        <w:t>按</w:t>
      </w:r>
      <w:r>
        <w:rPr>
          <w:sz w:val="21"/>
        </w:rPr>
        <w:t>本</w:t>
      </w:r>
      <w:r>
        <w:rPr>
          <w:spacing w:val="-3"/>
          <w:sz w:val="21"/>
        </w:rPr>
        <w:t>合同</w:t>
      </w:r>
      <w:r>
        <w:rPr>
          <w:sz w:val="21"/>
        </w:rPr>
        <w:t>申请</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282" w:val="left" w:leader="none"/>
          <w:tab w:pos="1283" w:val="left" w:leader="none"/>
          <w:tab w:pos="9261" w:val="left" w:leader="dot"/>
        </w:tabs>
        <w:spacing w:line="240" w:lineRule="auto" w:before="22" w:after="0"/>
        <w:ind w:left="128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pStyle w:val="Heading1"/>
        <w:tabs>
          <w:tab w:pos="1263" w:val="left" w:leader="none"/>
        </w:tabs>
        <w:spacing w:before="21"/>
        <w:ind w:left="252"/>
      </w:pPr>
      <w:r>
        <w:rPr>
          <w:rFonts w:ascii="Arial" w:hAnsi="Arial" w:eastAsia="Arial"/>
          <w:w w:val="105"/>
          <w:position w:val="-11"/>
          <w:sz w:val="52"/>
        </w:rPr>
        <w:t></w:t>
        <w:tab/>
      </w:r>
      <w:r>
        <w:rPr>
          <w:spacing w:val="-1"/>
        </w:rPr>
        <w:t>您应当特别注意的事项</w:t>
      </w:r>
    </w:p>
    <w:p>
      <w:pPr>
        <w:pStyle w:val="ListParagraph"/>
        <w:numPr>
          <w:ilvl w:val="0"/>
          <w:numId w:val="1"/>
        </w:numPr>
        <w:tabs>
          <w:tab w:pos="1282" w:val="left" w:leader="none"/>
          <w:tab w:pos="1283" w:val="left" w:leader="none"/>
          <w:tab w:pos="9261" w:val="left" w:leader="dot"/>
        </w:tabs>
        <w:spacing w:line="240" w:lineRule="auto" w:before="25" w:after="0"/>
        <w:ind w:left="252" w:right="0" w:firstLine="632"/>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82" w:val="left" w:leader="none"/>
          <w:tab w:pos="1283" w:val="left" w:leader="none"/>
          <w:tab w:pos="9261" w:val="left" w:leader="dot"/>
        </w:tabs>
        <w:spacing w:line="240" w:lineRule="auto" w:before="22" w:after="0"/>
        <w:ind w:left="252" w:right="0" w:firstLine="632"/>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82" w:val="left" w:leader="none"/>
          <w:tab w:pos="1283" w:val="left" w:leader="none"/>
          <w:tab w:pos="9261" w:val="left" w:leader="dot"/>
        </w:tabs>
        <w:spacing w:line="240" w:lineRule="auto" w:before="22" w:after="0"/>
        <w:ind w:left="128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82" w:val="left" w:leader="none"/>
          <w:tab w:pos="1283" w:val="left" w:leader="none"/>
          <w:tab w:pos="9264" w:val="left" w:leader="dot"/>
        </w:tabs>
        <w:spacing w:line="240" w:lineRule="auto" w:before="22" w:after="0"/>
        <w:ind w:left="252" w:right="0" w:firstLine="632"/>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82" w:val="left" w:leader="none"/>
          <w:tab w:pos="1283" w:val="left" w:leader="none"/>
          <w:tab w:pos="9261" w:val="left" w:leader="dot"/>
        </w:tabs>
        <w:spacing w:line="240" w:lineRule="auto" w:before="22" w:after="0"/>
        <w:ind w:left="252" w:right="0" w:firstLine="632"/>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8.1</w:t>
      </w:r>
    </w:p>
    <w:p>
      <w:pPr>
        <w:pStyle w:val="ListParagraph"/>
        <w:numPr>
          <w:ilvl w:val="0"/>
          <w:numId w:val="1"/>
        </w:numPr>
        <w:tabs>
          <w:tab w:pos="1282" w:val="left" w:leader="none"/>
          <w:tab w:pos="1283" w:val="left" w:leader="none"/>
          <w:tab w:pos="9264" w:val="left" w:leader="dot"/>
        </w:tabs>
        <w:spacing w:line="240" w:lineRule="auto" w:before="22" w:after="0"/>
        <w:ind w:left="252" w:right="0" w:firstLine="632"/>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63" w:val="left" w:leader="none"/>
        </w:tabs>
        <w:spacing w:before="22"/>
        <w:ind w:left="2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3" w:val="left" w:leader="none"/>
        </w:tabs>
        <w:spacing w:before="26"/>
        <w:ind w:left="25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358"/>
        <w:gridCol w:w="2504"/>
        <w:gridCol w:w="2724"/>
      </w:tblGrid>
      <w:tr>
        <w:trPr>
          <w:trHeight w:val="3643" w:hRule="atLeast"/>
        </w:trPr>
        <w:tc>
          <w:tcPr>
            <w:tcW w:w="235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投保年龄</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犹豫期</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3"/>
                <w:sz w:val="21"/>
              </w:rPr>
              <w:t>基本保险金额</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责任免除</w:t>
            </w:r>
          </w:p>
          <w:p>
            <w:pPr>
              <w:pStyle w:val="TableParagraph"/>
              <w:numPr>
                <w:ilvl w:val="1"/>
                <w:numId w:val="2"/>
              </w:numPr>
              <w:tabs>
                <w:tab w:pos="673" w:val="left" w:leader="none"/>
              </w:tabs>
              <w:spacing w:line="255" w:lineRule="exact" w:before="36" w:after="0"/>
              <w:ind w:left="672" w:right="0" w:hanging="367"/>
              <w:jc w:val="left"/>
              <w:rPr>
                <w:sz w:val="21"/>
              </w:rPr>
            </w:pPr>
            <w:r>
              <w:rPr>
                <w:spacing w:val="-3"/>
                <w:sz w:val="21"/>
              </w:rPr>
              <w:t>未成年人身故保</w:t>
            </w:r>
          </w:p>
        </w:tc>
        <w:tc>
          <w:tcPr>
            <w:tcW w:w="2358" w:type="dxa"/>
          </w:tcPr>
          <w:p>
            <w:pPr>
              <w:pStyle w:val="TableParagraph"/>
              <w:spacing w:line="211" w:lineRule="exact"/>
              <w:ind w:left="256"/>
              <w:rPr>
                <w:sz w:val="21"/>
              </w:rPr>
            </w:pPr>
            <w:r>
              <w:rPr>
                <w:sz w:val="21"/>
              </w:rPr>
              <w:t>3.6 诉讼时效</w:t>
            </w:r>
          </w:p>
          <w:p>
            <w:pPr>
              <w:pStyle w:val="TableParagraph"/>
              <w:numPr>
                <w:ilvl w:val="0"/>
                <w:numId w:val="3"/>
              </w:numPr>
              <w:tabs>
                <w:tab w:pos="468" w:val="left" w:leader="none"/>
              </w:tabs>
              <w:spacing w:line="240" w:lineRule="auto" w:before="37" w:after="0"/>
              <w:ind w:left="150" w:right="0" w:firstLine="0"/>
              <w:jc w:val="left"/>
              <w:rPr>
                <w:b/>
                <w:sz w:val="21"/>
              </w:rPr>
            </w:pPr>
            <w:r>
              <w:rPr>
                <w:b/>
                <w:sz w:val="21"/>
              </w:rPr>
              <w:t>保险费的交纳</w:t>
            </w:r>
          </w:p>
          <w:p>
            <w:pPr>
              <w:pStyle w:val="TableParagraph"/>
              <w:numPr>
                <w:ilvl w:val="1"/>
                <w:numId w:val="3"/>
              </w:numPr>
              <w:tabs>
                <w:tab w:pos="677" w:val="left" w:leader="none"/>
              </w:tabs>
              <w:spacing w:line="240" w:lineRule="auto" w:before="37" w:after="0"/>
              <w:ind w:left="676" w:right="0" w:hanging="420"/>
              <w:jc w:val="left"/>
              <w:rPr>
                <w:sz w:val="21"/>
              </w:rPr>
            </w:pPr>
            <w:r>
              <w:rPr>
                <w:spacing w:val="-3"/>
                <w:sz w:val="21"/>
              </w:rPr>
              <w:t>保险费的交纳</w:t>
            </w:r>
          </w:p>
          <w:p>
            <w:pPr>
              <w:pStyle w:val="TableParagraph"/>
              <w:numPr>
                <w:ilvl w:val="1"/>
                <w:numId w:val="3"/>
              </w:numPr>
              <w:tabs>
                <w:tab w:pos="677" w:val="left" w:leader="none"/>
              </w:tabs>
              <w:spacing w:line="240" w:lineRule="auto" w:before="37" w:after="0"/>
              <w:ind w:left="676" w:right="0" w:hanging="420"/>
              <w:jc w:val="left"/>
              <w:rPr>
                <w:sz w:val="21"/>
              </w:rPr>
            </w:pPr>
            <w:r>
              <w:rPr>
                <w:spacing w:val="-2"/>
                <w:sz w:val="21"/>
              </w:rPr>
              <w:t>宽限期</w:t>
            </w:r>
          </w:p>
          <w:p>
            <w:pPr>
              <w:pStyle w:val="TableParagraph"/>
              <w:numPr>
                <w:ilvl w:val="0"/>
                <w:numId w:val="3"/>
              </w:numPr>
              <w:tabs>
                <w:tab w:pos="468" w:val="left" w:leader="none"/>
              </w:tabs>
              <w:spacing w:line="240" w:lineRule="auto" w:before="37" w:after="0"/>
              <w:ind w:left="150" w:right="0" w:firstLine="0"/>
              <w:jc w:val="left"/>
              <w:rPr>
                <w:b/>
                <w:sz w:val="21"/>
              </w:rPr>
            </w:pPr>
            <w:r>
              <w:rPr>
                <w:b/>
                <w:sz w:val="21"/>
              </w:rPr>
              <w:t>现金价值权益</w:t>
            </w:r>
          </w:p>
          <w:p>
            <w:pPr>
              <w:pStyle w:val="TableParagraph"/>
              <w:numPr>
                <w:ilvl w:val="1"/>
                <w:numId w:val="3"/>
              </w:numPr>
              <w:tabs>
                <w:tab w:pos="679" w:val="left" w:leader="none"/>
              </w:tabs>
              <w:spacing w:line="240" w:lineRule="auto" w:before="37" w:after="0"/>
              <w:ind w:left="150" w:right="0" w:firstLine="106"/>
              <w:jc w:val="left"/>
              <w:rPr>
                <w:sz w:val="21"/>
              </w:rPr>
            </w:pPr>
            <w:r>
              <w:rPr>
                <w:spacing w:val="-3"/>
                <w:sz w:val="21"/>
              </w:rPr>
              <w:t>现金价值</w:t>
            </w:r>
          </w:p>
          <w:p>
            <w:pPr>
              <w:pStyle w:val="TableParagraph"/>
              <w:numPr>
                <w:ilvl w:val="1"/>
                <w:numId w:val="3"/>
              </w:numPr>
              <w:tabs>
                <w:tab w:pos="624" w:val="left" w:leader="none"/>
              </w:tabs>
              <w:spacing w:line="240" w:lineRule="auto" w:before="36" w:after="0"/>
              <w:ind w:left="623" w:right="0" w:hanging="367"/>
              <w:jc w:val="left"/>
              <w:rPr>
                <w:sz w:val="21"/>
              </w:rPr>
            </w:pPr>
            <w:r>
              <w:rPr>
                <w:spacing w:val="-2"/>
                <w:sz w:val="21"/>
              </w:rPr>
              <w:t>保单贷款</w:t>
            </w:r>
          </w:p>
          <w:p>
            <w:pPr>
              <w:pStyle w:val="TableParagraph"/>
              <w:numPr>
                <w:ilvl w:val="1"/>
                <w:numId w:val="3"/>
              </w:numPr>
              <w:tabs>
                <w:tab w:pos="627" w:val="left" w:leader="none"/>
              </w:tabs>
              <w:spacing w:line="240" w:lineRule="auto" w:before="36" w:after="0"/>
              <w:ind w:left="626" w:right="0" w:hanging="370"/>
              <w:jc w:val="left"/>
              <w:rPr>
                <w:sz w:val="21"/>
              </w:rPr>
            </w:pPr>
            <w:r>
              <w:rPr>
                <w:spacing w:val="-3"/>
                <w:sz w:val="21"/>
              </w:rPr>
              <w:t>保险费自动垫交</w:t>
            </w:r>
          </w:p>
          <w:p>
            <w:pPr>
              <w:pStyle w:val="TableParagraph"/>
              <w:numPr>
                <w:ilvl w:val="1"/>
                <w:numId w:val="3"/>
              </w:numPr>
              <w:tabs>
                <w:tab w:pos="679" w:val="left" w:leader="none"/>
              </w:tabs>
              <w:spacing w:line="273" w:lineRule="auto" w:before="36" w:after="0"/>
              <w:ind w:left="150" w:right="205" w:firstLine="106"/>
              <w:jc w:val="left"/>
              <w:rPr>
                <w:sz w:val="21"/>
              </w:rPr>
            </w:pPr>
            <w:r>
              <w:rPr>
                <w:spacing w:val="-3"/>
                <w:sz w:val="21"/>
              </w:rPr>
              <w:t>减少基本保险金额</w:t>
            </w:r>
          </w:p>
          <w:p>
            <w:pPr>
              <w:pStyle w:val="TableParagraph"/>
              <w:numPr>
                <w:ilvl w:val="0"/>
                <w:numId w:val="3"/>
              </w:numPr>
              <w:tabs>
                <w:tab w:pos="468" w:val="left" w:leader="none"/>
              </w:tabs>
              <w:spacing w:line="312" w:lineRule="exact" w:before="3" w:after="0"/>
              <w:ind w:left="150" w:right="198" w:firstLine="0"/>
              <w:jc w:val="left"/>
              <w:rPr>
                <w:b/>
                <w:sz w:val="21"/>
              </w:rPr>
            </w:pPr>
            <w:r>
              <w:rPr>
                <w:b/>
                <w:sz w:val="21"/>
              </w:rPr>
              <w:t>合同效力的中止及恢复</w:t>
            </w:r>
          </w:p>
        </w:tc>
        <w:tc>
          <w:tcPr>
            <w:tcW w:w="2504" w:type="dxa"/>
          </w:tcPr>
          <w:p>
            <w:pPr>
              <w:pStyle w:val="TableParagraph"/>
              <w:spacing w:line="211" w:lineRule="exact"/>
              <w:ind w:left="202"/>
              <w:rPr>
                <w:b/>
                <w:sz w:val="21"/>
              </w:rPr>
            </w:pPr>
            <w:r>
              <w:rPr>
                <w:b/>
                <w:sz w:val="21"/>
              </w:rPr>
              <w:t>9．其他需要关注的事项</w:t>
            </w:r>
          </w:p>
          <w:p>
            <w:pPr>
              <w:pStyle w:val="TableParagraph"/>
              <w:numPr>
                <w:ilvl w:val="1"/>
                <w:numId w:val="4"/>
              </w:numPr>
              <w:tabs>
                <w:tab w:pos="731" w:val="left" w:leader="none"/>
              </w:tabs>
              <w:spacing w:line="240" w:lineRule="auto" w:before="37" w:after="0"/>
              <w:ind w:left="202" w:right="0" w:firstLine="106"/>
              <w:jc w:val="left"/>
              <w:rPr>
                <w:sz w:val="21"/>
              </w:rPr>
            </w:pPr>
            <w:r>
              <w:rPr>
                <w:spacing w:val="-3"/>
                <w:sz w:val="21"/>
              </w:rPr>
              <w:t>欠款的偿还</w:t>
            </w:r>
          </w:p>
          <w:p>
            <w:pPr>
              <w:pStyle w:val="TableParagraph"/>
              <w:numPr>
                <w:ilvl w:val="1"/>
                <w:numId w:val="4"/>
              </w:numPr>
              <w:tabs>
                <w:tab w:pos="731" w:val="left" w:leader="none"/>
              </w:tabs>
              <w:spacing w:line="240" w:lineRule="auto" w:before="37" w:after="0"/>
              <w:ind w:left="202" w:right="0" w:firstLine="106"/>
              <w:jc w:val="left"/>
              <w:rPr>
                <w:sz w:val="21"/>
              </w:rPr>
            </w:pPr>
            <w:r>
              <w:rPr>
                <w:spacing w:val="-3"/>
                <w:sz w:val="21"/>
              </w:rPr>
              <w:t>年龄或性别错误</w:t>
            </w:r>
          </w:p>
          <w:p>
            <w:pPr>
              <w:pStyle w:val="TableParagraph"/>
              <w:numPr>
                <w:ilvl w:val="1"/>
                <w:numId w:val="4"/>
              </w:numPr>
              <w:tabs>
                <w:tab w:pos="731" w:val="left" w:leader="none"/>
              </w:tabs>
              <w:spacing w:line="240" w:lineRule="auto" w:before="37" w:after="0"/>
              <w:ind w:left="202" w:right="0" w:firstLine="106"/>
              <w:jc w:val="left"/>
              <w:rPr>
                <w:sz w:val="21"/>
              </w:rPr>
            </w:pPr>
            <w:r>
              <w:rPr>
                <w:spacing w:val="-3"/>
                <w:sz w:val="21"/>
              </w:rPr>
              <w:t>合同内容变更</w:t>
            </w:r>
          </w:p>
          <w:p>
            <w:pPr>
              <w:pStyle w:val="TableParagraph"/>
              <w:numPr>
                <w:ilvl w:val="1"/>
                <w:numId w:val="4"/>
              </w:numPr>
              <w:tabs>
                <w:tab w:pos="731" w:val="left" w:leader="none"/>
              </w:tabs>
              <w:spacing w:line="273" w:lineRule="auto" w:before="37" w:after="0"/>
              <w:ind w:left="202" w:right="299" w:firstLine="106"/>
              <w:jc w:val="left"/>
              <w:rPr>
                <w:sz w:val="21"/>
              </w:rPr>
            </w:pPr>
            <w:r>
              <w:rPr>
                <w:spacing w:val="-3"/>
                <w:sz w:val="21"/>
              </w:rPr>
              <w:t>联系方式变更的通知</w:t>
            </w:r>
          </w:p>
          <w:p>
            <w:pPr>
              <w:pStyle w:val="TableParagraph"/>
              <w:numPr>
                <w:ilvl w:val="1"/>
                <w:numId w:val="4"/>
              </w:numPr>
              <w:tabs>
                <w:tab w:pos="731" w:val="left" w:leader="none"/>
              </w:tabs>
              <w:spacing w:line="240" w:lineRule="auto" w:before="7" w:after="0"/>
              <w:ind w:left="202" w:right="0" w:firstLine="106"/>
              <w:jc w:val="left"/>
              <w:rPr>
                <w:sz w:val="21"/>
              </w:rPr>
            </w:pPr>
            <w:r>
              <w:rPr>
                <w:spacing w:val="-3"/>
                <w:sz w:val="21"/>
              </w:rPr>
              <w:t>争议处理</w:t>
            </w:r>
          </w:p>
          <w:p>
            <w:pPr>
              <w:pStyle w:val="TableParagraph"/>
              <w:numPr>
                <w:ilvl w:val="1"/>
                <w:numId w:val="4"/>
              </w:numPr>
              <w:tabs>
                <w:tab w:pos="731" w:val="left" w:leader="none"/>
              </w:tabs>
              <w:spacing w:line="273" w:lineRule="auto" w:before="36" w:after="0"/>
              <w:ind w:left="202" w:right="299" w:firstLine="106"/>
              <w:jc w:val="left"/>
              <w:rPr>
                <w:sz w:val="21"/>
              </w:rPr>
            </w:pPr>
            <w:r>
              <w:rPr>
                <w:spacing w:val="-3"/>
                <w:sz w:val="21"/>
              </w:rPr>
              <w:t>身体检查与司法鉴定</w:t>
            </w:r>
          </w:p>
          <w:p>
            <w:pPr>
              <w:pStyle w:val="TableParagraph"/>
              <w:numPr>
                <w:ilvl w:val="0"/>
                <w:numId w:val="5"/>
              </w:numPr>
              <w:tabs>
                <w:tab w:pos="626" w:val="left" w:leader="none"/>
              </w:tabs>
              <w:spacing w:line="240" w:lineRule="auto" w:before="7" w:after="0"/>
              <w:ind w:left="625" w:right="0" w:hanging="423"/>
              <w:jc w:val="left"/>
              <w:rPr>
                <w:b/>
                <w:sz w:val="21"/>
              </w:rPr>
            </w:pPr>
            <w:r>
              <w:rPr>
                <w:b/>
                <w:sz w:val="21"/>
              </w:rPr>
              <w:t>释义</w:t>
            </w:r>
          </w:p>
          <w:p>
            <w:pPr>
              <w:pStyle w:val="TableParagraph"/>
              <w:numPr>
                <w:ilvl w:val="1"/>
                <w:numId w:val="5"/>
              </w:numPr>
              <w:tabs>
                <w:tab w:pos="835" w:val="left" w:leader="none"/>
              </w:tabs>
              <w:spacing w:line="240" w:lineRule="auto" w:before="36" w:after="0"/>
              <w:ind w:left="834" w:right="0" w:hanging="526"/>
              <w:jc w:val="left"/>
              <w:rPr>
                <w:sz w:val="21"/>
              </w:rPr>
            </w:pPr>
            <w:r>
              <w:rPr>
                <w:spacing w:val="-3"/>
                <w:sz w:val="21"/>
              </w:rPr>
              <w:t>保险单年度</w:t>
            </w:r>
          </w:p>
          <w:p>
            <w:pPr>
              <w:pStyle w:val="TableParagraph"/>
              <w:numPr>
                <w:ilvl w:val="1"/>
                <w:numId w:val="5"/>
              </w:numPr>
              <w:tabs>
                <w:tab w:pos="782" w:val="left" w:leader="none"/>
              </w:tabs>
              <w:spacing w:line="255" w:lineRule="exact" w:before="36" w:after="0"/>
              <w:ind w:left="781" w:right="0" w:hanging="473"/>
              <w:jc w:val="left"/>
              <w:rPr>
                <w:sz w:val="21"/>
              </w:rPr>
            </w:pPr>
            <w:r>
              <w:rPr>
                <w:spacing w:val="-3"/>
                <w:sz w:val="21"/>
              </w:rPr>
              <w:t>保险费约定交纳</w:t>
            </w:r>
          </w:p>
        </w:tc>
        <w:tc>
          <w:tcPr>
            <w:tcW w:w="2724" w:type="dxa"/>
          </w:tcPr>
          <w:p>
            <w:pPr>
              <w:pStyle w:val="TableParagraph"/>
              <w:numPr>
                <w:ilvl w:val="1"/>
                <w:numId w:val="6"/>
              </w:numPr>
              <w:tabs>
                <w:tab w:pos="688" w:val="left" w:leader="none"/>
              </w:tabs>
              <w:spacing w:line="211" w:lineRule="exact" w:before="0" w:after="0"/>
              <w:ind w:left="108" w:right="0" w:firstLine="0"/>
              <w:jc w:val="left"/>
              <w:rPr>
                <w:sz w:val="21"/>
              </w:rPr>
            </w:pPr>
            <w:r>
              <w:rPr>
                <w:spacing w:val="-2"/>
                <w:sz w:val="21"/>
              </w:rPr>
              <w:t>住院天数</w:t>
            </w:r>
          </w:p>
          <w:p>
            <w:pPr>
              <w:pStyle w:val="TableParagraph"/>
              <w:numPr>
                <w:ilvl w:val="1"/>
                <w:numId w:val="6"/>
              </w:numPr>
              <w:tabs>
                <w:tab w:pos="846" w:val="left" w:leader="none"/>
              </w:tabs>
              <w:spacing w:line="273" w:lineRule="auto" w:before="37" w:after="0"/>
              <w:ind w:left="108" w:right="195" w:firstLine="106"/>
              <w:jc w:val="left"/>
              <w:rPr>
                <w:sz w:val="21"/>
              </w:rPr>
            </w:pPr>
            <w:r>
              <w:rPr>
                <w:spacing w:val="-3"/>
                <w:sz w:val="21"/>
              </w:rPr>
              <w:t>《人身保险伤残评定标准与代码》</w:t>
            </w:r>
          </w:p>
          <w:p>
            <w:pPr>
              <w:pStyle w:val="TableParagraph"/>
              <w:numPr>
                <w:ilvl w:val="1"/>
                <w:numId w:val="6"/>
              </w:numPr>
              <w:tabs>
                <w:tab w:pos="846" w:val="left" w:leader="none"/>
              </w:tabs>
              <w:spacing w:line="240" w:lineRule="auto" w:before="7" w:after="0"/>
              <w:ind w:left="845" w:right="0" w:hanging="631"/>
              <w:jc w:val="left"/>
              <w:rPr>
                <w:sz w:val="21"/>
              </w:rPr>
            </w:pPr>
            <w:r>
              <w:rPr>
                <w:spacing w:val="-3"/>
                <w:sz w:val="21"/>
              </w:rPr>
              <w:t>毒品</w:t>
            </w:r>
          </w:p>
          <w:p>
            <w:pPr>
              <w:pStyle w:val="TableParagraph"/>
              <w:numPr>
                <w:ilvl w:val="1"/>
                <w:numId w:val="6"/>
              </w:numPr>
              <w:tabs>
                <w:tab w:pos="846" w:val="left" w:leader="none"/>
              </w:tabs>
              <w:spacing w:line="240" w:lineRule="auto" w:before="36" w:after="0"/>
              <w:ind w:left="845" w:right="0" w:hanging="631"/>
              <w:jc w:val="left"/>
              <w:rPr>
                <w:sz w:val="21"/>
              </w:rPr>
            </w:pPr>
            <w:r>
              <w:rPr>
                <w:spacing w:val="-2"/>
                <w:sz w:val="21"/>
              </w:rPr>
              <w:t>酒后驾驶</w:t>
            </w:r>
          </w:p>
          <w:p>
            <w:pPr>
              <w:pStyle w:val="TableParagraph"/>
              <w:numPr>
                <w:ilvl w:val="1"/>
                <w:numId w:val="6"/>
              </w:numPr>
              <w:tabs>
                <w:tab w:pos="846" w:val="left" w:leader="none"/>
              </w:tabs>
              <w:spacing w:line="273" w:lineRule="auto" w:before="37" w:after="0"/>
              <w:ind w:left="214" w:right="195" w:firstLine="0"/>
              <w:jc w:val="left"/>
              <w:rPr>
                <w:sz w:val="21"/>
              </w:rPr>
            </w:pPr>
            <w:r>
              <w:rPr>
                <w:spacing w:val="-3"/>
                <w:sz w:val="21"/>
              </w:rPr>
              <w:t>无合法有效驾驶证驾驶</w:t>
            </w:r>
          </w:p>
          <w:p>
            <w:pPr>
              <w:pStyle w:val="TableParagraph"/>
              <w:numPr>
                <w:ilvl w:val="1"/>
                <w:numId w:val="6"/>
              </w:numPr>
              <w:tabs>
                <w:tab w:pos="794" w:val="left" w:leader="none"/>
              </w:tabs>
              <w:spacing w:line="240" w:lineRule="auto" w:before="7" w:after="0"/>
              <w:ind w:left="793" w:right="0" w:hanging="579"/>
              <w:jc w:val="left"/>
              <w:rPr>
                <w:sz w:val="21"/>
              </w:rPr>
            </w:pPr>
            <w:r>
              <w:rPr>
                <w:spacing w:val="-3"/>
                <w:sz w:val="21"/>
              </w:rPr>
              <w:t>无有效行驶证</w:t>
            </w:r>
          </w:p>
          <w:p>
            <w:pPr>
              <w:pStyle w:val="TableParagraph"/>
              <w:numPr>
                <w:ilvl w:val="1"/>
                <w:numId w:val="6"/>
              </w:numPr>
              <w:tabs>
                <w:tab w:pos="794" w:val="left" w:leader="none"/>
              </w:tabs>
              <w:spacing w:line="240" w:lineRule="auto" w:before="36" w:after="0"/>
              <w:ind w:left="793" w:right="0" w:hanging="579"/>
              <w:jc w:val="left"/>
              <w:rPr>
                <w:sz w:val="21"/>
              </w:rPr>
            </w:pPr>
            <w:r>
              <w:rPr>
                <w:spacing w:val="-2"/>
                <w:sz w:val="21"/>
              </w:rPr>
              <w:t>机动车</w:t>
            </w:r>
          </w:p>
          <w:p>
            <w:pPr>
              <w:pStyle w:val="TableParagraph"/>
              <w:numPr>
                <w:ilvl w:val="1"/>
                <w:numId w:val="6"/>
              </w:numPr>
              <w:tabs>
                <w:tab w:pos="794" w:val="left" w:leader="none"/>
              </w:tabs>
              <w:spacing w:line="273" w:lineRule="auto" w:before="36" w:after="0"/>
              <w:ind w:left="214" w:right="248" w:firstLine="0"/>
              <w:jc w:val="left"/>
              <w:rPr>
                <w:sz w:val="21"/>
              </w:rPr>
            </w:pPr>
            <w:r>
              <w:rPr>
                <w:spacing w:val="-3"/>
                <w:sz w:val="21"/>
              </w:rPr>
              <w:t>感染艾滋病病毒或</w:t>
            </w:r>
            <w:r>
              <w:rPr>
                <w:spacing w:val="-2"/>
                <w:sz w:val="21"/>
              </w:rPr>
              <w:t>患艾滋病</w:t>
            </w:r>
          </w:p>
          <w:p>
            <w:pPr>
              <w:pStyle w:val="TableParagraph"/>
              <w:numPr>
                <w:ilvl w:val="1"/>
                <w:numId w:val="6"/>
              </w:numPr>
              <w:tabs>
                <w:tab w:pos="794" w:val="left" w:leader="none"/>
              </w:tabs>
              <w:spacing w:line="255" w:lineRule="exact" w:before="7" w:after="0"/>
              <w:ind w:left="793" w:right="0" w:hanging="579"/>
              <w:jc w:val="left"/>
              <w:rPr>
                <w:sz w:val="21"/>
              </w:rPr>
            </w:pPr>
            <w:r>
              <w:rPr>
                <w:spacing w:val="-3"/>
                <w:sz w:val="21"/>
              </w:rPr>
              <w:t>遗传性疾病</w:t>
            </w:r>
          </w:p>
        </w:tc>
      </w:tr>
    </w:tbl>
    <w:p>
      <w:pPr>
        <w:spacing w:after="0" w:line="255" w:lineRule="exact"/>
        <w:jc w:val="left"/>
        <w:rPr>
          <w:sz w:val="21"/>
        </w:rPr>
        <w:sectPr>
          <w:footerReference w:type="default" r:id="rId5"/>
          <w:type w:val="continuous"/>
          <w:pgSz w:w="11910" w:h="16840"/>
          <w:pgMar w:footer="925" w:top="1580" w:bottom="1120" w:left="880" w:right="700"/>
          <w:pgNumType w:start="1"/>
        </w:sectPr>
      </w:pPr>
    </w:p>
    <w:p>
      <w:pPr>
        <w:pStyle w:val="BodyText"/>
        <w:spacing w:before="7" w:after="1"/>
        <w:rPr>
          <w:rFonts w:ascii="Times New Roman"/>
          <w:sz w:val="9"/>
        </w:rPr>
      </w:pPr>
      <w:r>
        <w:rPr/>
        <w:drawing>
          <wp:anchor distT="0" distB="0" distL="0" distR="0" allowOverlap="1" layoutInCell="1" locked="0" behindDoc="1" simplePos="0" relativeHeight="268386407">
            <wp:simplePos x="0" y="0"/>
            <wp:positionH relativeFrom="page">
              <wp:posOffset>630936</wp:posOffset>
            </wp:positionH>
            <wp:positionV relativeFrom="page">
              <wp:posOffset>900683</wp:posOffset>
            </wp:positionV>
            <wp:extent cx="6313269" cy="225399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313269" cy="2253996"/>
                    </a:xfrm>
                    <a:prstGeom prst="rect">
                      <a:avLst/>
                    </a:prstGeom>
                  </pic:spPr>
                </pic:pic>
              </a:graphicData>
            </a:graphic>
          </wp:anchor>
        </w:drawing>
      </w: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2464"/>
        <w:gridCol w:w="2410"/>
        <w:gridCol w:w="2772"/>
      </w:tblGrid>
      <w:tr>
        <w:trPr>
          <w:trHeight w:val="3331" w:hRule="atLeast"/>
        </w:trPr>
        <w:tc>
          <w:tcPr>
            <w:tcW w:w="2247" w:type="dxa"/>
          </w:tcPr>
          <w:p>
            <w:pPr>
              <w:pStyle w:val="TableParagraph"/>
              <w:spacing w:line="211" w:lineRule="exact"/>
              <w:ind w:left="200"/>
              <w:rPr>
                <w:sz w:val="21"/>
              </w:rPr>
            </w:pPr>
            <w:r>
              <w:rPr>
                <w:sz w:val="21"/>
              </w:rPr>
              <w:t>险金限制</w:t>
            </w:r>
          </w:p>
          <w:p>
            <w:pPr>
              <w:pStyle w:val="TableParagraph"/>
              <w:numPr>
                <w:ilvl w:val="0"/>
                <w:numId w:val="7"/>
              </w:numPr>
              <w:tabs>
                <w:tab w:pos="517" w:val="left" w:leader="none"/>
              </w:tabs>
              <w:spacing w:line="240" w:lineRule="auto" w:before="37" w:after="0"/>
              <w:ind w:left="516" w:right="0" w:hanging="316"/>
              <w:jc w:val="left"/>
              <w:rPr>
                <w:b/>
                <w:sz w:val="21"/>
              </w:rPr>
            </w:pPr>
            <w:r>
              <w:rPr>
                <w:b/>
                <w:sz w:val="21"/>
              </w:rPr>
              <w:t>保险金的申请</w:t>
            </w:r>
          </w:p>
          <w:p>
            <w:pPr>
              <w:pStyle w:val="TableParagraph"/>
              <w:numPr>
                <w:ilvl w:val="1"/>
                <w:numId w:val="7"/>
              </w:numPr>
              <w:tabs>
                <w:tab w:pos="726" w:val="left" w:leader="none"/>
              </w:tabs>
              <w:spacing w:line="240" w:lineRule="auto" w:before="36" w:after="0"/>
              <w:ind w:left="725" w:right="0" w:hanging="420"/>
              <w:jc w:val="left"/>
              <w:rPr>
                <w:sz w:val="21"/>
              </w:rPr>
            </w:pPr>
            <w:r>
              <w:rPr>
                <w:spacing w:val="-2"/>
                <w:sz w:val="21"/>
              </w:rPr>
              <w:t>受益人</w:t>
            </w:r>
          </w:p>
          <w:p>
            <w:pPr>
              <w:pStyle w:val="TableParagraph"/>
              <w:numPr>
                <w:ilvl w:val="1"/>
                <w:numId w:val="7"/>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7"/>
              </w:numPr>
              <w:tabs>
                <w:tab w:pos="726" w:val="left" w:leader="none"/>
              </w:tabs>
              <w:spacing w:line="240" w:lineRule="auto" w:before="36" w:after="0"/>
              <w:ind w:left="725" w:right="0" w:hanging="422"/>
              <w:jc w:val="left"/>
              <w:rPr>
                <w:sz w:val="21"/>
              </w:rPr>
            </w:pPr>
            <w:r>
              <w:rPr>
                <w:spacing w:val="-3"/>
                <w:sz w:val="21"/>
              </w:rPr>
              <w:t>保险金申请</w:t>
            </w:r>
          </w:p>
          <w:p>
            <w:pPr>
              <w:pStyle w:val="TableParagraph"/>
              <w:numPr>
                <w:ilvl w:val="1"/>
                <w:numId w:val="7"/>
              </w:numPr>
              <w:tabs>
                <w:tab w:pos="728"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7"/>
              </w:numPr>
              <w:tabs>
                <w:tab w:pos="728" w:val="left" w:leader="none"/>
              </w:tabs>
              <w:spacing w:line="240" w:lineRule="auto" w:before="36" w:after="0"/>
              <w:ind w:left="728" w:right="0" w:hanging="423"/>
              <w:jc w:val="left"/>
              <w:rPr>
                <w:sz w:val="21"/>
              </w:rPr>
            </w:pPr>
            <w:r>
              <w:rPr>
                <w:spacing w:val="-3"/>
                <w:sz w:val="21"/>
              </w:rPr>
              <w:t>宣告死亡处理</w:t>
            </w:r>
          </w:p>
        </w:tc>
        <w:tc>
          <w:tcPr>
            <w:tcW w:w="2464" w:type="dxa"/>
          </w:tcPr>
          <w:p>
            <w:pPr>
              <w:pStyle w:val="TableParagraph"/>
              <w:numPr>
                <w:ilvl w:val="1"/>
                <w:numId w:val="8"/>
              </w:numPr>
              <w:tabs>
                <w:tab w:pos="786" w:val="left" w:leader="none"/>
              </w:tabs>
              <w:spacing w:line="211" w:lineRule="exact" w:before="0" w:after="0"/>
              <w:ind w:left="785" w:right="0" w:hanging="420"/>
              <w:jc w:val="left"/>
              <w:rPr>
                <w:sz w:val="21"/>
              </w:rPr>
            </w:pPr>
            <w:r>
              <w:rPr>
                <w:spacing w:val="-2"/>
                <w:sz w:val="21"/>
              </w:rPr>
              <w:t>效力中止</w:t>
            </w:r>
          </w:p>
          <w:p>
            <w:pPr>
              <w:pStyle w:val="TableParagraph"/>
              <w:numPr>
                <w:ilvl w:val="1"/>
                <w:numId w:val="8"/>
              </w:numPr>
              <w:tabs>
                <w:tab w:pos="786" w:val="left" w:leader="none"/>
              </w:tabs>
              <w:spacing w:line="240" w:lineRule="auto" w:before="37" w:after="0"/>
              <w:ind w:left="785" w:right="0" w:hanging="420"/>
              <w:jc w:val="left"/>
              <w:rPr>
                <w:sz w:val="21"/>
              </w:rPr>
            </w:pPr>
            <w:r>
              <w:rPr>
                <w:spacing w:val="-2"/>
                <w:sz w:val="21"/>
              </w:rPr>
              <w:t>效力恢复</w:t>
            </w:r>
          </w:p>
          <w:p>
            <w:pPr>
              <w:pStyle w:val="TableParagraph"/>
              <w:spacing w:before="36"/>
              <w:ind w:left="259"/>
              <w:rPr>
                <w:b/>
                <w:sz w:val="21"/>
              </w:rPr>
            </w:pPr>
            <w:r>
              <w:rPr>
                <w:b/>
                <w:sz w:val="21"/>
              </w:rPr>
              <w:t>7. 合同解除</w:t>
            </w:r>
          </w:p>
          <w:p>
            <w:pPr>
              <w:pStyle w:val="TableParagraph"/>
              <w:spacing w:line="273" w:lineRule="auto" w:before="36"/>
              <w:ind w:left="259" w:right="205" w:firstLine="106"/>
              <w:rPr>
                <w:b/>
                <w:sz w:val="21"/>
              </w:rPr>
            </w:pPr>
            <w:r>
              <w:rPr>
                <w:sz w:val="21"/>
              </w:rPr>
              <w:t>7.1</w:t>
            </w:r>
            <w:r>
              <w:rPr>
                <w:spacing w:val="-2"/>
                <w:sz w:val="21"/>
              </w:rPr>
              <w:t> 您解除合同的手</w:t>
            </w:r>
            <w:r>
              <w:rPr>
                <w:spacing w:val="-3"/>
                <w:sz w:val="21"/>
              </w:rPr>
              <w:t>续 及 风 险      </w:t>
            </w:r>
            <w:r>
              <w:rPr>
                <w:b/>
                <w:spacing w:val="-3"/>
                <w:sz w:val="21"/>
              </w:rPr>
              <w:t>8．如实告知</w:t>
            </w:r>
          </w:p>
          <w:p>
            <w:pPr>
              <w:pStyle w:val="TableParagraph"/>
              <w:numPr>
                <w:ilvl w:val="1"/>
                <w:numId w:val="9"/>
              </w:numPr>
              <w:tabs>
                <w:tab w:pos="788" w:val="left" w:leader="none"/>
              </w:tabs>
              <w:spacing w:line="273" w:lineRule="auto" w:before="7" w:after="0"/>
              <w:ind w:left="365" w:right="202" w:firstLine="0"/>
              <w:jc w:val="left"/>
              <w:rPr>
                <w:sz w:val="21"/>
              </w:rPr>
            </w:pPr>
            <w:r>
              <w:rPr>
                <w:spacing w:val="-3"/>
                <w:sz w:val="21"/>
              </w:rPr>
              <w:t>明确说明与如实告知</w:t>
            </w:r>
          </w:p>
          <w:p>
            <w:pPr>
              <w:pStyle w:val="TableParagraph"/>
              <w:numPr>
                <w:ilvl w:val="1"/>
                <w:numId w:val="9"/>
              </w:numPr>
              <w:tabs>
                <w:tab w:pos="788" w:val="left" w:leader="none"/>
              </w:tabs>
              <w:spacing w:line="273" w:lineRule="auto" w:before="7" w:after="0"/>
              <w:ind w:left="365" w:right="202" w:firstLine="0"/>
              <w:jc w:val="left"/>
              <w:rPr>
                <w:sz w:val="21"/>
              </w:rPr>
            </w:pPr>
            <w:r>
              <w:rPr>
                <w:spacing w:val="-3"/>
                <w:sz w:val="21"/>
              </w:rPr>
              <w:t>本公司合同解除权的限制</w:t>
            </w:r>
          </w:p>
        </w:tc>
        <w:tc>
          <w:tcPr>
            <w:tcW w:w="2410" w:type="dxa"/>
          </w:tcPr>
          <w:p>
            <w:pPr>
              <w:pStyle w:val="TableParagraph"/>
              <w:spacing w:line="211" w:lineRule="exact"/>
              <w:ind w:left="205"/>
              <w:rPr>
                <w:sz w:val="21"/>
              </w:rPr>
            </w:pPr>
            <w:r>
              <w:rPr>
                <w:w w:val="100"/>
                <w:sz w:val="21"/>
              </w:rPr>
              <w:t>日</w:t>
            </w:r>
          </w:p>
          <w:p>
            <w:pPr>
              <w:pStyle w:val="TableParagraph"/>
              <w:numPr>
                <w:ilvl w:val="1"/>
                <w:numId w:val="10"/>
              </w:numPr>
              <w:tabs>
                <w:tab w:pos="838" w:val="left" w:leader="none"/>
              </w:tabs>
              <w:spacing w:line="240" w:lineRule="auto" w:before="37" w:after="0"/>
              <w:ind w:left="837" w:right="0" w:hanging="526"/>
              <w:jc w:val="left"/>
              <w:rPr>
                <w:sz w:val="21"/>
              </w:rPr>
            </w:pPr>
            <w:r>
              <w:rPr>
                <w:sz w:val="21"/>
              </w:rPr>
              <w:t>周岁</w:t>
            </w:r>
          </w:p>
          <w:p>
            <w:pPr>
              <w:pStyle w:val="TableParagraph"/>
              <w:numPr>
                <w:ilvl w:val="1"/>
                <w:numId w:val="10"/>
              </w:numPr>
              <w:tabs>
                <w:tab w:pos="838" w:val="left" w:leader="none"/>
              </w:tabs>
              <w:spacing w:line="240" w:lineRule="auto" w:before="36" w:after="0"/>
              <w:ind w:left="837" w:right="0" w:hanging="526"/>
              <w:jc w:val="left"/>
              <w:rPr>
                <w:sz w:val="21"/>
              </w:rPr>
            </w:pPr>
            <w:r>
              <w:rPr>
                <w:spacing w:val="-3"/>
                <w:sz w:val="21"/>
              </w:rPr>
              <w:t>有效身份证件</w:t>
            </w:r>
          </w:p>
          <w:p>
            <w:pPr>
              <w:pStyle w:val="TableParagraph"/>
              <w:numPr>
                <w:ilvl w:val="1"/>
                <w:numId w:val="10"/>
              </w:numPr>
              <w:tabs>
                <w:tab w:pos="838" w:val="left" w:leader="none"/>
              </w:tabs>
              <w:spacing w:line="240" w:lineRule="auto" w:before="36" w:after="0"/>
              <w:ind w:left="837" w:right="0" w:hanging="526"/>
              <w:jc w:val="left"/>
              <w:rPr>
                <w:sz w:val="21"/>
              </w:rPr>
            </w:pPr>
            <w:r>
              <w:rPr>
                <w:spacing w:val="-3"/>
                <w:sz w:val="21"/>
              </w:rPr>
              <w:t>意外伤害事故</w:t>
            </w:r>
          </w:p>
          <w:p>
            <w:pPr>
              <w:pStyle w:val="TableParagraph"/>
              <w:numPr>
                <w:ilvl w:val="1"/>
                <w:numId w:val="10"/>
              </w:numPr>
              <w:tabs>
                <w:tab w:pos="785" w:val="left" w:leader="none"/>
              </w:tabs>
              <w:spacing w:line="240" w:lineRule="auto" w:before="36" w:after="0"/>
              <w:ind w:left="784" w:right="0" w:hanging="473"/>
              <w:jc w:val="left"/>
              <w:rPr>
                <w:sz w:val="21"/>
              </w:rPr>
            </w:pPr>
            <w:r>
              <w:rPr>
                <w:sz w:val="21"/>
              </w:rPr>
              <w:t>医院</w:t>
            </w:r>
          </w:p>
          <w:p>
            <w:pPr>
              <w:pStyle w:val="TableParagraph"/>
              <w:numPr>
                <w:ilvl w:val="1"/>
                <w:numId w:val="10"/>
              </w:numPr>
              <w:tabs>
                <w:tab w:pos="838" w:val="left" w:leader="none"/>
              </w:tabs>
              <w:spacing w:line="240" w:lineRule="auto" w:before="36" w:after="0"/>
              <w:ind w:left="837" w:right="0" w:hanging="526"/>
              <w:jc w:val="left"/>
              <w:rPr>
                <w:sz w:val="21"/>
              </w:rPr>
            </w:pPr>
            <w:r>
              <w:rPr>
                <w:spacing w:val="-2"/>
                <w:sz w:val="21"/>
              </w:rPr>
              <w:t>专科医生</w:t>
            </w:r>
          </w:p>
          <w:p>
            <w:pPr>
              <w:pStyle w:val="TableParagraph"/>
              <w:numPr>
                <w:ilvl w:val="1"/>
                <w:numId w:val="10"/>
              </w:numPr>
              <w:tabs>
                <w:tab w:pos="838" w:val="left" w:leader="none"/>
              </w:tabs>
              <w:spacing w:line="240" w:lineRule="auto" w:before="36" w:after="0"/>
              <w:ind w:left="837" w:right="0" w:hanging="526"/>
              <w:jc w:val="left"/>
              <w:rPr>
                <w:sz w:val="21"/>
              </w:rPr>
            </w:pPr>
            <w:r>
              <w:rPr>
                <w:spacing w:val="-2"/>
                <w:sz w:val="21"/>
              </w:rPr>
              <w:t>轻型疾病</w:t>
            </w:r>
          </w:p>
          <w:p>
            <w:pPr>
              <w:pStyle w:val="TableParagraph"/>
              <w:numPr>
                <w:ilvl w:val="1"/>
                <w:numId w:val="10"/>
              </w:numPr>
              <w:tabs>
                <w:tab w:pos="838" w:val="left" w:leader="none"/>
              </w:tabs>
              <w:spacing w:line="240" w:lineRule="auto" w:before="36" w:after="0"/>
              <w:ind w:left="837" w:right="0" w:hanging="526"/>
              <w:jc w:val="left"/>
              <w:rPr>
                <w:sz w:val="21"/>
              </w:rPr>
            </w:pPr>
            <w:r>
              <w:rPr>
                <w:spacing w:val="-2"/>
                <w:sz w:val="21"/>
              </w:rPr>
              <w:t>重大疾病</w:t>
            </w:r>
          </w:p>
        </w:tc>
        <w:tc>
          <w:tcPr>
            <w:tcW w:w="2772" w:type="dxa"/>
          </w:tcPr>
          <w:p>
            <w:pPr>
              <w:pStyle w:val="TableParagraph"/>
              <w:numPr>
                <w:ilvl w:val="1"/>
                <w:numId w:val="11"/>
              </w:numPr>
              <w:tabs>
                <w:tab w:pos="891" w:val="left" w:leader="none"/>
              </w:tabs>
              <w:spacing w:line="211" w:lineRule="exact" w:before="0" w:after="0"/>
              <w:ind w:left="311" w:right="0" w:firstLine="0"/>
              <w:jc w:val="left"/>
              <w:rPr>
                <w:sz w:val="21"/>
              </w:rPr>
            </w:pPr>
            <w:r>
              <w:rPr>
                <w:spacing w:val="-3"/>
                <w:sz w:val="21"/>
              </w:rPr>
              <w:t>先天性畸形、变形</w:t>
            </w:r>
          </w:p>
          <w:p>
            <w:pPr>
              <w:pStyle w:val="TableParagraph"/>
              <w:spacing w:before="37"/>
              <w:ind w:left="311"/>
              <w:rPr>
                <w:sz w:val="21"/>
              </w:rPr>
            </w:pPr>
            <w:r>
              <w:rPr>
                <w:sz w:val="21"/>
              </w:rPr>
              <w:t>或染色体异常</w:t>
            </w:r>
          </w:p>
          <w:p>
            <w:pPr>
              <w:pStyle w:val="TableParagraph"/>
              <w:numPr>
                <w:ilvl w:val="1"/>
                <w:numId w:val="11"/>
              </w:numPr>
              <w:tabs>
                <w:tab w:pos="891" w:val="left" w:leader="none"/>
              </w:tabs>
              <w:spacing w:line="240" w:lineRule="auto" w:before="36" w:after="0"/>
              <w:ind w:left="311" w:right="0" w:firstLine="0"/>
              <w:jc w:val="left"/>
              <w:rPr>
                <w:sz w:val="21"/>
              </w:rPr>
            </w:pPr>
            <w:r>
              <w:rPr>
                <w:spacing w:val="-2"/>
                <w:sz w:val="21"/>
              </w:rPr>
              <w:t>贷款利率</w:t>
            </w:r>
          </w:p>
          <w:p>
            <w:pPr>
              <w:pStyle w:val="TableParagraph"/>
              <w:numPr>
                <w:ilvl w:val="1"/>
                <w:numId w:val="11"/>
              </w:numPr>
              <w:tabs>
                <w:tab w:pos="891" w:val="left" w:leader="none"/>
              </w:tabs>
              <w:spacing w:line="240" w:lineRule="auto" w:before="36" w:after="0"/>
              <w:ind w:left="311" w:right="0" w:firstLine="0"/>
              <w:jc w:val="left"/>
              <w:rPr>
                <w:sz w:val="21"/>
              </w:rPr>
            </w:pPr>
            <w:r>
              <w:rPr>
                <w:sz w:val="21"/>
              </w:rPr>
              <w:t>利息</w:t>
            </w:r>
          </w:p>
          <w:p>
            <w:pPr>
              <w:pStyle w:val="TableParagraph"/>
              <w:numPr>
                <w:ilvl w:val="1"/>
                <w:numId w:val="11"/>
              </w:numPr>
              <w:tabs>
                <w:tab w:pos="891" w:val="left" w:leader="none"/>
              </w:tabs>
              <w:spacing w:line="240" w:lineRule="auto" w:before="36" w:after="0"/>
              <w:ind w:left="311" w:right="0" w:firstLine="0"/>
              <w:jc w:val="left"/>
              <w:rPr>
                <w:sz w:val="21"/>
              </w:rPr>
            </w:pPr>
            <w:r>
              <w:rPr>
                <w:sz w:val="21"/>
              </w:rPr>
              <w:t>猝死</w:t>
            </w:r>
          </w:p>
          <w:p>
            <w:pPr>
              <w:pStyle w:val="TableParagraph"/>
              <w:numPr>
                <w:ilvl w:val="1"/>
                <w:numId w:val="11"/>
              </w:numPr>
              <w:tabs>
                <w:tab w:pos="891" w:val="left" w:leader="none"/>
              </w:tabs>
              <w:spacing w:line="273" w:lineRule="auto" w:before="36" w:after="0"/>
              <w:ind w:left="311" w:right="197" w:firstLine="0"/>
              <w:jc w:val="left"/>
              <w:rPr>
                <w:sz w:val="21"/>
              </w:rPr>
            </w:pPr>
            <w:r>
              <w:rPr>
                <w:spacing w:val="-3"/>
                <w:sz w:val="21"/>
              </w:rPr>
              <w:t>六项基本日常生活活动</w:t>
            </w:r>
          </w:p>
          <w:p>
            <w:pPr>
              <w:pStyle w:val="TableParagraph"/>
              <w:numPr>
                <w:ilvl w:val="1"/>
                <w:numId w:val="11"/>
              </w:numPr>
              <w:tabs>
                <w:tab w:pos="891" w:val="left" w:leader="none"/>
              </w:tabs>
              <w:spacing w:line="240" w:lineRule="auto" w:before="7" w:after="0"/>
              <w:ind w:left="311" w:right="0" w:firstLine="0"/>
              <w:jc w:val="left"/>
              <w:rPr>
                <w:sz w:val="21"/>
              </w:rPr>
            </w:pPr>
            <w:r>
              <w:rPr>
                <w:spacing w:val="-3"/>
                <w:sz w:val="21"/>
              </w:rPr>
              <w:t>永久不可逆</w:t>
            </w:r>
          </w:p>
          <w:p>
            <w:pPr>
              <w:pStyle w:val="TableParagraph"/>
              <w:numPr>
                <w:ilvl w:val="1"/>
                <w:numId w:val="11"/>
              </w:numPr>
              <w:tabs>
                <w:tab w:pos="891" w:val="left" w:leader="none"/>
              </w:tabs>
              <w:spacing w:line="240" w:lineRule="auto" w:before="37" w:after="0"/>
              <w:ind w:left="311" w:right="0" w:firstLine="0"/>
              <w:jc w:val="left"/>
              <w:rPr>
                <w:sz w:val="21"/>
              </w:rPr>
            </w:pPr>
            <w:r>
              <w:rPr>
                <w:spacing w:val="-3"/>
                <w:sz w:val="21"/>
              </w:rPr>
              <w:t>肢体机能完全丧失</w:t>
            </w:r>
          </w:p>
          <w:p>
            <w:pPr>
              <w:pStyle w:val="TableParagraph"/>
              <w:numPr>
                <w:ilvl w:val="1"/>
                <w:numId w:val="11"/>
              </w:numPr>
              <w:tabs>
                <w:tab w:pos="891" w:val="left" w:leader="none"/>
              </w:tabs>
              <w:spacing w:line="310" w:lineRule="atLeast" w:before="2" w:after="0"/>
              <w:ind w:left="311" w:right="197" w:firstLine="0"/>
              <w:jc w:val="left"/>
              <w:rPr>
                <w:sz w:val="21"/>
              </w:rPr>
            </w:pPr>
            <w:r>
              <w:rPr>
                <w:spacing w:val="-3"/>
                <w:sz w:val="21"/>
              </w:rPr>
              <w:t>语言能力或咀嚼吞咽能力完全丧失</w:t>
            </w:r>
          </w:p>
        </w:tc>
      </w:tr>
    </w:tbl>
    <w:p>
      <w:pPr>
        <w:spacing w:after="0" w:line="310" w:lineRule="atLeast"/>
        <w:jc w:val="left"/>
        <w:rPr>
          <w:sz w:val="21"/>
        </w:rPr>
        <w:sectPr>
          <w:pgSz w:w="11910" w:h="16840"/>
          <w:pgMar w:header="0" w:footer="925" w:top="1400" w:bottom="1120" w:left="880" w:right="760"/>
        </w:sectPr>
      </w:pPr>
    </w:p>
    <w:p>
      <w:pPr>
        <w:spacing w:line="477" w:lineRule="exact" w:before="0"/>
        <w:ind w:left="3127" w:right="0" w:firstLine="0"/>
        <w:jc w:val="left"/>
        <w:rPr>
          <w:rFonts w:ascii="微软雅黑" w:eastAsia="微软雅黑" w:hint="eastAsia"/>
          <w:b/>
          <w:sz w:val="32"/>
        </w:rPr>
      </w:pPr>
      <w:r>
        <w:rPr>
          <w:rFonts w:ascii="微软雅黑" w:eastAsia="微软雅黑" w:hint="eastAsia"/>
          <w:b/>
          <w:sz w:val="32"/>
        </w:rPr>
        <w:t>华泰人寿保险股份有限公司</w:t>
      </w:r>
    </w:p>
    <w:p>
      <w:pPr>
        <w:spacing w:before="151"/>
        <w:ind w:left="2805" w:right="0" w:firstLine="0"/>
        <w:jc w:val="left"/>
        <w:rPr>
          <w:rFonts w:ascii="微软雅黑" w:eastAsia="微软雅黑" w:hint="eastAsia"/>
          <w:b/>
          <w:sz w:val="32"/>
        </w:rPr>
      </w:pPr>
      <w:r>
        <w:rPr>
          <w:rFonts w:ascii="微软雅黑" w:eastAsia="微软雅黑" w:hint="eastAsia"/>
          <w:b/>
          <w:sz w:val="32"/>
        </w:rPr>
        <w:t>福佑一生终身重大疾病保险条款</w:t>
      </w:r>
    </w:p>
    <w:p>
      <w:pPr>
        <w:pStyle w:val="BodyText"/>
        <w:spacing w:before="5"/>
        <w:rPr>
          <w:rFonts w:ascii="微软雅黑"/>
          <w:b/>
          <w:sz w:val="33"/>
        </w:rPr>
      </w:pPr>
    </w:p>
    <w:p>
      <w:pPr>
        <w:pStyle w:val="BodyText"/>
        <w:spacing w:before="1"/>
        <w:ind w:left="217"/>
      </w:pPr>
      <w:r>
        <w:rPr/>
        <w:t>在本条款中，“您”指投保人，“我们”、“本公司”均指在保险单上签章的华泰人寿保险股份有限公司，</w:t>
      </w:r>
    </w:p>
    <w:p>
      <w:pPr>
        <w:pStyle w:val="BodyText"/>
        <w:spacing w:line="273" w:lineRule="auto" w:before="35"/>
        <w:ind w:left="217" w:right="219"/>
      </w:pPr>
      <w:r>
        <w:rPr/>
        <w:t>“本合同”指您与我们之间订立的“福佑一生终身重大疾病保险合同”，“被保险人”指本合同的被保险人，投保人、被保险人的姓名在保险单上载明。</w:t>
      </w:r>
    </w:p>
    <w:p>
      <w:pPr>
        <w:pStyle w:val="BodyText"/>
        <w:rPr>
          <w:sz w:val="20"/>
        </w:rPr>
      </w:pPr>
    </w:p>
    <w:p>
      <w:pPr>
        <w:pStyle w:val="BodyText"/>
        <w:spacing w:before="11"/>
        <w:rPr>
          <w:sz w:val="1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481" w:hRule="atLeast"/>
        </w:trPr>
        <w:tc>
          <w:tcPr>
            <w:tcW w:w="663" w:type="dxa"/>
            <w:tcBorders>
              <w:bottom w:val="single" w:sz="8" w:space="0" w:color="000000"/>
            </w:tcBorders>
          </w:tcPr>
          <w:p>
            <w:pPr>
              <w:pStyle w:val="TableParagraph"/>
              <w:spacing w:line="240" w:lineRule="exact"/>
              <w:ind w:left="108"/>
              <w:rPr>
                <w:b/>
                <w:sz w:val="24"/>
              </w:rPr>
            </w:pPr>
            <w:r>
              <w:rPr>
                <w:b/>
                <w:sz w:val="24"/>
              </w:rPr>
              <w:t>1.</w:t>
            </w:r>
          </w:p>
        </w:tc>
        <w:tc>
          <w:tcPr>
            <w:tcW w:w="9001" w:type="dxa"/>
            <w:gridSpan w:val="2"/>
            <w:tcBorders>
              <w:bottom w:val="single" w:sz="8" w:space="0" w:color="000000"/>
            </w:tcBorders>
          </w:tcPr>
          <w:p>
            <w:pPr>
              <w:pStyle w:val="TableParagraph"/>
              <w:spacing w:line="240" w:lineRule="exact"/>
              <w:ind w:left="237"/>
              <w:rPr>
                <w:b/>
                <w:sz w:val="24"/>
              </w:rPr>
            </w:pPr>
            <w:r>
              <w:rPr>
                <w:b/>
                <w:w w:val="95"/>
                <w:sz w:val="24"/>
              </w:rPr>
              <w:t>您与我们订立的合同</w:t>
            </w:r>
          </w:p>
        </w:tc>
      </w:tr>
      <w:tr>
        <w:trPr>
          <w:trHeight w:val="1634" w:hRule="atLeast"/>
        </w:trPr>
        <w:tc>
          <w:tcPr>
            <w:tcW w:w="663" w:type="dxa"/>
            <w:tcBorders>
              <w:top w:val="single" w:sz="8" w:space="0" w:color="000000"/>
            </w:tcBorders>
          </w:tcPr>
          <w:p>
            <w:pPr>
              <w:pStyle w:val="TableParagraph"/>
              <w:spacing w:before="138"/>
              <w:ind w:left="108"/>
              <w:rPr>
                <w:b/>
                <w:sz w:val="21"/>
              </w:rPr>
            </w:pPr>
            <w:r>
              <w:rPr>
                <w:b/>
                <w:sz w:val="21"/>
              </w:rPr>
              <w:t>1.1</w:t>
            </w:r>
          </w:p>
        </w:tc>
        <w:tc>
          <w:tcPr>
            <w:tcW w:w="1628" w:type="dxa"/>
            <w:tcBorders>
              <w:top w:val="single" w:sz="8" w:space="0" w:color="000000"/>
            </w:tcBorders>
          </w:tcPr>
          <w:p>
            <w:pPr>
              <w:pStyle w:val="TableParagraph"/>
              <w:spacing w:before="138"/>
              <w:ind w:left="237"/>
              <w:rPr>
                <w:b/>
                <w:sz w:val="21"/>
              </w:rPr>
            </w:pPr>
            <w:r>
              <w:rPr>
                <w:b/>
                <w:sz w:val="21"/>
              </w:rPr>
              <w:t>合同构成</w:t>
            </w:r>
          </w:p>
        </w:tc>
        <w:tc>
          <w:tcPr>
            <w:tcW w:w="7373" w:type="dxa"/>
            <w:tcBorders>
              <w:top w:val="single" w:sz="8" w:space="0" w:color="000000"/>
            </w:tcBorders>
          </w:tcPr>
          <w:p>
            <w:pPr>
              <w:pStyle w:val="TableParagraph"/>
              <w:spacing w:line="273" w:lineRule="auto" w:before="138"/>
              <w:ind w:left="123" w:right="101"/>
              <w:jc w:val="both"/>
              <w:rPr>
                <w:sz w:val="21"/>
              </w:rPr>
            </w:pPr>
            <w:r>
              <w:rPr>
                <w:sz w:val="21"/>
              </w:rPr>
              <w:t>本合同是您与我们约定保险权利义务关系的协议，包括本保险条款、保险单或其他保险凭证、投保单、与本合同有关的投保文件、合法有效的声明、批注、批单及其他约定您和我们之间权利义务关系的书面文件。</w:t>
            </w:r>
          </w:p>
          <w:p>
            <w:pPr>
              <w:pStyle w:val="TableParagraph"/>
              <w:spacing w:before="163"/>
              <w:ind w:left="123"/>
              <w:jc w:val="both"/>
              <w:rPr>
                <w:sz w:val="21"/>
              </w:rPr>
            </w:pPr>
            <w:r>
              <w:rPr>
                <w:sz w:val="21"/>
              </w:rPr>
              <w:t>阅读指引和条款目录仅供辅助理解使用，不构成本合同的组成部分。</w:t>
            </w:r>
          </w:p>
        </w:tc>
      </w:tr>
      <w:tr>
        <w:trPr>
          <w:trHeight w:val="1872" w:hRule="atLeast"/>
        </w:trPr>
        <w:tc>
          <w:tcPr>
            <w:tcW w:w="663" w:type="dxa"/>
          </w:tcPr>
          <w:p>
            <w:pPr>
              <w:pStyle w:val="TableParagraph"/>
              <w:spacing w:before="64"/>
              <w:ind w:left="108"/>
              <w:rPr>
                <w:b/>
                <w:sz w:val="21"/>
              </w:rPr>
            </w:pPr>
            <w:r>
              <w:rPr>
                <w:b/>
                <w:sz w:val="21"/>
              </w:rPr>
              <w:t>1.2</w:t>
            </w:r>
          </w:p>
        </w:tc>
        <w:tc>
          <w:tcPr>
            <w:tcW w:w="1628" w:type="dxa"/>
          </w:tcPr>
          <w:p>
            <w:pPr>
              <w:pStyle w:val="TableParagraph"/>
              <w:spacing w:line="273" w:lineRule="auto" w:before="64"/>
              <w:ind w:left="237" w:right="121"/>
              <w:rPr>
                <w:b/>
                <w:sz w:val="21"/>
              </w:rPr>
            </w:pPr>
            <w:r>
              <w:rPr>
                <w:b/>
                <w:sz w:val="21"/>
              </w:rPr>
              <w:t>合同成立及生效</w:t>
            </w:r>
          </w:p>
        </w:tc>
        <w:tc>
          <w:tcPr>
            <w:tcW w:w="7373" w:type="dxa"/>
          </w:tcPr>
          <w:p>
            <w:pPr>
              <w:pStyle w:val="TableParagraph"/>
              <w:spacing w:before="64"/>
              <w:ind w:left="123"/>
              <w:rPr>
                <w:sz w:val="21"/>
              </w:rPr>
            </w:pPr>
            <w:r>
              <w:rPr>
                <w:sz w:val="21"/>
              </w:rPr>
              <w:t>您向我们提出保险申请，我们同意承保，本合同成立。</w:t>
            </w:r>
          </w:p>
          <w:p>
            <w:pPr>
              <w:pStyle w:val="TableParagraph"/>
              <w:spacing w:before="9"/>
              <w:rPr>
                <w:sz w:val="14"/>
              </w:rPr>
            </w:pPr>
          </w:p>
          <w:p>
            <w:pPr>
              <w:pStyle w:val="TableParagraph"/>
              <w:spacing w:line="273" w:lineRule="auto"/>
              <w:ind w:left="123" w:right="103"/>
              <w:jc w:val="both"/>
              <w:rPr>
                <w:sz w:val="21"/>
              </w:rPr>
            </w:pPr>
            <w:r>
              <w:rPr>
                <w:spacing w:val="-3"/>
                <w:sz w:val="21"/>
              </w:rPr>
              <w:t>本合同生效日以保险单所载的日期为准。本合同生效日以后每年的对应日是保</w:t>
            </w:r>
            <w:r>
              <w:rPr>
                <w:spacing w:val="-4"/>
                <w:w w:val="100"/>
                <w:sz w:val="21"/>
              </w:rPr>
              <w:t>险单周年日。</w:t>
            </w:r>
            <w:r>
              <w:rPr>
                <w:b/>
                <w:spacing w:val="-1"/>
                <w:w w:val="100"/>
                <w:sz w:val="21"/>
              </w:rPr>
              <w:t>保险单年度</w:t>
            </w:r>
            <w:r>
              <w:rPr>
                <w:w w:val="100"/>
                <w:sz w:val="21"/>
              </w:rPr>
              <w:t>（见</w:t>
            </w:r>
            <w:r>
              <w:rPr>
                <w:spacing w:val="-53"/>
                <w:sz w:val="21"/>
              </w:rPr>
              <w:t> </w:t>
            </w:r>
            <w:r>
              <w:rPr>
                <w:spacing w:val="-2"/>
                <w:w w:val="100"/>
                <w:sz w:val="21"/>
              </w:rPr>
              <w:t>1</w:t>
            </w:r>
            <w:r>
              <w:rPr>
                <w:w w:val="100"/>
                <w:sz w:val="21"/>
              </w:rPr>
              <w:t>0.1</w:t>
            </w:r>
            <w:r>
              <w:rPr>
                <w:spacing w:val="-108"/>
                <w:w w:val="100"/>
                <w:sz w:val="21"/>
              </w:rPr>
              <w:t>）</w:t>
            </w:r>
            <w:r>
              <w:rPr>
                <w:spacing w:val="-5"/>
                <w:w w:val="100"/>
                <w:sz w:val="21"/>
              </w:rPr>
              <w:t>、</w:t>
            </w:r>
            <w:r>
              <w:rPr>
                <w:b/>
                <w:spacing w:val="-2"/>
                <w:w w:val="100"/>
                <w:sz w:val="21"/>
              </w:rPr>
              <w:t>保险费约定交纳日</w:t>
            </w:r>
            <w:r>
              <w:rPr>
                <w:spacing w:val="-2"/>
                <w:w w:val="100"/>
                <w:sz w:val="21"/>
              </w:rPr>
              <w:t>（</w:t>
            </w:r>
            <w:r>
              <w:rPr>
                <w:w w:val="100"/>
                <w:sz w:val="21"/>
              </w:rPr>
              <w:t>见</w:t>
            </w:r>
            <w:r>
              <w:rPr>
                <w:spacing w:val="-53"/>
                <w:sz w:val="21"/>
              </w:rPr>
              <w:t> </w:t>
            </w:r>
            <w:r>
              <w:rPr>
                <w:w w:val="100"/>
                <w:sz w:val="21"/>
              </w:rPr>
              <w:t>10</w:t>
            </w:r>
            <w:r>
              <w:rPr>
                <w:spacing w:val="-3"/>
                <w:w w:val="100"/>
                <w:sz w:val="21"/>
              </w:rPr>
              <w:t>.</w:t>
            </w:r>
            <w:r>
              <w:rPr>
                <w:w w:val="100"/>
                <w:sz w:val="21"/>
              </w:rPr>
              <w:t>2</w:t>
            </w:r>
            <w:r>
              <w:rPr>
                <w:spacing w:val="-3"/>
                <w:w w:val="100"/>
                <w:sz w:val="21"/>
              </w:rPr>
              <w:t>）均以本合</w:t>
            </w:r>
            <w:r>
              <w:rPr>
                <w:spacing w:val="-3"/>
                <w:sz w:val="21"/>
              </w:rPr>
              <w:t>同的生效日期为基础计算。如果当月无对应的同一日，则以该月最后一日作为对应日。</w:t>
            </w:r>
          </w:p>
        </w:tc>
      </w:tr>
      <w:tr>
        <w:trPr>
          <w:trHeight w:val="819" w:hRule="atLeast"/>
        </w:trPr>
        <w:tc>
          <w:tcPr>
            <w:tcW w:w="663" w:type="dxa"/>
          </w:tcPr>
          <w:p>
            <w:pPr>
              <w:pStyle w:val="TableParagraph"/>
              <w:spacing w:before="64"/>
              <w:ind w:left="108"/>
              <w:rPr>
                <w:b/>
                <w:sz w:val="21"/>
              </w:rPr>
            </w:pPr>
            <w:r>
              <w:rPr>
                <w:b/>
                <w:sz w:val="21"/>
              </w:rPr>
              <w:t>1.3</w:t>
            </w:r>
          </w:p>
        </w:tc>
        <w:tc>
          <w:tcPr>
            <w:tcW w:w="1628" w:type="dxa"/>
          </w:tcPr>
          <w:p>
            <w:pPr>
              <w:pStyle w:val="TableParagraph"/>
              <w:spacing w:before="64"/>
              <w:ind w:left="237"/>
              <w:rPr>
                <w:b/>
                <w:sz w:val="21"/>
              </w:rPr>
            </w:pPr>
            <w:r>
              <w:rPr>
                <w:b/>
                <w:sz w:val="21"/>
              </w:rPr>
              <w:t>投保年龄</w:t>
            </w:r>
          </w:p>
        </w:tc>
        <w:tc>
          <w:tcPr>
            <w:tcW w:w="7373" w:type="dxa"/>
          </w:tcPr>
          <w:p>
            <w:pPr>
              <w:pStyle w:val="TableParagraph"/>
              <w:spacing w:line="273" w:lineRule="auto" w:before="64"/>
              <w:ind w:left="123" w:right="102"/>
              <w:rPr>
                <w:sz w:val="21"/>
              </w:rPr>
            </w:pPr>
            <w:r>
              <w:rPr>
                <w:spacing w:val="-4"/>
                <w:sz w:val="21"/>
              </w:rPr>
              <w:t>指投保时被保险人的年龄，投保年龄以</w:t>
            </w:r>
            <w:r>
              <w:rPr>
                <w:b/>
                <w:spacing w:val="-6"/>
                <w:sz w:val="21"/>
              </w:rPr>
              <w:t>周岁</w:t>
            </w:r>
            <w:r>
              <w:rPr>
                <w:spacing w:val="-3"/>
                <w:sz w:val="21"/>
              </w:rPr>
              <w:t>（</w:t>
            </w:r>
            <w:r>
              <w:rPr>
                <w:spacing w:val="-10"/>
                <w:sz w:val="21"/>
              </w:rPr>
              <w:t>见 </w:t>
            </w:r>
            <w:r>
              <w:rPr>
                <w:spacing w:val="-5"/>
                <w:sz w:val="21"/>
              </w:rPr>
              <w:t>10.3）计算，投保本合同时被</w:t>
            </w:r>
            <w:r>
              <w:rPr>
                <w:spacing w:val="-9"/>
                <w:sz w:val="21"/>
              </w:rPr>
              <w:t>保险人的年龄须为 </w:t>
            </w:r>
            <w:r>
              <w:rPr>
                <w:sz w:val="21"/>
              </w:rPr>
              <w:t>0</w:t>
            </w:r>
            <w:r>
              <w:rPr>
                <w:spacing w:val="-19"/>
                <w:sz w:val="21"/>
              </w:rPr>
              <w:t> 周岁</w:t>
            </w:r>
            <w:r>
              <w:rPr>
                <w:sz w:val="21"/>
              </w:rPr>
              <w:t>（</w:t>
            </w:r>
            <w:r>
              <w:rPr>
                <w:spacing w:val="-14"/>
                <w:sz w:val="21"/>
              </w:rPr>
              <w:t>出生满 </w:t>
            </w:r>
            <w:r>
              <w:rPr>
                <w:sz w:val="21"/>
              </w:rPr>
              <w:t>28</w:t>
            </w:r>
            <w:r>
              <w:rPr>
                <w:spacing w:val="-26"/>
                <w:sz w:val="21"/>
              </w:rPr>
              <w:t> 天</w:t>
            </w:r>
            <w:r>
              <w:rPr>
                <w:sz w:val="21"/>
              </w:rPr>
              <w:t>）</w:t>
            </w:r>
            <w:r>
              <w:rPr>
                <w:spacing w:val="-26"/>
                <w:sz w:val="21"/>
              </w:rPr>
              <w:t>至 </w:t>
            </w:r>
            <w:r>
              <w:rPr>
                <w:sz w:val="21"/>
              </w:rPr>
              <w:t>60</w:t>
            </w:r>
            <w:r>
              <w:rPr>
                <w:spacing w:val="-14"/>
                <w:sz w:val="21"/>
              </w:rPr>
              <w:t> 周岁。</w:t>
            </w:r>
          </w:p>
        </w:tc>
      </w:tr>
      <w:tr>
        <w:trPr>
          <w:trHeight w:val="2747" w:hRule="atLeast"/>
        </w:trPr>
        <w:tc>
          <w:tcPr>
            <w:tcW w:w="663" w:type="dxa"/>
          </w:tcPr>
          <w:p>
            <w:pPr>
              <w:pStyle w:val="TableParagraph"/>
              <w:spacing w:before="104"/>
              <w:ind w:left="108"/>
              <w:rPr>
                <w:b/>
                <w:sz w:val="21"/>
              </w:rPr>
            </w:pPr>
            <w:r>
              <w:rPr>
                <w:b/>
                <w:sz w:val="21"/>
              </w:rPr>
              <w:t>1.4</w:t>
            </w:r>
          </w:p>
        </w:tc>
        <w:tc>
          <w:tcPr>
            <w:tcW w:w="1628" w:type="dxa"/>
          </w:tcPr>
          <w:p>
            <w:pPr>
              <w:pStyle w:val="TableParagraph"/>
              <w:spacing w:before="104"/>
              <w:ind w:left="237"/>
              <w:rPr>
                <w:b/>
                <w:sz w:val="21"/>
              </w:rPr>
            </w:pPr>
            <w:r>
              <w:rPr>
                <w:b/>
                <w:sz w:val="21"/>
              </w:rPr>
              <w:t>犹豫期</w:t>
            </w:r>
          </w:p>
        </w:tc>
        <w:tc>
          <w:tcPr>
            <w:tcW w:w="7373" w:type="dxa"/>
          </w:tcPr>
          <w:p>
            <w:pPr>
              <w:pStyle w:val="TableParagraph"/>
              <w:spacing w:before="104"/>
              <w:ind w:left="123"/>
              <w:rPr>
                <w:sz w:val="21"/>
              </w:rPr>
            </w:pPr>
            <w:r>
              <w:rPr>
                <w:sz w:val="21"/>
              </w:rPr>
              <w:t>自您签收本合同之日起，有 10 天（含）的犹豫期。在此期间，请您认真阅读</w:t>
            </w:r>
          </w:p>
          <w:p>
            <w:pPr>
              <w:pStyle w:val="TableParagraph"/>
              <w:spacing w:line="273" w:lineRule="auto" w:before="36"/>
              <w:ind w:left="123" w:right="206"/>
              <w:rPr>
                <w:sz w:val="21"/>
              </w:rPr>
            </w:pPr>
            <w:r>
              <w:rPr>
                <w:spacing w:val="-5"/>
                <w:sz w:val="21"/>
              </w:rPr>
              <w:t>本合同，您可以在此期间提出解除本合同，我们将扣除不超过 </w:t>
            </w:r>
            <w:r>
              <w:rPr>
                <w:sz w:val="21"/>
              </w:rPr>
              <w:t>10</w:t>
            </w:r>
            <w:r>
              <w:rPr>
                <w:spacing w:val="-9"/>
                <w:sz w:val="21"/>
              </w:rPr>
              <w:t> 元的工本费</w:t>
            </w:r>
            <w:r>
              <w:rPr>
                <w:spacing w:val="-5"/>
                <w:sz w:val="21"/>
              </w:rPr>
              <w:t>后无息退还您所交纳的保险费。</w:t>
            </w:r>
          </w:p>
          <w:p>
            <w:pPr>
              <w:pStyle w:val="TableParagraph"/>
              <w:spacing w:line="273" w:lineRule="auto" w:before="163"/>
              <w:ind w:left="123" w:right="109"/>
              <w:rPr>
                <w:sz w:val="21"/>
              </w:rPr>
            </w:pPr>
            <w:r>
              <w:rPr>
                <w:spacing w:val="-3"/>
                <w:sz w:val="21"/>
              </w:rPr>
              <w:t>在犹豫期内解除本合同时，您需要填写书面申请书，并提供您的保险合同、交</w:t>
            </w:r>
            <w:r>
              <w:rPr>
                <w:spacing w:val="-2"/>
                <w:w w:val="100"/>
                <w:sz w:val="21"/>
              </w:rPr>
              <w:t>费凭证及</w:t>
            </w:r>
            <w:r>
              <w:rPr>
                <w:b/>
                <w:w w:val="100"/>
                <w:sz w:val="21"/>
              </w:rPr>
              <w:t>有效身份证件</w:t>
            </w:r>
            <w:r>
              <w:rPr>
                <w:spacing w:val="-3"/>
                <w:w w:val="100"/>
                <w:sz w:val="21"/>
              </w:rPr>
              <w:t>（</w:t>
            </w:r>
            <w:r>
              <w:rPr>
                <w:w w:val="100"/>
                <w:sz w:val="21"/>
              </w:rPr>
              <w:t>见</w:t>
            </w:r>
            <w:r>
              <w:rPr>
                <w:spacing w:val="-53"/>
                <w:sz w:val="21"/>
              </w:rPr>
              <w:t> </w:t>
            </w:r>
            <w:r>
              <w:rPr>
                <w:w w:val="100"/>
                <w:sz w:val="21"/>
              </w:rPr>
              <w:t>10</w:t>
            </w:r>
            <w:r>
              <w:rPr>
                <w:spacing w:val="-2"/>
                <w:w w:val="100"/>
                <w:sz w:val="21"/>
              </w:rPr>
              <w:t>.</w:t>
            </w:r>
            <w:r>
              <w:rPr>
                <w:w w:val="100"/>
                <w:sz w:val="21"/>
              </w:rPr>
              <w:t>4</w:t>
            </w:r>
            <w:r>
              <w:rPr>
                <w:spacing w:val="-106"/>
                <w:w w:val="100"/>
                <w:sz w:val="21"/>
              </w:rPr>
              <w:t>）</w:t>
            </w:r>
            <w:r>
              <w:rPr>
                <w:w w:val="100"/>
                <w:sz w:val="21"/>
              </w:rPr>
              <w:t>。</w:t>
            </w:r>
          </w:p>
          <w:p>
            <w:pPr>
              <w:pStyle w:val="TableParagraph"/>
              <w:spacing w:line="273" w:lineRule="auto" w:before="163"/>
              <w:ind w:left="123" w:right="54"/>
              <w:rPr>
                <w:b/>
                <w:sz w:val="21"/>
              </w:rPr>
            </w:pPr>
            <w:r>
              <w:rPr>
                <w:b/>
                <w:sz w:val="21"/>
              </w:rPr>
              <w:t>自我们收到您解除本合同的书面申请时起，本合同即被解除，合同解除前发生的保险事故我们不承担保险责任。</w:t>
            </w:r>
          </w:p>
        </w:tc>
      </w:tr>
      <w:tr>
        <w:trPr>
          <w:trHeight w:val="668" w:hRule="atLeast"/>
        </w:trPr>
        <w:tc>
          <w:tcPr>
            <w:tcW w:w="663" w:type="dxa"/>
            <w:tcBorders>
              <w:bottom w:val="single" w:sz="8" w:space="0" w:color="000000"/>
            </w:tcBorders>
          </w:tcPr>
          <w:p>
            <w:pPr>
              <w:pStyle w:val="TableParagraph"/>
              <w:spacing w:before="110"/>
              <w:ind w:left="108"/>
              <w:rPr>
                <w:b/>
                <w:sz w:val="24"/>
              </w:rPr>
            </w:pPr>
            <w:r>
              <w:rPr>
                <w:b/>
                <w:sz w:val="24"/>
              </w:rPr>
              <w:t>2.</w:t>
            </w:r>
          </w:p>
        </w:tc>
        <w:tc>
          <w:tcPr>
            <w:tcW w:w="9001" w:type="dxa"/>
            <w:gridSpan w:val="2"/>
            <w:tcBorders>
              <w:bottom w:val="single" w:sz="8" w:space="0" w:color="000000"/>
            </w:tcBorders>
          </w:tcPr>
          <w:p>
            <w:pPr>
              <w:pStyle w:val="TableParagraph"/>
              <w:spacing w:before="110"/>
              <w:ind w:left="237"/>
              <w:rPr>
                <w:b/>
                <w:sz w:val="24"/>
              </w:rPr>
            </w:pPr>
            <w:r>
              <w:rPr>
                <w:b/>
                <w:w w:val="95"/>
                <w:sz w:val="24"/>
              </w:rPr>
              <w:t>我们提供的保障</w:t>
            </w:r>
          </w:p>
        </w:tc>
      </w:tr>
      <w:tr>
        <w:trPr>
          <w:trHeight w:val="854" w:hRule="atLeast"/>
        </w:trPr>
        <w:tc>
          <w:tcPr>
            <w:tcW w:w="663" w:type="dxa"/>
            <w:tcBorders>
              <w:top w:val="single" w:sz="8" w:space="0" w:color="000000"/>
            </w:tcBorders>
          </w:tcPr>
          <w:p>
            <w:pPr>
              <w:pStyle w:val="TableParagraph"/>
              <w:spacing w:before="139"/>
              <w:ind w:left="108"/>
              <w:rPr>
                <w:b/>
                <w:sz w:val="21"/>
              </w:rPr>
            </w:pPr>
            <w:r>
              <w:rPr>
                <w:b/>
                <w:sz w:val="21"/>
              </w:rPr>
              <w:t>2.1</w:t>
            </w:r>
          </w:p>
        </w:tc>
        <w:tc>
          <w:tcPr>
            <w:tcW w:w="1628" w:type="dxa"/>
            <w:tcBorders>
              <w:top w:val="single" w:sz="8" w:space="0" w:color="000000"/>
            </w:tcBorders>
          </w:tcPr>
          <w:p>
            <w:pPr>
              <w:pStyle w:val="TableParagraph"/>
              <w:spacing w:before="139"/>
              <w:ind w:left="237"/>
              <w:rPr>
                <w:b/>
                <w:sz w:val="21"/>
              </w:rPr>
            </w:pPr>
            <w:r>
              <w:rPr>
                <w:b/>
                <w:sz w:val="21"/>
              </w:rPr>
              <w:t>基本保险金额</w:t>
            </w:r>
          </w:p>
        </w:tc>
        <w:tc>
          <w:tcPr>
            <w:tcW w:w="7373" w:type="dxa"/>
            <w:tcBorders>
              <w:top w:val="single" w:sz="8" w:space="0" w:color="000000"/>
            </w:tcBorders>
          </w:tcPr>
          <w:p>
            <w:pPr>
              <w:pStyle w:val="TableParagraph"/>
              <w:spacing w:line="273" w:lineRule="auto" w:before="139"/>
              <w:ind w:left="123" w:right="109"/>
              <w:rPr>
                <w:sz w:val="21"/>
              </w:rPr>
            </w:pPr>
            <w:r>
              <w:rPr>
                <w:sz w:val="21"/>
              </w:rPr>
              <w:t>本合同的基本保险金额由您在投保时与我们约定，并在本合同上载明。若金额发生变更，则自变更之日起，以变更后的金额为基本保险金额。</w:t>
            </w:r>
          </w:p>
        </w:tc>
      </w:tr>
      <w:tr>
        <w:trPr>
          <w:trHeight w:val="890" w:hRule="atLeast"/>
        </w:trPr>
        <w:tc>
          <w:tcPr>
            <w:tcW w:w="663" w:type="dxa"/>
          </w:tcPr>
          <w:p>
            <w:pPr>
              <w:pStyle w:val="TableParagraph"/>
              <w:spacing w:before="64"/>
              <w:ind w:left="108"/>
              <w:rPr>
                <w:b/>
                <w:sz w:val="21"/>
              </w:rPr>
            </w:pPr>
            <w:r>
              <w:rPr>
                <w:b/>
                <w:sz w:val="21"/>
              </w:rPr>
              <w:t>2.2</w:t>
            </w:r>
          </w:p>
        </w:tc>
        <w:tc>
          <w:tcPr>
            <w:tcW w:w="1628" w:type="dxa"/>
          </w:tcPr>
          <w:p>
            <w:pPr>
              <w:pStyle w:val="TableParagraph"/>
              <w:spacing w:before="64"/>
              <w:ind w:left="237"/>
              <w:rPr>
                <w:b/>
                <w:sz w:val="21"/>
              </w:rPr>
            </w:pPr>
            <w:r>
              <w:rPr>
                <w:b/>
                <w:sz w:val="21"/>
              </w:rPr>
              <w:t>保险期间</w:t>
            </w:r>
          </w:p>
        </w:tc>
        <w:tc>
          <w:tcPr>
            <w:tcW w:w="7373" w:type="dxa"/>
          </w:tcPr>
          <w:p>
            <w:pPr>
              <w:pStyle w:val="TableParagraph"/>
              <w:spacing w:line="273" w:lineRule="auto" w:before="64"/>
              <w:ind w:left="123" w:right="103"/>
              <w:rPr>
                <w:sz w:val="21"/>
              </w:rPr>
            </w:pPr>
            <w:r>
              <w:rPr>
                <w:sz w:val="21"/>
              </w:rPr>
              <w:t>本合同的保险期间为终身。除合同另有约定外，本合同的保险期间自本合同生效日起算。</w:t>
            </w:r>
          </w:p>
        </w:tc>
      </w:tr>
      <w:tr>
        <w:trPr>
          <w:trHeight w:val="449" w:hRule="atLeast"/>
        </w:trPr>
        <w:tc>
          <w:tcPr>
            <w:tcW w:w="663" w:type="dxa"/>
          </w:tcPr>
          <w:p>
            <w:pPr>
              <w:pStyle w:val="TableParagraph"/>
              <w:spacing w:line="255" w:lineRule="exact" w:before="175"/>
              <w:ind w:left="108"/>
              <w:rPr>
                <w:b/>
                <w:sz w:val="21"/>
              </w:rPr>
            </w:pPr>
            <w:r>
              <w:rPr>
                <w:b/>
                <w:sz w:val="21"/>
              </w:rPr>
              <w:t>2.3</w:t>
            </w:r>
          </w:p>
        </w:tc>
        <w:tc>
          <w:tcPr>
            <w:tcW w:w="1628" w:type="dxa"/>
          </w:tcPr>
          <w:p>
            <w:pPr>
              <w:pStyle w:val="TableParagraph"/>
              <w:spacing w:line="255" w:lineRule="exact" w:before="175"/>
              <w:ind w:left="237"/>
              <w:rPr>
                <w:b/>
                <w:sz w:val="21"/>
              </w:rPr>
            </w:pPr>
            <w:r>
              <w:rPr>
                <w:b/>
                <w:sz w:val="21"/>
              </w:rPr>
              <w:t>保险责任</w:t>
            </w:r>
          </w:p>
        </w:tc>
        <w:tc>
          <w:tcPr>
            <w:tcW w:w="7373" w:type="dxa"/>
          </w:tcPr>
          <w:p>
            <w:pPr>
              <w:pStyle w:val="TableParagraph"/>
              <w:spacing w:line="255" w:lineRule="exact" w:before="175"/>
              <w:ind w:left="123"/>
              <w:rPr>
                <w:sz w:val="21"/>
              </w:rPr>
            </w:pPr>
            <w:r>
              <w:rPr>
                <w:sz w:val="21"/>
              </w:rPr>
              <w:t>在本合同保险期间内，我们按以下约定承担保险责任：</w:t>
            </w:r>
          </w:p>
        </w:tc>
      </w:tr>
    </w:tbl>
    <w:p>
      <w:pPr>
        <w:spacing w:after="0" w:line="255" w:lineRule="exact"/>
        <w:rPr>
          <w:sz w:val="21"/>
        </w:rPr>
        <w:sectPr>
          <w:pgSz w:w="11910" w:h="16840"/>
          <w:pgMar w:header="0" w:footer="925" w:top="1220" w:bottom="1200" w:left="860" w:right="940"/>
        </w:sectPr>
      </w:pPr>
    </w:p>
    <w:p>
      <w:pPr>
        <w:pStyle w:val="ListParagraph"/>
        <w:numPr>
          <w:ilvl w:val="1"/>
          <w:numId w:val="1"/>
        </w:numPr>
        <w:tabs>
          <w:tab w:pos="2022" w:val="left" w:leader="none"/>
        </w:tabs>
        <w:spacing w:line="240" w:lineRule="auto" w:before="17" w:after="0"/>
        <w:ind w:left="2021" w:right="0" w:hanging="317"/>
        <w:jc w:val="left"/>
        <w:rPr>
          <w:sz w:val="21"/>
        </w:rPr>
      </w:pPr>
      <w:r>
        <w:rPr>
          <w:spacing w:val="-3"/>
          <w:sz w:val="21"/>
        </w:rPr>
        <w:t>轻型疾病保险金</w:t>
      </w:r>
    </w:p>
    <w:p>
      <w:pPr>
        <w:pStyle w:val="BodyText"/>
        <w:spacing w:before="8"/>
        <w:rPr>
          <w:sz w:val="18"/>
        </w:rPr>
      </w:pPr>
    </w:p>
    <w:p>
      <w:pPr>
        <w:pStyle w:val="ListParagraph"/>
        <w:numPr>
          <w:ilvl w:val="0"/>
          <w:numId w:val="12"/>
        </w:numPr>
        <w:tabs>
          <w:tab w:pos="2425" w:val="left" w:leader="none"/>
        </w:tabs>
        <w:spacing w:line="314" w:lineRule="auto" w:before="0" w:after="0"/>
        <w:ind w:left="2425" w:right="116" w:hanging="721"/>
        <w:jc w:val="left"/>
        <w:rPr>
          <w:sz w:val="21"/>
        </w:rPr>
      </w:pPr>
      <w:r>
        <w:rPr>
          <w:sz w:val="21"/>
        </w:rPr>
        <w:t>若被保险人于本合同生效之日或最后复效之日（以较迟者为准</w:t>
      </w:r>
      <w:r>
        <w:rPr>
          <w:spacing w:val="2"/>
          <w:sz w:val="21"/>
        </w:rPr>
        <w:t>）</w:t>
      </w:r>
      <w:r>
        <w:rPr>
          <w:sz w:val="21"/>
        </w:rPr>
        <w:t>起</w:t>
      </w:r>
      <w:r>
        <w:rPr>
          <w:spacing w:val="-3"/>
          <w:sz w:val="21"/>
        </w:rPr>
        <w:t>90 </w:t>
      </w:r>
      <w:r>
        <w:rPr>
          <w:spacing w:val="-44"/>
          <w:w w:val="100"/>
          <w:sz w:val="21"/>
        </w:rPr>
        <w:t>天</w:t>
      </w:r>
      <w:r>
        <w:rPr>
          <w:w w:val="100"/>
          <w:sz w:val="21"/>
        </w:rPr>
        <w:t>（</w:t>
      </w:r>
      <w:r>
        <w:rPr>
          <w:spacing w:val="-3"/>
          <w:w w:val="100"/>
          <w:sz w:val="21"/>
        </w:rPr>
        <w:t>含</w:t>
      </w:r>
      <w:r>
        <w:rPr>
          <w:spacing w:val="-149"/>
          <w:w w:val="100"/>
          <w:sz w:val="21"/>
        </w:rPr>
        <w:t>）</w:t>
      </w:r>
      <w:r>
        <w:rPr>
          <w:spacing w:val="-3"/>
          <w:w w:val="100"/>
          <w:sz w:val="21"/>
        </w:rPr>
        <w:t>（</w:t>
      </w:r>
      <w:r>
        <w:rPr>
          <w:b/>
          <w:w w:val="100"/>
          <w:sz w:val="21"/>
        </w:rPr>
        <w:t>此</w:t>
      </w:r>
      <w:r>
        <w:rPr>
          <w:b/>
          <w:w w:val="99"/>
          <w:sz w:val="21"/>
        </w:rPr>
        <w:t>90</w:t>
      </w:r>
      <w:r>
        <w:rPr>
          <w:b/>
          <w:spacing w:val="-1"/>
          <w:w w:val="100"/>
          <w:sz w:val="21"/>
        </w:rPr>
        <w:t>天称为等待期</w:t>
      </w:r>
      <w:r>
        <w:rPr>
          <w:spacing w:val="-44"/>
          <w:w w:val="100"/>
          <w:sz w:val="21"/>
        </w:rPr>
        <w:t>）</w:t>
      </w:r>
      <w:r>
        <w:rPr>
          <w:spacing w:val="-3"/>
          <w:w w:val="100"/>
          <w:sz w:val="21"/>
        </w:rPr>
        <w:t>内因</w:t>
      </w:r>
      <w:r>
        <w:rPr>
          <w:b/>
          <w:w w:val="100"/>
          <w:sz w:val="21"/>
        </w:rPr>
        <w:t>意外伤害事故</w:t>
      </w:r>
      <w:r>
        <w:rPr>
          <w:spacing w:val="-1"/>
          <w:w w:val="100"/>
          <w:sz w:val="21"/>
        </w:rPr>
        <w:t>(见</w:t>
      </w:r>
      <w:r>
        <w:rPr>
          <w:w w:val="100"/>
          <w:sz w:val="21"/>
        </w:rPr>
        <w:t>10.5</w:t>
      </w:r>
      <w:r>
        <w:rPr>
          <w:spacing w:val="-3"/>
          <w:w w:val="100"/>
          <w:sz w:val="21"/>
        </w:rPr>
        <w:t>)以外的原因，</w:t>
      </w:r>
      <w:r>
        <w:rPr>
          <w:sz w:val="21"/>
        </w:rPr>
        <w:t>首次发生并在本公司认可的</w:t>
      </w:r>
      <w:r>
        <w:rPr>
          <w:b/>
          <w:spacing w:val="0"/>
          <w:sz w:val="21"/>
        </w:rPr>
        <w:t>医院</w:t>
      </w:r>
      <w:r>
        <w:rPr>
          <w:sz w:val="21"/>
        </w:rPr>
        <w:t>(见10.6)由</w:t>
      </w:r>
      <w:r>
        <w:rPr>
          <w:b/>
          <w:spacing w:val="0"/>
          <w:sz w:val="21"/>
        </w:rPr>
        <w:t>专科医生</w:t>
      </w:r>
      <w:r>
        <w:rPr>
          <w:sz w:val="21"/>
        </w:rPr>
        <w:t>(见10.7)确诊患本合同所列的任何一种或多种</w:t>
      </w:r>
      <w:r>
        <w:rPr>
          <w:b/>
          <w:sz w:val="21"/>
        </w:rPr>
        <w:t>轻型疾病</w:t>
      </w:r>
      <w:r>
        <w:rPr>
          <w:sz w:val="21"/>
        </w:rPr>
        <w:t>(见10.8)，</w:t>
      </w:r>
      <w:r>
        <w:rPr>
          <w:b/>
          <w:sz w:val="21"/>
        </w:rPr>
        <w:t>我们不承担给付轻</w:t>
      </w:r>
      <w:r>
        <w:rPr>
          <w:b/>
          <w:spacing w:val="-1"/>
          <w:sz w:val="21"/>
        </w:rPr>
        <w:t>型疾病保险金的责任</w:t>
      </w:r>
      <w:r>
        <w:rPr>
          <w:spacing w:val="-3"/>
          <w:sz w:val="21"/>
        </w:rPr>
        <w:t>，同时本合同继续有效；</w:t>
      </w:r>
    </w:p>
    <w:p>
      <w:pPr>
        <w:pStyle w:val="ListParagraph"/>
        <w:numPr>
          <w:ilvl w:val="0"/>
          <w:numId w:val="12"/>
        </w:numPr>
        <w:tabs>
          <w:tab w:pos="2425" w:val="left" w:leader="none"/>
        </w:tabs>
        <w:spacing w:line="314" w:lineRule="auto" w:before="139" w:after="0"/>
        <w:ind w:left="2425" w:right="215"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以较迟者为准）起90天后因意外伤害事故以外的原因，首次发生并在本公司认可的医院由专科医生确诊患本合同所列的任何一种或多种轻型</w:t>
      </w:r>
      <w:r>
        <w:rPr>
          <w:spacing w:val="2"/>
          <w:sz w:val="21"/>
        </w:rPr>
        <w:t>疾病，我们将按本合同约定的基本保险金额的</w:t>
      </w:r>
      <w:r>
        <w:rPr>
          <w:sz w:val="21"/>
        </w:rPr>
        <w:t>20</w:t>
      </w:r>
      <w:r>
        <w:rPr>
          <w:spacing w:val="2"/>
          <w:sz w:val="21"/>
        </w:rPr>
        <w:t>%给付轻型疾病保险</w:t>
      </w:r>
      <w:r>
        <w:rPr>
          <w:spacing w:val="-3"/>
          <w:sz w:val="21"/>
        </w:rPr>
        <w:t>金，同时本合同继续有效。</w:t>
      </w:r>
    </w:p>
    <w:p>
      <w:pPr>
        <w:pStyle w:val="Heading1"/>
        <w:spacing w:line="271" w:lineRule="auto" w:before="120"/>
        <w:ind w:left="1704" w:right="200"/>
        <w:jc w:val="both"/>
      </w:pPr>
      <w:r>
        <w:rPr>
          <w:spacing w:val="1"/>
        </w:rPr>
        <w:t>每种轻型疾病只给付一次轻型疾病保险金，给付后该种轻型疾病保险责任终</w:t>
      </w:r>
      <w:r>
        <w:rPr>
          <w:spacing w:val="-5"/>
        </w:rPr>
        <w:t>止，本合同的轻型疾病保险金累计给付以三次为限。累计达到三次后，我们对</w:t>
      </w:r>
      <w:r>
        <w:rPr>
          <w:spacing w:val="-3"/>
        </w:rPr>
        <w:t>被保险人的轻型疾病保险责任终止，同时本合同继续有效。</w:t>
      </w:r>
    </w:p>
    <w:p>
      <w:pPr>
        <w:spacing w:line="273" w:lineRule="auto" w:before="165"/>
        <w:ind w:left="1704" w:right="207" w:firstLine="0"/>
        <w:jc w:val="both"/>
        <w:rPr>
          <w:b/>
          <w:sz w:val="21"/>
        </w:rPr>
      </w:pPr>
      <w:r>
        <w:rPr>
          <w:b/>
          <w:sz w:val="21"/>
        </w:rPr>
        <w:t>如果被保险人因同一原因或在同一事故中导致其发生本合同所列的两种或两种以上的轻型疾病，我们仅按其中一种轻型疾病给付轻型疾病保险金。</w:t>
      </w:r>
    </w:p>
    <w:p>
      <w:pPr>
        <w:pStyle w:val="BodyText"/>
        <w:spacing w:before="9"/>
        <w:rPr>
          <w:b/>
          <w:sz w:val="16"/>
        </w:rPr>
      </w:pPr>
    </w:p>
    <w:p>
      <w:pPr>
        <w:pStyle w:val="ListParagraph"/>
        <w:numPr>
          <w:ilvl w:val="1"/>
          <w:numId w:val="1"/>
        </w:numPr>
        <w:tabs>
          <w:tab w:pos="2022" w:val="left" w:leader="none"/>
        </w:tabs>
        <w:spacing w:line="240" w:lineRule="auto" w:before="0" w:after="0"/>
        <w:ind w:left="2021" w:right="0" w:hanging="317"/>
        <w:jc w:val="left"/>
        <w:rPr>
          <w:sz w:val="21"/>
        </w:rPr>
      </w:pPr>
      <w:r>
        <w:rPr>
          <w:spacing w:val="-3"/>
          <w:sz w:val="21"/>
        </w:rPr>
        <w:t>轻型疾病豁免保险费</w:t>
      </w:r>
    </w:p>
    <w:p>
      <w:pPr>
        <w:pStyle w:val="BodyText"/>
        <w:spacing w:before="2"/>
        <w:rPr>
          <w:sz w:val="14"/>
        </w:rPr>
      </w:pPr>
    </w:p>
    <w:p>
      <w:pPr>
        <w:pStyle w:val="BodyText"/>
        <w:spacing w:line="273" w:lineRule="auto"/>
        <w:ind w:left="1704" w:right="226"/>
        <w:jc w:val="both"/>
      </w:pPr>
      <w:r>
        <w:rPr>
          <w:spacing w:val="-5"/>
        </w:rPr>
        <w:t>若本合同尚未豁免保险费，则我们在给付第一次轻型疾病保险金后，自该种轻</w:t>
      </w:r>
      <w:r>
        <w:rPr/>
        <w:t>型疾病确诊之日后的首个保险费约定交纳日开始,将豁免本合同余下各期保险</w:t>
      </w:r>
      <w:r>
        <w:rPr>
          <w:spacing w:val="-3"/>
        </w:rPr>
        <w:t>费，同时本合同继续有效。</w:t>
      </w:r>
    </w:p>
    <w:p>
      <w:pPr>
        <w:pStyle w:val="ListParagraph"/>
        <w:numPr>
          <w:ilvl w:val="1"/>
          <w:numId w:val="1"/>
        </w:numPr>
        <w:tabs>
          <w:tab w:pos="2022" w:val="left" w:leader="none"/>
        </w:tabs>
        <w:spacing w:line="240" w:lineRule="auto" w:before="163" w:after="0"/>
        <w:ind w:left="2021" w:right="0" w:hanging="317"/>
        <w:jc w:val="left"/>
        <w:rPr>
          <w:sz w:val="21"/>
        </w:rPr>
      </w:pPr>
      <w:r>
        <w:rPr>
          <w:spacing w:val="-3"/>
          <w:sz w:val="21"/>
        </w:rPr>
        <w:t>住院关爱津贴保险金</w:t>
      </w:r>
    </w:p>
    <w:p>
      <w:pPr>
        <w:pStyle w:val="BodyText"/>
        <w:spacing w:before="9"/>
        <w:rPr>
          <w:sz w:val="14"/>
        </w:rPr>
      </w:pPr>
    </w:p>
    <w:p>
      <w:pPr>
        <w:pStyle w:val="BodyText"/>
        <w:spacing w:line="273" w:lineRule="auto" w:before="1"/>
        <w:ind w:left="1704" w:right="196"/>
        <w:jc w:val="both"/>
      </w:pPr>
      <w:r>
        <w:rPr>
          <w:w w:val="100"/>
        </w:rPr>
        <w:t>若被保险人在年满6</w:t>
      </w:r>
      <w:r>
        <w:rPr>
          <w:spacing w:val="1"/>
          <w:w w:val="100"/>
        </w:rPr>
        <w:t>0</w:t>
      </w:r>
      <w:r>
        <w:rPr>
          <w:w w:val="100"/>
        </w:rPr>
        <w:t>周岁前未患本合同所列的任何一种</w:t>
      </w:r>
      <w:r>
        <w:rPr>
          <w:b/>
          <w:spacing w:val="1"/>
          <w:w w:val="100"/>
        </w:rPr>
        <w:t>重大疾病</w:t>
      </w:r>
      <w:r>
        <w:rPr>
          <w:spacing w:val="1"/>
          <w:w w:val="100"/>
        </w:rPr>
        <w:t>（见</w:t>
      </w:r>
      <w:r>
        <w:rPr>
          <w:spacing w:val="-3"/>
          <w:w w:val="100"/>
        </w:rPr>
        <w:t>1</w:t>
      </w:r>
      <w:r>
        <w:rPr>
          <w:w w:val="100"/>
        </w:rPr>
        <w:t>0</w:t>
      </w:r>
      <w:r>
        <w:rPr>
          <w:spacing w:val="-1"/>
          <w:w w:val="100"/>
        </w:rPr>
        <w:t>.</w:t>
      </w:r>
      <w:r>
        <w:rPr>
          <w:w w:val="100"/>
        </w:rPr>
        <w:t>9</w:t>
      </w:r>
      <w:r>
        <w:rPr>
          <w:spacing w:val="-101"/>
          <w:w w:val="100"/>
        </w:rPr>
        <w:t>）</w:t>
      </w:r>
      <w:r>
        <w:rPr>
          <w:w w:val="100"/>
        </w:rPr>
        <w:t>，</w:t>
      </w:r>
      <w:r>
        <w:rPr>
          <w:spacing w:val="-3"/>
        </w:rPr>
        <w:t>则自被保险人年满</w:t>
      </w:r>
      <w:r>
        <w:rPr/>
        <w:t>60</w:t>
      </w:r>
      <w:r>
        <w:rPr>
          <w:spacing w:val="-3"/>
        </w:rPr>
        <w:t>周岁后经本公司认可的医院诊断必须住院治疗的，我们将</w:t>
      </w:r>
      <w:r>
        <w:rPr/>
        <w:t>按本合同约定的基本保险金额的0.1%乘以</w:t>
      </w:r>
      <w:r>
        <w:rPr>
          <w:b/>
        </w:rPr>
        <w:t>住院天数</w:t>
      </w:r>
      <w:r>
        <w:rPr/>
        <w:t>（见10.10）给付住院关爱</w:t>
      </w:r>
      <w:r>
        <w:rPr>
          <w:spacing w:val="-2"/>
        </w:rPr>
        <w:t>津贴保险金。</w:t>
      </w:r>
    </w:p>
    <w:p>
      <w:pPr>
        <w:pStyle w:val="BodyText"/>
        <w:spacing w:before="5"/>
        <w:rPr>
          <w:sz w:val="24"/>
        </w:rPr>
      </w:pPr>
    </w:p>
    <w:p>
      <w:pPr>
        <w:pStyle w:val="Heading1"/>
        <w:spacing w:line="273" w:lineRule="auto"/>
        <w:ind w:left="1704" w:right="203"/>
        <w:jc w:val="both"/>
      </w:pPr>
      <w:r>
        <w:rPr/>
        <w:t>本合同保险期间内累计给付的住院关爱津贴保险金达到本合同约定的基本保险金额的 30%时，本项保险责任终止，同时本合同继续有效。</w:t>
      </w:r>
    </w:p>
    <w:p>
      <w:pPr>
        <w:pStyle w:val="BodyText"/>
        <w:spacing w:before="8"/>
        <w:rPr>
          <w:b/>
          <w:sz w:val="16"/>
        </w:rPr>
      </w:pPr>
    </w:p>
    <w:p>
      <w:pPr>
        <w:pStyle w:val="ListParagraph"/>
        <w:numPr>
          <w:ilvl w:val="1"/>
          <w:numId w:val="1"/>
        </w:numPr>
        <w:tabs>
          <w:tab w:pos="2022" w:val="left" w:leader="none"/>
        </w:tabs>
        <w:spacing w:line="240" w:lineRule="auto" w:before="1" w:after="0"/>
        <w:ind w:left="2021" w:right="0" w:hanging="317"/>
        <w:jc w:val="left"/>
        <w:rPr>
          <w:sz w:val="21"/>
        </w:rPr>
      </w:pPr>
      <w:r>
        <w:rPr>
          <w:spacing w:val="-3"/>
          <w:sz w:val="21"/>
        </w:rPr>
        <w:t>重大疾病保险金</w:t>
      </w:r>
    </w:p>
    <w:p>
      <w:pPr>
        <w:pStyle w:val="BodyText"/>
        <w:spacing w:before="5"/>
        <w:rPr>
          <w:sz w:val="18"/>
        </w:rPr>
      </w:pPr>
    </w:p>
    <w:p>
      <w:pPr>
        <w:pStyle w:val="ListParagraph"/>
        <w:numPr>
          <w:ilvl w:val="0"/>
          <w:numId w:val="13"/>
        </w:numPr>
        <w:tabs>
          <w:tab w:pos="2425" w:val="left" w:leader="none"/>
        </w:tabs>
        <w:spacing w:line="314" w:lineRule="auto" w:before="1" w:after="0"/>
        <w:ind w:left="2425" w:right="222" w:hanging="721"/>
        <w:jc w:val="both"/>
        <w:rPr>
          <w:sz w:val="21"/>
        </w:rPr>
      </w:pPr>
      <w:r>
        <w:rPr>
          <w:sz w:val="21"/>
        </w:rPr>
        <w:t>若被保险人于本合同生效之日或最后复效之日（以较迟者为准）起90 </w:t>
      </w:r>
      <w:r>
        <w:rPr>
          <w:spacing w:val="-5"/>
          <w:w w:val="100"/>
          <w:sz w:val="21"/>
        </w:rPr>
        <w:t>天</w:t>
      </w:r>
      <w:r>
        <w:rPr>
          <w:w w:val="100"/>
          <w:sz w:val="21"/>
        </w:rPr>
        <w:t>（含</w:t>
      </w:r>
      <w:r>
        <w:rPr>
          <w:spacing w:val="-113"/>
          <w:w w:val="100"/>
          <w:sz w:val="21"/>
        </w:rPr>
        <w:t>）</w:t>
      </w:r>
      <w:r>
        <w:rPr>
          <w:b/>
          <w:w w:val="100"/>
          <w:sz w:val="21"/>
        </w:rPr>
        <w:t>（等待期</w:t>
      </w:r>
      <w:r>
        <w:rPr>
          <w:b/>
          <w:spacing w:val="-5"/>
          <w:w w:val="100"/>
          <w:sz w:val="21"/>
        </w:rPr>
        <w:t>）</w:t>
      </w:r>
      <w:r>
        <w:rPr>
          <w:spacing w:val="-4"/>
          <w:w w:val="100"/>
          <w:sz w:val="21"/>
        </w:rPr>
        <w:t>内因意外伤害事故以外的原因，首次发生并在本公</w:t>
      </w:r>
      <w:r>
        <w:rPr>
          <w:sz w:val="21"/>
        </w:rPr>
        <w:t>司认可的医院由专科医生确诊患本合同所列的任何一种重大疾病，我们将按本合同的</w:t>
      </w:r>
      <w:r>
        <w:rPr>
          <w:b/>
          <w:sz w:val="21"/>
        </w:rPr>
        <w:t>累计所交保险费</w:t>
      </w:r>
      <w:r>
        <w:rPr>
          <w:sz w:val="21"/>
        </w:rPr>
        <w:t>（不计息）给付重大疾病保险金，同</w:t>
      </w:r>
      <w:r>
        <w:rPr>
          <w:spacing w:val="-3"/>
          <w:sz w:val="21"/>
        </w:rPr>
        <w:t>时本合同效力终止；</w:t>
      </w:r>
    </w:p>
    <w:p>
      <w:pPr>
        <w:pStyle w:val="ListParagraph"/>
        <w:numPr>
          <w:ilvl w:val="0"/>
          <w:numId w:val="13"/>
        </w:numPr>
        <w:tabs>
          <w:tab w:pos="2425" w:val="left" w:leader="none"/>
        </w:tabs>
        <w:spacing w:line="314" w:lineRule="auto" w:before="140" w:after="0"/>
        <w:ind w:left="2425" w:right="222"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以较迟者为准）起90天后因意外伤害事故以外的原因，首次发生并在本公司认可的医院由专科医生确诊患本合同所列的任何一种重大疾病，</w:t>
      </w:r>
    </w:p>
    <w:p>
      <w:pPr>
        <w:spacing w:after="0" w:line="314" w:lineRule="auto"/>
        <w:jc w:val="both"/>
        <w:rPr>
          <w:sz w:val="21"/>
        </w:rPr>
        <w:sectPr>
          <w:pgSz w:w="11910" w:h="16840"/>
          <w:pgMar w:header="0" w:footer="925" w:top="1140" w:bottom="1200" w:left="1680" w:right="1180"/>
        </w:sectPr>
      </w:pPr>
    </w:p>
    <w:p>
      <w:pPr>
        <w:spacing w:line="314" w:lineRule="auto" w:before="17"/>
        <w:ind w:left="2425" w:right="166" w:firstLine="0"/>
        <w:jc w:val="left"/>
        <w:rPr>
          <w:b/>
          <w:sz w:val="21"/>
        </w:rPr>
      </w:pPr>
      <w:r>
        <w:rPr>
          <w:sz w:val="21"/>
        </w:rPr>
        <w:t>我们将按以下三者较大者给付重大疾病保险金，</w:t>
      </w:r>
      <w:r>
        <w:rPr>
          <w:b/>
          <w:sz w:val="21"/>
        </w:rPr>
        <w:t>同时本项保险责任终止，本合同现金价值减少为零，本合同继续有效。</w:t>
      </w:r>
    </w:p>
    <w:p>
      <w:pPr>
        <w:pStyle w:val="BodyText"/>
        <w:spacing w:before="85"/>
        <w:ind w:left="2125"/>
      </w:pPr>
      <w:r>
        <w:rPr/>
        <w:t>① 本合同约定的基本保险金额；</w:t>
      </w:r>
    </w:p>
    <w:p>
      <w:pPr>
        <w:pStyle w:val="BodyText"/>
        <w:spacing w:before="9"/>
        <w:rPr>
          <w:sz w:val="14"/>
        </w:rPr>
      </w:pPr>
    </w:p>
    <w:p>
      <w:pPr>
        <w:pStyle w:val="BodyText"/>
        <w:spacing w:before="1"/>
        <w:ind w:left="2125"/>
      </w:pPr>
      <w:r>
        <w:rPr/>
        <w:t>② 被保险人重大疾病确诊之日本合同现金价值；</w:t>
      </w:r>
    </w:p>
    <w:p>
      <w:pPr>
        <w:pStyle w:val="BodyText"/>
        <w:spacing w:before="10"/>
        <w:rPr>
          <w:sz w:val="14"/>
        </w:rPr>
      </w:pPr>
    </w:p>
    <w:p>
      <w:pPr>
        <w:pStyle w:val="BodyText"/>
        <w:ind w:left="2125"/>
      </w:pPr>
      <w:r>
        <w:rPr/>
        <w:t>③ 累计所交保险费（不计息）。</w:t>
      </w:r>
    </w:p>
    <w:p>
      <w:pPr>
        <w:pStyle w:val="BodyText"/>
        <w:spacing w:before="9"/>
        <w:rPr>
          <w:sz w:val="14"/>
        </w:rPr>
      </w:pPr>
    </w:p>
    <w:p>
      <w:pPr>
        <w:pStyle w:val="Heading1"/>
        <w:spacing w:line="273" w:lineRule="auto" w:before="1"/>
        <w:ind w:left="1704" w:right="112"/>
      </w:pPr>
      <w:r>
        <w:rPr/>
        <w:t>如果在给付重大疾病保险金前，我们已依本合同给付过住院关爱津贴保险金， 则在给付重大疾病保险金时，需扣除已给付的住院关爱津贴保险金。</w:t>
      </w:r>
    </w:p>
    <w:p>
      <w:pPr>
        <w:spacing w:line="273" w:lineRule="auto" w:before="164"/>
        <w:ind w:left="1704" w:right="88" w:firstLine="0"/>
        <w:jc w:val="left"/>
        <w:rPr>
          <w:sz w:val="21"/>
        </w:rPr>
      </w:pPr>
      <w:r>
        <w:rPr>
          <w:b/>
          <w:sz w:val="21"/>
        </w:rPr>
        <w:t>在给付重大疾病保险金后，我们将不再承担轻型疾病保险金、住院关爱津贴保险金、全残保险金、身故保险金中的任何一项保险责任</w:t>
      </w:r>
      <w:r>
        <w:rPr>
          <w:sz w:val="21"/>
        </w:rPr>
        <w:t>。</w:t>
      </w:r>
    </w:p>
    <w:p>
      <w:pPr>
        <w:pStyle w:val="BodyText"/>
        <w:spacing w:before="9"/>
        <w:rPr>
          <w:sz w:val="16"/>
        </w:rPr>
      </w:pPr>
    </w:p>
    <w:p>
      <w:pPr>
        <w:pStyle w:val="ListParagraph"/>
        <w:numPr>
          <w:ilvl w:val="1"/>
          <w:numId w:val="1"/>
        </w:numPr>
        <w:tabs>
          <w:tab w:pos="2022" w:val="left" w:leader="none"/>
        </w:tabs>
        <w:spacing w:line="240" w:lineRule="auto" w:before="0" w:after="0"/>
        <w:ind w:left="2021" w:right="0" w:hanging="317"/>
        <w:jc w:val="left"/>
        <w:rPr>
          <w:sz w:val="21"/>
        </w:rPr>
      </w:pPr>
      <w:r>
        <w:rPr>
          <w:spacing w:val="-3"/>
          <w:sz w:val="21"/>
        </w:rPr>
        <w:t>重大疾病豁免保险费</w:t>
      </w:r>
    </w:p>
    <w:p>
      <w:pPr>
        <w:pStyle w:val="BodyText"/>
        <w:spacing w:before="2"/>
        <w:rPr>
          <w:sz w:val="14"/>
        </w:rPr>
      </w:pPr>
    </w:p>
    <w:p>
      <w:pPr>
        <w:pStyle w:val="BodyText"/>
        <w:spacing w:line="273" w:lineRule="auto"/>
        <w:ind w:left="1704" w:right="138"/>
        <w:jc w:val="both"/>
      </w:pPr>
      <w:r>
        <w:rPr/>
        <w:t>若本合同尚未豁免保险费，则我们在给付重大疾病保险金后，自该种重大疾病确诊之日后的首个保险费约定交纳日开始，将豁免本合同余下各期保险费，同时本合同继续有效。</w:t>
      </w:r>
    </w:p>
    <w:p>
      <w:pPr>
        <w:pStyle w:val="ListParagraph"/>
        <w:numPr>
          <w:ilvl w:val="1"/>
          <w:numId w:val="1"/>
        </w:numPr>
        <w:tabs>
          <w:tab w:pos="2022" w:val="left" w:leader="none"/>
        </w:tabs>
        <w:spacing w:line="240" w:lineRule="auto" w:before="163" w:after="0"/>
        <w:ind w:left="2021" w:right="0" w:hanging="317"/>
        <w:jc w:val="left"/>
        <w:rPr>
          <w:sz w:val="21"/>
        </w:rPr>
      </w:pPr>
      <w:r>
        <w:rPr>
          <w:spacing w:val="-3"/>
          <w:sz w:val="21"/>
        </w:rPr>
        <w:t>生命关爱金</w:t>
      </w:r>
    </w:p>
    <w:p>
      <w:pPr>
        <w:pStyle w:val="BodyText"/>
        <w:spacing w:before="12"/>
        <w:rPr>
          <w:sz w:val="18"/>
        </w:rPr>
      </w:pPr>
    </w:p>
    <w:p>
      <w:pPr>
        <w:pStyle w:val="ListParagraph"/>
        <w:numPr>
          <w:ilvl w:val="0"/>
          <w:numId w:val="14"/>
        </w:numPr>
        <w:tabs>
          <w:tab w:pos="2425" w:val="left" w:leader="none"/>
        </w:tabs>
        <w:spacing w:line="240" w:lineRule="auto" w:before="0" w:after="0"/>
        <w:ind w:left="2425" w:right="0" w:hanging="721"/>
        <w:jc w:val="left"/>
        <w:rPr>
          <w:sz w:val="21"/>
        </w:rPr>
      </w:pPr>
      <w:r>
        <w:rPr>
          <w:spacing w:val="2"/>
          <w:sz w:val="21"/>
        </w:rPr>
        <w:t>若被保险人已领取重大疾病保险金并且自重大疾病确诊之日起</w:t>
      </w:r>
      <w:r>
        <w:rPr>
          <w:sz w:val="21"/>
        </w:rPr>
        <w:t>365天</w:t>
      </w:r>
    </w:p>
    <w:p>
      <w:pPr>
        <w:spacing w:line="314" w:lineRule="auto" w:before="84"/>
        <w:ind w:left="2425" w:right="162" w:firstLine="0"/>
        <w:jc w:val="left"/>
        <w:rPr>
          <w:sz w:val="21"/>
        </w:rPr>
      </w:pPr>
      <w:r>
        <w:rPr>
          <w:sz w:val="21"/>
        </w:rPr>
        <w:t>（含）内身故，</w:t>
      </w:r>
      <w:r>
        <w:rPr>
          <w:b/>
          <w:sz w:val="21"/>
        </w:rPr>
        <w:t>我们将不承担给付生命关爱金的责任</w:t>
      </w:r>
      <w:r>
        <w:rPr>
          <w:sz w:val="21"/>
        </w:rPr>
        <w:t>，同时本合同效力终止。</w:t>
      </w:r>
    </w:p>
    <w:p>
      <w:pPr>
        <w:pStyle w:val="ListParagraph"/>
        <w:numPr>
          <w:ilvl w:val="0"/>
          <w:numId w:val="14"/>
        </w:numPr>
        <w:tabs>
          <w:tab w:pos="2425" w:val="left" w:leader="none"/>
        </w:tabs>
        <w:spacing w:line="314" w:lineRule="auto" w:before="139" w:after="0"/>
        <w:ind w:left="2425" w:right="150" w:hanging="721"/>
        <w:jc w:val="both"/>
        <w:rPr>
          <w:sz w:val="21"/>
        </w:rPr>
      </w:pPr>
      <w:r>
        <w:rPr>
          <w:spacing w:val="2"/>
          <w:sz w:val="21"/>
        </w:rPr>
        <w:t>若被保险人已领取重大疾病保险金并且自重大疾病确诊之日起</w:t>
      </w:r>
      <w:r>
        <w:rPr>
          <w:sz w:val="21"/>
        </w:rPr>
        <w:t>365天</w:t>
      </w:r>
      <w:r>
        <w:rPr>
          <w:spacing w:val="-3"/>
          <w:sz w:val="21"/>
        </w:rPr>
        <w:t>后身故，我们将按本合同约定的基本保险金额的</w:t>
      </w:r>
      <w:r>
        <w:rPr>
          <w:sz w:val="21"/>
        </w:rPr>
        <w:t>50</w:t>
      </w:r>
      <w:r>
        <w:rPr>
          <w:spacing w:val="-3"/>
          <w:sz w:val="21"/>
        </w:rPr>
        <w:t>%给付生命关爱金， 同时本合同效力终止。</w:t>
      </w:r>
    </w:p>
    <w:p>
      <w:pPr>
        <w:pStyle w:val="ListParagraph"/>
        <w:numPr>
          <w:ilvl w:val="1"/>
          <w:numId w:val="1"/>
        </w:numPr>
        <w:tabs>
          <w:tab w:pos="2022" w:val="left" w:leader="none"/>
        </w:tabs>
        <w:spacing w:line="240" w:lineRule="auto" w:before="84" w:after="0"/>
        <w:ind w:left="2021" w:right="0" w:hanging="317"/>
        <w:jc w:val="left"/>
        <w:rPr>
          <w:sz w:val="21"/>
        </w:rPr>
      </w:pPr>
      <w:r>
        <w:rPr>
          <w:spacing w:val="-3"/>
          <w:sz w:val="21"/>
        </w:rPr>
        <w:t>全残保险金</w:t>
      </w:r>
    </w:p>
    <w:p>
      <w:pPr>
        <w:pStyle w:val="BodyText"/>
        <w:spacing w:before="12"/>
        <w:rPr>
          <w:sz w:val="18"/>
        </w:rPr>
      </w:pPr>
    </w:p>
    <w:p>
      <w:pPr>
        <w:pStyle w:val="ListParagraph"/>
        <w:numPr>
          <w:ilvl w:val="0"/>
          <w:numId w:val="15"/>
        </w:numPr>
        <w:tabs>
          <w:tab w:pos="2425" w:val="left" w:leader="none"/>
        </w:tabs>
        <w:spacing w:line="314" w:lineRule="auto" w:before="0" w:after="0"/>
        <w:ind w:left="2425" w:right="162" w:hanging="721"/>
        <w:jc w:val="both"/>
        <w:rPr>
          <w:sz w:val="21"/>
        </w:rPr>
      </w:pPr>
      <w:r>
        <w:rPr>
          <w:sz w:val="21"/>
        </w:rPr>
        <w:t>若被保险人于本合同生效之日或最后复效之日（以较迟者为准）</w:t>
      </w:r>
      <w:r>
        <w:rPr>
          <w:spacing w:val="6"/>
          <w:sz w:val="21"/>
        </w:rPr>
        <w:t>起</w:t>
      </w:r>
      <w:r>
        <w:rPr>
          <w:spacing w:val="-3"/>
          <w:sz w:val="21"/>
        </w:rPr>
        <w:t>90 </w:t>
      </w:r>
      <w:r>
        <w:rPr>
          <w:spacing w:val="1"/>
          <w:w w:val="100"/>
          <w:sz w:val="21"/>
        </w:rPr>
        <w:t>天（含</w:t>
      </w:r>
      <w:r>
        <w:rPr>
          <w:spacing w:val="-106"/>
          <w:w w:val="100"/>
          <w:sz w:val="21"/>
        </w:rPr>
        <w:t>）</w:t>
      </w:r>
      <w:r>
        <w:rPr>
          <w:b/>
          <w:spacing w:val="1"/>
          <w:w w:val="100"/>
          <w:sz w:val="21"/>
        </w:rPr>
        <w:t>（等待期</w:t>
      </w:r>
      <w:r>
        <w:rPr>
          <w:b/>
          <w:spacing w:val="3"/>
          <w:w w:val="100"/>
          <w:sz w:val="21"/>
        </w:rPr>
        <w:t>）</w:t>
      </w:r>
      <w:r>
        <w:rPr>
          <w:w w:val="100"/>
          <w:sz w:val="21"/>
        </w:rPr>
        <w:t>内因意外伤害事故以外的原因导致</w:t>
      </w:r>
      <w:r>
        <w:rPr>
          <w:b/>
          <w:spacing w:val="1"/>
          <w:w w:val="100"/>
          <w:sz w:val="21"/>
        </w:rPr>
        <w:t>全残</w:t>
      </w:r>
      <w:r>
        <w:rPr>
          <w:b/>
          <w:spacing w:val="-104"/>
          <w:w w:val="100"/>
          <w:sz w:val="21"/>
        </w:rPr>
        <w:t>（</w:t>
      </w:r>
      <w:r>
        <w:rPr>
          <w:b/>
          <w:w w:val="100"/>
          <w:sz w:val="21"/>
        </w:rPr>
        <w:t>《人身保</w:t>
      </w:r>
      <w:r>
        <w:rPr>
          <w:b/>
          <w:spacing w:val="-10"/>
          <w:w w:val="100"/>
          <w:sz w:val="21"/>
        </w:rPr>
        <w:t>险伤残评定标准及代码》</w:t>
      </w:r>
      <w:r>
        <w:rPr>
          <w:w w:val="100"/>
          <w:sz w:val="21"/>
        </w:rPr>
        <w:t>（</w:t>
      </w:r>
      <w:r>
        <w:rPr>
          <w:spacing w:val="1"/>
          <w:w w:val="100"/>
          <w:sz w:val="21"/>
        </w:rPr>
        <w:t>见</w:t>
      </w:r>
      <w:r>
        <w:rPr>
          <w:w w:val="100"/>
          <w:sz w:val="21"/>
        </w:rPr>
        <w:t>10.</w:t>
      </w:r>
      <w:r>
        <w:rPr>
          <w:spacing w:val="-3"/>
          <w:w w:val="100"/>
          <w:sz w:val="21"/>
        </w:rPr>
        <w:t>1</w:t>
      </w:r>
      <w:r>
        <w:rPr>
          <w:spacing w:val="1"/>
          <w:w w:val="100"/>
          <w:sz w:val="21"/>
        </w:rPr>
        <w:t>1</w:t>
      </w:r>
      <w:r>
        <w:rPr>
          <w:w w:val="100"/>
          <w:sz w:val="21"/>
        </w:rPr>
        <w:t>）</w:t>
      </w:r>
      <w:r>
        <w:rPr>
          <w:b/>
          <w:spacing w:val="1"/>
          <w:w w:val="100"/>
          <w:sz w:val="21"/>
        </w:rPr>
        <w:t>所列伤残等级为</w:t>
      </w:r>
      <w:r>
        <w:rPr>
          <w:b/>
          <w:spacing w:val="1"/>
          <w:w w:val="99"/>
          <w:sz w:val="21"/>
        </w:rPr>
        <w:t>1</w:t>
      </w:r>
      <w:r>
        <w:rPr>
          <w:b/>
          <w:spacing w:val="1"/>
          <w:w w:val="100"/>
          <w:sz w:val="21"/>
        </w:rPr>
        <w:t>级的</w:t>
      </w:r>
      <w:r>
        <w:rPr>
          <w:b/>
          <w:spacing w:val="-101"/>
          <w:w w:val="100"/>
          <w:sz w:val="21"/>
        </w:rPr>
        <w:t>）</w:t>
      </w:r>
      <w:r>
        <w:rPr>
          <w:w w:val="100"/>
          <w:sz w:val="21"/>
        </w:rPr>
        <w:t>，我们将</w:t>
      </w:r>
      <w:r>
        <w:rPr>
          <w:sz w:val="21"/>
        </w:rPr>
        <w:t>按本合同的</w:t>
      </w:r>
      <w:r>
        <w:rPr>
          <w:b/>
          <w:sz w:val="21"/>
        </w:rPr>
        <w:t>累计所交保险费</w:t>
      </w:r>
      <w:r>
        <w:rPr>
          <w:sz w:val="21"/>
        </w:rPr>
        <w:t>（不计息）给付全残保险金，同时本合同</w:t>
      </w:r>
      <w:r>
        <w:rPr>
          <w:spacing w:val="-1"/>
          <w:sz w:val="21"/>
        </w:rPr>
        <w:t>效力终止；</w:t>
      </w:r>
    </w:p>
    <w:p>
      <w:pPr>
        <w:pStyle w:val="ListParagraph"/>
        <w:numPr>
          <w:ilvl w:val="0"/>
          <w:numId w:val="15"/>
        </w:numPr>
        <w:tabs>
          <w:tab w:pos="2425" w:val="left" w:leader="none"/>
        </w:tabs>
        <w:spacing w:line="314" w:lineRule="auto" w:before="140" w:after="0"/>
        <w:ind w:left="2425" w:right="162"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以较迟者为准）起90天后因意外伤害事故以外的原因导致全残，我们按</w:t>
      </w:r>
      <w:r>
        <w:rPr>
          <w:spacing w:val="-3"/>
          <w:sz w:val="21"/>
        </w:rPr>
        <w:t>以下三者较大者给付全残保险金，同时本合同效力终止。</w:t>
      </w:r>
    </w:p>
    <w:p>
      <w:pPr>
        <w:pStyle w:val="BodyText"/>
        <w:spacing w:before="85"/>
        <w:ind w:left="2125"/>
      </w:pPr>
      <w:r>
        <w:rPr/>
        <w:t>① 本合同约定的基本保险金额；</w:t>
      </w:r>
    </w:p>
    <w:p>
      <w:pPr>
        <w:pStyle w:val="BodyText"/>
        <w:spacing w:before="9"/>
        <w:rPr>
          <w:sz w:val="14"/>
        </w:rPr>
      </w:pPr>
    </w:p>
    <w:p>
      <w:pPr>
        <w:pStyle w:val="BodyText"/>
        <w:ind w:left="2125"/>
      </w:pPr>
      <w:r>
        <w:rPr/>
        <w:t>② 被保险人全残时本合同现金价值；</w:t>
      </w:r>
    </w:p>
    <w:p>
      <w:pPr>
        <w:pStyle w:val="BodyText"/>
        <w:spacing w:before="9"/>
        <w:rPr>
          <w:sz w:val="14"/>
        </w:rPr>
      </w:pPr>
    </w:p>
    <w:p>
      <w:pPr>
        <w:pStyle w:val="BodyText"/>
        <w:ind w:left="2125"/>
      </w:pPr>
      <w:r>
        <w:rPr/>
        <w:t>③ 累计所交保险费（不计息）。</w:t>
      </w:r>
    </w:p>
    <w:p>
      <w:pPr>
        <w:pStyle w:val="BodyText"/>
        <w:spacing w:before="9"/>
        <w:rPr>
          <w:sz w:val="14"/>
        </w:rPr>
      </w:pPr>
    </w:p>
    <w:p>
      <w:pPr>
        <w:pStyle w:val="Heading1"/>
        <w:spacing w:line="273" w:lineRule="auto"/>
        <w:ind w:left="1704" w:right="99"/>
      </w:pPr>
      <w:r>
        <w:rPr/>
        <w:t>如果在给付全残保险金前，我们已依本合同给付过住院关爱津贴保险金，则在给付全残保险金时，需扣除已给付的住院关爱津贴保险金。</w:t>
      </w:r>
    </w:p>
    <w:p>
      <w:pPr>
        <w:spacing w:after="0" w:line="273" w:lineRule="auto"/>
        <w:sectPr>
          <w:pgSz w:w="11910" w:h="16840"/>
          <w:pgMar w:header="0" w:footer="925" w:top="1140" w:bottom="1200" w:left="1680" w:right="12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417"/>
        <w:gridCol w:w="7674"/>
      </w:tblGrid>
      <w:tr>
        <w:trPr>
          <w:trHeight w:val="9185" w:hRule="atLeast"/>
        </w:trPr>
        <w:tc>
          <w:tcPr>
            <w:tcW w:w="755" w:type="dxa"/>
          </w:tcPr>
          <w:p>
            <w:pPr>
              <w:pStyle w:val="TableParagraph"/>
              <w:rPr>
                <w:rFonts w:ascii="Times New Roman"/>
                <w:sz w:val="20"/>
              </w:rPr>
            </w:pPr>
          </w:p>
        </w:tc>
        <w:tc>
          <w:tcPr>
            <w:tcW w:w="1417" w:type="dxa"/>
          </w:tcPr>
          <w:p>
            <w:pPr>
              <w:pStyle w:val="TableParagraph"/>
              <w:rPr>
                <w:rFonts w:ascii="Times New Roman"/>
                <w:sz w:val="20"/>
              </w:rPr>
            </w:pPr>
          </w:p>
        </w:tc>
        <w:tc>
          <w:tcPr>
            <w:tcW w:w="7674" w:type="dxa"/>
          </w:tcPr>
          <w:p>
            <w:pPr>
              <w:pStyle w:val="TableParagraph"/>
              <w:spacing w:line="211" w:lineRule="exact"/>
              <w:ind w:left="334"/>
              <w:rPr>
                <w:sz w:val="21"/>
              </w:rPr>
            </w:pPr>
            <w:r>
              <w:rPr>
                <w:sz w:val="21"/>
              </w:rPr>
              <w:t>8.身故保险金</w:t>
            </w:r>
          </w:p>
          <w:p>
            <w:pPr>
              <w:pStyle w:val="TableParagraph"/>
              <w:rPr>
                <w:b/>
                <w:sz w:val="19"/>
              </w:rPr>
            </w:pPr>
          </w:p>
          <w:p>
            <w:pPr>
              <w:pStyle w:val="TableParagraph"/>
              <w:numPr>
                <w:ilvl w:val="0"/>
                <w:numId w:val="16"/>
              </w:numPr>
              <w:tabs>
                <w:tab w:pos="1056" w:val="left" w:leader="none"/>
              </w:tabs>
              <w:spacing w:line="314" w:lineRule="auto" w:before="0" w:after="0"/>
              <w:ind w:left="1055" w:right="219" w:hanging="721"/>
              <w:jc w:val="both"/>
              <w:rPr>
                <w:sz w:val="21"/>
              </w:rPr>
            </w:pPr>
            <w:r>
              <w:rPr>
                <w:sz w:val="21"/>
              </w:rPr>
              <w:t>若被保险人于本合同生效之日或最后复效之日（以较迟者为准）</w:t>
            </w:r>
            <w:r>
              <w:rPr>
                <w:spacing w:val="6"/>
                <w:sz w:val="21"/>
              </w:rPr>
              <w:t>起</w:t>
            </w:r>
            <w:r>
              <w:rPr>
                <w:spacing w:val="-3"/>
                <w:sz w:val="21"/>
              </w:rPr>
              <w:t>90 </w:t>
            </w:r>
            <w:r>
              <w:rPr>
                <w:spacing w:val="-5"/>
                <w:w w:val="100"/>
                <w:sz w:val="21"/>
              </w:rPr>
              <w:t>天</w:t>
            </w:r>
            <w:r>
              <w:rPr>
                <w:w w:val="100"/>
                <w:sz w:val="21"/>
              </w:rPr>
              <w:t>（含</w:t>
            </w:r>
            <w:r>
              <w:rPr>
                <w:spacing w:val="-113"/>
                <w:w w:val="100"/>
                <w:sz w:val="21"/>
              </w:rPr>
              <w:t>）</w:t>
            </w:r>
            <w:r>
              <w:rPr>
                <w:b/>
                <w:w w:val="100"/>
                <w:sz w:val="21"/>
              </w:rPr>
              <w:t>（等待期</w:t>
            </w:r>
            <w:r>
              <w:rPr>
                <w:b/>
                <w:spacing w:val="-5"/>
                <w:w w:val="100"/>
                <w:sz w:val="21"/>
              </w:rPr>
              <w:t>）</w:t>
            </w:r>
            <w:r>
              <w:rPr>
                <w:spacing w:val="-4"/>
                <w:w w:val="100"/>
                <w:sz w:val="21"/>
              </w:rPr>
              <w:t>内因意外伤害事故以外的原因导致身故，我们将按</w:t>
            </w:r>
            <w:r>
              <w:rPr>
                <w:sz w:val="21"/>
              </w:rPr>
              <w:t>本合同的</w:t>
            </w:r>
            <w:r>
              <w:rPr>
                <w:b/>
                <w:sz w:val="21"/>
              </w:rPr>
              <w:t>累计所交保险费</w:t>
            </w:r>
            <w:r>
              <w:rPr>
                <w:sz w:val="21"/>
              </w:rPr>
              <w:t>（不计息）给付身故保险金，同时本合同效</w:t>
            </w:r>
            <w:r>
              <w:rPr>
                <w:spacing w:val="-1"/>
                <w:sz w:val="21"/>
              </w:rPr>
              <w:t>力终止；</w:t>
            </w:r>
          </w:p>
          <w:p>
            <w:pPr>
              <w:pStyle w:val="TableParagraph"/>
              <w:numPr>
                <w:ilvl w:val="0"/>
                <w:numId w:val="16"/>
              </w:numPr>
              <w:tabs>
                <w:tab w:pos="1056" w:val="left" w:leader="none"/>
              </w:tabs>
              <w:spacing w:line="314" w:lineRule="auto" w:before="140" w:after="0"/>
              <w:ind w:left="1055" w:right="219"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以较迟者为准）起90天后因意外伤害事故以外的原因导致身故，我们按</w:t>
            </w:r>
            <w:r>
              <w:rPr>
                <w:spacing w:val="-3"/>
                <w:sz w:val="21"/>
              </w:rPr>
              <w:t>以下三者较大者给付身故保险金，同时本合同效力终止。</w:t>
            </w:r>
          </w:p>
          <w:p>
            <w:pPr>
              <w:pStyle w:val="TableParagraph"/>
              <w:spacing w:before="85"/>
              <w:ind w:left="755"/>
              <w:rPr>
                <w:sz w:val="21"/>
              </w:rPr>
            </w:pPr>
            <w:r>
              <w:rPr>
                <w:sz w:val="21"/>
              </w:rPr>
              <w:t>① 本合同约定的基本保险金额；</w:t>
            </w:r>
          </w:p>
          <w:p>
            <w:pPr>
              <w:pStyle w:val="TableParagraph"/>
              <w:spacing w:before="10"/>
              <w:rPr>
                <w:b/>
                <w:sz w:val="14"/>
              </w:rPr>
            </w:pPr>
          </w:p>
          <w:p>
            <w:pPr>
              <w:pStyle w:val="TableParagraph"/>
              <w:ind w:left="755"/>
              <w:rPr>
                <w:sz w:val="21"/>
              </w:rPr>
            </w:pPr>
            <w:r>
              <w:rPr>
                <w:sz w:val="21"/>
              </w:rPr>
              <w:t>② 被保险人身故时本合同现金价值；</w:t>
            </w:r>
          </w:p>
          <w:p>
            <w:pPr>
              <w:pStyle w:val="TableParagraph"/>
              <w:spacing w:before="9"/>
              <w:rPr>
                <w:b/>
                <w:sz w:val="14"/>
              </w:rPr>
            </w:pPr>
          </w:p>
          <w:p>
            <w:pPr>
              <w:pStyle w:val="TableParagraph"/>
              <w:spacing w:before="1"/>
              <w:ind w:left="755"/>
              <w:rPr>
                <w:sz w:val="21"/>
              </w:rPr>
            </w:pPr>
            <w:r>
              <w:rPr>
                <w:sz w:val="21"/>
              </w:rPr>
              <w:t>③ 累计所交保险费（不计息）。</w:t>
            </w:r>
          </w:p>
          <w:p>
            <w:pPr>
              <w:pStyle w:val="TableParagraph"/>
              <w:spacing w:before="10"/>
              <w:rPr>
                <w:b/>
                <w:sz w:val="14"/>
              </w:rPr>
            </w:pPr>
          </w:p>
          <w:p>
            <w:pPr>
              <w:pStyle w:val="TableParagraph"/>
              <w:spacing w:line="273" w:lineRule="auto"/>
              <w:ind w:left="334" w:right="153"/>
              <w:rPr>
                <w:b/>
                <w:sz w:val="21"/>
              </w:rPr>
            </w:pPr>
            <w:r>
              <w:rPr>
                <w:b/>
                <w:sz w:val="21"/>
              </w:rPr>
              <w:t>如果在给付身故保险金前，我们已依本合同给付过住院关爱津贴保险金，则在给付身故保险金时，需扣除已给付的住院关爱津贴保险金。</w:t>
            </w:r>
          </w:p>
          <w:p>
            <w:pPr>
              <w:pStyle w:val="TableParagraph"/>
              <w:rPr>
                <w:b/>
                <w:sz w:val="20"/>
              </w:rPr>
            </w:pPr>
          </w:p>
          <w:p>
            <w:pPr>
              <w:pStyle w:val="TableParagraph"/>
              <w:spacing w:before="4"/>
              <w:rPr>
                <w:b/>
                <w:sz w:val="16"/>
              </w:rPr>
            </w:pPr>
          </w:p>
          <w:p>
            <w:pPr>
              <w:pStyle w:val="TableParagraph"/>
              <w:ind w:left="334"/>
              <w:rPr>
                <w:b/>
                <w:sz w:val="21"/>
              </w:rPr>
            </w:pPr>
            <w:r>
              <w:rPr>
                <w:b/>
                <w:sz w:val="21"/>
              </w:rPr>
              <w:t>重大疾病保险金、全残保险金或身故保险金只给付其中一项。</w:t>
            </w:r>
          </w:p>
          <w:p>
            <w:pPr>
              <w:pStyle w:val="TableParagraph"/>
              <w:rPr>
                <w:b/>
                <w:sz w:val="20"/>
              </w:rPr>
            </w:pPr>
          </w:p>
          <w:p>
            <w:pPr>
              <w:pStyle w:val="TableParagraph"/>
              <w:rPr>
                <w:b/>
                <w:sz w:val="20"/>
              </w:rPr>
            </w:pPr>
          </w:p>
          <w:p>
            <w:pPr>
              <w:pStyle w:val="TableParagraph"/>
              <w:spacing w:before="137"/>
              <w:ind w:left="334"/>
              <w:rPr>
                <w:b/>
                <w:sz w:val="21"/>
              </w:rPr>
            </w:pPr>
            <w:r>
              <w:rPr>
                <w:b/>
                <w:sz w:val="21"/>
              </w:rPr>
              <w:t>累计所交保险费：</w:t>
            </w:r>
          </w:p>
          <w:p>
            <w:pPr>
              <w:pStyle w:val="TableParagraph"/>
              <w:spacing w:before="9"/>
              <w:rPr>
                <w:b/>
                <w:sz w:val="14"/>
              </w:rPr>
            </w:pPr>
          </w:p>
          <w:p>
            <w:pPr>
              <w:pStyle w:val="TableParagraph"/>
              <w:ind w:left="334"/>
              <w:rPr>
                <w:sz w:val="21"/>
              </w:rPr>
            </w:pPr>
            <w:r>
              <w:rPr>
                <w:sz w:val="21"/>
              </w:rPr>
              <w:t>若在本合同保险期间内未发生减少基本保险金额：</w:t>
            </w:r>
          </w:p>
          <w:p>
            <w:pPr>
              <w:pStyle w:val="TableParagraph"/>
              <w:spacing w:before="9"/>
              <w:rPr>
                <w:b/>
                <w:sz w:val="14"/>
              </w:rPr>
            </w:pPr>
          </w:p>
          <w:p>
            <w:pPr>
              <w:pStyle w:val="TableParagraph"/>
              <w:spacing w:line="408" w:lineRule="auto"/>
              <w:ind w:left="334" w:right="296"/>
              <w:rPr>
                <w:sz w:val="21"/>
              </w:rPr>
            </w:pPr>
            <w:r>
              <w:rPr>
                <w:sz w:val="21"/>
              </w:rPr>
              <w:t>累计所交保险费=本合同的期交保险费×已经过并实际交纳了保险费的期数； 若在本合同保险期间内发生一次或多次减少基本保险金额：</w:t>
            </w:r>
          </w:p>
          <w:p>
            <w:pPr>
              <w:pStyle w:val="TableParagraph"/>
              <w:spacing w:line="273" w:lineRule="auto" w:before="45"/>
              <w:ind w:left="334" w:right="296"/>
              <w:rPr>
                <w:sz w:val="21"/>
              </w:rPr>
            </w:pPr>
            <w:r>
              <w:rPr>
                <w:sz w:val="21"/>
              </w:rPr>
              <w:t>累计所交保险费=最近一次减少基本保险金额变更后的基本保险金额所对应本合同的期交保险费×已经过并实际交纳了保险费的期数。</w:t>
            </w:r>
          </w:p>
        </w:tc>
      </w:tr>
      <w:tr>
        <w:trPr>
          <w:trHeight w:val="4552" w:hRule="atLeast"/>
        </w:trPr>
        <w:tc>
          <w:tcPr>
            <w:tcW w:w="755" w:type="dxa"/>
          </w:tcPr>
          <w:p>
            <w:pPr>
              <w:pStyle w:val="TableParagraph"/>
              <w:spacing w:before="64"/>
              <w:ind w:left="200"/>
              <w:rPr>
                <w:b/>
                <w:sz w:val="21"/>
              </w:rPr>
            </w:pPr>
            <w:r>
              <w:rPr>
                <w:b/>
                <w:sz w:val="21"/>
              </w:rPr>
              <w:t>2.4</w:t>
            </w:r>
          </w:p>
        </w:tc>
        <w:tc>
          <w:tcPr>
            <w:tcW w:w="1417" w:type="dxa"/>
          </w:tcPr>
          <w:p>
            <w:pPr>
              <w:pStyle w:val="TableParagraph"/>
              <w:spacing w:before="64"/>
              <w:ind w:left="237"/>
              <w:rPr>
                <w:b/>
                <w:sz w:val="21"/>
              </w:rPr>
            </w:pPr>
            <w:r>
              <w:rPr>
                <w:b/>
                <w:sz w:val="21"/>
              </w:rPr>
              <w:t>责任免除</w:t>
            </w:r>
          </w:p>
        </w:tc>
        <w:tc>
          <w:tcPr>
            <w:tcW w:w="7674" w:type="dxa"/>
          </w:tcPr>
          <w:p>
            <w:pPr>
              <w:pStyle w:val="TableParagraph"/>
              <w:spacing w:line="273" w:lineRule="auto" w:before="64"/>
              <w:ind w:left="334" w:right="144"/>
              <w:rPr>
                <w:b/>
                <w:sz w:val="21"/>
              </w:rPr>
            </w:pPr>
            <w:r>
              <w:rPr>
                <w:b/>
                <w:sz w:val="21"/>
              </w:rPr>
              <w:t>因下列情形之一导致被保险人住院、全残、身故或确诊患本合同约定的轻型疾病、重大疾病的，我们不承担给付各项保险金的责任：</w:t>
            </w:r>
          </w:p>
          <w:p>
            <w:pPr>
              <w:pStyle w:val="TableParagraph"/>
              <w:spacing w:before="163"/>
              <w:ind w:left="334"/>
              <w:rPr>
                <w:b/>
                <w:sz w:val="21"/>
              </w:rPr>
            </w:pPr>
            <w:r>
              <w:rPr>
                <w:b/>
                <w:sz w:val="21"/>
              </w:rPr>
              <w:t>1.投保人对被保险人的故意伤害、故意杀害；</w:t>
            </w:r>
          </w:p>
          <w:p>
            <w:pPr>
              <w:pStyle w:val="TableParagraph"/>
              <w:spacing w:before="9"/>
              <w:rPr>
                <w:b/>
                <w:sz w:val="14"/>
              </w:rPr>
            </w:pPr>
          </w:p>
          <w:p>
            <w:pPr>
              <w:pStyle w:val="TableParagraph"/>
              <w:spacing w:before="1"/>
              <w:ind w:left="334"/>
              <w:rPr>
                <w:b/>
                <w:sz w:val="21"/>
              </w:rPr>
            </w:pPr>
            <w:r>
              <w:rPr>
                <w:b/>
                <w:sz w:val="21"/>
              </w:rPr>
              <w:t>2.被保险人故意犯罪或者抗拒依法采取的刑事强制措施；</w:t>
            </w:r>
          </w:p>
          <w:p>
            <w:pPr>
              <w:pStyle w:val="TableParagraph"/>
              <w:spacing w:before="10"/>
              <w:rPr>
                <w:b/>
                <w:sz w:val="14"/>
              </w:rPr>
            </w:pPr>
          </w:p>
          <w:p>
            <w:pPr>
              <w:pStyle w:val="TableParagraph"/>
              <w:spacing w:line="273" w:lineRule="auto"/>
              <w:ind w:left="334" w:right="229"/>
              <w:rPr>
                <w:b/>
                <w:sz w:val="21"/>
              </w:rPr>
            </w:pPr>
            <w:r>
              <w:rPr>
                <w:b/>
                <w:sz w:val="21"/>
              </w:rPr>
              <w:t>3.</w:t>
            </w:r>
            <w:r>
              <w:rPr>
                <w:b/>
                <w:spacing w:val="-5"/>
                <w:sz w:val="21"/>
              </w:rPr>
              <w:t>被保险人自本合同成立或者本合同最后一次效力恢复之日起 </w:t>
            </w:r>
            <w:r>
              <w:rPr>
                <w:b/>
                <w:sz w:val="21"/>
              </w:rPr>
              <w:t>2</w:t>
            </w:r>
            <w:r>
              <w:rPr>
                <w:b/>
                <w:spacing w:val="-18"/>
                <w:sz w:val="21"/>
              </w:rPr>
              <w:t> 年内自杀，但</w:t>
            </w:r>
            <w:r>
              <w:rPr>
                <w:b/>
                <w:spacing w:val="-2"/>
                <w:sz w:val="21"/>
              </w:rPr>
              <w:t>被保险人自杀时为无民事行为能力人的除外；</w:t>
            </w:r>
          </w:p>
          <w:p>
            <w:pPr>
              <w:pStyle w:val="TableParagraph"/>
              <w:spacing w:before="164"/>
              <w:ind w:left="334"/>
              <w:rPr>
                <w:b/>
                <w:sz w:val="21"/>
              </w:rPr>
            </w:pPr>
            <w:r>
              <w:rPr>
                <w:b/>
                <w:sz w:val="21"/>
              </w:rPr>
              <w:t>4. 被保险人故意自伤；</w:t>
            </w:r>
          </w:p>
          <w:p>
            <w:pPr>
              <w:pStyle w:val="TableParagraph"/>
              <w:spacing w:before="9"/>
              <w:rPr>
                <w:b/>
                <w:sz w:val="14"/>
              </w:rPr>
            </w:pPr>
          </w:p>
          <w:p>
            <w:pPr>
              <w:pStyle w:val="TableParagraph"/>
              <w:ind w:left="334"/>
              <w:rPr>
                <w:b/>
                <w:sz w:val="21"/>
              </w:rPr>
            </w:pPr>
            <w:r>
              <w:rPr>
                <w:b/>
                <w:w w:val="99"/>
                <w:sz w:val="21"/>
              </w:rPr>
              <w:t>5.</w:t>
            </w:r>
            <w:r>
              <w:rPr>
                <w:b/>
                <w:spacing w:val="-1"/>
                <w:w w:val="100"/>
                <w:sz w:val="21"/>
              </w:rPr>
              <w:t>被保险人主动吸食或注射毒品</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12</w:t>
            </w:r>
            <w:r>
              <w:rPr>
                <w:spacing w:val="-108"/>
                <w:w w:val="100"/>
                <w:sz w:val="21"/>
              </w:rPr>
              <w:t>）</w:t>
            </w:r>
            <w:r>
              <w:rPr>
                <w:b/>
                <w:w w:val="100"/>
                <w:sz w:val="21"/>
              </w:rPr>
              <w:t>；</w:t>
            </w:r>
          </w:p>
          <w:p>
            <w:pPr>
              <w:pStyle w:val="TableParagraph"/>
              <w:spacing w:before="9"/>
              <w:rPr>
                <w:b/>
                <w:sz w:val="14"/>
              </w:rPr>
            </w:pPr>
          </w:p>
          <w:p>
            <w:pPr>
              <w:pStyle w:val="TableParagraph"/>
              <w:spacing w:line="273" w:lineRule="auto"/>
              <w:ind w:left="334" w:right="279"/>
              <w:rPr>
                <w:b/>
                <w:sz w:val="21"/>
              </w:rPr>
            </w:pPr>
            <w:r>
              <w:rPr>
                <w:b/>
                <w:w w:val="99"/>
                <w:sz w:val="21"/>
              </w:rPr>
              <w:t>6.</w:t>
            </w:r>
            <w:r>
              <w:rPr>
                <w:b/>
                <w:w w:val="100"/>
                <w:sz w:val="21"/>
              </w:rPr>
              <w:t>被保险人酒后驾驶</w:t>
            </w:r>
            <w:r>
              <w:rPr>
                <w:spacing w:val="-3"/>
                <w:w w:val="100"/>
                <w:sz w:val="21"/>
              </w:rPr>
              <w:t>（</w:t>
            </w:r>
            <w:r>
              <w:rPr>
                <w:w w:val="100"/>
                <w:sz w:val="21"/>
              </w:rPr>
              <w:t>见</w:t>
            </w:r>
            <w:r>
              <w:rPr>
                <w:spacing w:val="-55"/>
                <w:sz w:val="21"/>
              </w:rPr>
              <w:t> </w:t>
            </w:r>
            <w:r>
              <w:rPr>
                <w:w w:val="100"/>
                <w:sz w:val="21"/>
              </w:rPr>
              <w:t>10.13</w:t>
            </w:r>
            <w:r>
              <w:rPr>
                <w:spacing w:val="-108"/>
                <w:w w:val="100"/>
                <w:sz w:val="21"/>
              </w:rPr>
              <w:t>）</w:t>
            </w:r>
            <w:r>
              <w:rPr>
                <w:b/>
                <w:spacing w:val="-2"/>
                <w:w w:val="100"/>
                <w:sz w:val="21"/>
              </w:rPr>
              <w:t>，无合法有效驾驶证驾驶</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w w:val="100"/>
                <w:sz w:val="21"/>
              </w:rPr>
              <w:t>4</w:t>
            </w:r>
            <w:r>
              <w:rPr>
                <w:spacing w:val="-108"/>
                <w:w w:val="100"/>
                <w:sz w:val="21"/>
              </w:rPr>
              <w:t>）</w:t>
            </w:r>
            <w:r>
              <w:rPr>
                <w:b/>
                <w:w w:val="100"/>
                <w:sz w:val="21"/>
              </w:rPr>
              <w:t>，或驾驶无有效行驶证</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3"/>
                <w:w w:val="100"/>
                <w:sz w:val="21"/>
              </w:rPr>
              <w:t>1</w:t>
            </w:r>
            <w:r>
              <w:rPr>
                <w:w w:val="100"/>
                <w:sz w:val="21"/>
              </w:rPr>
              <w:t>5</w:t>
            </w:r>
            <w:r>
              <w:rPr>
                <w:spacing w:val="-3"/>
                <w:w w:val="100"/>
                <w:sz w:val="21"/>
              </w:rPr>
              <w:t>）</w:t>
            </w:r>
            <w:r>
              <w:rPr>
                <w:b/>
                <w:w w:val="100"/>
                <w:sz w:val="21"/>
              </w:rPr>
              <w:t>的机动车</w:t>
            </w:r>
            <w:r>
              <w:rPr>
                <w:w w:val="100"/>
                <w:sz w:val="21"/>
              </w:rPr>
              <w:t>（见</w:t>
            </w:r>
            <w:r>
              <w:rPr>
                <w:spacing w:val="-55"/>
                <w:sz w:val="21"/>
              </w:rPr>
              <w:t> </w:t>
            </w:r>
            <w:r>
              <w:rPr>
                <w:w w:val="100"/>
                <w:sz w:val="21"/>
              </w:rPr>
              <w:t>10.</w:t>
            </w:r>
            <w:r>
              <w:rPr>
                <w:spacing w:val="-3"/>
                <w:w w:val="100"/>
                <w:sz w:val="21"/>
              </w:rPr>
              <w:t>1</w:t>
            </w:r>
            <w:r>
              <w:rPr>
                <w:w w:val="100"/>
                <w:sz w:val="21"/>
              </w:rPr>
              <w:t>6</w:t>
            </w:r>
            <w:r>
              <w:rPr>
                <w:spacing w:val="-108"/>
                <w:w w:val="100"/>
                <w:sz w:val="21"/>
              </w:rPr>
              <w:t>）</w:t>
            </w:r>
            <w:r>
              <w:rPr>
                <w:b/>
                <w:w w:val="100"/>
                <w:sz w:val="21"/>
              </w:rPr>
              <w:t>；</w:t>
            </w:r>
          </w:p>
          <w:p>
            <w:pPr>
              <w:pStyle w:val="TableParagraph"/>
              <w:spacing w:line="255" w:lineRule="exact" w:before="163"/>
              <w:ind w:left="334"/>
              <w:rPr>
                <w:b/>
                <w:sz w:val="21"/>
              </w:rPr>
            </w:pPr>
            <w:r>
              <w:rPr>
                <w:b/>
                <w:sz w:val="21"/>
              </w:rPr>
              <w:t>7.战争、军事冲突、暴乱或武装叛乱；</w:t>
            </w:r>
          </w:p>
        </w:tc>
      </w:tr>
    </w:tbl>
    <w:p>
      <w:pPr>
        <w:spacing w:after="0" w:line="255" w:lineRule="exact"/>
        <w:rPr>
          <w:sz w:val="21"/>
        </w:rPr>
        <w:sectPr>
          <w:pgSz w:w="11910" w:h="16840"/>
          <w:pgMar w:header="0" w:footer="925" w:top="1160" w:bottom="1120" w:left="76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3772" w:hRule="atLeast"/>
        </w:trPr>
        <w:tc>
          <w:tcPr>
            <w:tcW w:w="663" w:type="dxa"/>
          </w:tcPr>
          <w:p>
            <w:pPr>
              <w:pStyle w:val="TableParagraph"/>
              <w:rPr>
                <w:rFonts w:ascii="Times New Roman"/>
                <w:sz w:val="20"/>
              </w:rPr>
            </w:pPr>
          </w:p>
        </w:tc>
        <w:tc>
          <w:tcPr>
            <w:tcW w:w="1628" w:type="dxa"/>
          </w:tcPr>
          <w:p>
            <w:pPr>
              <w:pStyle w:val="TableParagraph"/>
              <w:rPr>
                <w:rFonts w:ascii="Times New Roman"/>
                <w:sz w:val="20"/>
              </w:rPr>
            </w:pPr>
          </w:p>
        </w:tc>
        <w:tc>
          <w:tcPr>
            <w:tcW w:w="7373" w:type="dxa"/>
          </w:tcPr>
          <w:p>
            <w:pPr>
              <w:pStyle w:val="TableParagraph"/>
              <w:spacing w:line="211" w:lineRule="exact"/>
              <w:ind w:left="123"/>
              <w:rPr>
                <w:b/>
                <w:sz w:val="21"/>
              </w:rPr>
            </w:pPr>
            <w:r>
              <w:rPr>
                <w:b/>
                <w:sz w:val="21"/>
              </w:rPr>
              <w:t>8.核爆炸、核辐射或核污染；</w:t>
            </w:r>
          </w:p>
          <w:p>
            <w:pPr>
              <w:pStyle w:val="TableParagraph"/>
              <w:spacing w:before="9"/>
              <w:rPr>
                <w:b/>
                <w:sz w:val="14"/>
              </w:rPr>
            </w:pPr>
          </w:p>
          <w:p>
            <w:pPr>
              <w:pStyle w:val="TableParagraph"/>
              <w:spacing w:before="1"/>
              <w:ind w:left="123"/>
              <w:rPr>
                <w:b/>
                <w:sz w:val="21"/>
              </w:rPr>
            </w:pPr>
            <w:r>
              <w:rPr>
                <w:b/>
                <w:w w:val="99"/>
                <w:sz w:val="21"/>
              </w:rPr>
              <w:t>9.</w:t>
            </w:r>
            <w:r>
              <w:rPr>
                <w:b/>
                <w:spacing w:val="-1"/>
                <w:w w:val="100"/>
                <w:sz w:val="21"/>
              </w:rPr>
              <w:t>被保险人感染艾滋病病毒或患艾滋病</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1"/>
                <w:w w:val="100"/>
                <w:sz w:val="21"/>
              </w:rPr>
              <w:t>1</w:t>
            </w:r>
            <w:r>
              <w:rPr>
                <w:w w:val="100"/>
                <w:sz w:val="21"/>
              </w:rPr>
              <w:t>7</w:t>
            </w:r>
            <w:r>
              <w:rPr>
                <w:spacing w:val="-108"/>
                <w:w w:val="100"/>
                <w:sz w:val="21"/>
              </w:rPr>
              <w:t>）</w:t>
            </w:r>
            <w:r>
              <w:rPr>
                <w:b/>
                <w:w w:val="100"/>
                <w:sz w:val="21"/>
              </w:rPr>
              <w:t>；</w:t>
            </w:r>
          </w:p>
          <w:p>
            <w:pPr>
              <w:pStyle w:val="TableParagraph"/>
              <w:spacing w:before="10"/>
              <w:rPr>
                <w:b/>
                <w:sz w:val="14"/>
              </w:rPr>
            </w:pPr>
          </w:p>
          <w:p>
            <w:pPr>
              <w:pStyle w:val="TableParagraph"/>
              <w:ind w:left="123"/>
              <w:rPr>
                <w:b/>
                <w:sz w:val="21"/>
              </w:rPr>
            </w:pPr>
            <w:r>
              <w:rPr>
                <w:b/>
                <w:w w:val="99"/>
                <w:sz w:val="21"/>
              </w:rPr>
              <w:t>10.</w:t>
            </w:r>
            <w:r>
              <w:rPr>
                <w:b/>
                <w:w w:val="100"/>
                <w:sz w:val="21"/>
              </w:rPr>
              <w:t>遗传性疾病</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3"/>
                <w:w w:val="100"/>
                <w:sz w:val="21"/>
              </w:rPr>
              <w:t>8</w:t>
            </w:r>
            <w:r>
              <w:rPr>
                <w:spacing w:val="-106"/>
                <w:w w:val="100"/>
                <w:sz w:val="21"/>
              </w:rPr>
              <w:t>）</w:t>
            </w:r>
            <w:r>
              <w:rPr>
                <w:b/>
                <w:spacing w:val="-2"/>
                <w:w w:val="100"/>
                <w:sz w:val="21"/>
              </w:rPr>
              <w:t>、先天性畸形、变形或染色体异常</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w w:val="100"/>
                <w:sz w:val="21"/>
              </w:rPr>
              <w:t>9</w:t>
            </w:r>
            <w:r>
              <w:rPr>
                <w:spacing w:val="-108"/>
                <w:w w:val="100"/>
                <w:sz w:val="21"/>
              </w:rPr>
              <w:t>）</w:t>
            </w:r>
            <w:r>
              <w:rPr>
                <w:b/>
                <w:w w:val="100"/>
                <w:sz w:val="21"/>
              </w:rPr>
              <w:t>。</w:t>
            </w:r>
          </w:p>
          <w:p>
            <w:pPr>
              <w:pStyle w:val="TableParagraph"/>
              <w:spacing w:before="9"/>
              <w:rPr>
                <w:b/>
                <w:sz w:val="14"/>
              </w:rPr>
            </w:pPr>
          </w:p>
          <w:p>
            <w:pPr>
              <w:pStyle w:val="TableParagraph"/>
              <w:spacing w:line="273" w:lineRule="auto"/>
              <w:ind w:left="123" w:right="107"/>
              <w:rPr>
                <w:b/>
                <w:sz w:val="21"/>
              </w:rPr>
            </w:pPr>
            <w:r>
              <w:rPr>
                <w:b/>
                <w:spacing w:val="-3"/>
                <w:sz w:val="21"/>
              </w:rPr>
              <w:t>发生上述第１项情形导致被保险人全残、身故或确诊患本合同约定的轻型疾</w:t>
            </w:r>
            <w:r>
              <w:rPr>
                <w:b/>
                <w:spacing w:val="-8"/>
                <w:sz w:val="21"/>
              </w:rPr>
              <w:t>病、重大疾病的，本合同效力终止，您已交足 </w:t>
            </w:r>
            <w:r>
              <w:rPr>
                <w:b/>
                <w:sz w:val="21"/>
              </w:rPr>
              <w:t>2</w:t>
            </w:r>
            <w:r>
              <w:rPr>
                <w:b/>
                <w:spacing w:val="-8"/>
                <w:sz w:val="21"/>
              </w:rPr>
              <w:t> 年以上保险费的，我们向被保</w:t>
            </w:r>
            <w:r>
              <w:rPr>
                <w:b/>
                <w:spacing w:val="-5"/>
                <w:sz w:val="21"/>
              </w:rPr>
              <w:t>险人退还被保险人全残或确诊患病时本合同现金价值，或向除您之外的被保险人继承人退还被保险人身故时本合同现金价值。</w:t>
            </w:r>
          </w:p>
          <w:p>
            <w:pPr>
              <w:pStyle w:val="TableParagraph"/>
              <w:spacing w:line="273" w:lineRule="auto" w:before="163"/>
              <w:ind w:left="123" w:right="79"/>
              <w:jc w:val="both"/>
              <w:rPr>
                <w:b/>
                <w:sz w:val="21"/>
              </w:rPr>
            </w:pPr>
            <w:r>
              <w:rPr>
                <w:b/>
                <w:spacing w:val="-8"/>
                <w:sz w:val="21"/>
              </w:rPr>
              <w:t>发生上述除第 </w:t>
            </w:r>
            <w:r>
              <w:rPr>
                <w:b/>
                <w:sz w:val="21"/>
              </w:rPr>
              <w:t>1</w:t>
            </w:r>
            <w:r>
              <w:rPr>
                <w:b/>
                <w:spacing w:val="-10"/>
                <w:sz w:val="21"/>
              </w:rPr>
              <w:t> 项以外的其他情形导致被保险人全残、身故或确诊患本合同约</w:t>
            </w:r>
            <w:r>
              <w:rPr>
                <w:b/>
                <w:spacing w:val="-9"/>
                <w:sz w:val="21"/>
              </w:rPr>
              <w:t>定的轻型疾病、重大疾病的，本合同效力终止，我们向您退还被保险人全残、身故或确诊患病时本合同现金价值。</w:t>
            </w:r>
          </w:p>
        </w:tc>
      </w:tr>
      <w:tr>
        <w:trPr>
          <w:trHeight w:val="1109" w:hRule="atLeast"/>
        </w:trPr>
        <w:tc>
          <w:tcPr>
            <w:tcW w:w="663" w:type="dxa"/>
          </w:tcPr>
          <w:p>
            <w:pPr>
              <w:pStyle w:val="TableParagraph"/>
              <w:spacing w:before="64"/>
              <w:ind w:left="108"/>
              <w:rPr>
                <w:b/>
                <w:sz w:val="21"/>
              </w:rPr>
            </w:pPr>
            <w:r>
              <w:rPr>
                <w:b/>
                <w:sz w:val="21"/>
              </w:rPr>
              <w:t>2.5</w:t>
            </w:r>
          </w:p>
        </w:tc>
        <w:tc>
          <w:tcPr>
            <w:tcW w:w="1628" w:type="dxa"/>
          </w:tcPr>
          <w:p>
            <w:pPr>
              <w:pStyle w:val="TableParagraph"/>
              <w:spacing w:line="273" w:lineRule="auto" w:before="64"/>
              <w:ind w:left="237" w:right="121"/>
              <w:rPr>
                <w:b/>
                <w:sz w:val="21"/>
              </w:rPr>
            </w:pPr>
            <w:r>
              <w:rPr>
                <w:b/>
                <w:sz w:val="21"/>
              </w:rPr>
              <w:t>未成年人身故保险金限制</w:t>
            </w:r>
          </w:p>
        </w:tc>
        <w:tc>
          <w:tcPr>
            <w:tcW w:w="7373" w:type="dxa"/>
          </w:tcPr>
          <w:p>
            <w:pPr>
              <w:pStyle w:val="TableParagraph"/>
              <w:spacing w:line="273" w:lineRule="auto" w:before="64"/>
              <w:ind w:left="123" w:right="103"/>
              <w:jc w:val="both"/>
              <w:rPr>
                <w:sz w:val="21"/>
              </w:rPr>
            </w:pPr>
            <w:r>
              <w:rPr>
                <w:sz w:val="21"/>
              </w:rPr>
              <w:t>为未成年人投保的人身保险，因被保险人身故给付的保险金总和不得超过国务院保险监督管理机构规定的限额，身故给付的保险金额总和约定也不得超过前述限额。</w:t>
            </w:r>
          </w:p>
        </w:tc>
      </w:tr>
      <w:tr>
        <w:trPr>
          <w:trHeight w:val="629" w:hRule="atLeast"/>
        </w:trPr>
        <w:tc>
          <w:tcPr>
            <w:tcW w:w="663" w:type="dxa"/>
            <w:tcBorders>
              <w:bottom w:val="single" w:sz="8" w:space="0" w:color="000000"/>
            </w:tcBorders>
          </w:tcPr>
          <w:p>
            <w:pPr>
              <w:pStyle w:val="TableParagraph"/>
              <w:spacing w:before="70"/>
              <w:ind w:left="108"/>
              <w:rPr>
                <w:b/>
                <w:sz w:val="24"/>
              </w:rPr>
            </w:pPr>
            <w:r>
              <w:rPr>
                <w:b/>
                <w:sz w:val="24"/>
              </w:rPr>
              <w:t>3.</w:t>
            </w:r>
          </w:p>
        </w:tc>
        <w:tc>
          <w:tcPr>
            <w:tcW w:w="9001" w:type="dxa"/>
            <w:gridSpan w:val="2"/>
            <w:tcBorders>
              <w:bottom w:val="single" w:sz="8" w:space="0" w:color="000000"/>
            </w:tcBorders>
          </w:tcPr>
          <w:p>
            <w:pPr>
              <w:pStyle w:val="TableParagraph"/>
              <w:spacing w:before="70"/>
              <w:ind w:left="237"/>
              <w:rPr>
                <w:b/>
                <w:sz w:val="24"/>
              </w:rPr>
            </w:pPr>
            <w:r>
              <w:rPr>
                <w:b/>
                <w:w w:val="95"/>
                <w:sz w:val="24"/>
              </w:rPr>
              <w:t>保险金的申请</w:t>
            </w:r>
          </w:p>
        </w:tc>
      </w:tr>
      <w:tr>
        <w:trPr>
          <w:trHeight w:val="7869" w:hRule="atLeast"/>
        </w:trPr>
        <w:tc>
          <w:tcPr>
            <w:tcW w:w="663" w:type="dxa"/>
            <w:tcBorders>
              <w:top w:val="single" w:sz="8" w:space="0" w:color="000000"/>
            </w:tcBorders>
          </w:tcPr>
          <w:p>
            <w:pPr>
              <w:pStyle w:val="TableParagraph"/>
              <w:spacing w:before="138"/>
              <w:ind w:left="108"/>
              <w:rPr>
                <w:b/>
                <w:sz w:val="21"/>
              </w:rPr>
            </w:pPr>
            <w:r>
              <w:rPr>
                <w:b/>
                <w:sz w:val="21"/>
              </w:rPr>
              <w:t>3.1</w:t>
            </w:r>
          </w:p>
        </w:tc>
        <w:tc>
          <w:tcPr>
            <w:tcW w:w="1628" w:type="dxa"/>
            <w:tcBorders>
              <w:top w:val="single" w:sz="8" w:space="0" w:color="000000"/>
            </w:tcBorders>
          </w:tcPr>
          <w:p>
            <w:pPr>
              <w:pStyle w:val="TableParagraph"/>
              <w:spacing w:before="138"/>
              <w:ind w:left="237"/>
              <w:rPr>
                <w:b/>
                <w:sz w:val="21"/>
              </w:rPr>
            </w:pPr>
            <w:r>
              <w:rPr>
                <w:b/>
                <w:sz w:val="21"/>
              </w:rPr>
              <w:t>受益人</w:t>
            </w:r>
          </w:p>
        </w:tc>
        <w:tc>
          <w:tcPr>
            <w:tcW w:w="7373" w:type="dxa"/>
            <w:tcBorders>
              <w:top w:val="single" w:sz="8" w:space="0" w:color="000000"/>
            </w:tcBorders>
          </w:tcPr>
          <w:p>
            <w:pPr>
              <w:pStyle w:val="TableParagraph"/>
              <w:spacing w:line="273" w:lineRule="auto" w:before="138"/>
              <w:ind w:left="123" w:right="107"/>
              <w:rPr>
                <w:sz w:val="21"/>
              </w:rPr>
            </w:pPr>
            <w:r>
              <w:rPr>
                <w:sz w:val="21"/>
              </w:rPr>
              <w:t>除另有约定外，本合同轻型疾病保险金、住院关爱津贴保险金、重大疾病保险金及全残保险金的受益人为被保险人本人。</w:t>
            </w:r>
          </w:p>
          <w:p>
            <w:pPr>
              <w:pStyle w:val="TableParagraph"/>
              <w:spacing w:before="163"/>
              <w:ind w:left="123"/>
              <w:rPr>
                <w:sz w:val="21"/>
              </w:rPr>
            </w:pPr>
            <w:r>
              <w:rPr>
                <w:sz w:val="21"/>
              </w:rPr>
              <w:t>您或者被保险人可以指定一人或数人为身故保险金受益人。</w:t>
            </w:r>
          </w:p>
          <w:p>
            <w:pPr>
              <w:pStyle w:val="TableParagraph"/>
              <w:spacing w:before="9"/>
              <w:rPr>
                <w:b/>
                <w:sz w:val="14"/>
              </w:rPr>
            </w:pPr>
          </w:p>
          <w:p>
            <w:pPr>
              <w:pStyle w:val="TableParagraph"/>
              <w:spacing w:line="273" w:lineRule="auto"/>
              <w:ind w:left="123" w:right="105"/>
              <w:rPr>
                <w:sz w:val="21"/>
              </w:rPr>
            </w:pPr>
            <w:r>
              <w:rPr>
                <w:sz w:val="21"/>
              </w:rPr>
              <w:t>身故保险金受益人为数人时，可以确定受益顺序和受益份额；如果没有确定份额，各受益人按照相等份额享有受益权。</w:t>
            </w:r>
          </w:p>
          <w:p>
            <w:pPr>
              <w:pStyle w:val="TableParagraph"/>
              <w:spacing w:line="273" w:lineRule="auto" w:before="163"/>
              <w:ind w:left="123" w:right="103"/>
              <w:rPr>
                <w:sz w:val="21"/>
              </w:rPr>
            </w:pPr>
            <w:r>
              <w:rPr>
                <w:sz w:val="21"/>
              </w:rPr>
              <w:t>被保险人为无民事行为能力人或限制民事行为能力人的，可以由其监护人指定受益人。</w:t>
            </w:r>
          </w:p>
          <w:p>
            <w:pPr>
              <w:pStyle w:val="TableParagraph"/>
              <w:spacing w:line="273" w:lineRule="auto" w:before="163"/>
              <w:ind w:left="123" w:right="103"/>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163"/>
              <w:ind w:left="123"/>
              <w:rPr>
                <w:sz w:val="21"/>
              </w:rPr>
            </w:pPr>
            <w:r>
              <w:rPr>
                <w:sz w:val="21"/>
              </w:rPr>
              <w:t>您在指定和变更身故保险金受益人时，必须经过被保险人同意。</w:t>
            </w:r>
          </w:p>
          <w:p>
            <w:pPr>
              <w:pStyle w:val="TableParagraph"/>
              <w:spacing w:before="9"/>
              <w:rPr>
                <w:b/>
                <w:sz w:val="14"/>
              </w:rPr>
            </w:pPr>
          </w:p>
          <w:p>
            <w:pPr>
              <w:pStyle w:val="TableParagraph"/>
              <w:spacing w:line="273" w:lineRule="auto"/>
              <w:ind w:left="123" w:right="108"/>
              <w:rPr>
                <w:sz w:val="21"/>
              </w:rPr>
            </w:pPr>
            <w:r>
              <w:rPr>
                <w:sz w:val="21"/>
              </w:rPr>
              <w:t>被保险人身故后，有下列情形之一的，保险金作为被保险人的遗产，由我们依照《中华人民共和国继承法》的规定履行给付保险金的义务：</w:t>
            </w:r>
          </w:p>
          <w:p>
            <w:pPr>
              <w:pStyle w:val="TableParagraph"/>
              <w:spacing w:before="163"/>
              <w:ind w:left="123"/>
              <w:rPr>
                <w:sz w:val="21"/>
              </w:rPr>
            </w:pPr>
            <w:r>
              <w:rPr>
                <w:sz w:val="21"/>
              </w:rPr>
              <w:t>1.没有指定受益人，或者受益人指定不明无法确定的；</w:t>
            </w:r>
          </w:p>
          <w:p>
            <w:pPr>
              <w:pStyle w:val="TableParagraph"/>
              <w:spacing w:before="9"/>
              <w:rPr>
                <w:b/>
                <w:sz w:val="14"/>
              </w:rPr>
            </w:pPr>
          </w:p>
          <w:p>
            <w:pPr>
              <w:pStyle w:val="TableParagraph"/>
              <w:spacing w:before="1"/>
              <w:ind w:left="123"/>
              <w:rPr>
                <w:sz w:val="21"/>
              </w:rPr>
            </w:pPr>
            <w:r>
              <w:rPr>
                <w:sz w:val="21"/>
              </w:rPr>
              <w:t>2.受益人先于被保险人身故，没有其他受益人的；</w:t>
            </w:r>
          </w:p>
          <w:p>
            <w:pPr>
              <w:pStyle w:val="TableParagraph"/>
              <w:spacing w:before="10"/>
              <w:rPr>
                <w:b/>
                <w:sz w:val="14"/>
              </w:rPr>
            </w:pPr>
          </w:p>
          <w:p>
            <w:pPr>
              <w:pStyle w:val="TableParagraph"/>
              <w:ind w:left="123"/>
              <w:rPr>
                <w:sz w:val="21"/>
              </w:rPr>
            </w:pPr>
            <w:r>
              <w:rPr>
                <w:sz w:val="21"/>
              </w:rPr>
              <w:t>3.受益人依法丧失受益权或者放弃受益权，没有其他受益人的。</w:t>
            </w:r>
          </w:p>
          <w:p>
            <w:pPr>
              <w:pStyle w:val="TableParagraph"/>
              <w:spacing w:before="10"/>
              <w:rPr>
                <w:b/>
                <w:sz w:val="14"/>
              </w:rPr>
            </w:pPr>
          </w:p>
          <w:p>
            <w:pPr>
              <w:pStyle w:val="TableParagraph"/>
              <w:spacing w:line="273" w:lineRule="auto"/>
              <w:ind w:left="123" w:right="105"/>
              <w:rPr>
                <w:sz w:val="21"/>
              </w:rPr>
            </w:pPr>
            <w:r>
              <w:rPr>
                <w:sz w:val="21"/>
              </w:rPr>
              <w:t>受益人与被保险人在同一事件中身故，且不能确定身故先后顺序的，推定受益人身故在先。</w:t>
            </w:r>
          </w:p>
          <w:p>
            <w:pPr>
              <w:pStyle w:val="TableParagraph"/>
              <w:spacing w:line="273" w:lineRule="auto" w:before="163"/>
              <w:ind w:left="123"/>
              <w:rPr>
                <w:sz w:val="21"/>
              </w:rPr>
            </w:pPr>
            <w:r>
              <w:rPr>
                <w:spacing w:val="-10"/>
                <w:sz w:val="21"/>
              </w:rPr>
              <w:t>受益人故意造成被保险人身故、伤残、疾病的，或者故意杀害被保险人未遂的， </w:t>
            </w:r>
            <w:r>
              <w:rPr>
                <w:spacing w:val="-5"/>
                <w:sz w:val="21"/>
              </w:rPr>
              <w:t>该受益人丧失受益权。</w:t>
            </w:r>
          </w:p>
        </w:tc>
      </w:tr>
      <w:tr>
        <w:trPr>
          <w:trHeight w:val="346" w:hRule="atLeast"/>
        </w:trPr>
        <w:tc>
          <w:tcPr>
            <w:tcW w:w="663" w:type="dxa"/>
          </w:tcPr>
          <w:p>
            <w:pPr>
              <w:pStyle w:val="TableParagraph"/>
              <w:spacing w:line="257" w:lineRule="exact" w:before="69"/>
              <w:ind w:left="108"/>
              <w:rPr>
                <w:b/>
                <w:sz w:val="21"/>
              </w:rPr>
            </w:pPr>
            <w:r>
              <w:rPr>
                <w:b/>
                <w:sz w:val="21"/>
              </w:rPr>
              <w:t>3.2</w:t>
            </w:r>
          </w:p>
        </w:tc>
        <w:tc>
          <w:tcPr>
            <w:tcW w:w="1628" w:type="dxa"/>
          </w:tcPr>
          <w:p>
            <w:pPr>
              <w:pStyle w:val="TableParagraph"/>
              <w:spacing w:line="257" w:lineRule="exact" w:before="69"/>
              <w:ind w:left="237"/>
              <w:rPr>
                <w:b/>
                <w:sz w:val="21"/>
              </w:rPr>
            </w:pPr>
            <w:r>
              <w:rPr>
                <w:b/>
                <w:sz w:val="21"/>
              </w:rPr>
              <w:t>保险事故通知</w:t>
            </w:r>
          </w:p>
        </w:tc>
        <w:tc>
          <w:tcPr>
            <w:tcW w:w="7373" w:type="dxa"/>
          </w:tcPr>
          <w:p>
            <w:pPr>
              <w:pStyle w:val="TableParagraph"/>
              <w:spacing w:line="268" w:lineRule="exact" w:before="58"/>
              <w:ind w:left="123"/>
              <w:rPr>
                <w:i/>
                <w:sz w:val="22"/>
              </w:rPr>
            </w:pPr>
            <w:r>
              <w:rPr>
                <w:sz w:val="21"/>
              </w:rPr>
              <w:t>您、被保险人或受益人应在知道保险事故发生后 10 日内通知我们</w:t>
            </w:r>
            <w:r>
              <w:rPr>
                <w:i/>
                <w:sz w:val="22"/>
              </w:rPr>
              <w:t>。</w:t>
            </w:r>
          </w:p>
        </w:tc>
      </w:tr>
    </w:tbl>
    <w:p>
      <w:pPr>
        <w:spacing w:after="0" w:line="268" w:lineRule="exact"/>
        <w:rPr>
          <w:sz w:val="22"/>
        </w:rPr>
        <w:sectPr>
          <w:pgSz w:w="11910" w:h="16840"/>
          <w:pgMar w:header="0" w:footer="925" w:top="1160" w:bottom="1120" w:left="860" w:right="11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523"/>
        <w:gridCol w:w="7573"/>
      </w:tblGrid>
      <w:tr>
        <w:trPr>
          <w:trHeight w:val="1276" w:hRule="atLeast"/>
        </w:trPr>
        <w:tc>
          <w:tcPr>
            <w:tcW w:w="755" w:type="dxa"/>
          </w:tcPr>
          <w:p>
            <w:pPr>
              <w:pStyle w:val="TableParagraph"/>
              <w:rPr>
                <w:rFonts w:ascii="Times New Roman"/>
                <w:sz w:val="20"/>
              </w:rPr>
            </w:pPr>
          </w:p>
        </w:tc>
        <w:tc>
          <w:tcPr>
            <w:tcW w:w="1523" w:type="dxa"/>
          </w:tcPr>
          <w:p>
            <w:pPr>
              <w:pStyle w:val="TableParagraph"/>
              <w:rPr>
                <w:rFonts w:ascii="Times New Roman"/>
                <w:sz w:val="20"/>
              </w:rPr>
            </w:pPr>
          </w:p>
        </w:tc>
        <w:tc>
          <w:tcPr>
            <w:tcW w:w="7573" w:type="dxa"/>
          </w:tcPr>
          <w:p>
            <w:pPr>
              <w:pStyle w:val="TableParagraph"/>
              <w:spacing w:line="211" w:lineRule="exact"/>
              <w:ind w:left="228"/>
              <w:rPr>
                <w:b/>
                <w:sz w:val="21"/>
              </w:rPr>
            </w:pPr>
            <w:r>
              <w:rPr>
                <w:b/>
                <w:sz w:val="21"/>
              </w:rPr>
              <w:t>如果您、被保险人或受益人故意或者因重大过失未及时通知，致使保险事故的</w:t>
            </w:r>
          </w:p>
          <w:p>
            <w:pPr>
              <w:pStyle w:val="TableParagraph"/>
              <w:spacing w:line="273" w:lineRule="auto" w:before="37"/>
              <w:ind w:left="228" w:right="198"/>
              <w:jc w:val="both"/>
              <w:rPr>
                <w:sz w:val="21"/>
              </w:rPr>
            </w:pPr>
            <w:r>
              <w:rPr>
                <w:b/>
                <w:spacing w:val="-6"/>
                <w:sz w:val="21"/>
              </w:rPr>
              <w:t>性质、原因、损失程度等难以确定的，我们对无法确定的部分，不承担给付保险金的责任</w:t>
            </w:r>
            <w:r>
              <w:rPr>
                <w:spacing w:val="-3"/>
                <w:sz w:val="21"/>
              </w:rPr>
              <w:t>，但我们通过其他途径已经及时知道或者应当及时知道保险事故发生的除外。</w:t>
            </w:r>
          </w:p>
        </w:tc>
      </w:tr>
      <w:tr>
        <w:trPr>
          <w:trHeight w:val="12353" w:hRule="atLeast"/>
        </w:trPr>
        <w:tc>
          <w:tcPr>
            <w:tcW w:w="755" w:type="dxa"/>
          </w:tcPr>
          <w:p>
            <w:pPr>
              <w:pStyle w:val="TableParagraph"/>
              <w:spacing w:before="64"/>
              <w:ind w:left="200"/>
              <w:rPr>
                <w:b/>
                <w:sz w:val="21"/>
              </w:rPr>
            </w:pPr>
            <w:r>
              <w:rPr>
                <w:b/>
                <w:sz w:val="21"/>
              </w:rPr>
              <w:t>3.3</w:t>
            </w:r>
          </w:p>
        </w:tc>
        <w:tc>
          <w:tcPr>
            <w:tcW w:w="1523" w:type="dxa"/>
          </w:tcPr>
          <w:p>
            <w:pPr>
              <w:pStyle w:val="TableParagraph"/>
              <w:spacing w:before="64"/>
              <w:ind w:left="237"/>
              <w:rPr>
                <w:b/>
                <w:sz w:val="21"/>
              </w:rPr>
            </w:pPr>
            <w:r>
              <w:rPr>
                <w:b/>
                <w:sz w:val="21"/>
              </w:rPr>
              <w:t>保险金申请</w:t>
            </w:r>
          </w:p>
        </w:tc>
        <w:tc>
          <w:tcPr>
            <w:tcW w:w="7573" w:type="dxa"/>
          </w:tcPr>
          <w:p>
            <w:pPr>
              <w:pStyle w:val="TableParagraph"/>
              <w:numPr>
                <w:ilvl w:val="0"/>
                <w:numId w:val="17"/>
              </w:numPr>
              <w:tabs>
                <w:tab w:pos="546" w:val="left" w:leader="none"/>
              </w:tabs>
              <w:spacing w:line="240" w:lineRule="auto" w:before="64" w:after="0"/>
              <w:ind w:left="545" w:right="0" w:hanging="317"/>
              <w:jc w:val="left"/>
              <w:rPr>
                <w:sz w:val="21"/>
              </w:rPr>
            </w:pPr>
            <w:r>
              <w:rPr>
                <w:spacing w:val="-3"/>
                <w:sz w:val="21"/>
              </w:rPr>
              <w:t>轻型疾病保险金、重大疾病保险金的申请</w:t>
            </w:r>
          </w:p>
          <w:p>
            <w:pPr>
              <w:pStyle w:val="TableParagraph"/>
              <w:spacing w:before="9"/>
              <w:rPr>
                <w:b/>
                <w:sz w:val="14"/>
              </w:rPr>
            </w:pPr>
          </w:p>
          <w:p>
            <w:pPr>
              <w:pStyle w:val="TableParagraph"/>
              <w:spacing w:line="273" w:lineRule="auto"/>
              <w:ind w:left="228" w:right="404"/>
              <w:rPr>
                <w:sz w:val="21"/>
              </w:rPr>
            </w:pPr>
            <w:r>
              <w:rPr>
                <w:sz w:val="21"/>
              </w:rPr>
              <w:t>在申请轻型疾病保险金及重大疾病保险金时，受益人须填写保险金给付申请书，并须提供下列证明和资料：</w:t>
            </w:r>
          </w:p>
          <w:p>
            <w:pPr>
              <w:pStyle w:val="TableParagraph"/>
              <w:spacing w:before="163"/>
              <w:ind w:left="228"/>
              <w:rPr>
                <w:sz w:val="21"/>
              </w:rPr>
            </w:pPr>
            <w:r>
              <w:rPr>
                <w:sz w:val="21"/>
              </w:rPr>
              <w:t>（1）保险合同；</w:t>
            </w:r>
          </w:p>
          <w:p>
            <w:pPr>
              <w:pStyle w:val="TableParagraph"/>
              <w:spacing w:before="9"/>
              <w:rPr>
                <w:b/>
                <w:sz w:val="14"/>
              </w:rPr>
            </w:pPr>
          </w:p>
          <w:p>
            <w:pPr>
              <w:pStyle w:val="TableParagraph"/>
              <w:spacing w:line="273" w:lineRule="auto"/>
              <w:ind w:left="228" w:right="202"/>
              <w:rPr>
                <w:sz w:val="21"/>
              </w:rPr>
            </w:pPr>
            <w:r>
              <w:rPr>
                <w:sz w:val="21"/>
              </w:rPr>
              <w:t>（2）</w:t>
            </w:r>
            <w:r>
              <w:rPr>
                <w:spacing w:val="-3"/>
                <w:sz w:val="21"/>
              </w:rPr>
              <w:t>由我们认可的医院的专科医生出具的被保险人的疾病诊断证明及相关医疗文件（包括完整的门诊及住院病历记录、出院小结、影像学、病理检查、实</w:t>
            </w:r>
            <w:r>
              <w:rPr>
                <w:spacing w:val="-3"/>
                <w:w w:val="100"/>
                <w:sz w:val="21"/>
              </w:rPr>
              <w:t>验室检查及其他相关检查报告</w:t>
            </w:r>
            <w:r>
              <w:rPr>
                <w:spacing w:val="-108"/>
                <w:w w:val="100"/>
                <w:sz w:val="21"/>
              </w:rPr>
              <w:t>）</w:t>
            </w:r>
            <w:r>
              <w:rPr>
                <w:w w:val="100"/>
                <w:sz w:val="21"/>
              </w:rPr>
              <w:t>；</w:t>
            </w:r>
          </w:p>
          <w:p>
            <w:pPr>
              <w:pStyle w:val="TableParagraph"/>
              <w:spacing w:before="164"/>
              <w:ind w:left="228"/>
              <w:rPr>
                <w:sz w:val="21"/>
              </w:rPr>
            </w:pPr>
            <w:r>
              <w:rPr>
                <w:sz w:val="21"/>
              </w:rPr>
              <w:t>（3）受益人的有效身份证件；</w:t>
            </w:r>
          </w:p>
          <w:p>
            <w:pPr>
              <w:pStyle w:val="TableParagraph"/>
              <w:spacing w:before="10"/>
              <w:rPr>
                <w:b/>
                <w:sz w:val="14"/>
              </w:rPr>
            </w:pPr>
          </w:p>
          <w:p>
            <w:pPr>
              <w:pStyle w:val="TableParagraph"/>
              <w:ind w:left="228"/>
              <w:rPr>
                <w:sz w:val="21"/>
              </w:rPr>
            </w:pPr>
            <w:r>
              <w:rPr>
                <w:sz w:val="21"/>
              </w:rPr>
              <w:t>（4）所能提供的与确认保险事故的性质、原因等有关的其他证明和资料。</w:t>
            </w:r>
          </w:p>
          <w:p>
            <w:pPr>
              <w:pStyle w:val="TableParagraph"/>
              <w:spacing w:before="9"/>
              <w:rPr>
                <w:b/>
                <w:sz w:val="14"/>
              </w:rPr>
            </w:pPr>
          </w:p>
          <w:p>
            <w:pPr>
              <w:pStyle w:val="TableParagraph"/>
              <w:numPr>
                <w:ilvl w:val="0"/>
                <w:numId w:val="17"/>
              </w:numPr>
              <w:tabs>
                <w:tab w:pos="546" w:val="left" w:leader="none"/>
              </w:tabs>
              <w:spacing w:line="240" w:lineRule="auto" w:before="1" w:after="0"/>
              <w:ind w:left="545" w:right="0" w:hanging="317"/>
              <w:jc w:val="left"/>
              <w:rPr>
                <w:sz w:val="21"/>
              </w:rPr>
            </w:pPr>
            <w:r>
              <w:rPr>
                <w:spacing w:val="-3"/>
                <w:sz w:val="21"/>
              </w:rPr>
              <w:t>住院关爱津贴保险金的申请</w:t>
            </w:r>
          </w:p>
          <w:p>
            <w:pPr>
              <w:pStyle w:val="TableParagraph"/>
              <w:spacing w:before="10"/>
              <w:rPr>
                <w:b/>
                <w:sz w:val="14"/>
              </w:rPr>
            </w:pPr>
          </w:p>
          <w:p>
            <w:pPr>
              <w:pStyle w:val="TableParagraph"/>
              <w:spacing w:line="273" w:lineRule="auto"/>
              <w:ind w:left="228" w:right="200"/>
              <w:rPr>
                <w:sz w:val="21"/>
              </w:rPr>
            </w:pPr>
            <w:r>
              <w:rPr>
                <w:sz w:val="21"/>
              </w:rPr>
              <w:t>在申请住院关爱津贴保险金时，受益人须填写保险金给付申请书，并须提供下列证明和资料：</w:t>
            </w:r>
          </w:p>
          <w:p>
            <w:pPr>
              <w:pStyle w:val="TableParagraph"/>
              <w:spacing w:before="163"/>
              <w:ind w:left="228"/>
              <w:rPr>
                <w:sz w:val="21"/>
              </w:rPr>
            </w:pPr>
            <w:r>
              <w:rPr>
                <w:sz w:val="21"/>
              </w:rPr>
              <w:t>（1）保险合同；</w:t>
            </w:r>
          </w:p>
          <w:p>
            <w:pPr>
              <w:pStyle w:val="TableParagraph"/>
              <w:spacing w:before="9"/>
              <w:rPr>
                <w:b/>
                <w:sz w:val="14"/>
              </w:rPr>
            </w:pPr>
          </w:p>
          <w:p>
            <w:pPr>
              <w:pStyle w:val="TableParagraph"/>
              <w:ind w:left="228"/>
              <w:rPr>
                <w:sz w:val="21"/>
              </w:rPr>
            </w:pPr>
            <w:r>
              <w:rPr>
                <w:sz w:val="21"/>
              </w:rPr>
              <w:t>（2）由我们认可的医院的专科医生出具的被保险人的疾病诊断证明；</w:t>
            </w:r>
          </w:p>
          <w:p>
            <w:pPr>
              <w:pStyle w:val="TableParagraph"/>
              <w:spacing w:before="9"/>
              <w:rPr>
                <w:b/>
                <w:sz w:val="14"/>
              </w:rPr>
            </w:pPr>
          </w:p>
          <w:p>
            <w:pPr>
              <w:pStyle w:val="TableParagraph"/>
              <w:ind w:left="228"/>
              <w:rPr>
                <w:sz w:val="21"/>
              </w:rPr>
            </w:pPr>
            <w:r>
              <w:rPr>
                <w:sz w:val="21"/>
              </w:rPr>
              <w:t>（3）受益人的有效身份证件；</w:t>
            </w:r>
          </w:p>
          <w:p>
            <w:pPr>
              <w:pStyle w:val="TableParagraph"/>
              <w:spacing w:before="9"/>
              <w:rPr>
                <w:b/>
                <w:sz w:val="14"/>
              </w:rPr>
            </w:pPr>
          </w:p>
          <w:p>
            <w:pPr>
              <w:pStyle w:val="TableParagraph"/>
              <w:ind w:left="228"/>
              <w:rPr>
                <w:sz w:val="21"/>
              </w:rPr>
            </w:pPr>
            <w:r>
              <w:rPr>
                <w:sz w:val="21"/>
              </w:rPr>
              <w:t>（4）就诊医院盖章的医疗费用收据及相关诊疗费用结算明细单。</w:t>
            </w:r>
          </w:p>
          <w:p>
            <w:pPr>
              <w:pStyle w:val="TableParagraph"/>
              <w:spacing w:before="10"/>
              <w:rPr>
                <w:b/>
                <w:sz w:val="14"/>
              </w:rPr>
            </w:pPr>
          </w:p>
          <w:p>
            <w:pPr>
              <w:pStyle w:val="TableParagraph"/>
              <w:ind w:left="228"/>
              <w:rPr>
                <w:sz w:val="21"/>
              </w:rPr>
            </w:pPr>
            <w:r>
              <w:rPr>
                <w:sz w:val="21"/>
              </w:rPr>
              <w:t>3.全残保险金的申请</w:t>
            </w:r>
          </w:p>
          <w:p>
            <w:pPr>
              <w:pStyle w:val="TableParagraph"/>
              <w:spacing w:before="9"/>
              <w:rPr>
                <w:b/>
                <w:sz w:val="14"/>
              </w:rPr>
            </w:pPr>
          </w:p>
          <w:p>
            <w:pPr>
              <w:pStyle w:val="TableParagraph"/>
              <w:spacing w:line="273" w:lineRule="auto" w:before="1"/>
              <w:ind w:left="228" w:right="200"/>
              <w:rPr>
                <w:sz w:val="21"/>
              </w:rPr>
            </w:pPr>
            <w:r>
              <w:rPr>
                <w:sz w:val="21"/>
              </w:rPr>
              <w:t>在申请全残保险金时，受益人须填写保险金给付申请书，并须提供下列证明和资料：</w:t>
            </w:r>
          </w:p>
          <w:p>
            <w:pPr>
              <w:pStyle w:val="TableParagraph"/>
              <w:spacing w:before="164"/>
              <w:ind w:left="228"/>
              <w:rPr>
                <w:sz w:val="21"/>
              </w:rPr>
            </w:pPr>
            <w:r>
              <w:rPr>
                <w:sz w:val="21"/>
              </w:rPr>
              <w:t>（1）保险合同；</w:t>
            </w:r>
          </w:p>
          <w:p>
            <w:pPr>
              <w:pStyle w:val="TableParagraph"/>
              <w:spacing w:before="10"/>
              <w:rPr>
                <w:b/>
                <w:sz w:val="14"/>
              </w:rPr>
            </w:pPr>
          </w:p>
          <w:p>
            <w:pPr>
              <w:pStyle w:val="TableParagraph"/>
              <w:ind w:left="228"/>
              <w:rPr>
                <w:sz w:val="21"/>
              </w:rPr>
            </w:pPr>
            <w:r>
              <w:rPr>
                <w:sz w:val="21"/>
              </w:rPr>
              <w:t>（2）受益人（及监护人）的有效身份证件；</w:t>
            </w:r>
          </w:p>
          <w:p>
            <w:pPr>
              <w:pStyle w:val="TableParagraph"/>
              <w:spacing w:before="9"/>
              <w:rPr>
                <w:b/>
                <w:sz w:val="14"/>
              </w:rPr>
            </w:pPr>
          </w:p>
          <w:p>
            <w:pPr>
              <w:pStyle w:val="TableParagraph"/>
              <w:spacing w:line="408" w:lineRule="auto" w:before="1"/>
              <w:ind w:left="228" w:right="513"/>
              <w:rPr>
                <w:sz w:val="21"/>
              </w:rPr>
            </w:pPr>
            <w:r>
              <w:rPr>
                <w:sz w:val="21"/>
              </w:rPr>
              <w:t>（3）国家卫生行政部门认定的医疗机构出具的诊断证明、完整的门诊及住院病历、出院小结、检查检验报告等完整的就诊资料；</w:t>
            </w:r>
          </w:p>
          <w:p>
            <w:pPr>
              <w:pStyle w:val="TableParagraph"/>
              <w:spacing w:line="273" w:lineRule="auto" w:before="46"/>
              <w:ind w:left="228" w:right="301"/>
              <w:rPr>
                <w:sz w:val="21"/>
              </w:rPr>
            </w:pPr>
            <w:r>
              <w:rPr>
                <w:sz w:val="21"/>
              </w:rPr>
              <w:t>（4）由我们认可的有资质的医院或者鉴定机构，根据《人身保险伤残评定标准及代码》出具的被保险人残疾程度的资料或者身体伤残程度鉴定书；</w:t>
            </w:r>
          </w:p>
          <w:p>
            <w:pPr>
              <w:pStyle w:val="TableParagraph"/>
              <w:spacing w:before="163"/>
              <w:ind w:left="228"/>
              <w:rPr>
                <w:sz w:val="21"/>
              </w:rPr>
            </w:pPr>
            <w:r>
              <w:rPr>
                <w:sz w:val="21"/>
              </w:rPr>
              <w:t>（5）所能提供的与确认保险事故的性质、原因等有关的其他证明和资料。</w:t>
            </w:r>
          </w:p>
          <w:p>
            <w:pPr>
              <w:pStyle w:val="TableParagraph"/>
              <w:spacing w:before="9"/>
              <w:rPr>
                <w:b/>
                <w:sz w:val="14"/>
              </w:rPr>
            </w:pPr>
          </w:p>
          <w:p>
            <w:pPr>
              <w:pStyle w:val="TableParagraph"/>
              <w:ind w:left="228"/>
              <w:rPr>
                <w:sz w:val="21"/>
              </w:rPr>
            </w:pPr>
            <w:r>
              <w:rPr>
                <w:sz w:val="21"/>
              </w:rPr>
              <w:t>4.身故保险金的申请</w:t>
            </w:r>
          </w:p>
          <w:p>
            <w:pPr>
              <w:pStyle w:val="TableParagraph"/>
              <w:spacing w:line="310" w:lineRule="atLeast" w:before="157"/>
              <w:ind w:left="228" w:right="200"/>
              <w:rPr>
                <w:sz w:val="21"/>
              </w:rPr>
            </w:pPr>
            <w:r>
              <w:rPr>
                <w:sz w:val="21"/>
              </w:rPr>
              <w:t>在申请身故保险金时，受益人须填写保险金给付申请书，并须提供下列证明和资料：</w:t>
            </w:r>
          </w:p>
        </w:tc>
      </w:tr>
    </w:tbl>
    <w:p>
      <w:pPr>
        <w:spacing w:after="0" w:line="310" w:lineRule="atLeast"/>
        <w:rPr>
          <w:sz w:val="21"/>
        </w:rPr>
        <w:sectPr>
          <w:pgSz w:w="11910" w:h="16840"/>
          <w:pgMar w:header="0" w:footer="925" w:top="1160" w:bottom="1120" w:left="760" w:right="10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4084" w:hRule="atLeast"/>
        </w:trPr>
        <w:tc>
          <w:tcPr>
            <w:tcW w:w="663" w:type="dxa"/>
          </w:tcPr>
          <w:p>
            <w:pPr>
              <w:pStyle w:val="TableParagraph"/>
              <w:rPr>
                <w:rFonts w:ascii="Times New Roman"/>
                <w:sz w:val="20"/>
              </w:rPr>
            </w:pPr>
          </w:p>
        </w:tc>
        <w:tc>
          <w:tcPr>
            <w:tcW w:w="1628" w:type="dxa"/>
          </w:tcPr>
          <w:p>
            <w:pPr>
              <w:pStyle w:val="TableParagraph"/>
              <w:rPr>
                <w:rFonts w:ascii="Times New Roman"/>
                <w:sz w:val="20"/>
              </w:rPr>
            </w:pPr>
          </w:p>
        </w:tc>
        <w:tc>
          <w:tcPr>
            <w:tcW w:w="7373" w:type="dxa"/>
          </w:tcPr>
          <w:p>
            <w:pPr>
              <w:pStyle w:val="TableParagraph"/>
              <w:spacing w:line="211" w:lineRule="exact"/>
              <w:ind w:left="123"/>
              <w:rPr>
                <w:sz w:val="21"/>
              </w:rPr>
            </w:pPr>
            <w:r>
              <w:rPr>
                <w:sz w:val="21"/>
              </w:rPr>
              <w:t>（1）保险合同；</w:t>
            </w:r>
          </w:p>
          <w:p>
            <w:pPr>
              <w:pStyle w:val="TableParagraph"/>
              <w:spacing w:before="9"/>
              <w:rPr>
                <w:b/>
                <w:sz w:val="14"/>
              </w:rPr>
            </w:pPr>
          </w:p>
          <w:p>
            <w:pPr>
              <w:pStyle w:val="TableParagraph"/>
              <w:spacing w:before="1"/>
              <w:ind w:left="123"/>
              <w:rPr>
                <w:sz w:val="21"/>
              </w:rPr>
            </w:pPr>
            <w:r>
              <w:rPr>
                <w:sz w:val="21"/>
              </w:rPr>
              <w:t>（2）受益人（及监护人）的有效身份证件；</w:t>
            </w:r>
          </w:p>
          <w:p>
            <w:pPr>
              <w:pStyle w:val="TableParagraph"/>
              <w:spacing w:before="10"/>
              <w:rPr>
                <w:b/>
                <w:sz w:val="14"/>
              </w:rPr>
            </w:pPr>
          </w:p>
          <w:p>
            <w:pPr>
              <w:pStyle w:val="TableParagraph"/>
              <w:spacing w:line="273" w:lineRule="auto"/>
              <w:ind w:left="123" w:right="206"/>
              <w:rPr>
                <w:sz w:val="21"/>
              </w:rPr>
            </w:pPr>
            <w:r>
              <w:rPr>
                <w:sz w:val="21"/>
              </w:rPr>
              <w:t>（3）国家卫生行政部门认定的医疗机构、公安部门或其他相关机构出具的被保险人的死亡证明或人民法院出具的宣告死亡证明文件；</w:t>
            </w:r>
          </w:p>
          <w:p>
            <w:pPr>
              <w:pStyle w:val="TableParagraph"/>
              <w:spacing w:line="408" w:lineRule="auto" w:before="163"/>
              <w:ind w:left="123" w:right="105"/>
              <w:rPr>
                <w:sz w:val="21"/>
              </w:rPr>
            </w:pPr>
            <w:r>
              <w:rPr>
                <w:sz w:val="21"/>
              </w:rPr>
              <w:t>（4）</w:t>
            </w:r>
            <w:r>
              <w:rPr>
                <w:spacing w:val="-3"/>
                <w:sz w:val="21"/>
              </w:rPr>
              <w:t>所能提供的与确认保险事故的性质、原因等有关的其他证明和资料。  保险金作为被保险人遗产时，必须提供可证明合法继承权的相关权利文件。</w:t>
            </w:r>
          </w:p>
          <w:p>
            <w:pPr>
              <w:pStyle w:val="TableParagraph"/>
              <w:spacing w:line="273" w:lineRule="auto" w:before="45"/>
              <w:ind w:left="123" w:right="105"/>
              <w:rPr>
                <w:sz w:val="21"/>
              </w:rPr>
            </w:pPr>
            <w:r>
              <w:rPr>
                <w:sz w:val="21"/>
              </w:rPr>
              <w:t>若委托他人办理申请保险金，还须提供授权委托书及委托人、受托人身份证件等材料。</w:t>
            </w:r>
          </w:p>
          <w:p>
            <w:pPr>
              <w:pStyle w:val="TableParagraph"/>
              <w:spacing w:line="273" w:lineRule="auto" w:before="163"/>
              <w:ind w:left="123" w:right="103"/>
              <w:rPr>
                <w:sz w:val="21"/>
              </w:rPr>
            </w:pPr>
            <w:r>
              <w:rPr>
                <w:sz w:val="21"/>
              </w:rPr>
              <w:t>以上证明和资料不完整的，我们将及时一次性通知受益人或受托人补充提供有关证明和资料。</w:t>
            </w:r>
          </w:p>
        </w:tc>
      </w:tr>
      <w:tr>
        <w:trPr>
          <w:trHeight w:val="4056" w:hRule="atLeast"/>
        </w:trPr>
        <w:tc>
          <w:tcPr>
            <w:tcW w:w="663" w:type="dxa"/>
          </w:tcPr>
          <w:p>
            <w:pPr>
              <w:pStyle w:val="TableParagraph"/>
              <w:spacing w:before="65"/>
              <w:ind w:left="108"/>
              <w:rPr>
                <w:b/>
                <w:sz w:val="21"/>
              </w:rPr>
            </w:pPr>
            <w:r>
              <w:rPr>
                <w:b/>
                <w:sz w:val="21"/>
              </w:rPr>
              <w:t>3.4</w:t>
            </w:r>
          </w:p>
        </w:tc>
        <w:tc>
          <w:tcPr>
            <w:tcW w:w="1628" w:type="dxa"/>
          </w:tcPr>
          <w:p>
            <w:pPr>
              <w:pStyle w:val="TableParagraph"/>
              <w:spacing w:before="65"/>
              <w:ind w:left="237"/>
              <w:rPr>
                <w:b/>
                <w:sz w:val="21"/>
              </w:rPr>
            </w:pPr>
            <w:r>
              <w:rPr>
                <w:b/>
                <w:sz w:val="21"/>
              </w:rPr>
              <w:t>保险金给付</w:t>
            </w:r>
          </w:p>
        </w:tc>
        <w:tc>
          <w:tcPr>
            <w:tcW w:w="7373" w:type="dxa"/>
          </w:tcPr>
          <w:p>
            <w:pPr>
              <w:pStyle w:val="TableParagraph"/>
              <w:spacing w:before="65"/>
              <w:ind w:left="123"/>
              <w:rPr>
                <w:sz w:val="21"/>
              </w:rPr>
            </w:pPr>
            <w:r>
              <w:rPr>
                <w:sz w:val="21"/>
              </w:rPr>
              <w:t>我们在收到保险金给付申请书及本合同约定的证明和资料后，将在 3 日内作出</w:t>
            </w:r>
          </w:p>
          <w:p>
            <w:pPr>
              <w:pStyle w:val="TableParagraph"/>
              <w:spacing w:before="37"/>
              <w:ind w:left="123"/>
              <w:rPr>
                <w:sz w:val="21"/>
              </w:rPr>
            </w:pPr>
            <w:r>
              <w:rPr>
                <w:sz w:val="21"/>
              </w:rPr>
              <w:t>核定；情形复杂的，在 30 日内作出核定。对属于保险责任的，我们在与受益</w:t>
            </w:r>
          </w:p>
          <w:p>
            <w:pPr>
              <w:pStyle w:val="TableParagraph"/>
              <w:spacing w:before="37"/>
              <w:ind w:left="123"/>
              <w:rPr>
                <w:sz w:val="21"/>
              </w:rPr>
            </w:pPr>
            <w:r>
              <w:rPr>
                <w:sz w:val="21"/>
              </w:rPr>
              <w:t>人达成给付保险金的协议后 10 日内，履行给付保险金义务。</w:t>
            </w:r>
          </w:p>
          <w:p>
            <w:pPr>
              <w:pStyle w:val="TableParagraph"/>
              <w:spacing w:before="10"/>
              <w:rPr>
                <w:b/>
                <w:sz w:val="14"/>
              </w:rPr>
            </w:pPr>
          </w:p>
          <w:p>
            <w:pPr>
              <w:pStyle w:val="TableParagraph"/>
              <w:spacing w:line="273" w:lineRule="auto"/>
              <w:ind w:left="123" w:right="103"/>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left="123" w:right="103"/>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left="123" w:right="105"/>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2221" w:hRule="atLeast"/>
        </w:trPr>
        <w:tc>
          <w:tcPr>
            <w:tcW w:w="663" w:type="dxa"/>
          </w:tcPr>
          <w:p>
            <w:pPr>
              <w:pStyle w:val="TableParagraph"/>
              <w:spacing w:before="65"/>
              <w:ind w:left="108"/>
              <w:rPr>
                <w:b/>
                <w:sz w:val="21"/>
              </w:rPr>
            </w:pPr>
            <w:r>
              <w:rPr>
                <w:b/>
                <w:sz w:val="21"/>
              </w:rPr>
              <w:t>3.5</w:t>
            </w:r>
          </w:p>
        </w:tc>
        <w:tc>
          <w:tcPr>
            <w:tcW w:w="1628" w:type="dxa"/>
          </w:tcPr>
          <w:p>
            <w:pPr>
              <w:pStyle w:val="TableParagraph"/>
              <w:spacing w:before="65"/>
              <w:ind w:left="237"/>
              <w:rPr>
                <w:b/>
                <w:sz w:val="21"/>
              </w:rPr>
            </w:pPr>
            <w:r>
              <w:rPr>
                <w:b/>
                <w:sz w:val="21"/>
              </w:rPr>
              <w:t>宣告死亡处理</w:t>
            </w:r>
          </w:p>
        </w:tc>
        <w:tc>
          <w:tcPr>
            <w:tcW w:w="7373" w:type="dxa"/>
          </w:tcPr>
          <w:p>
            <w:pPr>
              <w:pStyle w:val="TableParagraph"/>
              <w:spacing w:line="273" w:lineRule="auto" w:before="65"/>
              <w:ind w:left="123" w:right="105"/>
              <w:rPr>
                <w:sz w:val="21"/>
              </w:rPr>
            </w:pPr>
            <w:r>
              <w:rPr>
                <w:sz w:val="21"/>
              </w:rPr>
              <w:t>被保险人在本合同有效期间内失踪，如经法院宣告死亡，我们依本合同规定给付身故保险金，本合同效力终止。</w:t>
            </w:r>
          </w:p>
          <w:p>
            <w:pPr>
              <w:pStyle w:val="TableParagraph"/>
              <w:spacing w:line="273" w:lineRule="auto" w:before="164"/>
              <w:ind w:left="123" w:right="102"/>
              <w:rPr>
                <w:sz w:val="21"/>
              </w:rPr>
            </w:pPr>
            <w:r>
              <w:rPr>
                <w:spacing w:val="-3"/>
                <w:sz w:val="21"/>
              </w:rPr>
              <w:t>若被保险人在宣告死亡后重新出现或者确知其没有死亡，身故保险金受益人应</w:t>
            </w:r>
            <w:r>
              <w:rPr>
                <w:spacing w:val="-8"/>
                <w:sz w:val="21"/>
              </w:rPr>
              <w:t>于知道此情况后 </w:t>
            </w:r>
            <w:r>
              <w:rPr>
                <w:sz w:val="21"/>
              </w:rPr>
              <w:t>30</w:t>
            </w:r>
            <w:r>
              <w:rPr>
                <w:spacing w:val="-8"/>
                <w:sz w:val="21"/>
              </w:rPr>
              <w:t> 日内向我们退还已领取的保险金，我们亦有权在知道前述</w:t>
            </w:r>
            <w:r>
              <w:rPr>
                <w:spacing w:val="-5"/>
                <w:sz w:val="21"/>
              </w:rPr>
              <w:t>情况后追回已给付的保险金。在失踪期间有应给付其他保险金的，我们依约给付。</w:t>
            </w:r>
          </w:p>
        </w:tc>
      </w:tr>
      <w:tr>
        <w:trPr>
          <w:trHeight w:val="906" w:hRule="atLeast"/>
        </w:trPr>
        <w:tc>
          <w:tcPr>
            <w:tcW w:w="663" w:type="dxa"/>
          </w:tcPr>
          <w:p>
            <w:pPr>
              <w:pStyle w:val="TableParagraph"/>
              <w:spacing w:before="102"/>
              <w:ind w:left="108"/>
              <w:rPr>
                <w:b/>
                <w:sz w:val="21"/>
              </w:rPr>
            </w:pPr>
            <w:r>
              <w:rPr>
                <w:b/>
                <w:sz w:val="21"/>
              </w:rPr>
              <w:t>3.6</w:t>
            </w:r>
          </w:p>
        </w:tc>
        <w:tc>
          <w:tcPr>
            <w:tcW w:w="1628" w:type="dxa"/>
          </w:tcPr>
          <w:p>
            <w:pPr>
              <w:pStyle w:val="TableParagraph"/>
              <w:spacing w:before="102"/>
              <w:ind w:left="237"/>
              <w:rPr>
                <w:b/>
                <w:sz w:val="21"/>
              </w:rPr>
            </w:pPr>
            <w:r>
              <w:rPr>
                <w:b/>
                <w:sz w:val="21"/>
              </w:rPr>
              <w:t>诉讼时效</w:t>
            </w:r>
          </w:p>
        </w:tc>
        <w:tc>
          <w:tcPr>
            <w:tcW w:w="7373" w:type="dxa"/>
          </w:tcPr>
          <w:p>
            <w:pPr>
              <w:pStyle w:val="TableParagraph"/>
              <w:spacing w:line="273" w:lineRule="auto" w:before="102"/>
              <w:ind w:left="123" w:right="102"/>
              <w:rPr>
                <w:sz w:val="21"/>
              </w:rPr>
            </w:pPr>
            <w:r>
              <w:rPr>
                <w:spacing w:val="-5"/>
                <w:sz w:val="21"/>
              </w:rPr>
              <w:t>被保险人或受益人向我们申请给付保险金的诉讼时效期间为 </w:t>
            </w:r>
            <w:r>
              <w:rPr>
                <w:sz w:val="21"/>
              </w:rPr>
              <w:t>2</w:t>
            </w:r>
            <w:r>
              <w:rPr>
                <w:spacing w:val="-8"/>
                <w:sz w:val="21"/>
              </w:rPr>
              <w:t> 年，自其知道或</w:t>
            </w:r>
            <w:r>
              <w:rPr>
                <w:spacing w:val="-5"/>
                <w:sz w:val="21"/>
              </w:rPr>
              <w:t>者应当知道保险事故发生之日起计算。</w:t>
            </w:r>
          </w:p>
        </w:tc>
      </w:tr>
      <w:tr>
        <w:trPr>
          <w:trHeight w:val="702" w:hRule="atLeast"/>
        </w:trPr>
        <w:tc>
          <w:tcPr>
            <w:tcW w:w="663" w:type="dxa"/>
            <w:tcBorders>
              <w:bottom w:val="single" w:sz="8" w:space="0" w:color="000000"/>
            </w:tcBorders>
          </w:tcPr>
          <w:p>
            <w:pPr>
              <w:pStyle w:val="TableParagraph"/>
              <w:spacing w:before="144"/>
              <w:ind w:left="108"/>
              <w:rPr>
                <w:b/>
                <w:sz w:val="24"/>
              </w:rPr>
            </w:pPr>
            <w:r>
              <w:rPr>
                <w:b/>
                <w:sz w:val="24"/>
              </w:rPr>
              <w:t>4.</w:t>
            </w:r>
          </w:p>
        </w:tc>
        <w:tc>
          <w:tcPr>
            <w:tcW w:w="9001" w:type="dxa"/>
            <w:gridSpan w:val="2"/>
            <w:tcBorders>
              <w:bottom w:val="single" w:sz="8" w:space="0" w:color="000000"/>
            </w:tcBorders>
          </w:tcPr>
          <w:p>
            <w:pPr>
              <w:pStyle w:val="TableParagraph"/>
              <w:spacing w:before="144"/>
              <w:ind w:left="237"/>
              <w:rPr>
                <w:b/>
                <w:sz w:val="24"/>
              </w:rPr>
            </w:pPr>
            <w:r>
              <w:rPr>
                <w:b/>
                <w:w w:val="95"/>
                <w:sz w:val="24"/>
              </w:rPr>
              <w:t>保险费的交纳</w:t>
            </w:r>
          </w:p>
        </w:tc>
      </w:tr>
      <w:tr>
        <w:trPr>
          <w:trHeight w:val="1321" w:hRule="atLeast"/>
        </w:trPr>
        <w:tc>
          <w:tcPr>
            <w:tcW w:w="663" w:type="dxa"/>
            <w:tcBorders>
              <w:top w:val="single" w:sz="8" w:space="0" w:color="000000"/>
            </w:tcBorders>
          </w:tcPr>
          <w:p>
            <w:pPr>
              <w:pStyle w:val="TableParagraph"/>
              <w:spacing w:before="138"/>
              <w:ind w:left="108"/>
              <w:rPr>
                <w:b/>
                <w:sz w:val="21"/>
              </w:rPr>
            </w:pPr>
            <w:r>
              <w:rPr>
                <w:b/>
                <w:sz w:val="21"/>
              </w:rPr>
              <w:t>4.1</w:t>
            </w:r>
          </w:p>
        </w:tc>
        <w:tc>
          <w:tcPr>
            <w:tcW w:w="1628" w:type="dxa"/>
            <w:tcBorders>
              <w:top w:val="single" w:sz="8" w:space="0" w:color="000000"/>
            </w:tcBorders>
          </w:tcPr>
          <w:p>
            <w:pPr>
              <w:pStyle w:val="TableParagraph"/>
              <w:spacing w:before="138"/>
              <w:ind w:left="237"/>
              <w:rPr>
                <w:b/>
                <w:sz w:val="21"/>
              </w:rPr>
            </w:pPr>
            <w:r>
              <w:rPr>
                <w:b/>
                <w:sz w:val="21"/>
              </w:rPr>
              <w:t>保险费的交纳</w:t>
            </w:r>
          </w:p>
        </w:tc>
        <w:tc>
          <w:tcPr>
            <w:tcW w:w="7373" w:type="dxa"/>
            <w:tcBorders>
              <w:top w:val="single" w:sz="8" w:space="0" w:color="000000"/>
            </w:tcBorders>
          </w:tcPr>
          <w:p>
            <w:pPr>
              <w:pStyle w:val="TableParagraph"/>
              <w:spacing w:before="138"/>
              <w:ind w:left="123"/>
              <w:rPr>
                <w:sz w:val="21"/>
              </w:rPr>
            </w:pPr>
            <w:r>
              <w:rPr>
                <w:sz w:val="21"/>
              </w:rPr>
              <w:t>本合同的交费方式和交费期间由您和我们约定并在保险单上载明。</w:t>
            </w:r>
          </w:p>
          <w:p>
            <w:pPr>
              <w:pStyle w:val="TableParagraph"/>
              <w:spacing w:before="9"/>
              <w:rPr>
                <w:b/>
                <w:sz w:val="14"/>
              </w:rPr>
            </w:pPr>
          </w:p>
          <w:p>
            <w:pPr>
              <w:pStyle w:val="TableParagraph"/>
              <w:spacing w:line="273" w:lineRule="auto"/>
              <w:ind w:left="123" w:right="108"/>
              <w:rPr>
                <w:sz w:val="21"/>
              </w:rPr>
            </w:pPr>
            <w:r>
              <w:rPr>
                <w:sz w:val="21"/>
              </w:rPr>
              <w:t>分期支付保险费的，在交纳首期保险费后，您应当按照约定，在每个保险费约定交纳日交纳其余各期的保险费。</w:t>
            </w:r>
          </w:p>
        </w:tc>
      </w:tr>
      <w:tr>
        <w:trPr>
          <w:trHeight w:val="651" w:hRule="atLeast"/>
        </w:trPr>
        <w:tc>
          <w:tcPr>
            <w:tcW w:w="663" w:type="dxa"/>
          </w:tcPr>
          <w:p>
            <w:pPr>
              <w:pStyle w:val="TableParagraph"/>
              <w:spacing w:before="64"/>
              <w:ind w:left="108"/>
              <w:rPr>
                <w:b/>
                <w:sz w:val="21"/>
              </w:rPr>
            </w:pPr>
            <w:r>
              <w:rPr>
                <w:b/>
                <w:sz w:val="21"/>
              </w:rPr>
              <w:t>4.2</w:t>
            </w:r>
          </w:p>
        </w:tc>
        <w:tc>
          <w:tcPr>
            <w:tcW w:w="1628" w:type="dxa"/>
          </w:tcPr>
          <w:p>
            <w:pPr>
              <w:pStyle w:val="TableParagraph"/>
              <w:spacing w:before="64"/>
              <w:ind w:left="237"/>
              <w:rPr>
                <w:b/>
                <w:sz w:val="21"/>
              </w:rPr>
            </w:pPr>
            <w:r>
              <w:rPr>
                <w:b/>
                <w:sz w:val="21"/>
              </w:rPr>
              <w:t>宽限期</w:t>
            </w:r>
          </w:p>
        </w:tc>
        <w:tc>
          <w:tcPr>
            <w:tcW w:w="7373" w:type="dxa"/>
          </w:tcPr>
          <w:p>
            <w:pPr>
              <w:pStyle w:val="TableParagraph"/>
              <w:spacing w:line="310" w:lineRule="atLeast" w:before="29"/>
              <w:ind w:left="123" w:right="108"/>
              <w:rPr>
                <w:sz w:val="21"/>
              </w:rPr>
            </w:pPr>
            <w:r>
              <w:rPr>
                <w:sz w:val="21"/>
              </w:rPr>
              <w:t>分期支付保险费的，您支付首期保险费后，除本合同另有约定外，如果您到期未支付保险费，自保险费约定交纳日的次日零时起 60 日为宽限期。宽限期内</w:t>
            </w:r>
          </w:p>
        </w:tc>
      </w:tr>
    </w:tbl>
    <w:p>
      <w:pPr>
        <w:spacing w:after="0" w:line="310" w:lineRule="atLeast"/>
        <w:rPr>
          <w:sz w:val="21"/>
        </w:rPr>
        <w:sectPr>
          <w:pgSz w:w="11910" w:h="16840"/>
          <w:pgMar w:header="0" w:footer="925" w:top="1160" w:bottom="1120" w:left="860" w:right="11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1448" w:hRule="atLeast"/>
        </w:trPr>
        <w:tc>
          <w:tcPr>
            <w:tcW w:w="663" w:type="dxa"/>
          </w:tcPr>
          <w:p>
            <w:pPr>
              <w:pStyle w:val="TableParagraph"/>
              <w:rPr>
                <w:rFonts w:ascii="Times New Roman"/>
                <w:sz w:val="20"/>
              </w:rPr>
            </w:pPr>
          </w:p>
        </w:tc>
        <w:tc>
          <w:tcPr>
            <w:tcW w:w="1628" w:type="dxa"/>
          </w:tcPr>
          <w:p>
            <w:pPr>
              <w:pStyle w:val="TableParagraph"/>
              <w:rPr>
                <w:rFonts w:ascii="Times New Roman"/>
                <w:sz w:val="20"/>
              </w:rPr>
            </w:pPr>
          </w:p>
        </w:tc>
        <w:tc>
          <w:tcPr>
            <w:tcW w:w="7373" w:type="dxa"/>
          </w:tcPr>
          <w:p>
            <w:pPr>
              <w:pStyle w:val="TableParagraph"/>
              <w:spacing w:line="211" w:lineRule="exact"/>
              <w:ind w:left="123"/>
              <w:rPr>
                <w:sz w:val="21"/>
              </w:rPr>
            </w:pPr>
            <w:r>
              <w:rPr>
                <w:sz w:val="21"/>
              </w:rPr>
              <w:t>发生的保险事故，我们仍会承担保险责任，但在给付保险金时会从中扣减您欠</w:t>
            </w:r>
          </w:p>
          <w:p>
            <w:pPr>
              <w:pStyle w:val="TableParagraph"/>
              <w:spacing w:before="37"/>
              <w:ind w:left="123"/>
              <w:rPr>
                <w:sz w:val="21"/>
              </w:rPr>
            </w:pPr>
            <w:r>
              <w:rPr>
                <w:sz w:val="21"/>
              </w:rPr>
              <w:t>交的保险费。</w:t>
            </w:r>
          </w:p>
          <w:p>
            <w:pPr>
              <w:pStyle w:val="TableParagraph"/>
              <w:spacing w:before="10"/>
              <w:rPr>
                <w:b/>
                <w:sz w:val="14"/>
              </w:rPr>
            </w:pPr>
          </w:p>
          <w:p>
            <w:pPr>
              <w:pStyle w:val="TableParagraph"/>
              <w:spacing w:line="273" w:lineRule="auto"/>
              <w:ind w:left="123" w:right="103"/>
              <w:rPr>
                <w:sz w:val="21"/>
              </w:rPr>
            </w:pPr>
            <w:r>
              <w:rPr>
                <w:sz w:val="21"/>
              </w:rPr>
              <w:t>如果您宽限期结束之后仍未支付保险费，则本合同自宽限期满的次日零时起效力中止。</w:t>
            </w:r>
          </w:p>
        </w:tc>
      </w:tr>
      <w:tr>
        <w:trPr>
          <w:trHeight w:val="629" w:hRule="atLeast"/>
        </w:trPr>
        <w:tc>
          <w:tcPr>
            <w:tcW w:w="663" w:type="dxa"/>
            <w:tcBorders>
              <w:bottom w:val="single" w:sz="8" w:space="0" w:color="000000"/>
            </w:tcBorders>
          </w:tcPr>
          <w:p>
            <w:pPr>
              <w:pStyle w:val="TableParagraph"/>
              <w:spacing w:before="70"/>
              <w:ind w:left="108"/>
              <w:rPr>
                <w:b/>
                <w:sz w:val="24"/>
              </w:rPr>
            </w:pPr>
            <w:r>
              <w:rPr>
                <w:b/>
                <w:sz w:val="24"/>
              </w:rPr>
              <w:t>5.</w:t>
            </w:r>
          </w:p>
        </w:tc>
        <w:tc>
          <w:tcPr>
            <w:tcW w:w="9001" w:type="dxa"/>
            <w:gridSpan w:val="2"/>
            <w:tcBorders>
              <w:bottom w:val="single" w:sz="8" w:space="0" w:color="000000"/>
            </w:tcBorders>
          </w:tcPr>
          <w:p>
            <w:pPr>
              <w:pStyle w:val="TableParagraph"/>
              <w:spacing w:before="70"/>
              <w:ind w:left="237"/>
              <w:rPr>
                <w:b/>
                <w:sz w:val="24"/>
              </w:rPr>
            </w:pPr>
            <w:r>
              <w:rPr>
                <w:b/>
                <w:w w:val="95"/>
                <w:sz w:val="24"/>
              </w:rPr>
              <w:t>现金价值权益</w:t>
            </w:r>
          </w:p>
        </w:tc>
      </w:tr>
      <w:tr>
        <w:trPr>
          <w:trHeight w:val="2101" w:hRule="atLeast"/>
        </w:trPr>
        <w:tc>
          <w:tcPr>
            <w:tcW w:w="663" w:type="dxa"/>
            <w:tcBorders>
              <w:top w:val="single" w:sz="8" w:space="0" w:color="000000"/>
            </w:tcBorders>
          </w:tcPr>
          <w:p>
            <w:pPr>
              <w:pStyle w:val="TableParagraph"/>
              <w:spacing w:before="138"/>
              <w:ind w:left="108"/>
              <w:rPr>
                <w:b/>
                <w:sz w:val="21"/>
              </w:rPr>
            </w:pPr>
            <w:r>
              <w:rPr>
                <w:b/>
                <w:sz w:val="21"/>
              </w:rPr>
              <w:t>5.1</w:t>
            </w:r>
          </w:p>
        </w:tc>
        <w:tc>
          <w:tcPr>
            <w:tcW w:w="1628" w:type="dxa"/>
            <w:tcBorders>
              <w:top w:val="single" w:sz="8" w:space="0" w:color="000000"/>
            </w:tcBorders>
          </w:tcPr>
          <w:p>
            <w:pPr>
              <w:pStyle w:val="TableParagraph"/>
              <w:spacing w:before="138"/>
              <w:ind w:left="237"/>
              <w:rPr>
                <w:b/>
                <w:sz w:val="21"/>
              </w:rPr>
            </w:pPr>
            <w:r>
              <w:rPr>
                <w:b/>
                <w:sz w:val="21"/>
              </w:rPr>
              <w:t>现金价值</w:t>
            </w:r>
          </w:p>
        </w:tc>
        <w:tc>
          <w:tcPr>
            <w:tcW w:w="7373" w:type="dxa"/>
            <w:tcBorders>
              <w:top w:val="single" w:sz="8" w:space="0" w:color="000000"/>
            </w:tcBorders>
          </w:tcPr>
          <w:p>
            <w:pPr>
              <w:pStyle w:val="TableParagraph"/>
              <w:spacing w:line="273" w:lineRule="auto" w:before="138"/>
              <w:ind w:left="123" w:right="108"/>
              <w:rPr>
                <w:sz w:val="21"/>
              </w:rPr>
            </w:pPr>
            <w:r>
              <w:rPr>
                <w:sz w:val="21"/>
              </w:rPr>
              <w:t>指保险单所具有的价值，通常体现为解除合同时，根据精算原理计算的，由我们退还的那部分金额。</w:t>
            </w:r>
          </w:p>
          <w:p>
            <w:pPr>
              <w:pStyle w:val="TableParagraph"/>
              <w:spacing w:line="273" w:lineRule="auto" w:before="163"/>
              <w:ind w:left="123" w:right="103"/>
              <w:rPr>
                <w:sz w:val="21"/>
              </w:rPr>
            </w:pPr>
            <w:r>
              <w:rPr>
                <w:sz w:val="21"/>
              </w:rPr>
              <w:t>我们会在保险单或批注上载明本合同保险单年度末的现金价值。如果您需要了解保险单年度内的现金价值，可向我们查询。</w:t>
            </w:r>
          </w:p>
          <w:p>
            <w:pPr>
              <w:pStyle w:val="TableParagraph"/>
              <w:spacing w:before="163"/>
              <w:ind w:left="123"/>
              <w:rPr>
                <w:sz w:val="21"/>
              </w:rPr>
            </w:pPr>
            <w:r>
              <w:rPr>
                <w:sz w:val="21"/>
              </w:rPr>
              <w:t>若基本保险金额发生变更，则现金价值将按变更后的基本保险金额重新计算。</w:t>
            </w:r>
          </w:p>
        </w:tc>
      </w:tr>
      <w:tr>
        <w:trPr>
          <w:trHeight w:val="2808" w:hRule="atLeast"/>
        </w:trPr>
        <w:tc>
          <w:tcPr>
            <w:tcW w:w="663" w:type="dxa"/>
          </w:tcPr>
          <w:p>
            <w:pPr>
              <w:pStyle w:val="TableParagraph"/>
              <w:spacing w:before="65"/>
              <w:ind w:left="108"/>
              <w:rPr>
                <w:b/>
                <w:sz w:val="21"/>
              </w:rPr>
            </w:pPr>
            <w:r>
              <w:rPr>
                <w:b/>
                <w:sz w:val="21"/>
              </w:rPr>
              <w:t>5.2</w:t>
            </w:r>
          </w:p>
        </w:tc>
        <w:tc>
          <w:tcPr>
            <w:tcW w:w="1628" w:type="dxa"/>
          </w:tcPr>
          <w:p>
            <w:pPr>
              <w:pStyle w:val="TableParagraph"/>
              <w:spacing w:before="65"/>
              <w:ind w:left="237"/>
              <w:rPr>
                <w:b/>
                <w:sz w:val="21"/>
              </w:rPr>
            </w:pPr>
            <w:r>
              <w:rPr>
                <w:b/>
                <w:sz w:val="21"/>
              </w:rPr>
              <w:t>保单贷款</w:t>
            </w:r>
          </w:p>
        </w:tc>
        <w:tc>
          <w:tcPr>
            <w:tcW w:w="7373" w:type="dxa"/>
          </w:tcPr>
          <w:p>
            <w:pPr>
              <w:pStyle w:val="TableParagraph"/>
              <w:spacing w:line="273" w:lineRule="auto" w:before="65"/>
              <w:ind w:left="123" w:right="102"/>
              <w:rPr>
                <w:sz w:val="21"/>
              </w:rPr>
            </w:pPr>
            <w:r>
              <w:rPr>
                <w:spacing w:val="-3"/>
                <w:sz w:val="21"/>
              </w:rPr>
              <w:t>在本合同有效期间内，您可以书面申请并经被保险人书面同意由我们审核同意后办理保单贷款。贷款金额不得超过本合同现金价值扣除各项欠款及利息后余</w:t>
            </w:r>
            <w:r>
              <w:rPr>
                <w:spacing w:val="-19"/>
                <w:sz w:val="21"/>
              </w:rPr>
              <w:t>额的 </w:t>
            </w:r>
            <w:r>
              <w:rPr>
                <w:sz w:val="21"/>
              </w:rPr>
              <w:t>70</w:t>
            </w:r>
            <w:r>
              <w:rPr>
                <w:spacing w:val="-7"/>
                <w:sz w:val="21"/>
              </w:rPr>
              <w:t>%，每次贷款期限最长不超过 </w:t>
            </w:r>
            <w:r>
              <w:rPr>
                <w:sz w:val="21"/>
              </w:rPr>
              <w:t>6</w:t>
            </w:r>
            <w:r>
              <w:rPr>
                <w:spacing w:val="-15"/>
                <w:sz w:val="21"/>
              </w:rPr>
              <w:t> 个月，</w:t>
            </w:r>
            <w:r>
              <w:rPr>
                <w:b/>
                <w:spacing w:val="-2"/>
                <w:sz w:val="21"/>
              </w:rPr>
              <w:t>贷款利率</w:t>
            </w:r>
            <w:r>
              <w:rPr>
                <w:sz w:val="21"/>
              </w:rPr>
              <w:t>（</w:t>
            </w:r>
            <w:r>
              <w:rPr>
                <w:spacing w:val="-26"/>
                <w:sz w:val="21"/>
              </w:rPr>
              <w:t>见 </w:t>
            </w:r>
            <w:r>
              <w:rPr>
                <w:sz w:val="21"/>
              </w:rPr>
              <w:t>10.20）</w:t>
            </w:r>
            <w:r>
              <w:rPr>
                <w:spacing w:val="-3"/>
                <w:sz w:val="21"/>
              </w:rPr>
              <w:t>按您与我们签订的贷款协议中约定的利率执行。贷款本息在贷款到期时一并归还。若您到期未能足额偿还贷款本息，则您所欠的贷款本金及</w:t>
            </w:r>
            <w:r>
              <w:rPr>
                <w:b/>
                <w:sz w:val="21"/>
              </w:rPr>
              <w:t>利息</w:t>
            </w:r>
            <w:r>
              <w:rPr>
                <w:spacing w:val="-3"/>
                <w:sz w:val="21"/>
              </w:rPr>
              <w:t>（</w:t>
            </w:r>
            <w:r>
              <w:rPr>
                <w:spacing w:val="-19"/>
                <w:sz w:val="21"/>
              </w:rPr>
              <w:t>见 </w:t>
            </w:r>
            <w:r>
              <w:rPr>
                <w:sz w:val="21"/>
              </w:rPr>
              <w:t>10.21）</w:t>
            </w:r>
            <w:r>
              <w:rPr>
                <w:spacing w:val="-3"/>
                <w:sz w:val="21"/>
              </w:rPr>
              <w:t>将作为新的贷款本金，按下一贷款期内的贷款利率计息。</w:t>
            </w:r>
          </w:p>
          <w:p>
            <w:pPr>
              <w:pStyle w:val="TableParagraph"/>
              <w:spacing w:line="273" w:lineRule="auto" w:before="164"/>
              <w:ind w:left="123" w:right="55"/>
              <w:rPr>
                <w:b/>
                <w:sz w:val="21"/>
              </w:rPr>
            </w:pPr>
            <w:r>
              <w:rPr>
                <w:b/>
                <w:sz w:val="21"/>
              </w:rPr>
              <w:t>当未还贷款本金及利息加上其他各项欠款及利息达到本合同现金价值时，本合同的效力即行中止。</w:t>
            </w:r>
          </w:p>
        </w:tc>
      </w:tr>
      <w:tr>
        <w:trPr>
          <w:trHeight w:val="2808" w:hRule="atLeast"/>
        </w:trPr>
        <w:tc>
          <w:tcPr>
            <w:tcW w:w="663" w:type="dxa"/>
          </w:tcPr>
          <w:p>
            <w:pPr>
              <w:pStyle w:val="TableParagraph"/>
              <w:spacing w:before="64"/>
              <w:ind w:left="108"/>
              <w:rPr>
                <w:b/>
                <w:sz w:val="21"/>
              </w:rPr>
            </w:pPr>
            <w:r>
              <w:rPr>
                <w:b/>
                <w:sz w:val="21"/>
              </w:rPr>
              <w:t>5.3</w:t>
            </w:r>
          </w:p>
        </w:tc>
        <w:tc>
          <w:tcPr>
            <w:tcW w:w="1628" w:type="dxa"/>
          </w:tcPr>
          <w:p>
            <w:pPr>
              <w:pStyle w:val="TableParagraph"/>
              <w:spacing w:line="273" w:lineRule="auto" w:before="64"/>
              <w:ind w:left="237" w:right="121"/>
              <w:rPr>
                <w:b/>
                <w:sz w:val="21"/>
              </w:rPr>
            </w:pPr>
            <w:r>
              <w:rPr>
                <w:b/>
                <w:sz w:val="21"/>
              </w:rPr>
              <w:t>保险费自动垫交</w:t>
            </w:r>
          </w:p>
        </w:tc>
        <w:tc>
          <w:tcPr>
            <w:tcW w:w="7373" w:type="dxa"/>
          </w:tcPr>
          <w:p>
            <w:pPr>
              <w:pStyle w:val="TableParagraph"/>
              <w:spacing w:line="273" w:lineRule="auto" w:before="64"/>
              <w:ind w:left="123" w:right="103"/>
              <w:jc w:val="both"/>
              <w:rPr>
                <w:b/>
                <w:sz w:val="21"/>
              </w:rPr>
            </w:pPr>
            <w:r>
              <w:rPr>
                <w:spacing w:val="-3"/>
                <w:sz w:val="21"/>
              </w:rPr>
              <w:t>在本合同有效期间内，您可以书面申请并经我们审核同意后办理保险费自动垫交。本合同首期保险费后的分期保险费逾宽限期仍未交付时，且此时本合同现金价值扣除各项欠款及利息后足以垫付当期本合同欠交的保险费及利息，则我</w:t>
            </w:r>
            <w:r>
              <w:rPr>
                <w:spacing w:val="-4"/>
                <w:sz w:val="21"/>
              </w:rPr>
              <w:t>们将以本合同现金价值垫付当期欠交的保险费及利息；</w:t>
            </w:r>
            <w:r>
              <w:rPr>
                <w:b/>
                <w:spacing w:val="-1"/>
                <w:sz w:val="21"/>
              </w:rPr>
              <w:t>如当时本合同现金价值</w:t>
            </w:r>
            <w:r>
              <w:rPr>
                <w:b/>
                <w:spacing w:val="-4"/>
                <w:sz w:val="21"/>
              </w:rPr>
              <w:t>扣除各项欠款及利息后不足以垫付当期本合同欠交的保险费及利息时，本合同的效力即中止。</w:t>
            </w:r>
          </w:p>
          <w:p>
            <w:pPr>
              <w:pStyle w:val="TableParagraph"/>
              <w:spacing w:line="273" w:lineRule="auto" w:before="163"/>
              <w:ind w:left="123" w:right="108"/>
              <w:jc w:val="both"/>
              <w:rPr>
                <w:b/>
                <w:sz w:val="21"/>
              </w:rPr>
            </w:pPr>
            <w:r>
              <w:rPr>
                <w:b/>
                <w:spacing w:val="-4"/>
                <w:sz w:val="21"/>
              </w:rPr>
              <w:t>在保险费自动垫交期间，若发生本合同解除或保险金给付，我们将在您偿清垫</w:t>
            </w:r>
            <w:r>
              <w:rPr>
                <w:b/>
                <w:spacing w:val="-3"/>
                <w:sz w:val="21"/>
              </w:rPr>
              <w:t>交的保险费及利息后给付本合同现金价值或保险金。</w:t>
            </w:r>
          </w:p>
        </w:tc>
      </w:tr>
      <w:tr>
        <w:trPr>
          <w:trHeight w:val="2979" w:hRule="atLeast"/>
        </w:trPr>
        <w:tc>
          <w:tcPr>
            <w:tcW w:w="663" w:type="dxa"/>
          </w:tcPr>
          <w:p>
            <w:pPr>
              <w:pStyle w:val="TableParagraph"/>
              <w:spacing w:before="64"/>
              <w:ind w:left="108"/>
              <w:rPr>
                <w:b/>
                <w:sz w:val="21"/>
              </w:rPr>
            </w:pPr>
            <w:r>
              <w:rPr>
                <w:b/>
                <w:sz w:val="21"/>
              </w:rPr>
              <w:t>5.4</w:t>
            </w:r>
          </w:p>
        </w:tc>
        <w:tc>
          <w:tcPr>
            <w:tcW w:w="1628" w:type="dxa"/>
          </w:tcPr>
          <w:p>
            <w:pPr>
              <w:pStyle w:val="TableParagraph"/>
              <w:spacing w:line="273" w:lineRule="auto" w:before="64"/>
              <w:ind w:left="237" w:right="121"/>
              <w:rPr>
                <w:b/>
                <w:sz w:val="21"/>
              </w:rPr>
            </w:pPr>
            <w:r>
              <w:rPr>
                <w:b/>
                <w:sz w:val="21"/>
              </w:rPr>
              <w:t>减少基本保险金额</w:t>
            </w:r>
          </w:p>
        </w:tc>
        <w:tc>
          <w:tcPr>
            <w:tcW w:w="7373" w:type="dxa"/>
          </w:tcPr>
          <w:p>
            <w:pPr>
              <w:pStyle w:val="TableParagraph"/>
              <w:spacing w:line="273" w:lineRule="auto" w:before="64"/>
              <w:ind w:left="123" w:right="102"/>
              <w:jc w:val="both"/>
              <w:rPr>
                <w:sz w:val="21"/>
              </w:rPr>
            </w:pPr>
            <w:r>
              <w:rPr>
                <w:sz w:val="21"/>
              </w:rPr>
              <w:t>在本合同有效期间内，您可以书面申请减少基本保险金额，但减少后的基本保险金额不得低于申请减额时我们规定的最低承保金额。我们按减少后的基本保险金额承担保险责任。</w:t>
            </w:r>
          </w:p>
          <w:p>
            <w:pPr>
              <w:pStyle w:val="TableParagraph"/>
              <w:spacing w:line="273" w:lineRule="auto" w:before="163"/>
              <w:ind w:left="123" w:right="103"/>
              <w:rPr>
                <w:sz w:val="21"/>
              </w:rPr>
            </w:pPr>
            <w:r>
              <w:rPr>
                <w:spacing w:val="-3"/>
                <w:sz w:val="21"/>
              </w:rPr>
              <w:t>我们按本合同约定退还基本保险金额的减少部分的现金价值。同时，根据本合</w:t>
            </w:r>
            <w:r>
              <w:rPr>
                <w:spacing w:val="-8"/>
                <w:w w:val="100"/>
                <w:sz w:val="21"/>
              </w:rPr>
              <w:t>同条款应给付保险金的计算依据“累计所交保险费”，需按照本次变更后的基</w:t>
            </w:r>
            <w:r>
              <w:rPr>
                <w:spacing w:val="-5"/>
                <w:sz w:val="21"/>
              </w:rPr>
              <w:t>本保险金额所对应的保险费进行调整。</w:t>
            </w:r>
          </w:p>
          <w:p>
            <w:pPr>
              <w:pStyle w:val="TableParagraph"/>
              <w:spacing w:line="273" w:lineRule="auto" w:before="163"/>
              <w:ind w:left="123" w:right="54"/>
              <w:rPr>
                <w:b/>
                <w:sz w:val="21"/>
              </w:rPr>
            </w:pPr>
            <w:r>
              <w:rPr>
                <w:b/>
                <w:sz w:val="21"/>
              </w:rPr>
              <w:t>若我们已依本合同给付任意一项保险金责任且本合同继续有效的情况下，则不再接受任何变更本合同基本保险金额的申请。</w:t>
            </w:r>
          </w:p>
        </w:tc>
      </w:tr>
      <w:tr>
        <w:trPr>
          <w:trHeight w:val="627" w:hRule="atLeast"/>
        </w:trPr>
        <w:tc>
          <w:tcPr>
            <w:tcW w:w="663" w:type="dxa"/>
            <w:tcBorders>
              <w:bottom w:val="single" w:sz="8" w:space="0" w:color="000000"/>
            </w:tcBorders>
          </w:tcPr>
          <w:p>
            <w:pPr>
              <w:pStyle w:val="TableParagraph"/>
              <w:spacing w:before="69"/>
              <w:ind w:left="108"/>
              <w:rPr>
                <w:b/>
                <w:sz w:val="24"/>
              </w:rPr>
            </w:pPr>
            <w:r>
              <w:rPr>
                <w:b/>
                <w:sz w:val="24"/>
              </w:rPr>
              <w:t>6.</w:t>
            </w:r>
          </w:p>
        </w:tc>
        <w:tc>
          <w:tcPr>
            <w:tcW w:w="9001" w:type="dxa"/>
            <w:gridSpan w:val="2"/>
            <w:tcBorders>
              <w:bottom w:val="single" w:sz="8" w:space="0" w:color="000000"/>
            </w:tcBorders>
          </w:tcPr>
          <w:p>
            <w:pPr>
              <w:pStyle w:val="TableParagraph"/>
              <w:spacing w:before="69"/>
              <w:ind w:left="237"/>
              <w:rPr>
                <w:b/>
                <w:sz w:val="24"/>
              </w:rPr>
            </w:pPr>
            <w:r>
              <w:rPr>
                <w:b/>
                <w:w w:val="95"/>
                <w:sz w:val="24"/>
              </w:rPr>
              <w:t>合同效力的中止及恢复</w:t>
            </w:r>
          </w:p>
        </w:tc>
      </w:tr>
      <w:tr>
        <w:trPr>
          <w:trHeight w:val="413" w:hRule="atLeast"/>
        </w:trPr>
        <w:tc>
          <w:tcPr>
            <w:tcW w:w="663" w:type="dxa"/>
            <w:tcBorders>
              <w:top w:val="single" w:sz="8" w:space="0" w:color="000000"/>
            </w:tcBorders>
          </w:tcPr>
          <w:p>
            <w:pPr>
              <w:pStyle w:val="TableParagraph"/>
              <w:spacing w:line="255" w:lineRule="exact" w:before="138"/>
              <w:ind w:left="108"/>
              <w:rPr>
                <w:b/>
                <w:sz w:val="21"/>
              </w:rPr>
            </w:pPr>
            <w:r>
              <w:rPr>
                <w:b/>
                <w:sz w:val="21"/>
              </w:rPr>
              <w:t>6.1</w:t>
            </w:r>
          </w:p>
        </w:tc>
        <w:tc>
          <w:tcPr>
            <w:tcW w:w="1628" w:type="dxa"/>
            <w:tcBorders>
              <w:top w:val="single" w:sz="8" w:space="0" w:color="000000"/>
            </w:tcBorders>
          </w:tcPr>
          <w:p>
            <w:pPr>
              <w:pStyle w:val="TableParagraph"/>
              <w:spacing w:line="255" w:lineRule="exact" w:before="138"/>
              <w:ind w:left="237"/>
              <w:rPr>
                <w:b/>
                <w:sz w:val="21"/>
              </w:rPr>
            </w:pPr>
            <w:r>
              <w:rPr>
                <w:b/>
                <w:sz w:val="21"/>
              </w:rPr>
              <w:t>效力中止</w:t>
            </w:r>
          </w:p>
        </w:tc>
        <w:tc>
          <w:tcPr>
            <w:tcW w:w="7373" w:type="dxa"/>
            <w:tcBorders>
              <w:top w:val="single" w:sz="8" w:space="0" w:color="000000"/>
            </w:tcBorders>
          </w:tcPr>
          <w:p>
            <w:pPr>
              <w:pStyle w:val="TableParagraph"/>
              <w:spacing w:line="255" w:lineRule="exact" w:before="138"/>
              <w:ind w:left="123"/>
              <w:rPr>
                <w:b/>
                <w:sz w:val="21"/>
              </w:rPr>
            </w:pPr>
            <w:r>
              <w:rPr>
                <w:sz w:val="21"/>
              </w:rPr>
              <w:t>在本合同效力中止期间发生保险事故的，</w:t>
            </w:r>
            <w:r>
              <w:rPr>
                <w:b/>
                <w:sz w:val="21"/>
              </w:rPr>
              <w:t>我们不承担保险责任。</w:t>
            </w:r>
          </w:p>
        </w:tc>
      </w:tr>
    </w:tbl>
    <w:p>
      <w:pPr>
        <w:spacing w:after="0" w:line="255" w:lineRule="exact"/>
        <w:rPr>
          <w:sz w:val="21"/>
        </w:rPr>
        <w:sectPr>
          <w:pgSz w:w="11910" w:h="16840"/>
          <w:pgMar w:header="0" w:footer="925" w:top="1160" w:bottom="1120" w:left="860" w:right="11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9"/>
        <w:gridCol w:w="7373"/>
      </w:tblGrid>
      <w:tr>
        <w:trPr>
          <w:trHeight w:val="1448" w:hRule="atLeast"/>
        </w:trPr>
        <w:tc>
          <w:tcPr>
            <w:tcW w:w="663" w:type="dxa"/>
          </w:tcPr>
          <w:p>
            <w:pPr>
              <w:pStyle w:val="TableParagraph"/>
              <w:spacing w:line="207" w:lineRule="exact"/>
              <w:ind w:left="108"/>
              <w:rPr>
                <w:b/>
                <w:sz w:val="21"/>
              </w:rPr>
            </w:pPr>
            <w:r>
              <w:rPr>
                <w:b/>
                <w:sz w:val="21"/>
              </w:rPr>
              <w:t>6.2</w:t>
            </w:r>
          </w:p>
        </w:tc>
        <w:tc>
          <w:tcPr>
            <w:tcW w:w="1629" w:type="dxa"/>
          </w:tcPr>
          <w:p>
            <w:pPr>
              <w:pStyle w:val="TableParagraph"/>
              <w:spacing w:line="207" w:lineRule="exact"/>
              <w:ind w:left="237"/>
              <w:rPr>
                <w:b/>
                <w:sz w:val="21"/>
              </w:rPr>
            </w:pPr>
            <w:r>
              <w:rPr>
                <w:b/>
                <w:sz w:val="21"/>
              </w:rPr>
              <w:t>效力恢复</w:t>
            </w:r>
          </w:p>
        </w:tc>
        <w:tc>
          <w:tcPr>
            <w:tcW w:w="7373" w:type="dxa"/>
          </w:tcPr>
          <w:p>
            <w:pPr>
              <w:pStyle w:val="TableParagraph"/>
              <w:spacing w:line="207" w:lineRule="exact"/>
              <w:ind w:left="122"/>
              <w:rPr>
                <w:sz w:val="21"/>
              </w:rPr>
            </w:pPr>
            <w:r>
              <w:rPr>
                <w:sz w:val="21"/>
              </w:rPr>
              <w:t>本合同效力中止后 2 年内，您可以申请恢复合同效力。经我们与您协商并达成</w:t>
            </w:r>
          </w:p>
          <w:p>
            <w:pPr>
              <w:pStyle w:val="TableParagraph"/>
              <w:spacing w:before="37"/>
              <w:ind w:left="122"/>
              <w:rPr>
                <w:sz w:val="21"/>
              </w:rPr>
            </w:pPr>
            <w:r>
              <w:rPr>
                <w:sz w:val="21"/>
              </w:rPr>
              <w:t>协议，在您补交保险费、利息及其他应付款项之日起，合同效力恢复。</w:t>
            </w:r>
          </w:p>
          <w:p>
            <w:pPr>
              <w:pStyle w:val="TableParagraph"/>
              <w:spacing w:before="10"/>
              <w:rPr>
                <w:b/>
                <w:sz w:val="14"/>
              </w:rPr>
            </w:pPr>
          </w:p>
          <w:p>
            <w:pPr>
              <w:pStyle w:val="TableParagraph"/>
              <w:spacing w:line="273" w:lineRule="auto"/>
              <w:ind w:left="122" w:right="77"/>
              <w:rPr>
                <w:b/>
                <w:sz w:val="21"/>
              </w:rPr>
            </w:pPr>
            <w:r>
              <w:rPr>
                <w:b/>
                <w:spacing w:val="-6"/>
                <w:sz w:val="21"/>
              </w:rPr>
              <w:t>自本合同效力中止之日起满 </w:t>
            </w:r>
            <w:r>
              <w:rPr>
                <w:b/>
                <w:sz w:val="21"/>
              </w:rPr>
              <w:t>2</w:t>
            </w:r>
            <w:r>
              <w:rPr>
                <w:b/>
                <w:spacing w:val="-8"/>
                <w:sz w:val="21"/>
              </w:rPr>
              <w:t> 年您和我们未达成协议的，我们有权解除合同。我们解除合同的，向您退还合同效力中止时本合同现金价值。</w:t>
            </w:r>
          </w:p>
        </w:tc>
      </w:tr>
      <w:tr>
        <w:trPr>
          <w:trHeight w:val="629" w:hRule="atLeast"/>
        </w:trPr>
        <w:tc>
          <w:tcPr>
            <w:tcW w:w="663" w:type="dxa"/>
            <w:tcBorders>
              <w:bottom w:val="single" w:sz="8" w:space="0" w:color="000000"/>
            </w:tcBorders>
          </w:tcPr>
          <w:p>
            <w:pPr>
              <w:pStyle w:val="TableParagraph"/>
              <w:spacing w:before="67"/>
              <w:ind w:left="108"/>
              <w:rPr>
                <w:b/>
                <w:sz w:val="24"/>
              </w:rPr>
            </w:pPr>
            <w:r>
              <w:rPr>
                <w:b/>
                <w:sz w:val="24"/>
              </w:rPr>
              <w:t>7.</w:t>
            </w:r>
          </w:p>
        </w:tc>
        <w:tc>
          <w:tcPr>
            <w:tcW w:w="1629" w:type="dxa"/>
            <w:tcBorders>
              <w:bottom w:val="single" w:sz="8" w:space="0" w:color="000000"/>
            </w:tcBorders>
          </w:tcPr>
          <w:p>
            <w:pPr>
              <w:pStyle w:val="TableParagraph"/>
              <w:spacing w:before="67"/>
              <w:ind w:left="237"/>
              <w:rPr>
                <w:b/>
                <w:sz w:val="24"/>
              </w:rPr>
            </w:pPr>
            <w:r>
              <w:rPr>
                <w:b/>
                <w:sz w:val="24"/>
              </w:rPr>
              <w:t>合同解除</w:t>
            </w:r>
          </w:p>
        </w:tc>
        <w:tc>
          <w:tcPr>
            <w:tcW w:w="7373" w:type="dxa"/>
            <w:tcBorders>
              <w:bottom w:val="single" w:sz="8" w:space="0" w:color="000000"/>
            </w:tcBorders>
          </w:tcPr>
          <w:p>
            <w:pPr>
              <w:pStyle w:val="TableParagraph"/>
              <w:rPr>
                <w:rFonts w:ascii="Times New Roman"/>
                <w:sz w:val="20"/>
              </w:rPr>
            </w:pPr>
          </w:p>
        </w:tc>
      </w:tr>
      <w:tr>
        <w:trPr>
          <w:trHeight w:val="4799" w:hRule="atLeast"/>
        </w:trPr>
        <w:tc>
          <w:tcPr>
            <w:tcW w:w="663" w:type="dxa"/>
            <w:tcBorders>
              <w:top w:val="single" w:sz="8" w:space="0" w:color="000000"/>
            </w:tcBorders>
          </w:tcPr>
          <w:p>
            <w:pPr>
              <w:pStyle w:val="TableParagraph"/>
              <w:spacing w:before="132"/>
              <w:ind w:left="108"/>
              <w:rPr>
                <w:b/>
                <w:sz w:val="21"/>
              </w:rPr>
            </w:pPr>
            <w:r>
              <w:rPr>
                <w:b/>
                <w:sz w:val="21"/>
              </w:rPr>
              <w:t>7.1</w:t>
            </w:r>
          </w:p>
        </w:tc>
        <w:tc>
          <w:tcPr>
            <w:tcW w:w="1629" w:type="dxa"/>
            <w:tcBorders>
              <w:top w:val="single" w:sz="8" w:space="0" w:color="000000"/>
            </w:tcBorders>
          </w:tcPr>
          <w:p>
            <w:pPr>
              <w:pStyle w:val="TableParagraph"/>
              <w:spacing w:line="273" w:lineRule="auto" w:before="132"/>
              <w:ind w:left="237" w:right="122"/>
              <w:rPr>
                <w:b/>
                <w:sz w:val="21"/>
              </w:rPr>
            </w:pPr>
            <w:r>
              <w:rPr>
                <w:b/>
                <w:sz w:val="21"/>
              </w:rPr>
              <w:t>您解除合同的手续及风险</w:t>
            </w:r>
          </w:p>
        </w:tc>
        <w:tc>
          <w:tcPr>
            <w:tcW w:w="7373" w:type="dxa"/>
            <w:tcBorders>
              <w:top w:val="single" w:sz="8" w:space="0" w:color="000000"/>
            </w:tcBorders>
          </w:tcPr>
          <w:p>
            <w:pPr>
              <w:pStyle w:val="TableParagraph"/>
              <w:spacing w:line="273" w:lineRule="auto" w:before="132"/>
              <w:ind w:left="122" w:right="104"/>
              <w:rPr>
                <w:sz w:val="21"/>
              </w:rPr>
            </w:pPr>
            <w:r>
              <w:rPr>
                <w:sz w:val="21"/>
              </w:rPr>
              <w:t>如您在犹豫期后申请解除本合同，请填写解除合同申请书并向我们提供下列资料：</w:t>
            </w:r>
          </w:p>
          <w:p>
            <w:pPr>
              <w:pStyle w:val="TableParagraph"/>
              <w:spacing w:before="163"/>
              <w:ind w:left="122"/>
              <w:rPr>
                <w:sz w:val="21"/>
              </w:rPr>
            </w:pPr>
            <w:r>
              <w:rPr>
                <w:sz w:val="21"/>
              </w:rPr>
              <w:t>1.保险合同；</w:t>
            </w:r>
          </w:p>
          <w:p>
            <w:pPr>
              <w:pStyle w:val="TableParagraph"/>
              <w:spacing w:before="9"/>
              <w:rPr>
                <w:b/>
                <w:sz w:val="14"/>
              </w:rPr>
            </w:pPr>
          </w:p>
          <w:p>
            <w:pPr>
              <w:pStyle w:val="TableParagraph"/>
              <w:ind w:left="122"/>
              <w:rPr>
                <w:sz w:val="21"/>
              </w:rPr>
            </w:pPr>
            <w:r>
              <w:rPr>
                <w:sz w:val="21"/>
              </w:rPr>
              <w:t>2.您的有效身份证件。</w:t>
            </w:r>
          </w:p>
          <w:p>
            <w:pPr>
              <w:pStyle w:val="TableParagraph"/>
              <w:spacing w:before="9"/>
              <w:rPr>
                <w:b/>
                <w:sz w:val="14"/>
              </w:rPr>
            </w:pPr>
          </w:p>
          <w:p>
            <w:pPr>
              <w:pStyle w:val="TableParagraph"/>
              <w:spacing w:line="273" w:lineRule="auto"/>
              <w:ind w:left="122" w:right="106"/>
              <w:rPr>
                <w:sz w:val="21"/>
              </w:rPr>
            </w:pPr>
            <w:r>
              <w:rPr>
                <w:sz w:val="21"/>
              </w:rPr>
              <w:t>如您委托他人办理书面申请解除本合同，还须提供授权委托书及委托人、受托人身份证件。</w:t>
            </w:r>
          </w:p>
          <w:p>
            <w:pPr>
              <w:pStyle w:val="TableParagraph"/>
              <w:spacing w:line="273" w:lineRule="auto" w:before="163"/>
              <w:ind w:left="122" w:right="104"/>
              <w:rPr>
                <w:sz w:val="21"/>
              </w:rPr>
            </w:pPr>
            <w:r>
              <w:rPr>
                <w:spacing w:val="-3"/>
                <w:sz w:val="21"/>
              </w:rPr>
              <w:t>自我们收到您解除合同申请书时起，本合同效力终止。但若被保险人或受益人已向投保人支付了相应于本合同现金价值的款项并通知了本公司，投保人解除本合同还需取得被保险人或受益人的同意，本合同自被保险人或受益人同意之</w:t>
            </w:r>
            <w:r>
              <w:rPr>
                <w:spacing w:val="-5"/>
                <w:sz w:val="21"/>
              </w:rPr>
              <w:t>日起效力终止。我们自本合同效力终止之日起 </w:t>
            </w:r>
            <w:r>
              <w:rPr>
                <w:sz w:val="21"/>
              </w:rPr>
              <w:t>30</w:t>
            </w:r>
            <w:r>
              <w:rPr>
                <w:spacing w:val="-8"/>
                <w:sz w:val="21"/>
              </w:rPr>
              <w:t> 日内向您退还合同终止时本</w:t>
            </w:r>
            <w:r>
              <w:rPr>
                <w:spacing w:val="-5"/>
                <w:sz w:val="21"/>
              </w:rPr>
              <w:t>合同现金价值。</w:t>
            </w:r>
          </w:p>
          <w:p>
            <w:pPr>
              <w:pStyle w:val="TableParagraph"/>
              <w:spacing w:before="163"/>
              <w:ind w:left="122"/>
              <w:rPr>
                <w:b/>
                <w:sz w:val="21"/>
              </w:rPr>
            </w:pPr>
            <w:r>
              <w:rPr>
                <w:b/>
                <w:sz w:val="21"/>
              </w:rPr>
              <w:t>您犹豫期后解除合同会遭受一定损失。</w:t>
            </w:r>
          </w:p>
        </w:tc>
      </w:tr>
      <w:tr>
        <w:trPr>
          <w:trHeight w:val="650" w:hRule="atLeast"/>
        </w:trPr>
        <w:tc>
          <w:tcPr>
            <w:tcW w:w="663" w:type="dxa"/>
            <w:tcBorders>
              <w:bottom w:val="single" w:sz="8" w:space="0" w:color="000000"/>
            </w:tcBorders>
          </w:tcPr>
          <w:p>
            <w:pPr>
              <w:pStyle w:val="TableParagraph"/>
              <w:spacing w:before="98"/>
              <w:ind w:left="108"/>
              <w:rPr>
                <w:b/>
                <w:sz w:val="24"/>
              </w:rPr>
            </w:pPr>
            <w:r>
              <w:rPr>
                <w:b/>
                <w:w w:val="99"/>
                <w:sz w:val="24"/>
              </w:rPr>
              <w:t>8</w:t>
            </w:r>
          </w:p>
        </w:tc>
        <w:tc>
          <w:tcPr>
            <w:tcW w:w="1629" w:type="dxa"/>
            <w:tcBorders>
              <w:bottom w:val="single" w:sz="8" w:space="0" w:color="000000"/>
            </w:tcBorders>
          </w:tcPr>
          <w:p>
            <w:pPr>
              <w:pStyle w:val="TableParagraph"/>
              <w:spacing w:before="98"/>
              <w:ind w:left="237"/>
              <w:rPr>
                <w:b/>
                <w:sz w:val="24"/>
              </w:rPr>
            </w:pPr>
            <w:r>
              <w:rPr>
                <w:b/>
                <w:sz w:val="24"/>
              </w:rPr>
              <w:t>如实告知</w:t>
            </w:r>
          </w:p>
        </w:tc>
        <w:tc>
          <w:tcPr>
            <w:tcW w:w="7373" w:type="dxa"/>
            <w:tcBorders>
              <w:bottom w:val="single" w:sz="8" w:space="0" w:color="000000"/>
            </w:tcBorders>
          </w:tcPr>
          <w:p>
            <w:pPr>
              <w:pStyle w:val="TableParagraph"/>
              <w:rPr>
                <w:rFonts w:ascii="Times New Roman"/>
                <w:sz w:val="20"/>
              </w:rPr>
            </w:pPr>
          </w:p>
        </w:tc>
      </w:tr>
      <w:tr>
        <w:trPr>
          <w:trHeight w:val="5406" w:hRule="atLeast"/>
        </w:trPr>
        <w:tc>
          <w:tcPr>
            <w:tcW w:w="663" w:type="dxa"/>
            <w:tcBorders>
              <w:top w:val="single" w:sz="8" w:space="0" w:color="000000"/>
            </w:tcBorders>
          </w:tcPr>
          <w:p>
            <w:pPr>
              <w:pStyle w:val="TableParagraph"/>
              <w:spacing w:before="135"/>
              <w:ind w:left="108"/>
              <w:rPr>
                <w:b/>
                <w:sz w:val="21"/>
              </w:rPr>
            </w:pPr>
            <w:r>
              <w:rPr>
                <w:b/>
                <w:sz w:val="21"/>
              </w:rPr>
              <w:t>8.1</w:t>
            </w:r>
          </w:p>
        </w:tc>
        <w:tc>
          <w:tcPr>
            <w:tcW w:w="1629" w:type="dxa"/>
            <w:tcBorders>
              <w:top w:val="single" w:sz="8" w:space="0" w:color="000000"/>
            </w:tcBorders>
          </w:tcPr>
          <w:p>
            <w:pPr>
              <w:pStyle w:val="TableParagraph"/>
              <w:spacing w:line="273" w:lineRule="auto" w:before="135"/>
              <w:ind w:left="237" w:right="122"/>
              <w:rPr>
                <w:b/>
                <w:sz w:val="21"/>
              </w:rPr>
            </w:pPr>
            <w:r>
              <w:rPr>
                <w:b/>
                <w:sz w:val="21"/>
              </w:rPr>
              <w:t>明确说明与如实告知</w:t>
            </w:r>
          </w:p>
        </w:tc>
        <w:tc>
          <w:tcPr>
            <w:tcW w:w="7373" w:type="dxa"/>
            <w:tcBorders>
              <w:top w:val="single" w:sz="8" w:space="0" w:color="000000"/>
            </w:tcBorders>
          </w:tcPr>
          <w:p>
            <w:pPr>
              <w:pStyle w:val="TableParagraph"/>
              <w:spacing w:before="135"/>
              <w:ind w:left="122"/>
              <w:rPr>
                <w:sz w:val="21"/>
              </w:rPr>
            </w:pPr>
            <w:r>
              <w:rPr>
                <w:sz w:val="21"/>
              </w:rPr>
              <w:t>订立本合同时，我们应向您说明本合同的内容。</w:t>
            </w:r>
          </w:p>
          <w:p>
            <w:pPr>
              <w:pStyle w:val="TableParagraph"/>
              <w:spacing w:before="10"/>
              <w:rPr>
                <w:b/>
                <w:sz w:val="14"/>
              </w:rPr>
            </w:pPr>
          </w:p>
          <w:p>
            <w:pPr>
              <w:pStyle w:val="TableParagraph"/>
              <w:spacing w:line="273" w:lineRule="auto"/>
              <w:ind w:left="122" w:right="2"/>
              <w:jc w:val="both"/>
              <w:rPr>
                <w:sz w:val="21"/>
              </w:rPr>
            </w:pPr>
            <w:r>
              <w:rPr>
                <w:b/>
                <w:spacing w:val="-4"/>
                <w:sz w:val="21"/>
              </w:rPr>
              <w:t>对保险条款中免除我们责任的条款，我们在订立合同时应当在投保单、保险单或者其他保险凭证上作出足以引起您注意的提示</w:t>
            </w:r>
            <w:r>
              <w:rPr>
                <w:spacing w:val="-6"/>
                <w:sz w:val="21"/>
              </w:rPr>
              <w:t>，并对该条款的内容以书面或</w:t>
            </w:r>
            <w:r>
              <w:rPr>
                <w:spacing w:val="-10"/>
                <w:sz w:val="21"/>
              </w:rPr>
              <w:t>者口头形式向您作出明确说明，未作提示或者明确说明的，该条款不产生效力。</w:t>
            </w:r>
          </w:p>
          <w:p>
            <w:pPr>
              <w:pStyle w:val="TableParagraph"/>
              <w:spacing w:before="163"/>
              <w:ind w:left="122"/>
              <w:rPr>
                <w:sz w:val="21"/>
              </w:rPr>
            </w:pPr>
            <w:r>
              <w:rPr>
                <w:sz w:val="21"/>
              </w:rPr>
              <w:t>我们就您和被保险人的有关情况提出询问，您应当如实告知。</w:t>
            </w:r>
          </w:p>
          <w:p>
            <w:pPr>
              <w:pStyle w:val="TableParagraph"/>
              <w:spacing w:before="9"/>
              <w:rPr>
                <w:b/>
                <w:sz w:val="14"/>
              </w:rPr>
            </w:pPr>
          </w:p>
          <w:p>
            <w:pPr>
              <w:pStyle w:val="TableParagraph"/>
              <w:spacing w:line="273" w:lineRule="auto"/>
              <w:ind w:left="122" w:right="56"/>
              <w:rPr>
                <w:b/>
                <w:sz w:val="21"/>
              </w:rPr>
            </w:pPr>
            <w:r>
              <w:rPr>
                <w:b/>
                <w:sz w:val="21"/>
              </w:rPr>
              <w:t>如果您故意或者因重大过失未履行前款规定的如实告知义务，足以影响我们决定是否同意承保或者提高保险费率的，我们有权解除本合同。</w:t>
            </w:r>
          </w:p>
          <w:p>
            <w:pPr>
              <w:pStyle w:val="TableParagraph"/>
              <w:spacing w:line="273" w:lineRule="auto" w:before="163"/>
              <w:ind w:left="122" w:right="56"/>
              <w:rPr>
                <w:b/>
                <w:sz w:val="21"/>
              </w:rPr>
            </w:pPr>
            <w:r>
              <w:rPr>
                <w:b/>
                <w:sz w:val="21"/>
              </w:rPr>
              <w:t>如果您故意不履行如实告知义务，对于本合同解除前发生的保险事故，我们不承担给付保险金的责任，并不退还保险费。</w:t>
            </w:r>
          </w:p>
          <w:p>
            <w:pPr>
              <w:pStyle w:val="TableParagraph"/>
              <w:spacing w:line="273" w:lineRule="auto" w:before="163"/>
              <w:ind w:left="122" w:right="109"/>
              <w:jc w:val="both"/>
              <w:rPr>
                <w:b/>
                <w:sz w:val="21"/>
              </w:rPr>
            </w:pPr>
            <w:r>
              <w:rPr>
                <w:b/>
                <w:spacing w:val="-4"/>
                <w:sz w:val="21"/>
              </w:rPr>
              <w:t>如果您因重大过失未履行如实告知义务，对保险事故的发生有严重影响的，对</w:t>
            </w:r>
            <w:r>
              <w:rPr>
                <w:b/>
                <w:spacing w:val="-6"/>
                <w:sz w:val="21"/>
              </w:rPr>
              <w:t>于本合同解除前发生的保险事故，我们不承担给付保险金的责任，但应当退还保险费。</w:t>
            </w:r>
          </w:p>
          <w:p>
            <w:pPr>
              <w:pStyle w:val="TableParagraph"/>
              <w:spacing w:line="310" w:lineRule="atLeast" w:before="128"/>
              <w:ind w:left="122" w:right="104"/>
              <w:rPr>
                <w:sz w:val="21"/>
              </w:rPr>
            </w:pPr>
            <w:r>
              <w:rPr>
                <w:sz w:val="21"/>
              </w:rPr>
              <w:t>我们在合同订立时已经知道您未如实告知的情况的，我们不得解除合同；发生保险事故的，我们承担给付保险金的责任。</w:t>
            </w:r>
          </w:p>
        </w:tc>
      </w:tr>
    </w:tbl>
    <w:p>
      <w:pPr>
        <w:spacing w:after="0" w:line="310" w:lineRule="atLeast"/>
        <w:rPr>
          <w:sz w:val="21"/>
        </w:rPr>
        <w:sectPr>
          <w:pgSz w:w="11910" w:h="16840"/>
          <w:pgMar w:header="0" w:footer="925" w:top="1340" w:bottom="1120" w:left="860" w:right="11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567"/>
        <w:gridCol w:w="7381"/>
      </w:tblGrid>
      <w:tr>
        <w:trPr>
          <w:trHeight w:val="1010" w:hRule="atLeast"/>
        </w:trPr>
        <w:tc>
          <w:tcPr>
            <w:tcW w:w="716" w:type="dxa"/>
          </w:tcPr>
          <w:p>
            <w:pPr>
              <w:pStyle w:val="TableParagraph"/>
              <w:spacing w:line="211" w:lineRule="exact"/>
              <w:ind w:left="108"/>
              <w:rPr>
                <w:b/>
                <w:sz w:val="21"/>
              </w:rPr>
            </w:pPr>
            <w:r>
              <w:rPr>
                <w:b/>
                <w:sz w:val="21"/>
              </w:rPr>
              <w:t>8.2</w:t>
            </w:r>
          </w:p>
        </w:tc>
        <w:tc>
          <w:tcPr>
            <w:tcW w:w="1567" w:type="dxa"/>
          </w:tcPr>
          <w:p>
            <w:pPr>
              <w:pStyle w:val="TableParagraph"/>
              <w:spacing w:line="211" w:lineRule="exact"/>
              <w:ind w:left="184"/>
              <w:rPr>
                <w:b/>
                <w:sz w:val="21"/>
              </w:rPr>
            </w:pPr>
            <w:r>
              <w:rPr>
                <w:b/>
                <w:sz w:val="21"/>
              </w:rPr>
              <w:t>本公司合同解</w:t>
            </w:r>
          </w:p>
          <w:p>
            <w:pPr>
              <w:pStyle w:val="TableParagraph"/>
              <w:spacing w:before="37"/>
              <w:ind w:left="184"/>
              <w:rPr>
                <w:b/>
                <w:sz w:val="21"/>
              </w:rPr>
            </w:pPr>
            <w:r>
              <w:rPr>
                <w:b/>
                <w:sz w:val="21"/>
              </w:rPr>
              <w:t>除权的限制</w:t>
            </w:r>
          </w:p>
        </w:tc>
        <w:tc>
          <w:tcPr>
            <w:tcW w:w="7381" w:type="dxa"/>
          </w:tcPr>
          <w:p>
            <w:pPr>
              <w:pStyle w:val="TableParagraph"/>
              <w:spacing w:line="211" w:lineRule="exact"/>
              <w:ind w:left="131"/>
              <w:rPr>
                <w:sz w:val="21"/>
              </w:rPr>
            </w:pPr>
            <w:r>
              <w:rPr>
                <w:sz w:val="21"/>
              </w:rPr>
              <w:t>前条规定的合同解除权，自我们知道有解除事由之日起，超过 30 日不行使而</w:t>
            </w:r>
          </w:p>
          <w:p>
            <w:pPr>
              <w:pStyle w:val="TableParagraph"/>
              <w:spacing w:line="273" w:lineRule="auto" w:before="37"/>
              <w:ind w:left="131" w:right="-15"/>
              <w:rPr>
                <w:sz w:val="21"/>
              </w:rPr>
            </w:pPr>
            <w:r>
              <w:rPr>
                <w:spacing w:val="-9"/>
                <w:sz w:val="21"/>
              </w:rPr>
              <w:t>消灭。自本合同成立之日起超过 </w:t>
            </w:r>
            <w:r>
              <w:rPr>
                <w:sz w:val="21"/>
              </w:rPr>
              <w:t>2</w:t>
            </w:r>
            <w:r>
              <w:rPr>
                <w:spacing w:val="-13"/>
                <w:sz w:val="21"/>
              </w:rPr>
              <w:t> 年的，我们不得解除合同；发生保险事故的， </w:t>
            </w:r>
            <w:r>
              <w:rPr>
                <w:spacing w:val="-6"/>
                <w:sz w:val="21"/>
              </w:rPr>
              <w:t>我们承担给付保险金的责任。</w:t>
            </w:r>
          </w:p>
        </w:tc>
      </w:tr>
      <w:tr>
        <w:trPr>
          <w:trHeight w:val="659" w:hRule="atLeast"/>
        </w:trPr>
        <w:tc>
          <w:tcPr>
            <w:tcW w:w="716" w:type="dxa"/>
            <w:tcBorders>
              <w:bottom w:val="single" w:sz="8" w:space="0" w:color="000000"/>
            </w:tcBorders>
          </w:tcPr>
          <w:p>
            <w:pPr>
              <w:pStyle w:val="TableParagraph"/>
              <w:spacing w:before="100"/>
              <w:ind w:left="108"/>
              <w:rPr>
                <w:b/>
                <w:sz w:val="24"/>
              </w:rPr>
            </w:pPr>
            <w:r>
              <w:rPr>
                <w:b/>
                <w:sz w:val="24"/>
              </w:rPr>
              <w:t>9.</w:t>
            </w:r>
          </w:p>
        </w:tc>
        <w:tc>
          <w:tcPr>
            <w:tcW w:w="8948" w:type="dxa"/>
            <w:gridSpan w:val="2"/>
            <w:tcBorders>
              <w:bottom w:val="single" w:sz="8" w:space="0" w:color="000000"/>
            </w:tcBorders>
          </w:tcPr>
          <w:p>
            <w:pPr>
              <w:pStyle w:val="TableParagraph"/>
              <w:spacing w:before="100"/>
              <w:ind w:left="184"/>
              <w:rPr>
                <w:b/>
                <w:sz w:val="24"/>
              </w:rPr>
            </w:pPr>
            <w:r>
              <w:rPr>
                <w:b/>
                <w:w w:val="95"/>
                <w:sz w:val="24"/>
              </w:rPr>
              <w:t>其他需要关注的事项</w:t>
            </w:r>
          </w:p>
        </w:tc>
      </w:tr>
      <w:tr>
        <w:trPr>
          <w:trHeight w:val="853" w:hRule="atLeast"/>
        </w:trPr>
        <w:tc>
          <w:tcPr>
            <w:tcW w:w="716" w:type="dxa"/>
            <w:tcBorders>
              <w:top w:val="single" w:sz="8" w:space="0" w:color="000000"/>
            </w:tcBorders>
          </w:tcPr>
          <w:p>
            <w:pPr>
              <w:pStyle w:val="TableParagraph"/>
              <w:spacing w:before="138"/>
              <w:ind w:left="108"/>
              <w:rPr>
                <w:b/>
                <w:sz w:val="21"/>
              </w:rPr>
            </w:pPr>
            <w:r>
              <w:rPr>
                <w:b/>
                <w:sz w:val="21"/>
              </w:rPr>
              <w:t>9.1</w:t>
            </w:r>
          </w:p>
        </w:tc>
        <w:tc>
          <w:tcPr>
            <w:tcW w:w="1567" w:type="dxa"/>
            <w:tcBorders>
              <w:top w:val="single" w:sz="8" w:space="0" w:color="000000"/>
            </w:tcBorders>
          </w:tcPr>
          <w:p>
            <w:pPr>
              <w:pStyle w:val="TableParagraph"/>
              <w:spacing w:before="138"/>
              <w:ind w:left="184"/>
              <w:rPr>
                <w:b/>
                <w:sz w:val="21"/>
              </w:rPr>
            </w:pPr>
            <w:r>
              <w:rPr>
                <w:b/>
                <w:sz w:val="21"/>
              </w:rPr>
              <w:t>欠款的偿还</w:t>
            </w:r>
          </w:p>
        </w:tc>
        <w:tc>
          <w:tcPr>
            <w:tcW w:w="7381" w:type="dxa"/>
            <w:tcBorders>
              <w:top w:val="single" w:sz="8" w:space="0" w:color="000000"/>
            </w:tcBorders>
          </w:tcPr>
          <w:p>
            <w:pPr>
              <w:pStyle w:val="TableParagraph"/>
              <w:spacing w:line="273" w:lineRule="auto" w:before="138"/>
              <w:ind w:left="131" w:right="105"/>
              <w:rPr>
                <w:sz w:val="21"/>
              </w:rPr>
            </w:pPr>
            <w:r>
              <w:rPr>
                <w:sz w:val="21"/>
              </w:rPr>
              <w:t>我们在返还保险费、给付各项保险金或退还现金价值时，如果您有任何欠交的保险费，我们会在扣除上述欠款及利息后给付。</w:t>
            </w:r>
          </w:p>
        </w:tc>
      </w:tr>
      <w:tr>
        <w:trPr>
          <w:trHeight w:val="4056" w:hRule="atLeast"/>
        </w:trPr>
        <w:tc>
          <w:tcPr>
            <w:tcW w:w="716" w:type="dxa"/>
          </w:tcPr>
          <w:p>
            <w:pPr>
              <w:pStyle w:val="TableParagraph"/>
              <w:spacing w:before="64"/>
              <w:ind w:left="108"/>
              <w:rPr>
                <w:b/>
                <w:sz w:val="21"/>
              </w:rPr>
            </w:pPr>
            <w:r>
              <w:rPr>
                <w:b/>
                <w:sz w:val="21"/>
              </w:rPr>
              <w:t>9.2</w:t>
            </w:r>
          </w:p>
        </w:tc>
        <w:tc>
          <w:tcPr>
            <w:tcW w:w="1567" w:type="dxa"/>
          </w:tcPr>
          <w:p>
            <w:pPr>
              <w:pStyle w:val="TableParagraph"/>
              <w:spacing w:line="273" w:lineRule="auto" w:before="64"/>
              <w:ind w:left="184" w:right="113"/>
              <w:rPr>
                <w:b/>
                <w:sz w:val="21"/>
              </w:rPr>
            </w:pPr>
            <w:r>
              <w:rPr>
                <w:b/>
                <w:sz w:val="21"/>
              </w:rPr>
              <w:t>年龄或性别错误</w:t>
            </w:r>
          </w:p>
        </w:tc>
        <w:tc>
          <w:tcPr>
            <w:tcW w:w="7381" w:type="dxa"/>
          </w:tcPr>
          <w:p>
            <w:pPr>
              <w:pStyle w:val="TableParagraph"/>
              <w:spacing w:line="273" w:lineRule="auto" w:before="64"/>
              <w:ind w:left="131" w:right="105" w:firstLine="2"/>
              <w:rPr>
                <w:sz w:val="21"/>
              </w:rPr>
            </w:pPr>
            <w:r>
              <w:rPr>
                <w:sz w:val="21"/>
              </w:rPr>
              <w:t>您在申请投保时，应将与有效身份证件相符的被保险人的出生日期及性别在投保单上填明，如果发生错误按照下列方式办理：</w:t>
            </w:r>
          </w:p>
          <w:p>
            <w:pPr>
              <w:pStyle w:val="TableParagraph"/>
              <w:spacing w:line="273" w:lineRule="auto" w:before="163"/>
              <w:ind w:left="117" w:right="84" w:firstLine="14"/>
              <w:rPr>
                <w:b/>
                <w:sz w:val="21"/>
              </w:rPr>
            </w:pPr>
            <w:r>
              <w:rPr>
                <w:sz w:val="21"/>
              </w:rPr>
              <w:t>1. </w:t>
            </w:r>
            <w:r>
              <w:rPr>
                <w:b/>
                <w:sz w:val="21"/>
              </w:rPr>
              <w:t>您申报的被保险人年龄不真实，并且其真实年龄不符合本合同约定投保年龄限制的，我们有权解除本合同。对于解除本合同的，本合同自解除之日起终止，我们向您退还本合同效力终止时的现金价值。对于本合同解除前发生的保险事故，我们不承担给付保险金的责任。</w:t>
            </w:r>
          </w:p>
          <w:p>
            <w:pPr>
              <w:pStyle w:val="TableParagraph"/>
              <w:spacing w:line="273" w:lineRule="auto" w:before="163"/>
              <w:ind w:left="129" w:right="-15" w:hanging="15"/>
              <w:rPr>
                <w:sz w:val="21"/>
              </w:rPr>
            </w:pPr>
            <w:r>
              <w:rPr>
                <w:sz w:val="21"/>
              </w:rPr>
              <w:t>2.</w:t>
            </w:r>
            <w:r>
              <w:rPr>
                <w:spacing w:val="-9"/>
                <w:sz w:val="21"/>
              </w:rPr>
              <w:t>您申报的被保险人年龄或性别不真实，致使您实付保险费少于应付保险费的， </w:t>
            </w:r>
            <w:r>
              <w:rPr>
                <w:spacing w:val="-6"/>
                <w:sz w:val="21"/>
              </w:rPr>
              <w:t>我们有权更正并要求您补交保险费。</w:t>
            </w:r>
            <w:r>
              <w:rPr>
                <w:b/>
                <w:spacing w:val="-3"/>
                <w:sz w:val="21"/>
              </w:rPr>
              <w:t>若已经发生保险事故，在给付保险金时按实付保险费和应付保险费的比例给付</w:t>
            </w:r>
            <w:r>
              <w:rPr>
                <w:sz w:val="21"/>
              </w:rPr>
              <w:t>。</w:t>
            </w:r>
          </w:p>
          <w:p>
            <w:pPr>
              <w:pStyle w:val="TableParagraph"/>
              <w:spacing w:line="273" w:lineRule="auto" w:before="163"/>
              <w:ind w:left="131" w:right="310"/>
              <w:rPr>
                <w:sz w:val="21"/>
              </w:rPr>
            </w:pPr>
            <w:r>
              <w:rPr>
                <w:sz w:val="21"/>
              </w:rPr>
              <w:t>3.您申报的被保险人年龄或性别不真实，致使您实付保险费多于应付保险费的，我们会将多收的保险费退还给您。</w:t>
            </w:r>
          </w:p>
        </w:tc>
      </w:tr>
      <w:tr>
        <w:trPr>
          <w:trHeight w:val="1092" w:hRule="atLeast"/>
        </w:trPr>
        <w:tc>
          <w:tcPr>
            <w:tcW w:w="716" w:type="dxa"/>
          </w:tcPr>
          <w:p>
            <w:pPr>
              <w:pStyle w:val="TableParagraph"/>
              <w:spacing w:before="64"/>
              <w:ind w:left="108"/>
              <w:rPr>
                <w:b/>
                <w:sz w:val="21"/>
              </w:rPr>
            </w:pPr>
            <w:r>
              <w:rPr>
                <w:b/>
                <w:sz w:val="21"/>
              </w:rPr>
              <w:t>9.3</w:t>
            </w:r>
          </w:p>
        </w:tc>
        <w:tc>
          <w:tcPr>
            <w:tcW w:w="1567" w:type="dxa"/>
          </w:tcPr>
          <w:p>
            <w:pPr>
              <w:pStyle w:val="TableParagraph"/>
              <w:spacing w:before="64"/>
              <w:ind w:left="184"/>
              <w:rPr>
                <w:b/>
                <w:sz w:val="21"/>
              </w:rPr>
            </w:pPr>
            <w:r>
              <w:rPr>
                <w:b/>
                <w:sz w:val="21"/>
              </w:rPr>
              <w:t>合同内容变更</w:t>
            </w:r>
          </w:p>
        </w:tc>
        <w:tc>
          <w:tcPr>
            <w:tcW w:w="7381" w:type="dxa"/>
          </w:tcPr>
          <w:p>
            <w:pPr>
              <w:pStyle w:val="TableParagraph"/>
              <w:spacing w:line="273" w:lineRule="auto" w:before="64"/>
              <w:ind w:left="131"/>
              <w:jc w:val="both"/>
              <w:rPr>
                <w:sz w:val="21"/>
              </w:rPr>
            </w:pPr>
            <w:r>
              <w:rPr>
                <w:spacing w:val="-3"/>
                <w:sz w:val="21"/>
              </w:rPr>
              <w:t>在本合同有效期间内，除本合同另有约定外，经您与我们协商一致，可以变更本合同的有关内容。您提出变更申请后，应当由我们在原保险单或者其他保险</w:t>
            </w:r>
            <w:r>
              <w:rPr>
                <w:spacing w:val="-10"/>
                <w:sz w:val="21"/>
              </w:rPr>
              <w:t>凭证上批注或者附贴批单，或由您与我们订立书面的变更协议后，该变更生效。</w:t>
            </w:r>
          </w:p>
        </w:tc>
      </w:tr>
      <w:tr>
        <w:trPr>
          <w:trHeight w:val="1404" w:hRule="atLeast"/>
        </w:trPr>
        <w:tc>
          <w:tcPr>
            <w:tcW w:w="716" w:type="dxa"/>
          </w:tcPr>
          <w:p>
            <w:pPr>
              <w:pStyle w:val="TableParagraph"/>
              <w:spacing w:before="64"/>
              <w:ind w:left="108"/>
              <w:rPr>
                <w:b/>
                <w:sz w:val="21"/>
              </w:rPr>
            </w:pPr>
            <w:r>
              <w:rPr>
                <w:b/>
                <w:sz w:val="21"/>
              </w:rPr>
              <w:t>9.4</w:t>
            </w:r>
          </w:p>
        </w:tc>
        <w:tc>
          <w:tcPr>
            <w:tcW w:w="1567" w:type="dxa"/>
          </w:tcPr>
          <w:p>
            <w:pPr>
              <w:pStyle w:val="TableParagraph"/>
              <w:spacing w:line="273" w:lineRule="auto" w:before="64"/>
              <w:ind w:left="184" w:right="113"/>
              <w:rPr>
                <w:b/>
                <w:sz w:val="21"/>
              </w:rPr>
            </w:pPr>
            <w:r>
              <w:rPr>
                <w:b/>
                <w:sz w:val="21"/>
              </w:rPr>
              <w:t>联系方式变更的通知</w:t>
            </w:r>
          </w:p>
        </w:tc>
        <w:tc>
          <w:tcPr>
            <w:tcW w:w="7381" w:type="dxa"/>
          </w:tcPr>
          <w:p>
            <w:pPr>
              <w:pStyle w:val="TableParagraph"/>
              <w:spacing w:line="273" w:lineRule="auto" w:before="64"/>
              <w:ind w:left="131" w:right="103"/>
              <w:jc w:val="both"/>
              <w:rPr>
                <w:b/>
                <w:sz w:val="21"/>
              </w:rPr>
            </w:pPr>
            <w:r>
              <w:rPr>
                <w:spacing w:val="-3"/>
                <w:sz w:val="21"/>
              </w:rPr>
              <w:t>为了保障您的合法权益，您的住所、通讯地址或电话等联系方式变更时，请及时以书面形式或双方认可的其他形式通知我们。若您未以书面形式或双方认可</w:t>
            </w:r>
            <w:r>
              <w:rPr>
                <w:spacing w:val="-6"/>
                <w:sz w:val="21"/>
              </w:rPr>
              <w:t>的其他形式通知我们，</w:t>
            </w:r>
            <w:r>
              <w:rPr>
                <w:b/>
                <w:spacing w:val="-3"/>
                <w:sz w:val="21"/>
              </w:rPr>
              <w:t>我们按本合同载明的最后住所或通讯地址所发送的有关通知，均视为已送达给您。</w:t>
            </w:r>
          </w:p>
        </w:tc>
      </w:tr>
      <w:tr>
        <w:trPr>
          <w:trHeight w:val="780" w:hRule="atLeast"/>
        </w:trPr>
        <w:tc>
          <w:tcPr>
            <w:tcW w:w="716" w:type="dxa"/>
          </w:tcPr>
          <w:p>
            <w:pPr>
              <w:pStyle w:val="TableParagraph"/>
              <w:spacing w:before="64"/>
              <w:ind w:left="108"/>
              <w:rPr>
                <w:b/>
                <w:sz w:val="21"/>
              </w:rPr>
            </w:pPr>
            <w:r>
              <w:rPr>
                <w:b/>
                <w:sz w:val="21"/>
              </w:rPr>
              <w:t>9.5</w:t>
            </w:r>
          </w:p>
        </w:tc>
        <w:tc>
          <w:tcPr>
            <w:tcW w:w="1567" w:type="dxa"/>
          </w:tcPr>
          <w:p>
            <w:pPr>
              <w:pStyle w:val="TableParagraph"/>
              <w:spacing w:before="64"/>
              <w:ind w:left="184"/>
              <w:rPr>
                <w:b/>
                <w:sz w:val="21"/>
              </w:rPr>
            </w:pPr>
            <w:r>
              <w:rPr>
                <w:b/>
                <w:sz w:val="21"/>
              </w:rPr>
              <w:t>争议处理</w:t>
            </w:r>
          </w:p>
        </w:tc>
        <w:tc>
          <w:tcPr>
            <w:tcW w:w="7381" w:type="dxa"/>
          </w:tcPr>
          <w:p>
            <w:pPr>
              <w:pStyle w:val="TableParagraph"/>
              <w:spacing w:line="273" w:lineRule="auto" w:before="64"/>
              <w:ind w:left="131" w:right="105"/>
              <w:rPr>
                <w:b/>
                <w:sz w:val="21"/>
              </w:rPr>
            </w:pPr>
            <w:r>
              <w:rPr>
                <w:sz w:val="21"/>
              </w:rPr>
              <w:t>本合同履行过程中，双方发生争议时，首先应协商解决，协商不成的，</w:t>
            </w:r>
            <w:r>
              <w:rPr>
                <w:b/>
                <w:sz w:val="21"/>
              </w:rPr>
              <w:t>可以依法向被告所在地人民法院起诉。</w:t>
            </w:r>
          </w:p>
        </w:tc>
      </w:tr>
      <w:tr>
        <w:trPr>
          <w:trHeight w:val="1107" w:hRule="atLeast"/>
        </w:trPr>
        <w:tc>
          <w:tcPr>
            <w:tcW w:w="716" w:type="dxa"/>
          </w:tcPr>
          <w:p>
            <w:pPr>
              <w:pStyle w:val="TableParagraph"/>
              <w:spacing w:before="64"/>
              <w:ind w:left="108"/>
              <w:rPr>
                <w:b/>
                <w:sz w:val="21"/>
              </w:rPr>
            </w:pPr>
            <w:r>
              <w:rPr>
                <w:b/>
                <w:sz w:val="21"/>
              </w:rPr>
              <w:t>9.6</w:t>
            </w:r>
          </w:p>
        </w:tc>
        <w:tc>
          <w:tcPr>
            <w:tcW w:w="1567" w:type="dxa"/>
          </w:tcPr>
          <w:p>
            <w:pPr>
              <w:pStyle w:val="TableParagraph"/>
              <w:spacing w:line="273" w:lineRule="auto" w:before="64"/>
              <w:ind w:left="184" w:right="113"/>
              <w:rPr>
                <w:b/>
                <w:sz w:val="21"/>
              </w:rPr>
            </w:pPr>
            <w:r>
              <w:rPr>
                <w:b/>
                <w:sz w:val="21"/>
              </w:rPr>
              <w:t>身体检查与司法鉴定</w:t>
            </w:r>
          </w:p>
        </w:tc>
        <w:tc>
          <w:tcPr>
            <w:tcW w:w="7381" w:type="dxa"/>
          </w:tcPr>
          <w:p>
            <w:pPr>
              <w:pStyle w:val="TableParagraph"/>
              <w:spacing w:line="273" w:lineRule="auto" w:before="64"/>
              <w:ind w:left="131" w:right="103"/>
              <w:rPr>
                <w:sz w:val="21"/>
              </w:rPr>
            </w:pPr>
            <w:r>
              <w:rPr>
                <w:spacing w:val="-3"/>
                <w:sz w:val="21"/>
              </w:rPr>
              <w:t>保险金受益人申请本合同保险金时，我们有权要求被保险人做身体检查或提供有关的检验报告,有权申请司法鉴定机构或者国家认可的鉴定机构对保险事故进行鉴定。</w:t>
            </w:r>
          </w:p>
        </w:tc>
      </w:tr>
      <w:tr>
        <w:trPr>
          <w:trHeight w:val="627" w:hRule="atLeast"/>
        </w:trPr>
        <w:tc>
          <w:tcPr>
            <w:tcW w:w="716" w:type="dxa"/>
            <w:tcBorders>
              <w:bottom w:val="single" w:sz="8" w:space="0" w:color="000000"/>
            </w:tcBorders>
          </w:tcPr>
          <w:p>
            <w:pPr>
              <w:pStyle w:val="TableParagraph"/>
              <w:spacing w:before="69"/>
              <w:ind w:left="108"/>
              <w:rPr>
                <w:b/>
                <w:sz w:val="24"/>
              </w:rPr>
            </w:pPr>
            <w:r>
              <w:rPr>
                <w:b/>
                <w:sz w:val="24"/>
              </w:rPr>
              <w:t>10.</w:t>
            </w:r>
          </w:p>
        </w:tc>
        <w:tc>
          <w:tcPr>
            <w:tcW w:w="1567" w:type="dxa"/>
            <w:tcBorders>
              <w:bottom w:val="single" w:sz="8" w:space="0" w:color="000000"/>
            </w:tcBorders>
          </w:tcPr>
          <w:p>
            <w:pPr>
              <w:pStyle w:val="TableParagraph"/>
              <w:spacing w:before="69"/>
              <w:ind w:left="184"/>
              <w:rPr>
                <w:b/>
                <w:sz w:val="24"/>
              </w:rPr>
            </w:pPr>
            <w:r>
              <w:rPr>
                <w:b/>
                <w:sz w:val="24"/>
              </w:rPr>
              <w:t>释义</w:t>
            </w:r>
          </w:p>
        </w:tc>
        <w:tc>
          <w:tcPr>
            <w:tcW w:w="7381" w:type="dxa"/>
            <w:tcBorders>
              <w:bottom w:val="single" w:sz="8" w:space="0" w:color="000000"/>
            </w:tcBorders>
          </w:tcPr>
          <w:p>
            <w:pPr>
              <w:pStyle w:val="TableParagraph"/>
              <w:rPr>
                <w:rFonts w:ascii="Times New Roman"/>
                <w:sz w:val="20"/>
              </w:rPr>
            </w:pPr>
          </w:p>
        </w:tc>
      </w:tr>
      <w:tr>
        <w:trPr>
          <w:trHeight w:val="809" w:hRule="atLeast"/>
        </w:trPr>
        <w:tc>
          <w:tcPr>
            <w:tcW w:w="716" w:type="dxa"/>
            <w:tcBorders>
              <w:top w:val="single" w:sz="8" w:space="0" w:color="000000"/>
            </w:tcBorders>
          </w:tcPr>
          <w:p>
            <w:pPr>
              <w:pStyle w:val="TableParagraph"/>
              <w:spacing w:before="139"/>
              <w:ind w:left="108"/>
              <w:rPr>
                <w:b/>
                <w:sz w:val="21"/>
              </w:rPr>
            </w:pPr>
            <w:r>
              <w:rPr>
                <w:b/>
                <w:sz w:val="21"/>
              </w:rPr>
              <w:t>10.1</w:t>
            </w:r>
          </w:p>
        </w:tc>
        <w:tc>
          <w:tcPr>
            <w:tcW w:w="1567" w:type="dxa"/>
            <w:tcBorders>
              <w:top w:val="single" w:sz="8" w:space="0" w:color="000000"/>
            </w:tcBorders>
          </w:tcPr>
          <w:p>
            <w:pPr>
              <w:pStyle w:val="TableParagraph"/>
              <w:spacing w:before="139"/>
              <w:ind w:left="184"/>
              <w:rPr>
                <w:b/>
                <w:sz w:val="21"/>
              </w:rPr>
            </w:pPr>
            <w:r>
              <w:rPr>
                <w:b/>
                <w:sz w:val="21"/>
              </w:rPr>
              <w:t>保险单年度</w:t>
            </w:r>
          </w:p>
        </w:tc>
        <w:tc>
          <w:tcPr>
            <w:tcW w:w="7381" w:type="dxa"/>
            <w:tcBorders>
              <w:top w:val="single" w:sz="8" w:space="0" w:color="000000"/>
            </w:tcBorders>
          </w:tcPr>
          <w:p>
            <w:pPr>
              <w:pStyle w:val="TableParagraph"/>
              <w:spacing w:line="273" w:lineRule="auto" w:before="139"/>
              <w:ind w:left="131" w:right="309"/>
              <w:rPr>
                <w:sz w:val="21"/>
              </w:rPr>
            </w:pPr>
            <w:r>
              <w:rPr>
                <w:sz w:val="21"/>
              </w:rPr>
              <w:t>指从本合同生效日或生效对应日起至下一年度本合同生效对应日止的期间为一个保险单年度。</w:t>
            </w:r>
          </w:p>
        </w:tc>
      </w:tr>
      <w:tr>
        <w:trPr>
          <w:trHeight w:val="692" w:hRule="atLeast"/>
        </w:trPr>
        <w:tc>
          <w:tcPr>
            <w:tcW w:w="716" w:type="dxa"/>
          </w:tcPr>
          <w:p>
            <w:pPr>
              <w:pStyle w:val="TableParagraph"/>
              <w:spacing w:before="20"/>
              <w:ind w:left="108"/>
              <w:rPr>
                <w:b/>
                <w:sz w:val="21"/>
              </w:rPr>
            </w:pPr>
            <w:r>
              <w:rPr>
                <w:b/>
                <w:sz w:val="21"/>
              </w:rPr>
              <w:t>10.2</w:t>
            </w:r>
          </w:p>
        </w:tc>
        <w:tc>
          <w:tcPr>
            <w:tcW w:w="1567" w:type="dxa"/>
          </w:tcPr>
          <w:p>
            <w:pPr>
              <w:pStyle w:val="TableParagraph"/>
              <w:spacing w:line="273" w:lineRule="auto" w:before="20"/>
              <w:ind w:left="184" w:right="113"/>
              <w:rPr>
                <w:b/>
                <w:sz w:val="21"/>
              </w:rPr>
            </w:pPr>
            <w:r>
              <w:rPr>
                <w:b/>
                <w:sz w:val="21"/>
              </w:rPr>
              <w:t>保险费约定交纳日</w:t>
            </w:r>
          </w:p>
        </w:tc>
        <w:tc>
          <w:tcPr>
            <w:tcW w:w="7381" w:type="dxa"/>
          </w:tcPr>
          <w:p>
            <w:pPr>
              <w:pStyle w:val="TableParagraph"/>
              <w:spacing w:line="273" w:lineRule="auto" w:before="20"/>
              <w:ind w:left="131" w:right="-15"/>
              <w:rPr>
                <w:sz w:val="21"/>
              </w:rPr>
            </w:pPr>
            <w:r>
              <w:rPr>
                <w:spacing w:val="-10"/>
                <w:sz w:val="21"/>
              </w:rPr>
              <w:t>指本合同生效日在每月、每季、每半年或每年</w:t>
            </w:r>
            <w:r>
              <w:rPr>
                <w:spacing w:val="-3"/>
                <w:sz w:val="21"/>
              </w:rPr>
              <w:t>（根据交费方式确定</w:t>
            </w:r>
            <w:r>
              <w:rPr>
                <w:spacing w:val="-27"/>
                <w:sz w:val="21"/>
              </w:rPr>
              <w:t>）</w:t>
            </w:r>
            <w:r>
              <w:rPr>
                <w:spacing w:val="-3"/>
                <w:sz w:val="21"/>
              </w:rPr>
              <w:t>的对应日。如果当月无对应的同一日，则以该月最后一日为对应日。</w:t>
            </w:r>
          </w:p>
        </w:tc>
      </w:tr>
      <w:tr>
        <w:trPr>
          <w:trHeight w:val="608" w:hRule="atLeast"/>
        </w:trPr>
        <w:tc>
          <w:tcPr>
            <w:tcW w:w="716" w:type="dxa"/>
          </w:tcPr>
          <w:p>
            <w:pPr>
              <w:pStyle w:val="TableParagraph"/>
              <w:spacing w:before="21"/>
              <w:ind w:left="108"/>
              <w:rPr>
                <w:b/>
                <w:sz w:val="21"/>
              </w:rPr>
            </w:pPr>
            <w:r>
              <w:rPr>
                <w:b/>
                <w:sz w:val="21"/>
              </w:rPr>
              <w:t>10.3</w:t>
            </w:r>
          </w:p>
        </w:tc>
        <w:tc>
          <w:tcPr>
            <w:tcW w:w="1567" w:type="dxa"/>
          </w:tcPr>
          <w:p>
            <w:pPr>
              <w:pStyle w:val="TableParagraph"/>
              <w:spacing w:before="21"/>
              <w:ind w:left="184"/>
              <w:rPr>
                <w:b/>
                <w:sz w:val="21"/>
              </w:rPr>
            </w:pPr>
            <w:r>
              <w:rPr>
                <w:b/>
                <w:sz w:val="21"/>
              </w:rPr>
              <w:t>周岁</w:t>
            </w:r>
          </w:p>
        </w:tc>
        <w:tc>
          <w:tcPr>
            <w:tcW w:w="7381" w:type="dxa"/>
          </w:tcPr>
          <w:p>
            <w:pPr>
              <w:pStyle w:val="TableParagraph"/>
              <w:spacing w:line="312" w:lineRule="exact" w:before="17"/>
              <w:ind w:left="131" w:right="157"/>
              <w:rPr>
                <w:sz w:val="21"/>
              </w:rPr>
            </w:pPr>
            <w:r>
              <w:rPr>
                <w:spacing w:val="-3"/>
                <w:sz w:val="21"/>
              </w:rPr>
              <w:t>以户籍证明或其他法定的身份证件中记载的出生日期为标准计算年龄（</w:t>
            </w:r>
            <w:r>
              <w:rPr>
                <w:spacing w:val="-9"/>
                <w:sz w:val="21"/>
              </w:rPr>
              <w:t>不足 </w:t>
            </w:r>
            <w:r>
              <w:rPr>
                <w:sz w:val="21"/>
              </w:rPr>
              <w:t>1 </w:t>
            </w:r>
            <w:r>
              <w:rPr>
                <w:spacing w:val="-1"/>
                <w:sz w:val="21"/>
              </w:rPr>
              <w:t>年不计</w:t>
            </w:r>
            <w:r>
              <w:rPr>
                <w:spacing w:val="-106"/>
                <w:sz w:val="21"/>
              </w:rPr>
              <w:t>）</w:t>
            </w:r>
            <w:r>
              <w:rPr>
                <w:sz w:val="21"/>
              </w:rPr>
              <w:t>。</w:t>
            </w:r>
          </w:p>
        </w:tc>
      </w:tr>
    </w:tbl>
    <w:p>
      <w:pPr>
        <w:spacing w:after="0" w:line="312" w:lineRule="exact"/>
        <w:rPr>
          <w:sz w:val="21"/>
        </w:rPr>
        <w:sectPr>
          <w:pgSz w:w="11910" w:h="16840"/>
          <w:pgMar w:header="0" w:footer="925" w:top="1160" w:bottom="1120" w:left="860" w:right="11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548"/>
        <w:gridCol w:w="7550"/>
      </w:tblGrid>
      <w:tr>
        <w:trPr>
          <w:trHeight w:val="632" w:hRule="atLeast"/>
        </w:trPr>
        <w:tc>
          <w:tcPr>
            <w:tcW w:w="793" w:type="dxa"/>
          </w:tcPr>
          <w:p>
            <w:pPr>
              <w:pStyle w:val="TableParagraph"/>
              <w:spacing w:line="211" w:lineRule="exact"/>
              <w:ind w:left="179" w:right="150"/>
              <w:jc w:val="center"/>
              <w:rPr>
                <w:b/>
                <w:sz w:val="21"/>
              </w:rPr>
            </w:pPr>
            <w:r>
              <w:rPr>
                <w:b/>
                <w:sz w:val="21"/>
              </w:rPr>
              <w:t>10.4</w:t>
            </w:r>
          </w:p>
        </w:tc>
        <w:tc>
          <w:tcPr>
            <w:tcW w:w="1548" w:type="dxa"/>
          </w:tcPr>
          <w:p>
            <w:pPr>
              <w:pStyle w:val="TableParagraph"/>
              <w:spacing w:line="211" w:lineRule="exact"/>
              <w:ind w:left="199"/>
              <w:rPr>
                <w:b/>
                <w:sz w:val="21"/>
              </w:rPr>
            </w:pPr>
            <w:r>
              <w:rPr>
                <w:b/>
                <w:sz w:val="21"/>
              </w:rPr>
              <w:t>有效身份证件</w:t>
            </w:r>
          </w:p>
        </w:tc>
        <w:tc>
          <w:tcPr>
            <w:tcW w:w="7550" w:type="dxa"/>
          </w:tcPr>
          <w:p>
            <w:pPr>
              <w:pStyle w:val="TableParagraph"/>
              <w:spacing w:line="211" w:lineRule="exact"/>
              <w:ind w:left="165"/>
              <w:rPr>
                <w:sz w:val="21"/>
              </w:rPr>
            </w:pPr>
            <w:r>
              <w:rPr>
                <w:sz w:val="21"/>
              </w:rPr>
              <w:t>指由政府主管部门规定的证明其身份的证件，如：居民身份证、按规定可使用</w:t>
            </w:r>
          </w:p>
          <w:p>
            <w:pPr>
              <w:pStyle w:val="TableParagraph"/>
              <w:spacing w:before="37"/>
              <w:ind w:left="165"/>
              <w:rPr>
                <w:sz w:val="21"/>
              </w:rPr>
            </w:pPr>
            <w:r>
              <w:rPr>
                <w:sz w:val="21"/>
              </w:rPr>
              <w:t>的有效护照、军官证、警官证、士兵证、户口簿等证件。</w:t>
            </w:r>
          </w:p>
        </w:tc>
      </w:tr>
      <w:tr>
        <w:trPr>
          <w:trHeight w:val="733" w:hRule="atLeast"/>
        </w:trPr>
        <w:tc>
          <w:tcPr>
            <w:tcW w:w="793" w:type="dxa"/>
          </w:tcPr>
          <w:p>
            <w:pPr>
              <w:pStyle w:val="TableParagraph"/>
              <w:spacing w:before="45"/>
              <w:ind w:left="179" w:right="150"/>
              <w:jc w:val="center"/>
              <w:rPr>
                <w:b/>
                <w:sz w:val="21"/>
              </w:rPr>
            </w:pPr>
            <w:r>
              <w:rPr>
                <w:b/>
                <w:sz w:val="21"/>
              </w:rPr>
              <w:t>10.5</w:t>
            </w:r>
          </w:p>
        </w:tc>
        <w:tc>
          <w:tcPr>
            <w:tcW w:w="1548" w:type="dxa"/>
          </w:tcPr>
          <w:p>
            <w:pPr>
              <w:pStyle w:val="TableParagraph"/>
              <w:spacing w:before="45"/>
              <w:ind w:left="199"/>
              <w:rPr>
                <w:b/>
                <w:sz w:val="21"/>
              </w:rPr>
            </w:pPr>
            <w:r>
              <w:rPr>
                <w:b/>
                <w:sz w:val="21"/>
              </w:rPr>
              <w:t>意外伤害事故</w:t>
            </w:r>
          </w:p>
        </w:tc>
        <w:tc>
          <w:tcPr>
            <w:tcW w:w="7550" w:type="dxa"/>
          </w:tcPr>
          <w:p>
            <w:pPr>
              <w:pStyle w:val="TableParagraph"/>
              <w:spacing w:line="273" w:lineRule="auto" w:before="45"/>
              <w:ind w:left="153" w:right="317"/>
              <w:rPr>
                <w:b/>
                <w:sz w:val="21"/>
              </w:rPr>
            </w:pPr>
            <w:r>
              <w:rPr>
                <w:spacing w:val="-9"/>
                <w:sz w:val="21"/>
              </w:rPr>
              <w:t>指遭受外来的、突发的、非本意的、非由疾病引起的使身体受到伤害的客观事件，</w:t>
            </w:r>
            <w:r>
              <w:rPr>
                <w:b/>
                <w:spacing w:val="-9"/>
                <w:sz w:val="21"/>
              </w:rPr>
              <w:t>不包括猝死</w:t>
            </w:r>
            <w:r>
              <w:rPr>
                <w:spacing w:val="-3"/>
                <w:sz w:val="21"/>
              </w:rPr>
              <w:t>（</w:t>
            </w:r>
            <w:r>
              <w:rPr>
                <w:spacing w:val="-26"/>
                <w:sz w:val="21"/>
              </w:rPr>
              <w:t>见 </w:t>
            </w:r>
            <w:r>
              <w:rPr>
                <w:sz w:val="21"/>
              </w:rPr>
              <w:t>10.22）</w:t>
            </w:r>
            <w:r>
              <w:rPr>
                <w:b/>
                <w:sz w:val="21"/>
              </w:rPr>
              <w:t>情形。</w:t>
            </w:r>
          </w:p>
        </w:tc>
      </w:tr>
      <w:tr>
        <w:trPr>
          <w:trHeight w:val="2000" w:hRule="atLeast"/>
        </w:trPr>
        <w:tc>
          <w:tcPr>
            <w:tcW w:w="793" w:type="dxa"/>
          </w:tcPr>
          <w:p>
            <w:pPr>
              <w:pStyle w:val="TableParagraph"/>
              <w:spacing w:before="37"/>
              <w:ind w:left="179" w:right="150"/>
              <w:jc w:val="center"/>
              <w:rPr>
                <w:b/>
                <w:sz w:val="21"/>
              </w:rPr>
            </w:pPr>
            <w:r>
              <w:rPr>
                <w:b/>
                <w:sz w:val="21"/>
              </w:rPr>
              <w:t>10.6</w:t>
            </w:r>
          </w:p>
        </w:tc>
        <w:tc>
          <w:tcPr>
            <w:tcW w:w="1548" w:type="dxa"/>
          </w:tcPr>
          <w:p>
            <w:pPr>
              <w:pStyle w:val="TableParagraph"/>
              <w:spacing w:before="37"/>
              <w:ind w:left="170"/>
              <w:rPr>
                <w:b/>
                <w:sz w:val="21"/>
              </w:rPr>
            </w:pPr>
            <w:r>
              <w:rPr>
                <w:b/>
                <w:sz w:val="21"/>
              </w:rPr>
              <w:t>医院</w:t>
            </w:r>
          </w:p>
        </w:tc>
        <w:tc>
          <w:tcPr>
            <w:tcW w:w="7550" w:type="dxa"/>
          </w:tcPr>
          <w:p>
            <w:pPr>
              <w:pStyle w:val="TableParagraph"/>
              <w:spacing w:line="273" w:lineRule="auto" w:before="37"/>
              <w:ind w:left="81" w:right="198"/>
              <w:rPr>
                <w:sz w:val="21"/>
              </w:rPr>
            </w:pPr>
            <w:r>
              <w:rPr>
                <w:spacing w:val="-3"/>
                <w:sz w:val="21"/>
              </w:rPr>
              <w:t>本合同所称医院指我们指定医院或经中华人民共和国卫生部门评审确定的</w:t>
            </w:r>
            <w:r>
              <w:rPr>
                <w:b/>
                <w:sz w:val="21"/>
              </w:rPr>
              <w:t>二级</w:t>
            </w:r>
            <w:r>
              <w:rPr>
                <w:b/>
                <w:spacing w:val="-8"/>
                <w:sz w:val="21"/>
              </w:rPr>
              <w:t>或以上之公立医院，但不包括精神病院及专供康复、护理、疗养、戒酒、戒毒、养老等非以直接诊治病人为目的之医疗机构。</w:t>
            </w:r>
            <w:r>
              <w:rPr>
                <w:spacing w:val="-3"/>
                <w:sz w:val="21"/>
              </w:rPr>
              <w:t>该医院必须具有符合国家有关医</w:t>
            </w:r>
            <w:r>
              <w:rPr>
                <w:spacing w:val="-11"/>
                <w:sz w:val="21"/>
              </w:rPr>
              <w:t>院管理规则设置标准的医疗设备，且全天 </w:t>
            </w:r>
            <w:r>
              <w:rPr>
                <w:sz w:val="21"/>
              </w:rPr>
              <w:t>24</w:t>
            </w:r>
            <w:r>
              <w:rPr>
                <w:spacing w:val="-8"/>
                <w:sz w:val="21"/>
              </w:rPr>
              <w:t> 小时有合格的医生和护士驻院提供</w:t>
            </w:r>
            <w:r>
              <w:rPr>
                <w:spacing w:val="-5"/>
                <w:sz w:val="21"/>
              </w:rPr>
              <w:t>医疗和护理服务。当被保险人因急诊和遭受意外伤害事故须急救时不受此限， </w:t>
            </w:r>
            <w:r>
              <w:rPr>
                <w:spacing w:val="-4"/>
                <w:sz w:val="21"/>
              </w:rPr>
              <w:t>但病情稳定后须转入本合同所指医院治疗。</w:t>
            </w:r>
          </w:p>
        </w:tc>
      </w:tr>
      <w:tr>
        <w:trPr>
          <w:trHeight w:val="2068" w:hRule="atLeast"/>
        </w:trPr>
        <w:tc>
          <w:tcPr>
            <w:tcW w:w="793" w:type="dxa"/>
          </w:tcPr>
          <w:p>
            <w:pPr>
              <w:pStyle w:val="TableParagraph"/>
              <w:spacing w:before="64"/>
              <w:ind w:left="179" w:right="150"/>
              <w:jc w:val="center"/>
              <w:rPr>
                <w:b/>
                <w:sz w:val="21"/>
              </w:rPr>
            </w:pPr>
            <w:r>
              <w:rPr>
                <w:b/>
                <w:sz w:val="21"/>
              </w:rPr>
              <w:t>10.7</w:t>
            </w:r>
          </w:p>
        </w:tc>
        <w:tc>
          <w:tcPr>
            <w:tcW w:w="1548" w:type="dxa"/>
          </w:tcPr>
          <w:p>
            <w:pPr>
              <w:pStyle w:val="TableParagraph"/>
              <w:spacing w:before="64"/>
              <w:ind w:left="199"/>
              <w:rPr>
                <w:b/>
                <w:sz w:val="21"/>
              </w:rPr>
            </w:pPr>
            <w:r>
              <w:rPr>
                <w:b/>
                <w:sz w:val="21"/>
              </w:rPr>
              <w:t>专科医生</w:t>
            </w:r>
          </w:p>
        </w:tc>
        <w:tc>
          <w:tcPr>
            <w:tcW w:w="7550" w:type="dxa"/>
          </w:tcPr>
          <w:p>
            <w:pPr>
              <w:pStyle w:val="TableParagraph"/>
              <w:spacing w:before="64"/>
              <w:ind w:left="153"/>
              <w:rPr>
                <w:sz w:val="21"/>
              </w:rPr>
            </w:pPr>
            <w:r>
              <w:rPr>
                <w:sz w:val="21"/>
              </w:rPr>
              <w:t>专科医生应当同时满足以下四项资格条件：</w:t>
            </w:r>
          </w:p>
          <w:p>
            <w:pPr>
              <w:pStyle w:val="TableParagraph"/>
              <w:spacing w:before="36"/>
              <w:ind w:left="153"/>
              <w:rPr>
                <w:sz w:val="21"/>
              </w:rPr>
            </w:pPr>
            <w:r>
              <w:rPr>
                <w:sz w:val="21"/>
              </w:rPr>
              <w:t>1.具有有效的中华人民共和国《医师资格证书》；</w:t>
            </w:r>
          </w:p>
          <w:p>
            <w:pPr>
              <w:pStyle w:val="TableParagraph"/>
              <w:spacing w:before="36"/>
              <w:ind w:left="153"/>
              <w:rPr>
                <w:sz w:val="21"/>
              </w:rPr>
            </w:pPr>
            <w:r>
              <w:rPr>
                <w:sz w:val="21"/>
              </w:rPr>
              <w:t>2.具有有效的中华人民共和国《医师执业证书》，并按期到相关部门登记注册；</w:t>
            </w:r>
          </w:p>
          <w:p>
            <w:pPr>
              <w:pStyle w:val="TableParagraph"/>
              <w:spacing w:line="273" w:lineRule="auto" w:before="37"/>
              <w:ind w:left="153" w:right="457"/>
              <w:rPr>
                <w:sz w:val="21"/>
              </w:rPr>
            </w:pPr>
            <w:r>
              <w:rPr>
                <w:sz w:val="21"/>
              </w:rPr>
              <w:t>3.具有有效的中华人民共和国主治医师或主治医师以上职称的《医师职称证书》；</w:t>
            </w:r>
          </w:p>
          <w:p>
            <w:pPr>
              <w:pStyle w:val="TableParagraph"/>
              <w:spacing w:before="7"/>
              <w:ind w:left="153"/>
              <w:rPr>
                <w:sz w:val="21"/>
              </w:rPr>
            </w:pPr>
            <w:r>
              <w:rPr>
                <w:sz w:val="21"/>
              </w:rPr>
              <w:t>4.在二级或二级以上医院的相应科室从事临床工作 </w:t>
            </w:r>
            <w:r>
              <w:rPr>
                <w:rFonts w:ascii="Times New Roman" w:eastAsia="Times New Roman"/>
                <w:sz w:val="21"/>
              </w:rPr>
              <w:t>3 </w:t>
            </w:r>
            <w:r>
              <w:rPr>
                <w:sz w:val="21"/>
              </w:rPr>
              <w:t>年以上。</w:t>
            </w:r>
          </w:p>
        </w:tc>
      </w:tr>
      <w:tr>
        <w:trPr>
          <w:trHeight w:val="8165" w:hRule="atLeast"/>
        </w:trPr>
        <w:tc>
          <w:tcPr>
            <w:tcW w:w="793" w:type="dxa"/>
          </w:tcPr>
          <w:p>
            <w:pPr>
              <w:pStyle w:val="TableParagraph"/>
              <w:spacing w:before="89"/>
              <w:ind w:left="179" w:right="150"/>
              <w:jc w:val="center"/>
              <w:rPr>
                <w:b/>
                <w:sz w:val="21"/>
              </w:rPr>
            </w:pPr>
            <w:r>
              <w:rPr>
                <w:b/>
                <w:sz w:val="21"/>
              </w:rPr>
              <w:t>10.8</w:t>
            </w:r>
          </w:p>
        </w:tc>
        <w:tc>
          <w:tcPr>
            <w:tcW w:w="1548" w:type="dxa"/>
          </w:tcPr>
          <w:p>
            <w:pPr>
              <w:pStyle w:val="TableParagraph"/>
              <w:spacing w:before="89"/>
              <w:ind w:left="185"/>
              <w:rPr>
                <w:b/>
                <w:sz w:val="21"/>
              </w:rPr>
            </w:pPr>
            <w:r>
              <w:rPr>
                <w:b/>
                <w:sz w:val="21"/>
              </w:rPr>
              <w:t>轻型疾病</w:t>
            </w:r>
          </w:p>
        </w:tc>
        <w:tc>
          <w:tcPr>
            <w:tcW w:w="7550" w:type="dxa"/>
          </w:tcPr>
          <w:p>
            <w:pPr>
              <w:pStyle w:val="TableParagraph"/>
              <w:spacing w:before="108"/>
              <w:ind w:left="129"/>
              <w:rPr>
                <w:sz w:val="21"/>
              </w:rPr>
            </w:pPr>
            <w:r>
              <w:rPr>
                <w:sz w:val="21"/>
              </w:rPr>
              <w:t>本合同中所列轻型疾病包括以下 50 种：</w:t>
            </w:r>
          </w:p>
          <w:p>
            <w:pPr>
              <w:pStyle w:val="TableParagraph"/>
              <w:numPr>
                <w:ilvl w:val="0"/>
                <w:numId w:val="18"/>
              </w:numPr>
              <w:tabs>
                <w:tab w:pos="551" w:val="left" w:leader="none"/>
              </w:tabs>
              <w:spacing w:line="273" w:lineRule="auto" w:before="173" w:after="0"/>
              <w:ind w:left="550" w:right="468" w:hanging="421"/>
              <w:jc w:val="both"/>
              <w:rPr>
                <w:b/>
                <w:sz w:val="21"/>
              </w:rPr>
            </w:pPr>
            <w:r>
              <w:rPr>
                <w:spacing w:val="-3"/>
                <w:sz w:val="21"/>
              </w:rPr>
              <w:t>原位癌：指恶性肿瘤细胞未穿透基底膜的原位无浸润的恶性肿瘤。诊断需以固定组织标本的病理组织学检查结果为依据，任何组织涂片和穿刺活检结果均不能作为诊断依据。</w:t>
            </w:r>
            <w:r>
              <w:rPr>
                <w:b/>
                <w:spacing w:val="-2"/>
                <w:sz w:val="21"/>
              </w:rPr>
              <w:t>被保险人必须已经接受了针对原位癌病</w:t>
            </w:r>
            <w:r>
              <w:rPr>
                <w:b/>
                <w:spacing w:val="-3"/>
                <w:sz w:val="21"/>
              </w:rPr>
              <w:t>灶的积极治疗，包括手术、化疗或放疗等治疗方式。</w:t>
            </w:r>
          </w:p>
          <w:p>
            <w:pPr>
              <w:pStyle w:val="TableParagraph"/>
              <w:spacing w:line="273" w:lineRule="auto" w:before="163"/>
              <w:ind w:left="550" w:right="565"/>
              <w:rPr>
                <w:b/>
                <w:sz w:val="21"/>
              </w:rPr>
            </w:pPr>
            <w:r>
              <w:rPr>
                <w:b/>
                <w:sz w:val="21"/>
              </w:rPr>
              <w:t>原位癌必须在生前诊断,对被保险人所患癌症在被诊断时已经超越原位癌阶段者，本公司不再针对原位癌赔付原位癌保险金。</w:t>
            </w:r>
          </w:p>
          <w:p>
            <w:pPr>
              <w:pStyle w:val="TableParagraph"/>
              <w:spacing w:line="273" w:lineRule="auto" w:before="164"/>
              <w:ind w:left="550" w:right="339"/>
              <w:rPr>
                <w:b/>
                <w:sz w:val="21"/>
              </w:rPr>
            </w:pPr>
            <w:r>
              <w:rPr>
                <w:b/>
                <w:sz w:val="21"/>
              </w:rPr>
              <w:t>癌前病变（包括宫颈上皮内瘤样病变 CIN-1，CIN-2，重度不典型增生但非原位癌）不在本合同保障范围内。</w:t>
            </w:r>
          </w:p>
          <w:p>
            <w:pPr>
              <w:pStyle w:val="TableParagraph"/>
              <w:numPr>
                <w:ilvl w:val="0"/>
                <w:numId w:val="18"/>
              </w:numPr>
              <w:tabs>
                <w:tab w:pos="551" w:val="left" w:leader="none"/>
              </w:tabs>
              <w:spacing w:line="273" w:lineRule="auto" w:before="163" w:after="0"/>
              <w:ind w:left="550" w:right="480" w:hanging="421"/>
              <w:jc w:val="both"/>
              <w:rPr>
                <w:sz w:val="21"/>
              </w:rPr>
            </w:pPr>
            <w:r>
              <w:rPr>
                <w:spacing w:val="-3"/>
                <w:sz w:val="21"/>
              </w:rPr>
              <w:t>非危及生命的恶性肿瘤：指经组织病理学检查被明确诊断为下列恶性病变，并且接受了相应的治疗。</w:t>
            </w:r>
          </w:p>
          <w:p>
            <w:pPr>
              <w:pStyle w:val="TableParagraph"/>
              <w:numPr>
                <w:ilvl w:val="1"/>
                <w:numId w:val="18"/>
              </w:numPr>
              <w:tabs>
                <w:tab w:pos="1390" w:val="left" w:leader="none"/>
                <w:tab w:pos="1391" w:val="left" w:leader="none"/>
              </w:tabs>
              <w:spacing w:line="240" w:lineRule="auto" w:before="163" w:after="0"/>
              <w:ind w:left="1390" w:right="0" w:hanging="420"/>
              <w:jc w:val="left"/>
              <w:rPr>
                <w:sz w:val="21"/>
              </w:rPr>
            </w:pPr>
            <w:r>
              <w:rPr>
                <w:spacing w:val="-14"/>
                <w:sz w:val="21"/>
              </w:rPr>
              <w:t>相当于 </w:t>
            </w:r>
            <w:r>
              <w:rPr>
                <w:sz w:val="21"/>
              </w:rPr>
              <w:t>Binet</w:t>
            </w:r>
            <w:r>
              <w:rPr>
                <w:spacing w:val="-9"/>
                <w:sz w:val="21"/>
              </w:rPr>
              <w:t> 分期方案 </w:t>
            </w:r>
            <w:r>
              <w:rPr>
                <w:sz w:val="21"/>
              </w:rPr>
              <w:t>A</w:t>
            </w:r>
            <w:r>
              <w:rPr>
                <w:spacing w:val="-9"/>
                <w:sz w:val="21"/>
              </w:rPr>
              <w:t> 期程度的慢性淋巴细胞白血病；</w:t>
            </w:r>
          </w:p>
          <w:p>
            <w:pPr>
              <w:pStyle w:val="TableParagraph"/>
              <w:spacing w:before="9"/>
              <w:rPr>
                <w:b/>
                <w:sz w:val="14"/>
              </w:rPr>
            </w:pPr>
          </w:p>
          <w:p>
            <w:pPr>
              <w:pStyle w:val="TableParagraph"/>
              <w:numPr>
                <w:ilvl w:val="1"/>
                <w:numId w:val="18"/>
              </w:numPr>
              <w:tabs>
                <w:tab w:pos="1390" w:val="left" w:leader="none"/>
                <w:tab w:pos="1391" w:val="left" w:leader="none"/>
              </w:tabs>
              <w:spacing w:line="240" w:lineRule="auto" w:before="1" w:after="0"/>
              <w:ind w:left="1390" w:right="0" w:hanging="420"/>
              <w:jc w:val="left"/>
              <w:rPr>
                <w:sz w:val="21"/>
              </w:rPr>
            </w:pPr>
            <w:r>
              <w:rPr>
                <w:spacing w:val="-14"/>
                <w:sz w:val="21"/>
              </w:rPr>
              <w:t>相当于 </w:t>
            </w:r>
            <w:r>
              <w:rPr>
                <w:sz w:val="21"/>
              </w:rPr>
              <w:t>Ann</w:t>
            </w:r>
            <w:r>
              <w:rPr>
                <w:spacing w:val="3"/>
                <w:sz w:val="21"/>
              </w:rPr>
              <w:t> </w:t>
            </w:r>
            <w:r>
              <w:rPr>
                <w:sz w:val="21"/>
              </w:rPr>
              <w:t>Arbor</w:t>
            </w:r>
            <w:r>
              <w:rPr>
                <w:spacing w:val="-10"/>
                <w:sz w:val="21"/>
              </w:rPr>
              <w:t> 分期方案 </w:t>
            </w:r>
            <w:r>
              <w:rPr>
                <w:sz w:val="21"/>
              </w:rPr>
              <w:t>I</w:t>
            </w:r>
            <w:r>
              <w:rPr>
                <w:spacing w:val="-9"/>
                <w:sz w:val="21"/>
              </w:rPr>
              <w:t> 期程度的何杰金氏病；</w:t>
            </w:r>
          </w:p>
          <w:p>
            <w:pPr>
              <w:pStyle w:val="TableParagraph"/>
              <w:spacing w:before="10"/>
              <w:rPr>
                <w:b/>
                <w:sz w:val="14"/>
              </w:rPr>
            </w:pPr>
          </w:p>
          <w:p>
            <w:pPr>
              <w:pStyle w:val="TableParagraph"/>
              <w:numPr>
                <w:ilvl w:val="1"/>
                <w:numId w:val="18"/>
              </w:numPr>
              <w:tabs>
                <w:tab w:pos="1391" w:val="left" w:leader="none"/>
              </w:tabs>
              <w:spacing w:line="273" w:lineRule="auto" w:before="0" w:after="0"/>
              <w:ind w:left="1390" w:right="476" w:hanging="420"/>
              <w:jc w:val="both"/>
              <w:rPr>
                <w:sz w:val="21"/>
              </w:rPr>
            </w:pPr>
            <w:r>
              <w:rPr>
                <w:spacing w:val="-3"/>
                <w:sz w:val="21"/>
              </w:rPr>
              <w:t>皮肤癌；指皮肤表皮发生的恶性肿瘤。皮肤癌的诊断必须由专科医生诊断并且经病理学检查结果确诊。</w:t>
            </w:r>
            <w:r>
              <w:rPr>
                <w:b/>
                <w:spacing w:val="-1"/>
                <w:sz w:val="21"/>
              </w:rPr>
              <w:t>恶性黑色素瘤及已发</w:t>
            </w:r>
            <w:r>
              <w:rPr>
                <w:b/>
                <w:spacing w:val="-2"/>
                <w:sz w:val="21"/>
              </w:rPr>
              <w:t>生转移的皮肤癌不在本合同保障范围内</w:t>
            </w:r>
            <w:r>
              <w:rPr>
                <w:sz w:val="21"/>
              </w:rPr>
              <w:t>；</w:t>
            </w:r>
          </w:p>
          <w:p>
            <w:pPr>
              <w:pStyle w:val="TableParagraph"/>
              <w:numPr>
                <w:ilvl w:val="1"/>
                <w:numId w:val="18"/>
              </w:numPr>
              <w:tabs>
                <w:tab w:pos="1390" w:val="left" w:leader="none"/>
                <w:tab w:pos="1391" w:val="left" w:leader="none"/>
              </w:tabs>
              <w:spacing w:line="240" w:lineRule="auto" w:before="164" w:after="0"/>
              <w:ind w:left="1390" w:right="0" w:hanging="420"/>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TableParagraph"/>
              <w:spacing w:before="10"/>
              <w:rPr>
                <w:b/>
                <w:sz w:val="14"/>
              </w:rPr>
            </w:pPr>
          </w:p>
          <w:p>
            <w:pPr>
              <w:pStyle w:val="TableParagraph"/>
              <w:spacing w:line="273" w:lineRule="auto"/>
              <w:ind w:left="550" w:right="339"/>
              <w:rPr>
                <w:b/>
                <w:sz w:val="21"/>
              </w:rPr>
            </w:pPr>
            <w:r>
              <w:rPr>
                <w:b/>
                <w:sz w:val="21"/>
              </w:rPr>
              <w:t>癌前病变（包括宫颈上皮内瘤样病变 CIN-1，CIN-2，重度不典型增生但非原位癌）不在本合同保障范围内。</w:t>
            </w:r>
          </w:p>
          <w:p>
            <w:pPr>
              <w:pStyle w:val="TableParagraph"/>
              <w:numPr>
                <w:ilvl w:val="0"/>
                <w:numId w:val="18"/>
              </w:numPr>
              <w:tabs>
                <w:tab w:pos="551" w:val="left" w:leader="none"/>
              </w:tabs>
              <w:spacing w:line="310" w:lineRule="atLeast" w:before="128" w:after="0"/>
              <w:ind w:left="550" w:right="480" w:hanging="421"/>
              <w:jc w:val="both"/>
              <w:rPr>
                <w:sz w:val="21"/>
              </w:rPr>
            </w:pPr>
            <w:r>
              <w:rPr>
                <w:spacing w:val="-3"/>
                <w:sz w:val="21"/>
              </w:rPr>
              <w:t>不典型的急性心肌梗塞：指被临床诊断为急性心肌梗塞并接受了急性心肌梗塞治疗虽然未达到重大疾病“急性心肌梗塞”的给付标准。</w:t>
            </w:r>
          </w:p>
        </w:tc>
      </w:tr>
    </w:tbl>
    <w:p>
      <w:pPr>
        <w:spacing w:after="0" w:line="310" w:lineRule="atLeast"/>
        <w:jc w:val="both"/>
        <w:rPr>
          <w:sz w:val="21"/>
        </w:rPr>
        <w:sectPr>
          <w:pgSz w:w="11910" w:h="16840"/>
          <w:pgMar w:header="0" w:footer="925" w:top="1160" w:bottom="1120" w:left="760" w:right="1020"/>
        </w:sectPr>
      </w:pPr>
    </w:p>
    <w:p>
      <w:pPr>
        <w:pStyle w:val="BodyText"/>
        <w:spacing w:before="22"/>
        <w:ind w:left="2088"/>
      </w:pPr>
      <w:r>
        <w:rPr/>
        <w:t>但满足下列全部条件：</w:t>
      </w:r>
    </w:p>
    <w:p>
      <w:pPr>
        <w:pStyle w:val="BodyText"/>
        <w:spacing w:before="10"/>
        <w:rPr>
          <w:sz w:val="14"/>
        </w:rPr>
      </w:pPr>
    </w:p>
    <w:p>
      <w:pPr>
        <w:pStyle w:val="ListParagraph"/>
        <w:numPr>
          <w:ilvl w:val="1"/>
          <w:numId w:val="15"/>
        </w:numPr>
        <w:tabs>
          <w:tab w:pos="2928" w:val="left" w:leader="none"/>
          <w:tab w:pos="2929" w:val="left" w:leader="none"/>
        </w:tabs>
        <w:spacing w:line="273" w:lineRule="auto" w:before="0" w:after="0"/>
        <w:ind w:left="2929" w:right="258" w:hanging="420"/>
        <w:jc w:val="left"/>
        <w:rPr>
          <w:sz w:val="21"/>
        </w:rPr>
      </w:pPr>
      <w:r>
        <w:rPr>
          <w:spacing w:val="-3"/>
          <w:sz w:val="21"/>
        </w:rPr>
        <w:t>心肌酶或肌钙蛋白有诊断意义的升高，或呈符合急性心肌梗塞的动态性变化；</w:t>
      </w:r>
    </w:p>
    <w:p>
      <w:pPr>
        <w:pStyle w:val="ListParagraph"/>
        <w:numPr>
          <w:ilvl w:val="1"/>
          <w:numId w:val="15"/>
        </w:numPr>
        <w:tabs>
          <w:tab w:pos="2928" w:val="left" w:leader="none"/>
          <w:tab w:pos="2929" w:val="left" w:leader="none"/>
        </w:tabs>
        <w:spacing w:line="408" w:lineRule="auto" w:before="163" w:after="0"/>
        <w:ind w:left="2089" w:right="1417" w:firstLine="420"/>
        <w:jc w:val="left"/>
        <w:rPr>
          <w:b/>
          <w:sz w:val="21"/>
        </w:rPr>
      </w:pPr>
      <w:r>
        <w:rPr>
          <w:spacing w:val="-9"/>
          <w:sz w:val="21"/>
        </w:rPr>
        <w:t>心电图有损伤性的 </w:t>
      </w:r>
      <w:r>
        <w:rPr>
          <w:sz w:val="21"/>
        </w:rPr>
        <w:t>ST</w:t>
      </w:r>
      <w:r>
        <w:rPr>
          <w:spacing w:val="-13"/>
          <w:sz w:val="21"/>
        </w:rPr>
        <w:t> 段改变但未出现病理 </w:t>
      </w:r>
      <w:r>
        <w:rPr>
          <w:sz w:val="21"/>
        </w:rPr>
        <w:t>Q</w:t>
      </w:r>
      <w:r>
        <w:rPr>
          <w:spacing w:val="-18"/>
          <w:sz w:val="21"/>
        </w:rPr>
        <w:t> 波。</w:t>
      </w:r>
      <w:r>
        <w:rPr>
          <w:b/>
          <w:spacing w:val="-13"/>
          <w:sz w:val="21"/>
        </w:rPr>
        <w:t>以下情况不属于本合同保障范围内：</w:t>
      </w:r>
    </w:p>
    <w:p>
      <w:pPr>
        <w:pStyle w:val="Heading1"/>
        <w:numPr>
          <w:ilvl w:val="0"/>
          <w:numId w:val="19"/>
        </w:numPr>
        <w:tabs>
          <w:tab w:pos="2928" w:val="left" w:leader="none"/>
          <w:tab w:pos="2929" w:val="left" w:leader="none"/>
        </w:tabs>
        <w:spacing w:line="273" w:lineRule="auto" w:before="45" w:after="0"/>
        <w:ind w:left="2929" w:right="184" w:hanging="420"/>
        <w:jc w:val="left"/>
      </w:pPr>
      <w:r>
        <w:rPr>
          <w:spacing w:val="-5"/>
        </w:rPr>
        <w:t>其他非心肌梗死性的急性冠状动脉综合症</w:t>
      </w:r>
      <w:r>
        <w:rPr/>
        <w:t>（稳定性</w:t>
      </w:r>
      <w:r>
        <w:rPr>
          <w:spacing w:val="-3"/>
        </w:rPr>
        <w:t>/</w:t>
      </w:r>
      <w:r>
        <w:rPr/>
        <w:t>不稳定性心</w:t>
      </w:r>
      <w:r>
        <w:rPr>
          <w:w w:val="100"/>
        </w:rPr>
        <w:t>绞痛</w:t>
      </w:r>
      <w:r>
        <w:rPr>
          <w:spacing w:val="-106"/>
          <w:w w:val="100"/>
        </w:rPr>
        <w:t>）</w:t>
      </w:r>
      <w:r>
        <w:rPr>
          <w:w w:val="100"/>
        </w:rPr>
        <w:t>；</w:t>
      </w:r>
    </w:p>
    <w:p>
      <w:pPr>
        <w:pStyle w:val="ListParagraph"/>
        <w:numPr>
          <w:ilvl w:val="0"/>
          <w:numId w:val="19"/>
        </w:numPr>
        <w:tabs>
          <w:tab w:pos="2928" w:val="left" w:leader="none"/>
          <w:tab w:pos="2929" w:val="left" w:leader="none"/>
        </w:tabs>
        <w:spacing w:line="240" w:lineRule="auto" w:before="163" w:after="0"/>
        <w:ind w:left="2929" w:right="0" w:hanging="420"/>
        <w:jc w:val="left"/>
        <w:rPr>
          <w:b/>
          <w:sz w:val="21"/>
        </w:rPr>
      </w:pPr>
      <w:r>
        <w:rPr>
          <w:b/>
          <w:spacing w:val="-3"/>
          <w:sz w:val="21"/>
        </w:rPr>
        <w:t>由于心脏或冠状动脉介入手术引起的心脏损害。</w:t>
      </w:r>
    </w:p>
    <w:p>
      <w:pPr>
        <w:pStyle w:val="BodyText"/>
        <w:spacing w:before="9"/>
        <w:rPr>
          <w:b/>
          <w:sz w:val="14"/>
        </w:rPr>
      </w:pPr>
    </w:p>
    <w:p>
      <w:pPr>
        <w:pStyle w:val="ListParagraph"/>
        <w:numPr>
          <w:ilvl w:val="0"/>
          <w:numId w:val="20"/>
        </w:numPr>
        <w:tabs>
          <w:tab w:pos="2089" w:val="left" w:leader="none"/>
        </w:tabs>
        <w:spacing w:line="273" w:lineRule="auto" w:before="0" w:after="0"/>
        <w:ind w:left="2089" w:right="258" w:hanging="421"/>
        <w:jc w:val="both"/>
        <w:rPr>
          <w:sz w:val="21"/>
        </w:rPr>
      </w:pPr>
      <w:r>
        <w:rPr>
          <w:spacing w:val="-3"/>
          <w:sz w:val="21"/>
        </w:rPr>
        <w:t>轻微脑中风：指因脑血管的突发病变出现神经系统功能障碍表现，头颅</w:t>
      </w:r>
      <w:r>
        <w:rPr>
          <w:spacing w:val="-3"/>
          <w:w w:val="100"/>
          <w:sz w:val="21"/>
        </w:rPr>
        <w:t>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等影像学检查证实存在对应病灶，确</w:t>
      </w:r>
      <w:r>
        <w:rPr>
          <w:spacing w:val="-3"/>
          <w:sz w:val="21"/>
        </w:rPr>
        <w:t>诊为脑出血、脑栓塞或脑梗塞。</w:t>
      </w:r>
    </w:p>
    <w:p>
      <w:pPr>
        <w:pStyle w:val="BodyText"/>
        <w:spacing w:line="273" w:lineRule="auto" w:before="163"/>
        <w:ind w:left="2088" w:right="258"/>
        <w:jc w:val="both"/>
      </w:pPr>
      <w:r>
        <w:rPr>
          <w:spacing w:val="-11"/>
        </w:rPr>
        <w:t>在确诊 </w:t>
      </w:r>
      <w:r>
        <w:rPr/>
        <w:t>180</w:t>
      </w:r>
      <w:r>
        <w:rPr>
          <w:spacing w:val="-8"/>
        </w:rPr>
        <w:t> 天后仍遗留神经系统功能障碍。遗留的神经系统功能障碍程</w:t>
      </w:r>
      <w:r>
        <w:rPr>
          <w:spacing w:val="-5"/>
        </w:rPr>
        <w:t>度虽未达到重大疾病“脑中风后遗症”的给付标准，但仍遗留下列一种</w:t>
      </w:r>
      <w:r>
        <w:rPr>
          <w:spacing w:val="-4"/>
        </w:rPr>
        <w:t>或一种以上障碍：</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1"/>
          <w:sz w:val="21"/>
        </w:rPr>
        <w:t>一侧肢体</w:t>
      </w:r>
      <w:r>
        <w:rPr>
          <w:spacing w:val="-3"/>
          <w:sz w:val="21"/>
        </w:rPr>
        <w:t>（上肢和下肢）</w:t>
      </w:r>
      <w:r>
        <w:rPr>
          <w:spacing w:val="-10"/>
          <w:sz w:val="21"/>
        </w:rPr>
        <w:t>的肌力为 </w:t>
      </w:r>
      <w:r>
        <w:rPr>
          <w:sz w:val="21"/>
        </w:rPr>
        <w:t>2</w:t>
      </w:r>
      <w:r>
        <w:rPr>
          <w:spacing w:val="-9"/>
          <w:sz w:val="21"/>
        </w:rPr>
        <w:t> 级或更低；</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1" w:after="0"/>
        <w:ind w:left="2929" w:right="0" w:hanging="420"/>
        <w:jc w:val="left"/>
        <w:rPr>
          <w:sz w:val="21"/>
        </w:rPr>
      </w:pPr>
      <w:r>
        <w:rPr>
          <w:spacing w:val="-3"/>
          <w:sz w:val="21"/>
        </w:rPr>
        <w:t>自主生活能力丧失，无法独立完成</w:t>
      </w:r>
      <w:r>
        <w:rPr>
          <w:b/>
          <w:spacing w:val="-1"/>
          <w:sz w:val="21"/>
        </w:rPr>
        <w:t>六项基本日常生活活动</w:t>
      </w:r>
      <w:r>
        <w:rPr>
          <w:sz w:val="21"/>
        </w:rPr>
        <w:t>（见</w:t>
      </w:r>
    </w:p>
    <w:p>
      <w:pPr>
        <w:pStyle w:val="BodyText"/>
        <w:spacing w:line="408" w:lineRule="auto" w:before="37"/>
        <w:ind w:left="2088" w:right="4147" w:firstLine="840"/>
      </w:pPr>
      <w:r>
        <w:rPr/>
        <w:t>10.23）中的两项。肌力分级：</w:t>
      </w:r>
    </w:p>
    <w:p>
      <w:pPr>
        <w:pStyle w:val="ListParagraph"/>
        <w:numPr>
          <w:ilvl w:val="0"/>
          <w:numId w:val="21"/>
        </w:numPr>
        <w:tabs>
          <w:tab w:pos="2248" w:val="left" w:leader="none"/>
        </w:tabs>
        <w:spacing w:line="240" w:lineRule="auto" w:before="46" w:after="0"/>
        <w:ind w:left="2247" w:right="0" w:hanging="158"/>
        <w:jc w:val="both"/>
        <w:rPr>
          <w:sz w:val="21"/>
        </w:rPr>
      </w:pPr>
      <w:r>
        <w:rPr>
          <w:spacing w:val="-3"/>
          <w:sz w:val="21"/>
        </w:rPr>
        <w:t>级  完全瘫痪，测不到肌肉收缩；</w:t>
      </w:r>
    </w:p>
    <w:p>
      <w:pPr>
        <w:pStyle w:val="BodyText"/>
        <w:spacing w:before="10"/>
        <w:rPr>
          <w:sz w:val="14"/>
        </w:rPr>
      </w:pPr>
    </w:p>
    <w:p>
      <w:pPr>
        <w:pStyle w:val="ListParagraph"/>
        <w:numPr>
          <w:ilvl w:val="0"/>
          <w:numId w:val="21"/>
        </w:numPr>
        <w:tabs>
          <w:tab w:pos="2248" w:val="left" w:leader="none"/>
        </w:tabs>
        <w:spacing w:line="240" w:lineRule="auto" w:before="0" w:after="0"/>
        <w:ind w:left="2247" w:right="0" w:hanging="158"/>
        <w:jc w:val="both"/>
        <w:rPr>
          <w:sz w:val="21"/>
        </w:rPr>
      </w:pPr>
      <w:r>
        <w:rPr>
          <w:spacing w:val="-3"/>
          <w:sz w:val="21"/>
        </w:rPr>
        <w:t>级  可见肌肉轻微收缩，但不能带动关节；</w:t>
      </w:r>
    </w:p>
    <w:p>
      <w:pPr>
        <w:pStyle w:val="BodyText"/>
        <w:spacing w:before="10"/>
        <w:rPr>
          <w:sz w:val="14"/>
        </w:rPr>
      </w:pPr>
    </w:p>
    <w:p>
      <w:pPr>
        <w:pStyle w:val="ListParagraph"/>
        <w:numPr>
          <w:ilvl w:val="0"/>
          <w:numId w:val="21"/>
        </w:numPr>
        <w:tabs>
          <w:tab w:pos="2248" w:val="left" w:leader="none"/>
        </w:tabs>
        <w:spacing w:line="240" w:lineRule="auto" w:before="0" w:after="0"/>
        <w:ind w:left="2247" w:right="0" w:hanging="158"/>
        <w:jc w:val="both"/>
        <w:rPr>
          <w:sz w:val="21"/>
        </w:rPr>
      </w:pPr>
      <w:r>
        <w:rPr>
          <w:spacing w:val="-3"/>
          <w:sz w:val="21"/>
        </w:rPr>
        <w:t>级  肢体能在床上平行移动，但不能抵抗自身重力，即不能抬离床面；</w:t>
      </w:r>
    </w:p>
    <w:p>
      <w:pPr>
        <w:pStyle w:val="BodyText"/>
        <w:spacing w:before="9"/>
        <w:rPr>
          <w:sz w:val="14"/>
        </w:rPr>
      </w:pPr>
    </w:p>
    <w:p>
      <w:pPr>
        <w:pStyle w:val="ListParagraph"/>
        <w:numPr>
          <w:ilvl w:val="0"/>
          <w:numId w:val="21"/>
        </w:numPr>
        <w:tabs>
          <w:tab w:pos="2248" w:val="left" w:leader="none"/>
        </w:tabs>
        <w:spacing w:line="240" w:lineRule="auto" w:before="0" w:after="0"/>
        <w:ind w:left="2247" w:right="0" w:hanging="158"/>
        <w:jc w:val="both"/>
        <w:rPr>
          <w:sz w:val="21"/>
        </w:rPr>
      </w:pPr>
      <w:r>
        <w:rPr>
          <w:spacing w:val="-3"/>
          <w:sz w:val="21"/>
        </w:rPr>
        <w:t>级  肢体可以克服地心吸收力，能抬离床面，但不能抵抗阻力；</w:t>
      </w:r>
    </w:p>
    <w:p>
      <w:pPr>
        <w:pStyle w:val="BodyText"/>
        <w:spacing w:before="9"/>
        <w:rPr>
          <w:sz w:val="14"/>
        </w:rPr>
      </w:pPr>
    </w:p>
    <w:p>
      <w:pPr>
        <w:pStyle w:val="ListParagraph"/>
        <w:numPr>
          <w:ilvl w:val="0"/>
          <w:numId w:val="21"/>
        </w:numPr>
        <w:tabs>
          <w:tab w:pos="2248" w:val="left" w:leader="none"/>
        </w:tabs>
        <w:spacing w:line="240" w:lineRule="auto" w:before="0" w:after="0"/>
        <w:ind w:left="2247" w:right="0" w:hanging="158"/>
        <w:jc w:val="both"/>
        <w:rPr>
          <w:sz w:val="21"/>
        </w:rPr>
      </w:pPr>
      <w:r>
        <w:rPr>
          <w:spacing w:val="-3"/>
          <w:sz w:val="21"/>
        </w:rPr>
        <w:t>级  肢体能做对抗外界阻力的运动,但肌力低于正常；</w:t>
      </w:r>
    </w:p>
    <w:p>
      <w:pPr>
        <w:pStyle w:val="BodyText"/>
        <w:spacing w:before="9"/>
        <w:rPr>
          <w:sz w:val="14"/>
        </w:rPr>
      </w:pPr>
    </w:p>
    <w:p>
      <w:pPr>
        <w:pStyle w:val="ListParagraph"/>
        <w:numPr>
          <w:ilvl w:val="0"/>
          <w:numId w:val="21"/>
        </w:numPr>
        <w:tabs>
          <w:tab w:pos="2248" w:val="left" w:leader="none"/>
        </w:tabs>
        <w:spacing w:line="240" w:lineRule="auto" w:before="0" w:after="0"/>
        <w:ind w:left="2247" w:right="0" w:hanging="158"/>
        <w:jc w:val="both"/>
        <w:rPr>
          <w:sz w:val="21"/>
        </w:rPr>
      </w:pPr>
      <w:r>
        <w:rPr>
          <w:spacing w:val="-2"/>
          <w:sz w:val="21"/>
        </w:rPr>
        <w:t>级  肌力正常。</w:t>
      </w:r>
    </w:p>
    <w:p>
      <w:pPr>
        <w:pStyle w:val="BodyText"/>
        <w:spacing w:before="9"/>
        <w:rPr>
          <w:sz w:val="14"/>
        </w:rPr>
      </w:pPr>
    </w:p>
    <w:p>
      <w:pPr>
        <w:pStyle w:val="ListParagraph"/>
        <w:numPr>
          <w:ilvl w:val="0"/>
          <w:numId w:val="20"/>
        </w:numPr>
        <w:tabs>
          <w:tab w:pos="2088" w:val="left" w:leader="none"/>
          <w:tab w:pos="2089" w:val="left" w:leader="none"/>
        </w:tabs>
        <w:spacing w:line="273" w:lineRule="auto" w:before="0" w:after="0"/>
        <w:ind w:left="2089" w:right="183" w:hanging="421"/>
        <w:jc w:val="left"/>
        <w:rPr>
          <w:sz w:val="21"/>
        </w:rPr>
      </w:pPr>
      <w:r>
        <w:rPr>
          <w:spacing w:val="-3"/>
          <w:sz w:val="21"/>
        </w:rPr>
        <w:t>继发性肺动脉高压：继发性肺动脉压力持续增高，导致右心室肥厚，已经造成</w:t>
      </w:r>
      <w:r>
        <w:rPr>
          <w:b/>
          <w:spacing w:val="-6"/>
          <w:sz w:val="21"/>
        </w:rPr>
        <w:t>永久不可逆</w:t>
      </w:r>
      <w:r>
        <w:rPr>
          <w:spacing w:val="-3"/>
          <w:sz w:val="21"/>
        </w:rPr>
        <w:t>（</w:t>
      </w:r>
      <w:r>
        <w:rPr>
          <w:spacing w:val="-14"/>
          <w:sz w:val="21"/>
        </w:rPr>
        <w:t>见 </w:t>
      </w:r>
      <w:r>
        <w:rPr>
          <w:spacing w:val="-6"/>
          <w:sz w:val="21"/>
        </w:rPr>
        <w:t>10.24）性的体力活动能力受限，达到美国纽约心</w:t>
      </w:r>
      <w:r>
        <w:rPr>
          <w:spacing w:val="-8"/>
          <w:sz w:val="21"/>
        </w:rPr>
        <w:t>脏病学会心功能状态分级 </w:t>
      </w:r>
      <w:r>
        <w:rPr>
          <w:sz w:val="21"/>
        </w:rPr>
        <w:t>IV</w:t>
      </w:r>
      <w:r>
        <w:rPr>
          <w:spacing w:val="-16"/>
          <w:sz w:val="21"/>
        </w:rPr>
        <w:t> 级。</w:t>
      </w:r>
    </w:p>
    <w:p>
      <w:pPr>
        <w:pStyle w:val="BodyText"/>
        <w:spacing w:line="273" w:lineRule="auto" w:before="163"/>
        <w:ind w:left="2088" w:right="258"/>
      </w:pPr>
      <w:r>
        <w:rPr/>
        <w:t>诊断需要由心脏科专家确诊，并且心导管检查报告显示静息状态下肺动脉平均压超过 30mmHg。</w:t>
      </w:r>
    </w:p>
    <w:p>
      <w:pPr>
        <w:pStyle w:val="Heading1"/>
        <w:spacing w:line="273" w:lineRule="auto" w:before="164"/>
        <w:ind w:right="237"/>
      </w:pPr>
      <w:r>
        <w:rPr/>
        <w:t>所有原发性肺动脉高血压不在本合同保障范围内。所有先天性心脏疾病直接或间接引起的肺动脉高压也不在本合同保障范围内。</w:t>
      </w:r>
    </w:p>
    <w:p>
      <w:pPr>
        <w:pStyle w:val="ListParagraph"/>
        <w:numPr>
          <w:ilvl w:val="0"/>
          <w:numId w:val="20"/>
        </w:numPr>
        <w:tabs>
          <w:tab w:pos="2089" w:val="left" w:leader="none"/>
        </w:tabs>
        <w:spacing w:line="273" w:lineRule="auto" w:before="164" w:after="0"/>
        <w:ind w:left="2089" w:right="258" w:hanging="421"/>
        <w:jc w:val="both"/>
        <w:rPr>
          <w:sz w:val="21"/>
        </w:rPr>
      </w:pPr>
      <w:r>
        <w:rPr>
          <w:spacing w:val="-3"/>
          <w:sz w:val="21"/>
        </w:rPr>
        <w:t>早期肝硬化：肝硬化须由专科医生明确诊断。必须由活检证实有再生的肝细胞结节和典型的肝组织纤维化。以下条件必须全部满足并至少持续一年：</w:t>
      </w:r>
    </w:p>
    <w:p>
      <w:pPr>
        <w:spacing w:after="0" w:line="273" w:lineRule="auto"/>
        <w:jc w:val="both"/>
        <w:rPr>
          <w:sz w:val="21"/>
        </w:rPr>
        <w:sectPr>
          <w:pgSz w:w="11910" w:h="16840"/>
          <w:pgMar w:header="0" w:footer="925" w:top="1080" w:bottom="1120" w:left="1680" w:right="1360"/>
        </w:sectPr>
      </w:pPr>
    </w:p>
    <w:p>
      <w:pPr>
        <w:pStyle w:val="ListParagraph"/>
        <w:numPr>
          <w:ilvl w:val="1"/>
          <w:numId w:val="20"/>
        </w:numPr>
        <w:tabs>
          <w:tab w:pos="2928" w:val="left" w:leader="none"/>
          <w:tab w:pos="2929" w:val="left" w:leader="none"/>
        </w:tabs>
        <w:spacing w:line="240" w:lineRule="auto" w:before="22" w:after="0"/>
        <w:ind w:left="2929" w:right="0" w:hanging="420"/>
        <w:jc w:val="left"/>
        <w:rPr>
          <w:sz w:val="21"/>
        </w:rPr>
      </w:pPr>
      <w:r>
        <w:rPr>
          <w:spacing w:val="-6"/>
          <w:sz w:val="21"/>
        </w:rPr>
        <w:t>持续性黄疸，胆红素水平升高超过 </w:t>
      </w:r>
      <w:r>
        <w:rPr>
          <w:sz w:val="21"/>
        </w:rPr>
        <w:t>50mmol/</w:t>
      </w:r>
      <w:r>
        <w:rPr>
          <w:spacing w:val="10"/>
          <w:sz w:val="21"/>
        </w:rPr>
        <w:t> </w:t>
      </w:r>
      <w:r>
        <w:rPr>
          <w:sz w:val="21"/>
        </w:rPr>
        <w:t>L；</w:t>
      </w:r>
    </w:p>
    <w:p>
      <w:pPr>
        <w:pStyle w:val="BodyText"/>
        <w:spacing w:before="10"/>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6"/>
          <w:sz w:val="21"/>
        </w:rPr>
        <w:t>蛋白质合成异常，白蛋白水平低于 </w:t>
      </w:r>
      <w:r>
        <w:rPr>
          <w:sz w:val="21"/>
        </w:rPr>
        <w:t>27g/</w:t>
      </w:r>
      <w:r>
        <w:rPr>
          <w:spacing w:val="10"/>
          <w:sz w:val="21"/>
        </w:rPr>
        <w:t> </w:t>
      </w:r>
      <w:r>
        <w:rPr>
          <w:sz w:val="21"/>
        </w:rPr>
        <w:t>L；</w:t>
      </w:r>
    </w:p>
    <w:p>
      <w:pPr>
        <w:pStyle w:val="BodyText"/>
        <w:spacing w:before="10"/>
        <w:rPr>
          <w:sz w:val="14"/>
        </w:rPr>
      </w:pPr>
    </w:p>
    <w:p>
      <w:pPr>
        <w:pStyle w:val="ListParagraph"/>
        <w:numPr>
          <w:ilvl w:val="1"/>
          <w:numId w:val="20"/>
        </w:numPr>
        <w:tabs>
          <w:tab w:pos="2928" w:val="left" w:leader="none"/>
          <w:tab w:pos="2929" w:val="left" w:leader="none"/>
        </w:tabs>
        <w:spacing w:line="273" w:lineRule="auto" w:before="0" w:after="0"/>
        <w:ind w:left="2929" w:right="101" w:hanging="420"/>
        <w:jc w:val="left"/>
        <w:rPr>
          <w:sz w:val="21"/>
        </w:rPr>
      </w:pPr>
      <w:r>
        <w:rPr>
          <w:spacing w:val="-11"/>
          <w:sz w:val="21"/>
        </w:rPr>
        <w:t>异常凝血功能， 凝血酶原时间超过正常上限的 </w:t>
      </w:r>
      <w:r>
        <w:rPr>
          <w:sz w:val="21"/>
        </w:rPr>
        <w:t>2</w:t>
      </w:r>
      <w:r>
        <w:rPr>
          <w:spacing w:val="-16"/>
          <w:sz w:val="21"/>
        </w:rPr>
        <w:t> 倍或以上， 或</w:t>
      </w:r>
      <w:r>
        <w:rPr>
          <w:spacing w:val="-7"/>
          <w:sz w:val="21"/>
        </w:rPr>
        <w:t>者国际正常化比率</w:t>
      </w:r>
      <w:r>
        <w:rPr>
          <w:sz w:val="21"/>
        </w:rPr>
        <w:t>（INR）</w:t>
      </w:r>
      <w:r>
        <w:rPr>
          <w:spacing w:val="-24"/>
          <w:sz w:val="21"/>
        </w:rPr>
        <w:t>在 </w:t>
      </w:r>
      <w:r>
        <w:rPr>
          <w:sz w:val="21"/>
        </w:rPr>
        <w:t>2.0</w:t>
      </w:r>
      <w:r>
        <w:rPr>
          <w:spacing w:val="-14"/>
          <w:sz w:val="21"/>
        </w:rPr>
        <w:t> 以上。</w:t>
      </w:r>
    </w:p>
    <w:p>
      <w:pPr>
        <w:pStyle w:val="Heading1"/>
        <w:spacing w:before="163"/>
      </w:pPr>
      <w:r>
        <w:rPr/>
        <w:t>继发于酒精，毒品或药物滥用不在本合同保障范围内。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9" w:right="178" w:hanging="421"/>
        <w:jc w:val="both"/>
        <w:rPr>
          <w:sz w:val="21"/>
        </w:rPr>
      </w:pPr>
      <w:r>
        <w:rPr>
          <w:spacing w:val="-3"/>
          <w:sz w:val="21"/>
        </w:rPr>
        <w:t>肺功能衰竭：是指被保险人必须经本公司认可的医院的呼吸科专科医师确诊患有慢性肺部疾病而出现慢性呼吸功能衰竭，其诊断标准包括以下各项：</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9"/>
          <w:sz w:val="21"/>
        </w:rPr>
        <w:t>肺功能测试其 </w:t>
      </w:r>
      <w:r>
        <w:rPr>
          <w:sz w:val="21"/>
        </w:rPr>
        <w:t>FEV1</w:t>
      </w:r>
      <w:r>
        <w:rPr>
          <w:spacing w:val="-12"/>
          <w:sz w:val="21"/>
        </w:rPr>
        <w:t> 持续低于预测值的 </w:t>
      </w:r>
      <w:r>
        <w:rPr>
          <w:sz w:val="21"/>
        </w:rPr>
        <w:t>50%；</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病人血氧不足必须间断地进行输氧治疗；</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1" w:after="0"/>
        <w:ind w:left="2929" w:right="0" w:hanging="420"/>
        <w:jc w:val="left"/>
        <w:rPr>
          <w:sz w:val="21"/>
        </w:rPr>
      </w:pPr>
      <w:r>
        <w:rPr>
          <w:spacing w:val="-7"/>
          <w:sz w:val="21"/>
        </w:rPr>
        <w:t>动脉血气分析氧分压低于 </w:t>
      </w:r>
      <w:r>
        <w:rPr>
          <w:sz w:val="21"/>
        </w:rPr>
        <w:t>60mmHg。</w:t>
      </w:r>
    </w:p>
    <w:p>
      <w:pPr>
        <w:pStyle w:val="BodyText"/>
        <w:spacing w:before="10"/>
        <w:rPr>
          <w:sz w:val="14"/>
        </w:rPr>
      </w:pPr>
    </w:p>
    <w:p>
      <w:pPr>
        <w:pStyle w:val="ListParagraph"/>
        <w:numPr>
          <w:ilvl w:val="0"/>
          <w:numId w:val="20"/>
        </w:numPr>
        <w:tabs>
          <w:tab w:pos="2088" w:val="left" w:leader="none"/>
          <w:tab w:pos="2089" w:val="left" w:leader="none"/>
        </w:tabs>
        <w:spacing w:line="408" w:lineRule="auto" w:before="0" w:after="0"/>
        <w:ind w:left="2089" w:right="809" w:hanging="421"/>
        <w:jc w:val="left"/>
        <w:rPr>
          <w:sz w:val="21"/>
        </w:rPr>
      </w:pPr>
      <w:r>
        <w:rPr>
          <w:spacing w:val="-3"/>
          <w:sz w:val="21"/>
        </w:rPr>
        <w:t>慢性肾功能损害：慢性肾功能障碍是指慢性肾功能不全的晚期。须满足下列全部条件：</w:t>
      </w:r>
    </w:p>
    <w:p>
      <w:pPr>
        <w:pStyle w:val="ListParagraph"/>
        <w:numPr>
          <w:ilvl w:val="1"/>
          <w:numId w:val="20"/>
        </w:numPr>
        <w:tabs>
          <w:tab w:pos="2929" w:val="left" w:leader="none"/>
        </w:tabs>
        <w:spacing w:line="273" w:lineRule="auto" w:before="46" w:after="0"/>
        <w:ind w:left="2929" w:right="101" w:hanging="420"/>
        <w:jc w:val="both"/>
        <w:rPr>
          <w:sz w:val="21"/>
        </w:rPr>
      </w:pPr>
      <w:r>
        <w:rPr>
          <w:spacing w:val="-15"/>
          <w:sz w:val="21"/>
        </w:rPr>
        <w:t>肾小球滤过率</w:t>
      </w:r>
      <w:r>
        <w:rPr>
          <w:spacing w:val="-3"/>
          <w:sz w:val="21"/>
        </w:rPr>
        <w:t>（</w:t>
      </w:r>
      <w:r>
        <w:rPr>
          <w:spacing w:val="-18"/>
          <w:sz w:val="21"/>
        </w:rPr>
        <w:t>使用 </w:t>
      </w:r>
      <w:r>
        <w:rPr>
          <w:sz w:val="21"/>
        </w:rPr>
        <w:t>MDRD</w:t>
      </w:r>
      <w:r>
        <w:rPr>
          <w:spacing w:val="-1"/>
          <w:sz w:val="21"/>
        </w:rPr>
        <w:t> 公式 或 </w:t>
      </w:r>
      <w:r>
        <w:rPr>
          <w:sz w:val="21"/>
        </w:rPr>
        <w:t>Cockcroft-Gault</w:t>
      </w:r>
      <w:r>
        <w:rPr>
          <w:spacing w:val="-1"/>
          <w:sz w:val="21"/>
        </w:rPr>
        <w:t> 公式计算</w:t>
      </w:r>
      <w:r>
        <w:rPr>
          <w:spacing w:val="-2"/>
          <w:sz w:val="21"/>
        </w:rPr>
        <w:t>的结果</w:t>
      </w:r>
      <w:r>
        <w:rPr>
          <w:spacing w:val="-74"/>
          <w:sz w:val="21"/>
        </w:rPr>
        <w:t>）</w:t>
      </w:r>
      <w:r>
        <w:rPr>
          <w:spacing w:val="-31"/>
          <w:sz w:val="21"/>
        </w:rPr>
        <w:t>，低于 </w:t>
      </w:r>
      <w:r>
        <w:rPr>
          <w:sz w:val="21"/>
        </w:rPr>
        <w:t>30mL/min/1.73</w:t>
      </w:r>
      <w:r>
        <w:rPr>
          <w:spacing w:val="-14"/>
          <w:sz w:val="21"/>
        </w:rPr>
        <w:t> 平方米，且此状态须持续至少 </w:t>
      </w:r>
      <w:r>
        <w:rPr>
          <w:sz w:val="21"/>
        </w:rPr>
        <w:t>90 天；</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3"/>
          <w:sz w:val="21"/>
        </w:rPr>
        <w:t>慢性肾功能障碍的诊断必须由泌尿科或肾脏科医师确认。</w:t>
      </w:r>
    </w:p>
    <w:p>
      <w:pPr>
        <w:pStyle w:val="BodyText"/>
        <w:spacing w:before="9"/>
        <w:rPr>
          <w:sz w:val="14"/>
        </w:rPr>
      </w:pPr>
    </w:p>
    <w:p>
      <w:pPr>
        <w:pStyle w:val="ListParagraph"/>
        <w:numPr>
          <w:ilvl w:val="0"/>
          <w:numId w:val="20"/>
        </w:numPr>
        <w:tabs>
          <w:tab w:pos="2089" w:val="left" w:leader="none"/>
        </w:tabs>
        <w:spacing w:line="273" w:lineRule="auto" w:before="0" w:after="0"/>
        <w:ind w:left="2089" w:right="178" w:hanging="421"/>
        <w:jc w:val="both"/>
        <w:rPr>
          <w:sz w:val="21"/>
        </w:rPr>
      </w:pPr>
      <w:r>
        <w:rPr>
          <w:spacing w:val="-3"/>
          <w:sz w:val="21"/>
        </w:rPr>
        <w:t>视力严重受损：指因疾病或意外伤害导致双目视力永久不可逆性丧失， 双眼中较好眼须满足下列全部条件：</w:t>
      </w:r>
    </w:p>
    <w:p>
      <w:pPr>
        <w:pStyle w:val="ListParagraph"/>
        <w:numPr>
          <w:ilvl w:val="1"/>
          <w:numId w:val="20"/>
        </w:numPr>
        <w:tabs>
          <w:tab w:pos="2928" w:val="left" w:leader="none"/>
          <w:tab w:pos="2929" w:val="left" w:leader="none"/>
        </w:tabs>
        <w:spacing w:line="273" w:lineRule="auto" w:before="164" w:after="0"/>
        <w:ind w:left="2929" w:right="127" w:hanging="420"/>
        <w:jc w:val="left"/>
        <w:rPr>
          <w:sz w:val="21"/>
        </w:rPr>
      </w:pPr>
      <w:r>
        <w:rPr>
          <w:spacing w:val="-8"/>
          <w:sz w:val="21"/>
        </w:rPr>
        <w:t>矫正视力为 </w:t>
      </w:r>
      <w:r>
        <w:rPr>
          <w:sz w:val="21"/>
        </w:rPr>
        <w:t>0.02-0.1（</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ListParagraph"/>
        <w:numPr>
          <w:ilvl w:val="1"/>
          <w:numId w:val="20"/>
        </w:numPr>
        <w:tabs>
          <w:tab w:pos="2928" w:val="left" w:leader="none"/>
          <w:tab w:pos="2929" w:val="left" w:leader="none"/>
        </w:tabs>
        <w:spacing w:line="240" w:lineRule="auto" w:before="164" w:after="0"/>
        <w:ind w:left="2929" w:right="0" w:hanging="420"/>
        <w:jc w:val="left"/>
        <w:rPr>
          <w:sz w:val="21"/>
        </w:rPr>
      </w:pPr>
      <w:r>
        <w:rPr>
          <w:spacing w:val="-11"/>
          <w:sz w:val="21"/>
        </w:rPr>
        <w:t>视野半径为 </w:t>
      </w:r>
      <w:r>
        <w:rPr>
          <w:sz w:val="21"/>
        </w:rPr>
        <w:t>5-20</w:t>
      </w:r>
      <w:r>
        <w:rPr>
          <w:spacing w:val="-18"/>
          <w:sz w:val="21"/>
        </w:rPr>
        <w:t> 度。</w:t>
      </w:r>
    </w:p>
    <w:p>
      <w:pPr>
        <w:pStyle w:val="BodyText"/>
        <w:spacing w:before="10"/>
        <w:rPr>
          <w:sz w:val="14"/>
        </w:rPr>
      </w:pPr>
    </w:p>
    <w:p>
      <w:pPr>
        <w:pStyle w:val="Heading1"/>
        <w:spacing w:line="273" w:lineRule="auto"/>
        <w:ind w:right="154"/>
      </w:pPr>
      <w:r>
        <w:rPr>
          <w:spacing w:val="-5"/>
        </w:rPr>
        <w:t>申请理赔时，被保险人年龄必须在 </w:t>
      </w:r>
      <w:r>
        <w:rPr/>
        <w:t>3</w:t>
      </w:r>
      <w:r>
        <w:rPr>
          <w:spacing w:val="-8"/>
        </w:rPr>
        <w:t> 周岁以上，并且须提供理赔当时的视力丧失诊断及检查证据。</w:t>
      </w:r>
    </w:p>
    <w:p>
      <w:pPr>
        <w:pStyle w:val="ListParagraph"/>
        <w:numPr>
          <w:ilvl w:val="0"/>
          <w:numId w:val="20"/>
        </w:numPr>
        <w:tabs>
          <w:tab w:pos="2089" w:val="left" w:leader="none"/>
        </w:tabs>
        <w:spacing w:line="273" w:lineRule="auto" w:before="163" w:after="0"/>
        <w:ind w:left="2089" w:right="178" w:hanging="421"/>
        <w:jc w:val="both"/>
        <w:rPr>
          <w:sz w:val="21"/>
        </w:rPr>
      </w:pPr>
      <w:r>
        <w:rPr>
          <w:spacing w:val="-3"/>
          <w:sz w:val="21"/>
        </w:rPr>
        <w:t>听力严重受损：指因疾病或意外伤害导致单耳或双耳听力永久不可逆性</w:t>
      </w:r>
      <w:r>
        <w:rPr>
          <w:spacing w:val="-13"/>
          <w:sz w:val="21"/>
        </w:rPr>
        <w:t>丧失。在 </w:t>
      </w:r>
      <w:r>
        <w:rPr>
          <w:sz w:val="21"/>
        </w:rPr>
        <w:t>500</w:t>
      </w:r>
      <w:r>
        <w:rPr>
          <w:spacing w:val="-14"/>
          <w:sz w:val="21"/>
        </w:rPr>
        <w:t> 赫兹，</w:t>
      </w:r>
      <w:r>
        <w:rPr>
          <w:sz w:val="21"/>
        </w:rPr>
        <w:t>1000</w:t>
      </w:r>
      <w:r>
        <w:rPr>
          <w:spacing w:val="-22"/>
          <w:sz w:val="21"/>
        </w:rPr>
        <w:t> 赫兹和 </w:t>
      </w:r>
      <w:r>
        <w:rPr>
          <w:sz w:val="21"/>
        </w:rPr>
        <w:t>2000</w:t>
      </w:r>
      <w:r>
        <w:rPr>
          <w:spacing w:val="-8"/>
          <w:sz w:val="21"/>
        </w:rPr>
        <w:t> 赫兹语音频率下，平均听阈大于</w:t>
      </w:r>
    </w:p>
    <w:p>
      <w:pPr>
        <w:pStyle w:val="BodyText"/>
        <w:spacing w:line="273" w:lineRule="auto" w:before="7"/>
        <w:ind w:left="2088" w:right="101"/>
      </w:pPr>
      <w:r>
        <w:rPr/>
        <w:t>80</w:t>
      </w:r>
      <w:r>
        <w:rPr>
          <w:spacing w:val="-14"/>
        </w:rPr>
        <w:t> 分贝但未达到 </w:t>
      </w:r>
      <w:r>
        <w:rPr/>
        <w:t>90</w:t>
      </w:r>
      <w:r>
        <w:rPr>
          <w:spacing w:val="-15"/>
        </w:rPr>
        <w:t> 分贝。需有纯音听力测试、声导抗检测或听觉诱发电</w:t>
      </w:r>
      <w:r>
        <w:rPr>
          <w:spacing w:val="-3"/>
        </w:rPr>
        <w:t>位检测等证实。</w:t>
      </w:r>
    </w:p>
    <w:p>
      <w:pPr>
        <w:pStyle w:val="Heading1"/>
        <w:spacing w:line="273" w:lineRule="auto" w:before="163"/>
        <w:ind w:right="154"/>
      </w:pPr>
      <w:r>
        <w:rPr>
          <w:spacing w:val="-5"/>
        </w:rPr>
        <w:t>申请理赔时，被保险人年龄必须在 </w:t>
      </w:r>
      <w:r>
        <w:rPr/>
        <w:t>3</w:t>
      </w:r>
      <w:r>
        <w:rPr>
          <w:spacing w:val="-8"/>
        </w:rPr>
        <w:t> 周岁以上，并且须提供理赔当时的听力丧失诊断及检查证据。</w:t>
      </w:r>
    </w:p>
    <w:p>
      <w:pPr>
        <w:pStyle w:val="ListParagraph"/>
        <w:numPr>
          <w:ilvl w:val="0"/>
          <w:numId w:val="20"/>
        </w:numPr>
        <w:tabs>
          <w:tab w:pos="2089" w:val="left" w:leader="none"/>
        </w:tabs>
        <w:spacing w:line="273" w:lineRule="auto" w:before="163" w:after="0"/>
        <w:ind w:left="2089" w:right="178" w:hanging="421"/>
        <w:jc w:val="both"/>
        <w:rPr>
          <w:sz w:val="21"/>
        </w:rPr>
      </w:pPr>
      <w:r>
        <w:rPr>
          <w:spacing w:val="-3"/>
          <w:sz w:val="21"/>
        </w:rPr>
        <w:t>心脏瓣膜经皮导管介入手术：指为治疗心脏瓣膜疾病，实际实施了或经皮导管介入手术进行心脏瓣膜置换或者修复手术，含经皮瓣膜成形术、经皮瓣膜扩张术和经皮瓣膜置换术。</w:t>
      </w:r>
    </w:p>
    <w:p>
      <w:pPr>
        <w:pStyle w:val="Heading1"/>
        <w:spacing w:line="273" w:lineRule="auto" w:before="163"/>
        <w:ind w:right="157"/>
      </w:pPr>
      <w:r>
        <w:rPr/>
        <w:t>手术过程必须是经皮血管内导管技术，任何经开胸术打开或进入胸部的手术均不在本合同保障范围内。</w:t>
      </w:r>
    </w:p>
    <w:p>
      <w:pPr>
        <w:spacing w:after="0" w:line="273" w:lineRule="auto"/>
        <w:sectPr>
          <w:pgSz w:w="11910" w:h="16840"/>
          <w:pgMar w:header="0" w:footer="925" w:top="1080" w:bottom="1200" w:left="1680" w:right="1440"/>
        </w:sectPr>
      </w:pPr>
    </w:p>
    <w:p>
      <w:pPr>
        <w:pStyle w:val="ListParagraph"/>
        <w:numPr>
          <w:ilvl w:val="0"/>
          <w:numId w:val="20"/>
        </w:numPr>
        <w:tabs>
          <w:tab w:pos="2089" w:val="left" w:leader="none"/>
        </w:tabs>
        <w:spacing w:line="273" w:lineRule="auto" w:before="22" w:after="0"/>
        <w:ind w:left="2089" w:right="278" w:hanging="421"/>
        <w:jc w:val="both"/>
        <w:rPr>
          <w:sz w:val="21"/>
        </w:rPr>
      </w:pPr>
      <w:r>
        <w:rPr>
          <w:spacing w:val="-3"/>
          <w:sz w:val="21"/>
        </w:rPr>
        <w:t>主动脉内手术：为了治疗主动脉疾病实际实施了经皮经导管进行的动脉内手术，诊断需经心脏血管超声检查确诊，并由专科医师确认是在医学上是必要的。</w:t>
      </w:r>
    </w:p>
    <w:p>
      <w:pPr>
        <w:pStyle w:val="BodyText"/>
        <w:spacing w:before="164"/>
        <w:ind w:left="2088"/>
      </w:pPr>
      <w:r>
        <w:rPr/>
        <w:t>主动脉指胸主动脉和腹主动脉，不包括胸主动脉和腹主动脉的分支血管。</w:t>
      </w:r>
    </w:p>
    <w:p>
      <w:pPr>
        <w:pStyle w:val="BodyText"/>
        <w:spacing w:before="10"/>
        <w:rPr>
          <w:sz w:val="14"/>
        </w:rPr>
      </w:pPr>
    </w:p>
    <w:p>
      <w:pPr>
        <w:pStyle w:val="ListParagraph"/>
        <w:numPr>
          <w:ilvl w:val="0"/>
          <w:numId w:val="20"/>
        </w:numPr>
        <w:tabs>
          <w:tab w:pos="2089" w:val="left" w:leader="none"/>
        </w:tabs>
        <w:spacing w:line="273" w:lineRule="auto" w:before="0" w:after="0"/>
        <w:ind w:left="2089" w:right="201" w:hanging="421"/>
        <w:jc w:val="left"/>
        <w:rPr>
          <w:sz w:val="21"/>
        </w:rPr>
      </w:pPr>
      <w:r>
        <w:rPr>
          <w:spacing w:val="-3"/>
          <w:sz w:val="21"/>
        </w:rPr>
        <w:t>脑垂体瘤、脑囊肿：指实际实施的垂体瘤、脑囊肿的切除手术。诊断需</w:t>
      </w:r>
      <w:r>
        <w:rPr>
          <w:spacing w:val="-4"/>
          <w:sz w:val="21"/>
        </w:rPr>
        <w:t>经头颅断层扫描</w:t>
      </w:r>
      <w:r>
        <w:rPr>
          <w:spacing w:val="-3"/>
          <w:sz w:val="21"/>
        </w:rPr>
        <w:t>（CT）</w:t>
      </w:r>
      <w:r>
        <w:rPr>
          <w:spacing w:val="-4"/>
          <w:sz w:val="21"/>
        </w:rPr>
        <w:t>或核磁共振</w:t>
      </w:r>
      <w:r>
        <w:rPr>
          <w:spacing w:val="-3"/>
          <w:sz w:val="21"/>
        </w:rPr>
        <w:t>（MRI）确诊，并由专科医师确认此手术在医学上是必要的。在申请理赔时必须提交由病理科专科医生签署的固定活组织病理学检查报告和由专科医生签署的临床诊断及治疗报告。</w:t>
      </w:r>
    </w:p>
    <w:p>
      <w:pPr>
        <w:pStyle w:val="Heading1"/>
        <w:spacing w:before="163"/>
      </w:pPr>
      <w:r>
        <w:rPr/>
        <w:t>直径小于 1cm 的垂体微腺瘤不在本合同保障范围内。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9" w:right="278" w:hanging="421"/>
        <w:jc w:val="left"/>
        <w:rPr>
          <w:sz w:val="21"/>
        </w:rPr>
      </w:pPr>
      <w:r>
        <w:rPr>
          <w:spacing w:val="-3"/>
          <w:sz w:val="21"/>
        </w:rPr>
        <w:t>轻度帕金森病：是一种中枢神经系统的退行性疾病，临床表现为震颤麻痹、共济失调等。</w:t>
      </w:r>
    </w:p>
    <w:p>
      <w:pPr>
        <w:pStyle w:val="BodyText"/>
        <w:spacing w:before="164"/>
        <w:ind w:left="2088"/>
      </w:pPr>
      <w:r>
        <w:rPr/>
        <w:t>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1" w:after="0"/>
        <w:ind w:left="2929" w:right="0" w:hanging="420"/>
        <w:jc w:val="left"/>
        <w:rPr>
          <w:sz w:val="21"/>
        </w:rPr>
      </w:pPr>
      <w:r>
        <w:rPr>
          <w:spacing w:val="-3"/>
          <w:sz w:val="21"/>
        </w:rPr>
        <w:t>药物治疗无法控制病情；</w:t>
      </w:r>
    </w:p>
    <w:p>
      <w:pPr>
        <w:pStyle w:val="BodyText"/>
        <w:spacing w:before="10"/>
        <w:rPr>
          <w:sz w:val="14"/>
        </w:rPr>
      </w:pPr>
    </w:p>
    <w:p>
      <w:pPr>
        <w:pStyle w:val="ListParagraph"/>
        <w:numPr>
          <w:ilvl w:val="1"/>
          <w:numId w:val="20"/>
        </w:numPr>
        <w:tabs>
          <w:tab w:pos="2928" w:val="left" w:leader="none"/>
          <w:tab w:pos="2929" w:val="left" w:leader="none"/>
        </w:tabs>
        <w:spacing w:line="273" w:lineRule="auto" w:before="0" w:after="0"/>
        <w:ind w:left="2929" w:right="278" w:hanging="420"/>
        <w:jc w:val="left"/>
        <w:rPr>
          <w:sz w:val="21"/>
        </w:rPr>
      </w:pPr>
      <w:r>
        <w:rPr>
          <w:spacing w:val="-3"/>
          <w:sz w:val="21"/>
        </w:rPr>
        <w:t>自主生活能力完全丧失，无法独立完成六项基本日常生活活动</w:t>
      </w:r>
      <w:r>
        <w:rPr>
          <w:spacing w:val="-2"/>
          <w:sz w:val="21"/>
        </w:rPr>
        <w:t>中的两项。</w:t>
      </w:r>
    </w:p>
    <w:p>
      <w:pPr>
        <w:pStyle w:val="Heading1"/>
        <w:spacing w:before="163"/>
      </w:pPr>
      <w:r>
        <w:rPr/>
        <w:t>继发性帕金森综合征不在本合同保障范围内。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9" w:right="201" w:hanging="421"/>
        <w:jc w:val="left"/>
        <w:rPr>
          <w:sz w:val="21"/>
        </w:rPr>
      </w:pPr>
      <w:r>
        <w:rPr>
          <w:spacing w:val="-3"/>
          <w:sz w:val="21"/>
        </w:rPr>
        <w:t>脑损伤：指因头部遭受机械性外力，引起脑重要部位损伤，导致神经系</w:t>
      </w:r>
      <w:r>
        <w:rPr>
          <w:spacing w:val="-3"/>
          <w:w w:val="100"/>
          <w:sz w:val="21"/>
        </w:rPr>
        <w:t>统永久性的功能障碍。须由头颅断层扫描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4"/>
          <w:sz w:val="21"/>
        </w:rPr>
        <w:t>或正电子发射断层扫描</w:t>
      </w:r>
      <w:r>
        <w:rPr>
          <w:spacing w:val="-3"/>
          <w:sz w:val="21"/>
        </w:rPr>
        <w:t>（PET）</w:t>
      </w:r>
      <w:r>
        <w:rPr>
          <w:spacing w:val="-5"/>
          <w:sz w:val="21"/>
        </w:rPr>
        <w:t>等影像学检查证实。神经系统永久性的功</w:t>
      </w:r>
      <w:r>
        <w:rPr>
          <w:spacing w:val="-10"/>
          <w:sz w:val="21"/>
        </w:rPr>
        <w:t>能障碍，指脑损伤 </w:t>
      </w:r>
      <w:r>
        <w:rPr>
          <w:sz w:val="21"/>
        </w:rPr>
        <w:t>90</w:t>
      </w:r>
      <w:r>
        <w:rPr>
          <w:spacing w:val="-10"/>
          <w:sz w:val="21"/>
        </w:rPr>
        <w:t> 天后，仍完全丧失自主生活能力，无法独立进行六</w:t>
      </w:r>
      <w:r>
        <w:rPr>
          <w:spacing w:val="-5"/>
          <w:sz w:val="21"/>
        </w:rPr>
        <w:t>项基本日常生活活动中的两项。</w:t>
      </w:r>
    </w:p>
    <w:p>
      <w:pPr>
        <w:pStyle w:val="ListParagraph"/>
        <w:numPr>
          <w:ilvl w:val="0"/>
          <w:numId w:val="20"/>
        </w:numPr>
        <w:tabs>
          <w:tab w:pos="2089" w:val="left" w:leader="none"/>
        </w:tabs>
        <w:spacing w:line="273" w:lineRule="auto" w:before="164" w:after="0"/>
        <w:ind w:left="2089" w:right="201" w:hanging="421"/>
        <w:jc w:val="both"/>
        <w:rPr>
          <w:sz w:val="21"/>
        </w:rPr>
      </w:pPr>
      <w:r>
        <w:rPr>
          <w:spacing w:val="-12"/>
          <w:sz w:val="21"/>
        </w:rPr>
        <w:t>三度烧伤：指烧伤程度为Ⅲ度，且Ⅲ度烧伤面积达到全身体表面积的 </w:t>
      </w:r>
      <w:r>
        <w:rPr>
          <w:sz w:val="21"/>
        </w:rPr>
        <w:t>10% </w:t>
      </w:r>
      <w:r>
        <w:rPr>
          <w:spacing w:val="-11"/>
          <w:sz w:val="21"/>
        </w:rPr>
        <w:t>但少于 </w:t>
      </w:r>
      <w:r>
        <w:rPr>
          <w:spacing w:val="-3"/>
          <w:sz w:val="21"/>
        </w:rPr>
        <w:t>20</w:t>
      </w:r>
      <w:r>
        <w:rPr>
          <w:spacing w:val="-8"/>
          <w:sz w:val="21"/>
        </w:rPr>
        <w:t>%，或者超过 </w:t>
      </w:r>
      <w:r>
        <w:rPr>
          <w:sz w:val="21"/>
        </w:rPr>
        <w:t>50</w:t>
      </w:r>
      <w:r>
        <w:rPr>
          <w:spacing w:val="-5"/>
          <w:sz w:val="21"/>
        </w:rPr>
        <w:t>%脸部面积。体表面积根据《中国新九分法》计算。</w:t>
      </w:r>
    </w:p>
    <w:p>
      <w:pPr>
        <w:pStyle w:val="ListParagraph"/>
        <w:numPr>
          <w:ilvl w:val="0"/>
          <w:numId w:val="20"/>
        </w:numPr>
        <w:tabs>
          <w:tab w:pos="2089" w:val="left" w:leader="none"/>
        </w:tabs>
        <w:spacing w:line="408" w:lineRule="auto" w:before="164" w:after="0"/>
        <w:ind w:left="2089" w:right="909" w:hanging="421"/>
        <w:jc w:val="left"/>
        <w:rPr>
          <w:b/>
          <w:sz w:val="21"/>
        </w:rPr>
      </w:pPr>
      <w:r>
        <w:rPr>
          <w:spacing w:val="-3"/>
          <w:sz w:val="21"/>
        </w:rPr>
        <w:t>单侧肺脏切除：因疾病或意外事故实际实施的一侧肺脏切除术。</w:t>
      </w:r>
      <w:r>
        <w:rPr>
          <w:b/>
          <w:spacing w:val="-3"/>
          <w:sz w:val="21"/>
        </w:rPr>
        <w:t>部分切除手术和肺脏捐献引起的手术不在本合同保障范围内。</w:t>
      </w:r>
    </w:p>
    <w:p>
      <w:pPr>
        <w:pStyle w:val="ListParagraph"/>
        <w:numPr>
          <w:ilvl w:val="0"/>
          <w:numId w:val="20"/>
        </w:numPr>
        <w:tabs>
          <w:tab w:pos="2089" w:val="left" w:leader="none"/>
        </w:tabs>
        <w:spacing w:line="273" w:lineRule="auto" w:before="46" w:after="0"/>
        <w:ind w:left="2089" w:right="201" w:hanging="421"/>
        <w:jc w:val="left"/>
        <w:rPr>
          <w:sz w:val="21"/>
        </w:rPr>
      </w:pPr>
      <w:r>
        <w:rPr>
          <w:spacing w:val="-5"/>
          <w:w w:val="100"/>
          <w:sz w:val="21"/>
        </w:rPr>
        <w:t>微创冠状动脉搭桥手术</w:t>
      </w:r>
      <w:r>
        <w:rPr>
          <w:spacing w:val="-3"/>
          <w:w w:val="100"/>
          <w:sz w:val="21"/>
        </w:rPr>
        <w:t>（或称微创冠状动脉旁路移植术</w:t>
      </w:r>
      <w:r>
        <w:rPr>
          <w:spacing w:val="-108"/>
          <w:w w:val="100"/>
          <w:sz w:val="21"/>
        </w:rPr>
        <w:t>）</w:t>
      </w:r>
      <w:r>
        <w:rPr>
          <w:spacing w:val="-5"/>
          <w:w w:val="100"/>
          <w:sz w:val="21"/>
        </w:rPr>
        <w:t>：为纠正冠状动</w:t>
      </w:r>
      <w:r>
        <w:rPr>
          <w:spacing w:val="-4"/>
          <w:sz w:val="21"/>
        </w:rPr>
        <w:t>脉的狭窄或堵塞，而实际实施的冠状动脉旁路移植手术。手术通过微创开胸术</w:t>
      </w:r>
      <w:r>
        <w:rPr>
          <w:sz w:val="21"/>
        </w:rPr>
        <w:t>（</w:t>
      </w:r>
      <w:r>
        <w:rPr>
          <w:spacing w:val="-3"/>
          <w:sz w:val="21"/>
        </w:rPr>
        <w:t>肋骨间小切口）进行，且诊断须由冠状动脉血管造影检查确诊狭窄或赌塞。微创冠状动脉绕道也包括"锁孔"冠脉搭桥手术。</w:t>
      </w:r>
    </w:p>
    <w:p>
      <w:pPr>
        <w:pStyle w:val="BodyText"/>
        <w:spacing w:before="163"/>
        <w:ind w:left="2088"/>
      </w:pPr>
      <w:r>
        <w:rPr/>
        <w:t>理赔必须满足下列全部条件：</w:t>
      </w:r>
    </w:p>
    <w:p>
      <w:pPr>
        <w:pStyle w:val="BodyText"/>
        <w:spacing w:before="10"/>
        <w:rPr>
          <w:sz w:val="14"/>
        </w:rPr>
      </w:pPr>
    </w:p>
    <w:p>
      <w:pPr>
        <w:pStyle w:val="ListParagraph"/>
        <w:numPr>
          <w:ilvl w:val="1"/>
          <w:numId w:val="20"/>
        </w:numPr>
        <w:tabs>
          <w:tab w:pos="2928" w:val="left" w:leader="none"/>
          <w:tab w:pos="2929" w:val="left" w:leader="none"/>
        </w:tabs>
        <w:spacing w:line="273" w:lineRule="auto" w:before="0" w:after="0"/>
        <w:ind w:left="2929" w:right="331" w:hanging="420"/>
        <w:jc w:val="left"/>
        <w:rPr>
          <w:sz w:val="21"/>
        </w:rPr>
      </w:pPr>
      <w:r>
        <w:rPr>
          <w:spacing w:val="-5"/>
          <w:sz w:val="21"/>
        </w:rPr>
        <w:t>血管造影显示至少两支冠状动脉狭窄超过 </w:t>
      </w:r>
      <w:r>
        <w:rPr>
          <w:sz w:val="21"/>
        </w:rPr>
        <w:t>50</w:t>
      </w:r>
      <w:r>
        <w:rPr>
          <w:spacing w:val="-2"/>
          <w:sz w:val="21"/>
        </w:rPr>
        <w:t>%或一支冠状动脉</w:t>
      </w:r>
      <w:r>
        <w:rPr>
          <w:sz w:val="21"/>
        </w:rPr>
        <w:t>狭窄 70</w:t>
      </w:r>
      <w:r>
        <w:rPr>
          <w:spacing w:val="-3"/>
          <w:sz w:val="21"/>
        </w:rPr>
        <w:t>%或更高；</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3"/>
          <w:sz w:val="21"/>
        </w:rPr>
        <w:t>手术须由心脏专科医师进行，并确认在医学上手术是必要的。</w:t>
      </w:r>
    </w:p>
    <w:p>
      <w:pPr>
        <w:pStyle w:val="BodyText"/>
        <w:spacing w:before="9"/>
        <w:rPr>
          <w:sz w:val="14"/>
        </w:rPr>
      </w:pPr>
    </w:p>
    <w:p>
      <w:pPr>
        <w:pStyle w:val="ListParagraph"/>
        <w:numPr>
          <w:ilvl w:val="0"/>
          <w:numId w:val="20"/>
        </w:numPr>
        <w:tabs>
          <w:tab w:pos="2089" w:val="left" w:leader="none"/>
        </w:tabs>
        <w:spacing w:line="273" w:lineRule="auto" w:before="0" w:after="0"/>
        <w:ind w:left="2089" w:right="278" w:hanging="421"/>
        <w:jc w:val="left"/>
        <w:rPr>
          <w:sz w:val="21"/>
        </w:rPr>
      </w:pPr>
      <w:r>
        <w:rPr>
          <w:spacing w:val="-3"/>
          <w:sz w:val="21"/>
        </w:rPr>
        <w:t>一肢缺失：指因疾病或者意外伤害导致一个肢体或一个以上肢体自腕关节或踝关节近端</w:t>
      </w:r>
      <w:r>
        <w:rPr>
          <w:sz w:val="21"/>
        </w:rPr>
        <w:t>（</w:t>
      </w:r>
      <w:r>
        <w:rPr>
          <w:spacing w:val="-3"/>
          <w:sz w:val="21"/>
        </w:rPr>
        <w:t>靠近躯干端）以上完全断离。</w:t>
      </w:r>
    </w:p>
    <w:p>
      <w:pPr>
        <w:spacing w:after="0" w:line="273" w:lineRule="auto"/>
        <w:jc w:val="left"/>
        <w:rPr>
          <w:sz w:val="21"/>
        </w:rPr>
        <w:sectPr>
          <w:pgSz w:w="11910" w:h="16840"/>
          <w:pgMar w:header="0" w:footer="925" w:top="1080" w:bottom="1200" w:left="1680" w:right="1340"/>
        </w:sectPr>
      </w:pPr>
    </w:p>
    <w:p>
      <w:pPr>
        <w:pStyle w:val="ListParagraph"/>
        <w:numPr>
          <w:ilvl w:val="0"/>
          <w:numId w:val="20"/>
        </w:numPr>
        <w:tabs>
          <w:tab w:pos="2089" w:val="left" w:leader="none"/>
        </w:tabs>
        <w:spacing w:line="273" w:lineRule="auto" w:before="22" w:after="0"/>
        <w:ind w:left="2089" w:right="278" w:hanging="421"/>
        <w:jc w:val="left"/>
        <w:rPr>
          <w:sz w:val="21"/>
        </w:rPr>
      </w:pPr>
      <w:r>
        <w:rPr>
          <w:spacing w:val="-3"/>
          <w:sz w:val="21"/>
        </w:rPr>
        <w:t>肝脏手术：因疾病或意外事故实际实施的肝脏部分切除术，手术须有至少一个完整的肝叶切除。</w:t>
      </w:r>
    </w:p>
    <w:p>
      <w:pPr>
        <w:pStyle w:val="Heading1"/>
        <w:spacing w:line="273" w:lineRule="auto" w:before="164"/>
        <w:ind w:right="256"/>
      </w:pPr>
      <w:r>
        <w:rPr/>
        <w:t>继发于酗酒，药物滥用，肝脏捐献引起的肝脏手术不在本合同保障范围内。</w:t>
      </w:r>
    </w:p>
    <w:p>
      <w:pPr>
        <w:pStyle w:val="ListParagraph"/>
        <w:numPr>
          <w:ilvl w:val="0"/>
          <w:numId w:val="20"/>
        </w:numPr>
        <w:tabs>
          <w:tab w:pos="2089" w:val="left" w:leader="none"/>
        </w:tabs>
        <w:spacing w:line="273" w:lineRule="auto" w:before="163" w:after="0"/>
        <w:ind w:left="2089" w:right="98" w:hanging="421"/>
        <w:jc w:val="left"/>
        <w:rPr>
          <w:sz w:val="21"/>
        </w:rPr>
      </w:pPr>
      <w:r>
        <w:rPr>
          <w:spacing w:val="-3"/>
          <w:sz w:val="21"/>
        </w:rPr>
        <w:t>轻度脑炎或脑膜炎后遗症：指因患脑炎或脑膜炎导致的神经系统的永久 </w:t>
      </w:r>
      <w:r>
        <w:rPr>
          <w:spacing w:val="-5"/>
          <w:sz w:val="21"/>
        </w:rPr>
        <w:t>功能障碍。神经系统永久性的功能障碍，指疾病确诊 </w:t>
      </w:r>
      <w:r>
        <w:rPr>
          <w:sz w:val="21"/>
        </w:rPr>
        <w:t>180</w:t>
      </w:r>
      <w:r>
        <w:rPr>
          <w:spacing w:val="-8"/>
          <w:sz w:val="21"/>
        </w:rPr>
        <w:t> 天后，仍存在自</w:t>
      </w:r>
      <w:r>
        <w:rPr>
          <w:spacing w:val="-7"/>
          <w:sz w:val="21"/>
        </w:rPr>
        <w:t>主生活能力完全丧失，无法独立完成六项基本日常生活活动中的两项。</w:t>
      </w:r>
    </w:p>
    <w:p>
      <w:pPr>
        <w:pStyle w:val="Heading1"/>
        <w:spacing w:before="163"/>
      </w:pPr>
      <w:r>
        <w:rPr/>
        <w:t>HIV 感染引起的脑炎不在本合同保障范围内。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9" w:right="98" w:hanging="421"/>
        <w:jc w:val="left"/>
        <w:rPr>
          <w:sz w:val="21"/>
        </w:rPr>
      </w:pPr>
      <w:r>
        <w:rPr>
          <w:spacing w:val="-10"/>
          <w:sz w:val="21"/>
        </w:rPr>
        <w:t>深度昏迷 </w:t>
      </w:r>
      <w:r>
        <w:rPr>
          <w:sz w:val="21"/>
        </w:rPr>
        <w:t>72</w:t>
      </w:r>
      <w:r>
        <w:rPr>
          <w:spacing w:val="-8"/>
          <w:sz w:val="21"/>
        </w:rPr>
        <w:t> 小时：指因疾病或意外伤害导致意识丧失,对外界刺激和体内</w:t>
      </w:r>
      <w:r>
        <w:rPr>
          <w:spacing w:val="-6"/>
          <w:sz w:val="21"/>
        </w:rPr>
        <w:t>需求均无反应,昏迷程度按照格拉斯哥昏迷分级</w:t>
      </w:r>
      <w:r>
        <w:rPr>
          <w:sz w:val="21"/>
        </w:rPr>
        <w:t>（Glasgow</w:t>
      </w:r>
      <w:r>
        <w:rPr>
          <w:spacing w:val="-45"/>
          <w:sz w:val="21"/>
        </w:rPr>
        <w:t> </w:t>
      </w:r>
      <w:r>
        <w:rPr>
          <w:sz w:val="21"/>
        </w:rPr>
        <w:t>coma</w:t>
      </w:r>
      <w:r>
        <w:rPr>
          <w:spacing w:val="-42"/>
          <w:sz w:val="21"/>
        </w:rPr>
        <w:t> </w:t>
      </w:r>
      <w:r>
        <w:rPr>
          <w:sz w:val="21"/>
        </w:rPr>
        <w:t>scale） </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分以下，且已经持续使用呼吸机及其它生命维持系统达到</w:t>
      </w:r>
      <w:r>
        <w:rPr>
          <w:spacing w:val="-49"/>
          <w:sz w:val="21"/>
        </w:rPr>
        <w:t> </w:t>
      </w:r>
      <w:r>
        <w:rPr>
          <w:sz w:val="21"/>
        </w:rPr>
        <w:t>72</w:t>
      </w:r>
      <w:r>
        <w:rPr>
          <w:spacing w:val="-11"/>
          <w:sz w:val="21"/>
        </w:rPr>
        <w:t> 小时以上。</w:t>
      </w:r>
    </w:p>
    <w:p>
      <w:pPr>
        <w:pStyle w:val="Heading1"/>
        <w:spacing w:before="163"/>
      </w:pPr>
      <w:r>
        <w:rPr/>
        <w:t>因酗酒或药物滥用导致的深度昏迷不在本合同保障范围内。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9" w:right="278" w:hanging="421"/>
        <w:jc w:val="left"/>
        <w:rPr>
          <w:sz w:val="21"/>
        </w:rPr>
      </w:pPr>
      <w:r>
        <w:rPr>
          <w:spacing w:val="-3"/>
          <w:sz w:val="21"/>
        </w:rPr>
        <w:t>中度瘫痪：指因疾病或者意外伤害导致一肢或一肢以上肢体机能永久完</w:t>
      </w:r>
      <w:r>
        <w:rPr>
          <w:spacing w:val="-5"/>
          <w:sz w:val="21"/>
        </w:rPr>
        <w:t>全丧失。肢体机能永久完全丧失，指疾病确诊 </w:t>
      </w:r>
      <w:r>
        <w:rPr>
          <w:sz w:val="21"/>
        </w:rPr>
        <w:t>180</w:t>
      </w:r>
      <w:r>
        <w:rPr>
          <w:spacing w:val="-7"/>
          <w:sz w:val="21"/>
        </w:rPr>
        <w:t> 天后或意外伤害发生</w:t>
      </w:r>
    </w:p>
    <w:p>
      <w:pPr>
        <w:pStyle w:val="BodyText"/>
        <w:spacing w:line="408" w:lineRule="auto" w:before="7"/>
        <w:ind w:left="2088" w:right="98"/>
      </w:pPr>
      <w:r>
        <w:rPr/>
        <w:t>180</w:t>
      </w:r>
      <w:r>
        <w:rPr>
          <w:spacing w:val="-18"/>
        </w:rPr>
        <w:t> 天后，每肢三大关节中的两大关节仍然完全僵硬，或不能随意识活动。</w:t>
      </w:r>
      <w:r>
        <w:rPr>
          <w:spacing w:val="-7"/>
        </w:rPr>
        <w:t>肢体是指包括整个手臂包括肩关节或整个腿包括髋关节。</w:t>
      </w:r>
    </w:p>
    <w:p>
      <w:pPr>
        <w:pStyle w:val="Heading1"/>
        <w:spacing w:line="273" w:lineRule="auto" w:before="45"/>
        <w:ind w:right="257"/>
      </w:pPr>
      <w:r>
        <w:rPr/>
        <w:t>自我伤害，局部瘫痪，病毒感染后的临时瘫痪，或由于心理疾病造成的机能丧失不在本合同保障范围内。</w:t>
      </w:r>
    </w:p>
    <w:p>
      <w:pPr>
        <w:pStyle w:val="ListParagraph"/>
        <w:numPr>
          <w:ilvl w:val="0"/>
          <w:numId w:val="20"/>
        </w:numPr>
        <w:tabs>
          <w:tab w:pos="2089" w:val="left" w:leader="none"/>
        </w:tabs>
        <w:spacing w:line="408" w:lineRule="auto" w:before="163" w:after="0"/>
        <w:ind w:left="2089" w:right="698" w:hanging="421"/>
        <w:jc w:val="left"/>
        <w:rPr>
          <w:b/>
          <w:sz w:val="21"/>
        </w:rPr>
      </w:pPr>
      <w:r>
        <w:rPr>
          <w:spacing w:val="-3"/>
          <w:sz w:val="21"/>
        </w:rPr>
        <w:t>双侧睾丸切除：指为治疗疾病实际接受了双侧睾丸完全切除手术。</w:t>
      </w:r>
      <w:r>
        <w:rPr>
          <w:b/>
          <w:spacing w:val="-3"/>
          <w:sz w:val="21"/>
        </w:rPr>
        <w:t>部分睾丸切除不在本合同保障范围内。</w:t>
      </w:r>
    </w:p>
    <w:p>
      <w:pPr>
        <w:pStyle w:val="ListParagraph"/>
        <w:numPr>
          <w:ilvl w:val="0"/>
          <w:numId w:val="20"/>
        </w:numPr>
        <w:tabs>
          <w:tab w:pos="2089" w:val="left" w:leader="none"/>
        </w:tabs>
        <w:spacing w:line="273" w:lineRule="auto" w:before="46" w:after="0"/>
        <w:ind w:left="2089" w:right="278" w:hanging="421"/>
        <w:jc w:val="left"/>
        <w:rPr>
          <w:sz w:val="21"/>
        </w:rPr>
      </w:pPr>
      <w:r>
        <w:rPr>
          <w:spacing w:val="-3"/>
          <w:sz w:val="21"/>
        </w:rPr>
        <w:t>双侧卵巢切除术: 指为治疗疾病实际接受了经腹部切开或腹腔镜进行的双侧卵巢完全切除手术。</w:t>
      </w:r>
    </w:p>
    <w:p>
      <w:pPr>
        <w:pStyle w:val="Heading1"/>
        <w:spacing w:before="163"/>
        <w:rPr>
          <w:b w:val="0"/>
        </w:rPr>
      </w:pPr>
      <w:r>
        <w:rPr/>
        <w:t>部分卵巢切除不在本合同保障范围内</w:t>
      </w:r>
      <w:r>
        <w:rPr>
          <w:b w:val="0"/>
        </w:rPr>
        <w:t>。</w:t>
      </w:r>
    </w:p>
    <w:p>
      <w:pPr>
        <w:pStyle w:val="BodyText"/>
        <w:spacing w:before="9"/>
        <w:rPr>
          <w:sz w:val="14"/>
        </w:rPr>
      </w:pPr>
    </w:p>
    <w:p>
      <w:pPr>
        <w:pStyle w:val="ListParagraph"/>
        <w:numPr>
          <w:ilvl w:val="0"/>
          <w:numId w:val="20"/>
        </w:numPr>
        <w:tabs>
          <w:tab w:pos="2089" w:val="left" w:leader="none"/>
        </w:tabs>
        <w:spacing w:line="273" w:lineRule="auto" w:before="0" w:after="0"/>
        <w:ind w:left="2089" w:right="278" w:hanging="421"/>
        <w:jc w:val="both"/>
        <w:rPr>
          <w:sz w:val="21"/>
        </w:rPr>
      </w:pPr>
      <w:r>
        <w:rPr>
          <w:spacing w:val="-3"/>
          <w:sz w:val="21"/>
        </w:rPr>
        <w:t>人工耳蜗植入手术: 指由于耳蜗的永久损害而实际实施了人工耳蜗植入手术。手术需经专科医师确认是在医学上是必要的，且在植入手术之前已经符合以下全部条件：</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10"/>
          <w:sz w:val="21"/>
        </w:rPr>
        <w:t>双耳持续 </w:t>
      </w:r>
      <w:r>
        <w:rPr>
          <w:sz w:val="21"/>
        </w:rPr>
        <w:t>12</w:t>
      </w:r>
      <w:r>
        <w:rPr>
          <w:spacing w:val="-8"/>
          <w:sz w:val="21"/>
        </w:rPr>
        <w:t> 个月以上重度感音神经性耳聋；</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1" w:after="0"/>
        <w:ind w:left="2929" w:right="0" w:hanging="420"/>
        <w:jc w:val="left"/>
        <w:rPr>
          <w:sz w:val="21"/>
        </w:rPr>
      </w:pPr>
      <w:r>
        <w:rPr>
          <w:spacing w:val="-3"/>
          <w:sz w:val="21"/>
        </w:rPr>
        <w:t>使用相应的听力辅助设备效果不佳。</w:t>
      </w:r>
    </w:p>
    <w:p>
      <w:pPr>
        <w:pStyle w:val="BodyText"/>
        <w:spacing w:before="10"/>
        <w:rPr>
          <w:sz w:val="14"/>
        </w:rPr>
      </w:pPr>
    </w:p>
    <w:p>
      <w:pPr>
        <w:pStyle w:val="ListParagraph"/>
        <w:numPr>
          <w:ilvl w:val="0"/>
          <w:numId w:val="20"/>
        </w:numPr>
        <w:tabs>
          <w:tab w:pos="2089" w:val="left" w:leader="none"/>
        </w:tabs>
        <w:spacing w:line="273" w:lineRule="auto" w:before="0" w:after="0"/>
        <w:ind w:left="2089" w:right="278" w:hanging="421"/>
        <w:jc w:val="both"/>
        <w:rPr>
          <w:sz w:val="21"/>
        </w:rPr>
      </w:pPr>
      <w:r>
        <w:rPr>
          <w:spacing w:val="-3"/>
          <w:sz w:val="21"/>
        </w:rPr>
        <w:t>可逆性再生障碍性贫血: 指因急性可逆性的骨髓造血功能衰竭而导致贫血、中性粒细胞减少和血小板减少，必须由血液科医生的诊断，且病历资料显示接受了下列任一治疗：</w:t>
      </w:r>
    </w:p>
    <w:p>
      <w:pPr>
        <w:pStyle w:val="ListParagraph"/>
        <w:numPr>
          <w:ilvl w:val="1"/>
          <w:numId w:val="20"/>
        </w:numPr>
        <w:tabs>
          <w:tab w:pos="3034" w:val="left" w:leader="none"/>
          <w:tab w:pos="3035" w:val="left" w:leader="none"/>
        </w:tabs>
        <w:spacing w:line="240" w:lineRule="auto" w:before="163" w:after="0"/>
        <w:ind w:left="3034" w:right="0" w:hanging="525"/>
        <w:jc w:val="left"/>
        <w:rPr>
          <w:sz w:val="21"/>
        </w:rPr>
      </w:pPr>
      <w:r>
        <w:rPr>
          <w:spacing w:val="-9"/>
          <w:sz w:val="21"/>
        </w:rPr>
        <w:t>骨髓刺激疗法至少 </w:t>
      </w:r>
      <w:r>
        <w:rPr>
          <w:sz w:val="21"/>
        </w:rPr>
        <w:t>1</w:t>
      </w:r>
      <w:r>
        <w:rPr>
          <w:spacing w:val="-14"/>
          <w:sz w:val="21"/>
        </w:rPr>
        <w:t> 个月；</w:t>
      </w:r>
    </w:p>
    <w:p>
      <w:pPr>
        <w:pStyle w:val="BodyText"/>
        <w:spacing w:before="9"/>
        <w:rPr>
          <w:sz w:val="14"/>
        </w:rPr>
      </w:pPr>
    </w:p>
    <w:p>
      <w:pPr>
        <w:pStyle w:val="ListParagraph"/>
        <w:numPr>
          <w:ilvl w:val="1"/>
          <w:numId w:val="20"/>
        </w:numPr>
        <w:tabs>
          <w:tab w:pos="3034" w:val="left" w:leader="none"/>
          <w:tab w:pos="3035" w:val="left" w:leader="none"/>
        </w:tabs>
        <w:spacing w:line="240" w:lineRule="auto" w:before="0" w:after="0"/>
        <w:ind w:left="3034" w:right="0" w:hanging="525"/>
        <w:jc w:val="left"/>
        <w:rPr>
          <w:sz w:val="21"/>
        </w:rPr>
      </w:pPr>
      <w:r>
        <w:rPr>
          <w:spacing w:val="-8"/>
          <w:sz w:val="21"/>
        </w:rPr>
        <w:t>免疫抑制剂治疗至少 </w:t>
      </w:r>
      <w:r>
        <w:rPr>
          <w:sz w:val="21"/>
        </w:rPr>
        <w:t>1</w:t>
      </w:r>
      <w:r>
        <w:rPr>
          <w:spacing w:val="-14"/>
          <w:sz w:val="21"/>
        </w:rPr>
        <w:t> 个月；</w:t>
      </w:r>
    </w:p>
    <w:p>
      <w:pPr>
        <w:pStyle w:val="BodyText"/>
        <w:spacing w:before="9"/>
        <w:rPr>
          <w:sz w:val="14"/>
        </w:rPr>
      </w:pPr>
    </w:p>
    <w:p>
      <w:pPr>
        <w:pStyle w:val="ListParagraph"/>
        <w:numPr>
          <w:ilvl w:val="1"/>
          <w:numId w:val="20"/>
        </w:numPr>
        <w:tabs>
          <w:tab w:pos="3034" w:val="left" w:leader="none"/>
          <w:tab w:pos="3035" w:val="left" w:leader="none"/>
        </w:tabs>
        <w:spacing w:line="240" w:lineRule="auto" w:before="0" w:after="0"/>
        <w:ind w:left="3034" w:right="0" w:hanging="525"/>
        <w:jc w:val="left"/>
        <w:rPr>
          <w:sz w:val="21"/>
        </w:rPr>
      </w:pPr>
      <w:r>
        <w:rPr>
          <w:spacing w:val="-3"/>
          <w:sz w:val="21"/>
        </w:rPr>
        <w:t>接受了骨髓移植。</w:t>
      </w:r>
    </w:p>
    <w:p>
      <w:pPr>
        <w:spacing w:after="0" w:line="240" w:lineRule="auto"/>
        <w:jc w:val="left"/>
        <w:rPr>
          <w:sz w:val="21"/>
        </w:rPr>
        <w:sectPr>
          <w:pgSz w:w="11910" w:h="16840"/>
          <w:pgMar w:header="0" w:footer="925" w:top="1080" w:bottom="1200" w:left="1680" w:right="1340"/>
        </w:sectPr>
      </w:pPr>
    </w:p>
    <w:p>
      <w:pPr>
        <w:pStyle w:val="ListParagraph"/>
        <w:numPr>
          <w:ilvl w:val="0"/>
          <w:numId w:val="20"/>
        </w:numPr>
        <w:tabs>
          <w:tab w:pos="2089" w:val="left" w:leader="none"/>
        </w:tabs>
        <w:spacing w:line="240" w:lineRule="auto" w:before="22" w:after="0"/>
        <w:ind w:left="2089" w:right="0" w:hanging="421"/>
        <w:jc w:val="left"/>
        <w:rPr>
          <w:sz w:val="21"/>
        </w:rPr>
      </w:pPr>
      <w:r>
        <w:rPr>
          <w:spacing w:val="-3"/>
          <w:sz w:val="21"/>
        </w:rPr>
        <w:t>单耳失聪: 指因疾病或者意外伤害导致单耳听力永久不可逆性丧失，在</w:t>
      </w:r>
    </w:p>
    <w:p>
      <w:pPr>
        <w:pStyle w:val="BodyText"/>
        <w:spacing w:line="273" w:lineRule="auto" w:before="37"/>
        <w:ind w:left="2088" w:right="183"/>
        <w:jc w:val="both"/>
      </w:pPr>
      <w:r>
        <w:rPr/>
        <w:t>500</w:t>
      </w:r>
      <w:r>
        <w:rPr>
          <w:spacing w:val="-15"/>
        </w:rPr>
        <w:t> 赫兹、</w:t>
      </w:r>
      <w:r>
        <w:rPr/>
        <w:t>1000</w:t>
      </w:r>
      <w:r>
        <w:rPr>
          <w:spacing w:val="-22"/>
        </w:rPr>
        <w:t> 赫兹和 </w:t>
      </w:r>
      <w:r>
        <w:rPr/>
        <w:t>2000</w:t>
      </w:r>
      <w:r>
        <w:rPr>
          <w:spacing w:val="-12"/>
        </w:rPr>
        <w:t> 赫兹语音频率下，平均听阈大于 </w:t>
      </w:r>
      <w:r>
        <w:rPr/>
        <w:t>90</w:t>
      </w:r>
      <w:r>
        <w:rPr>
          <w:spacing w:val="-14"/>
        </w:rPr>
        <w:t> 分贝， </w:t>
      </w:r>
      <w:r>
        <w:rPr>
          <w:spacing w:val="-3"/>
        </w:rPr>
        <w:t>且经纯音听力测试、声导抗检测或者听觉诱发电位检测等证实。</w:t>
      </w:r>
    </w:p>
    <w:p>
      <w:pPr>
        <w:pStyle w:val="Heading1"/>
        <w:spacing w:before="163"/>
      </w:pPr>
      <w:r>
        <w:rPr/>
        <w:t>被保险人在 3 周岁之前因疾病导致的单耳失聪不在本合同保障范围内。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9" w:right="178" w:hanging="421"/>
        <w:jc w:val="left"/>
        <w:rPr>
          <w:sz w:val="21"/>
        </w:rPr>
      </w:pPr>
      <w:r>
        <w:rPr>
          <w:spacing w:val="-3"/>
          <w:sz w:val="21"/>
        </w:rPr>
        <w:t>早期进行性脊髓性肌萎缩: 脊髓前角细胞及脑干运动细胞核的退化病变，以近侧的肌肉无力和萎缩为主要特征，由腿部为最先开始并逐步扩散至远侧的肌肉。</w:t>
      </w:r>
    </w:p>
    <w:p>
      <w:pPr>
        <w:pStyle w:val="BodyText"/>
        <w:spacing w:before="163"/>
        <w:ind w:left="2088"/>
      </w:pPr>
      <w:r>
        <w:rPr/>
        <w:t>此症必须由本公司认可的专科医生确诊，并有肌电图等检查证实。</w:t>
      </w:r>
    </w:p>
    <w:p>
      <w:pPr>
        <w:pStyle w:val="BodyText"/>
        <w:spacing w:before="9"/>
        <w:rPr>
          <w:sz w:val="14"/>
        </w:rPr>
      </w:pPr>
    </w:p>
    <w:p>
      <w:pPr>
        <w:spacing w:line="273" w:lineRule="auto" w:before="0"/>
        <w:ind w:left="2088" w:right="164" w:firstLine="0"/>
        <w:jc w:val="both"/>
        <w:rPr>
          <w:b/>
          <w:sz w:val="21"/>
        </w:rPr>
      </w:pPr>
      <w:r>
        <w:rPr>
          <w:spacing w:val="-3"/>
          <w:sz w:val="21"/>
        </w:rPr>
        <w:t>进行性脊髓性肌萎缩必须造成神经系统永久性功能损害并且已导致被保险人自主生活能力完全丧失，无法独立完成六项基本日常生活活动中的</w:t>
      </w:r>
      <w:r>
        <w:rPr>
          <w:spacing w:val="-11"/>
          <w:sz w:val="21"/>
        </w:rPr>
        <w:t>两项持续达 </w:t>
      </w:r>
      <w:r>
        <w:rPr>
          <w:sz w:val="21"/>
        </w:rPr>
        <w:t>180</w:t>
      </w:r>
      <w:r>
        <w:rPr>
          <w:spacing w:val="-10"/>
          <w:sz w:val="21"/>
        </w:rPr>
        <w:t> 天以上。并且</w:t>
      </w:r>
      <w:r>
        <w:rPr>
          <w:b/>
          <w:spacing w:val="-5"/>
          <w:sz w:val="21"/>
        </w:rPr>
        <w:t>只有在被保险人年龄大于或等于 </w:t>
      </w:r>
      <w:r>
        <w:rPr>
          <w:b/>
          <w:sz w:val="21"/>
        </w:rPr>
        <w:t>5</w:t>
      </w:r>
      <w:r>
        <w:rPr>
          <w:b/>
          <w:spacing w:val="-13"/>
          <w:sz w:val="21"/>
        </w:rPr>
        <w:t> 周岁后</w:t>
      </w:r>
      <w:r>
        <w:rPr>
          <w:b/>
          <w:spacing w:val="-3"/>
          <w:sz w:val="21"/>
        </w:rPr>
        <w:t>首次确诊此症才属于本合同保障范围。</w:t>
      </w:r>
    </w:p>
    <w:p>
      <w:pPr>
        <w:pStyle w:val="ListParagraph"/>
        <w:numPr>
          <w:ilvl w:val="0"/>
          <w:numId w:val="20"/>
        </w:numPr>
        <w:tabs>
          <w:tab w:pos="2089" w:val="left" w:leader="none"/>
        </w:tabs>
        <w:spacing w:line="273" w:lineRule="auto" w:before="163" w:after="0"/>
        <w:ind w:left="2089" w:right="178" w:hanging="421"/>
        <w:jc w:val="left"/>
        <w:rPr>
          <w:sz w:val="21"/>
        </w:rPr>
      </w:pPr>
      <w:r>
        <w:rPr>
          <w:spacing w:val="-3"/>
          <w:sz w:val="21"/>
        </w:rPr>
        <w:t>早期进行性延髓麻痹症: 指由颅神经和皮质延髓束所支配的肌肉发生进行性退化，导致咀嚼、吞咽与谈话困难。</w:t>
      </w:r>
    </w:p>
    <w:p>
      <w:pPr>
        <w:pStyle w:val="BodyText"/>
        <w:spacing w:line="273" w:lineRule="auto" w:before="163"/>
        <w:ind w:left="2088" w:right="178"/>
        <w:jc w:val="both"/>
      </w:pPr>
      <w:r>
        <w:rPr/>
        <w:t>此症必须由本公司认可的专科医生明确诊断为进行性病变，并有肌电图等检查证实。</w:t>
      </w:r>
    </w:p>
    <w:p>
      <w:pPr>
        <w:pStyle w:val="BodyText"/>
        <w:spacing w:line="273" w:lineRule="auto" w:before="163"/>
        <w:ind w:left="2088" w:right="178"/>
        <w:jc w:val="both"/>
      </w:pPr>
      <w:r>
        <w:rPr/>
        <w:t>进行性延髓麻痹症必须造成神经系统永久性功能损害并且已导致被保险人自主生活能力完全丧失，无法独立完成六项基本日常生活活动中的两项持续达 180 天以上。</w:t>
      </w:r>
    </w:p>
    <w:p>
      <w:pPr>
        <w:pStyle w:val="ListParagraph"/>
        <w:numPr>
          <w:ilvl w:val="0"/>
          <w:numId w:val="20"/>
        </w:numPr>
        <w:tabs>
          <w:tab w:pos="2089" w:val="left" w:leader="none"/>
        </w:tabs>
        <w:spacing w:line="240" w:lineRule="auto" w:before="163" w:after="0"/>
        <w:ind w:left="2089" w:right="0" w:hanging="421"/>
        <w:jc w:val="left"/>
        <w:rPr>
          <w:sz w:val="21"/>
        </w:rPr>
      </w:pPr>
      <w:r>
        <w:rPr>
          <w:spacing w:val="-3"/>
          <w:sz w:val="21"/>
        </w:rPr>
        <w:t>中度严重溃疡性结肠炎：须满足下列全部条件：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1" w:after="0"/>
        <w:ind w:left="2929" w:right="0" w:hanging="420"/>
        <w:jc w:val="left"/>
        <w:rPr>
          <w:sz w:val="21"/>
        </w:rPr>
      </w:pPr>
      <w:r>
        <w:rPr>
          <w:spacing w:val="-3"/>
          <w:sz w:val="21"/>
        </w:rPr>
        <w:t>须经由内窥镜检查证实该疾病侵犯全部结肠及直肠；</w:t>
      </w:r>
    </w:p>
    <w:p>
      <w:pPr>
        <w:pStyle w:val="BodyText"/>
        <w:spacing w:before="10"/>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活检病理学组织切片检查证实为溃疡性结肠炎；</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5"/>
          <w:sz w:val="21"/>
        </w:rPr>
        <w:t>经专科医生以类固醇或免疫抑制剂连续治疗至少 </w:t>
      </w:r>
      <w:r>
        <w:rPr>
          <w:sz w:val="21"/>
        </w:rPr>
        <w:t>180</w:t>
      </w:r>
      <w:r>
        <w:rPr>
          <w:spacing w:val="-14"/>
          <w:sz w:val="21"/>
        </w:rPr>
        <w:t> 天。</w:t>
      </w:r>
    </w:p>
    <w:p>
      <w:pPr>
        <w:pStyle w:val="BodyText"/>
        <w:spacing w:before="9"/>
        <w:rPr>
          <w:sz w:val="14"/>
        </w:rPr>
      </w:pPr>
    </w:p>
    <w:p>
      <w:pPr>
        <w:pStyle w:val="BodyText"/>
        <w:spacing w:line="273" w:lineRule="auto"/>
        <w:ind w:left="2088" w:right="178"/>
        <w:jc w:val="both"/>
      </w:pPr>
      <w:r>
        <w:rPr/>
        <w:t>诊断及治疗均须在本公司认可的医院内由专科医师认为是医疗必须的情况下进行。</w:t>
      </w:r>
    </w:p>
    <w:p>
      <w:pPr>
        <w:pStyle w:val="ListParagraph"/>
        <w:numPr>
          <w:ilvl w:val="0"/>
          <w:numId w:val="20"/>
        </w:numPr>
        <w:tabs>
          <w:tab w:pos="2089" w:val="left" w:leader="none"/>
        </w:tabs>
        <w:spacing w:line="273" w:lineRule="auto" w:before="163" w:after="0"/>
        <w:ind w:left="2089" w:right="178" w:hanging="421"/>
        <w:jc w:val="left"/>
        <w:rPr>
          <w:sz w:val="21"/>
        </w:rPr>
      </w:pPr>
      <w:r>
        <w:rPr>
          <w:spacing w:val="-3"/>
          <w:sz w:val="21"/>
        </w:rPr>
        <w:t>病毒性肝炎导致的肝纤维化：因肝炎病毒感染的肝脏慢性炎症并发展为肝纤维化。</w:t>
      </w:r>
    </w:p>
    <w:p>
      <w:pPr>
        <w:pStyle w:val="BodyText"/>
        <w:spacing w:before="163"/>
        <w:ind w:left="2088"/>
      </w:pPr>
      <w:r>
        <w:rPr/>
        <w:t>理赔必须满足下列全部条件：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178" w:hanging="420"/>
        <w:jc w:val="left"/>
        <w:rPr>
          <w:sz w:val="21"/>
        </w:rPr>
      </w:pPr>
      <w:r>
        <w:rPr>
          <w:spacing w:val="-3"/>
          <w:sz w:val="21"/>
        </w:rPr>
        <w:t>被保险人有感染慢性肝炎病毒的血清学及实验室检查报告等临床证据；</w:t>
      </w:r>
    </w:p>
    <w:p>
      <w:pPr>
        <w:pStyle w:val="ListParagraph"/>
        <w:numPr>
          <w:ilvl w:val="1"/>
          <w:numId w:val="20"/>
        </w:numPr>
        <w:tabs>
          <w:tab w:pos="2929" w:val="left" w:leader="none"/>
        </w:tabs>
        <w:spacing w:line="273" w:lineRule="auto" w:before="164" w:after="0"/>
        <w:ind w:left="2929" w:right="178" w:hanging="420"/>
        <w:jc w:val="both"/>
        <w:rPr>
          <w:sz w:val="21"/>
        </w:rPr>
      </w:pPr>
      <w:r>
        <w:rPr>
          <w:spacing w:val="-3"/>
          <w:sz w:val="21"/>
        </w:rPr>
        <w:t>必须由本公司认可医院的消化科专科医生基于肝脏组织病理学检查报告、临床表现及病史对肝炎病毒感染导致肝纤维化作出肯定的诊断；</w:t>
      </w:r>
    </w:p>
    <w:p>
      <w:pPr>
        <w:pStyle w:val="ListParagraph"/>
        <w:numPr>
          <w:ilvl w:val="1"/>
          <w:numId w:val="20"/>
        </w:numPr>
        <w:tabs>
          <w:tab w:pos="2928" w:val="left" w:leader="none"/>
          <w:tab w:pos="2929" w:val="left" w:leader="none"/>
        </w:tabs>
        <w:spacing w:line="240" w:lineRule="auto" w:before="164" w:after="0"/>
        <w:ind w:left="2929" w:right="0" w:hanging="420"/>
        <w:jc w:val="left"/>
        <w:rPr>
          <w:sz w:val="21"/>
        </w:rPr>
      </w:pPr>
      <w:r>
        <w:rPr>
          <w:spacing w:val="-7"/>
          <w:sz w:val="21"/>
        </w:rPr>
        <w:t>病理学检查报告证明肝脏病变按 </w:t>
      </w:r>
      <w:r>
        <w:rPr>
          <w:sz w:val="21"/>
        </w:rPr>
        <w:t>Metavir</w:t>
      </w:r>
      <w:r>
        <w:rPr>
          <w:spacing w:val="-17"/>
          <w:sz w:val="21"/>
        </w:rPr>
        <w:t> 分级表中属 </w:t>
      </w:r>
      <w:r>
        <w:rPr>
          <w:sz w:val="21"/>
        </w:rPr>
        <w:t>F4</w:t>
      </w:r>
      <w:r>
        <w:rPr>
          <w:spacing w:val="-15"/>
          <w:sz w:val="21"/>
        </w:rPr>
        <w:t> 阶段或</w:t>
      </w:r>
    </w:p>
    <w:p>
      <w:pPr>
        <w:pStyle w:val="BodyText"/>
        <w:spacing w:before="37"/>
        <w:ind w:left="2929"/>
      </w:pPr>
      <w:r>
        <w:rPr/>
        <w:t>Knodell 肝纤维化标准达到 4 分。</w:t>
      </w:r>
    </w:p>
    <w:p>
      <w:pPr>
        <w:pStyle w:val="BodyText"/>
        <w:spacing w:before="9"/>
        <w:rPr>
          <w:sz w:val="14"/>
        </w:rPr>
      </w:pPr>
    </w:p>
    <w:p>
      <w:pPr>
        <w:pStyle w:val="Heading1"/>
        <w:jc w:val="both"/>
      </w:pPr>
      <w:r>
        <w:rPr/>
        <w:t>由酒精或药物滥用而引起或有关的肝病并不在本合同保障范围内。</w:t>
      </w:r>
    </w:p>
    <w:p>
      <w:pPr>
        <w:spacing w:after="0"/>
        <w:jc w:val="both"/>
        <w:sectPr>
          <w:pgSz w:w="11910" w:h="16840"/>
          <w:pgMar w:header="0" w:footer="925" w:top="1080" w:bottom="1200" w:left="1680" w:right="1440"/>
        </w:sectPr>
      </w:pPr>
    </w:p>
    <w:p>
      <w:pPr>
        <w:pStyle w:val="BodyText"/>
        <w:spacing w:before="22"/>
        <w:ind w:left="2088"/>
      </w:pPr>
      <w:r>
        <w:rPr/>
        <w:t>Metavir 分级表：</w:t>
      </w:r>
    </w:p>
    <w:p>
      <w:pPr>
        <w:pStyle w:val="BodyText"/>
        <w:spacing w:before="10"/>
        <w:rPr>
          <w:sz w:val="14"/>
        </w:rPr>
      </w:pPr>
    </w:p>
    <w:p>
      <w:pPr>
        <w:pStyle w:val="BodyText"/>
        <w:tabs>
          <w:tab w:pos="2511" w:val="left" w:leader="none"/>
        </w:tabs>
        <w:ind w:left="2088"/>
      </w:pPr>
      <w:r>
        <w:rPr/>
        <w:t>F0</w:t>
        <w:tab/>
      </w:r>
      <w:r>
        <w:rPr>
          <w:spacing w:val="-3"/>
        </w:rPr>
        <w:t>无纤维化；</w:t>
      </w:r>
    </w:p>
    <w:p>
      <w:pPr>
        <w:pStyle w:val="BodyText"/>
        <w:spacing w:before="10"/>
        <w:rPr>
          <w:sz w:val="14"/>
        </w:rPr>
      </w:pPr>
    </w:p>
    <w:p>
      <w:pPr>
        <w:pStyle w:val="BodyText"/>
        <w:tabs>
          <w:tab w:pos="2511" w:val="left" w:leader="none"/>
        </w:tabs>
        <w:ind w:left="2088"/>
      </w:pPr>
      <w:r>
        <w:rPr/>
        <w:t>F1</w:t>
        <w:tab/>
      </w:r>
      <w:r>
        <w:rPr>
          <w:spacing w:val="-3"/>
        </w:rPr>
        <w:t>肝门束扩大，但未形成间隔；</w:t>
      </w:r>
    </w:p>
    <w:p>
      <w:pPr>
        <w:pStyle w:val="BodyText"/>
        <w:spacing w:before="9"/>
        <w:rPr>
          <w:sz w:val="14"/>
        </w:rPr>
      </w:pPr>
    </w:p>
    <w:p>
      <w:pPr>
        <w:pStyle w:val="BodyText"/>
        <w:tabs>
          <w:tab w:pos="2511" w:val="left" w:leader="none"/>
        </w:tabs>
        <w:ind w:left="2088"/>
      </w:pPr>
      <w:r>
        <w:rPr/>
        <w:t>F2</w:t>
        <w:tab/>
      </w:r>
      <w:r>
        <w:rPr>
          <w:spacing w:val="-3"/>
        </w:rPr>
        <w:t>肝门束扩大，有小的间隔形成；</w:t>
      </w:r>
    </w:p>
    <w:p>
      <w:pPr>
        <w:pStyle w:val="BodyText"/>
        <w:spacing w:before="9"/>
        <w:rPr>
          <w:sz w:val="14"/>
        </w:rPr>
      </w:pPr>
    </w:p>
    <w:p>
      <w:pPr>
        <w:pStyle w:val="BodyText"/>
        <w:tabs>
          <w:tab w:pos="2511" w:val="left" w:leader="none"/>
        </w:tabs>
        <w:ind w:left="2088"/>
      </w:pPr>
      <w:r>
        <w:rPr/>
        <w:t>F3</w:t>
        <w:tab/>
      </w:r>
      <w:r>
        <w:rPr>
          <w:spacing w:val="-3"/>
        </w:rPr>
        <w:t>间隔很多，无肝硬化；</w:t>
      </w:r>
    </w:p>
    <w:p>
      <w:pPr>
        <w:pStyle w:val="BodyText"/>
        <w:spacing w:before="9"/>
        <w:rPr>
          <w:sz w:val="14"/>
        </w:rPr>
      </w:pPr>
    </w:p>
    <w:p>
      <w:pPr>
        <w:pStyle w:val="BodyText"/>
        <w:tabs>
          <w:tab w:pos="2511" w:val="left" w:leader="none"/>
        </w:tabs>
        <w:ind w:left="2088"/>
      </w:pPr>
      <w:r>
        <w:rPr/>
        <w:t>F4</w:t>
        <w:tab/>
      </w:r>
      <w:r>
        <w:rPr>
          <w:spacing w:val="-3"/>
        </w:rPr>
        <w:t>肝硬化。</w:t>
      </w:r>
    </w:p>
    <w:p>
      <w:pPr>
        <w:pStyle w:val="BodyText"/>
        <w:spacing w:before="9"/>
        <w:rPr>
          <w:sz w:val="14"/>
        </w:rPr>
      </w:pPr>
    </w:p>
    <w:p>
      <w:pPr>
        <w:pStyle w:val="BodyText"/>
        <w:ind w:left="2088"/>
      </w:pPr>
      <w:r>
        <w:rPr/>
        <w:t>Knodell 肝纤维化标准：</w:t>
      </w:r>
    </w:p>
    <w:p>
      <w:pPr>
        <w:pStyle w:val="BodyText"/>
        <w:spacing w:before="9"/>
        <w:rPr>
          <w:sz w:val="14"/>
        </w:rPr>
      </w:pPr>
    </w:p>
    <w:p>
      <w:pPr>
        <w:pStyle w:val="BodyText"/>
        <w:spacing w:line="273" w:lineRule="auto"/>
        <w:ind w:left="2088" w:right="104"/>
      </w:pPr>
      <w:r>
        <w:rPr>
          <w:spacing w:val="-9"/>
        </w:rPr>
        <w:t>炎症评分包括 </w:t>
      </w:r>
      <w:r>
        <w:rPr/>
        <w:t>3</w:t>
      </w:r>
      <w:r>
        <w:rPr>
          <w:spacing w:val="-24"/>
        </w:rPr>
        <w:t> 个方面：门周和桥接坏死</w:t>
      </w:r>
      <w:r>
        <w:rPr/>
        <w:t>（0-10</w:t>
      </w:r>
      <w:r>
        <w:rPr>
          <w:spacing w:val="-26"/>
        </w:rPr>
        <w:t> 分)、小叶内退行性变</w:t>
      </w:r>
      <w:r>
        <w:rPr/>
        <w:t>（0-4 分</w:t>
      </w:r>
      <w:r>
        <w:rPr>
          <w:spacing w:val="-106"/>
        </w:rPr>
        <w:t>）</w:t>
      </w:r>
      <w:r>
        <w:rPr>
          <w:spacing w:val="-3"/>
        </w:rPr>
        <w:t>、门脉炎症</w:t>
      </w:r>
      <w:r>
        <w:rPr/>
        <w:t>（0-4</w:t>
      </w:r>
      <w:r>
        <w:rPr>
          <w:spacing w:val="-21"/>
        </w:rPr>
        <w:t> 分</w:t>
      </w:r>
      <w:r>
        <w:rPr>
          <w:spacing w:val="-108"/>
        </w:rPr>
        <w:t>）</w:t>
      </w:r>
      <w:r>
        <w:rPr/>
        <w:t>。</w:t>
      </w:r>
    </w:p>
    <w:p>
      <w:pPr>
        <w:pStyle w:val="BodyText"/>
        <w:spacing w:before="163"/>
        <w:ind w:left="2088"/>
      </w:pPr>
      <w:r>
        <w:rPr/>
        <w:t>结果以总分表示：</w:t>
      </w:r>
    </w:p>
    <w:p>
      <w:pPr>
        <w:pStyle w:val="BodyText"/>
        <w:spacing w:before="10"/>
        <w:rPr>
          <w:sz w:val="14"/>
        </w:rPr>
      </w:pPr>
    </w:p>
    <w:p>
      <w:pPr>
        <w:pStyle w:val="BodyText"/>
        <w:ind w:left="2088"/>
      </w:pPr>
      <w:r>
        <w:rPr/>
        <w:t>0 分 无炎症；</w:t>
      </w:r>
    </w:p>
    <w:p>
      <w:pPr>
        <w:pStyle w:val="BodyText"/>
        <w:spacing w:before="9"/>
        <w:rPr>
          <w:sz w:val="14"/>
        </w:rPr>
      </w:pPr>
    </w:p>
    <w:p>
      <w:pPr>
        <w:pStyle w:val="BodyText"/>
        <w:ind w:left="2088"/>
      </w:pPr>
      <w:r>
        <w:rPr/>
        <w:t>1-4 分 微小炎症；</w:t>
      </w:r>
    </w:p>
    <w:p>
      <w:pPr>
        <w:pStyle w:val="BodyText"/>
        <w:spacing w:before="9"/>
        <w:rPr>
          <w:sz w:val="14"/>
        </w:rPr>
      </w:pPr>
    </w:p>
    <w:p>
      <w:pPr>
        <w:pStyle w:val="BodyText"/>
        <w:ind w:left="2088"/>
      </w:pPr>
      <w:r>
        <w:rPr/>
        <w:t>5-8 分 轻度炎症；</w:t>
      </w:r>
    </w:p>
    <w:p>
      <w:pPr>
        <w:pStyle w:val="BodyText"/>
        <w:spacing w:before="9"/>
        <w:rPr>
          <w:sz w:val="14"/>
        </w:rPr>
      </w:pPr>
    </w:p>
    <w:p>
      <w:pPr>
        <w:pStyle w:val="BodyText"/>
        <w:ind w:left="2088"/>
      </w:pPr>
      <w:r>
        <w:rPr/>
        <w:t>9-12 分 中度炎症；</w:t>
      </w:r>
    </w:p>
    <w:p>
      <w:pPr>
        <w:pStyle w:val="BodyText"/>
        <w:spacing w:before="9"/>
        <w:rPr>
          <w:sz w:val="14"/>
        </w:rPr>
      </w:pPr>
    </w:p>
    <w:p>
      <w:pPr>
        <w:pStyle w:val="BodyText"/>
        <w:ind w:left="2088"/>
      </w:pPr>
      <w:r>
        <w:rPr/>
        <w:t>13-18 分 显著炎症。</w:t>
      </w:r>
    </w:p>
    <w:p>
      <w:pPr>
        <w:pStyle w:val="BodyText"/>
        <w:spacing w:before="9"/>
        <w:rPr>
          <w:sz w:val="14"/>
        </w:rPr>
      </w:pPr>
    </w:p>
    <w:p>
      <w:pPr>
        <w:pStyle w:val="BodyText"/>
        <w:ind w:left="2088"/>
      </w:pPr>
      <w:r>
        <w:rPr/>
        <w:t>纤维化评分为 0-4 分，4 分为纤维化。</w:t>
      </w:r>
    </w:p>
    <w:p>
      <w:pPr>
        <w:pStyle w:val="BodyText"/>
        <w:spacing w:before="9"/>
        <w:rPr>
          <w:sz w:val="14"/>
        </w:rPr>
      </w:pPr>
    </w:p>
    <w:p>
      <w:pPr>
        <w:pStyle w:val="ListParagraph"/>
        <w:numPr>
          <w:ilvl w:val="0"/>
          <w:numId w:val="20"/>
        </w:numPr>
        <w:tabs>
          <w:tab w:pos="2089" w:val="left" w:leader="none"/>
        </w:tabs>
        <w:spacing w:line="273" w:lineRule="auto" w:before="0" w:after="0"/>
        <w:ind w:left="2089" w:right="178" w:hanging="421"/>
        <w:jc w:val="left"/>
        <w:rPr>
          <w:sz w:val="21"/>
        </w:rPr>
      </w:pPr>
      <w:r>
        <w:rPr>
          <w:spacing w:val="-3"/>
          <w:sz w:val="21"/>
        </w:rPr>
        <w:t>早期系统性硬皮病：指一种以局限性或弥漫性皮肤增厚和皮肤、血管、内脏器官异常纤维化为特征的结缔组织病。</w:t>
      </w:r>
    </w:p>
    <w:p>
      <w:pPr>
        <w:pStyle w:val="BodyText"/>
        <w:spacing w:before="163"/>
        <w:ind w:left="2088"/>
      </w:pPr>
      <w:r>
        <w:rPr/>
        <w:t>本病须经专科医师明确诊断，并须满足下列全部条件：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103" w:hanging="420"/>
        <w:jc w:val="left"/>
        <w:rPr>
          <w:sz w:val="21"/>
        </w:rPr>
      </w:pPr>
      <w:r>
        <w:rPr>
          <w:spacing w:val="-3"/>
          <w:sz w:val="21"/>
        </w:rPr>
        <w:t>必须是经由本公司认可医院的风湿学专科注册医生根据美国风</w:t>
      </w:r>
      <w:r>
        <w:rPr>
          <w:spacing w:val="-6"/>
          <w:sz w:val="21"/>
        </w:rPr>
        <w:t>湿病学会</w:t>
      </w:r>
      <w:r>
        <w:rPr>
          <w:spacing w:val="-4"/>
          <w:sz w:val="21"/>
        </w:rPr>
        <w:t>（ACR）</w:t>
      </w:r>
      <w:r>
        <w:rPr>
          <w:spacing w:val="-3"/>
          <w:sz w:val="21"/>
        </w:rPr>
        <w:t>及欧洲抗风湿病联盟</w:t>
      </w:r>
      <w:r>
        <w:rPr>
          <w:sz w:val="21"/>
        </w:rPr>
        <w:t>(EULAR</w:t>
      </w:r>
      <w:r>
        <w:rPr>
          <w:spacing w:val="-15"/>
          <w:sz w:val="21"/>
        </w:rPr>
        <w:t>)在 </w:t>
      </w:r>
      <w:r>
        <w:rPr>
          <w:sz w:val="21"/>
        </w:rPr>
        <w:t>2013</w:t>
      </w:r>
      <w:r>
        <w:rPr>
          <w:spacing w:val="-10"/>
          <w:sz w:val="21"/>
        </w:rPr>
        <w:t> 年发布的</w:t>
      </w:r>
      <w:r>
        <w:rPr>
          <w:spacing w:val="-5"/>
          <w:sz w:val="21"/>
        </w:rPr>
        <w:t>系统性硬皮病诊断标准确认达到确诊标准</w:t>
      </w:r>
      <w:r>
        <w:rPr>
          <w:sz w:val="21"/>
        </w:rPr>
        <w:t>（</w:t>
      </w:r>
      <w:r>
        <w:rPr>
          <w:spacing w:val="-3"/>
          <w:sz w:val="21"/>
        </w:rPr>
        <w:t>总分值由每一个分类中的最高比重</w:t>
      </w:r>
      <w:r>
        <w:rPr>
          <w:sz w:val="21"/>
        </w:rPr>
        <w:t>（</w:t>
      </w:r>
      <w:r>
        <w:rPr>
          <w:spacing w:val="-2"/>
          <w:sz w:val="21"/>
        </w:rPr>
        <w:t>分值</w:t>
      </w:r>
      <w:r>
        <w:rPr>
          <w:spacing w:val="-3"/>
          <w:sz w:val="21"/>
        </w:rPr>
        <w:t>）</w:t>
      </w:r>
      <w:r>
        <w:rPr>
          <w:spacing w:val="-7"/>
          <w:sz w:val="21"/>
        </w:rPr>
        <w:t>相加而成，总分不低于 </w:t>
      </w:r>
      <w:r>
        <w:rPr>
          <w:sz w:val="21"/>
        </w:rPr>
        <w:t>9</w:t>
      </w:r>
      <w:r>
        <w:rPr>
          <w:spacing w:val="-10"/>
          <w:sz w:val="21"/>
        </w:rPr>
        <w:t> 分的患者被</w:t>
      </w:r>
      <w:r>
        <w:rPr>
          <w:spacing w:val="-5"/>
          <w:w w:val="100"/>
          <w:sz w:val="21"/>
        </w:rPr>
        <w:t>分类为系统性硬皮病</w:t>
      </w:r>
      <w:r>
        <w:rPr>
          <w:spacing w:val="-106"/>
          <w:w w:val="100"/>
          <w:sz w:val="21"/>
        </w:rPr>
        <w:t>）</w:t>
      </w:r>
      <w:r>
        <w:rPr>
          <w:w w:val="100"/>
          <w:sz w:val="21"/>
        </w:rPr>
        <w:t>；</w:t>
      </w:r>
    </w:p>
    <w:p>
      <w:pPr>
        <w:pStyle w:val="ListParagraph"/>
        <w:numPr>
          <w:ilvl w:val="1"/>
          <w:numId w:val="20"/>
        </w:numPr>
        <w:tabs>
          <w:tab w:pos="2928" w:val="left" w:leader="none"/>
          <w:tab w:pos="2929" w:val="left" w:leader="none"/>
        </w:tabs>
        <w:spacing w:line="408" w:lineRule="auto" w:before="163" w:after="0"/>
        <w:ind w:left="2089" w:right="598" w:firstLine="420"/>
        <w:jc w:val="left"/>
        <w:rPr>
          <w:b/>
          <w:sz w:val="21"/>
        </w:rPr>
      </w:pPr>
      <w:r>
        <w:rPr>
          <w:spacing w:val="-3"/>
          <w:sz w:val="21"/>
        </w:rPr>
        <w:t>须提供明确的病理活检及自身抗体免疫血清学证据支持。</w:t>
      </w:r>
      <w:r>
        <w:rPr>
          <w:b/>
          <w:spacing w:val="-3"/>
          <w:sz w:val="21"/>
        </w:rPr>
        <w:t>下列疾病不在本合同保障范围内：</w:t>
      </w:r>
    </w:p>
    <w:p>
      <w:pPr>
        <w:pStyle w:val="Heading1"/>
        <w:numPr>
          <w:ilvl w:val="0"/>
          <w:numId w:val="22"/>
        </w:numPr>
        <w:tabs>
          <w:tab w:pos="2928" w:val="left" w:leader="none"/>
          <w:tab w:pos="2929" w:val="left" w:leader="none"/>
        </w:tabs>
        <w:spacing w:line="240" w:lineRule="auto" w:before="45" w:after="0"/>
        <w:ind w:left="2929" w:right="0" w:hanging="420"/>
        <w:jc w:val="left"/>
      </w:pPr>
      <w:r>
        <w:rPr/>
        <w:t>局部性硬皮病（</w:t>
      </w:r>
      <w:r>
        <w:rPr>
          <w:spacing w:val="-3"/>
        </w:rPr>
        <w:t>如：带状硬皮病、硬斑病</w:t>
      </w:r>
      <w:r>
        <w:rPr>
          <w:spacing w:val="-106"/>
        </w:rPr>
        <w:t>）；</w:t>
      </w:r>
    </w:p>
    <w:p>
      <w:pPr>
        <w:pStyle w:val="BodyText"/>
        <w:spacing w:before="9"/>
        <w:rPr>
          <w:b/>
          <w:sz w:val="14"/>
        </w:rPr>
      </w:pPr>
    </w:p>
    <w:p>
      <w:pPr>
        <w:pStyle w:val="ListParagraph"/>
        <w:numPr>
          <w:ilvl w:val="0"/>
          <w:numId w:val="22"/>
        </w:numPr>
        <w:tabs>
          <w:tab w:pos="2928" w:val="left" w:leader="none"/>
          <w:tab w:pos="2929" w:val="left" w:leader="none"/>
        </w:tabs>
        <w:spacing w:line="240" w:lineRule="auto" w:before="1" w:after="0"/>
        <w:ind w:left="2929" w:right="0" w:hanging="420"/>
        <w:jc w:val="left"/>
        <w:rPr>
          <w:b/>
          <w:sz w:val="21"/>
        </w:rPr>
      </w:pPr>
      <w:r>
        <w:rPr>
          <w:b/>
          <w:spacing w:val="-1"/>
          <w:sz w:val="21"/>
        </w:rPr>
        <w:t>嗜酸性粒细胞性筋膜炎；</w:t>
      </w:r>
    </w:p>
    <w:p>
      <w:pPr>
        <w:pStyle w:val="BodyText"/>
        <w:spacing w:before="10"/>
        <w:rPr>
          <w:b/>
          <w:sz w:val="14"/>
        </w:rPr>
      </w:pPr>
    </w:p>
    <w:p>
      <w:pPr>
        <w:pStyle w:val="ListParagraph"/>
        <w:numPr>
          <w:ilvl w:val="0"/>
          <w:numId w:val="22"/>
        </w:numPr>
        <w:tabs>
          <w:tab w:pos="2928" w:val="left" w:leader="none"/>
          <w:tab w:pos="2929" w:val="left" w:leader="none"/>
        </w:tabs>
        <w:spacing w:line="240" w:lineRule="auto" w:before="0" w:after="0"/>
        <w:ind w:left="2929" w:right="0" w:hanging="420"/>
        <w:jc w:val="left"/>
        <w:rPr>
          <w:b/>
          <w:sz w:val="21"/>
        </w:rPr>
      </w:pPr>
      <w:r>
        <w:rPr>
          <w:b/>
          <w:sz w:val="21"/>
        </w:rPr>
        <w:t>CREST</w:t>
      </w:r>
      <w:r>
        <w:rPr>
          <w:b/>
          <w:spacing w:val="-12"/>
          <w:sz w:val="21"/>
        </w:rPr>
        <w:t> 综合征。</w:t>
      </w:r>
    </w:p>
    <w:p>
      <w:pPr>
        <w:pStyle w:val="BodyText"/>
        <w:spacing w:before="9"/>
        <w:rPr>
          <w:b/>
          <w:sz w:val="14"/>
        </w:rPr>
      </w:pPr>
    </w:p>
    <w:p>
      <w:pPr>
        <w:pStyle w:val="ListParagraph"/>
        <w:numPr>
          <w:ilvl w:val="0"/>
          <w:numId w:val="20"/>
        </w:numPr>
        <w:tabs>
          <w:tab w:pos="2089" w:val="left" w:leader="none"/>
        </w:tabs>
        <w:spacing w:line="273" w:lineRule="auto" w:before="1" w:after="0"/>
        <w:ind w:left="2089" w:right="178" w:hanging="421"/>
        <w:jc w:val="left"/>
        <w:rPr>
          <w:sz w:val="21"/>
        </w:rPr>
      </w:pPr>
      <w:r>
        <w:rPr>
          <w:spacing w:val="-3"/>
          <w:sz w:val="21"/>
        </w:rPr>
        <w:t>肾脏切除：因肾脏疾病或外伤而确实已经接受手术切除左肾或右肾。手术必须被本公司认可医院的专科注册医生视为必要的。</w:t>
      </w:r>
    </w:p>
    <w:p>
      <w:pPr>
        <w:pStyle w:val="Heading1"/>
        <w:spacing w:before="164"/>
      </w:pPr>
      <w:r>
        <w:rPr/>
        <w:t>因捐赠肾脏而所需的手术不在本合同保障范围内。</w:t>
      </w:r>
    </w:p>
    <w:p>
      <w:pPr>
        <w:pStyle w:val="BodyText"/>
        <w:spacing w:before="10"/>
        <w:rPr>
          <w:b/>
          <w:sz w:val="14"/>
        </w:rPr>
      </w:pPr>
    </w:p>
    <w:p>
      <w:pPr>
        <w:pStyle w:val="ListParagraph"/>
        <w:numPr>
          <w:ilvl w:val="0"/>
          <w:numId w:val="20"/>
        </w:numPr>
        <w:tabs>
          <w:tab w:pos="2089" w:val="left" w:leader="none"/>
        </w:tabs>
        <w:spacing w:line="240" w:lineRule="auto" w:before="0" w:after="0"/>
        <w:ind w:left="2089" w:right="0" w:hanging="421"/>
        <w:jc w:val="left"/>
        <w:rPr>
          <w:sz w:val="21"/>
        </w:rPr>
      </w:pPr>
      <w:r>
        <w:rPr>
          <w:spacing w:val="-3"/>
          <w:sz w:val="21"/>
        </w:rPr>
        <w:t>颈动脉狭窄介入治疗：颈动脉血管介入治疗术是对一条或以上的颈动脉</w:t>
      </w:r>
    </w:p>
    <w:p>
      <w:pPr>
        <w:spacing w:after="0" w:line="240" w:lineRule="auto"/>
        <w:jc w:val="left"/>
        <w:rPr>
          <w:sz w:val="21"/>
        </w:rPr>
        <w:sectPr>
          <w:pgSz w:w="11910" w:h="16840"/>
          <w:pgMar w:header="0" w:footer="925" w:top="1080" w:bottom="1200" w:left="1680" w:right="1440"/>
        </w:sectPr>
      </w:pPr>
    </w:p>
    <w:p>
      <w:pPr>
        <w:pStyle w:val="BodyText"/>
        <w:spacing w:line="273" w:lineRule="auto" w:before="22"/>
        <w:ind w:left="2088" w:right="201"/>
        <w:jc w:val="both"/>
      </w:pPr>
      <w:r>
        <w:rPr>
          <w:spacing w:val="-6"/>
        </w:rPr>
        <w:t>经由血管造影术证明有 </w:t>
      </w:r>
      <w:r>
        <w:rPr/>
        <w:t>50</w:t>
      </w:r>
      <w:r>
        <w:rPr>
          <w:spacing w:val="-10"/>
        </w:rPr>
        <w:t>%或以上狹窄的治疗。理赔时必须满足下列全部条件：</w:t>
      </w:r>
    </w:p>
    <w:p>
      <w:pPr>
        <w:pStyle w:val="ListParagraph"/>
        <w:numPr>
          <w:ilvl w:val="1"/>
          <w:numId w:val="20"/>
        </w:numPr>
        <w:tabs>
          <w:tab w:pos="2928" w:val="left" w:leader="none"/>
          <w:tab w:pos="2929" w:val="left" w:leader="none"/>
        </w:tabs>
        <w:spacing w:line="273" w:lineRule="auto" w:before="164" w:after="0"/>
        <w:ind w:left="2929" w:right="278" w:hanging="420"/>
        <w:jc w:val="left"/>
        <w:rPr>
          <w:sz w:val="21"/>
        </w:rPr>
      </w:pPr>
      <w:r>
        <w:rPr>
          <w:spacing w:val="-3"/>
          <w:sz w:val="21"/>
        </w:rPr>
        <w:t>确实已行血管介入治疗以减轻症狀，包括血管成形术或进行植入支架或颈动脉粥肿斑块清除手术；</w:t>
      </w:r>
    </w:p>
    <w:p>
      <w:pPr>
        <w:pStyle w:val="ListParagraph"/>
        <w:numPr>
          <w:ilvl w:val="1"/>
          <w:numId w:val="20"/>
        </w:numPr>
        <w:tabs>
          <w:tab w:pos="2928" w:val="left" w:leader="none"/>
          <w:tab w:pos="2929" w:val="left" w:leader="none"/>
        </w:tabs>
        <w:spacing w:line="273" w:lineRule="auto" w:before="163" w:after="0"/>
        <w:ind w:left="2929" w:right="278" w:hanging="420"/>
        <w:jc w:val="left"/>
        <w:rPr>
          <w:sz w:val="21"/>
        </w:rPr>
      </w:pPr>
      <w:r>
        <w:rPr>
          <w:spacing w:val="-3"/>
          <w:sz w:val="21"/>
        </w:rPr>
        <w:t>诊断及治疗均须在本公司认可的医院内由专科医师认为是医疗必须的情况下进行。</w:t>
      </w:r>
    </w:p>
    <w:p>
      <w:pPr>
        <w:pStyle w:val="ListParagraph"/>
        <w:numPr>
          <w:ilvl w:val="0"/>
          <w:numId w:val="20"/>
        </w:numPr>
        <w:tabs>
          <w:tab w:pos="2089" w:val="left" w:leader="none"/>
        </w:tabs>
        <w:spacing w:line="273" w:lineRule="auto" w:before="163" w:after="0"/>
        <w:ind w:left="2089" w:right="201" w:hanging="421"/>
        <w:jc w:val="left"/>
        <w:rPr>
          <w:sz w:val="21"/>
        </w:rPr>
      </w:pPr>
      <w:r>
        <w:rPr>
          <w:spacing w:val="-12"/>
          <w:sz w:val="21"/>
        </w:rPr>
        <w:t>颈动脉内膜切除手术：指颈动脉狭窄超过 </w:t>
      </w:r>
      <w:r>
        <w:rPr>
          <w:sz w:val="21"/>
        </w:rPr>
        <w:t>80</w:t>
      </w:r>
      <w:r>
        <w:rPr>
          <w:spacing w:val="-3"/>
          <w:sz w:val="21"/>
        </w:rPr>
        <w:t>%且实际实施了颈动脉内膜切除手术，颈动脉狭窄程度必须经颈动脉造影证实。</w:t>
      </w:r>
    </w:p>
    <w:p>
      <w:pPr>
        <w:pStyle w:val="Heading1"/>
        <w:spacing w:line="273" w:lineRule="auto" w:before="163"/>
        <w:ind w:right="468"/>
      </w:pPr>
      <w:r>
        <w:rPr/>
        <w:t>针对颈动脉以外的血管施行的动脉内膜切除手术不在本合同保障范围内。</w:t>
      </w:r>
    </w:p>
    <w:p>
      <w:pPr>
        <w:pStyle w:val="ListParagraph"/>
        <w:numPr>
          <w:ilvl w:val="0"/>
          <w:numId w:val="20"/>
        </w:numPr>
        <w:tabs>
          <w:tab w:pos="2089" w:val="left" w:leader="none"/>
        </w:tabs>
        <w:spacing w:line="273" w:lineRule="auto" w:before="163" w:after="0"/>
        <w:ind w:left="2089" w:right="98" w:hanging="421"/>
        <w:jc w:val="left"/>
        <w:rPr>
          <w:sz w:val="21"/>
        </w:rPr>
      </w:pPr>
      <w:r>
        <w:rPr>
          <w:spacing w:val="-3"/>
          <w:sz w:val="21"/>
        </w:rPr>
        <w:t>结核性脊髓炎：因结核杆菌引起的脊髓炎，导致永久性神经系统功能中 </w:t>
      </w:r>
      <w:r>
        <w:rPr>
          <w:spacing w:val="-9"/>
          <w:sz w:val="21"/>
        </w:rPr>
        <w:t>度障碍，即：疾病首次确诊 </w:t>
      </w:r>
      <w:r>
        <w:rPr>
          <w:sz w:val="21"/>
        </w:rPr>
        <w:t>180</w:t>
      </w:r>
      <w:r>
        <w:rPr>
          <w:spacing w:val="-8"/>
          <w:sz w:val="21"/>
        </w:rPr>
        <w:t> 天后，仍遗留下列一种或一种以上障碍：</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278" w:hanging="420"/>
        <w:jc w:val="left"/>
        <w:rPr>
          <w:sz w:val="21"/>
        </w:rPr>
      </w:pPr>
      <w:r>
        <w:rPr>
          <w:spacing w:val="-3"/>
          <w:sz w:val="21"/>
        </w:rPr>
        <w:t>自主生活能力部分丧失，无法独立完成六项基本日常生活活动中的两项或两项以上。</w:t>
      </w:r>
    </w:p>
    <w:p>
      <w:pPr>
        <w:pStyle w:val="BodyText"/>
        <w:spacing w:line="273" w:lineRule="auto" w:before="163"/>
        <w:ind w:left="2088" w:right="278"/>
        <w:jc w:val="both"/>
      </w:pPr>
      <w:r>
        <w:rPr/>
        <w:t>该诊断必须由本公司认可医院的神经专科注册医生证实，并必须由适当的检查证明为结核性脊髓炎。</w:t>
      </w:r>
    </w:p>
    <w:p>
      <w:pPr>
        <w:pStyle w:val="ListParagraph"/>
        <w:numPr>
          <w:ilvl w:val="0"/>
          <w:numId w:val="20"/>
        </w:numPr>
        <w:tabs>
          <w:tab w:pos="2089" w:val="left" w:leader="none"/>
        </w:tabs>
        <w:spacing w:line="273" w:lineRule="auto" w:before="163" w:after="0"/>
        <w:ind w:left="2089" w:right="278" w:hanging="421"/>
        <w:jc w:val="left"/>
        <w:rPr>
          <w:sz w:val="21"/>
        </w:rPr>
      </w:pPr>
      <w:r>
        <w:rPr>
          <w:spacing w:val="-3"/>
          <w:sz w:val="21"/>
        </w:rPr>
        <w:t>中度细菌性脑膜炎：指细菌感染性脑</w:t>
      </w:r>
      <w:r>
        <w:rPr>
          <w:sz w:val="21"/>
        </w:rPr>
        <w:t>（</w:t>
      </w:r>
      <w:r>
        <w:rPr>
          <w:spacing w:val="-2"/>
          <w:sz w:val="21"/>
        </w:rPr>
        <w:t>脊髓</w:t>
      </w:r>
      <w:r>
        <w:rPr>
          <w:spacing w:val="-3"/>
          <w:sz w:val="21"/>
        </w:rPr>
        <w:t>）膜炎导致神经系统永久性</w:t>
      </w:r>
      <w:r>
        <w:rPr>
          <w:spacing w:val="-5"/>
          <w:sz w:val="21"/>
        </w:rPr>
        <w:t>的中度功能障碍，即：疾病首次确诊 </w:t>
      </w:r>
      <w:r>
        <w:rPr>
          <w:sz w:val="21"/>
        </w:rPr>
        <w:t>180</w:t>
      </w:r>
      <w:r>
        <w:rPr>
          <w:spacing w:val="-8"/>
          <w:sz w:val="21"/>
        </w:rPr>
        <w:t> 天后，仍遗留下列全部障碍：</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10"/>
        <w:rPr>
          <w:sz w:val="14"/>
        </w:rPr>
      </w:pPr>
    </w:p>
    <w:p>
      <w:pPr>
        <w:pStyle w:val="ListParagraph"/>
        <w:numPr>
          <w:ilvl w:val="1"/>
          <w:numId w:val="20"/>
        </w:numPr>
        <w:tabs>
          <w:tab w:pos="2928" w:val="left" w:leader="none"/>
          <w:tab w:pos="2929" w:val="left" w:leader="none"/>
        </w:tabs>
        <w:spacing w:line="273" w:lineRule="auto" w:before="0" w:after="0"/>
        <w:ind w:left="2929" w:right="278" w:hanging="420"/>
        <w:jc w:val="left"/>
        <w:rPr>
          <w:sz w:val="21"/>
        </w:rPr>
      </w:pPr>
      <w:r>
        <w:rPr>
          <w:spacing w:val="-3"/>
          <w:sz w:val="21"/>
        </w:rPr>
        <w:t>自主生活能力部分丧失，无法独立完成六项基本日常生活活动中的一项或一项以上。</w:t>
      </w:r>
    </w:p>
    <w:p>
      <w:pPr>
        <w:pStyle w:val="BodyText"/>
        <w:spacing w:line="273" w:lineRule="auto" w:before="163"/>
        <w:ind w:left="2088" w:right="278"/>
        <w:jc w:val="both"/>
      </w:pPr>
      <w:r>
        <w:rPr/>
        <w:t>诊断必须由本公司认可医院的神经专科医生确定，并必须由适当的检查证明疾病原因为急性脑（脊髓）膜受细菌感染。</w:t>
      </w:r>
    </w:p>
    <w:p>
      <w:pPr>
        <w:pStyle w:val="ListParagraph"/>
        <w:numPr>
          <w:ilvl w:val="0"/>
          <w:numId w:val="20"/>
        </w:numPr>
        <w:tabs>
          <w:tab w:pos="2089" w:val="left" w:leader="none"/>
        </w:tabs>
        <w:spacing w:line="240" w:lineRule="auto" w:before="163" w:after="0"/>
        <w:ind w:left="2089" w:right="0" w:hanging="421"/>
        <w:jc w:val="left"/>
        <w:rPr>
          <w:sz w:val="21"/>
        </w:rPr>
      </w:pPr>
      <w:r>
        <w:rPr>
          <w:spacing w:val="-3"/>
          <w:sz w:val="21"/>
        </w:rPr>
        <w:t>早期原发性心肌病：被诊断为原发性心肌病，并须满足下列全部条件：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1" w:after="0"/>
        <w:ind w:left="2929" w:right="98" w:hanging="420"/>
        <w:jc w:val="left"/>
        <w:rPr>
          <w:sz w:val="21"/>
        </w:rPr>
      </w:pPr>
      <w:r>
        <w:rPr>
          <w:spacing w:val="-3"/>
          <w:sz w:val="21"/>
        </w:rPr>
        <w:t>导致心室功能受损，其受损程度达到美国纽约心脏病学会心脏 </w:t>
      </w:r>
      <w:r>
        <w:rPr>
          <w:spacing w:val="-9"/>
          <w:sz w:val="21"/>
        </w:rPr>
        <w:t>功能分级的第 </w:t>
      </w:r>
      <w:r>
        <w:rPr>
          <w:sz w:val="21"/>
        </w:rPr>
        <w:t>III</w:t>
      </w:r>
      <w:r>
        <w:rPr>
          <w:spacing w:val="-10"/>
          <w:sz w:val="21"/>
        </w:rPr>
        <w:t> 级，或其同等级別，即：体力活动明显受限， </w:t>
      </w:r>
      <w:r>
        <w:rPr>
          <w:spacing w:val="-5"/>
          <w:sz w:val="21"/>
        </w:rPr>
        <w:t>休息时无症状，轻于日常的活动即可引起充血性心力衰竭的症 状；</w:t>
      </w:r>
    </w:p>
    <w:p>
      <w:pPr>
        <w:pStyle w:val="ListParagraph"/>
        <w:numPr>
          <w:ilvl w:val="1"/>
          <w:numId w:val="20"/>
        </w:numPr>
        <w:tabs>
          <w:tab w:pos="2928" w:val="left" w:leader="none"/>
          <w:tab w:pos="2929" w:val="left" w:leader="none"/>
        </w:tabs>
        <w:spacing w:line="240" w:lineRule="auto" w:before="164" w:after="0"/>
        <w:ind w:left="2929" w:right="0" w:hanging="420"/>
        <w:jc w:val="left"/>
        <w:rPr>
          <w:sz w:val="21"/>
        </w:rPr>
      </w:pPr>
      <w:r>
        <w:rPr>
          <w:spacing w:val="-2"/>
          <w:sz w:val="21"/>
        </w:rPr>
        <w:t>左室射血分数 </w:t>
      </w:r>
      <w:r>
        <w:rPr>
          <w:sz w:val="21"/>
        </w:rPr>
        <w:t>LVEF</w:t>
      </w:r>
      <w:r>
        <w:rPr>
          <w:spacing w:val="0"/>
          <w:sz w:val="21"/>
        </w:rPr>
        <w:t> </w:t>
      </w:r>
      <w:r>
        <w:rPr>
          <w:sz w:val="21"/>
        </w:rPr>
        <w:t>&lt;35%；</w:t>
      </w:r>
    </w:p>
    <w:p>
      <w:pPr>
        <w:pStyle w:val="BodyText"/>
        <w:spacing w:before="10"/>
        <w:rPr>
          <w:sz w:val="14"/>
        </w:rPr>
      </w:pPr>
    </w:p>
    <w:p>
      <w:pPr>
        <w:pStyle w:val="ListParagraph"/>
        <w:numPr>
          <w:ilvl w:val="1"/>
          <w:numId w:val="20"/>
        </w:numPr>
        <w:tabs>
          <w:tab w:pos="2928" w:val="left" w:leader="none"/>
          <w:tab w:pos="2929" w:val="left" w:leader="none"/>
        </w:tabs>
        <w:spacing w:line="273" w:lineRule="auto" w:before="0" w:after="0"/>
        <w:ind w:left="2929" w:right="278" w:hanging="420"/>
        <w:jc w:val="left"/>
        <w:rPr>
          <w:sz w:val="21"/>
        </w:rPr>
      </w:pPr>
      <w:r>
        <w:rPr>
          <w:spacing w:val="-3"/>
          <w:sz w:val="21"/>
        </w:rPr>
        <w:t>原发性心肌病的诊断必须由本公司认可医院的心脏专科注册医师确认，并提供心脏超声检查结果报告。</w:t>
      </w:r>
    </w:p>
    <w:p>
      <w:pPr>
        <w:spacing w:line="273" w:lineRule="auto" w:before="163"/>
        <w:ind w:left="2088" w:right="259" w:firstLine="0"/>
        <w:jc w:val="both"/>
        <w:rPr>
          <w:b/>
          <w:sz w:val="21"/>
        </w:rPr>
      </w:pPr>
      <w:r>
        <w:rPr>
          <w:sz w:val="21"/>
        </w:rPr>
        <w:t>本合同保障范围内的心肌病包括扩张型心肌病、肥厚型心肌病及限制型心肌病。</w:t>
      </w:r>
      <w:r>
        <w:rPr>
          <w:b/>
          <w:sz w:val="21"/>
        </w:rPr>
        <w:t>继发于全身性疾病或其它器官系统疾病及酒精滥用造成的心肌病变不在本合同保障范围内。</w:t>
      </w:r>
    </w:p>
    <w:p>
      <w:pPr>
        <w:pStyle w:val="ListParagraph"/>
        <w:numPr>
          <w:ilvl w:val="0"/>
          <w:numId w:val="20"/>
        </w:numPr>
        <w:tabs>
          <w:tab w:pos="2089" w:val="left" w:leader="none"/>
        </w:tabs>
        <w:spacing w:line="240" w:lineRule="auto" w:before="163" w:after="0"/>
        <w:ind w:left="2089" w:right="0" w:hanging="421"/>
        <w:jc w:val="left"/>
        <w:rPr>
          <w:sz w:val="21"/>
        </w:rPr>
      </w:pPr>
      <w:r>
        <w:rPr>
          <w:spacing w:val="-3"/>
          <w:sz w:val="21"/>
        </w:rPr>
        <w:t>大脑內分流器植入：为缓解已升高的脑脊液压力而确实已在脑室进行分</w:t>
      </w:r>
    </w:p>
    <w:p>
      <w:pPr>
        <w:spacing w:after="0" w:line="240" w:lineRule="auto"/>
        <w:jc w:val="left"/>
        <w:rPr>
          <w:sz w:val="21"/>
        </w:rPr>
        <w:sectPr>
          <w:pgSz w:w="11910" w:h="16840"/>
          <w:pgMar w:header="0" w:footer="925" w:top="1080" w:bottom="1200" w:left="1680" w:right="1340"/>
        </w:sectPr>
      </w:pPr>
    </w:p>
    <w:p>
      <w:pPr>
        <w:pStyle w:val="BodyText"/>
        <w:spacing w:before="22"/>
        <w:ind w:left="2088"/>
      </w:pPr>
      <w:r>
        <w:rPr/>
        <w:t>流器植入手术。</w:t>
      </w:r>
    </w:p>
    <w:p>
      <w:pPr>
        <w:pStyle w:val="BodyText"/>
        <w:spacing w:before="10"/>
        <w:rPr>
          <w:sz w:val="14"/>
        </w:rPr>
      </w:pPr>
    </w:p>
    <w:p>
      <w:pPr>
        <w:spacing w:line="273" w:lineRule="auto" w:before="0"/>
        <w:ind w:left="2088" w:right="164" w:firstLine="0"/>
        <w:jc w:val="both"/>
        <w:rPr>
          <w:b/>
          <w:sz w:val="21"/>
        </w:rPr>
      </w:pPr>
      <w:r>
        <w:rPr>
          <w:spacing w:val="-3"/>
          <w:sz w:val="21"/>
        </w:rPr>
        <w:t>诊断及治疗均须在本公司认可的医院内由脑神经科专科医师认为是医疗必须的情况下进行，且</w:t>
      </w:r>
      <w:r>
        <w:rPr>
          <w:b/>
          <w:spacing w:val="-5"/>
          <w:sz w:val="21"/>
        </w:rPr>
        <w:t>只有在被保险人年龄大于或等于 </w:t>
      </w:r>
      <w:r>
        <w:rPr>
          <w:b/>
          <w:sz w:val="21"/>
        </w:rPr>
        <w:t>1</w:t>
      </w:r>
      <w:r>
        <w:rPr>
          <w:b/>
          <w:spacing w:val="-8"/>
          <w:sz w:val="21"/>
        </w:rPr>
        <w:t> 周岁后实施此手术才属于本合同保障范围。</w:t>
      </w:r>
    </w:p>
    <w:p>
      <w:pPr>
        <w:pStyle w:val="ListParagraph"/>
        <w:numPr>
          <w:ilvl w:val="0"/>
          <w:numId w:val="20"/>
        </w:numPr>
        <w:tabs>
          <w:tab w:pos="2089" w:val="left" w:leader="none"/>
        </w:tabs>
        <w:spacing w:line="273" w:lineRule="auto" w:before="163" w:after="0"/>
        <w:ind w:left="2089" w:right="178" w:hanging="421"/>
        <w:jc w:val="both"/>
        <w:rPr>
          <w:sz w:val="21"/>
        </w:rPr>
      </w:pPr>
      <w:r>
        <w:rPr>
          <w:spacing w:val="-3"/>
          <w:sz w:val="21"/>
        </w:rPr>
        <w:t>中度重症肌无力症：必须由本公司认可的医院的专科医生明确诊断为重</w:t>
      </w:r>
      <w:r>
        <w:rPr>
          <w:spacing w:val="-6"/>
          <w:sz w:val="21"/>
        </w:rPr>
        <w:t>症肌无力，且须满足疾病首次确诊 </w:t>
      </w:r>
      <w:r>
        <w:rPr>
          <w:sz w:val="21"/>
        </w:rPr>
        <w:t>180</w:t>
      </w:r>
      <w:r>
        <w:rPr>
          <w:spacing w:val="-7"/>
          <w:sz w:val="21"/>
        </w:rPr>
        <w:t> 天后被保险人仍符合按美国重症</w:t>
      </w:r>
      <w:r>
        <w:rPr>
          <w:spacing w:val="-8"/>
          <w:sz w:val="21"/>
        </w:rPr>
        <w:t>肌无力基金会的临床分类界定为第 </w:t>
      </w:r>
      <w:r>
        <w:rPr>
          <w:sz w:val="21"/>
        </w:rPr>
        <w:t>III</w:t>
      </w:r>
      <w:r>
        <w:rPr>
          <w:spacing w:val="-10"/>
          <w:sz w:val="21"/>
        </w:rPr>
        <w:t> 级及以上。</w:t>
      </w:r>
    </w:p>
    <w:p>
      <w:pPr>
        <w:pStyle w:val="BodyText"/>
        <w:spacing w:before="163"/>
        <w:ind w:left="2088"/>
      </w:pPr>
      <w:r>
        <w:rPr/>
        <w:t>美国重症肌无力基金会的临床分类：</w:t>
      </w:r>
    </w:p>
    <w:p>
      <w:pPr>
        <w:pStyle w:val="BodyText"/>
        <w:spacing w:before="9"/>
        <w:rPr>
          <w:sz w:val="14"/>
        </w:rPr>
      </w:pPr>
    </w:p>
    <w:p>
      <w:pPr>
        <w:pStyle w:val="BodyText"/>
        <w:tabs>
          <w:tab w:pos="2981" w:val="left" w:leader="none"/>
        </w:tabs>
        <w:spacing w:line="273" w:lineRule="auto" w:before="1"/>
        <w:ind w:left="2088" w:right="128"/>
      </w:pPr>
      <w:r>
        <w:rPr/>
        <w:t>第</w:t>
      </w:r>
      <w:r>
        <w:rPr>
          <w:spacing w:val="-53"/>
        </w:rPr>
        <w:t> </w:t>
      </w:r>
      <w:r>
        <w:rPr/>
        <w:t>I</w:t>
      </w:r>
      <w:r>
        <w:rPr>
          <w:spacing w:val="-1"/>
        </w:rPr>
        <w:t> </w:t>
      </w:r>
      <w:r>
        <w:rPr/>
        <w:t>级</w:t>
        <w:tab/>
        <w:t>任</w:t>
      </w:r>
      <w:r>
        <w:rPr>
          <w:spacing w:val="-3"/>
        </w:rPr>
        <w:t>何</w:t>
      </w:r>
      <w:r>
        <w:rPr/>
        <w:t>眼</w:t>
      </w:r>
      <w:r>
        <w:rPr>
          <w:spacing w:val="-3"/>
        </w:rPr>
        <w:t>部</w:t>
      </w:r>
      <w:r>
        <w:rPr/>
        <w:t>肌</w:t>
      </w:r>
      <w:r>
        <w:rPr>
          <w:spacing w:val="-3"/>
        </w:rPr>
        <w:t>肉无</w:t>
      </w:r>
      <w:r>
        <w:rPr/>
        <w:t>力，</w:t>
      </w:r>
      <w:r>
        <w:rPr>
          <w:spacing w:val="-3"/>
        </w:rPr>
        <w:t>可</w:t>
      </w:r>
      <w:r>
        <w:rPr/>
        <w:t>能</w:t>
      </w:r>
      <w:r>
        <w:rPr>
          <w:spacing w:val="-3"/>
        </w:rPr>
        <w:t>性</w:t>
      </w:r>
      <w:r>
        <w:rPr/>
        <w:t>之</w:t>
      </w:r>
      <w:r>
        <w:rPr>
          <w:spacing w:val="-3"/>
        </w:rPr>
        <w:t>上</w:t>
      </w:r>
      <w:r>
        <w:rPr/>
        <w:t>睑</w:t>
      </w:r>
      <w:r>
        <w:rPr>
          <w:spacing w:val="-3"/>
        </w:rPr>
        <w:t>下</w:t>
      </w:r>
      <w:r>
        <w:rPr/>
        <w:t>垂</w:t>
      </w:r>
      <w:r>
        <w:rPr>
          <w:spacing w:val="-3"/>
        </w:rPr>
        <w:t>，</w:t>
      </w:r>
      <w:r>
        <w:rPr/>
        <w:t>及并</w:t>
      </w:r>
      <w:r>
        <w:rPr>
          <w:spacing w:val="-3"/>
        </w:rPr>
        <w:t>无</w:t>
      </w:r>
      <w:r>
        <w:rPr/>
        <w:t>其</w:t>
      </w:r>
      <w:r>
        <w:rPr>
          <w:spacing w:val="-3"/>
        </w:rPr>
        <w:t>他</w:t>
      </w:r>
      <w:r>
        <w:rPr/>
        <w:t>部</w:t>
      </w:r>
      <w:r>
        <w:rPr>
          <w:spacing w:val="-3"/>
        </w:rPr>
        <w:t>位</w:t>
      </w:r>
      <w:r>
        <w:rPr/>
        <w:t>出现 肌无</w:t>
      </w:r>
      <w:r>
        <w:rPr>
          <w:spacing w:val="-3"/>
        </w:rPr>
        <w:t>力</w:t>
      </w:r>
      <w:r>
        <w:rPr/>
        <w:t>的</w:t>
      </w:r>
      <w:r>
        <w:rPr>
          <w:spacing w:val="-3"/>
        </w:rPr>
        <w:t>证</w:t>
      </w:r>
      <w:r>
        <w:rPr/>
        <w:t>据；</w:t>
      </w:r>
    </w:p>
    <w:p>
      <w:pPr>
        <w:pStyle w:val="BodyText"/>
        <w:tabs>
          <w:tab w:pos="2931" w:val="left" w:leader="none"/>
          <w:tab w:pos="3034" w:val="left" w:leader="none"/>
          <w:tab w:pos="3087" w:val="left" w:leader="none"/>
          <w:tab w:pos="3192" w:val="left" w:leader="none"/>
        </w:tabs>
        <w:spacing w:line="408" w:lineRule="auto" w:before="164"/>
        <w:ind w:left="2088" w:right="339"/>
      </w:pPr>
      <w:r>
        <w:rPr/>
        <w:t>第</w:t>
      </w:r>
      <w:r>
        <w:rPr>
          <w:spacing w:val="-53"/>
        </w:rPr>
        <w:t> </w:t>
      </w:r>
      <w:r>
        <w:rPr/>
        <w:t>II</w:t>
      </w:r>
      <w:r>
        <w:rPr>
          <w:spacing w:val="-1"/>
        </w:rPr>
        <w:t> </w:t>
      </w:r>
      <w:r>
        <w:rPr/>
        <w:t>级</w:t>
        <w:tab/>
        <w:tab/>
        <w:tab/>
        <w:t>任</w:t>
      </w:r>
      <w:r>
        <w:rPr>
          <w:spacing w:val="-3"/>
        </w:rPr>
        <w:t>何</w:t>
      </w:r>
      <w:r>
        <w:rPr/>
        <w:t>程</w:t>
      </w:r>
      <w:r>
        <w:rPr>
          <w:spacing w:val="-3"/>
        </w:rPr>
        <w:t>度</w:t>
      </w:r>
      <w:r>
        <w:rPr/>
        <w:t>之</w:t>
      </w:r>
      <w:r>
        <w:rPr>
          <w:spacing w:val="-3"/>
        </w:rPr>
        <w:t>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之轻</w:t>
      </w:r>
      <w:r>
        <w:rPr>
          <w:spacing w:val="-3"/>
        </w:rPr>
        <w:t>度</w:t>
      </w:r>
      <w:r>
        <w:rPr/>
        <w:t>肌</w:t>
      </w:r>
      <w:r>
        <w:rPr>
          <w:spacing w:val="-3"/>
        </w:rPr>
        <w:t>肉</w:t>
      </w:r>
      <w:r>
        <w:rPr/>
        <w:t>无</w:t>
      </w:r>
      <w:r>
        <w:rPr>
          <w:spacing w:val="-3"/>
        </w:rPr>
        <w:t>力</w:t>
      </w:r>
      <w:r>
        <w:rPr/>
        <w:t>； 第</w:t>
      </w:r>
      <w:r>
        <w:rPr>
          <w:spacing w:val="-52"/>
        </w:rPr>
        <w:t> </w:t>
      </w:r>
      <w:r>
        <w:rPr/>
        <w:t>III 级</w:t>
        <w:tab/>
        <w:tab/>
        <w:tab/>
      </w:r>
      <w:r>
        <w:rPr>
          <w:spacing w:val="-3"/>
        </w:rPr>
        <w:t>任</w:t>
      </w:r>
      <w:r>
        <w:rPr>
          <w:spacing w:val="-1"/>
        </w:rPr>
        <w:t>何</w:t>
      </w:r>
      <w:r>
        <w:rPr>
          <w:spacing w:val="-3"/>
        </w:rPr>
        <w:t>程</w:t>
      </w:r>
      <w:r>
        <w:rPr/>
        <w:t>度</w:t>
      </w:r>
      <w:r>
        <w:rPr>
          <w:spacing w:val="-3"/>
        </w:rPr>
        <w:t>之眼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之中</w:t>
      </w:r>
      <w:r>
        <w:rPr>
          <w:spacing w:val="-3"/>
        </w:rPr>
        <w:t>度</w:t>
      </w:r>
      <w:r>
        <w:rPr/>
        <w:t>肌</w:t>
      </w:r>
      <w:r>
        <w:rPr>
          <w:spacing w:val="-3"/>
        </w:rPr>
        <w:t>肉</w:t>
      </w:r>
      <w:r>
        <w:rPr/>
        <w:t>无</w:t>
      </w:r>
      <w:r>
        <w:rPr>
          <w:spacing w:val="-3"/>
        </w:rPr>
        <w:t>力</w:t>
      </w:r>
      <w:r>
        <w:rPr/>
        <w:t>； 第</w:t>
      </w:r>
      <w:r>
        <w:rPr>
          <w:spacing w:val="-53"/>
        </w:rPr>
        <w:t> </w:t>
      </w:r>
      <w:r>
        <w:rPr/>
        <w:t>IV</w:t>
      </w:r>
      <w:r>
        <w:rPr>
          <w:spacing w:val="-55"/>
        </w:rPr>
        <w:t> </w:t>
      </w:r>
      <w:r>
        <w:rPr/>
        <w:t>级</w:t>
        <w:tab/>
        <w:tab/>
        <w:t>任</w:t>
      </w:r>
      <w:r>
        <w:rPr>
          <w:spacing w:val="-3"/>
        </w:rPr>
        <w:t>何</w:t>
      </w:r>
      <w:r>
        <w:rPr/>
        <w:t>程</w:t>
      </w:r>
      <w:r>
        <w:rPr>
          <w:spacing w:val="-3"/>
        </w:rPr>
        <w:t>度</w:t>
      </w:r>
      <w:r>
        <w:rPr/>
        <w:t>之</w:t>
      </w:r>
      <w:r>
        <w:rPr>
          <w:spacing w:val="-3"/>
        </w:rPr>
        <w:t>眼部</w:t>
      </w:r>
      <w:r>
        <w:rPr/>
        <w:t>肌肉</w:t>
      </w:r>
      <w:r>
        <w:rPr>
          <w:spacing w:val="-3"/>
        </w:rPr>
        <w:t>无</w:t>
      </w:r>
      <w:r>
        <w:rPr/>
        <w:t>力</w:t>
      </w:r>
      <w:r>
        <w:rPr>
          <w:spacing w:val="-3"/>
        </w:rPr>
        <w:t>，</w:t>
      </w:r>
      <w:r>
        <w:rPr/>
        <w:t>及</w:t>
      </w:r>
      <w:r>
        <w:rPr>
          <w:spacing w:val="-3"/>
        </w:rPr>
        <w:t>其</w:t>
      </w:r>
      <w:r>
        <w:rPr/>
        <w:t>他</w:t>
      </w:r>
      <w:r>
        <w:rPr>
          <w:spacing w:val="-3"/>
        </w:rPr>
        <w:t>部</w:t>
      </w:r>
      <w:r>
        <w:rPr/>
        <w:t>位</w:t>
      </w:r>
      <w:r>
        <w:rPr>
          <w:spacing w:val="-3"/>
        </w:rPr>
        <w:t>之</w:t>
      </w:r>
      <w:r>
        <w:rPr/>
        <w:t>严重</w:t>
      </w:r>
      <w:r>
        <w:rPr>
          <w:spacing w:val="-3"/>
        </w:rPr>
        <w:t>肌</w:t>
      </w:r>
      <w:r>
        <w:rPr/>
        <w:t>肉</w:t>
      </w:r>
      <w:r>
        <w:rPr>
          <w:spacing w:val="-3"/>
        </w:rPr>
        <w:t>无</w:t>
      </w:r>
      <w:r>
        <w:rPr/>
        <w:t>力； 第</w:t>
      </w:r>
      <w:r>
        <w:rPr>
          <w:spacing w:val="-53"/>
        </w:rPr>
        <w:t> </w:t>
      </w:r>
      <w:r>
        <w:rPr/>
        <w:t>V</w:t>
      </w:r>
      <w:r>
        <w:rPr>
          <w:spacing w:val="-53"/>
        </w:rPr>
        <w:t> </w:t>
      </w:r>
      <w:r>
        <w:rPr/>
        <w:t>级</w:t>
        <w:tab/>
      </w:r>
      <w:r>
        <w:rPr>
          <w:spacing w:val="-3"/>
        </w:rPr>
        <w:t>需</w:t>
      </w:r>
      <w:r>
        <w:rPr/>
        <w:t>要</w:t>
      </w:r>
      <w:r>
        <w:rPr>
          <w:spacing w:val="-3"/>
        </w:rPr>
        <w:t>插</w:t>
      </w:r>
      <w:r>
        <w:rPr/>
        <w:t>管</w:t>
      </w:r>
      <w:r>
        <w:rPr>
          <w:spacing w:val="-3"/>
        </w:rPr>
        <w:t>以</w:t>
      </w:r>
      <w:r>
        <w:rPr/>
        <w:t>维</w:t>
      </w:r>
      <w:r>
        <w:rPr>
          <w:spacing w:val="-3"/>
        </w:rPr>
        <w:t>持</w:t>
      </w:r>
      <w:r>
        <w:rPr/>
        <w:t>气管</w:t>
      </w:r>
      <w:r>
        <w:rPr>
          <w:spacing w:val="-3"/>
        </w:rPr>
        <w:t>畅</w:t>
      </w:r>
      <w:r>
        <w:rPr/>
        <w:t>通。</w:t>
      </w:r>
    </w:p>
    <w:p>
      <w:pPr>
        <w:pStyle w:val="ListParagraph"/>
        <w:numPr>
          <w:ilvl w:val="0"/>
          <w:numId w:val="20"/>
        </w:numPr>
        <w:tabs>
          <w:tab w:pos="2089" w:val="left" w:leader="none"/>
        </w:tabs>
        <w:spacing w:line="273" w:lineRule="auto" w:before="46" w:after="0"/>
        <w:ind w:left="2089" w:right="104" w:hanging="421"/>
        <w:jc w:val="left"/>
        <w:rPr>
          <w:sz w:val="21"/>
        </w:rPr>
      </w:pPr>
      <w:r>
        <w:rPr>
          <w:spacing w:val="-3"/>
          <w:sz w:val="21"/>
        </w:rPr>
        <w:t>脑动脉瘤及脑血管瘤：指实际实施的脑动脉瘤及脑血管瘤的切除手术。</w:t>
      </w:r>
      <w:r>
        <w:rPr>
          <w:spacing w:val="-4"/>
          <w:sz w:val="21"/>
        </w:rPr>
        <w:t>诊断需经头颅断层扫描</w:t>
      </w:r>
      <w:r>
        <w:rPr>
          <w:spacing w:val="-3"/>
          <w:sz w:val="21"/>
        </w:rPr>
        <w:t>（CT）</w:t>
      </w:r>
      <w:r>
        <w:rPr>
          <w:spacing w:val="-4"/>
          <w:sz w:val="21"/>
        </w:rPr>
        <w:t>或核磁共振</w:t>
      </w:r>
      <w:r>
        <w:rPr>
          <w:spacing w:val="-3"/>
          <w:sz w:val="21"/>
        </w:rPr>
        <w:t>（MRI）确诊，并由专科医师确认是在医学上是必要的。在申请理赔时必须提交由病理科专科医生签署的固定活组织病理学检查报告和由专科医生签署的临床诊断及治疗报  告。</w:t>
      </w:r>
    </w:p>
    <w:p>
      <w:pPr>
        <w:pStyle w:val="ListParagraph"/>
        <w:numPr>
          <w:ilvl w:val="0"/>
          <w:numId w:val="20"/>
        </w:numPr>
        <w:tabs>
          <w:tab w:pos="2089" w:val="left" w:leader="none"/>
        </w:tabs>
        <w:spacing w:line="273" w:lineRule="auto" w:before="163" w:after="0"/>
        <w:ind w:left="2089" w:right="178" w:hanging="421"/>
        <w:jc w:val="both"/>
        <w:rPr>
          <w:sz w:val="21"/>
        </w:rPr>
      </w:pPr>
      <w:r>
        <w:rPr>
          <w:spacing w:val="-3"/>
          <w:sz w:val="21"/>
        </w:rPr>
        <w:t>中度传染性心內膜炎：因感染性微生物导致的心脏内膜炎症，并须满足下列全部条件：</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3"/>
          <w:sz w:val="21"/>
        </w:rPr>
        <w:t>血液培植结果呈阳性反应，证明感染性微生物的存在；</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178" w:hanging="420"/>
        <w:jc w:val="left"/>
        <w:rPr>
          <w:sz w:val="21"/>
        </w:rPr>
      </w:pPr>
      <w:r>
        <w:rPr>
          <w:spacing w:val="-3"/>
          <w:sz w:val="21"/>
        </w:rPr>
        <w:t>出现最少中度心脏瓣膜功能不全，或心脏瓣膜狭窄导致的传染性心内膜炎。</w:t>
      </w:r>
    </w:p>
    <w:p>
      <w:pPr>
        <w:pStyle w:val="BodyText"/>
        <w:spacing w:line="273" w:lineRule="auto" w:before="163"/>
        <w:ind w:left="2088" w:right="178"/>
      </w:pPr>
      <w:r>
        <w:rPr/>
        <w:t>传染性心内膜炎的诊断及瓣膜受损的严重程度必须由心脏病专科注册医生确定，并提供超声心动图或放射影像学检查结果报告以支持诊断。</w:t>
      </w:r>
    </w:p>
    <w:p>
      <w:pPr>
        <w:pStyle w:val="ListParagraph"/>
        <w:numPr>
          <w:ilvl w:val="0"/>
          <w:numId w:val="20"/>
        </w:numPr>
        <w:tabs>
          <w:tab w:pos="2089" w:val="left" w:leader="none"/>
        </w:tabs>
        <w:spacing w:line="273" w:lineRule="auto" w:before="163" w:after="0"/>
        <w:ind w:left="2089" w:right="101" w:hanging="421"/>
        <w:jc w:val="both"/>
        <w:rPr>
          <w:sz w:val="21"/>
        </w:rPr>
      </w:pPr>
      <w:r>
        <w:rPr>
          <w:spacing w:val="-12"/>
          <w:sz w:val="21"/>
        </w:rPr>
        <w:t>中度面部烧伤：意外导致的颜面部烧伤是指最少有 </w:t>
      </w:r>
      <w:r>
        <w:rPr>
          <w:sz w:val="21"/>
        </w:rPr>
        <w:t>30</w:t>
      </w:r>
      <w:r>
        <w:rPr>
          <w:spacing w:val="-3"/>
          <w:sz w:val="21"/>
        </w:rPr>
        <w:t>%的颜面部表面直接</w:t>
      </w:r>
      <w:r>
        <w:rPr>
          <w:spacing w:val="-4"/>
          <w:sz w:val="21"/>
        </w:rPr>
        <w:t>由意外导致而受到三级烧伤</w:t>
      </w:r>
      <w:r>
        <w:rPr>
          <w:spacing w:val="-3"/>
          <w:sz w:val="21"/>
        </w:rPr>
        <w:t>（皮肤全层烧伤</w:t>
      </w:r>
      <w:r>
        <w:rPr>
          <w:spacing w:val="-108"/>
          <w:sz w:val="21"/>
        </w:rPr>
        <w:t>）</w:t>
      </w:r>
      <w:r>
        <w:rPr>
          <w:spacing w:val="-5"/>
          <w:sz w:val="21"/>
        </w:rPr>
        <w:t>。烧伤面积须由本公司认可</w:t>
      </w:r>
      <w:r>
        <w:rPr>
          <w:spacing w:val="-4"/>
          <w:sz w:val="21"/>
        </w:rPr>
        <w:t>医院的专科医生计算。</w:t>
      </w:r>
    </w:p>
    <w:p>
      <w:pPr>
        <w:pStyle w:val="BodyText"/>
        <w:spacing w:line="273" w:lineRule="auto" w:before="163"/>
        <w:ind w:left="2088" w:right="178"/>
        <w:jc w:val="both"/>
      </w:pPr>
      <w:r>
        <w:rPr/>
        <w:t>对于较小面积Ⅲ度烧伤、轻度面部烧伤、面部重建手术，若因同一原因导致上述两项或者两项以上情况同时满足，有关的烧伤或者手术在本合同保障范围内</w:t>
      </w:r>
      <w:r>
        <w:rPr>
          <w:b/>
        </w:rPr>
        <w:t>只能获赔偿一次</w:t>
      </w:r>
      <w:r>
        <w:rPr/>
        <w:t>。</w:t>
      </w:r>
    </w:p>
    <w:p>
      <w:pPr>
        <w:pStyle w:val="ListParagraph"/>
        <w:numPr>
          <w:ilvl w:val="0"/>
          <w:numId w:val="20"/>
        </w:numPr>
        <w:tabs>
          <w:tab w:pos="2089" w:val="left" w:leader="none"/>
        </w:tabs>
        <w:spacing w:line="240" w:lineRule="auto" w:before="163" w:after="0"/>
        <w:ind w:left="2089" w:right="0" w:hanging="421"/>
        <w:jc w:val="left"/>
        <w:rPr>
          <w:sz w:val="21"/>
        </w:rPr>
      </w:pPr>
      <w:r>
        <w:rPr>
          <w:spacing w:val="-3"/>
          <w:sz w:val="21"/>
        </w:rPr>
        <w:t>中度系统性红斑狼疮：在下列五项情况中出现两项或两项以上：</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关节炎：非磨损性关节炎，需涉及两个或以上关节；</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浆膜炎：胸膜炎或心包炎；</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z w:val="21"/>
        </w:rPr>
        <w:t>肾病：24</w:t>
      </w:r>
      <w:r>
        <w:rPr>
          <w:spacing w:val="-12"/>
          <w:sz w:val="21"/>
        </w:rPr>
        <w:t> 小时尿蛋白定量达到 </w:t>
      </w:r>
      <w:r>
        <w:rPr>
          <w:sz w:val="21"/>
        </w:rPr>
        <w:t>0.5</w:t>
      </w:r>
      <w:r>
        <w:rPr>
          <w:spacing w:val="-8"/>
          <w:sz w:val="21"/>
        </w:rPr>
        <w:t> 克，或尿液检查出现细胞管</w:t>
      </w:r>
    </w:p>
    <w:p>
      <w:pPr>
        <w:spacing w:after="0" w:line="240" w:lineRule="auto"/>
        <w:jc w:val="left"/>
        <w:rPr>
          <w:sz w:val="21"/>
        </w:rPr>
        <w:sectPr>
          <w:pgSz w:w="11910" w:h="16840"/>
          <w:pgMar w:header="0" w:footer="925" w:top="1080" w:bottom="1200" w:left="1680" w:right="1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346"/>
        <w:gridCol w:w="7564"/>
      </w:tblGrid>
      <w:tr>
        <w:trPr>
          <w:trHeight w:val="10949" w:hRule="atLeast"/>
        </w:trPr>
        <w:tc>
          <w:tcPr>
            <w:tcW w:w="800" w:type="dxa"/>
          </w:tcPr>
          <w:p>
            <w:pPr>
              <w:pStyle w:val="TableParagraph"/>
              <w:rPr>
                <w:rFonts w:ascii="Times New Roman"/>
                <w:sz w:val="20"/>
              </w:rPr>
            </w:pPr>
          </w:p>
        </w:tc>
        <w:tc>
          <w:tcPr>
            <w:tcW w:w="1346" w:type="dxa"/>
          </w:tcPr>
          <w:p>
            <w:pPr>
              <w:pStyle w:val="TableParagraph"/>
              <w:rPr>
                <w:rFonts w:ascii="Times New Roman"/>
                <w:sz w:val="20"/>
              </w:rPr>
            </w:pPr>
          </w:p>
        </w:tc>
        <w:tc>
          <w:tcPr>
            <w:tcW w:w="7564" w:type="dxa"/>
          </w:tcPr>
          <w:p>
            <w:pPr>
              <w:pStyle w:val="TableParagraph"/>
              <w:spacing w:line="211" w:lineRule="exact"/>
              <w:ind w:left="1585"/>
              <w:rPr>
                <w:sz w:val="21"/>
              </w:rPr>
            </w:pPr>
            <w:r>
              <w:rPr>
                <w:sz w:val="21"/>
              </w:rPr>
              <w:t>型；</w:t>
            </w:r>
          </w:p>
          <w:p>
            <w:pPr>
              <w:pStyle w:val="TableParagraph"/>
              <w:spacing w:before="9"/>
              <w:rPr>
                <w:sz w:val="14"/>
              </w:rPr>
            </w:pPr>
          </w:p>
          <w:p>
            <w:pPr>
              <w:pStyle w:val="TableParagraph"/>
              <w:numPr>
                <w:ilvl w:val="0"/>
                <w:numId w:val="23"/>
              </w:numPr>
              <w:tabs>
                <w:tab w:pos="1585" w:val="left" w:leader="none"/>
                <w:tab w:pos="1586" w:val="left" w:leader="none"/>
              </w:tabs>
              <w:spacing w:line="240" w:lineRule="auto" w:before="1" w:after="0"/>
              <w:ind w:left="1585" w:right="0" w:hanging="420"/>
              <w:jc w:val="left"/>
              <w:rPr>
                <w:sz w:val="21"/>
              </w:rPr>
            </w:pPr>
            <w:r>
              <w:rPr>
                <w:spacing w:val="-3"/>
                <w:sz w:val="21"/>
              </w:rPr>
              <w:t>血液学异常：溶血性贫血、白细胞减少、或血小板减少；</w:t>
            </w:r>
          </w:p>
          <w:p>
            <w:pPr>
              <w:pStyle w:val="TableParagraph"/>
              <w:spacing w:before="10"/>
              <w:rPr>
                <w:sz w:val="14"/>
              </w:rPr>
            </w:pPr>
          </w:p>
          <w:p>
            <w:pPr>
              <w:pStyle w:val="TableParagraph"/>
              <w:numPr>
                <w:ilvl w:val="0"/>
                <w:numId w:val="23"/>
              </w:numPr>
              <w:tabs>
                <w:tab w:pos="1585" w:val="left" w:leader="none"/>
                <w:tab w:pos="1586" w:val="left" w:leader="none"/>
              </w:tabs>
              <w:spacing w:line="240" w:lineRule="auto" w:before="0" w:after="0"/>
              <w:ind w:left="1585" w:right="0" w:hanging="420"/>
              <w:jc w:val="left"/>
              <w:rPr>
                <w:sz w:val="21"/>
              </w:rPr>
            </w:pPr>
            <w:r>
              <w:rPr>
                <w:spacing w:val="-8"/>
                <w:sz w:val="21"/>
              </w:rPr>
              <w:t>抗核抗体阳性、抗 </w:t>
            </w:r>
            <w:r>
              <w:rPr>
                <w:sz w:val="21"/>
              </w:rPr>
              <w:t>dsDNA</w:t>
            </w:r>
            <w:r>
              <w:rPr>
                <w:spacing w:val="-18"/>
                <w:sz w:val="21"/>
              </w:rPr>
              <w:t> 阳性或抗 </w:t>
            </w:r>
            <w:r>
              <w:rPr>
                <w:sz w:val="21"/>
              </w:rPr>
              <w:t>Smith</w:t>
            </w:r>
            <w:r>
              <w:rPr>
                <w:spacing w:val="-11"/>
                <w:sz w:val="21"/>
              </w:rPr>
              <w:t> 抗体阳性。</w:t>
            </w:r>
          </w:p>
          <w:p>
            <w:pPr>
              <w:pStyle w:val="TableParagraph"/>
              <w:spacing w:before="9"/>
              <w:rPr>
                <w:sz w:val="14"/>
              </w:rPr>
            </w:pPr>
          </w:p>
          <w:p>
            <w:pPr>
              <w:pStyle w:val="TableParagraph"/>
              <w:spacing w:line="273" w:lineRule="auto"/>
              <w:ind w:left="745" w:right="299"/>
              <w:rPr>
                <w:sz w:val="21"/>
              </w:rPr>
            </w:pPr>
            <w:r>
              <w:rPr>
                <w:sz w:val="21"/>
              </w:rPr>
              <w:t>系统性红斑狼疮的诊断必须由本公司认可医院的风湿科或免疫系统专科医生确定。</w:t>
            </w:r>
          </w:p>
          <w:p>
            <w:pPr>
              <w:pStyle w:val="TableParagraph"/>
              <w:numPr>
                <w:ilvl w:val="0"/>
                <w:numId w:val="24"/>
              </w:numPr>
              <w:tabs>
                <w:tab w:pos="746" w:val="left" w:leader="none"/>
              </w:tabs>
              <w:spacing w:line="273" w:lineRule="auto" w:before="163" w:after="0"/>
              <w:ind w:left="745" w:right="299" w:hanging="421"/>
              <w:jc w:val="both"/>
              <w:rPr>
                <w:sz w:val="21"/>
              </w:rPr>
            </w:pPr>
            <w:r>
              <w:rPr>
                <w:spacing w:val="-3"/>
                <w:sz w:val="21"/>
              </w:rPr>
              <w:t>早期象皮病：指因丝虫感染导致淋巴管阻塞而造成身体组织出现严重淋巴水肿。此病症须经本公司认可医院的专科医生根据临床表现和微丝蚴的化验结果确诊。</w:t>
            </w:r>
          </w:p>
          <w:p>
            <w:pPr>
              <w:pStyle w:val="TableParagraph"/>
              <w:spacing w:before="163"/>
              <w:ind w:left="745"/>
              <w:rPr>
                <w:b/>
                <w:sz w:val="21"/>
              </w:rPr>
            </w:pPr>
            <w:r>
              <w:rPr>
                <w:b/>
                <w:sz w:val="21"/>
              </w:rPr>
              <w:t>急性淋巴管炎或其它原因引起的淋巴水肿并不在本合同保障范围內。</w:t>
            </w:r>
          </w:p>
          <w:p>
            <w:pPr>
              <w:pStyle w:val="TableParagraph"/>
              <w:spacing w:before="9"/>
              <w:rPr>
                <w:sz w:val="14"/>
              </w:rPr>
            </w:pPr>
          </w:p>
          <w:p>
            <w:pPr>
              <w:pStyle w:val="TableParagraph"/>
              <w:numPr>
                <w:ilvl w:val="0"/>
                <w:numId w:val="24"/>
              </w:numPr>
              <w:tabs>
                <w:tab w:pos="746" w:val="left" w:leader="none"/>
              </w:tabs>
              <w:spacing w:line="273" w:lineRule="auto" w:before="0" w:after="0"/>
              <w:ind w:left="745" w:right="299" w:hanging="421"/>
              <w:jc w:val="both"/>
              <w:rPr>
                <w:sz w:val="21"/>
              </w:rPr>
            </w:pPr>
            <w:r>
              <w:rPr>
                <w:spacing w:val="-3"/>
                <w:sz w:val="21"/>
              </w:rPr>
              <w:t>激光心肌血运重建术：指被保险人患有顽固性心绞痛，经持续最佳药物治疗后无改善，冠状动脉搭桥手术及经皮血管成形手术已失败或者被认为不适合。在本公司认可的医院内实际进行了开胸手术下或者胸腔镜下的激光心肌血运重建术。</w:t>
            </w:r>
          </w:p>
          <w:p>
            <w:pPr>
              <w:pStyle w:val="TableParagraph"/>
              <w:spacing w:line="273" w:lineRule="auto" w:before="163"/>
              <w:ind w:left="745" w:right="222"/>
              <w:rPr>
                <w:sz w:val="21"/>
              </w:rPr>
            </w:pPr>
            <w:r>
              <w:rPr>
                <w:spacing w:val="-3"/>
                <w:sz w:val="21"/>
              </w:rPr>
              <w:t>不典型的急性心肌梗塞、由心肌梗塞导致的冠状动脉介入手术</w:t>
            </w:r>
            <w:r>
              <w:rPr>
                <w:sz w:val="21"/>
              </w:rPr>
              <w:t>（</w:t>
            </w:r>
            <w:r>
              <w:rPr>
                <w:spacing w:val="-2"/>
                <w:sz w:val="21"/>
              </w:rPr>
              <w:t>非开胸手术</w:t>
            </w:r>
            <w:r>
              <w:rPr>
                <w:spacing w:val="-108"/>
                <w:sz w:val="21"/>
              </w:rPr>
              <w:t>）</w:t>
            </w:r>
            <w:r>
              <w:rPr>
                <w:spacing w:val="-6"/>
                <w:sz w:val="21"/>
              </w:rPr>
              <w:t>、激光心肌血运重建术、与微创冠状动脉搭桥术在本合同保障范围</w:t>
            </w:r>
            <w:r>
              <w:rPr>
                <w:spacing w:val="-3"/>
                <w:sz w:val="21"/>
              </w:rPr>
              <w:t>内</w:t>
            </w:r>
            <w:r>
              <w:rPr>
                <w:b/>
                <w:sz w:val="21"/>
              </w:rPr>
              <w:t>只能获赔偿一次</w:t>
            </w:r>
            <w:r>
              <w:rPr>
                <w:sz w:val="21"/>
              </w:rPr>
              <w:t>。</w:t>
            </w:r>
          </w:p>
          <w:p>
            <w:pPr>
              <w:pStyle w:val="TableParagraph"/>
              <w:numPr>
                <w:ilvl w:val="0"/>
                <w:numId w:val="24"/>
              </w:numPr>
              <w:tabs>
                <w:tab w:pos="746" w:val="left" w:leader="none"/>
              </w:tabs>
              <w:spacing w:line="273" w:lineRule="auto" w:before="163" w:after="0"/>
              <w:ind w:left="745" w:right="299" w:hanging="421"/>
              <w:jc w:val="both"/>
              <w:rPr>
                <w:sz w:val="21"/>
              </w:rPr>
            </w:pPr>
            <w:r>
              <w:rPr>
                <w:spacing w:val="-3"/>
                <w:sz w:val="21"/>
              </w:rPr>
              <w:t>因肾上腺皮质腺瘤切除肾上腺：因肾上腺皮质腺瘤所导致的醛固酮分泌过多而产生的继发性恶性高血压而实际接受了肾上腺切除术治疗。</w:t>
            </w:r>
          </w:p>
          <w:p>
            <w:pPr>
              <w:pStyle w:val="TableParagraph"/>
              <w:spacing w:line="273" w:lineRule="auto" w:before="163"/>
              <w:ind w:left="745" w:right="299"/>
              <w:rPr>
                <w:sz w:val="21"/>
              </w:rPr>
            </w:pPr>
            <w:r>
              <w:rPr>
                <w:sz w:val="21"/>
              </w:rPr>
              <w:t>诊断及治疗均须在本公司认可的医院内由专科医师认为是医疗必须的情况下进行。</w:t>
            </w:r>
          </w:p>
          <w:p>
            <w:pPr>
              <w:pStyle w:val="TableParagraph"/>
              <w:numPr>
                <w:ilvl w:val="0"/>
                <w:numId w:val="24"/>
              </w:numPr>
              <w:tabs>
                <w:tab w:pos="746" w:val="left" w:leader="none"/>
              </w:tabs>
              <w:spacing w:line="273" w:lineRule="auto" w:before="163" w:after="0"/>
              <w:ind w:left="745" w:right="299" w:hanging="421"/>
              <w:jc w:val="both"/>
              <w:rPr>
                <w:sz w:val="21"/>
              </w:rPr>
            </w:pPr>
            <w:r>
              <w:rPr>
                <w:spacing w:val="-3"/>
                <w:sz w:val="21"/>
              </w:rPr>
              <w:t>腔静脉过滤器植入：为了治疗主动脉疾病实际实施了经皮经导管进行的动脉内手术。主动脉指胸主动脉和腹主动脉，不包括胸主动脉和腹主动脉的分支血管。</w:t>
            </w:r>
          </w:p>
          <w:p>
            <w:pPr>
              <w:pStyle w:val="TableParagraph"/>
              <w:spacing w:line="273" w:lineRule="auto" w:before="163"/>
              <w:ind w:left="745" w:right="299"/>
              <w:rPr>
                <w:sz w:val="21"/>
              </w:rPr>
            </w:pPr>
            <w:r>
              <w:rPr>
                <w:sz w:val="21"/>
              </w:rPr>
              <w:t>诊断及治疗均须在本公司认可的医院内由专科医师认为是医疗必须的情况下进行。</w:t>
            </w:r>
          </w:p>
          <w:p>
            <w:pPr>
              <w:pStyle w:val="TableParagraph"/>
              <w:numPr>
                <w:ilvl w:val="0"/>
                <w:numId w:val="24"/>
              </w:numPr>
              <w:tabs>
                <w:tab w:pos="746" w:val="left" w:leader="none"/>
              </w:tabs>
              <w:spacing w:line="273" w:lineRule="auto" w:before="163" w:after="0"/>
              <w:ind w:left="745" w:right="299" w:hanging="421"/>
              <w:jc w:val="both"/>
              <w:rPr>
                <w:sz w:val="21"/>
              </w:rPr>
            </w:pPr>
            <w:r>
              <w:rPr>
                <w:spacing w:val="-3"/>
                <w:sz w:val="21"/>
              </w:rPr>
              <w:t>中度克隆病：克隆病是一种慢性肉芽肿性肠炎，具有特征性的克隆病病理组织学变化。诊断必须由本公司认可医院的专科注册医生经内窥镜及肠病理活检结果证实，同时经专科医生以类固醇或免疫抑制剂连续治疗</w:t>
            </w:r>
            <w:r>
              <w:rPr>
                <w:spacing w:val="-18"/>
                <w:sz w:val="21"/>
              </w:rPr>
              <w:t>至少 </w:t>
            </w:r>
            <w:r>
              <w:rPr>
                <w:sz w:val="21"/>
              </w:rPr>
              <w:t>180</w:t>
            </w:r>
            <w:r>
              <w:rPr>
                <w:spacing w:val="-9"/>
                <w:sz w:val="21"/>
              </w:rPr>
              <w:t> 天，方符合理赔条件。</w:t>
            </w:r>
          </w:p>
        </w:tc>
      </w:tr>
      <w:tr>
        <w:trPr>
          <w:trHeight w:val="2641" w:hRule="atLeast"/>
        </w:trPr>
        <w:tc>
          <w:tcPr>
            <w:tcW w:w="800" w:type="dxa"/>
          </w:tcPr>
          <w:p>
            <w:pPr>
              <w:pStyle w:val="TableParagraph"/>
              <w:spacing w:before="64"/>
              <w:ind w:left="200"/>
              <w:rPr>
                <w:b/>
                <w:sz w:val="21"/>
              </w:rPr>
            </w:pPr>
            <w:r>
              <w:rPr>
                <w:b/>
                <w:sz w:val="21"/>
              </w:rPr>
              <w:t>10.9</w:t>
            </w:r>
          </w:p>
        </w:tc>
        <w:tc>
          <w:tcPr>
            <w:tcW w:w="1346" w:type="dxa"/>
          </w:tcPr>
          <w:p>
            <w:pPr>
              <w:pStyle w:val="TableParagraph"/>
              <w:spacing w:before="64"/>
              <w:ind w:left="178"/>
              <w:rPr>
                <w:b/>
                <w:sz w:val="21"/>
              </w:rPr>
            </w:pPr>
            <w:r>
              <w:rPr>
                <w:b/>
                <w:sz w:val="21"/>
              </w:rPr>
              <w:t>重大疾病</w:t>
            </w:r>
          </w:p>
        </w:tc>
        <w:tc>
          <w:tcPr>
            <w:tcW w:w="7564" w:type="dxa"/>
          </w:tcPr>
          <w:p>
            <w:pPr>
              <w:pStyle w:val="TableParagraph"/>
              <w:spacing w:line="273" w:lineRule="auto" w:before="64"/>
              <w:ind w:left="324" w:right="196"/>
              <w:rPr>
                <w:sz w:val="21"/>
              </w:rPr>
            </w:pPr>
            <w:r>
              <w:rPr>
                <w:spacing w:val="-9"/>
                <w:sz w:val="21"/>
              </w:rPr>
              <w:t>本合同所列的 </w:t>
            </w:r>
            <w:r>
              <w:rPr>
                <w:sz w:val="21"/>
              </w:rPr>
              <w:t>100</w:t>
            </w:r>
            <w:r>
              <w:rPr>
                <w:spacing w:val="-14"/>
                <w:sz w:val="21"/>
              </w:rPr>
              <w:t> 种重大疾病，其中本款 </w:t>
            </w:r>
            <w:r>
              <w:rPr>
                <w:sz w:val="21"/>
              </w:rPr>
              <w:t>1</w:t>
            </w:r>
            <w:r>
              <w:rPr>
                <w:spacing w:val="-33"/>
                <w:sz w:val="21"/>
              </w:rPr>
              <w:t> 至 </w:t>
            </w:r>
            <w:r>
              <w:rPr>
                <w:sz w:val="21"/>
              </w:rPr>
              <w:t>25</w:t>
            </w:r>
            <w:r>
              <w:rPr>
                <w:spacing w:val="-8"/>
                <w:sz w:val="21"/>
              </w:rPr>
              <w:t> 项的重大疾病定义采用中国</w:t>
            </w:r>
            <w:r>
              <w:rPr>
                <w:spacing w:val="-3"/>
                <w:sz w:val="21"/>
              </w:rPr>
              <w:t>保险行业协会颁布的 《重大疾病保险的疾病定义使用规范》中的疾病定义。</w:t>
            </w:r>
          </w:p>
          <w:p>
            <w:pPr>
              <w:pStyle w:val="TableParagraph"/>
              <w:spacing w:before="7"/>
              <w:ind w:left="324"/>
              <w:rPr>
                <w:b/>
                <w:sz w:val="21"/>
              </w:rPr>
            </w:pPr>
            <w:r>
              <w:rPr>
                <w:b/>
                <w:sz w:val="21"/>
              </w:rPr>
              <w:t>“疾病”指约定的疾病、疾病状态或手术。</w:t>
            </w:r>
          </w:p>
          <w:p>
            <w:pPr>
              <w:pStyle w:val="TableParagraph"/>
              <w:spacing w:before="8"/>
              <w:rPr>
                <w:sz w:val="17"/>
              </w:rPr>
            </w:pPr>
          </w:p>
          <w:p>
            <w:pPr>
              <w:pStyle w:val="TableParagraph"/>
              <w:spacing w:line="340" w:lineRule="auto"/>
              <w:ind w:left="535" w:right="299" w:hanging="212"/>
              <w:jc w:val="both"/>
              <w:rPr>
                <w:sz w:val="21"/>
              </w:rPr>
            </w:pPr>
            <w:r>
              <w:rPr>
                <w:sz w:val="21"/>
              </w:rPr>
              <w:t>1.</w:t>
            </w:r>
            <w:r>
              <w:rPr>
                <w:spacing w:val="-3"/>
                <w:sz w:val="21"/>
              </w:rPr>
              <w:t> 恶性肿瘤：指恶性细胞不受控制的进行性增长和扩散，浸润和破坏周围正常组织，可以经血管、淋巴管和体腔扩散转移到身体其它部位的疾病。经病理学检查结果明确诊断，临床诊断属于世界卫生组织《疾病和有关健</w:t>
            </w:r>
          </w:p>
          <w:p>
            <w:pPr>
              <w:pStyle w:val="TableParagraph"/>
              <w:spacing w:line="255" w:lineRule="exact" w:before="28"/>
              <w:ind w:left="535"/>
              <w:rPr>
                <w:sz w:val="21"/>
              </w:rPr>
            </w:pPr>
            <w:r>
              <w:rPr>
                <w:sz w:val="21"/>
              </w:rPr>
              <w:t>康问题的国际统计分类》（ICD-10）的恶性肿瘤范畴。</w:t>
            </w:r>
          </w:p>
        </w:tc>
      </w:tr>
    </w:tbl>
    <w:p>
      <w:pPr>
        <w:spacing w:after="0" w:line="255" w:lineRule="exact"/>
        <w:rPr>
          <w:sz w:val="21"/>
        </w:rPr>
        <w:sectPr>
          <w:pgSz w:w="11910" w:h="16840"/>
          <w:pgMar w:header="0" w:footer="925" w:top="1160" w:bottom="1120" w:left="760" w:right="1200"/>
        </w:sectPr>
      </w:pPr>
    </w:p>
    <w:p>
      <w:pPr>
        <w:pStyle w:val="Heading1"/>
        <w:spacing w:before="20"/>
        <w:ind w:left="1879"/>
      </w:pPr>
      <w:r>
        <w:rPr/>
        <w:t>下列疾病不在本合同保障范围内：</w:t>
      </w:r>
    </w:p>
    <w:p>
      <w:pPr>
        <w:pStyle w:val="BodyText"/>
        <w:spacing w:before="10"/>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sz w:val="21"/>
        </w:rPr>
        <w:t>原位癌；</w:t>
      </w:r>
    </w:p>
    <w:p>
      <w:pPr>
        <w:pStyle w:val="BodyText"/>
        <w:spacing w:before="7"/>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sz w:val="21"/>
        </w:rPr>
        <w:t>相当于Binet分期方案A</w:t>
      </w:r>
      <w:r>
        <w:rPr>
          <w:b/>
          <w:spacing w:val="-3"/>
          <w:sz w:val="21"/>
        </w:rPr>
        <w:t>期程度的慢性淋巴细胞白血病；</w:t>
      </w:r>
    </w:p>
    <w:p>
      <w:pPr>
        <w:pStyle w:val="BodyText"/>
        <w:spacing w:before="10"/>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sz w:val="21"/>
        </w:rPr>
        <w:t>相当于Ann</w:t>
      </w:r>
      <w:r>
        <w:rPr>
          <w:b/>
          <w:spacing w:val="2"/>
          <w:sz w:val="21"/>
        </w:rPr>
        <w:t> </w:t>
      </w:r>
      <w:r>
        <w:rPr>
          <w:b/>
          <w:sz w:val="21"/>
        </w:rPr>
        <w:t>Arbor分期方案I期程度的何杰金氏病；</w:t>
      </w:r>
    </w:p>
    <w:p>
      <w:pPr>
        <w:pStyle w:val="BodyText"/>
        <w:spacing w:before="8"/>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BodyText"/>
        <w:spacing w:before="10"/>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BodyText"/>
        <w:spacing w:before="8"/>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spacing w:val="-3"/>
          <w:sz w:val="21"/>
        </w:rPr>
        <w:t>感染艾滋病病毒或患艾滋病期间所患恶性肿瘤。</w:t>
      </w:r>
    </w:p>
    <w:p>
      <w:pPr>
        <w:pStyle w:val="BodyText"/>
        <w:spacing w:before="10"/>
        <w:rPr>
          <w:b/>
          <w:sz w:val="20"/>
        </w:rPr>
      </w:pPr>
    </w:p>
    <w:p>
      <w:pPr>
        <w:pStyle w:val="ListParagraph"/>
        <w:numPr>
          <w:ilvl w:val="0"/>
          <w:numId w:val="26"/>
        </w:numPr>
        <w:tabs>
          <w:tab w:pos="2089" w:val="left" w:leader="none"/>
        </w:tabs>
        <w:spacing w:line="340" w:lineRule="auto" w:before="0" w:after="0"/>
        <w:ind w:left="1865" w:right="218" w:hanging="197"/>
        <w:jc w:val="both"/>
        <w:rPr>
          <w:sz w:val="21"/>
        </w:rPr>
      </w:pPr>
      <w:r>
        <w:rPr>
          <w:spacing w:val="-3"/>
          <w:sz w:val="21"/>
        </w:rPr>
        <w:t>急性心肌梗塞：指因冠状动脉阻塞导致的相应区域供血不足造成部分心肌坏死。须满足下列至少三项条件：</w:t>
      </w:r>
    </w:p>
    <w:p>
      <w:pPr>
        <w:pStyle w:val="BodyText"/>
        <w:rPr>
          <w:sz w:val="14"/>
        </w:rPr>
      </w:pPr>
    </w:p>
    <w:p>
      <w:pPr>
        <w:pStyle w:val="ListParagraph"/>
        <w:numPr>
          <w:ilvl w:val="1"/>
          <w:numId w:val="26"/>
        </w:numPr>
        <w:tabs>
          <w:tab w:pos="2963" w:val="left" w:leader="none"/>
        </w:tabs>
        <w:spacing w:line="240" w:lineRule="auto" w:before="1" w:after="0"/>
        <w:ind w:left="2962" w:right="0" w:hanging="393"/>
        <w:jc w:val="left"/>
        <w:rPr>
          <w:sz w:val="21"/>
        </w:rPr>
      </w:pPr>
      <w:r>
        <w:rPr>
          <w:spacing w:val="-3"/>
          <w:sz w:val="21"/>
        </w:rPr>
        <w:t>典型临床表现，例如急性胸痛等；</w:t>
      </w:r>
    </w:p>
    <w:p>
      <w:pPr>
        <w:pStyle w:val="BodyText"/>
        <w:spacing w:before="8"/>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新近的心电图改变提示急性心肌梗塞；</w:t>
      </w:r>
    </w:p>
    <w:p>
      <w:pPr>
        <w:pStyle w:val="BodyText"/>
        <w:spacing w:before="10"/>
        <w:rPr>
          <w:sz w:val="20"/>
        </w:rPr>
      </w:pPr>
    </w:p>
    <w:p>
      <w:pPr>
        <w:pStyle w:val="ListParagraph"/>
        <w:numPr>
          <w:ilvl w:val="1"/>
          <w:numId w:val="26"/>
        </w:numPr>
        <w:tabs>
          <w:tab w:pos="2963" w:val="left" w:leader="none"/>
        </w:tabs>
        <w:spacing w:line="338" w:lineRule="auto" w:before="0" w:after="0"/>
        <w:ind w:left="2962" w:right="184" w:hanging="393"/>
        <w:jc w:val="left"/>
        <w:rPr>
          <w:sz w:val="21"/>
        </w:rPr>
      </w:pPr>
      <w:r>
        <w:rPr>
          <w:spacing w:val="-3"/>
          <w:sz w:val="21"/>
        </w:rPr>
        <w:t>心肌酶或肌钙蛋白有诊断意义的升高，或呈符合急性心肌梗塞的动态性变化；</w:t>
      </w:r>
    </w:p>
    <w:p>
      <w:pPr>
        <w:pStyle w:val="BodyText"/>
        <w:spacing w:before="2"/>
        <w:rPr>
          <w:sz w:val="14"/>
        </w:rPr>
      </w:pPr>
    </w:p>
    <w:p>
      <w:pPr>
        <w:pStyle w:val="ListParagraph"/>
        <w:numPr>
          <w:ilvl w:val="1"/>
          <w:numId w:val="26"/>
        </w:numPr>
        <w:tabs>
          <w:tab w:pos="2963" w:val="left" w:leader="none"/>
        </w:tabs>
        <w:spacing w:line="338" w:lineRule="auto" w:before="1" w:after="0"/>
        <w:ind w:left="2962" w:right="184" w:hanging="393"/>
        <w:jc w:val="left"/>
        <w:rPr>
          <w:sz w:val="21"/>
        </w:rPr>
      </w:pPr>
      <w:r>
        <w:rPr>
          <w:sz w:val="21"/>
        </w:rPr>
        <w:t>发病90</w:t>
      </w:r>
      <w:r>
        <w:rPr>
          <w:spacing w:val="-3"/>
          <w:sz w:val="21"/>
        </w:rPr>
        <w:t>天后，经检查证实左心室功能降低，如左心室射血分数</w:t>
      </w:r>
      <w:r>
        <w:rPr>
          <w:spacing w:val="-1"/>
          <w:sz w:val="21"/>
        </w:rPr>
        <w:t>低于50%。</w:t>
      </w:r>
    </w:p>
    <w:p>
      <w:pPr>
        <w:pStyle w:val="BodyText"/>
        <w:spacing w:before="3"/>
        <w:rPr>
          <w:sz w:val="14"/>
        </w:rPr>
      </w:pPr>
    </w:p>
    <w:p>
      <w:pPr>
        <w:pStyle w:val="ListParagraph"/>
        <w:numPr>
          <w:ilvl w:val="0"/>
          <w:numId w:val="26"/>
        </w:numPr>
        <w:tabs>
          <w:tab w:pos="2089" w:val="left" w:leader="none"/>
        </w:tabs>
        <w:spacing w:line="340" w:lineRule="auto" w:before="0" w:after="0"/>
        <w:ind w:left="1865" w:right="148" w:hanging="197"/>
        <w:jc w:val="both"/>
        <w:rPr>
          <w:sz w:val="21"/>
        </w:rPr>
      </w:pPr>
      <w:r>
        <w:rPr>
          <w:sz w:val="21"/>
        </w:rPr>
        <w:t>脑中风后遗症：指因脑血管的突发病变引起脑血管出血、栓塞或梗塞， 并导致神经系统永久性的功能障碍。神经系统永久性的功能障碍，指疾病</w:t>
      </w:r>
      <w:r>
        <w:rPr>
          <w:spacing w:val="-1"/>
          <w:sz w:val="21"/>
        </w:rPr>
        <w:t>确诊180</w:t>
      </w:r>
      <w:r>
        <w:rPr>
          <w:spacing w:val="-3"/>
          <w:sz w:val="21"/>
        </w:rPr>
        <w:t>天后，仍遗留下列一种或一种以上障碍：</w:t>
      </w:r>
    </w:p>
    <w:p>
      <w:pPr>
        <w:pStyle w:val="BodyText"/>
        <w:spacing w:before="11"/>
        <w:rPr>
          <w:sz w:val="13"/>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见10</w:t>
      </w:r>
      <w:r>
        <w:rPr>
          <w:spacing w:val="-3"/>
          <w:w w:val="100"/>
          <w:sz w:val="21"/>
        </w:rPr>
        <w:t>.</w:t>
      </w:r>
      <w:r>
        <w:rPr>
          <w:w w:val="100"/>
          <w:sz w:val="21"/>
        </w:rPr>
        <w:t>25</w:t>
      </w:r>
      <w:r>
        <w:rPr>
          <w:spacing w:val="-108"/>
          <w:w w:val="100"/>
          <w:sz w:val="21"/>
        </w:rPr>
        <w:t>）；</w:t>
      </w:r>
    </w:p>
    <w:p>
      <w:pPr>
        <w:pStyle w:val="BodyText"/>
        <w:spacing w:before="10"/>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b/>
          <w:spacing w:val="-2"/>
          <w:w w:val="100"/>
          <w:sz w:val="21"/>
        </w:rPr>
        <w:t>语言能力或咀嚼吞咽能力完全丧失</w:t>
      </w:r>
      <w:r>
        <w:rPr>
          <w:spacing w:val="-3"/>
          <w:w w:val="100"/>
          <w:sz w:val="21"/>
        </w:rPr>
        <w:t>（</w:t>
      </w:r>
      <w:r>
        <w:rPr>
          <w:w w:val="100"/>
          <w:sz w:val="21"/>
        </w:rPr>
        <w:t>见10</w:t>
      </w:r>
      <w:r>
        <w:rPr>
          <w:spacing w:val="-3"/>
          <w:w w:val="100"/>
          <w:sz w:val="21"/>
        </w:rPr>
        <w:t>.</w:t>
      </w:r>
      <w:r>
        <w:rPr>
          <w:w w:val="100"/>
          <w:sz w:val="21"/>
        </w:rPr>
        <w:t>26</w:t>
      </w:r>
      <w:r>
        <w:rPr>
          <w:spacing w:val="-108"/>
          <w:w w:val="100"/>
          <w:sz w:val="21"/>
        </w:rPr>
        <w:t>）；</w:t>
      </w:r>
    </w:p>
    <w:p>
      <w:pPr>
        <w:pStyle w:val="BodyText"/>
        <w:spacing w:before="8"/>
        <w:rPr>
          <w:sz w:val="20"/>
        </w:rPr>
      </w:pPr>
    </w:p>
    <w:p>
      <w:pPr>
        <w:pStyle w:val="ListParagraph"/>
        <w:numPr>
          <w:ilvl w:val="1"/>
          <w:numId w:val="26"/>
        </w:numPr>
        <w:tabs>
          <w:tab w:pos="2963" w:val="left" w:leader="none"/>
        </w:tabs>
        <w:spacing w:line="340" w:lineRule="auto" w:before="0" w:after="0"/>
        <w:ind w:left="2962" w:right="184" w:hanging="393"/>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ListParagraph"/>
        <w:numPr>
          <w:ilvl w:val="0"/>
          <w:numId w:val="26"/>
        </w:numPr>
        <w:tabs>
          <w:tab w:pos="2089" w:val="left" w:leader="none"/>
        </w:tabs>
        <w:spacing w:line="340" w:lineRule="auto" w:before="0" w:after="0"/>
        <w:ind w:left="1865" w:right="218" w:hanging="197"/>
        <w:jc w:val="both"/>
        <w:rPr>
          <w:sz w:val="21"/>
        </w:rPr>
      </w:pPr>
      <w:r>
        <w:rPr>
          <w:spacing w:val="-3"/>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w:t>
      </w:r>
      <w:r>
        <w:rPr>
          <w:sz w:val="21"/>
        </w:rPr>
        <w:t>）</w:t>
      </w:r>
      <w:r>
        <w:rPr>
          <w:spacing w:val="-2"/>
          <w:sz w:val="21"/>
        </w:rPr>
        <w:t>的异</w:t>
      </w:r>
      <w:r>
        <w:rPr>
          <w:spacing w:val="-3"/>
          <w:sz w:val="21"/>
        </w:rPr>
        <w:t>体移植手术。</w:t>
      </w:r>
    </w:p>
    <w:p>
      <w:pPr>
        <w:pStyle w:val="BodyText"/>
        <w:rPr>
          <w:sz w:val="14"/>
        </w:rPr>
      </w:pPr>
    </w:p>
    <w:p>
      <w:pPr>
        <w:pStyle w:val="ListParagraph"/>
        <w:numPr>
          <w:ilvl w:val="0"/>
          <w:numId w:val="26"/>
        </w:numPr>
        <w:tabs>
          <w:tab w:pos="2089" w:val="left" w:leader="none"/>
        </w:tabs>
        <w:spacing w:line="338" w:lineRule="auto" w:before="0" w:after="0"/>
        <w:ind w:left="1865" w:right="115" w:hanging="197"/>
        <w:jc w:val="both"/>
        <w:rPr>
          <w:sz w:val="21"/>
        </w:rPr>
      </w:pPr>
      <w:r>
        <w:rPr>
          <w:spacing w:val="-3"/>
          <w:w w:val="100"/>
          <w:sz w:val="21"/>
        </w:rPr>
        <w:t>冠状动脉搭桥术</w:t>
      </w:r>
      <w:r>
        <w:rPr>
          <w:w w:val="100"/>
          <w:sz w:val="21"/>
        </w:rPr>
        <w:t>（</w:t>
      </w:r>
      <w:r>
        <w:rPr>
          <w:spacing w:val="-3"/>
          <w:w w:val="100"/>
          <w:sz w:val="21"/>
        </w:rPr>
        <w:t>或称冠状动脉旁路移植术</w:t>
      </w:r>
      <w:r>
        <w:rPr>
          <w:spacing w:val="-108"/>
          <w:w w:val="100"/>
          <w:sz w:val="21"/>
        </w:rPr>
        <w:t>）</w:t>
      </w:r>
      <w:r>
        <w:rPr>
          <w:spacing w:val="-3"/>
          <w:w w:val="100"/>
          <w:sz w:val="21"/>
        </w:rPr>
        <w:t>：指为治疗严重的冠心病，</w:t>
      </w:r>
      <w:r>
        <w:rPr>
          <w:spacing w:val="-3"/>
          <w:sz w:val="21"/>
        </w:rPr>
        <w:t>实际实施了开胸进行的冠状动脉血管旁路移植的手术。</w:t>
      </w:r>
    </w:p>
    <w:p>
      <w:pPr>
        <w:spacing w:after="0" w:line="338" w:lineRule="auto"/>
        <w:jc w:val="both"/>
        <w:rPr>
          <w:sz w:val="21"/>
        </w:rPr>
        <w:sectPr>
          <w:pgSz w:w="11910" w:h="16840"/>
          <w:pgMar w:header="0" w:footer="925" w:top="1120" w:bottom="1120" w:left="1680" w:right="1400"/>
        </w:sectPr>
      </w:pPr>
    </w:p>
    <w:p>
      <w:pPr>
        <w:pStyle w:val="Heading1"/>
        <w:spacing w:line="340" w:lineRule="auto" w:before="20"/>
        <w:ind w:left="1865" w:right="172"/>
      </w:pPr>
      <w:r>
        <w:rPr/>
        <w:t>冠状动脉支架植入术、心导管球囊扩张术、激光射频技术及其它非开胸的介入手术、腔镜手术不在本合同保障范围内。</w:t>
      </w:r>
    </w:p>
    <w:p>
      <w:pPr>
        <w:pStyle w:val="BodyText"/>
        <w:spacing w:before="11"/>
        <w:rPr>
          <w:b/>
          <w:sz w:val="13"/>
        </w:rPr>
      </w:pPr>
    </w:p>
    <w:p>
      <w:pPr>
        <w:pStyle w:val="ListParagraph"/>
        <w:numPr>
          <w:ilvl w:val="0"/>
          <w:numId w:val="26"/>
        </w:numPr>
        <w:tabs>
          <w:tab w:pos="2088" w:val="left" w:leader="none"/>
          <w:tab w:pos="2089" w:val="left" w:leader="none"/>
        </w:tabs>
        <w:spacing w:line="340" w:lineRule="auto" w:before="0" w:after="0"/>
        <w:ind w:left="1865" w:right="101" w:hanging="197"/>
        <w:jc w:val="left"/>
        <w:rPr>
          <w:sz w:val="21"/>
        </w:rPr>
      </w:pPr>
      <w:r>
        <w:rPr>
          <w:spacing w:val="-4"/>
          <w:w w:val="100"/>
          <w:sz w:val="21"/>
        </w:rPr>
        <w:t>终末期肾病</w:t>
      </w:r>
      <w:r>
        <w:rPr>
          <w:spacing w:val="-3"/>
          <w:w w:val="100"/>
          <w:sz w:val="21"/>
        </w:rPr>
        <w:t>（或称慢性肾功能衰竭尿毒症期</w:t>
      </w:r>
      <w:r>
        <w:rPr>
          <w:spacing w:val="-108"/>
          <w:w w:val="100"/>
          <w:sz w:val="21"/>
        </w:rPr>
        <w:t>）</w:t>
      </w:r>
      <w:r>
        <w:rPr>
          <w:spacing w:val="-5"/>
          <w:w w:val="100"/>
          <w:sz w:val="21"/>
        </w:rPr>
        <w:t>：指双肾功能慢性不可逆性</w:t>
      </w:r>
      <w:r>
        <w:rPr>
          <w:spacing w:val="-4"/>
          <w:sz w:val="21"/>
        </w:rPr>
        <w:t>衰竭，达到尿毒症期，经诊断后已经进行了至少</w:t>
      </w:r>
      <w:r>
        <w:rPr>
          <w:sz w:val="21"/>
        </w:rPr>
        <w:t>90</w:t>
      </w:r>
      <w:r>
        <w:rPr>
          <w:spacing w:val="-3"/>
          <w:sz w:val="21"/>
        </w:rPr>
        <w:t>天的规律性透析治疗或实施了肾脏移植手术。</w:t>
      </w:r>
    </w:p>
    <w:p>
      <w:pPr>
        <w:pStyle w:val="BodyText"/>
        <w:rPr>
          <w:sz w:val="14"/>
        </w:rPr>
      </w:pPr>
    </w:p>
    <w:p>
      <w:pPr>
        <w:pStyle w:val="ListParagraph"/>
        <w:numPr>
          <w:ilvl w:val="0"/>
          <w:numId w:val="26"/>
        </w:numPr>
        <w:tabs>
          <w:tab w:pos="2089" w:val="left" w:leader="none"/>
        </w:tabs>
        <w:spacing w:line="338" w:lineRule="auto" w:before="0" w:after="0"/>
        <w:ind w:left="1865" w:right="103" w:hanging="197"/>
        <w:jc w:val="both"/>
        <w:rPr>
          <w:sz w:val="21"/>
        </w:rPr>
      </w:pPr>
      <w:r>
        <w:rPr>
          <w:spacing w:val="1"/>
          <w:sz w:val="21"/>
        </w:rPr>
        <w:t>多个肢体缺失:指因疾病或意外伤害导致两个或两个以上肢体自腕关节</w:t>
      </w:r>
      <w:r>
        <w:rPr>
          <w:spacing w:val="-1"/>
          <w:sz w:val="21"/>
        </w:rPr>
        <w:t>或踝关节近端</w:t>
      </w:r>
      <w:r>
        <w:rPr>
          <w:spacing w:val="-3"/>
          <w:sz w:val="21"/>
        </w:rPr>
        <w:t>（靠近躯干端</w:t>
      </w:r>
      <w:r>
        <w:rPr>
          <w:sz w:val="21"/>
        </w:rPr>
        <w:t>）</w:t>
      </w:r>
      <w:r>
        <w:rPr>
          <w:spacing w:val="-3"/>
          <w:sz w:val="21"/>
        </w:rPr>
        <w:t>以上完全性断离。</w:t>
      </w:r>
    </w:p>
    <w:p>
      <w:pPr>
        <w:pStyle w:val="BodyText"/>
        <w:spacing w:before="2"/>
        <w:rPr>
          <w:sz w:val="14"/>
        </w:rPr>
      </w:pPr>
    </w:p>
    <w:p>
      <w:pPr>
        <w:pStyle w:val="ListParagraph"/>
        <w:numPr>
          <w:ilvl w:val="0"/>
          <w:numId w:val="26"/>
        </w:numPr>
        <w:tabs>
          <w:tab w:pos="2089" w:val="left" w:leader="none"/>
        </w:tabs>
        <w:spacing w:line="340" w:lineRule="auto" w:before="1" w:after="0"/>
        <w:ind w:left="1865" w:right="108" w:hanging="197"/>
        <w:jc w:val="both"/>
        <w:rPr>
          <w:sz w:val="21"/>
        </w:rPr>
      </w:pPr>
      <w:r>
        <w:rPr>
          <w:sz w:val="21"/>
        </w:rPr>
        <w:t>急性或亚急性重症肝炎：指因肝炎病毒感染引起肝脏组织弥漫性坏死， 导致急性肝功能衰竭，且经血清学或病毒学检查证实，并须满足下列全部条件：</w:t>
      </w:r>
    </w:p>
    <w:p>
      <w:pPr>
        <w:pStyle w:val="BodyText"/>
        <w:spacing w:before="12"/>
        <w:rPr>
          <w:sz w:val="13"/>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重度黄疸或黄疸迅速加重；</w:t>
      </w:r>
    </w:p>
    <w:p>
      <w:pPr>
        <w:pStyle w:val="BodyText"/>
        <w:spacing w:before="10"/>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pacing w:val="-1"/>
          <w:sz w:val="21"/>
        </w:rPr>
        <w:t>肝性脑病；</w:t>
      </w:r>
    </w:p>
    <w:p>
      <w:pPr>
        <w:pStyle w:val="BodyText"/>
        <w:spacing w:before="8"/>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z w:val="21"/>
        </w:rPr>
        <w:t>B</w:t>
      </w:r>
      <w:r>
        <w:rPr>
          <w:spacing w:val="-3"/>
          <w:sz w:val="21"/>
        </w:rPr>
        <w:t>超或其它影像学检查显示肝脏体积急速萎缩；</w:t>
      </w:r>
    </w:p>
    <w:p>
      <w:pPr>
        <w:pStyle w:val="BodyText"/>
        <w:spacing w:before="10"/>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肝功能指标进行性恶化。</w:t>
      </w:r>
    </w:p>
    <w:p>
      <w:pPr>
        <w:pStyle w:val="BodyText"/>
        <w:spacing w:before="7"/>
        <w:rPr>
          <w:sz w:val="20"/>
        </w:rPr>
      </w:pPr>
    </w:p>
    <w:p>
      <w:pPr>
        <w:pStyle w:val="ListParagraph"/>
        <w:numPr>
          <w:ilvl w:val="0"/>
          <w:numId w:val="26"/>
        </w:numPr>
        <w:tabs>
          <w:tab w:pos="2089" w:val="left" w:leader="none"/>
        </w:tabs>
        <w:spacing w:line="340" w:lineRule="auto" w:before="0" w:after="0"/>
        <w:ind w:left="1865" w:right="108" w:hanging="197"/>
        <w:jc w:val="both"/>
        <w:rPr>
          <w:sz w:val="21"/>
        </w:rPr>
      </w:pPr>
      <w:r>
        <w:rPr>
          <w:sz w:val="21"/>
        </w:rPr>
        <w:t>良性脑肿瘤：指脑的良性肿瘤，已经引起颅内压增高，临床表现为视神经乳头水肿、精神症状、癫痫及运动感觉障碍等，并危及生命。须由头颅</w:t>
      </w:r>
      <w:r>
        <w:rPr>
          <w:spacing w:val="-2"/>
          <w:w w:val="100"/>
          <w:sz w:val="21"/>
        </w:rPr>
        <w:t>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I）或正电子发射断层扫描（</w:t>
      </w:r>
      <w:r>
        <w:rPr>
          <w:w w:val="100"/>
          <w:sz w:val="21"/>
        </w:rPr>
        <w:t>PE</w:t>
      </w:r>
      <w:r>
        <w:rPr>
          <w:spacing w:val="-3"/>
          <w:w w:val="100"/>
          <w:sz w:val="21"/>
        </w:rPr>
        <w:t>T）等影</w:t>
      </w:r>
      <w:r>
        <w:rPr>
          <w:spacing w:val="-3"/>
          <w:sz w:val="21"/>
        </w:rPr>
        <w:t>像学检查证实，并须满足下列至少一项条件：</w:t>
      </w:r>
    </w:p>
    <w:p>
      <w:pPr>
        <w:pStyle w:val="BodyText"/>
        <w:spacing w:before="11"/>
        <w:rPr>
          <w:sz w:val="13"/>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实际实施了开颅进行的脑肿瘤完全切除或部分切除的手术；</w:t>
      </w:r>
    </w:p>
    <w:p>
      <w:pPr>
        <w:pStyle w:val="BodyText"/>
        <w:spacing w:before="10"/>
        <w:rPr>
          <w:sz w:val="20"/>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实际实施了对脑肿瘤进行的放射治疗。</w:t>
      </w:r>
    </w:p>
    <w:p>
      <w:pPr>
        <w:pStyle w:val="BodyText"/>
        <w:spacing w:before="8"/>
        <w:rPr>
          <w:sz w:val="20"/>
        </w:rPr>
      </w:pPr>
    </w:p>
    <w:p>
      <w:pPr>
        <w:pStyle w:val="Heading1"/>
        <w:ind w:left="2141"/>
      </w:pPr>
      <w:r>
        <w:rPr/>
        <w:t>脑垂体瘤、脑囊肿、脑血管性疾病不在本合同保障范围内。</w:t>
      </w:r>
    </w:p>
    <w:p>
      <w:pPr>
        <w:pStyle w:val="BodyText"/>
        <w:spacing w:before="10"/>
        <w:rPr>
          <w:b/>
          <w:sz w:val="20"/>
        </w:rPr>
      </w:pPr>
    </w:p>
    <w:p>
      <w:pPr>
        <w:pStyle w:val="ListParagraph"/>
        <w:numPr>
          <w:ilvl w:val="0"/>
          <w:numId w:val="26"/>
        </w:numPr>
        <w:tabs>
          <w:tab w:pos="2089" w:val="left" w:leader="none"/>
        </w:tabs>
        <w:spacing w:line="338" w:lineRule="auto" w:before="0" w:after="0"/>
        <w:ind w:left="2089" w:right="101" w:hanging="421"/>
        <w:jc w:val="left"/>
        <w:rPr>
          <w:sz w:val="21"/>
        </w:rPr>
      </w:pPr>
      <w:r>
        <w:rPr>
          <w:sz w:val="21"/>
        </w:rPr>
        <w:t>慢性肝功能衰竭失代偿期：指因慢性肝脏疾病导致肝功能衰竭。须满足</w:t>
      </w:r>
      <w:r>
        <w:rPr>
          <w:spacing w:val="-3"/>
          <w:sz w:val="21"/>
        </w:rPr>
        <w:t>下列全部条件：</w:t>
      </w:r>
    </w:p>
    <w:p>
      <w:pPr>
        <w:pStyle w:val="BodyText"/>
        <w:spacing w:before="2"/>
        <w:rPr>
          <w:sz w:val="14"/>
        </w:rPr>
      </w:pPr>
    </w:p>
    <w:p>
      <w:pPr>
        <w:pStyle w:val="ListParagraph"/>
        <w:numPr>
          <w:ilvl w:val="1"/>
          <w:numId w:val="26"/>
        </w:numPr>
        <w:tabs>
          <w:tab w:pos="2963" w:val="left" w:leader="none"/>
        </w:tabs>
        <w:spacing w:line="240" w:lineRule="auto" w:before="0" w:after="0"/>
        <w:ind w:left="2091" w:right="0" w:firstLine="478"/>
        <w:jc w:val="left"/>
        <w:rPr>
          <w:sz w:val="21"/>
        </w:rPr>
      </w:pPr>
      <w:r>
        <w:rPr>
          <w:spacing w:val="-2"/>
          <w:sz w:val="21"/>
        </w:rPr>
        <w:t>持续性黄疸；</w:t>
      </w:r>
    </w:p>
    <w:p>
      <w:pPr>
        <w:pStyle w:val="BodyText"/>
        <w:spacing w:before="7"/>
        <w:rPr>
          <w:sz w:val="20"/>
        </w:rPr>
      </w:pPr>
    </w:p>
    <w:p>
      <w:pPr>
        <w:pStyle w:val="ListParagraph"/>
        <w:numPr>
          <w:ilvl w:val="1"/>
          <w:numId w:val="26"/>
        </w:numPr>
        <w:tabs>
          <w:tab w:pos="2963" w:val="left" w:leader="none"/>
        </w:tabs>
        <w:spacing w:line="240" w:lineRule="auto" w:before="1" w:after="0"/>
        <w:ind w:left="2091" w:right="0" w:firstLine="478"/>
        <w:jc w:val="left"/>
        <w:rPr>
          <w:sz w:val="21"/>
        </w:rPr>
      </w:pPr>
      <w:r>
        <w:rPr>
          <w:sz w:val="21"/>
        </w:rPr>
        <w:t>腹水；</w:t>
      </w:r>
    </w:p>
    <w:p>
      <w:pPr>
        <w:pStyle w:val="BodyText"/>
        <w:spacing w:before="11"/>
        <w:rPr>
          <w:sz w:val="20"/>
        </w:rPr>
      </w:pPr>
    </w:p>
    <w:p>
      <w:pPr>
        <w:pStyle w:val="ListParagraph"/>
        <w:numPr>
          <w:ilvl w:val="1"/>
          <w:numId w:val="26"/>
        </w:numPr>
        <w:tabs>
          <w:tab w:pos="2963" w:val="left" w:leader="none"/>
        </w:tabs>
        <w:spacing w:line="240" w:lineRule="auto" w:before="0" w:after="0"/>
        <w:ind w:left="2091" w:right="0" w:firstLine="478"/>
        <w:jc w:val="left"/>
        <w:rPr>
          <w:sz w:val="21"/>
        </w:rPr>
      </w:pPr>
      <w:r>
        <w:rPr>
          <w:spacing w:val="-1"/>
          <w:sz w:val="21"/>
        </w:rPr>
        <w:t>肝性脑病；</w:t>
      </w:r>
    </w:p>
    <w:p>
      <w:pPr>
        <w:pStyle w:val="BodyText"/>
        <w:spacing w:before="7"/>
        <w:rPr>
          <w:sz w:val="20"/>
        </w:rPr>
      </w:pPr>
    </w:p>
    <w:p>
      <w:pPr>
        <w:pStyle w:val="ListParagraph"/>
        <w:numPr>
          <w:ilvl w:val="1"/>
          <w:numId w:val="26"/>
        </w:numPr>
        <w:tabs>
          <w:tab w:pos="2963" w:val="left" w:leader="none"/>
        </w:tabs>
        <w:spacing w:line="477" w:lineRule="auto" w:before="1" w:after="0"/>
        <w:ind w:left="2091" w:right="999" w:firstLine="478"/>
        <w:jc w:val="left"/>
        <w:rPr>
          <w:b/>
          <w:sz w:val="21"/>
        </w:rPr>
      </w:pPr>
      <w:r>
        <w:rPr>
          <w:spacing w:val="-3"/>
          <w:sz w:val="21"/>
        </w:rPr>
        <w:t>充血性脾肿大伴脾功能亢进或食管胃底静脉曲张。 </w:t>
      </w:r>
      <w:r>
        <w:rPr>
          <w:b/>
          <w:spacing w:val="-3"/>
          <w:sz w:val="21"/>
        </w:rPr>
        <w:t>因酗酒或药物滥用导致的肝功能衰竭不在本合同保障范围内。</w:t>
      </w:r>
    </w:p>
    <w:p>
      <w:pPr>
        <w:pStyle w:val="ListParagraph"/>
        <w:numPr>
          <w:ilvl w:val="0"/>
          <w:numId w:val="26"/>
        </w:numPr>
        <w:tabs>
          <w:tab w:pos="2089" w:val="left" w:leader="none"/>
        </w:tabs>
        <w:spacing w:line="240" w:lineRule="auto" w:before="62" w:after="0"/>
        <w:ind w:left="1865" w:right="0" w:hanging="197"/>
        <w:jc w:val="left"/>
        <w:rPr>
          <w:sz w:val="21"/>
        </w:rPr>
      </w:pPr>
      <w:r>
        <w:rPr>
          <w:sz w:val="21"/>
        </w:rPr>
        <w:t>脑炎后遗症或脑膜炎后遗症：指因患脑炎或脑膜炎导致的神经系统永久</w:t>
      </w:r>
    </w:p>
    <w:p>
      <w:pPr>
        <w:spacing w:after="0" w:line="240" w:lineRule="auto"/>
        <w:jc w:val="left"/>
        <w:rPr>
          <w:sz w:val="21"/>
        </w:rPr>
        <w:sectPr>
          <w:pgSz w:w="11910" w:h="16840"/>
          <w:pgMar w:header="0" w:footer="925" w:top="1120" w:bottom="1200" w:left="1680" w:right="1440"/>
        </w:sectPr>
      </w:pPr>
    </w:p>
    <w:p>
      <w:pPr>
        <w:pStyle w:val="BodyText"/>
        <w:spacing w:line="340" w:lineRule="auto" w:before="20"/>
        <w:ind w:left="2088" w:right="175"/>
      </w:pPr>
      <w:r>
        <w:rPr/>
        <w:t>性的功能障碍。神经系统永久性的功能障碍，指疾病确诊180天后，仍遗留下列一种或一种以上障碍：</w:t>
      </w:r>
    </w:p>
    <w:p>
      <w:pPr>
        <w:pStyle w:val="BodyText"/>
        <w:spacing w:before="11"/>
        <w:rPr>
          <w:sz w:val="13"/>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一肢或一肢以上肢体机能完全丧失；</w:t>
      </w:r>
    </w:p>
    <w:p>
      <w:pPr>
        <w:pStyle w:val="BodyText"/>
        <w:spacing w:before="9"/>
        <w:rPr>
          <w:sz w:val="20"/>
        </w:rPr>
      </w:pPr>
    </w:p>
    <w:p>
      <w:pPr>
        <w:pStyle w:val="ListParagraph"/>
        <w:numPr>
          <w:ilvl w:val="1"/>
          <w:numId w:val="26"/>
        </w:numPr>
        <w:tabs>
          <w:tab w:pos="2929" w:val="left" w:leader="none"/>
        </w:tabs>
        <w:spacing w:line="240" w:lineRule="auto" w:before="1" w:after="0"/>
        <w:ind w:left="2929" w:right="0" w:hanging="360"/>
        <w:jc w:val="left"/>
        <w:rPr>
          <w:sz w:val="21"/>
        </w:rPr>
      </w:pPr>
      <w:r>
        <w:rPr>
          <w:spacing w:val="-3"/>
          <w:sz w:val="21"/>
        </w:rPr>
        <w:t>语言能力或咀嚼吞咽能力完全丧失；</w:t>
      </w:r>
    </w:p>
    <w:p>
      <w:pPr>
        <w:pStyle w:val="BodyText"/>
        <w:spacing w:before="8"/>
        <w:rPr>
          <w:sz w:val="20"/>
        </w:rPr>
      </w:pPr>
    </w:p>
    <w:p>
      <w:pPr>
        <w:pStyle w:val="ListParagraph"/>
        <w:numPr>
          <w:ilvl w:val="1"/>
          <w:numId w:val="26"/>
        </w:numPr>
        <w:tabs>
          <w:tab w:pos="2929" w:val="left" w:leader="none"/>
        </w:tabs>
        <w:spacing w:line="340" w:lineRule="auto" w:before="0" w:after="0"/>
        <w:ind w:left="2929" w:right="298" w:hanging="360"/>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ListParagraph"/>
        <w:numPr>
          <w:ilvl w:val="0"/>
          <w:numId w:val="26"/>
        </w:numPr>
        <w:tabs>
          <w:tab w:pos="2089" w:val="left" w:leader="none"/>
        </w:tabs>
        <w:spacing w:line="340" w:lineRule="auto" w:before="0" w:after="0"/>
        <w:ind w:left="2089" w:right="221" w:hanging="421"/>
        <w:jc w:val="both"/>
        <w:rPr>
          <w:sz w:val="21"/>
        </w:rPr>
      </w:pPr>
      <w:r>
        <w:rPr>
          <w:spacing w:val="-6"/>
          <w:sz w:val="21"/>
        </w:rPr>
        <w:t>深度昏迷：指因疾病或意外伤害导致意识丧失,对外界刺激和体内需求均</w:t>
      </w:r>
      <w:r>
        <w:rPr>
          <w:spacing w:val="-4"/>
          <w:sz w:val="21"/>
        </w:rPr>
        <w:t>无反应,昏迷程度按照格拉斯哥昏迷分级</w:t>
      </w:r>
      <w:r>
        <w:rPr>
          <w:sz w:val="21"/>
        </w:rPr>
        <w:t>（Glasgow</w:t>
      </w:r>
      <w:r>
        <w:rPr>
          <w:spacing w:val="-4"/>
          <w:sz w:val="21"/>
        </w:rPr>
        <w:t> </w:t>
      </w:r>
      <w:r>
        <w:rPr>
          <w:sz w:val="21"/>
        </w:rPr>
        <w:t>coma</w:t>
      </w:r>
      <w:r>
        <w:rPr>
          <w:spacing w:val="-4"/>
          <w:sz w:val="21"/>
        </w:rPr>
        <w:t> </w:t>
      </w:r>
      <w:r>
        <w:rPr>
          <w:sz w:val="21"/>
        </w:rPr>
        <w:t>scale）</w:t>
      </w:r>
      <w:r>
        <w:rPr>
          <w:spacing w:val="-2"/>
          <w:sz w:val="21"/>
        </w:rPr>
        <w:t>结果为</w:t>
      </w:r>
    </w:p>
    <w:p>
      <w:pPr>
        <w:spacing w:line="477" w:lineRule="auto" w:before="25"/>
        <w:ind w:left="2091" w:right="86" w:hanging="3"/>
        <w:jc w:val="left"/>
        <w:rPr>
          <w:b/>
          <w:sz w:val="21"/>
        </w:rPr>
      </w:pPr>
      <w:r>
        <w:rPr>
          <w:sz w:val="21"/>
        </w:rPr>
        <w:t>5分或5分以下，且已经持续使用呼吸机及其它生命维持系统96小时以上。</w:t>
      </w:r>
      <w:r>
        <w:rPr>
          <w:b/>
          <w:sz w:val="21"/>
        </w:rPr>
        <w:t>因酗酒或药物滥用导致的深度昏迷不在本合同保障范围内。</w:t>
      </w:r>
    </w:p>
    <w:p>
      <w:pPr>
        <w:pStyle w:val="ListParagraph"/>
        <w:numPr>
          <w:ilvl w:val="0"/>
          <w:numId w:val="26"/>
        </w:numPr>
        <w:tabs>
          <w:tab w:pos="2089" w:val="left" w:leader="none"/>
        </w:tabs>
        <w:spacing w:line="340" w:lineRule="auto" w:before="61" w:after="0"/>
        <w:ind w:left="2089" w:right="221" w:hanging="421"/>
        <w:jc w:val="both"/>
        <w:rPr>
          <w:sz w:val="21"/>
        </w:rPr>
      </w:pPr>
      <w:r>
        <w:rPr>
          <w:spacing w:val="-6"/>
          <w:sz w:val="21"/>
        </w:rPr>
        <w:t>双耳失聪：指因疾病或意外伤害导致双耳听力永久不可逆性丧失，在</w:t>
      </w:r>
      <w:r>
        <w:rPr>
          <w:sz w:val="21"/>
        </w:rPr>
        <w:t>500 赫兹、1000赫兹和2000赫兹语音频率下，平均听阈大于90分贝，且经纯</w:t>
      </w:r>
      <w:r>
        <w:rPr>
          <w:spacing w:val="-3"/>
          <w:sz w:val="21"/>
        </w:rPr>
        <w:t>音听力测试、声导抗检测或听觉诱发电位检测等证实。</w:t>
      </w:r>
    </w:p>
    <w:p>
      <w:pPr>
        <w:pStyle w:val="BodyText"/>
        <w:rPr>
          <w:sz w:val="14"/>
        </w:rPr>
      </w:pPr>
    </w:p>
    <w:p>
      <w:pPr>
        <w:pStyle w:val="Heading1"/>
        <w:ind w:left="2122"/>
      </w:pPr>
      <w:r>
        <w:rPr/>
        <w:t>申请理赔时被保险人年龄必须在3周岁以上。</w:t>
      </w:r>
    </w:p>
    <w:p>
      <w:pPr>
        <w:pStyle w:val="BodyText"/>
        <w:spacing w:before="7"/>
        <w:rPr>
          <w:b/>
          <w:sz w:val="20"/>
        </w:rPr>
      </w:pPr>
    </w:p>
    <w:p>
      <w:pPr>
        <w:pStyle w:val="ListParagraph"/>
        <w:numPr>
          <w:ilvl w:val="0"/>
          <w:numId w:val="26"/>
        </w:numPr>
        <w:tabs>
          <w:tab w:pos="2089" w:val="left" w:leader="none"/>
        </w:tabs>
        <w:spacing w:line="340" w:lineRule="auto" w:before="1" w:after="0"/>
        <w:ind w:left="2089" w:right="228" w:hanging="421"/>
        <w:jc w:val="both"/>
        <w:rPr>
          <w:sz w:val="21"/>
        </w:rPr>
      </w:pPr>
      <w:r>
        <w:rPr>
          <w:sz w:val="21"/>
        </w:rPr>
        <w:t>双目失明：指因疾病或意外伤害导致双眼视力永久不可逆性丧失，双眼</w:t>
      </w:r>
      <w:r>
        <w:rPr>
          <w:spacing w:val="-3"/>
          <w:sz w:val="21"/>
        </w:rPr>
        <w:t>中较好眼须满足下列至少一项条件：</w:t>
      </w:r>
    </w:p>
    <w:p>
      <w:pPr>
        <w:pStyle w:val="BodyText"/>
        <w:spacing w:before="11"/>
        <w:rPr>
          <w:sz w:val="13"/>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眼球缺失或摘除；</w:t>
      </w:r>
    </w:p>
    <w:p>
      <w:pPr>
        <w:pStyle w:val="BodyText"/>
        <w:spacing w:before="10"/>
        <w:rPr>
          <w:sz w:val="20"/>
        </w:rPr>
      </w:pPr>
    </w:p>
    <w:p>
      <w:pPr>
        <w:pStyle w:val="ListParagraph"/>
        <w:numPr>
          <w:ilvl w:val="1"/>
          <w:numId w:val="26"/>
        </w:numPr>
        <w:tabs>
          <w:tab w:pos="2929" w:val="left" w:leader="none"/>
        </w:tabs>
        <w:spacing w:line="338" w:lineRule="auto" w:before="0" w:after="0"/>
        <w:ind w:left="2929" w:right="226" w:hanging="360"/>
        <w:jc w:val="left"/>
        <w:rPr>
          <w:sz w:val="21"/>
        </w:rPr>
      </w:pPr>
      <w:r>
        <w:rPr>
          <w:sz w:val="21"/>
        </w:rPr>
        <w:t>矫正视力低于0.02（采用国际标准视力表，如果使用其它视力</w:t>
      </w:r>
      <w:r>
        <w:rPr>
          <w:spacing w:val="-1"/>
          <w:w w:val="100"/>
          <w:sz w:val="21"/>
        </w:rPr>
        <w:t>表应进行</w:t>
      </w:r>
      <w:r>
        <w:rPr>
          <w:spacing w:val="-2"/>
          <w:sz w:val="21"/>
        </w:rPr>
        <w:t> </w:t>
      </w:r>
      <w:r>
        <w:rPr>
          <w:w w:val="100"/>
          <w:sz w:val="21"/>
        </w:rPr>
        <w:t>换算</w:t>
      </w:r>
      <w:r>
        <w:rPr>
          <w:spacing w:val="-108"/>
          <w:w w:val="100"/>
          <w:sz w:val="21"/>
        </w:rPr>
        <w:t>）</w:t>
      </w:r>
      <w:r>
        <w:rPr>
          <w:w w:val="100"/>
          <w:sz w:val="21"/>
        </w:rPr>
        <w:t>；</w:t>
      </w:r>
    </w:p>
    <w:p>
      <w:pPr>
        <w:pStyle w:val="BodyText"/>
        <w:spacing w:before="2"/>
        <w:rPr>
          <w:sz w:val="14"/>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视野半径小于5</w:t>
      </w:r>
      <w:r>
        <w:rPr>
          <w:sz w:val="21"/>
        </w:rPr>
        <w:t>度。</w:t>
      </w:r>
    </w:p>
    <w:p>
      <w:pPr>
        <w:pStyle w:val="BodyText"/>
        <w:spacing w:before="7"/>
        <w:rPr>
          <w:sz w:val="20"/>
        </w:rPr>
      </w:pPr>
    </w:p>
    <w:p>
      <w:pPr>
        <w:pStyle w:val="Heading1"/>
        <w:ind w:left="2122"/>
      </w:pPr>
      <w:r>
        <w:rPr/>
        <w:t>申请理赔时被保险人年龄必须在3周岁以上。</w:t>
      </w:r>
    </w:p>
    <w:p>
      <w:pPr>
        <w:pStyle w:val="BodyText"/>
        <w:spacing w:before="10"/>
        <w:rPr>
          <w:b/>
          <w:sz w:val="20"/>
        </w:rPr>
      </w:pPr>
    </w:p>
    <w:p>
      <w:pPr>
        <w:pStyle w:val="ListParagraph"/>
        <w:numPr>
          <w:ilvl w:val="0"/>
          <w:numId w:val="26"/>
        </w:numPr>
        <w:tabs>
          <w:tab w:pos="2089" w:val="left" w:leader="none"/>
        </w:tabs>
        <w:spacing w:line="340" w:lineRule="auto" w:before="0" w:after="0"/>
        <w:ind w:left="2089" w:right="115" w:hanging="421"/>
        <w:jc w:val="left"/>
        <w:rPr>
          <w:sz w:val="21"/>
        </w:rPr>
      </w:pPr>
      <w:r>
        <w:rPr>
          <w:spacing w:val="-6"/>
          <w:sz w:val="21"/>
        </w:rPr>
        <w:t>瘫痪：指因疾病或意外伤害导致两肢或两肢以上肢体机能永久完全丧失。肢体机能永久完全丧失，指疾病确诊</w:t>
      </w:r>
      <w:r>
        <w:rPr>
          <w:sz w:val="21"/>
        </w:rPr>
        <w:t>180天后或意外伤害发生180天后， </w:t>
      </w:r>
      <w:r>
        <w:rPr>
          <w:spacing w:val="-3"/>
          <w:sz w:val="21"/>
        </w:rPr>
        <w:t>每肢三大关节中的两大关节仍然完全僵硬，或不能随意识活动。</w:t>
      </w:r>
    </w:p>
    <w:p>
      <w:pPr>
        <w:pStyle w:val="BodyText"/>
        <w:spacing w:before="11"/>
        <w:rPr>
          <w:sz w:val="13"/>
        </w:rPr>
      </w:pPr>
    </w:p>
    <w:p>
      <w:pPr>
        <w:pStyle w:val="ListParagraph"/>
        <w:numPr>
          <w:ilvl w:val="0"/>
          <w:numId w:val="26"/>
        </w:numPr>
        <w:tabs>
          <w:tab w:pos="2089" w:val="left" w:leader="none"/>
        </w:tabs>
        <w:spacing w:line="343" w:lineRule="auto" w:before="0" w:after="0"/>
        <w:ind w:left="2089" w:right="228" w:hanging="421"/>
        <w:jc w:val="both"/>
        <w:rPr>
          <w:sz w:val="21"/>
        </w:rPr>
      </w:pPr>
      <w:r>
        <w:rPr>
          <w:sz w:val="21"/>
        </w:rPr>
        <w:t>心脏瓣膜手术：指为治疗心脏瓣膜疾病，实际实施了开胸进行的心脏瓣</w:t>
      </w:r>
      <w:r>
        <w:rPr>
          <w:spacing w:val="-3"/>
          <w:sz w:val="21"/>
        </w:rPr>
        <w:t>膜置换或修复的手术。</w:t>
      </w:r>
    </w:p>
    <w:p>
      <w:pPr>
        <w:pStyle w:val="ListParagraph"/>
        <w:numPr>
          <w:ilvl w:val="0"/>
          <w:numId w:val="26"/>
        </w:numPr>
        <w:tabs>
          <w:tab w:pos="2089" w:val="left" w:leader="none"/>
        </w:tabs>
        <w:spacing w:line="340" w:lineRule="auto" w:before="179" w:after="0"/>
        <w:ind w:left="2089" w:right="221" w:hanging="421"/>
        <w:jc w:val="both"/>
        <w:rPr>
          <w:sz w:val="21"/>
        </w:rPr>
      </w:pPr>
      <w:r>
        <w:rPr>
          <w:sz w:val="21"/>
        </w:rPr>
        <w:t>严重阿尔茨海默病：指因大脑进行性、不可逆性改变导致智能严重衰退或丧失，临床表现为明显的认知能力障碍、行为异常和社交能力减退， </w:t>
      </w:r>
      <w:r>
        <w:rPr>
          <w:spacing w:val="-5"/>
          <w:w w:val="100"/>
          <w:sz w:val="21"/>
        </w:rPr>
        <w:t>其日常生活必须持续受到他人监护。须由头颅断层扫描</w:t>
      </w:r>
      <w:r>
        <w:rPr>
          <w:w w:val="100"/>
          <w:sz w:val="21"/>
        </w:rPr>
        <w:t>（</w:t>
      </w:r>
      <w:r>
        <w:rPr>
          <w:spacing w:val="-3"/>
          <w:w w:val="100"/>
          <w:sz w:val="21"/>
        </w:rPr>
        <w:t>C</w:t>
      </w:r>
      <w:r>
        <w:rPr>
          <w:w w:val="100"/>
          <w:sz w:val="21"/>
        </w:rPr>
        <w:t>T</w:t>
      </w:r>
      <w:r>
        <w:rPr>
          <w:spacing w:val="-106"/>
          <w:w w:val="100"/>
          <w:sz w:val="21"/>
        </w:rPr>
        <w:t>）</w:t>
      </w:r>
      <w:r>
        <w:rPr>
          <w:spacing w:val="-4"/>
          <w:w w:val="100"/>
          <w:sz w:val="21"/>
        </w:rPr>
        <w:t>、核磁共振</w:t>
      </w:r>
      <w:r>
        <w:rPr>
          <w:sz w:val="21"/>
        </w:rPr>
        <w:t>检查（MRI）或正电子发射断层扫描（PET）等影像学检查证实，且自主</w:t>
      </w:r>
    </w:p>
    <w:p>
      <w:pPr>
        <w:spacing w:after="0" w:line="340" w:lineRule="auto"/>
        <w:jc w:val="both"/>
        <w:rPr>
          <w:sz w:val="21"/>
        </w:rPr>
        <w:sectPr>
          <w:pgSz w:w="11910" w:h="16840"/>
          <w:pgMar w:header="0" w:footer="925" w:top="1120" w:bottom="1200" w:left="1680" w:right="1320"/>
        </w:sectPr>
      </w:pPr>
    </w:p>
    <w:p>
      <w:pPr>
        <w:pStyle w:val="BodyText"/>
        <w:spacing w:line="340" w:lineRule="auto" w:before="20"/>
        <w:ind w:left="2088" w:right="228"/>
      </w:pPr>
      <w:r>
        <w:rPr/>
        <w:t>生活能力完全丧失，无法独立完成六项基本日常生活活动中的三项或三项以上。</w:t>
      </w:r>
    </w:p>
    <w:p>
      <w:pPr>
        <w:pStyle w:val="BodyText"/>
        <w:spacing w:before="11"/>
        <w:rPr>
          <w:sz w:val="13"/>
        </w:rPr>
      </w:pPr>
    </w:p>
    <w:p>
      <w:pPr>
        <w:pStyle w:val="Heading1"/>
        <w:ind w:left="2091"/>
      </w:pPr>
      <w:r>
        <w:rPr/>
        <w:t>神经官能症和精神疾病不在本合同保障范围内。</w:t>
      </w:r>
    </w:p>
    <w:p>
      <w:pPr>
        <w:pStyle w:val="BodyText"/>
        <w:spacing w:before="9"/>
        <w:rPr>
          <w:b/>
          <w:sz w:val="20"/>
        </w:rPr>
      </w:pPr>
    </w:p>
    <w:p>
      <w:pPr>
        <w:pStyle w:val="ListParagraph"/>
        <w:numPr>
          <w:ilvl w:val="0"/>
          <w:numId w:val="26"/>
        </w:numPr>
        <w:tabs>
          <w:tab w:pos="2089" w:val="left" w:leader="none"/>
        </w:tabs>
        <w:spacing w:line="340" w:lineRule="auto" w:before="1" w:after="0"/>
        <w:ind w:left="2089" w:right="116" w:hanging="421"/>
        <w:jc w:val="left"/>
        <w:rPr>
          <w:sz w:val="21"/>
        </w:rPr>
      </w:pPr>
      <w:r>
        <w:rPr>
          <w:sz w:val="21"/>
        </w:rPr>
        <w:t>严重脑损伤：指因头部遭受机械性外力，引起脑重要部位损伤，导致神</w:t>
      </w:r>
      <w:r>
        <w:rPr>
          <w:spacing w:val="-11"/>
          <w:w w:val="100"/>
          <w:sz w:val="21"/>
        </w:rPr>
        <w:t>经系统永久性的功能障碍。须由头颅断层扫描</w:t>
      </w:r>
      <w:r>
        <w:rPr>
          <w:spacing w:val="-1"/>
          <w:w w:val="100"/>
          <w:sz w:val="21"/>
        </w:rPr>
        <w:t>（</w:t>
      </w:r>
      <w:r>
        <w:rPr>
          <w:spacing w:val="-3"/>
          <w:w w:val="100"/>
          <w:sz w:val="21"/>
        </w:rPr>
        <w:t>C</w:t>
      </w:r>
      <w:r>
        <w:rPr>
          <w:w w:val="100"/>
          <w:sz w:val="21"/>
        </w:rPr>
        <w:t>T</w:t>
      </w:r>
      <w:r>
        <w:rPr>
          <w:spacing w:val="-106"/>
          <w:w w:val="100"/>
          <w:sz w:val="21"/>
        </w:rPr>
        <w:t>）</w:t>
      </w:r>
      <w:r>
        <w:rPr>
          <w:spacing w:val="-20"/>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4"/>
          <w:sz w:val="21"/>
        </w:rPr>
        <w:t>或正电子发射断层扫描</w:t>
      </w:r>
      <w:r>
        <w:rPr>
          <w:spacing w:val="-3"/>
          <w:sz w:val="21"/>
        </w:rPr>
        <w:t>（PET）</w:t>
      </w:r>
      <w:r>
        <w:rPr>
          <w:spacing w:val="-5"/>
          <w:sz w:val="21"/>
        </w:rPr>
        <w:t>等影像学检查证实。神经系统永久性的功</w:t>
      </w:r>
      <w:r>
        <w:rPr>
          <w:spacing w:val="-3"/>
          <w:sz w:val="21"/>
        </w:rPr>
        <w:t>能障碍，指脑损伤</w:t>
      </w:r>
      <w:r>
        <w:rPr>
          <w:sz w:val="21"/>
        </w:rPr>
        <w:t>180</w:t>
      </w:r>
      <w:r>
        <w:rPr>
          <w:spacing w:val="-3"/>
          <w:sz w:val="21"/>
        </w:rPr>
        <w:t>天后，仍遗留下列一种或一种以上障碍：</w:t>
      </w:r>
    </w:p>
    <w:p>
      <w:pPr>
        <w:pStyle w:val="BodyText"/>
        <w:spacing w:before="1"/>
        <w:rPr>
          <w:sz w:val="14"/>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一肢或一肢以上肢体机能完全丧失；</w:t>
      </w:r>
    </w:p>
    <w:p>
      <w:pPr>
        <w:pStyle w:val="BodyText"/>
        <w:spacing w:before="8"/>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语言能力或咀嚼吞咽能力完全丧失；</w:t>
      </w:r>
    </w:p>
    <w:p>
      <w:pPr>
        <w:pStyle w:val="BodyText"/>
        <w:spacing w:before="11"/>
        <w:rPr>
          <w:sz w:val="20"/>
        </w:rPr>
      </w:pPr>
    </w:p>
    <w:p>
      <w:pPr>
        <w:pStyle w:val="ListParagraph"/>
        <w:numPr>
          <w:ilvl w:val="1"/>
          <w:numId w:val="26"/>
        </w:numPr>
        <w:tabs>
          <w:tab w:pos="2963" w:val="left" w:leader="none"/>
        </w:tabs>
        <w:spacing w:line="338" w:lineRule="auto" w:before="0" w:after="0"/>
        <w:ind w:left="2962" w:right="264" w:hanging="393"/>
        <w:jc w:val="left"/>
        <w:rPr>
          <w:sz w:val="21"/>
        </w:rPr>
      </w:pPr>
      <w:r>
        <w:rPr>
          <w:spacing w:val="-3"/>
          <w:sz w:val="21"/>
        </w:rPr>
        <w:t>自主生活能力完全丧失，无法独立完成六项基本日常生活活动中的三项或三项以上。</w:t>
      </w:r>
    </w:p>
    <w:p>
      <w:pPr>
        <w:pStyle w:val="BodyText"/>
        <w:spacing w:before="3"/>
        <w:rPr>
          <w:sz w:val="14"/>
        </w:rPr>
      </w:pPr>
    </w:p>
    <w:p>
      <w:pPr>
        <w:pStyle w:val="ListParagraph"/>
        <w:numPr>
          <w:ilvl w:val="0"/>
          <w:numId w:val="26"/>
        </w:numPr>
        <w:tabs>
          <w:tab w:pos="2089" w:val="left" w:leader="none"/>
        </w:tabs>
        <w:spacing w:line="338" w:lineRule="auto" w:before="0" w:after="0"/>
        <w:ind w:left="2089" w:right="228" w:hanging="421"/>
        <w:jc w:val="left"/>
        <w:rPr>
          <w:sz w:val="21"/>
        </w:rPr>
      </w:pPr>
      <w:r>
        <w:rPr>
          <w:sz w:val="21"/>
        </w:rPr>
        <w:t>严重帕金森病：是一种中枢神经系统的退行性疾病，临床表现为震颤麻</w:t>
      </w:r>
      <w:r>
        <w:rPr>
          <w:spacing w:val="-3"/>
          <w:sz w:val="21"/>
        </w:rPr>
        <w:t>痹、共济失调等。须满足下列全部条件：</w:t>
      </w:r>
    </w:p>
    <w:p>
      <w:pPr>
        <w:pStyle w:val="BodyText"/>
        <w:spacing w:before="3"/>
        <w:rPr>
          <w:sz w:val="14"/>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药物治疗无法控制病情；</w:t>
      </w:r>
    </w:p>
    <w:p>
      <w:pPr>
        <w:pStyle w:val="BodyText"/>
        <w:spacing w:before="8"/>
        <w:rPr>
          <w:sz w:val="20"/>
        </w:rPr>
      </w:pPr>
    </w:p>
    <w:p>
      <w:pPr>
        <w:pStyle w:val="ListParagraph"/>
        <w:numPr>
          <w:ilvl w:val="1"/>
          <w:numId w:val="26"/>
        </w:numPr>
        <w:tabs>
          <w:tab w:pos="2962" w:val="left" w:leader="none"/>
          <w:tab w:pos="2963" w:val="left" w:leader="none"/>
        </w:tabs>
        <w:spacing w:line="340" w:lineRule="auto" w:before="0" w:after="0"/>
        <w:ind w:left="2962" w:right="264" w:hanging="453"/>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Heading1"/>
        <w:ind w:left="2091"/>
      </w:pPr>
      <w:r>
        <w:rPr/>
        <w:t>继发性帕金森综合征不在本合同保障范围内。</w:t>
      </w:r>
    </w:p>
    <w:p>
      <w:pPr>
        <w:pStyle w:val="BodyText"/>
        <w:spacing w:before="10"/>
        <w:rPr>
          <w:b/>
          <w:sz w:val="20"/>
        </w:rPr>
      </w:pPr>
    </w:p>
    <w:p>
      <w:pPr>
        <w:pStyle w:val="ListParagraph"/>
        <w:numPr>
          <w:ilvl w:val="0"/>
          <w:numId w:val="26"/>
        </w:numPr>
        <w:tabs>
          <w:tab w:pos="2089" w:val="left" w:leader="none"/>
        </w:tabs>
        <w:spacing w:line="338" w:lineRule="auto" w:before="0" w:after="0"/>
        <w:ind w:left="2089" w:right="228" w:hanging="421"/>
        <w:jc w:val="left"/>
        <w:rPr>
          <w:sz w:val="21"/>
        </w:rPr>
      </w:pPr>
      <w:r>
        <w:rPr>
          <w:sz w:val="21"/>
        </w:rPr>
        <w:t>严重Ⅲ度烧伤：指烧伤程度为Ⅲ度，且Ⅲ度烧伤的面积达到全身体表面</w:t>
      </w:r>
      <w:r>
        <w:rPr>
          <w:spacing w:val="-1"/>
          <w:sz w:val="21"/>
        </w:rPr>
        <w:t>积的20</w:t>
      </w:r>
      <w:r>
        <w:rPr>
          <w:spacing w:val="-2"/>
          <w:sz w:val="21"/>
        </w:rPr>
        <w:t>％或</w:t>
      </w:r>
      <w:r>
        <w:rPr>
          <w:spacing w:val="-1"/>
          <w:sz w:val="21"/>
        </w:rPr>
        <w:t>20</w:t>
      </w:r>
      <w:r>
        <w:rPr>
          <w:spacing w:val="-3"/>
          <w:sz w:val="21"/>
        </w:rPr>
        <w:t>％以上。体表面积根据《中国新九分法》计算。</w:t>
      </w:r>
    </w:p>
    <w:p>
      <w:pPr>
        <w:pStyle w:val="BodyText"/>
        <w:spacing w:before="2"/>
        <w:rPr>
          <w:sz w:val="14"/>
        </w:rPr>
      </w:pPr>
    </w:p>
    <w:p>
      <w:pPr>
        <w:pStyle w:val="ListParagraph"/>
        <w:numPr>
          <w:ilvl w:val="0"/>
          <w:numId w:val="26"/>
        </w:numPr>
        <w:tabs>
          <w:tab w:pos="2089" w:val="left" w:leader="none"/>
        </w:tabs>
        <w:spacing w:line="340" w:lineRule="auto" w:before="0" w:after="0"/>
        <w:ind w:left="2089" w:right="221" w:hanging="421"/>
        <w:jc w:val="both"/>
        <w:rPr>
          <w:sz w:val="21"/>
        </w:rPr>
      </w:pPr>
      <w:r>
        <w:rPr>
          <w:sz w:val="21"/>
        </w:rPr>
        <w:t>严重原发性肺动脉高压：指不明原因的肺动脉压力持续性增高，进行性发展而导致的慢性疾病，已经造成永久不可逆性的体力活动能力受限， 达到美国纽约心脏病学会心功能状态分级IV级，且静息状态下肺动脉平</w:t>
      </w:r>
      <w:r>
        <w:rPr>
          <w:spacing w:val="-2"/>
          <w:sz w:val="21"/>
        </w:rPr>
        <w:t>均压超过</w:t>
      </w:r>
      <w:r>
        <w:rPr>
          <w:spacing w:val="-1"/>
          <w:sz w:val="21"/>
        </w:rPr>
        <w:t>30mmHg</w:t>
      </w:r>
      <w:r>
        <w:rPr>
          <w:sz w:val="21"/>
        </w:rPr>
        <w:t>。</w:t>
      </w:r>
    </w:p>
    <w:p>
      <w:pPr>
        <w:pStyle w:val="BodyText"/>
        <w:rPr>
          <w:sz w:val="14"/>
        </w:rPr>
      </w:pPr>
    </w:p>
    <w:p>
      <w:pPr>
        <w:pStyle w:val="ListParagraph"/>
        <w:numPr>
          <w:ilvl w:val="0"/>
          <w:numId w:val="26"/>
        </w:numPr>
        <w:tabs>
          <w:tab w:pos="2089" w:val="left" w:leader="none"/>
        </w:tabs>
        <w:spacing w:line="340" w:lineRule="auto" w:before="0" w:after="0"/>
        <w:ind w:left="2089" w:right="115" w:hanging="421"/>
        <w:jc w:val="left"/>
        <w:rPr>
          <w:sz w:val="21"/>
        </w:rPr>
      </w:pPr>
      <w:r>
        <w:rPr>
          <w:spacing w:val="-6"/>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w:t>
      </w:r>
      <w:r>
        <w:rPr>
          <w:spacing w:val="-4"/>
          <w:sz w:val="21"/>
        </w:rPr>
        <w:t>本日常生活活动中的三项或三项以上的条件。</w:t>
      </w:r>
    </w:p>
    <w:p>
      <w:pPr>
        <w:pStyle w:val="BodyText"/>
        <w:rPr>
          <w:sz w:val="14"/>
        </w:rPr>
      </w:pPr>
    </w:p>
    <w:p>
      <w:pPr>
        <w:pStyle w:val="ListParagraph"/>
        <w:numPr>
          <w:ilvl w:val="0"/>
          <w:numId w:val="26"/>
        </w:numPr>
        <w:tabs>
          <w:tab w:pos="2089" w:val="left" w:leader="none"/>
        </w:tabs>
        <w:spacing w:line="340" w:lineRule="auto" w:before="0" w:after="0"/>
        <w:ind w:left="2089" w:right="221" w:hanging="421"/>
        <w:jc w:val="both"/>
        <w:rPr>
          <w:sz w:val="21"/>
        </w:rPr>
      </w:pPr>
      <w:r>
        <w:rPr>
          <w:sz w:val="21"/>
        </w:rPr>
        <w:t>语言能力丧失：指因疾病或意外伤害导致完全丧失语言能力，经过积极</w:t>
      </w:r>
      <w:r>
        <w:rPr>
          <w:spacing w:val="-1"/>
          <w:w w:val="100"/>
          <w:sz w:val="21"/>
        </w:rPr>
        <w:t>治疗至少</w:t>
      </w:r>
      <w:r>
        <w:rPr>
          <w:w w:val="100"/>
          <w:sz w:val="21"/>
        </w:rPr>
        <w:t>1</w:t>
      </w:r>
      <w:r>
        <w:rPr>
          <w:spacing w:val="-3"/>
          <w:w w:val="100"/>
          <w:sz w:val="21"/>
        </w:rPr>
        <w:t>2</w:t>
      </w:r>
      <w:r>
        <w:rPr>
          <w:spacing w:val="-8"/>
          <w:w w:val="100"/>
          <w:sz w:val="21"/>
        </w:rPr>
        <w:t>个月</w:t>
      </w:r>
      <w:r>
        <w:rPr>
          <w:spacing w:val="-3"/>
          <w:w w:val="100"/>
          <w:sz w:val="21"/>
        </w:rPr>
        <w:t>（声带完全切除不受此时间限制</w:t>
      </w:r>
      <w:r>
        <w:rPr>
          <w:spacing w:val="-108"/>
          <w:w w:val="100"/>
          <w:sz w:val="21"/>
        </w:rPr>
        <w:t>）</w:t>
      </w:r>
      <w:r>
        <w:rPr>
          <w:spacing w:val="-5"/>
          <w:w w:val="100"/>
          <w:sz w:val="21"/>
        </w:rPr>
        <w:t>，仍无法通过现有医疗</w:t>
      </w:r>
      <w:r>
        <w:rPr>
          <w:spacing w:val="-4"/>
          <w:sz w:val="21"/>
        </w:rPr>
        <w:t>手段恢复。</w:t>
      </w:r>
    </w:p>
    <w:p>
      <w:pPr>
        <w:spacing w:after="0" w:line="340" w:lineRule="auto"/>
        <w:jc w:val="both"/>
        <w:rPr>
          <w:sz w:val="21"/>
        </w:rPr>
        <w:sectPr>
          <w:pgSz w:w="11910" w:h="16840"/>
          <w:pgMar w:header="0" w:footer="925" w:top="1120" w:bottom="1200" w:left="1680" w:right="1320"/>
        </w:sectPr>
      </w:pPr>
    </w:p>
    <w:p>
      <w:pPr>
        <w:pStyle w:val="Heading1"/>
        <w:spacing w:line="477" w:lineRule="auto" w:before="20"/>
        <w:ind w:left="2091" w:right="1310"/>
      </w:pPr>
      <w:r>
        <w:rPr/>
        <w:t>精神心理因素所致的语言能力丧失不在本合同保障范围内。申请理赔时被保险人年龄必须在3周岁以上。</w:t>
      </w:r>
    </w:p>
    <w:p>
      <w:pPr>
        <w:pStyle w:val="ListParagraph"/>
        <w:numPr>
          <w:ilvl w:val="0"/>
          <w:numId w:val="26"/>
        </w:numPr>
        <w:tabs>
          <w:tab w:pos="2089" w:val="left" w:leader="none"/>
        </w:tabs>
        <w:spacing w:line="340" w:lineRule="auto" w:before="61" w:after="0"/>
        <w:ind w:left="2089" w:right="208" w:hanging="421"/>
        <w:jc w:val="both"/>
        <w:rPr>
          <w:sz w:val="21"/>
        </w:rPr>
      </w:pPr>
      <w:r>
        <w:rPr>
          <w:sz w:val="21"/>
        </w:rPr>
        <w:t>重型再生障碍性贫血：指因骨髓造血功能慢性持续性衰竭导致的贫血、</w:t>
      </w:r>
      <w:r>
        <w:rPr>
          <w:spacing w:val="-3"/>
          <w:sz w:val="21"/>
        </w:rPr>
        <w:t>中性粒细胞减少及血小板减少。须满足下列全部条件：</w:t>
      </w:r>
    </w:p>
    <w:p>
      <w:pPr>
        <w:pStyle w:val="BodyText"/>
        <w:spacing w:before="10"/>
        <w:rPr>
          <w:sz w:val="13"/>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骨髓穿刺检查或骨髓活检结果支持诊断；</w:t>
      </w:r>
    </w:p>
    <w:p>
      <w:pPr>
        <w:pStyle w:val="BodyText"/>
        <w:spacing w:before="10"/>
        <w:rPr>
          <w:sz w:val="20"/>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外周血象须具备以下三项条件：</w:t>
      </w:r>
    </w:p>
    <w:p>
      <w:pPr>
        <w:pStyle w:val="BodyText"/>
        <w:spacing w:before="7"/>
        <w:rPr>
          <w:sz w:val="20"/>
        </w:rPr>
      </w:pPr>
    </w:p>
    <w:p>
      <w:pPr>
        <w:pStyle w:val="BodyText"/>
        <w:ind w:left="2890"/>
      </w:pPr>
      <w:r>
        <w:rPr/>
        <w:t>① 中性粒细胞绝对值≤0.5×10</w:t>
      </w:r>
      <w:r>
        <w:rPr>
          <w:position w:val="11"/>
          <w:sz w:val="11"/>
        </w:rPr>
        <w:t>9</w:t>
      </w:r>
      <w:r>
        <w:rPr/>
        <w:t>/L ；</w:t>
      </w:r>
    </w:p>
    <w:p>
      <w:pPr>
        <w:pStyle w:val="BodyText"/>
        <w:spacing w:before="10"/>
        <w:rPr>
          <w:sz w:val="20"/>
        </w:rPr>
      </w:pPr>
    </w:p>
    <w:p>
      <w:pPr>
        <w:pStyle w:val="BodyText"/>
        <w:ind w:left="2890"/>
      </w:pPr>
      <w:r>
        <w:rPr/>
        <w:t>② 网织红细胞＜1%；</w:t>
      </w:r>
    </w:p>
    <w:p>
      <w:pPr>
        <w:pStyle w:val="BodyText"/>
        <w:spacing w:before="8"/>
        <w:rPr>
          <w:sz w:val="20"/>
        </w:rPr>
      </w:pPr>
    </w:p>
    <w:p>
      <w:pPr>
        <w:pStyle w:val="BodyText"/>
        <w:ind w:left="2876"/>
      </w:pPr>
      <w:r>
        <w:rPr/>
        <w:t>③ 血小板绝对值≤20×10</w:t>
      </w:r>
      <w:r>
        <w:rPr>
          <w:position w:val="11"/>
          <w:sz w:val="11"/>
        </w:rPr>
        <w:t>9</w:t>
      </w:r>
      <w:r>
        <w:rPr/>
        <w:t>/L。</w:t>
      </w:r>
    </w:p>
    <w:p>
      <w:pPr>
        <w:pStyle w:val="BodyText"/>
        <w:spacing w:before="9"/>
        <w:rPr>
          <w:sz w:val="20"/>
        </w:rPr>
      </w:pPr>
    </w:p>
    <w:p>
      <w:pPr>
        <w:pStyle w:val="ListParagraph"/>
        <w:numPr>
          <w:ilvl w:val="0"/>
          <w:numId w:val="26"/>
        </w:numPr>
        <w:tabs>
          <w:tab w:pos="2089" w:val="left" w:leader="none"/>
        </w:tabs>
        <w:spacing w:line="340" w:lineRule="auto" w:before="1" w:after="0"/>
        <w:ind w:left="2089" w:right="98" w:hanging="421"/>
        <w:jc w:val="left"/>
        <w:rPr>
          <w:sz w:val="21"/>
        </w:rPr>
      </w:pPr>
      <w:r>
        <w:rPr>
          <w:spacing w:val="-6"/>
          <w:sz w:val="21"/>
        </w:rPr>
        <w:t>主动脉手术：指为治疗主动脉疾病，实际实施了开胸或开腹进行的切除、置换、修补病损主动脉血管的手术。主动脉指胸主动脉和腹主动脉，不</w:t>
      </w:r>
      <w:r>
        <w:rPr>
          <w:spacing w:val="-4"/>
          <w:sz w:val="21"/>
        </w:rPr>
        <w:t>包括胸主动脉和腹主动脉的分支血管。</w:t>
      </w:r>
    </w:p>
    <w:p>
      <w:pPr>
        <w:pStyle w:val="BodyText"/>
        <w:spacing w:before="11"/>
        <w:rPr>
          <w:sz w:val="13"/>
        </w:rPr>
      </w:pPr>
    </w:p>
    <w:p>
      <w:pPr>
        <w:pStyle w:val="Heading1"/>
        <w:ind w:left="2091"/>
      </w:pPr>
      <w:r>
        <w:rPr/>
        <w:t>动脉内血管成形术不在本合同保障范围内。</w:t>
      </w:r>
    </w:p>
    <w:p>
      <w:pPr>
        <w:pStyle w:val="BodyText"/>
        <w:spacing w:before="9"/>
        <w:rPr>
          <w:b/>
          <w:sz w:val="20"/>
        </w:rPr>
      </w:pPr>
    </w:p>
    <w:p>
      <w:pPr>
        <w:pStyle w:val="ListParagraph"/>
        <w:numPr>
          <w:ilvl w:val="0"/>
          <w:numId w:val="26"/>
        </w:numPr>
        <w:tabs>
          <w:tab w:pos="2089" w:val="left" w:leader="none"/>
        </w:tabs>
        <w:spacing w:line="340" w:lineRule="auto" w:before="1" w:after="0"/>
        <w:ind w:left="2089" w:right="204" w:hanging="421"/>
        <w:jc w:val="both"/>
        <w:rPr>
          <w:sz w:val="21"/>
        </w:rPr>
      </w:pPr>
      <w:r>
        <w:rPr>
          <w:sz w:val="21"/>
        </w:rPr>
        <w:t>严重的原发性心肌病：指被保险人经本公司认可的医院的心脏专科医师确诊被保险人因原发性心肌病而出现的心室功能障碍而使其出现明显的心功能衰竭(纽约心脏病协会分类标准心功能至少达四级)。本合同保障</w:t>
      </w:r>
      <w:r>
        <w:rPr>
          <w:spacing w:val="-3"/>
          <w:sz w:val="21"/>
        </w:rPr>
        <w:t>范围内的心肌病包括扩张型心肌病、肥厚型心肌病及限制型心肌病。</w:t>
      </w:r>
    </w:p>
    <w:p>
      <w:pPr>
        <w:pStyle w:val="BodyText"/>
        <w:spacing w:before="1"/>
        <w:rPr>
          <w:sz w:val="14"/>
        </w:rPr>
      </w:pPr>
    </w:p>
    <w:p>
      <w:pPr>
        <w:pStyle w:val="Heading1"/>
        <w:ind w:left="2093"/>
      </w:pPr>
      <w:r>
        <w:rPr/>
        <w:t>继发于酒精滥用性的心肌病不在本合同保障范围之内。</w:t>
      </w:r>
    </w:p>
    <w:p>
      <w:pPr>
        <w:pStyle w:val="BodyText"/>
        <w:spacing w:before="7"/>
        <w:rPr>
          <w:b/>
          <w:sz w:val="20"/>
        </w:rPr>
      </w:pPr>
    </w:p>
    <w:p>
      <w:pPr>
        <w:pStyle w:val="BodyText"/>
        <w:spacing w:line="340" w:lineRule="auto" w:before="1"/>
        <w:ind w:left="2088" w:right="208"/>
      </w:pPr>
      <w:r>
        <w:rPr/>
        <w:t>纽约心脏病协会分类标准心功能四级是指不能从事任何体力活动。休息时亦有症状,体力活动后加重。</w:t>
      </w:r>
    </w:p>
    <w:p>
      <w:pPr>
        <w:pStyle w:val="BodyText"/>
        <w:spacing w:before="11"/>
        <w:rPr>
          <w:sz w:val="13"/>
        </w:rPr>
      </w:pPr>
    </w:p>
    <w:p>
      <w:pPr>
        <w:pStyle w:val="ListParagraph"/>
        <w:numPr>
          <w:ilvl w:val="0"/>
          <w:numId w:val="26"/>
        </w:numPr>
        <w:tabs>
          <w:tab w:pos="2089" w:val="left" w:leader="none"/>
        </w:tabs>
        <w:spacing w:line="340" w:lineRule="auto" w:before="1" w:after="0"/>
        <w:ind w:left="2089" w:right="98" w:hanging="421"/>
        <w:jc w:val="left"/>
        <w:rPr>
          <w:sz w:val="21"/>
        </w:rPr>
      </w:pPr>
      <w:r>
        <w:rPr>
          <w:sz w:val="21"/>
        </w:rPr>
        <w:t>终末期肺病：指被保险人必须经本公司认可的医院的呼吸科专科医师确</w:t>
      </w:r>
      <w:r>
        <w:rPr>
          <w:spacing w:val="-5"/>
          <w:sz w:val="21"/>
        </w:rPr>
        <w:t>诊患有终末期肺病而出现慢性呼吸功能衰竭，其诊断标准包括以下各项：</w:t>
      </w:r>
    </w:p>
    <w:p>
      <w:pPr>
        <w:pStyle w:val="BodyText"/>
        <w:spacing w:before="11"/>
        <w:rPr>
          <w:sz w:val="13"/>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肺功能测试其</w:t>
      </w:r>
      <w:r>
        <w:rPr>
          <w:spacing w:val="-1"/>
          <w:sz w:val="21"/>
        </w:rPr>
        <w:t>FEV1</w:t>
      </w:r>
      <w:r>
        <w:rPr>
          <w:spacing w:val="-3"/>
          <w:sz w:val="21"/>
        </w:rPr>
        <w:t>持续低于</w:t>
      </w:r>
      <w:r>
        <w:rPr>
          <w:sz w:val="21"/>
        </w:rPr>
        <w:t>1</w:t>
      </w:r>
      <w:r>
        <w:rPr>
          <w:spacing w:val="-2"/>
          <w:sz w:val="21"/>
        </w:rPr>
        <w:t>升；</w:t>
      </w:r>
    </w:p>
    <w:p>
      <w:pPr>
        <w:pStyle w:val="BodyText"/>
        <w:spacing w:before="10"/>
        <w:rPr>
          <w:sz w:val="20"/>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病人血氧不足必须持续地进行输氧治疗；</w:t>
      </w:r>
    </w:p>
    <w:p>
      <w:pPr>
        <w:pStyle w:val="BodyText"/>
        <w:spacing w:before="9"/>
        <w:rPr>
          <w:sz w:val="20"/>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动脉血气分析氧分压等于或低于</w:t>
      </w:r>
      <w:r>
        <w:rPr>
          <w:sz w:val="21"/>
        </w:rPr>
        <w:t>55mmHg；</w:t>
      </w:r>
    </w:p>
    <w:p>
      <w:pPr>
        <w:pStyle w:val="BodyText"/>
        <w:spacing w:before="10"/>
        <w:rPr>
          <w:sz w:val="20"/>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休息时出现呼吸困难。</w:t>
      </w:r>
    </w:p>
    <w:p>
      <w:pPr>
        <w:pStyle w:val="BodyText"/>
        <w:spacing w:before="7"/>
        <w:rPr>
          <w:sz w:val="20"/>
        </w:rPr>
      </w:pPr>
    </w:p>
    <w:p>
      <w:pPr>
        <w:pStyle w:val="ListParagraph"/>
        <w:numPr>
          <w:ilvl w:val="0"/>
          <w:numId w:val="26"/>
        </w:numPr>
        <w:tabs>
          <w:tab w:pos="2089" w:val="left" w:leader="none"/>
        </w:tabs>
        <w:spacing w:line="340" w:lineRule="auto" w:before="0" w:after="0"/>
        <w:ind w:left="2089" w:right="206" w:hanging="421"/>
        <w:jc w:val="both"/>
        <w:rPr>
          <w:sz w:val="21"/>
        </w:rPr>
      </w:pPr>
      <w:r>
        <w:rPr>
          <w:sz w:val="21"/>
        </w:rPr>
        <w:t>多发性硬化症：多发性硬化症为中枢神经系统白质多灶性脱髓鞘病变， 病变有时累及灰质。多发性硬化症必须由我们认可的医院的神经专科医生确诊。必须伴有典型的脱髓鞘症状和运动及感觉功能障碍的证据并有</w:t>
      </w:r>
    </w:p>
    <w:p>
      <w:pPr>
        <w:spacing w:after="0" w:line="340" w:lineRule="auto"/>
        <w:jc w:val="both"/>
        <w:rPr>
          <w:sz w:val="21"/>
        </w:rPr>
        <w:sectPr>
          <w:pgSz w:w="11910" w:h="16840"/>
          <w:pgMar w:header="0" w:footer="925" w:top="1120" w:bottom="1200" w:left="1680" w:right="1340"/>
        </w:sectPr>
      </w:pPr>
    </w:p>
    <w:p>
      <w:pPr>
        <w:pStyle w:val="BodyText"/>
        <w:spacing w:line="340" w:lineRule="auto" w:before="20"/>
        <w:ind w:left="2088" w:right="101"/>
        <w:jc w:val="both"/>
      </w:pPr>
      <w:r>
        <w:rPr/>
        <w:t>MRI</w:t>
      </w:r>
      <w:r>
        <w:rPr>
          <w:spacing w:val="-5"/>
        </w:rPr>
        <w:t>和脑脊液检查的典型改变。多发性硬化症必须造成神经系统永久性功能损害并且已导致被保险人自主生活能力完全丧失，无法独立完成六项</w:t>
      </w:r>
      <w:r>
        <w:rPr>
          <w:spacing w:val="-3"/>
        </w:rPr>
        <w:t>基本日常生活活动中的三项或三项以上持续达</w:t>
      </w:r>
      <w:r>
        <w:rPr/>
        <w:t>180</w:t>
      </w:r>
      <w:r>
        <w:rPr>
          <w:spacing w:val="-2"/>
        </w:rPr>
        <w:t>天以上。</w:t>
      </w:r>
    </w:p>
    <w:p>
      <w:pPr>
        <w:pStyle w:val="BodyText"/>
        <w:rPr>
          <w:sz w:val="14"/>
        </w:rPr>
      </w:pPr>
    </w:p>
    <w:p>
      <w:pPr>
        <w:pStyle w:val="ListParagraph"/>
        <w:numPr>
          <w:ilvl w:val="0"/>
          <w:numId w:val="26"/>
        </w:numPr>
        <w:tabs>
          <w:tab w:pos="2089" w:val="left" w:leader="none"/>
        </w:tabs>
        <w:spacing w:line="340" w:lineRule="auto" w:before="0" w:after="0"/>
        <w:ind w:left="2089" w:right="101" w:hanging="421"/>
        <w:jc w:val="both"/>
        <w:rPr>
          <w:sz w:val="21"/>
        </w:rPr>
      </w:pPr>
      <w:r>
        <w:rPr>
          <w:sz w:val="21"/>
        </w:rPr>
        <w:t>严重脊髓灰质炎：脊髓灰质炎是由于脊髓灰质炎病毒感染所致的瘫痪性疾病，临床表现为运动功能损害或呼吸无力。脊髓灰质炎必须经本公司认可的专科医生明确诊断。</w:t>
      </w:r>
      <w:r>
        <w:rPr>
          <w:b/>
          <w:sz w:val="21"/>
        </w:rPr>
        <w:t>本合同仅对脊髓灰质炎造成的神经系统功能损害导致被保险人一肢或一肢以上肢体机能永久完全丧失的情况予以理</w:t>
      </w:r>
      <w:r>
        <w:rPr>
          <w:b/>
          <w:spacing w:val="-5"/>
          <w:sz w:val="21"/>
        </w:rPr>
        <w:t>赔。</w:t>
      </w:r>
      <w:r>
        <w:rPr>
          <w:spacing w:val="-4"/>
          <w:sz w:val="21"/>
        </w:rPr>
        <w:t>肢体机能永久完全丧失，指疾病确诊</w:t>
      </w:r>
      <w:r>
        <w:rPr>
          <w:sz w:val="21"/>
        </w:rPr>
        <w:t>180</w:t>
      </w:r>
      <w:r>
        <w:rPr>
          <w:spacing w:val="-4"/>
          <w:sz w:val="21"/>
        </w:rPr>
        <w:t>天后，每肢三大关节中的两</w:t>
      </w:r>
      <w:r>
        <w:rPr>
          <w:spacing w:val="-3"/>
          <w:sz w:val="21"/>
        </w:rPr>
        <w:t>大关节仍然完全僵硬，或不能随意识活动。</w:t>
      </w:r>
    </w:p>
    <w:p>
      <w:pPr>
        <w:pStyle w:val="BodyText"/>
        <w:rPr>
          <w:sz w:val="14"/>
        </w:rPr>
      </w:pPr>
    </w:p>
    <w:p>
      <w:pPr>
        <w:pStyle w:val="ListParagraph"/>
        <w:numPr>
          <w:ilvl w:val="0"/>
          <w:numId w:val="26"/>
        </w:numPr>
        <w:tabs>
          <w:tab w:pos="2089" w:val="left" w:leader="none"/>
        </w:tabs>
        <w:spacing w:line="340" w:lineRule="auto" w:before="0" w:after="0"/>
        <w:ind w:left="2089" w:right="101" w:hanging="421"/>
        <w:jc w:val="both"/>
        <w:rPr>
          <w:sz w:val="21"/>
        </w:rPr>
      </w:pPr>
      <w:r>
        <w:rPr>
          <w:sz w:val="21"/>
        </w:rPr>
        <w:t>严重类风湿性关节炎：指广泛的关节损坏，临床上存在三个或三个以上</w:t>
      </w:r>
      <w:r>
        <w:rPr>
          <w:spacing w:val="-5"/>
          <w:sz w:val="21"/>
        </w:rPr>
        <w:t>下列关节的畸形：手、腕、肘、颈椎、膝、踝、蹠-趾关节。并且由本公</w:t>
      </w:r>
      <w:r>
        <w:rPr>
          <w:sz w:val="21"/>
        </w:rPr>
        <w:t>司认可医院的专科医师确认被保险人在无他人协助下无法独立完成六项</w:t>
      </w:r>
      <w:r>
        <w:rPr>
          <w:spacing w:val="-5"/>
          <w:sz w:val="21"/>
        </w:rPr>
        <w:t>基本日常生活活动中的至少三项。上述畸形及功能异常须持续至少达</w:t>
      </w:r>
      <w:r>
        <w:rPr>
          <w:sz w:val="21"/>
        </w:rPr>
        <w:t>180 天。</w:t>
      </w:r>
    </w:p>
    <w:p>
      <w:pPr>
        <w:pStyle w:val="BodyText"/>
        <w:spacing w:before="11"/>
        <w:rPr>
          <w:sz w:val="13"/>
        </w:rPr>
      </w:pPr>
    </w:p>
    <w:p>
      <w:pPr>
        <w:pStyle w:val="ListParagraph"/>
        <w:numPr>
          <w:ilvl w:val="0"/>
          <w:numId w:val="26"/>
        </w:numPr>
        <w:tabs>
          <w:tab w:pos="2089" w:val="left" w:leader="none"/>
        </w:tabs>
        <w:spacing w:line="340" w:lineRule="auto" w:before="0" w:after="0"/>
        <w:ind w:left="2089" w:right="101" w:hanging="421"/>
        <w:jc w:val="both"/>
        <w:rPr>
          <w:sz w:val="21"/>
        </w:rPr>
      </w:pPr>
      <w:r>
        <w:rPr>
          <w:spacing w:val="-7"/>
          <w:sz w:val="21"/>
        </w:rPr>
        <w:t>重症肌无力：指一种神经与肌肉接头部位传递障碍的自身免疫性疾病,临</w:t>
      </w:r>
      <w:r>
        <w:rPr>
          <w:spacing w:val="1"/>
          <w:sz w:val="21"/>
        </w:rPr>
        <w:t>床特征是局部或全身横纹肌于活动时易于疲劳无力,颅神经眼外肌最易</w:t>
      </w:r>
      <w:r>
        <w:rPr>
          <w:sz w:val="21"/>
        </w:rPr>
        <w:t>累及,也可涉及呼吸肌、下肢近端肌群乃至全身肌肉,须经本公司认可的</w:t>
      </w:r>
      <w:r>
        <w:rPr>
          <w:spacing w:val="-3"/>
          <w:sz w:val="21"/>
        </w:rPr>
        <w:t>神经科医师确诊。理赔时必须满足下列全部条件:</w:t>
      </w:r>
    </w:p>
    <w:p>
      <w:pPr>
        <w:pStyle w:val="BodyText"/>
        <w:spacing w:before="11"/>
        <w:rPr>
          <w:sz w:val="13"/>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症状缓解、复发及恶化交替出现；</w:t>
      </w:r>
    </w:p>
    <w:p>
      <w:pPr>
        <w:pStyle w:val="BodyText"/>
        <w:spacing w:before="10"/>
        <w:rPr>
          <w:sz w:val="20"/>
        </w:rPr>
      </w:pPr>
    </w:p>
    <w:p>
      <w:pPr>
        <w:pStyle w:val="ListParagraph"/>
        <w:numPr>
          <w:ilvl w:val="1"/>
          <w:numId w:val="26"/>
        </w:numPr>
        <w:tabs>
          <w:tab w:pos="2962" w:val="left" w:leader="none"/>
          <w:tab w:pos="2963" w:val="left" w:leader="none"/>
        </w:tabs>
        <w:spacing w:line="338" w:lineRule="auto" w:before="0" w:after="0"/>
        <w:ind w:left="2962" w:right="101" w:hanging="453"/>
        <w:jc w:val="left"/>
        <w:rPr>
          <w:sz w:val="21"/>
        </w:rPr>
      </w:pPr>
      <w:r>
        <w:rPr>
          <w:spacing w:val="-9"/>
          <w:sz w:val="21"/>
        </w:rPr>
        <w:t>经药物、胸腺手术治疗一年以上无法控制病情,丧失正常工作能力；</w:t>
      </w:r>
    </w:p>
    <w:p>
      <w:pPr>
        <w:pStyle w:val="BodyText"/>
        <w:spacing w:before="2"/>
        <w:rPr>
          <w:sz w:val="14"/>
        </w:rPr>
      </w:pPr>
    </w:p>
    <w:p>
      <w:pPr>
        <w:pStyle w:val="ListParagraph"/>
        <w:numPr>
          <w:ilvl w:val="1"/>
          <w:numId w:val="26"/>
        </w:numPr>
        <w:tabs>
          <w:tab w:pos="2962" w:val="left" w:leader="none"/>
          <w:tab w:pos="2963" w:val="left" w:leader="none"/>
        </w:tabs>
        <w:spacing w:line="338" w:lineRule="auto" w:before="0" w:after="0"/>
        <w:ind w:left="2962" w:right="101" w:hanging="453"/>
        <w:jc w:val="left"/>
        <w:rPr>
          <w:sz w:val="21"/>
        </w:rPr>
      </w:pPr>
      <w:r>
        <w:rPr>
          <w:sz w:val="21"/>
        </w:rPr>
        <w:t>有过由于肌无力累及延髓肌、呼吸肌而致机体呼吸功能异常的</w:t>
      </w:r>
      <w:r>
        <w:rPr>
          <w:spacing w:val="-3"/>
          <w:sz w:val="21"/>
        </w:rPr>
        <w:t>危急状态即肌无力危象病史。</w:t>
      </w:r>
    </w:p>
    <w:p>
      <w:pPr>
        <w:pStyle w:val="BodyText"/>
        <w:spacing w:before="2"/>
        <w:rPr>
          <w:sz w:val="14"/>
        </w:rPr>
      </w:pPr>
    </w:p>
    <w:p>
      <w:pPr>
        <w:pStyle w:val="ListParagraph"/>
        <w:numPr>
          <w:ilvl w:val="0"/>
          <w:numId w:val="26"/>
        </w:numPr>
        <w:tabs>
          <w:tab w:pos="2089" w:val="left" w:leader="none"/>
        </w:tabs>
        <w:spacing w:line="340" w:lineRule="auto" w:before="0" w:after="0"/>
        <w:ind w:left="2089" w:right="105" w:hanging="421"/>
        <w:jc w:val="both"/>
        <w:rPr>
          <w:sz w:val="21"/>
        </w:rPr>
      </w:pPr>
      <w:r>
        <w:rPr>
          <w:sz w:val="21"/>
        </w:rPr>
        <w:t>慢性肾上腺皮质功能减退：指自身免疫性肾上腺炎（既往称：特发性肾上腺皮质萎缩）导致肾上腺萎缩和慢性肾上腺皮质功能减退。必须由本</w:t>
      </w:r>
      <w:r>
        <w:rPr>
          <w:spacing w:val="-3"/>
          <w:sz w:val="21"/>
        </w:rPr>
        <w:t>公司认可的内分泌专科医生确诊，并且必须满足下列全部条件：</w:t>
      </w:r>
    </w:p>
    <w:p>
      <w:pPr>
        <w:pStyle w:val="BodyText"/>
        <w:spacing w:before="10"/>
        <w:rPr>
          <w:sz w:val="13"/>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血浆促肾上腺皮质激素</w:t>
      </w:r>
      <w:r>
        <w:rPr>
          <w:spacing w:val="-1"/>
          <w:sz w:val="21"/>
        </w:rPr>
        <w:t>（ACTH）</w:t>
      </w:r>
      <w:r>
        <w:rPr>
          <w:spacing w:val="-3"/>
          <w:sz w:val="21"/>
        </w:rPr>
        <w:t>水平测定大于</w:t>
      </w:r>
      <w:r>
        <w:rPr>
          <w:spacing w:val="-1"/>
          <w:sz w:val="21"/>
        </w:rPr>
        <w:t>100pg/ml；</w:t>
      </w:r>
    </w:p>
    <w:p>
      <w:pPr>
        <w:pStyle w:val="BodyText"/>
        <w:spacing w:before="11"/>
        <w:rPr>
          <w:sz w:val="20"/>
        </w:rPr>
      </w:pPr>
    </w:p>
    <w:p>
      <w:pPr>
        <w:pStyle w:val="ListParagraph"/>
        <w:numPr>
          <w:ilvl w:val="1"/>
          <w:numId w:val="26"/>
        </w:numPr>
        <w:tabs>
          <w:tab w:pos="2963" w:val="left" w:leader="none"/>
        </w:tabs>
        <w:spacing w:line="340" w:lineRule="auto" w:before="0" w:after="0"/>
        <w:ind w:left="2962" w:right="104" w:hanging="453"/>
        <w:jc w:val="both"/>
        <w:rPr>
          <w:sz w:val="21"/>
        </w:rPr>
      </w:pPr>
      <w:r>
        <w:rPr>
          <w:sz w:val="21"/>
        </w:rPr>
        <w:t>血浆和尿游离皮质醇及尿17羟皮质类固醇、17酮皮质类固醇测定、血浆肾素活性、血管紧张素Ⅱ和醛固酮测定，显示为原发</w:t>
      </w:r>
      <w:r>
        <w:rPr>
          <w:spacing w:val="-3"/>
          <w:sz w:val="21"/>
        </w:rPr>
        <w:t>性肾上腺皮质功能减退症；</w:t>
      </w:r>
    </w:p>
    <w:p>
      <w:pPr>
        <w:pStyle w:val="BodyText"/>
        <w:spacing w:before="11"/>
        <w:rPr>
          <w:sz w:val="13"/>
        </w:rPr>
      </w:pPr>
    </w:p>
    <w:p>
      <w:pPr>
        <w:pStyle w:val="ListParagraph"/>
        <w:numPr>
          <w:ilvl w:val="1"/>
          <w:numId w:val="26"/>
        </w:numPr>
        <w:tabs>
          <w:tab w:pos="2962" w:val="left" w:leader="none"/>
          <w:tab w:pos="2963" w:val="left" w:leader="none"/>
        </w:tabs>
        <w:spacing w:line="340" w:lineRule="auto" w:before="0" w:after="0"/>
        <w:ind w:left="2962" w:right="103" w:hanging="453"/>
        <w:jc w:val="left"/>
        <w:rPr>
          <w:sz w:val="21"/>
        </w:rPr>
      </w:pPr>
      <w:r>
        <w:rPr>
          <w:sz w:val="21"/>
        </w:rPr>
        <w:t>促肾上腺皮质激素（ACTH）刺激试验显示为原发性肾上腺皮质</w:t>
      </w:r>
      <w:r>
        <w:rPr>
          <w:spacing w:val="-2"/>
          <w:sz w:val="21"/>
        </w:rPr>
        <w:t>功能减退症；</w:t>
      </w:r>
    </w:p>
    <w:p>
      <w:pPr>
        <w:spacing w:after="0" w:line="340" w:lineRule="auto"/>
        <w:jc w:val="left"/>
        <w:rPr>
          <w:sz w:val="21"/>
        </w:rPr>
        <w:sectPr>
          <w:pgSz w:w="11910" w:h="16840"/>
          <w:pgMar w:header="0" w:footer="925" w:top="1120" w:bottom="1200" w:left="1680" w:right="1440"/>
        </w:sectPr>
      </w:pPr>
    </w:p>
    <w:p>
      <w:pPr>
        <w:pStyle w:val="ListParagraph"/>
        <w:numPr>
          <w:ilvl w:val="1"/>
          <w:numId w:val="26"/>
        </w:numPr>
        <w:tabs>
          <w:tab w:pos="2962" w:val="left" w:leader="none"/>
          <w:tab w:pos="2963" w:val="left" w:leader="none"/>
        </w:tabs>
        <w:spacing w:line="240" w:lineRule="auto" w:before="20" w:after="0"/>
        <w:ind w:left="2962" w:right="0" w:hanging="453"/>
        <w:jc w:val="left"/>
        <w:rPr>
          <w:sz w:val="21"/>
        </w:rPr>
      </w:pPr>
      <w:r>
        <w:rPr>
          <w:spacing w:val="-3"/>
          <w:sz w:val="21"/>
        </w:rPr>
        <w:t>已经采用皮质类固醇替代治疗</w:t>
      </w:r>
      <w:r>
        <w:rPr>
          <w:sz w:val="21"/>
        </w:rPr>
        <w:t>180</w:t>
      </w:r>
      <w:r>
        <w:rPr>
          <w:spacing w:val="-3"/>
          <w:sz w:val="21"/>
        </w:rPr>
        <w:t>天以上。</w:t>
      </w:r>
    </w:p>
    <w:p>
      <w:pPr>
        <w:pStyle w:val="BodyText"/>
        <w:spacing w:before="10"/>
        <w:rPr>
          <w:sz w:val="20"/>
        </w:rPr>
      </w:pPr>
    </w:p>
    <w:p>
      <w:pPr>
        <w:spacing w:line="338" w:lineRule="auto" w:before="0"/>
        <w:ind w:left="2088" w:right="104" w:firstLine="0"/>
        <w:jc w:val="left"/>
        <w:rPr>
          <w:b/>
          <w:sz w:val="21"/>
        </w:rPr>
      </w:pPr>
      <w:r>
        <w:rPr>
          <w:sz w:val="21"/>
        </w:rPr>
        <w:t>诊断必须由本公司认可医院的专科医生确定。</w:t>
      </w:r>
      <w:r>
        <w:rPr>
          <w:b/>
          <w:sz w:val="21"/>
        </w:rPr>
        <w:t>其他任何原因导致的继发性肾上腺皮质功能减退不在本合同保障范围内。</w:t>
      </w:r>
    </w:p>
    <w:p>
      <w:pPr>
        <w:pStyle w:val="BodyText"/>
        <w:spacing w:before="2"/>
        <w:rPr>
          <w:b/>
          <w:sz w:val="14"/>
        </w:rPr>
      </w:pPr>
    </w:p>
    <w:p>
      <w:pPr>
        <w:pStyle w:val="ListParagraph"/>
        <w:numPr>
          <w:ilvl w:val="0"/>
          <w:numId w:val="26"/>
        </w:numPr>
        <w:tabs>
          <w:tab w:pos="2089" w:val="left" w:leader="none"/>
        </w:tabs>
        <w:spacing w:line="340" w:lineRule="auto" w:before="0" w:after="0"/>
        <w:ind w:left="2089" w:right="106" w:hanging="421"/>
        <w:jc w:val="both"/>
        <w:rPr>
          <w:sz w:val="21"/>
        </w:rPr>
      </w:pPr>
      <w:r>
        <w:rPr>
          <w:sz w:val="21"/>
        </w:rPr>
        <w:t>致坏死性筋膜炎：是一种由细菌侵入皮下组织和筋膜引起的急性坏死性软组织感染，可伴有毒血症、败血症、中毒性休克、弥漫性血管内凝血</w:t>
      </w:r>
      <w:r>
        <w:rPr>
          <w:spacing w:val="-3"/>
          <w:sz w:val="21"/>
        </w:rPr>
        <w:t>及多器官衰竭。必须满足下列全部条件：</w:t>
      </w:r>
    </w:p>
    <w:p>
      <w:pPr>
        <w:pStyle w:val="BodyText"/>
        <w:spacing w:before="11"/>
        <w:rPr>
          <w:sz w:val="13"/>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细菌培养和临床表现符合坏死性筋膜炎诊断标准；</w:t>
      </w:r>
    </w:p>
    <w:p>
      <w:pPr>
        <w:pStyle w:val="BodyText"/>
        <w:spacing w:before="10"/>
        <w:rPr>
          <w:sz w:val="20"/>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病情迅速恶化，有脓毒血症表现；</w:t>
      </w:r>
    </w:p>
    <w:p>
      <w:pPr>
        <w:pStyle w:val="BodyText"/>
        <w:spacing w:before="7"/>
        <w:rPr>
          <w:sz w:val="20"/>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受感染肢体被截肢（自腕关节或踝关节近端</w:t>
      </w:r>
      <w:r>
        <w:rPr>
          <w:spacing w:val="-108"/>
          <w:sz w:val="21"/>
        </w:rPr>
        <w:t>）</w:t>
      </w:r>
      <w:r>
        <w:rPr>
          <w:sz w:val="21"/>
        </w:rPr>
        <w:t>。</w:t>
      </w:r>
    </w:p>
    <w:p>
      <w:pPr>
        <w:pStyle w:val="BodyText"/>
        <w:spacing w:before="12"/>
        <w:rPr>
          <w:sz w:val="17"/>
        </w:rPr>
      </w:pPr>
    </w:p>
    <w:p>
      <w:pPr>
        <w:pStyle w:val="ListParagraph"/>
        <w:numPr>
          <w:ilvl w:val="0"/>
          <w:numId w:val="26"/>
        </w:numPr>
        <w:tabs>
          <w:tab w:pos="2089" w:val="left" w:leader="none"/>
        </w:tabs>
        <w:spacing w:line="273" w:lineRule="auto" w:before="0" w:after="0"/>
        <w:ind w:left="2089" w:right="178" w:hanging="421"/>
        <w:jc w:val="both"/>
        <w:rPr>
          <w:sz w:val="21"/>
        </w:rPr>
      </w:pPr>
      <w:r>
        <w:rPr>
          <w:spacing w:val="-3"/>
          <w:sz w:val="21"/>
        </w:rPr>
        <w:t>严重克隆病：克隆病是一种慢性肉芽肿性肠炎，具有特征性的克隆病病理组织学变化。疾病诊断必须由病理检查结果证实，并且必须经本公司认可的专科医师确认被保险人所患的克隆病已经造成瘘管形成并伴有肠梗阻或肠穿孔。</w:t>
      </w:r>
    </w:p>
    <w:p>
      <w:pPr>
        <w:pStyle w:val="ListParagraph"/>
        <w:numPr>
          <w:ilvl w:val="0"/>
          <w:numId w:val="26"/>
        </w:numPr>
        <w:tabs>
          <w:tab w:pos="2089" w:val="left" w:leader="none"/>
        </w:tabs>
        <w:spacing w:line="273" w:lineRule="auto" w:before="163" w:after="0"/>
        <w:ind w:left="2089" w:right="101" w:hanging="421"/>
        <w:jc w:val="both"/>
        <w:rPr>
          <w:sz w:val="21"/>
        </w:rPr>
      </w:pPr>
      <w:r>
        <w:rPr>
          <w:spacing w:val="-3"/>
          <w:sz w:val="21"/>
        </w:rPr>
        <w:t>系统性红斑狼疮伴肾损害：指以产生多种自身抗体，并由免疫反应介导的炎症为特征的自体免疫性疾病。系统性红斑狼疮的诊断必须由本公司认可医院合格的免疫学专科医师依据作出。</w:t>
      </w:r>
      <w:r>
        <w:rPr>
          <w:b/>
          <w:sz w:val="21"/>
        </w:rPr>
        <w:t>本合同所保障的系统性红斑</w:t>
      </w:r>
      <w:r>
        <w:rPr>
          <w:b/>
          <w:spacing w:val="-2"/>
          <w:sz w:val="21"/>
        </w:rPr>
        <w:t>狼疮仅限于累及肾脏的状况， </w:t>
      </w:r>
      <w:r>
        <w:rPr>
          <w:spacing w:val="-6"/>
          <w:sz w:val="21"/>
        </w:rPr>
        <w:t>且经肾脏活检确认，符合世界卫生组织关</w:t>
      </w:r>
      <w:r>
        <w:rPr>
          <w:spacing w:val="-11"/>
          <w:sz w:val="21"/>
        </w:rPr>
        <w:t>于狼疮性肾炎 </w:t>
      </w:r>
      <w:r>
        <w:rPr>
          <w:sz w:val="21"/>
        </w:rPr>
        <w:t>III</w:t>
      </w:r>
      <w:r>
        <w:rPr>
          <w:spacing w:val="-11"/>
          <w:sz w:val="21"/>
        </w:rPr>
        <w:t> 型至 </w:t>
      </w:r>
      <w:r>
        <w:rPr>
          <w:sz w:val="21"/>
        </w:rPr>
        <w:t>V</w:t>
      </w:r>
      <w:r>
        <w:rPr>
          <w:spacing w:val="-5"/>
          <w:sz w:val="21"/>
        </w:rPr>
        <w:t> 型的诊断标准，并伴有持续性蛋白尿</w:t>
      </w:r>
      <w:r>
        <w:rPr>
          <w:spacing w:val="-3"/>
          <w:sz w:val="21"/>
        </w:rPr>
        <w:t>（</w:t>
      </w:r>
      <w:r>
        <w:rPr>
          <w:spacing w:val="-2"/>
          <w:sz w:val="21"/>
        </w:rPr>
        <w:t>尿蛋白</w:t>
      </w:r>
    </w:p>
    <w:p>
      <w:pPr>
        <w:pStyle w:val="BodyText"/>
        <w:spacing w:before="7"/>
        <w:ind w:left="2088"/>
      </w:pPr>
      <w:r>
        <w:rPr/>
        <w:t>++ 以上</w:t>
      </w:r>
      <w:r>
        <w:rPr>
          <w:spacing w:val="-106"/>
        </w:rPr>
        <w:t>）</w:t>
      </w:r>
      <w:r>
        <w:rPr/>
        <w:t>。</w:t>
      </w:r>
    </w:p>
    <w:p>
      <w:pPr>
        <w:pStyle w:val="BodyText"/>
        <w:spacing w:before="9"/>
        <w:rPr>
          <w:sz w:val="14"/>
        </w:rPr>
      </w:pPr>
    </w:p>
    <w:p>
      <w:pPr>
        <w:pStyle w:val="BodyText"/>
        <w:spacing w:line="273" w:lineRule="auto"/>
        <w:ind w:left="2122" w:right="144"/>
      </w:pPr>
      <w:r>
        <w:rPr/>
        <w:t>系统性红斑狼疮的诊断依据国际普遍认可的美国风湿病学会所修订的最新诊断标准。</w:t>
      </w:r>
    </w:p>
    <w:p>
      <w:pPr>
        <w:pStyle w:val="BodyText"/>
        <w:spacing w:before="5"/>
        <w:rPr>
          <w:sz w:val="15"/>
        </w:rPr>
      </w:pPr>
    </w:p>
    <w:p>
      <w:pPr>
        <w:pStyle w:val="BodyText"/>
        <w:spacing w:line="475" w:lineRule="auto"/>
        <w:ind w:left="2088" w:right="2701"/>
      </w:pPr>
      <w:r>
        <w:rPr/>
        <w:t>世界卫生组织关于狼疮性肾炎的分型标准： 第一型 微小病变型狼疮性肾炎</w:t>
      </w:r>
    </w:p>
    <w:p>
      <w:pPr>
        <w:pStyle w:val="BodyText"/>
        <w:spacing w:before="66"/>
        <w:ind w:left="2088"/>
      </w:pPr>
      <w:r>
        <w:rPr/>
        <w:t>第二型 系膜增生型狼疮性肾炎</w:t>
      </w:r>
    </w:p>
    <w:p>
      <w:pPr>
        <w:pStyle w:val="BodyText"/>
        <w:spacing w:before="7"/>
        <w:rPr>
          <w:sz w:val="20"/>
        </w:rPr>
      </w:pPr>
    </w:p>
    <w:p>
      <w:pPr>
        <w:pStyle w:val="BodyText"/>
        <w:spacing w:line="477" w:lineRule="auto"/>
        <w:ind w:left="2088" w:right="3438"/>
      </w:pPr>
      <w:r>
        <w:rPr/>
        <w:t>第三型 局灶节段增生型狼疮性肾炎第四型 弥漫增生型狼疮性肾炎</w:t>
      </w:r>
    </w:p>
    <w:p>
      <w:pPr>
        <w:pStyle w:val="BodyText"/>
        <w:spacing w:before="23"/>
        <w:ind w:left="2088"/>
      </w:pPr>
      <w:r>
        <w:rPr/>
        <w:t>第五型 膜型狼疮性肾炎</w:t>
      </w:r>
    </w:p>
    <w:p>
      <w:pPr>
        <w:pStyle w:val="BodyText"/>
        <w:spacing w:before="10"/>
        <w:rPr>
          <w:sz w:val="14"/>
        </w:rPr>
      </w:pPr>
    </w:p>
    <w:p>
      <w:pPr>
        <w:pStyle w:val="ListParagraph"/>
        <w:numPr>
          <w:ilvl w:val="0"/>
          <w:numId w:val="26"/>
        </w:numPr>
        <w:tabs>
          <w:tab w:pos="2089" w:val="left" w:leader="none"/>
        </w:tabs>
        <w:spacing w:line="273" w:lineRule="auto" w:before="0" w:after="0"/>
        <w:ind w:left="2089" w:right="178" w:hanging="421"/>
        <w:jc w:val="both"/>
        <w:rPr>
          <w:sz w:val="21"/>
        </w:rPr>
      </w:pPr>
      <w:r>
        <w:rPr>
          <w:spacing w:val="-3"/>
          <w:sz w:val="21"/>
        </w:rPr>
        <w:t>小肠移植：指因肠道疾病或外伤，已经实施了在全身麻醉下进行的小肠的异体器官移植手术。此手术必须由专科医生认为是医学上必需的情况下进行。</w:t>
      </w:r>
    </w:p>
    <w:p>
      <w:pPr>
        <w:pStyle w:val="ListParagraph"/>
        <w:numPr>
          <w:ilvl w:val="0"/>
          <w:numId w:val="26"/>
        </w:numPr>
        <w:tabs>
          <w:tab w:pos="2089" w:val="left" w:leader="none"/>
        </w:tabs>
        <w:spacing w:line="273" w:lineRule="auto" w:before="163" w:after="0"/>
        <w:ind w:left="2089" w:right="101" w:hanging="421"/>
        <w:jc w:val="left"/>
        <w:rPr>
          <w:sz w:val="21"/>
        </w:rPr>
      </w:pPr>
      <w:r>
        <w:rPr>
          <w:spacing w:val="-3"/>
          <w:sz w:val="21"/>
        </w:rPr>
        <w:t>出血性登革热：指因出血性登革热出现全部四种症状，包括高烧、出血</w:t>
      </w:r>
      <w:r>
        <w:rPr>
          <w:spacing w:val="-19"/>
          <w:sz w:val="21"/>
        </w:rPr>
        <w:t>现象、肝肿大和循环衰竭</w:t>
      </w:r>
      <w:r>
        <w:rPr>
          <w:spacing w:val="-3"/>
          <w:sz w:val="21"/>
        </w:rPr>
        <w:t>（</w:t>
      </w:r>
      <w:r>
        <w:rPr>
          <w:spacing w:val="-11"/>
          <w:sz w:val="21"/>
        </w:rPr>
        <w:t>登革热休克综合征，即符合世界卫生组织(</w:t>
      </w:r>
      <w:r>
        <w:rPr>
          <w:sz w:val="21"/>
        </w:rPr>
        <w:t>WHO) 登革热第 III 级及 第 IV 级</w:t>
      </w:r>
      <w:r>
        <w:rPr>
          <w:spacing w:val="-106"/>
          <w:sz w:val="21"/>
        </w:rPr>
        <w:t>）</w:t>
      </w:r>
      <w:r>
        <w:rPr>
          <w:spacing w:val="-3"/>
          <w:sz w:val="21"/>
        </w:rPr>
        <w:t>。 出血性登革热的诊断必须由本公司认</w:t>
      </w:r>
    </w:p>
    <w:p>
      <w:pPr>
        <w:spacing w:after="0" w:line="273" w:lineRule="auto"/>
        <w:jc w:val="left"/>
        <w:rPr>
          <w:sz w:val="21"/>
        </w:rPr>
        <w:sectPr>
          <w:pgSz w:w="11910" w:h="16840"/>
          <w:pgMar w:header="0" w:footer="925" w:top="1120" w:bottom="1200" w:left="1680" w:right="1440"/>
        </w:sectPr>
      </w:pPr>
    </w:p>
    <w:p>
      <w:pPr>
        <w:pStyle w:val="BodyText"/>
        <w:spacing w:before="22"/>
        <w:ind w:left="2088"/>
      </w:pPr>
      <w:r>
        <w:rPr/>
        <w:t>可医院的专科医生确诊。</w:t>
      </w:r>
    </w:p>
    <w:p>
      <w:pPr>
        <w:pStyle w:val="BodyText"/>
        <w:spacing w:before="10"/>
        <w:rPr>
          <w:sz w:val="14"/>
        </w:rPr>
      </w:pPr>
    </w:p>
    <w:p>
      <w:pPr>
        <w:pStyle w:val="Heading1"/>
      </w:pPr>
      <w:r>
        <w:rPr/>
        <w:t>非出血性登革热不在本合同保障范围内。</w:t>
      </w:r>
    </w:p>
    <w:p>
      <w:pPr>
        <w:pStyle w:val="BodyText"/>
        <w:spacing w:before="10"/>
        <w:rPr>
          <w:b/>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进行性脊髓性肌萎缩：脊髓前角细胞及脑干运动细胞核的退化病变，以近侧的肌肉无力和萎缩为主要特征，由腿部为最先开始并逐步扩散至远侧的肌肉。此症必须由本公司认可的专科医生确诊，并有肌电图等检查证实。</w:t>
      </w:r>
    </w:p>
    <w:p>
      <w:pPr>
        <w:pStyle w:val="BodyText"/>
        <w:spacing w:line="273" w:lineRule="auto" w:before="163"/>
        <w:ind w:left="2088" w:right="271"/>
        <w:jc w:val="both"/>
        <w:rPr>
          <w:b/>
        </w:rPr>
      </w:pPr>
      <w:r>
        <w:rPr>
          <w:spacing w:val="-3"/>
        </w:rPr>
        <w:t>进行性脊髓性肌萎缩必须造成神经系统永久性功能损害并且已导致被保险人自主生活能力完全丧失，无法独立完成六项基本日常生活活动中的</w:t>
      </w:r>
      <w:r>
        <w:rPr>
          <w:spacing w:val="-7"/>
        </w:rPr>
        <w:t>三项或三项以上持续达 </w:t>
      </w:r>
      <w:r>
        <w:rPr/>
        <w:t>180</w:t>
      </w:r>
      <w:r>
        <w:rPr>
          <w:spacing w:val="-9"/>
        </w:rPr>
        <w:t> 天以上，并且</w:t>
      </w:r>
      <w:r>
        <w:rPr>
          <w:b/>
          <w:spacing w:val="-1"/>
        </w:rPr>
        <w:t>只有在被保险人年龄大于或等</w:t>
      </w:r>
    </w:p>
    <w:p>
      <w:pPr>
        <w:pStyle w:val="Heading1"/>
        <w:spacing w:before="7"/>
        <w:rPr>
          <w:b w:val="0"/>
        </w:rPr>
      </w:pPr>
      <w:r>
        <w:rPr/>
        <w:t>于 5 周岁后首次确诊此症才属于本合同保障范围</w:t>
      </w:r>
      <w:r>
        <w:rPr>
          <w:b w:val="0"/>
        </w:rPr>
        <w:t>。</w:t>
      </w:r>
    </w:p>
    <w:p>
      <w:pPr>
        <w:pStyle w:val="BodyText"/>
        <w:spacing w:before="9"/>
        <w:rPr>
          <w:sz w:val="14"/>
        </w:rPr>
      </w:pPr>
    </w:p>
    <w:p>
      <w:pPr>
        <w:pStyle w:val="ListParagraph"/>
        <w:numPr>
          <w:ilvl w:val="0"/>
          <w:numId w:val="26"/>
        </w:numPr>
        <w:tabs>
          <w:tab w:pos="2089" w:val="left" w:leader="none"/>
        </w:tabs>
        <w:spacing w:line="273" w:lineRule="auto" w:before="0" w:after="0"/>
        <w:ind w:left="2089" w:right="98" w:hanging="421"/>
        <w:jc w:val="left"/>
        <w:rPr>
          <w:sz w:val="21"/>
        </w:rPr>
      </w:pPr>
      <w:r>
        <w:rPr>
          <w:spacing w:val="-3"/>
          <w:sz w:val="21"/>
        </w:rPr>
        <w:t>进行性核上性麻痹：指一种隐袭起病、逐渐加重的神经系统变性疾病， </w:t>
      </w:r>
      <w:r>
        <w:rPr>
          <w:spacing w:val="-5"/>
          <w:sz w:val="21"/>
        </w:rPr>
        <w:t>必须由本公司认可的神经内科专科医生确诊，且满足下列全部临床特征：</w:t>
      </w:r>
    </w:p>
    <w:p>
      <w:pPr>
        <w:pStyle w:val="ListParagraph"/>
        <w:numPr>
          <w:ilvl w:val="1"/>
          <w:numId w:val="26"/>
        </w:numPr>
        <w:tabs>
          <w:tab w:pos="2929" w:val="left" w:leader="none"/>
        </w:tabs>
        <w:spacing w:line="240" w:lineRule="auto" w:before="163" w:after="0"/>
        <w:ind w:left="2929" w:right="0" w:hanging="387"/>
        <w:jc w:val="left"/>
        <w:rPr>
          <w:sz w:val="21"/>
        </w:rPr>
      </w:pPr>
      <w:r>
        <w:rPr>
          <w:spacing w:val="-2"/>
          <w:sz w:val="21"/>
        </w:rPr>
        <w:t>步态共济失调；</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对称性眼球垂直运动障碍；</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BodyText"/>
        <w:spacing w:before="9"/>
        <w:rPr>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严重肌营养不良症：指一组遗传性肌肉变性病变，临床特征为与神经系统无关的骨骼肌肉对称地进行性无力和萎缩。此症必须由本公司认可的神经内科专科医生明确诊断，并且须满足下列全部条件：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肌电图显示典型肌营养不良症的阳性改变；</w:t>
      </w:r>
    </w:p>
    <w:p>
      <w:pPr>
        <w:pStyle w:val="BodyText"/>
        <w:spacing w:before="9"/>
        <w:rPr>
          <w:sz w:val="14"/>
        </w:rPr>
      </w:pPr>
    </w:p>
    <w:p>
      <w:pPr>
        <w:pStyle w:val="ListParagraph"/>
        <w:numPr>
          <w:ilvl w:val="1"/>
          <w:numId w:val="26"/>
        </w:numPr>
        <w:tabs>
          <w:tab w:pos="2929" w:val="left" w:leader="none"/>
        </w:tabs>
        <w:spacing w:line="273" w:lineRule="auto" w:before="0" w:after="0"/>
        <w:ind w:left="2962" w:right="278" w:hanging="420"/>
        <w:jc w:val="left"/>
        <w:rPr>
          <w:sz w:val="21"/>
        </w:rPr>
      </w:pPr>
      <w:r>
        <w:rPr>
          <w:spacing w:val="-3"/>
          <w:sz w:val="21"/>
        </w:rPr>
        <w:t>肌肉活检的病理学诊断符合肌营养不良症的肌肉细胞变性、坏死等阳性改变；</w:t>
      </w:r>
    </w:p>
    <w:p>
      <w:pPr>
        <w:pStyle w:val="ListParagraph"/>
        <w:numPr>
          <w:ilvl w:val="1"/>
          <w:numId w:val="26"/>
        </w:numPr>
        <w:tabs>
          <w:tab w:pos="2929" w:val="left" w:leader="none"/>
        </w:tabs>
        <w:spacing w:line="273" w:lineRule="auto" w:before="163" w:after="0"/>
        <w:ind w:left="2962" w:right="278" w:hanging="420"/>
        <w:jc w:val="left"/>
        <w:rPr>
          <w:sz w:val="21"/>
        </w:rPr>
      </w:pPr>
      <w:r>
        <w:rPr>
          <w:spacing w:val="-3"/>
          <w:sz w:val="21"/>
        </w:rPr>
        <w:t>已导致被保险人持续超过三个月无法独立完成六项基本日常生活活动中的三项或三项以上。</w:t>
      </w:r>
    </w:p>
    <w:p>
      <w:pPr>
        <w:pStyle w:val="BodyText"/>
        <w:spacing w:line="273" w:lineRule="auto" w:before="163"/>
        <w:ind w:left="2088" w:right="278"/>
      </w:pPr>
      <w:r>
        <w:rPr/>
        <w:t>我们承担本项疾病责任不受本合同中“遗传性疾病，先天性畸形、变形或染色体异常”的限制。</w:t>
      </w:r>
    </w:p>
    <w:p>
      <w:pPr>
        <w:pStyle w:val="ListParagraph"/>
        <w:numPr>
          <w:ilvl w:val="0"/>
          <w:numId w:val="26"/>
        </w:numPr>
        <w:tabs>
          <w:tab w:pos="2089" w:val="left" w:leader="none"/>
        </w:tabs>
        <w:spacing w:line="273" w:lineRule="auto" w:before="163" w:after="0"/>
        <w:ind w:left="2089" w:right="201" w:hanging="421"/>
        <w:jc w:val="left"/>
        <w:rPr>
          <w:sz w:val="21"/>
        </w:rPr>
      </w:pPr>
      <w:r>
        <w:rPr>
          <w:spacing w:val="-3"/>
          <w:sz w:val="21"/>
        </w:rPr>
        <w:t>植物人状态：指脑皮质广泛性坏死而导致对自身及周边的认知能力完全丧失,但脑干功能依然存在。必须由神经专科医生明确诊断,并有头颅断</w:t>
      </w:r>
      <w:r>
        <w:rPr>
          <w:spacing w:val="-5"/>
          <w:w w:val="100"/>
          <w:sz w:val="21"/>
        </w:rPr>
        <w:t>层扫描</w:t>
      </w:r>
      <w:r>
        <w:rPr>
          <w:spacing w:val="-1"/>
          <w:w w:val="100"/>
          <w:sz w:val="21"/>
        </w:rPr>
        <w:t>（</w:t>
      </w:r>
      <w:r>
        <w:rPr>
          <w:w w:val="100"/>
          <w:sz w:val="21"/>
        </w:rPr>
        <w:t>C</w:t>
      </w:r>
      <w:r>
        <w:rPr>
          <w:spacing w:val="-3"/>
          <w:w w:val="100"/>
          <w:sz w:val="21"/>
        </w:rPr>
        <w:t>T</w:t>
      </w:r>
      <w:r>
        <w:rPr>
          <w:spacing w:val="-106"/>
          <w:w w:val="100"/>
          <w:sz w:val="21"/>
        </w:rPr>
        <w:t>）</w:t>
      </w:r>
      <w:r>
        <w:rPr>
          <w:spacing w:val="-4"/>
          <w:w w:val="100"/>
          <w:sz w:val="21"/>
        </w:rPr>
        <w:t>，核磁共振检查</w:t>
      </w:r>
      <w:r>
        <w:rPr>
          <w:w w:val="100"/>
          <w:sz w:val="21"/>
        </w:rPr>
        <w:t>（M</w:t>
      </w:r>
      <w:r>
        <w:rPr>
          <w:spacing w:val="-3"/>
          <w:w w:val="100"/>
          <w:sz w:val="21"/>
        </w:rPr>
        <w:t>R</w:t>
      </w:r>
      <w:r>
        <w:rPr>
          <w:spacing w:val="-1"/>
          <w:w w:val="100"/>
          <w:sz w:val="21"/>
        </w:rPr>
        <w:t>I</w:t>
      </w:r>
      <w:r>
        <w:rPr>
          <w:spacing w:val="-5"/>
          <w:w w:val="100"/>
          <w:sz w:val="21"/>
        </w:rPr>
        <w:t>）</w:t>
      </w:r>
      <w:r>
        <w:rPr>
          <w:spacing w:val="-4"/>
          <w:w w:val="100"/>
          <w:sz w:val="21"/>
        </w:rPr>
        <w:t>或正电子发射断层扫描</w:t>
      </w:r>
      <w:r>
        <w:rPr>
          <w:w w:val="100"/>
          <w:sz w:val="21"/>
        </w:rPr>
        <w:t>（P</w:t>
      </w:r>
      <w:r>
        <w:rPr>
          <w:spacing w:val="-3"/>
          <w:w w:val="100"/>
          <w:sz w:val="21"/>
        </w:rPr>
        <w:t>E</w:t>
      </w:r>
      <w:r>
        <w:rPr>
          <w:spacing w:val="-1"/>
          <w:w w:val="100"/>
          <w:sz w:val="21"/>
        </w:rPr>
        <w:t>T</w:t>
      </w:r>
      <w:r>
        <w:rPr>
          <w:spacing w:val="-5"/>
          <w:w w:val="100"/>
          <w:sz w:val="21"/>
        </w:rPr>
        <w:t>）</w:t>
      </w:r>
      <w:r>
        <w:rPr>
          <w:spacing w:val="-2"/>
          <w:w w:val="100"/>
          <w:sz w:val="21"/>
        </w:rPr>
        <w:t>等影</w:t>
      </w:r>
      <w:r>
        <w:rPr>
          <w:spacing w:val="-3"/>
          <w:sz w:val="21"/>
        </w:rPr>
        <w:t>像学检查证实。上述情况必须有至少一个月的病历记录加以证实。</w:t>
      </w:r>
    </w:p>
    <w:p>
      <w:pPr>
        <w:pStyle w:val="Heading1"/>
        <w:spacing w:before="163"/>
        <w:ind w:left="2122"/>
      </w:pPr>
      <w:r>
        <w:rPr/>
        <w:t>由于酗酒或滥用药物所致的植物人状态不在本合同保障范围内。</w:t>
      </w:r>
    </w:p>
    <w:p>
      <w:pPr>
        <w:pStyle w:val="BodyText"/>
        <w:spacing w:before="10"/>
        <w:rPr>
          <w:b/>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溶血性链球菌引起的坏疽：指包围肢体或者躯干的浅筋膜或者深筋膜受到溶血性链球菌的感染，病情在短时间内急剧恶化，且已经立刻进行了手术及清创术。最后的诊断必须由微生物或者病理学专家进行相关检查后证实。</w:t>
      </w:r>
    </w:p>
    <w:p>
      <w:pPr>
        <w:pStyle w:val="ListParagraph"/>
        <w:numPr>
          <w:ilvl w:val="0"/>
          <w:numId w:val="26"/>
        </w:numPr>
        <w:tabs>
          <w:tab w:pos="2089" w:val="left" w:leader="none"/>
        </w:tabs>
        <w:spacing w:line="273" w:lineRule="auto" w:before="163" w:after="0"/>
        <w:ind w:left="2089" w:right="201" w:hanging="421"/>
        <w:jc w:val="both"/>
        <w:rPr>
          <w:sz w:val="21"/>
        </w:rPr>
      </w:pPr>
      <w:r>
        <w:rPr>
          <w:spacing w:val="-3"/>
          <w:sz w:val="21"/>
        </w:rPr>
        <w:t>丝虫病所致象皮肿：指因丝虫感染导致淋巴阻塞性出现严重淋巴水肿， 达到国际淋巴学会淋巴水肿分期第Ⅲ期，临床表现为肢体象皮肿，患肢</w:t>
      </w:r>
      <w:r>
        <w:rPr>
          <w:spacing w:val="-6"/>
          <w:sz w:val="21"/>
        </w:rPr>
        <w:t>较健肢增粗 </w:t>
      </w:r>
      <w:r>
        <w:rPr>
          <w:sz w:val="21"/>
        </w:rPr>
        <w:t>30</w:t>
      </w:r>
      <w:r>
        <w:rPr>
          <w:spacing w:val="-10"/>
          <w:sz w:val="21"/>
        </w:rPr>
        <w:t>%以上，日常生活不能自理。此症必须由本公司认可的专科</w:t>
      </w:r>
    </w:p>
    <w:p>
      <w:pPr>
        <w:spacing w:after="0" w:line="273" w:lineRule="auto"/>
        <w:jc w:val="both"/>
        <w:rPr>
          <w:sz w:val="21"/>
        </w:rPr>
        <w:sectPr>
          <w:pgSz w:w="11910" w:h="16840"/>
          <w:pgMar w:header="0" w:footer="925" w:top="1080" w:bottom="1200" w:left="1680" w:right="1340"/>
        </w:sectPr>
      </w:pPr>
    </w:p>
    <w:p>
      <w:pPr>
        <w:pStyle w:val="BodyText"/>
        <w:spacing w:before="22"/>
        <w:ind w:left="2088"/>
      </w:pPr>
      <w:r>
        <w:rPr/>
        <w:t>医生确诊，并且以微丝蚴化验结果阳性确认。</w:t>
      </w:r>
    </w:p>
    <w:p>
      <w:pPr>
        <w:pStyle w:val="BodyText"/>
        <w:spacing w:before="10"/>
        <w:rPr>
          <w:sz w:val="14"/>
        </w:rPr>
      </w:pPr>
    </w:p>
    <w:p>
      <w:pPr>
        <w:pStyle w:val="ListParagraph"/>
        <w:numPr>
          <w:ilvl w:val="0"/>
          <w:numId w:val="26"/>
        </w:numPr>
        <w:tabs>
          <w:tab w:pos="2089" w:val="left" w:leader="none"/>
        </w:tabs>
        <w:spacing w:line="273" w:lineRule="auto" w:before="0" w:after="0"/>
        <w:ind w:left="2089" w:right="115" w:hanging="421"/>
        <w:jc w:val="left"/>
        <w:rPr>
          <w:sz w:val="21"/>
        </w:rPr>
      </w:pPr>
      <w:r>
        <w:rPr>
          <w:spacing w:val="-3"/>
          <w:sz w:val="21"/>
        </w:rPr>
        <w:t>埃博拉病毒感染：受埃博拉病毒感染导致出血性发热。埃博拉病必须经 </w:t>
      </w:r>
      <w:r>
        <w:rPr>
          <w:spacing w:val="-6"/>
          <w:sz w:val="21"/>
        </w:rPr>
        <w:t>传染病专科医生确诊，并且埃博拉病毒的存在必须经过实验室检查证实。</w:t>
      </w:r>
      <w:r>
        <w:rPr>
          <w:spacing w:val="-4"/>
          <w:sz w:val="21"/>
        </w:rPr>
        <w:t>该病必须从症状开始后三十天后持续出现并发症。</w:t>
      </w:r>
    </w:p>
    <w:p>
      <w:pPr>
        <w:pStyle w:val="ListParagraph"/>
        <w:numPr>
          <w:ilvl w:val="0"/>
          <w:numId w:val="26"/>
        </w:numPr>
        <w:tabs>
          <w:tab w:pos="2089" w:val="left" w:leader="none"/>
        </w:tabs>
        <w:spacing w:line="273" w:lineRule="auto" w:before="163" w:after="0"/>
        <w:ind w:left="2089" w:right="221" w:hanging="421"/>
        <w:jc w:val="left"/>
        <w:rPr>
          <w:sz w:val="21"/>
        </w:rPr>
      </w:pPr>
      <w:r>
        <w:rPr>
          <w:spacing w:val="-4"/>
          <w:sz w:val="21"/>
        </w:rPr>
        <w:t>经输血导致的人类免疫缺陷病毒</w:t>
      </w:r>
      <w:r>
        <w:rPr>
          <w:spacing w:val="-3"/>
          <w:sz w:val="21"/>
        </w:rPr>
        <w:t>（HIV）</w:t>
      </w:r>
      <w:r>
        <w:rPr>
          <w:spacing w:val="-5"/>
          <w:sz w:val="21"/>
        </w:rPr>
        <w:t>感染：被保险人感染上人类免疫</w:t>
      </w:r>
      <w:r>
        <w:rPr>
          <w:spacing w:val="-2"/>
          <w:sz w:val="21"/>
        </w:rPr>
        <w:t>缺陷病毒</w:t>
      </w:r>
      <w:r>
        <w:rPr>
          <w:spacing w:val="-1"/>
          <w:sz w:val="21"/>
        </w:rPr>
        <w:t>（HIV）</w:t>
      </w:r>
      <w:r>
        <w:rPr>
          <w:spacing w:val="-3"/>
          <w:sz w:val="21"/>
        </w:rPr>
        <w:t>并且须满足下列全部条件：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4"/>
          <w:w w:val="100"/>
          <w:sz w:val="21"/>
        </w:rPr>
        <w:t>被保险人因疾病接受输血治疗而感染人类免疫缺陷病毒</w:t>
      </w:r>
      <w:r>
        <w:rPr>
          <w:spacing w:val="-3"/>
          <w:w w:val="100"/>
          <w:sz w:val="21"/>
        </w:rPr>
        <w:t>（</w:t>
      </w:r>
      <w:r>
        <w:rPr>
          <w:w w:val="100"/>
          <w:sz w:val="21"/>
        </w:rPr>
        <w:t>HI</w:t>
      </w:r>
      <w:r>
        <w:rPr>
          <w:spacing w:val="-3"/>
          <w:w w:val="100"/>
          <w:sz w:val="21"/>
        </w:rPr>
        <w:t>V</w:t>
      </w:r>
      <w:r>
        <w:rPr>
          <w:spacing w:val="-108"/>
          <w:w w:val="100"/>
          <w:sz w:val="21"/>
        </w:rPr>
        <w:t>）；</w:t>
      </w:r>
    </w:p>
    <w:p>
      <w:pPr>
        <w:pStyle w:val="BodyText"/>
        <w:spacing w:before="9"/>
        <w:rPr>
          <w:sz w:val="14"/>
        </w:rPr>
      </w:pPr>
    </w:p>
    <w:p>
      <w:pPr>
        <w:pStyle w:val="ListParagraph"/>
        <w:numPr>
          <w:ilvl w:val="1"/>
          <w:numId w:val="26"/>
        </w:numPr>
        <w:tabs>
          <w:tab w:pos="2929" w:val="left" w:leader="none"/>
        </w:tabs>
        <w:spacing w:line="273" w:lineRule="auto" w:before="1" w:after="0"/>
        <w:ind w:left="2962" w:right="298" w:hanging="420"/>
        <w:jc w:val="left"/>
        <w:rPr>
          <w:sz w:val="21"/>
        </w:rPr>
      </w:pPr>
      <w:r>
        <w:rPr>
          <w:spacing w:val="-3"/>
          <w:sz w:val="21"/>
        </w:rPr>
        <w:t>提供输血治疗的输血中心或医院出具该项输血感染属医疗责任事故的报告，或经法院终审判决为医疗责任；</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提供输血治疗的输血中心或医院必须拥有合法经营执照；</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受感染的被保险人不是血友病患者。</w:t>
      </w:r>
    </w:p>
    <w:p>
      <w:pPr>
        <w:pStyle w:val="BodyText"/>
        <w:spacing w:before="10"/>
        <w:rPr>
          <w:sz w:val="14"/>
        </w:rPr>
      </w:pPr>
    </w:p>
    <w:p>
      <w:pPr>
        <w:pStyle w:val="Heading1"/>
        <w:spacing w:line="273" w:lineRule="auto"/>
        <w:ind w:left="2122" w:right="243"/>
      </w:pPr>
      <w:r>
        <w:rPr/>
        <w:t>任何因其它传播方式（包括：性传播或静脉注射毒品）导致的人类免疫缺陷病毒（HIV）感染不在本合同保障范围内。</w:t>
      </w:r>
    </w:p>
    <w:p>
      <w:pPr>
        <w:pStyle w:val="BodyText"/>
        <w:spacing w:line="273" w:lineRule="auto" w:before="163"/>
        <w:ind w:left="2122" w:right="264"/>
      </w:pPr>
      <w:r>
        <w:rPr/>
        <w:t>我们必须拥有获得使用被保险人的所有血液样本的权利和能够对这些样本进行独立检验的权利。</w:t>
      </w:r>
    </w:p>
    <w:p>
      <w:pPr>
        <w:pStyle w:val="BodyText"/>
        <w:spacing w:line="273" w:lineRule="auto" w:before="163"/>
        <w:ind w:left="2122" w:right="264"/>
      </w:pPr>
      <w:r>
        <w:rPr/>
        <w:t>我们承担本项疾病责任不受本合同“被保险人感染艾滋病病毒或患艾滋病”的限制。</w:t>
      </w:r>
    </w:p>
    <w:p>
      <w:pPr>
        <w:pStyle w:val="ListParagraph"/>
        <w:numPr>
          <w:ilvl w:val="0"/>
          <w:numId w:val="26"/>
        </w:numPr>
        <w:tabs>
          <w:tab w:pos="2089" w:val="left" w:leader="none"/>
        </w:tabs>
        <w:spacing w:line="273" w:lineRule="auto" w:before="163" w:after="0"/>
        <w:ind w:left="2089" w:right="221" w:hanging="421"/>
        <w:jc w:val="left"/>
        <w:rPr>
          <w:sz w:val="21"/>
        </w:rPr>
      </w:pPr>
      <w:r>
        <w:rPr>
          <w:spacing w:val="-4"/>
          <w:sz w:val="21"/>
        </w:rPr>
        <w:t>因职业关系导致的人类免疫缺陷病毒</w:t>
      </w:r>
      <w:r>
        <w:rPr>
          <w:spacing w:val="-3"/>
          <w:sz w:val="21"/>
        </w:rPr>
        <w:t>（HIV）</w:t>
      </w:r>
      <w:r>
        <w:rPr>
          <w:spacing w:val="-4"/>
          <w:sz w:val="21"/>
        </w:rPr>
        <w:t>感染：被保险人在其常规职</w:t>
      </w:r>
      <w:r>
        <w:rPr>
          <w:spacing w:val="-3"/>
          <w:sz w:val="21"/>
        </w:rPr>
        <w:t>业工作过程中遭遇外伤，或职业需要处理血液或其它体液时感染上人类</w:t>
      </w:r>
      <w:r>
        <w:rPr>
          <w:spacing w:val="-3"/>
          <w:w w:val="100"/>
          <w:sz w:val="21"/>
        </w:rPr>
        <w:t>免疫缺陷病毒（</w:t>
      </w:r>
      <w:r>
        <w:rPr>
          <w:w w:val="100"/>
          <w:sz w:val="21"/>
        </w:rPr>
        <w:t>HIV</w:t>
      </w:r>
      <w:r>
        <w:rPr>
          <w:spacing w:val="-108"/>
          <w:w w:val="100"/>
          <w:sz w:val="21"/>
        </w:rPr>
        <w:t>）</w:t>
      </w:r>
      <w:r>
        <w:rPr>
          <w:spacing w:val="-3"/>
          <w:w w:val="100"/>
          <w:sz w:val="21"/>
        </w:rPr>
        <w:t>。必须满足下列全部条件：</w:t>
      </w:r>
    </w:p>
    <w:p>
      <w:pPr>
        <w:pStyle w:val="ListParagraph"/>
        <w:numPr>
          <w:ilvl w:val="1"/>
          <w:numId w:val="26"/>
        </w:numPr>
        <w:tabs>
          <w:tab w:pos="2929" w:val="left" w:leader="none"/>
        </w:tabs>
        <w:spacing w:line="273" w:lineRule="auto" w:before="164" w:after="0"/>
        <w:ind w:left="2962" w:right="298" w:hanging="420"/>
        <w:jc w:val="left"/>
        <w:rPr>
          <w:sz w:val="21"/>
        </w:rPr>
      </w:pPr>
      <w:r>
        <w:rPr>
          <w:spacing w:val="-3"/>
          <w:sz w:val="21"/>
        </w:rPr>
        <w:t>感染必须是在被保险人正在从事其职业工作中发生，该职业必须属于下列限定职业范围内的职业；</w:t>
      </w:r>
    </w:p>
    <w:p>
      <w:pPr>
        <w:pStyle w:val="ListParagraph"/>
        <w:numPr>
          <w:ilvl w:val="1"/>
          <w:numId w:val="26"/>
        </w:numPr>
        <w:tabs>
          <w:tab w:pos="2929" w:val="left" w:leader="none"/>
        </w:tabs>
        <w:spacing w:line="240" w:lineRule="auto" w:before="164" w:after="0"/>
        <w:ind w:left="2962" w:right="0" w:hanging="420"/>
        <w:jc w:val="left"/>
        <w:rPr>
          <w:sz w:val="21"/>
        </w:rPr>
      </w:pPr>
      <w:r>
        <w:rPr>
          <w:spacing w:val="-6"/>
          <w:sz w:val="21"/>
        </w:rPr>
        <w:t>血清转化必须出现在事故发生后的 </w:t>
      </w:r>
      <w:r>
        <w:rPr>
          <w:sz w:val="21"/>
        </w:rPr>
        <w:t>6</w:t>
      </w:r>
      <w:r>
        <w:rPr>
          <w:spacing w:val="-10"/>
          <w:sz w:val="21"/>
        </w:rPr>
        <w:t> 个月以内；</w:t>
      </w:r>
    </w:p>
    <w:p>
      <w:pPr>
        <w:pStyle w:val="BodyText"/>
        <w:spacing w:before="10"/>
        <w:rPr>
          <w:sz w:val="14"/>
        </w:rPr>
      </w:pPr>
    </w:p>
    <w:p>
      <w:pPr>
        <w:pStyle w:val="ListParagraph"/>
        <w:numPr>
          <w:ilvl w:val="1"/>
          <w:numId w:val="26"/>
        </w:numPr>
        <w:tabs>
          <w:tab w:pos="2929" w:val="left" w:leader="none"/>
        </w:tabs>
        <w:spacing w:line="273" w:lineRule="auto" w:before="0" w:after="0"/>
        <w:ind w:left="2962" w:right="240" w:hanging="420"/>
        <w:jc w:val="both"/>
        <w:rPr>
          <w:sz w:val="21"/>
        </w:rPr>
      </w:pPr>
      <w:r>
        <w:rPr>
          <w:spacing w:val="-6"/>
          <w:sz w:val="21"/>
        </w:rPr>
        <w:t>必须提供被保险人在所报事故发生后的 </w:t>
      </w:r>
      <w:r>
        <w:rPr>
          <w:sz w:val="21"/>
        </w:rPr>
        <w:t>5</w:t>
      </w:r>
      <w:r>
        <w:rPr>
          <w:spacing w:val="-8"/>
          <w:sz w:val="21"/>
        </w:rPr>
        <w:t> 天以内进行的检查报告，该报告必须显示被保险人血液人类免疫缺陷病毒</w:t>
      </w:r>
      <w:r>
        <w:rPr>
          <w:spacing w:val="-6"/>
          <w:sz w:val="21"/>
        </w:rPr>
        <w:t>（HIV）</w:t>
      </w:r>
      <w:r>
        <w:rPr>
          <w:spacing w:val="-20"/>
          <w:sz w:val="21"/>
        </w:rPr>
        <w:t>阴</w:t>
      </w:r>
      <w:r>
        <w:rPr>
          <w:spacing w:val="-1"/>
          <w:sz w:val="21"/>
        </w:rPr>
        <w:t>性和</w:t>
      </w:r>
      <w:r>
        <w:rPr>
          <w:spacing w:val="-3"/>
          <w:sz w:val="21"/>
        </w:rPr>
        <w:t>/或人类免疫缺陷病毒</w:t>
      </w:r>
      <w:r>
        <w:rPr>
          <w:sz w:val="21"/>
        </w:rPr>
        <w:t>（HIV）</w:t>
      </w:r>
      <w:r>
        <w:rPr>
          <w:spacing w:val="-3"/>
          <w:sz w:val="21"/>
        </w:rPr>
        <w:t>抗体阴性；</w:t>
      </w:r>
    </w:p>
    <w:p>
      <w:pPr>
        <w:pStyle w:val="ListParagraph"/>
        <w:numPr>
          <w:ilvl w:val="1"/>
          <w:numId w:val="26"/>
        </w:numPr>
        <w:tabs>
          <w:tab w:pos="2929" w:val="left" w:leader="none"/>
        </w:tabs>
        <w:spacing w:line="273" w:lineRule="auto" w:before="163" w:after="0"/>
        <w:ind w:left="2962" w:right="221" w:hanging="420"/>
        <w:jc w:val="left"/>
        <w:rPr>
          <w:sz w:val="21"/>
        </w:rPr>
      </w:pPr>
      <w:r>
        <w:rPr>
          <w:spacing w:val="-8"/>
          <w:sz w:val="21"/>
        </w:rPr>
        <w:t>必须在事故发生后的 </w:t>
      </w:r>
      <w:r>
        <w:rPr>
          <w:sz w:val="21"/>
        </w:rPr>
        <w:t>12</w:t>
      </w:r>
      <w:r>
        <w:rPr>
          <w:spacing w:val="-9"/>
          <w:sz w:val="21"/>
        </w:rPr>
        <w:t> 个月内证实被保险人体内存在人类免疫</w:t>
      </w:r>
      <w:r>
        <w:rPr>
          <w:spacing w:val="-2"/>
          <w:sz w:val="21"/>
        </w:rPr>
        <w:t>缺陷病毒</w:t>
      </w:r>
      <w:r>
        <w:rPr>
          <w:spacing w:val="-1"/>
          <w:sz w:val="21"/>
        </w:rPr>
        <w:t>（HIV）</w:t>
      </w:r>
      <w:r>
        <w:rPr>
          <w:spacing w:val="-3"/>
          <w:sz w:val="21"/>
        </w:rPr>
        <w:t>或人类免疫缺陷病毒</w:t>
      </w:r>
      <w:r>
        <w:rPr>
          <w:spacing w:val="-1"/>
          <w:sz w:val="21"/>
        </w:rPr>
        <w:t>（HIV）</w:t>
      </w:r>
      <w:r>
        <w:rPr>
          <w:spacing w:val="-2"/>
          <w:sz w:val="21"/>
        </w:rPr>
        <w:t>抗体。</w:t>
      </w:r>
    </w:p>
    <w:p>
      <w:pPr>
        <w:pStyle w:val="BodyText"/>
        <w:spacing w:before="163"/>
        <w:ind w:left="2122"/>
      </w:pPr>
      <w:r>
        <w:rPr/>
        <w:t>限定职业：</w:t>
      </w:r>
    </w:p>
    <w:p>
      <w:pPr>
        <w:pStyle w:val="BodyText"/>
        <w:spacing w:before="9"/>
        <w:rPr>
          <w:sz w:val="14"/>
        </w:rPr>
      </w:pPr>
    </w:p>
    <w:p>
      <w:pPr>
        <w:pStyle w:val="BodyText"/>
        <w:spacing w:line="273" w:lineRule="auto" w:before="1"/>
        <w:ind w:left="2122" w:right="264"/>
      </w:pPr>
      <w:r>
        <w:rPr/>
        <w:t>医生和牙科医生、护士、实验室工作人员、医院护工、医生助理和牙医助理、救护车工作人员、助产士、消防队员、警察、狱警。</w:t>
      </w:r>
    </w:p>
    <w:p>
      <w:pPr>
        <w:pStyle w:val="Heading1"/>
        <w:spacing w:line="273" w:lineRule="auto" w:before="164"/>
        <w:ind w:left="2122" w:right="243"/>
      </w:pPr>
      <w:r>
        <w:rPr/>
        <w:t>任何因其它传播方式（包括：性传播或静脉注射毒品）导致的人类免疫缺陷病毒（HIV）感染不在本合同保障范围内。</w:t>
      </w:r>
    </w:p>
    <w:p>
      <w:pPr>
        <w:pStyle w:val="BodyText"/>
        <w:spacing w:line="273" w:lineRule="auto" w:before="164"/>
        <w:ind w:left="2122" w:right="264"/>
      </w:pPr>
      <w:r>
        <w:rPr/>
        <w:t>我们必须拥有获得使用被保险人的所有血液样本的权利和能够对这些样本进行独立检验的权利。</w:t>
      </w:r>
    </w:p>
    <w:p>
      <w:pPr>
        <w:pStyle w:val="BodyText"/>
        <w:spacing w:before="163"/>
        <w:ind w:left="2122"/>
      </w:pPr>
      <w:r>
        <w:rPr/>
        <w:t>我们承担本项疾病责任不受本合同“被保险人感染艾滋病病毒或患艾滋</w:t>
      </w:r>
    </w:p>
    <w:p>
      <w:pPr>
        <w:spacing w:after="0"/>
        <w:sectPr>
          <w:pgSz w:w="11910" w:h="16840"/>
          <w:pgMar w:header="0" w:footer="925" w:top="1080" w:bottom="1200" w:left="1680" w:right="1320"/>
        </w:sectPr>
      </w:pPr>
    </w:p>
    <w:p>
      <w:pPr>
        <w:pStyle w:val="BodyText"/>
        <w:spacing w:before="22"/>
        <w:ind w:left="2122"/>
      </w:pPr>
      <w:r>
        <w:rPr/>
        <w:t>病”的限制。</w:t>
      </w:r>
    </w:p>
    <w:p>
      <w:pPr>
        <w:pStyle w:val="BodyText"/>
        <w:spacing w:before="10"/>
        <w:rPr>
          <w:sz w:val="14"/>
        </w:rPr>
      </w:pPr>
    </w:p>
    <w:p>
      <w:pPr>
        <w:pStyle w:val="ListParagraph"/>
        <w:numPr>
          <w:ilvl w:val="0"/>
          <w:numId w:val="26"/>
        </w:numPr>
        <w:tabs>
          <w:tab w:pos="2089" w:val="left" w:leader="none"/>
        </w:tabs>
        <w:spacing w:line="273" w:lineRule="auto" w:before="0" w:after="0"/>
        <w:ind w:left="2089" w:right="101" w:hanging="421"/>
        <w:jc w:val="both"/>
        <w:rPr>
          <w:sz w:val="21"/>
        </w:rPr>
      </w:pPr>
      <w:r>
        <w:rPr>
          <w:spacing w:val="-4"/>
          <w:sz w:val="21"/>
        </w:rPr>
        <w:t>器官移植导致的人类免疫缺陷病毒</w:t>
      </w:r>
      <w:r>
        <w:rPr>
          <w:spacing w:val="-3"/>
          <w:sz w:val="21"/>
        </w:rPr>
        <w:t>（HIV）</w:t>
      </w:r>
      <w:r>
        <w:rPr>
          <w:spacing w:val="-5"/>
          <w:sz w:val="21"/>
        </w:rPr>
        <w:t>感染：指因进行器官移植而感</w:t>
      </w:r>
      <w:r>
        <w:rPr>
          <w:spacing w:val="-4"/>
          <w:w w:val="100"/>
          <w:sz w:val="21"/>
        </w:rPr>
        <w:t>染上人类免疫缺陷病毒</w:t>
      </w:r>
      <w:r>
        <w:rPr>
          <w:spacing w:val="-3"/>
          <w:w w:val="100"/>
          <w:sz w:val="21"/>
        </w:rPr>
        <w:t>（H</w:t>
      </w:r>
      <w:r>
        <w:rPr>
          <w:w w:val="100"/>
          <w:sz w:val="21"/>
        </w:rPr>
        <w:t>IV</w:t>
      </w:r>
      <w:r>
        <w:rPr>
          <w:spacing w:val="-106"/>
          <w:w w:val="100"/>
          <w:sz w:val="21"/>
        </w:rPr>
        <w:t>）</w:t>
      </w:r>
      <w:r>
        <w:rPr>
          <w:spacing w:val="-3"/>
          <w:w w:val="100"/>
          <w:sz w:val="21"/>
        </w:rPr>
        <w:t>，且须满足下列全部条件：</w:t>
      </w:r>
    </w:p>
    <w:p>
      <w:pPr>
        <w:pStyle w:val="ListParagraph"/>
        <w:numPr>
          <w:ilvl w:val="1"/>
          <w:numId w:val="26"/>
        </w:numPr>
        <w:tabs>
          <w:tab w:pos="2929" w:val="left" w:leader="none"/>
        </w:tabs>
        <w:spacing w:line="273" w:lineRule="auto" w:before="163" w:after="0"/>
        <w:ind w:left="2962" w:right="178" w:hanging="420"/>
        <w:jc w:val="left"/>
        <w:rPr>
          <w:sz w:val="21"/>
        </w:rPr>
      </w:pPr>
      <w:r>
        <w:rPr>
          <w:spacing w:val="-3"/>
          <w:sz w:val="21"/>
        </w:rPr>
        <w:t>被保险人因治疗必需而实施器官移植，并且因器官移植而感染</w:t>
      </w:r>
      <w:r>
        <w:rPr>
          <w:spacing w:val="-3"/>
          <w:w w:val="100"/>
          <w:sz w:val="21"/>
        </w:rPr>
        <w:t>人类免疫缺陷病毒（</w:t>
      </w:r>
      <w:r>
        <w:rPr>
          <w:w w:val="100"/>
          <w:sz w:val="21"/>
        </w:rPr>
        <w:t>HIV</w:t>
      </w:r>
      <w:r>
        <w:rPr>
          <w:spacing w:val="-108"/>
          <w:w w:val="100"/>
          <w:sz w:val="21"/>
        </w:rPr>
        <w:t>）</w:t>
      </w:r>
      <w:r>
        <w:rPr>
          <w:w w:val="100"/>
          <w:sz w:val="21"/>
        </w:rPr>
        <w:t>；</w:t>
      </w:r>
    </w:p>
    <w:p>
      <w:pPr>
        <w:pStyle w:val="ListParagraph"/>
        <w:numPr>
          <w:ilvl w:val="1"/>
          <w:numId w:val="26"/>
        </w:numPr>
        <w:tabs>
          <w:tab w:pos="2929" w:val="left" w:leader="none"/>
        </w:tabs>
        <w:spacing w:line="273" w:lineRule="auto" w:before="163" w:after="0"/>
        <w:ind w:left="2962" w:right="144" w:hanging="420"/>
        <w:jc w:val="both"/>
        <w:rPr>
          <w:sz w:val="21"/>
        </w:rPr>
      </w:pPr>
      <w:r>
        <w:rPr>
          <w:spacing w:val="-3"/>
          <w:sz w:val="21"/>
        </w:rPr>
        <w:t>提供器官移植治疗的器官移植中心或医院出具该项器官移植感染，属于医疗责任事故的报告，或者法院终审裁定为医疗责任并且不准上诉；</w:t>
      </w:r>
    </w:p>
    <w:p>
      <w:pPr>
        <w:pStyle w:val="ListParagraph"/>
        <w:numPr>
          <w:ilvl w:val="1"/>
          <w:numId w:val="26"/>
        </w:numPr>
        <w:tabs>
          <w:tab w:pos="2929" w:val="left" w:leader="none"/>
        </w:tabs>
        <w:spacing w:line="273" w:lineRule="auto" w:before="163" w:after="0"/>
        <w:ind w:left="2962" w:right="178" w:hanging="420"/>
        <w:jc w:val="left"/>
        <w:rPr>
          <w:sz w:val="21"/>
        </w:rPr>
      </w:pPr>
      <w:r>
        <w:rPr>
          <w:spacing w:val="-3"/>
          <w:sz w:val="21"/>
        </w:rPr>
        <w:t>提供器官移植治疗的器官移植中心或医院必须拥有合法经营执照。</w:t>
      </w:r>
    </w:p>
    <w:p>
      <w:pPr>
        <w:pStyle w:val="BodyText"/>
        <w:spacing w:line="273" w:lineRule="auto" w:before="163"/>
        <w:ind w:left="2088" w:right="81"/>
      </w:pPr>
      <w:r>
        <w:rPr/>
        <w:t>在任何治愈艾滋病或阻止人类免疫缺陷病毒（HIV）病毒作用的疗法被发现以后，或能防止艾滋病发生的医疗方法被研究出来以后，本保障将不再予以赔付。</w:t>
      </w:r>
    </w:p>
    <w:p>
      <w:pPr>
        <w:pStyle w:val="BodyText"/>
        <w:spacing w:line="273" w:lineRule="auto" w:before="163"/>
        <w:ind w:left="2088" w:right="178"/>
      </w:pPr>
      <w:r>
        <w:rPr/>
        <w:t>我们承担本项疾病责任不受本合同“被保险人感染艾滋病病毒或患艾滋病”的限制。</w:t>
      </w:r>
    </w:p>
    <w:p>
      <w:pPr>
        <w:pStyle w:val="ListParagraph"/>
        <w:numPr>
          <w:ilvl w:val="0"/>
          <w:numId w:val="26"/>
        </w:numPr>
        <w:tabs>
          <w:tab w:pos="2089" w:val="left" w:leader="none"/>
        </w:tabs>
        <w:spacing w:line="273" w:lineRule="auto" w:before="163" w:after="0"/>
        <w:ind w:left="2089" w:right="178" w:hanging="421"/>
        <w:jc w:val="both"/>
        <w:rPr>
          <w:sz w:val="21"/>
        </w:rPr>
      </w:pPr>
      <w:r>
        <w:rPr>
          <w:spacing w:val="-3"/>
          <w:sz w:val="21"/>
        </w:rPr>
        <w:t>严重原发性骨髓纤维化：原发性骨髓纤维化为原因不明的骨髓中成纤维细胞增殖，伴有髓外造血，表现为进行性贫血、脾肿大等症状。本病必须根据骨髓的活组织检查和周围血象检查由本公司认可的血液科专科医</w:t>
      </w:r>
      <w:r>
        <w:rPr>
          <w:spacing w:val="-5"/>
          <w:sz w:val="21"/>
        </w:rPr>
        <w:t>生明确诊断，至少符合下列条件中的三项，且符合条件的状态持续 </w:t>
      </w:r>
      <w:r>
        <w:rPr>
          <w:sz w:val="21"/>
        </w:rPr>
        <w:t>180 </w:t>
      </w:r>
      <w:r>
        <w:rPr>
          <w:spacing w:val="-3"/>
          <w:sz w:val="21"/>
        </w:rPr>
        <w:t>天及以上，并已经实际接受了针对此症的治疗：</w:t>
      </w:r>
    </w:p>
    <w:p>
      <w:pPr>
        <w:pStyle w:val="ListParagraph"/>
        <w:numPr>
          <w:ilvl w:val="1"/>
          <w:numId w:val="26"/>
        </w:numPr>
        <w:tabs>
          <w:tab w:pos="2929" w:val="left" w:leader="none"/>
        </w:tabs>
        <w:spacing w:line="240" w:lineRule="auto" w:before="163" w:after="0"/>
        <w:ind w:left="2929" w:right="0" w:hanging="387"/>
        <w:jc w:val="left"/>
        <w:rPr>
          <w:sz w:val="21"/>
        </w:rPr>
      </w:pPr>
      <w:r>
        <w:rPr>
          <w:spacing w:val="-2"/>
          <w:sz w:val="21"/>
        </w:rPr>
        <w:t>血红蛋白&lt;</w:t>
      </w:r>
      <w:r>
        <w:rPr>
          <w:spacing w:val="-1"/>
          <w:sz w:val="21"/>
        </w:rPr>
        <w:t>100g/L；</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白细胞计数</w:t>
      </w:r>
      <w:r>
        <w:rPr>
          <w:sz w:val="21"/>
        </w:rPr>
        <w:t>&gt;25</w:t>
      </w:r>
      <w:r>
        <w:rPr>
          <w:spacing w:val="0"/>
          <w:sz w:val="21"/>
        </w:rPr>
        <w:t> </w:t>
      </w:r>
      <w:r>
        <w:rPr>
          <w:sz w:val="21"/>
        </w:rPr>
        <w:t>x</w:t>
      </w:r>
      <w:r>
        <w:rPr>
          <w:spacing w:val="2"/>
          <w:sz w:val="21"/>
        </w:rPr>
        <w:t> </w:t>
      </w:r>
      <w:r>
        <w:rPr>
          <w:sz w:val="21"/>
        </w:rPr>
        <w:t>10</w:t>
      </w:r>
      <w:r>
        <w:rPr>
          <w:position w:val="11"/>
          <w:sz w:val="11"/>
        </w:rPr>
        <w:t>9</w:t>
      </w:r>
      <w:r>
        <w:rPr>
          <w:sz w:val="21"/>
        </w:rPr>
        <w:t>/L；</w:t>
      </w:r>
    </w:p>
    <w:p>
      <w:pPr>
        <w:pStyle w:val="ListParagraph"/>
        <w:numPr>
          <w:ilvl w:val="1"/>
          <w:numId w:val="26"/>
        </w:numPr>
        <w:tabs>
          <w:tab w:pos="2929" w:val="left" w:leader="none"/>
        </w:tabs>
        <w:spacing w:line="240" w:lineRule="auto" w:before="192" w:after="0"/>
        <w:ind w:left="2929" w:right="0" w:hanging="387"/>
        <w:jc w:val="left"/>
        <w:rPr>
          <w:sz w:val="21"/>
        </w:rPr>
      </w:pPr>
      <w:r>
        <w:rPr>
          <w:spacing w:val="-2"/>
          <w:sz w:val="21"/>
        </w:rPr>
        <w:t>外周血原始细胞 ≥ </w:t>
      </w:r>
      <w:r>
        <w:rPr>
          <w:sz w:val="21"/>
        </w:rPr>
        <w:t>1%；</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血小板计数</w:t>
      </w:r>
      <w:r>
        <w:rPr>
          <w:sz w:val="21"/>
        </w:rPr>
        <w:t>&lt;100</w:t>
      </w:r>
      <w:r>
        <w:rPr>
          <w:spacing w:val="0"/>
          <w:sz w:val="21"/>
        </w:rPr>
        <w:t> </w:t>
      </w:r>
      <w:r>
        <w:rPr>
          <w:sz w:val="21"/>
        </w:rPr>
        <w:t>x</w:t>
      </w:r>
      <w:r>
        <w:rPr>
          <w:spacing w:val="2"/>
          <w:sz w:val="21"/>
        </w:rPr>
        <w:t> </w:t>
      </w:r>
      <w:r>
        <w:rPr>
          <w:sz w:val="21"/>
        </w:rPr>
        <w:t>10</w:t>
      </w:r>
      <w:r>
        <w:rPr>
          <w:position w:val="11"/>
          <w:sz w:val="11"/>
        </w:rPr>
        <w:t>9</w:t>
      </w:r>
      <w:r>
        <w:rPr>
          <w:sz w:val="21"/>
        </w:rPr>
        <w:t>/L。</w:t>
      </w:r>
    </w:p>
    <w:p>
      <w:pPr>
        <w:pStyle w:val="Heading1"/>
        <w:spacing w:before="192"/>
        <w:ind w:left="2122"/>
      </w:pPr>
      <w:r>
        <w:rPr/>
        <w:t>任何其它病因导致的继发性骨髓纤维化不在本合同保障范围内。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178" w:hanging="421"/>
        <w:jc w:val="both"/>
        <w:rPr>
          <w:sz w:val="21"/>
        </w:rPr>
      </w:pPr>
      <w:r>
        <w:rPr>
          <w:spacing w:val="-3"/>
          <w:sz w:val="21"/>
        </w:rPr>
        <w:t>胰腺移植：指因胰腺功能衰竭，已经实施了在全身麻醉下进行的胰腺的异体器官移植手术（供体必须是人体器官</w:t>
      </w:r>
      <w:r>
        <w:rPr>
          <w:spacing w:val="-106"/>
          <w:sz w:val="21"/>
        </w:rPr>
        <w:t>）</w:t>
      </w:r>
      <w:r>
        <w:rPr>
          <w:sz w:val="21"/>
        </w:rPr>
        <w:t>。</w:t>
      </w:r>
    </w:p>
    <w:p>
      <w:pPr>
        <w:pStyle w:val="Heading1"/>
        <w:spacing w:before="163"/>
        <w:ind w:left="2122"/>
      </w:pPr>
      <w:r>
        <w:rPr/>
        <w:t>单纯胰岛移植、部分胰腺组织或细胞的移植不在本合同保障范围内。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178" w:hanging="421"/>
        <w:jc w:val="both"/>
        <w:rPr>
          <w:sz w:val="21"/>
        </w:rPr>
      </w:pPr>
      <w:r>
        <w:rPr>
          <w:spacing w:val="-3"/>
          <w:sz w:val="21"/>
        </w:rPr>
        <w:t>嗜铬细胞瘤：指肾上腺或者肾上腺外嗜铬外组织出现神经内分泌肿瘤， 并分泌过多的儿茶酚胺类，需要确实进行手术以切除肿瘤。</w:t>
      </w:r>
    </w:p>
    <w:p>
      <w:pPr>
        <w:pStyle w:val="ListParagraph"/>
        <w:numPr>
          <w:ilvl w:val="0"/>
          <w:numId w:val="26"/>
        </w:numPr>
        <w:tabs>
          <w:tab w:pos="2089" w:val="left" w:leader="none"/>
        </w:tabs>
        <w:spacing w:line="273" w:lineRule="auto" w:before="164" w:after="0"/>
        <w:ind w:left="2089" w:right="178" w:hanging="421"/>
        <w:jc w:val="both"/>
        <w:rPr>
          <w:sz w:val="21"/>
        </w:rPr>
      </w:pPr>
      <w:r>
        <w:rPr>
          <w:spacing w:val="-3"/>
          <w:sz w:val="21"/>
        </w:rPr>
        <w:t>重症骨髓增生异常综合征：骨髓增生异常综合征是起源于造血干细胞的一组骨髓克隆增生异常的疾病，表现为无效造血、难治性血细胞减少， 有转化为急性髓系白血病的风险。被保险人根据外周血和骨髓活检被本公司认可的血液科专科医生明确诊断为骨髓增生异常综合征，并且须满足下列全部条件：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w w:val="100"/>
          <w:sz w:val="21"/>
        </w:rPr>
        <w:t>FAB</w:t>
      </w:r>
      <w:r>
        <w:rPr>
          <w:spacing w:val="-53"/>
          <w:sz w:val="21"/>
        </w:rPr>
        <w:t> </w:t>
      </w:r>
      <w:r>
        <w:rPr>
          <w:spacing w:val="-3"/>
          <w:w w:val="100"/>
          <w:sz w:val="21"/>
        </w:rPr>
        <w:t>分类为难治性贫血伴原始细胞增多（</w:t>
      </w:r>
      <w:r>
        <w:rPr>
          <w:w w:val="100"/>
          <w:sz w:val="21"/>
        </w:rPr>
        <w:t>RAE</w:t>
      </w:r>
      <w:r>
        <w:rPr>
          <w:spacing w:val="-2"/>
          <w:w w:val="100"/>
          <w:sz w:val="21"/>
        </w:rPr>
        <w:t>B</w:t>
      </w:r>
      <w:r>
        <w:rPr>
          <w:spacing w:val="-106"/>
          <w:w w:val="100"/>
          <w:sz w:val="21"/>
        </w:rPr>
        <w:t>）</w:t>
      </w:r>
      <w:r>
        <w:rPr>
          <w:w w:val="100"/>
          <w:sz w:val="21"/>
        </w:rPr>
        <w:t>；</w:t>
      </w:r>
    </w:p>
    <w:p>
      <w:pPr>
        <w:spacing w:after="0" w:line="240" w:lineRule="auto"/>
        <w:jc w:val="left"/>
        <w:rPr>
          <w:sz w:val="21"/>
        </w:rPr>
        <w:sectPr>
          <w:pgSz w:w="11910" w:h="16840"/>
          <w:pgMar w:header="0" w:footer="925" w:top="1080" w:bottom="1200" w:left="1680" w:right="1440"/>
        </w:sectPr>
      </w:pPr>
    </w:p>
    <w:p>
      <w:pPr>
        <w:pStyle w:val="ListParagraph"/>
        <w:numPr>
          <w:ilvl w:val="1"/>
          <w:numId w:val="26"/>
        </w:numPr>
        <w:tabs>
          <w:tab w:pos="2929" w:val="left" w:leader="none"/>
        </w:tabs>
        <w:spacing w:line="273" w:lineRule="auto" w:before="22" w:after="0"/>
        <w:ind w:left="2962" w:right="303" w:hanging="420"/>
        <w:jc w:val="left"/>
        <w:rPr>
          <w:sz w:val="21"/>
        </w:rPr>
      </w:pPr>
      <w:r>
        <w:rPr>
          <w:spacing w:val="-3"/>
          <w:w w:val="100"/>
          <w:sz w:val="21"/>
        </w:rPr>
        <w:t>根据“骨髓增生异常综合征修订国际预后积分系统</w:t>
      </w:r>
      <w:r>
        <w:rPr>
          <w:w w:val="100"/>
          <w:sz w:val="21"/>
        </w:rPr>
        <w:t>（IPS</w:t>
      </w:r>
      <w:r>
        <w:rPr>
          <w:spacing w:val="-3"/>
          <w:w w:val="100"/>
          <w:sz w:val="21"/>
        </w:rPr>
        <w:t>S</w:t>
      </w:r>
      <w:r>
        <w:rPr>
          <w:w w:val="100"/>
          <w:sz w:val="21"/>
        </w:rPr>
        <w:t>-R</w:t>
      </w:r>
      <w:r>
        <w:rPr>
          <w:spacing w:val="-108"/>
          <w:w w:val="100"/>
          <w:sz w:val="21"/>
        </w:rPr>
        <w:t>）”</w:t>
      </w:r>
      <w:r>
        <w:rPr>
          <w:spacing w:val="-1"/>
          <w:sz w:val="21"/>
        </w:rPr>
        <w:t>积分≥3</w:t>
      </w:r>
      <w:r>
        <w:rPr>
          <w:spacing w:val="-3"/>
          <w:sz w:val="21"/>
        </w:rPr>
        <w:t>，属于中危及以上组。</w:t>
      </w:r>
    </w:p>
    <w:p>
      <w:pPr>
        <w:pStyle w:val="ListParagraph"/>
        <w:numPr>
          <w:ilvl w:val="0"/>
          <w:numId w:val="26"/>
        </w:numPr>
        <w:tabs>
          <w:tab w:pos="2089" w:val="left" w:leader="none"/>
        </w:tabs>
        <w:spacing w:line="273" w:lineRule="auto" w:before="164" w:after="0"/>
        <w:ind w:left="2089" w:right="115" w:hanging="421"/>
        <w:jc w:val="left"/>
        <w:rPr>
          <w:sz w:val="21"/>
        </w:rPr>
      </w:pPr>
      <w:r>
        <w:rPr>
          <w:spacing w:val="-3"/>
          <w:sz w:val="21"/>
        </w:rPr>
        <w:t>自体造血干细胞移植：指由于患者自身骨髓造血功能异常或为了达到治 </w:t>
      </w:r>
      <w:r>
        <w:rPr>
          <w:spacing w:val="-6"/>
          <w:sz w:val="21"/>
        </w:rPr>
        <w:t>疗肿瘤的目的，采集患者自己的一部分造血干细胞，分离并深低温保存， </w:t>
      </w:r>
      <w:r>
        <w:rPr>
          <w:spacing w:val="-4"/>
          <w:sz w:val="21"/>
        </w:rPr>
        <w:t>再回输给患者使患者的造血功能和免疫功能重新恢复的一种治疗方法。 </w:t>
      </w:r>
      <w:r>
        <w:rPr>
          <w:spacing w:val="-3"/>
          <w:sz w:val="21"/>
        </w:rPr>
        <w:t>该治疗须由本公司认可的血液科专科医生认为在临床上是必需的，并且 已经实际实施了此项治疗。</w:t>
      </w:r>
    </w:p>
    <w:p>
      <w:pPr>
        <w:pStyle w:val="ListParagraph"/>
        <w:numPr>
          <w:ilvl w:val="0"/>
          <w:numId w:val="26"/>
        </w:numPr>
        <w:tabs>
          <w:tab w:pos="2089" w:val="left" w:leader="none"/>
        </w:tabs>
        <w:spacing w:line="273" w:lineRule="auto" w:before="163" w:after="0"/>
        <w:ind w:left="2089" w:right="298" w:hanging="421"/>
        <w:jc w:val="both"/>
        <w:rPr>
          <w:sz w:val="21"/>
        </w:rPr>
      </w:pPr>
      <w:r>
        <w:rPr>
          <w:spacing w:val="-3"/>
          <w:sz w:val="21"/>
        </w:rPr>
        <w:t>肾髓质囊性病：肾髓质囊性病的诊断必须由本公司认可的医院的专科医生确诊，并且必须满足下列全部条件：</w:t>
      </w:r>
    </w:p>
    <w:p>
      <w:pPr>
        <w:pStyle w:val="ListParagraph"/>
        <w:numPr>
          <w:ilvl w:val="1"/>
          <w:numId w:val="26"/>
        </w:numPr>
        <w:tabs>
          <w:tab w:pos="2929" w:val="left" w:leader="none"/>
        </w:tabs>
        <w:spacing w:line="240" w:lineRule="auto" w:before="163" w:after="0"/>
        <w:ind w:left="2929" w:right="0" w:hanging="387"/>
        <w:jc w:val="left"/>
        <w:rPr>
          <w:sz w:val="21"/>
        </w:rPr>
      </w:pPr>
      <w:r>
        <w:rPr>
          <w:spacing w:val="-3"/>
          <w:sz w:val="21"/>
        </w:rPr>
        <w:t>肾髓质有囊肿、肾小管萎缩及间质纤维化等病理改变；</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肾功能衰竭；</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诊断须由肾组织活检确定。</w:t>
      </w:r>
    </w:p>
    <w:p>
      <w:pPr>
        <w:pStyle w:val="BodyText"/>
        <w:spacing w:before="10"/>
        <w:rPr>
          <w:sz w:val="14"/>
        </w:rPr>
      </w:pPr>
    </w:p>
    <w:p>
      <w:pPr>
        <w:pStyle w:val="Heading1"/>
        <w:ind w:left="2122"/>
      </w:pPr>
      <w:r>
        <w:rPr/>
        <w:t>其他的肾脏囊性病变不在本合同保障范围内。</w:t>
      </w:r>
    </w:p>
    <w:p>
      <w:pPr>
        <w:pStyle w:val="BodyText"/>
        <w:spacing w:before="9"/>
        <w:rPr>
          <w:b/>
          <w:sz w:val="14"/>
        </w:rPr>
      </w:pPr>
    </w:p>
    <w:p>
      <w:pPr>
        <w:pStyle w:val="ListParagraph"/>
        <w:numPr>
          <w:ilvl w:val="0"/>
          <w:numId w:val="26"/>
        </w:numPr>
        <w:tabs>
          <w:tab w:pos="2089" w:val="left" w:leader="none"/>
        </w:tabs>
        <w:spacing w:line="273" w:lineRule="auto" w:before="1" w:after="0"/>
        <w:ind w:left="2089" w:right="298" w:hanging="421"/>
        <w:jc w:val="both"/>
        <w:rPr>
          <w:sz w:val="21"/>
        </w:rPr>
      </w:pPr>
      <w:r>
        <w:rPr>
          <w:spacing w:val="-3"/>
          <w:sz w:val="21"/>
        </w:rPr>
        <w:t>系统性硬皮病：指一种以局限性或弥漫性皮肤增厚和皮肤、血管、内脏器官异常纤维化为特征的结缔组织病。本病须经专科医师明确诊断，并须满足下列至少一项条件：</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肺脏：肺部病变进而发展为肺间质纤维化和肺动脉高压；</w:t>
      </w:r>
    </w:p>
    <w:p>
      <w:pPr>
        <w:pStyle w:val="BodyText"/>
        <w:spacing w:before="10"/>
        <w:rPr>
          <w:sz w:val="14"/>
        </w:rPr>
      </w:pPr>
    </w:p>
    <w:p>
      <w:pPr>
        <w:pStyle w:val="ListParagraph"/>
        <w:numPr>
          <w:ilvl w:val="1"/>
          <w:numId w:val="26"/>
        </w:numPr>
        <w:tabs>
          <w:tab w:pos="2929" w:val="left" w:leader="none"/>
        </w:tabs>
        <w:spacing w:line="273" w:lineRule="auto" w:before="0" w:after="0"/>
        <w:ind w:left="2962" w:right="250" w:hanging="420"/>
        <w:jc w:val="left"/>
        <w:rPr>
          <w:sz w:val="21"/>
        </w:rPr>
      </w:pPr>
      <w:r>
        <w:rPr>
          <w:spacing w:val="-4"/>
          <w:sz w:val="21"/>
        </w:rPr>
        <w:t>心脏：心功能受损达到美国纽约心脏病学会心功能状态分级 </w:t>
      </w:r>
      <w:r>
        <w:rPr>
          <w:spacing w:val="-3"/>
          <w:sz w:val="21"/>
        </w:rPr>
        <w:t>IV </w:t>
      </w:r>
      <w:r>
        <w:rPr>
          <w:sz w:val="21"/>
        </w:rPr>
        <w:t>级；</w:t>
      </w:r>
    </w:p>
    <w:p>
      <w:pPr>
        <w:pStyle w:val="ListParagraph"/>
        <w:numPr>
          <w:ilvl w:val="1"/>
          <w:numId w:val="26"/>
        </w:numPr>
        <w:tabs>
          <w:tab w:pos="2929" w:val="left" w:leader="none"/>
        </w:tabs>
        <w:spacing w:line="408" w:lineRule="auto" w:before="163" w:after="0"/>
        <w:ind w:left="2122" w:right="118" w:firstLine="420"/>
        <w:jc w:val="left"/>
        <w:rPr>
          <w:b/>
          <w:sz w:val="21"/>
        </w:rPr>
      </w:pPr>
      <w:r>
        <w:rPr>
          <w:spacing w:val="-6"/>
          <w:sz w:val="21"/>
        </w:rPr>
        <w:t>肾脏：肾脏受损导致双肾功能慢性不可逆衰竭，达到尿毒症期。</w:t>
      </w:r>
      <w:r>
        <w:rPr>
          <w:b/>
          <w:spacing w:val="-6"/>
          <w:sz w:val="21"/>
        </w:rPr>
        <w:t>下列疾病不在本合同保障范围内：</w:t>
      </w:r>
    </w:p>
    <w:p>
      <w:pPr>
        <w:pStyle w:val="Heading1"/>
        <w:numPr>
          <w:ilvl w:val="0"/>
          <w:numId w:val="27"/>
        </w:numPr>
        <w:tabs>
          <w:tab w:pos="2929" w:val="left" w:leader="none"/>
        </w:tabs>
        <w:spacing w:line="240" w:lineRule="auto" w:before="45" w:after="0"/>
        <w:ind w:left="2929" w:right="0" w:hanging="387"/>
        <w:jc w:val="left"/>
      </w:pPr>
      <w:r>
        <w:rPr>
          <w:w w:val="100"/>
        </w:rPr>
        <w:t>局限性硬皮病（</w:t>
      </w:r>
      <w:r>
        <w:rPr>
          <w:spacing w:val="-3"/>
          <w:w w:val="100"/>
        </w:rPr>
        <w:t>包括带状硬皮病、硬斑病</w:t>
      </w:r>
      <w:r>
        <w:rPr>
          <w:spacing w:val="-106"/>
          <w:w w:val="100"/>
        </w:rPr>
        <w:t>）</w:t>
      </w:r>
      <w:r>
        <w:rPr>
          <w:w w:val="100"/>
        </w:rPr>
        <w:t>；</w:t>
      </w:r>
    </w:p>
    <w:p>
      <w:pPr>
        <w:pStyle w:val="BodyText"/>
        <w:spacing w:before="9"/>
        <w:rPr>
          <w:b/>
          <w:sz w:val="14"/>
        </w:rPr>
      </w:pPr>
    </w:p>
    <w:p>
      <w:pPr>
        <w:pStyle w:val="ListParagraph"/>
        <w:numPr>
          <w:ilvl w:val="0"/>
          <w:numId w:val="27"/>
        </w:numPr>
        <w:tabs>
          <w:tab w:pos="2929" w:val="left" w:leader="none"/>
        </w:tabs>
        <w:spacing w:line="240" w:lineRule="auto" w:before="0" w:after="0"/>
        <w:ind w:left="2929" w:right="0" w:hanging="387"/>
        <w:jc w:val="left"/>
        <w:rPr>
          <w:b/>
          <w:sz w:val="21"/>
        </w:rPr>
      </w:pPr>
      <w:r>
        <w:rPr>
          <w:b/>
          <w:sz w:val="21"/>
        </w:rPr>
        <w:t>嗜酸细胞性筋膜炎；</w:t>
      </w:r>
    </w:p>
    <w:p>
      <w:pPr>
        <w:pStyle w:val="BodyText"/>
        <w:spacing w:before="9"/>
        <w:rPr>
          <w:b/>
          <w:sz w:val="14"/>
        </w:rPr>
      </w:pPr>
    </w:p>
    <w:p>
      <w:pPr>
        <w:pStyle w:val="ListParagraph"/>
        <w:numPr>
          <w:ilvl w:val="0"/>
          <w:numId w:val="27"/>
        </w:numPr>
        <w:tabs>
          <w:tab w:pos="2929" w:val="left" w:leader="none"/>
        </w:tabs>
        <w:spacing w:line="240" w:lineRule="auto" w:before="0" w:after="0"/>
        <w:ind w:left="2929" w:right="0" w:hanging="387"/>
        <w:jc w:val="left"/>
        <w:rPr>
          <w:b/>
          <w:sz w:val="21"/>
        </w:rPr>
      </w:pPr>
      <w:r>
        <w:rPr>
          <w:b/>
          <w:sz w:val="21"/>
        </w:rPr>
        <w:t>CREST</w:t>
      </w:r>
      <w:r>
        <w:rPr>
          <w:b/>
          <w:spacing w:val="-12"/>
          <w:sz w:val="21"/>
        </w:rPr>
        <w:t> 综合征。</w:t>
      </w:r>
    </w:p>
    <w:p>
      <w:pPr>
        <w:pStyle w:val="BodyText"/>
        <w:spacing w:before="9"/>
        <w:rPr>
          <w:b/>
          <w:sz w:val="14"/>
        </w:rPr>
      </w:pPr>
    </w:p>
    <w:p>
      <w:pPr>
        <w:pStyle w:val="ListParagraph"/>
        <w:numPr>
          <w:ilvl w:val="0"/>
          <w:numId w:val="26"/>
        </w:numPr>
        <w:tabs>
          <w:tab w:pos="2089" w:val="left" w:leader="none"/>
        </w:tabs>
        <w:spacing w:line="273" w:lineRule="auto" w:before="0" w:after="0"/>
        <w:ind w:left="2089" w:right="298" w:hanging="421"/>
        <w:jc w:val="both"/>
        <w:rPr>
          <w:sz w:val="21"/>
        </w:rPr>
      </w:pPr>
      <w:r>
        <w:rPr>
          <w:spacing w:val="-3"/>
          <w:sz w:val="21"/>
        </w:rPr>
        <w:t>严重慢性缩窄型心包炎：由于慢性心包炎症导致心包脏层和壁层广泛瘢痕粘连、增厚和钙化，心包腔闭塞，形成一个纤维瘢痕外壳，使心脏和大血管根部受压，阻碍心脏的舒张。</w:t>
      </w:r>
    </w:p>
    <w:p>
      <w:pPr>
        <w:pStyle w:val="BodyText"/>
        <w:spacing w:line="273" w:lineRule="auto" w:before="163"/>
        <w:ind w:left="2122" w:right="264"/>
      </w:pPr>
      <w:r>
        <w:rPr/>
        <w:t>被保险人被本公司认可的医院的专科医生明确诊断为慢性缩窄性心包炎且必须满足下列全部条件：</w:t>
      </w:r>
    </w:p>
    <w:p>
      <w:pPr>
        <w:pStyle w:val="ListParagraph"/>
        <w:numPr>
          <w:ilvl w:val="1"/>
          <w:numId w:val="26"/>
        </w:numPr>
        <w:tabs>
          <w:tab w:pos="2929" w:val="left" w:leader="none"/>
        </w:tabs>
        <w:spacing w:line="273" w:lineRule="auto" w:before="164" w:after="0"/>
        <w:ind w:left="2962" w:right="221" w:hanging="420"/>
        <w:jc w:val="left"/>
        <w:rPr>
          <w:sz w:val="21"/>
        </w:rPr>
      </w:pPr>
      <w:r>
        <w:rPr>
          <w:spacing w:val="-5"/>
          <w:sz w:val="21"/>
        </w:rPr>
        <w:t>心功能衰竭达到美国纽约心脏病学会心功能状态分级 </w:t>
      </w:r>
      <w:r>
        <w:rPr>
          <w:sz w:val="21"/>
        </w:rPr>
        <w:t>IV</w:t>
      </w:r>
      <w:r>
        <w:rPr>
          <w:spacing w:val="-18"/>
          <w:sz w:val="21"/>
        </w:rPr>
        <w:t> 级，并</w:t>
      </w:r>
      <w:r>
        <w:rPr>
          <w:spacing w:val="-29"/>
          <w:sz w:val="21"/>
        </w:rPr>
        <w:t>持续 </w:t>
      </w:r>
      <w:r>
        <w:rPr>
          <w:sz w:val="21"/>
        </w:rPr>
        <w:t>180</w:t>
      </w:r>
      <w:r>
        <w:rPr>
          <w:spacing w:val="-12"/>
          <w:sz w:val="21"/>
        </w:rPr>
        <w:t> 天以上；</w:t>
      </w:r>
    </w:p>
    <w:p>
      <w:pPr>
        <w:pStyle w:val="ListParagraph"/>
        <w:numPr>
          <w:ilvl w:val="1"/>
          <w:numId w:val="26"/>
        </w:numPr>
        <w:tabs>
          <w:tab w:pos="2929" w:val="left" w:leader="none"/>
        </w:tabs>
        <w:spacing w:line="273" w:lineRule="auto" w:before="163" w:after="0"/>
        <w:ind w:left="2962" w:right="509" w:hanging="420"/>
        <w:jc w:val="left"/>
        <w:rPr>
          <w:sz w:val="21"/>
        </w:rPr>
      </w:pPr>
      <w:r>
        <w:rPr>
          <w:spacing w:val="-3"/>
          <w:sz w:val="21"/>
        </w:rPr>
        <w:t>实际接受了以下任何一种手术路径的心包剥脱或心包切除手术；胸骨正中切口；双侧前胸切口；左前胸肋间切口。</w:t>
      </w:r>
    </w:p>
    <w:p>
      <w:pPr>
        <w:pStyle w:val="Heading1"/>
        <w:spacing w:line="273" w:lineRule="auto" w:before="163"/>
        <w:ind w:left="2122" w:right="243"/>
      </w:pPr>
      <w:r>
        <w:rPr/>
        <w:t>经胸腔镜、胸壁打孔进行的手术、心包粘连松解手术不在本合同保障范围内。</w:t>
      </w:r>
    </w:p>
    <w:p>
      <w:pPr>
        <w:spacing w:after="0" w:line="273" w:lineRule="auto"/>
        <w:sectPr>
          <w:pgSz w:w="11910" w:h="16840"/>
          <w:pgMar w:header="0" w:footer="925" w:top="1080" w:bottom="1200" w:left="1680" w:right="1320"/>
        </w:sectPr>
      </w:pPr>
    </w:p>
    <w:p>
      <w:pPr>
        <w:pStyle w:val="ListParagraph"/>
        <w:numPr>
          <w:ilvl w:val="0"/>
          <w:numId w:val="26"/>
        </w:numPr>
        <w:tabs>
          <w:tab w:pos="2089" w:val="left" w:leader="none"/>
        </w:tabs>
        <w:spacing w:line="273" w:lineRule="auto" w:before="22" w:after="0"/>
        <w:ind w:left="2089" w:right="278" w:hanging="421"/>
        <w:jc w:val="left"/>
        <w:rPr>
          <w:sz w:val="21"/>
        </w:rPr>
      </w:pPr>
      <w:r>
        <w:rPr>
          <w:spacing w:val="-3"/>
          <w:sz w:val="21"/>
        </w:rPr>
        <w:t>严重传染性心内膜炎：指因感染性微生物造成心脏内膜发炎，经由专科医生确诊，并须满足下列全部条件:</w:t>
      </w:r>
    </w:p>
    <w:p>
      <w:pPr>
        <w:pStyle w:val="ListParagraph"/>
        <w:numPr>
          <w:ilvl w:val="1"/>
          <w:numId w:val="26"/>
        </w:numPr>
        <w:tabs>
          <w:tab w:pos="2929" w:val="left" w:leader="none"/>
        </w:tabs>
        <w:spacing w:line="273" w:lineRule="auto" w:before="164" w:after="0"/>
        <w:ind w:left="2962" w:right="278" w:hanging="420"/>
        <w:jc w:val="left"/>
        <w:rPr>
          <w:sz w:val="21"/>
        </w:rPr>
      </w:pPr>
      <w:r>
        <w:rPr>
          <w:spacing w:val="-3"/>
          <w:sz w:val="21"/>
        </w:rPr>
        <w:t>以下方法之一血液培养测试结果为阳性，证实存在感染性微生物：</w:t>
      </w:r>
    </w:p>
    <w:p>
      <w:pPr>
        <w:pStyle w:val="BodyText"/>
        <w:tabs>
          <w:tab w:pos="3344" w:val="left" w:leader="none"/>
        </w:tabs>
        <w:spacing w:line="273" w:lineRule="auto" w:before="163"/>
        <w:ind w:left="3344" w:right="283" w:hanging="483"/>
      </w:pPr>
      <w:r>
        <w:rPr/>
        <w:t>①</w:t>
        <w:tab/>
      </w:r>
      <w:r>
        <w:rPr>
          <w:spacing w:val="-3"/>
        </w:rPr>
        <w:t>微生物：在赘生物或心脏内脓疡经培养或组织检查证实有 微生物；</w:t>
      </w:r>
    </w:p>
    <w:p>
      <w:pPr>
        <w:pStyle w:val="BodyText"/>
        <w:tabs>
          <w:tab w:pos="3344" w:val="left" w:leader="none"/>
        </w:tabs>
        <w:spacing w:line="249" w:lineRule="auto" w:before="93"/>
        <w:ind w:left="3344" w:right="283" w:hanging="483"/>
      </w:pPr>
      <w:r>
        <w:rPr/>
        <w:t>②</w:t>
        <w:tab/>
        <w:t>病</w:t>
      </w:r>
      <w:r>
        <w:rPr>
          <w:rFonts w:ascii="Malgun Gothic" w:hAnsi="Malgun Gothic" w:eastAsia="Malgun Gothic" w:hint="eastAsia"/>
        </w:rPr>
        <w:t>理</w:t>
      </w:r>
      <w:r>
        <w:rPr>
          <w:spacing w:val="-3"/>
        </w:rPr>
        <w:t>性病灶：组织检查证实赘生物或心脏内脓疡有活动性 心内膜炎；</w:t>
      </w:r>
    </w:p>
    <w:p>
      <w:pPr>
        <w:pStyle w:val="BodyText"/>
        <w:rPr>
          <w:sz w:val="14"/>
        </w:rPr>
      </w:pPr>
    </w:p>
    <w:p>
      <w:pPr>
        <w:pStyle w:val="BodyText"/>
        <w:tabs>
          <w:tab w:pos="3344" w:val="left" w:leader="none"/>
        </w:tabs>
        <w:spacing w:before="1"/>
        <w:ind w:left="2861"/>
      </w:pPr>
      <w:r>
        <w:rPr/>
        <w:t>③</w:t>
        <w:tab/>
      </w:r>
      <w:r>
        <w:rPr>
          <w:spacing w:val="-3"/>
        </w:rPr>
        <w:t>分别两次血液培养证实有微生物，且与心内膜炎符合；</w:t>
      </w:r>
    </w:p>
    <w:p>
      <w:pPr>
        <w:pStyle w:val="BodyText"/>
        <w:spacing w:before="10"/>
        <w:rPr>
          <w:sz w:val="14"/>
        </w:rPr>
      </w:pPr>
    </w:p>
    <w:p>
      <w:pPr>
        <w:pStyle w:val="ListParagraph"/>
        <w:numPr>
          <w:ilvl w:val="1"/>
          <w:numId w:val="26"/>
        </w:numPr>
        <w:tabs>
          <w:tab w:pos="2929" w:val="left" w:leader="none"/>
        </w:tabs>
        <w:spacing w:line="273" w:lineRule="auto" w:before="0" w:after="0"/>
        <w:ind w:left="2962" w:right="278" w:hanging="420"/>
        <w:jc w:val="left"/>
        <w:rPr>
          <w:sz w:val="21"/>
        </w:rPr>
      </w:pPr>
      <w:r>
        <w:rPr>
          <w:spacing w:val="-3"/>
          <w:sz w:val="21"/>
        </w:rPr>
        <w:t>出现明显的心功能衰竭（指按照美国纽约心脏病学会提出的心功能状态分级的标准判定，心功能状态已达Ⅳ级</w:t>
      </w:r>
      <w:r>
        <w:rPr>
          <w:spacing w:val="-108"/>
          <w:sz w:val="21"/>
        </w:rPr>
        <w:t>）</w:t>
      </w:r>
      <w:r>
        <w:rPr>
          <w:sz w:val="21"/>
        </w:rPr>
        <w:t>。</w:t>
      </w:r>
    </w:p>
    <w:p>
      <w:pPr>
        <w:pStyle w:val="ListParagraph"/>
        <w:numPr>
          <w:ilvl w:val="0"/>
          <w:numId w:val="26"/>
        </w:numPr>
        <w:tabs>
          <w:tab w:pos="2089" w:val="left" w:leader="none"/>
        </w:tabs>
        <w:spacing w:line="273" w:lineRule="auto" w:before="164" w:after="0"/>
        <w:ind w:left="2089" w:right="98" w:hanging="421"/>
        <w:jc w:val="left"/>
        <w:rPr>
          <w:sz w:val="21"/>
        </w:rPr>
      </w:pPr>
      <w:r>
        <w:rPr>
          <w:spacing w:val="-3"/>
          <w:sz w:val="21"/>
        </w:rPr>
        <w:t>严重瑞氏综合征：瑞氏综合征是线粒体功能障碍性疾病。其导致脂肪代 谢障碍，引起短链脂肪酸、血氨升高，造成脑水肿。主要临床表现为急 </w:t>
      </w:r>
      <w:r>
        <w:rPr>
          <w:spacing w:val="-7"/>
          <w:sz w:val="21"/>
        </w:rPr>
        <w:t>性发热、反复呕吐、惊厥及意识障碍等等。肝脏活检是确诊的重要手段。</w:t>
      </w:r>
      <w:r>
        <w:rPr>
          <w:spacing w:val="-5"/>
          <w:sz w:val="21"/>
        </w:rPr>
        <w:t>此症必须由本公司认可医院的儿科专科医生确诊，并须满足下列全部条 件：</w:t>
      </w:r>
    </w:p>
    <w:p>
      <w:pPr>
        <w:pStyle w:val="ListParagraph"/>
        <w:numPr>
          <w:ilvl w:val="1"/>
          <w:numId w:val="26"/>
        </w:numPr>
        <w:tabs>
          <w:tab w:pos="2929" w:val="left" w:leader="none"/>
        </w:tabs>
        <w:spacing w:line="240" w:lineRule="auto" w:before="163" w:after="0"/>
        <w:ind w:left="2929" w:right="0" w:hanging="387"/>
        <w:jc w:val="left"/>
        <w:rPr>
          <w:sz w:val="21"/>
        </w:rPr>
      </w:pPr>
      <w:r>
        <w:rPr>
          <w:spacing w:val="-3"/>
          <w:sz w:val="21"/>
        </w:rPr>
        <w:t>有脑水肿和颅内压升高的脑脊液检查和影像学检查证据；</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8"/>
          <w:sz w:val="21"/>
        </w:rPr>
        <w:t>血氨超过正常值的 </w:t>
      </w:r>
      <w:r>
        <w:rPr>
          <w:sz w:val="21"/>
        </w:rPr>
        <w:t>3</w:t>
      </w:r>
      <w:r>
        <w:rPr>
          <w:spacing w:val="-17"/>
          <w:sz w:val="21"/>
        </w:rPr>
        <w:t> 倍；</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5"/>
          <w:sz w:val="21"/>
        </w:rPr>
        <w:t>临床出现昏迷，病程至少达到疾病分期第 </w:t>
      </w:r>
      <w:r>
        <w:rPr>
          <w:sz w:val="21"/>
        </w:rPr>
        <w:t>3</w:t>
      </w:r>
      <w:r>
        <w:rPr>
          <w:spacing w:val="-16"/>
          <w:sz w:val="21"/>
        </w:rPr>
        <w:t> 期。</w:t>
      </w:r>
    </w:p>
    <w:p>
      <w:pPr>
        <w:pStyle w:val="BodyText"/>
        <w:spacing w:before="9"/>
        <w:rPr>
          <w:sz w:val="14"/>
        </w:rPr>
      </w:pPr>
    </w:p>
    <w:p>
      <w:pPr>
        <w:pStyle w:val="ListParagraph"/>
        <w:numPr>
          <w:ilvl w:val="0"/>
          <w:numId w:val="26"/>
        </w:numPr>
        <w:tabs>
          <w:tab w:pos="2089" w:val="left" w:leader="none"/>
        </w:tabs>
        <w:spacing w:line="273" w:lineRule="auto" w:before="0" w:after="0"/>
        <w:ind w:left="2089" w:right="98" w:hanging="421"/>
        <w:jc w:val="both"/>
        <w:rPr>
          <w:sz w:val="21"/>
        </w:rPr>
      </w:pPr>
      <w:r>
        <w:rPr>
          <w:spacing w:val="-3"/>
          <w:sz w:val="21"/>
        </w:rPr>
        <w:t>慢性复发性胰腺炎：有腹痛等典型症状的胰腺炎反复发作，导致胰腺进 行性破坏，并导致胰腺功能紊乱而导致严重糖尿病以及营养不良、恶液 质。CT</w:t>
      </w:r>
      <w:r>
        <w:rPr>
          <w:spacing w:val="-9"/>
          <w:sz w:val="21"/>
        </w:rPr>
        <w:t> 检查证实胰腺存在广泛钙化，且必须接受酶替代以及胰岛素替代</w:t>
      </w:r>
      <w:r>
        <w:rPr>
          <w:spacing w:val="-18"/>
          <w:sz w:val="21"/>
        </w:rPr>
        <w:t>治疗 </w:t>
      </w:r>
      <w:r>
        <w:rPr>
          <w:sz w:val="21"/>
        </w:rPr>
        <w:t>6</w:t>
      </w:r>
      <w:r>
        <w:rPr>
          <w:spacing w:val="-10"/>
          <w:sz w:val="21"/>
        </w:rPr>
        <w:t> 个月以上。诊断必须由本公司认可的医院的消化科专科医生确诊。</w:t>
      </w:r>
    </w:p>
    <w:p>
      <w:pPr>
        <w:pStyle w:val="Heading1"/>
        <w:spacing w:before="163"/>
        <w:ind w:left="2122"/>
      </w:pPr>
      <w:r>
        <w:rPr/>
        <w:t>酒精导致的慢性复发性胰腺炎不在本合同保障范围内。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98" w:hanging="421"/>
        <w:jc w:val="left"/>
        <w:rPr>
          <w:sz w:val="21"/>
        </w:rPr>
      </w:pPr>
      <w:r>
        <w:rPr>
          <w:spacing w:val="-3"/>
          <w:sz w:val="21"/>
        </w:rPr>
        <w:t>原发性硬化性胆管炎：指一种胆汁淤积综合征，其特征是肝内、肝外胆 道因纤维化性炎症逐渐狭窄，并最终导致完全阻塞而发展为肝硬化。本 </w:t>
      </w:r>
      <w:r>
        <w:rPr>
          <w:spacing w:val="-5"/>
          <w:sz w:val="21"/>
        </w:rPr>
        <w:t>病须经内镜逆行胰胆管造影等影像学检查证实，并须满足下列全部条件：</w:t>
      </w:r>
    </w:p>
    <w:p>
      <w:pPr>
        <w:pStyle w:val="ListParagraph"/>
        <w:numPr>
          <w:ilvl w:val="1"/>
          <w:numId w:val="26"/>
        </w:numPr>
        <w:tabs>
          <w:tab w:pos="2929" w:val="left" w:leader="none"/>
        </w:tabs>
        <w:spacing w:line="240" w:lineRule="auto" w:before="163" w:after="0"/>
        <w:ind w:left="2929" w:right="0" w:hanging="387"/>
        <w:jc w:val="left"/>
        <w:rPr>
          <w:sz w:val="21"/>
        </w:rPr>
      </w:pPr>
      <w:r>
        <w:rPr>
          <w:spacing w:val="-5"/>
          <w:sz w:val="21"/>
        </w:rPr>
        <w:t>总胆红素和直接胆红素同时升高，血清 </w:t>
      </w:r>
      <w:r>
        <w:rPr>
          <w:sz w:val="21"/>
        </w:rPr>
        <w:t>ALP&gt;200U/L；</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持续性黄疸病史；</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出现胆汁性肝硬化或门脉高压。</w:t>
      </w:r>
    </w:p>
    <w:p>
      <w:pPr>
        <w:pStyle w:val="BodyText"/>
        <w:spacing w:before="10"/>
        <w:rPr>
          <w:sz w:val="14"/>
        </w:rPr>
      </w:pPr>
    </w:p>
    <w:p>
      <w:pPr>
        <w:pStyle w:val="Heading1"/>
        <w:ind w:left="2122"/>
      </w:pPr>
      <w:r>
        <w:rPr/>
        <w:t>因肿瘤或胆管损伤等继发性的硬化性胆管炎不在本合同保障范围内。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严重溃疡性结肠炎：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rPr>
          <w:sz w:val="21"/>
        </w:rPr>
        <w:sectPr>
          <w:pgSz w:w="11910" w:h="16840"/>
          <w:pgMar w:header="0" w:footer="925" w:top="1080" w:bottom="1200" w:left="1680" w:right="1340"/>
        </w:sectPr>
      </w:pPr>
    </w:p>
    <w:p>
      <w:pPr>
        <w:pStyle w:val="ListParagraph"/>
        <w:numPr>
          <w:ilvl w:val="0"/>
          <w:numId w:val="26"/>
        </w:numPr>
        <w:tabs>
          <w:tab w:pos="2089" w:val="left" w:leader="none"/>
        </w:tabs>
        <w:spacing w:line="273" w:lineRule="auto" w:before="22" w:after="0"/>
        <w:ind w:left="2089" w:right="298" w:hanging="421"/>
        <w:jc w:val="left"/>
        <w:rPr>
          <w:sz w:val="21"/>
        </w:rPr>
      </w:pPr>
      <w:r>
        <w:rPr>
          <w:spacing w:val="-3"/>
          <w:sz w:val="21"/>
        </w:rPr>
        <w:t>严重面部烧伤：指面部烧伤程度为Ⅲ度，且Ⅲ度烧伤的面积达到面部表</w:t>
      </w:r>
      <w:r>
        <w:rPr>
          <w:spacing w:val="-14"/>
          <w:sz w:val="21"/>
        </w:rPr>
        <w:t>面积的 </w:t>
      </w:r>
      <w:r>
        <w:rPr>
          <w:sz w:val="21"/>
        </w:rPr>
        <w:t>80</w:t>
      </w:r>
      <w:r>
        <w:rPr>
          <w:spacing w:val="-14"/>
          <w:sz w:val="21"/>
        </w:rPr>
        <w:t>％或者 </w:t>
      </w:r>
      <w:r>
        <w:rPr>
          <w:sz w:val="21"/>
        </w:rPr>
        <w:t>80</w:t>
      </w:r>
      <w:r>
        <w:rPr>
          <w:spacing w:val="-3"/>
          <w:sz w:val="21"/>
        </w:rPr>
        <w:t>％以上。</w:t>
      </w:r>
    </w:p>
    <w:p>
      <w:pPr>
        <w:pStyle w:val="ListParagraph"/>
        <w:numPr>
          <w:ilvl w:val="0"/>
          <w:numId w:val="26"/>
        </w:numPr>
        <w:tabs>
          <w:tab w:pos="2089" w:val="left" w:leader="none"/>
        </w:tabs>
        <w:spacing w:line="273" w:lineRule="auto" w:before="164" w:after="0"/>
        <w:ind w:left="2089" w:right="298" w:hanging="421"/>
        <w:jc w:val="left"/>
        <w:rPr>
          <w:sz w:val="21"/>
        </w:rPr>
      </w:pPr>
      <w:r>
        <w:rPr>
          <w:spacing w:val="-3"/>
          <w:sz w:val="21"/>
        </w:rPr>
        <w:t>严重肠道疾病并发症：因严重肠道疾病或外伤导致小肠损害，并且必须满足下列全部条件：</w:t>
      </w:r>
    </w:p>
    <w:p>
      <w:pPr>
        <w:pStyle w:val="ListParagraph"/>
        <w:numPr>
          <w:ilvl w:val="1"/>
          <w:numId w:val="26"/>
        </w:numPr>
        <w:tabs>
          <w:tab w:pos="2929" w:val="left" w:leader="none"/>
        </w:tabs>
        <w:spacing w:line="240" w:lineRule="auto" w:before="163" w:after="0"/>
        <w:ind w:left="2929" w:right="0" w:hanging="387"/>
        <w:jc w:val="left"/>
        <w:rPr>
          <w:sz w:val="21"/>
        </w:rPr>
      </w:pPr>
      <w:r>
        <w:rPr>
          <w:spacing w:val="-3"/>
          <w:sz w:val="21"/>
        </w:rPr>
        <w:t>至少切除了三分之二长度的小肠；</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6"/>
          <w:sz w:val="21"/>
        </w:rPr>
        <w:t>施行完全场外营养支持的治疗超过 </w:t>
      </w:r>
      <w:r>
        <w:rPr>
          <w:sz w:val="21"/>
        </w:rPr>
        <w:t>90</w:t>
      </w:r>
      <w:r>
        <w:rPr>
          <w:spacing w:val="-17"/>
          <w:sz w:val="21"/>
        </w:rPr>
        <w:t> 天。</w:t>
      </w:r>
    </w:p>
    <w:p>
      <w:pPr>
        <w:pStyle w:val="BodyText"/>
        <w:spacing w:before="9"/>
        <w:rPr>
          <w:sz w:val="14"/>
        </w:rPr>
      </w:pPr>
    </w:p>
    <w:p>
      <w:pPr>
        <w:pStyle w:val="ListParagraph"/>
        <w:numPr>
          <w:ilvl w:val="0"/>
          <w:numId w:val="26"/>
        </w:numPr>
        <w:tabs>
          <w:tab w:pos="2089" w:val="left" w:leader="none"/>
        </w:tabs>
        <w:spacing w:line="273" w:lineRule="auto" w:before="0" w:after="0"/>
        <w:ind w:left="2089" w:right="298" w:hanging="421"/>
        <w:jc w:val="left"/>
        <w:rPr>
          <w:sz w:val="21"/>
        </w:rPr>
      </w:pPr>
      <w:r>
        <w:rPr>
          <w:spacing w:val="-3"/>
          <w:sz w:val="21"/>
        </w:rPr>
        <w:t>疾病或外伤所致智力障碍：因严重头部创伤或疾病造成被保险人智力低下或智力残疾。根据智商</w:t>
      </w:r>
      <w:r>
        <w:rPr>
          <w:spacing w:val="-1"/>
          <w:sz w:val="21"/>
        </w:rPr>
        <w:t>（IQ）</w:t>
      </w:r>
      <w:r>
        <w:rPr>
          <w:spacing w:val="-3"/>
          <w:sz w:val="21"/>
        </w:rPr>
        <w:t>智力低下分为轻度</w:t>
      </w:r>
      <w:r>
        <w:rPr>
          <w:sz w:val="21"/>
        </w:rPr>
        <w:t>（IQ50-69</w:t>
      </w:r>
      <w:r>
        <w:rPr>
          <w:spacing w:val="-1"/>
          <w:sz w:val="21"/>
        </w:rPr>
        <w:t>)；中度</w:t>
      </w:r>
    </w:p>
    <w:p>
      <w:pPr>
        <w:pStyle w:val="BodyText"/>
        <w:spacing w:line="273" w:lineRule="auto" w:before="7"/>
        <w:ind w:left="2088" w:right="115"/>
      </w:pPr>
      <w:r>
        <w:rPr>
          <w:w w:val="100"/>
        </w:rPr>
        <w:t>（IQ3</w:t>
      </w:r>
      <w:r>
        <w:rPr>
          <w:spacing w:val="-3"/>
          <w:w w:val="100"/>
        </w:rPr>
        <w:t>5</w:t>
      </w:r>
      <w:r>
        <w:rPr>
          <w:w w:val="100"/>
        </w:rPr>
        <w:t>-49</w:t>
      </w:r>
      <w:r>
        <w:rPr>
          <w:spacing w:val="-108"/>
          <w:w w:val="100"/>
        </w:rPr>
        <w:t>）</w:t>
      </w:r>
      <w:r>
        <w:rPr>
          <w:spacing w:val="-6"/>
          <w:w w:val="100"/>
        </w:rPr>
        <w:t>；重度</w:t>
      </w:r>
      <w:r>
        <w:rPr>
          <w:spacing w:val="-1"/>
          <w:w w:val="100"/>
        </w:rPr>
        <w:t>（</w:t>
      </w:r>
      <w:r>
        <w:rPr>
          <w:w w:val="100"/>
        </w:rPr>
        <w:t>I</w:t>
      </w:r>
      <w:r>
        <w:rPr>
          <w:spacing w:val="-3"/>
          <w:w w:val="100"/>
        </w:rPr>
        <w:t>Q</w:t>
      </w:r>
      <w:r>
        <w:rPr>
          <w:w w:val="100"/>
        </w:rPr>
        <w:t>2</w:t>
      </w:r>
      <w:r>
        <w:rPr>
          <w:spacing w:val="-1"/>
          <w:w w:val="100"/>
        </w:rPr>
        <w:t>0</w:t>
      </w:r>
      <w:r>
        <w:rPr>
          <w:spacing w:val="-3"/>
          <w:w w:val="100"/>
        </w:rPr>
        <w:t>-</w:t>
      </w:r>
      <w:r>
        <w:rPr>
          <w:w w:val="100"/>
        </w:rPr>
        <w:t>34</w:t>
      </w:r>
      <w:r>
        <w:rPr>
          <w:spacing w:val="-8"/>
          <w:w w:val="100"/>
        </w:rPr>
        <w:t>）</w:t>
      </w:r>
      <w:r>
        <w:rPr>
          <w:spacing w:val="-4"/>
          <w:w w:val="100"/>
        </w:rPr>
        <w:t>和极重度</w:t>
      </w:r>
      <w:r>
        <w:rPr>
          <w:spacing w:val="-1"/>
          <w:w w:val="100"/>
        </w:rPr>
        <w:t>（</w:t>
      </w:r>
      <w:r>
        <w:rPr>
          <w:w w:val="100"/>
        </w:rPr>
        <w:t>I</w:t>
      </w:r>
      <w:r>
        <w:rPr>
          <w:spacing w:val="-3"/>
          <w:w w:val="100"/>
        </w:rPr>
        <w:t>Q</w:t>
      </w:r>
      <w:r>
        <w:rPr>
          <w:w w:val="100"/>
        </w:rPr>
        <w:t>&lt;2</w:t>
      </w:r>
      <w:r>
        <w:rPr>
          <w:spacing w:val="-1"/>
          <w:w w:val="100"/>
        </w:rPr>
        <w:t>0</w:t>
      </w:r>
      <w:r>
        <w:rPr>
          <w:spacing w:val="-108"/>
          <w:w w:val="100"/>
        </w:rPr>
        <w:t>）</w:t>
      </w:r>
      <w:r>
        <w:rPr>
          <w:spacing w:val="-3"/>
          <w:w w:val="100"/>
        </w:rPr>
        <w:t>。智商的检测须由本公</w:t>
      </w:r>
      <w:r>
        <w:rPr>
          <w:spacing w:val="-5"/>
        </w:rPr>
        <w:t>司认可的医院的儿童或成人精神卫生科、心理科或神经科专科医生进行。</w:t>
      </w:r>
      <w:r>
        <w:rPr>
          <w:spacing w:val="-4"/>
        </w:rPr>
        <w:t>根据被保险人年龄采用对应的智力量表如韦克斯勒智力量表</w:t>
      </w:r>
      <w:r>
        <w:rPr>
          <w:spacing w:val="-3"/>
        </w:rPr>
        <w:t>（</w:t>
      </w:r>
      <w:r>
        <w:rPr>
          <w:spacing w:val="-2"/>
        </w:rPr>
        <w:t>儿童智力 </w:t>
      </w:r>
      <w:r>
        <w:rPr>
          <w:spacing w:val="-3"/>
        </w:rPr>
        <w:t>量表或成人智力量表</w:t>
      </w:r>
      <w:r>
        <w:rPr>
          <w:spacing w:val="-106"/>
        </w:rPr>
        <w:t>）</w:t>
      </w:r>
      <w:r>
        <w:rPr/>
        <w:t>。</w:t>
      </w:r>
    </w:p>
    <w:p>
      <w:pPr>
        <w:pStyle w:val="BodyText"/>
        <w:spacing w:before="164"/>
        <w:ind w:left="2122"/>
      </w:pPr>
      <w:r>
        <w:rPr/>
        <w:t>理赔时必须满足下列全部条件：</w:t>
      </w:r>
    </w:p>
    <w:p>
      <w:pPr>
        <w:pStyle w:val="BodyText"/>
        <w:spacing w:before="9"/>
        <w:rPr>
          <w:sz w:val="14"/>
        </w:rPr>
      </w:pPr>
    </w:p>
    <w:p>
      <w:pPr>
        <w:pStyle w:val="ListParagraph"/>
        <w:numPr>
          <w:ilvl w:val="1"/>
          <w:numId w:val="26"/>
        </w:numPr>
        <w:tabs>
          <w:tab w:pos="2929" w:val="left" w:leader="none"/>
        </w:tabs>
        <w:spacing w:line="273" w:lineRule="auto" w:before="1" w:after="0"/>
        <w:ind w:left="2962" w:right="298" w:hanging="420"/>
        <w:jc w:val="left"/>
        <w:rPr>
          <w:sz w:val="21"/>
        </w:rPr>
      </w:pPr>
      <w:r>
        <w:rPr>
          <w:spacing w:val="-3"/>
          <w:sz w:val="21"/>
        </w:rPr>
        <w:t>造成被保险人智力低下或智力残疾的严重头部创伤或疾病</w:t>
      </w:r>
      <w:r>
        <w:rPr>
          <w:sz w:val="21"/>
        </w:rPr>
        <w:t>（以</w:t>
      </w:r>
      <w:r>
        <w:rPr>
          <w:spacing w:val="-2"/>
          <w:sz w:val="21"/>
        </w:rPr>
        <w:t>诊断日期为准</w:t>
      </w:r>
      <w:r>
        <w:rPr>
          <w:spacing w:val="-3"/>
          <w:sz w:val="21"/>
        </w:rPr>
        <w:t>）发生在被保险人六周岁以后；</w:t>
      </w:r>
    </w:p>
    <w:p>
      <w:pPr>
        <w:pStyle w:val="ListParagraph"/>
        <w:numPr>
          <w:ilvl w:val="1"/>
          <w:numId w:val="26"/>
        </w:numPr>
        <w:tabs>
          <w:tab w:pos="2929" w:val="left" w:leader="none"/>
        </w:tabs>
        <w:spacing w:line="273" w:lineRule="auto" w:before="164" w:after="0"/>
        <w:ind w:left="2962" w:right="298" w:hanging="420"/>
        <w:jc w:val="left"/>
        <w:rPr>
          <w:sz w:val="21"/>
        </w:rPr>
      </w:pPr>
      <w:r>
        <w:rPr>
          <w:spacing w:val="-3"/>
          <w:sz w:val="21"/>
        </w:rPr>
        <w:t>本公司认可医院的专科医生确诊被保险人由于严重头部创伤或疾病造成智力低下或智力残疾；</w:t>
      </w:r>
    </w:p>
    <w:p>
      <w:pPr>
        <w:pStyle w:val="ListParagraph"/>
        <w:numPr>
          <w:ilvl w:val="1"/>
          <w:numId w:val="26"/>
        </w:numPr>
        <w:tabs>
          <w:tab w:pos="2929" w:val="left" w:leader="none"/>
        </w:tabs>
        <w:spacing w:line="273" w:lineRule="auto" w:before="164" w:after="0"/>
        <w:ind w:left="2962" w:right="264" w:hanging="420"/>
        <w:jc w:val="both"/>
        <w:rPr>
          <w:sz w:val="21"/>
        </w:rPr>
      </w:pPr>
      <w:r>
        <w:rPr>
          <w:spacing w:val="-3"/>
          <w:sz w:val="21"/>
        </w:rPr>
        <w:t>本公司认可医院的儿童或成人精神卫生科、心理科或神经科专科医生做的检测证实被保险人智力低下或智力残疾</w:t>
      </w:r>
      <w:r>
        <w:rPr>
          <w:sz w:val="21"/>
        </w:rPr>
        <w:t>（</w:t>
      </w:r>
      <w:r>
        <w:rPr>
          <w:spacing w:val="-2"/>
          <w:sz w:val="21"/>
        </w:rPr>
        <w:t>轻度、中</w:t>
      </w:r>
      <w:r>
        <w:rPr>
          <w:spacing w:val="-3"/>
          <w:w w:val="100"/>
          <w:sz w:val="21"/>
        </w:rPr>
        <w:t>度、重度或极重度</w:t>
      </w:r>
      <w:r>
        <w:rPr>
          <w:spacing w:val="-108"/>
          <w:w w:val="100"/>
          <w:sz w:val="21"/>
        </w:rPr>
        <w:t>）</w:t>
      </w:r>
      <w:r>
        <w:rPr>
          <w:w w:val="100"/>
          <w:sz w:val="21"/>
        </w:rPr>
        <w:t>；</w:t>
      </w:r>
    </w:p>
    <w:p>
      <w:pPr>
        <w:pStyle w:val="ListParagraph"/>
        <w:numPr>
          <w:ilvl w:val="1"/>
          <w:numId w:val="26"/>
        </w:numPr>
        <w:tabs>
          <w:tab w:pos="2929" w:val="left" w:leader="none"/>
        </w:tabs>
        <w:spacing w:line="240" w:lineRule="auto" w:before="164" w:after="0"/>
        <w:ind w:left="2962" w:right="0" w:hanging="420"/>
        <w:jc w:val="left"/>
        <w:rPr>
          <w:sz w:val="21"/>
        </w:rPr>
      </w:pPr>
      <w:r>
        <w:rPr>
          <w:spacing w:val="-5"/>
          <w:sz w:val="21"/>
        </w:rPr>
        <w:t>被保险人的智力低下或智力残疾自确诊日起持续 </w:t>
      </w:r>
      <w:r>
        <w:rPr>
          <w:sz w:val="21"/>
        </w:rPr>
        <w:t>180</w:t>
      </w:r>
      <w:r>
        <w:rPr>
          <w:spacing w:val="-10"/>
          <w:sz w:val="21"/>
        </w:rPr>
        <w:t> 天以上。</w:t>
      </w:r>
    </w:p>
    <w:p>
      <w:pPr>
        <w:pStyle w:val="BodyText"/>
        <w:spacing w:before="10"/>
        <w:rPr>
          <w:sz w:val="14"/>
        </w:rPr>
      </w:pPr>
    </w:p>
    <w:p>
      <w:pPr>
        <w:pStyle w:val="ListParagraph"/>
        <w:numPr>
          <w:ilvl w:val="0"/>
          <w:numId w:val="26"/>
        </w:numPr>
        <w:tabs>
          <w:tab w:pos="2089" w:val="left" w:leader="none"/>
        </w:tabs>
        <w:spacing w:line="273" w:lineRule="auto" w:before="0" w:after="0"/>
        <w:ind w:left="2089" w:right="298" w:hanging="421"/>
        <w:jc w:val="both"/>
        <w:rPr>
          <w:sz w:val="21"/>
        </w:rPr>
      </w:pPr>
      <w:r>
        <w:rPr>
          <w:spacing w:val="-3"/>
          <w:sz w:val="21"/>
        </w:rPr>
        <w:t>非阿尔茨海默病所致严重痴呆：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163"/>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221" w:hanging="421"/>
        <w:jc w:val="left"/>
        <w:rPr>
          <w:sz w:val="21"/>
        </w:rPr>
      </w:pPr>
      <w:r>
        <w:rPr>
          <w:spacing w:val="-4"/>
          <w:w w:val="100"/>
          <w:sz w:val="21"/>
        </w:rPr>
        <w:t>艾森曼格综合征</w:t>
      </w:r>
      <w:r>
        <w:rPr>
          <w:spacing w:val="-3"/>
          <w:w w:val="100"/>
          <w:sz w:val="21"/>
        </w:rPr>
        <w:t>（先天性心脏病</w:t>
      </w:r>
      <w:r>
        <w:rPr>
          <w:spacing w:val="-108"/>
          <w:w w:val="100"/>
          <w:sz w:val="21"/>
        </w:rPr>
        <w:t>）</w:t>
      </w:r>
      <w:r>
        <w:rPr>
          <w:spacing w:val="-5"/>
          <w:w w:val="100"/>
          <w:sz w:val="21"/>
        </w:rPr>
        <w:t>：因先天性心脏病而引起严重肺动脉高</w:t>
      </w:r>
      <w:r>
        <w:rPr>
          <w:spacing w:val="-4"/>
          <w:sz w:val="21"/>
        </w:rPr>
        <w:t>血压及右向左分流，皮肤粘膜从无青紫发展至有青紫。本病的诊断必须</w:t>
      </w:r>
      <w:r>
        <w:rPr>
          <w:spacing w:val="-3"/>
          <w:sz w:val="21"/>
        </w:rPr>
        <w:t>由本公司认可的医院的专科医生经超声波心动图和心导管等检查确诊， 并且心功能衰竭程度达到纽约心脏病学会的心功能分级标准之心功能</w:t>
      </w:r>
    </w:p>
    <w:p>
      <w:pPr>
        <w:pStyle w:val="BodyText"/>
        <w:spacing w:before="7"/>
        <w:ind w:left="2088"/>
      </w:pPr>
      <w:r>
        <w:rPr/>
        <w:t>IV 级。</w:t>
      </w:r>
    </w:p>
    <w:p>
      <w:pPr>
        <w:pStyle w:val="BodyText"/>
        <w:spacing w:before="9"/>
        <w:rPr>
          <w:sz w:val="14"/>
        </w:rPr>
      </w:pPr>
    </w:p>
    <w:p>
      <w:pPr>
        <w:pStyle w:val="BodyText"/>
        <w:spacing w:line="273" w:lineRule="auto"/>
        <w:ind w:left="2088" w:right="298"/>
      </w:pPr>
      <w:r>
        <w:rPr/>
        <w:t>我们承担本项疾病责任不受本合同中“遗传性疾病，先天性畸形、变形或染色体异常”的限制。</w:t>
      </w:r>
    </w:p>
    <w:p>
      <w:pPr>
        <w:pStyle w:val="ListParagraph"/>
        <w:numPr>
          <w:ilvl w:val="0"/>
          <w:numId w:val="26"/>
        </w:numPr>
        <w:tabs>
          <w:tab w:pos="2089" w:val="left" w:leader="none"/>
        </w:tabs>
        <w:spacing w:line="273" w:lineRule="auto" w:before="163" w:after="0"/>
        <w:ind w:left="2089" w:right="116" w:hanging="421"/>
        <w:jc w:val="left"/>
        <w:rPr>
          <w:sz w:val="21"/>
        </w:rPr>
      </w:pPr>
      <w:r>
        <w:rPr>
          <w:spacing w:val="-3"/>
          <w:sz w:val="21"/>
        </w:rPr>
        <w:t>严重幼年型类风湿性关节炎：是指小儿及青少年时期的一种全身结缔组 </w:t>
      </w:r>
      <w:r>
        <w:rPr>
          <w:spacing w:val="-8"/>
          <w:sz w:val="21"/>
        </w:rPr>
        <w:t>织病。可表现为驰张热、皮疹、关节炎、脾肿大、淋巴结肿大、浆膜炎、</w:t>
      </w:r>
      <w:r>
        <w:rPr>
          <w:spacing w:val="-5"/>
          <w:sz w:val="21"/>
        </w:rPr>
        <w:t>体重减轻、中性粒细胞增多等，全身症状可以先于关节炎出现。本病须</w:t>
      </w:r>
    </w:p>
    <w:p>
      <w:pPr>
        <w:spacing w:after="0" w:line="273" w:lineRule="auto"/>
        <w:jc w:val="left"/>
        <w:rPr>
          <w:sz w:val="21"/>
        </w:rPr>
        <w:sectPr>
          <w:pgSz w:w="11910" w:h="16840"/>
          <w:pgMar w:header="0" w:footer="925" w:top="1080" w:bottom="1200" w:left="1680" w:right="1320"/>
        </w:sectPr>
      </w:pPr>
    </w:p>
    <w:p>
      <w:pPr>
        <w:pStyle w:val="BodyText"/>
        <w:spacing w:line="273" w:lineRule="auto" w:before="22"/>
        <w:ind w:left="2088" w:right="268"/>
        <w:jc w:val="both"/>
      </w:pPr>
      <w:r>
        <w:rPr>
          <w:spacing w:val="-3"/>
        </w:rPr>
        <w:t>经本公司认可的医院的儿科类风湿病专科医生出具医学诊断证明，</w:t>
      </w:r>
      <w:r>
        <w:rPr>
          <w:b/>
        </w:rPr>
        <w:t>保障</w:t>
      </w:r>
      <w:r>
        <w:rPr>
          <w:b/>
          <w:spacing w:val="-6"/>
        </w:rPr>
        <w:t>仅限于症状持续 </w:t>
      </w:r>
      <w:r>
        <w:rPr>
          <w:b/>
        </w:rPr>
        <w:t>6</w:t>
      </w:r>
      <w:r>
        <w:rPr>
          <w:b/>
          <w:spacing w:val="-10"/>
        </w:rPr>
        <w:t> 个月以上</w:t>
      </w:r>
      <w:r>
        <w:rPr>
          <w:spacing w:val="-3"/>
        </w:rPr>
        <w:t>，并因病情严重在医生的建议下已接受以治疗为目的的膝或髋关节的置换手术。</w:t>
      </w:r>
    </w:p>
    <w:p>
      <w:pPr>
        <w:pStyle w:val="Heading1"/>
        <w:spacing w:before="164"/>
      </w:pPr>
      <w:r>
        <w:rPr/>
        <w:t>其他类型的儿童类风湿性关节炎不在本合同保障范围之内。</w:t>
      </w:r>
    </w:p>
    <w:p>
      <w:pPr>
        <w:pStyle w:val="BodyText"/>
        <w:spacing w:before="10"/>
        <w:rPr>
          <w:b/>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肝豆状核变性：由于先天性铜代谢障碍所引起的一种疾病，其特点为肝硬化与双侧脑基底神经节变性同时存在。理赔须经本公司认可的专科医生确认并须满足下列全部条件：</w:t>
      </w:r>
    </w:p>
    <w:p>
      <w:pPr>
        <w:pStyle w:val="ListParagraph"/>
        <w:numPr>
          <w:ilvl w:val="1"/>
          <w:numId w:val="26"/>
        </w:numPr>
        <w:tabs>
          <w:tab w:pos="2929" w:val="left" w:leader="none"/>
        </w:tabs>
        <w:spacing w:line="273" w:lineRule="auto" w:before="163" w:after="0"/>
        <w:ind w:left="2962" w:right="278" w:hanging="420"/>
        <w:jc w:val="left"/>
        <w:rPr>
          <w:sz w:val="21"/>
        </w:rPr>
      </w:pPr>
      <w:r>
        <w:rPr>
          <w:spacing w:val="-3"/>
          <w:sz w:val="21"/>
        </w:rPr>
        <w:t>临床表现包括：进行性加剧的肢体震颤，肌强直，吞咽及发音困难，精神异常；</w:t>
      </w:r>
    </w:p>
    <w:p>
      <w:pPr>
        <w:pStyle w:val="ListParagraph"/>
        <w:numPr>
          <w:ilvl w:val="1"/>
          <w:numId w:val="26"/>
        </w:numPr>
        <w:tabs>
          <w:tab w:pos="2929" w:val="left" w:leader="none"/>
        </w:tabs>
        <w:spacing w:line="240" w:lineRule="auto" w:before="163" w:after="0"/>
        <w:ind w:left="2962" w:right="0" w:hanging="420"/>
        <w:jc w:val="left"/>
        <w:rPr>
          <w:sz w:val="21"/>
        </w:rPr>
      </w:pPr>
      <w:r>
        <w:rPr>
          <w:spacing w:val="-2"/>
          <w:w w:val="100"/>
          <w:sz w:val="21"/>
        </w:rPr>
        <w:t>角膜色素环</w:t>
      </w:r>
      <w:r>
        <w:rPr>
          <w:spacing w:val="-1"/>
          <w:w w:val="100"/>
          <w:sz w:val="21"/>
        </w:rPr>
        <w:t>（</w:t>
      </w:r>
      <w:r>
        <w:rPr>
          <w:w w:val="100"/>
          <w:sz w:val="21"/>
        </w:rPr>
        <w:t>K</w:t>
      </w:r>
      <w:r>
        <w:rPr>
          <w:spacing w:val="-3"/>
          <w:w w:val="100"/>
          <w:sz w:val="21"/>
        </w:rPr>
        <w:t>-</w:t>
      </w:r>
      <w:r>
        <w:rPr>
          <w:w w:val="100"/>
          <w:sz w:val="21"/>
        </w:rPr>
        <w:t>F</w:t>
      </w:r>
      <w:r>
        <w:rPr>
          <w:spacing w:val="-52"/>
          <w:sz w:val="21"/>
        </w:rPr>
        <w:t> </w:t>
      </w:r>
      <w:r>
        <w:rPr>
          <w:spacing w:val="-3"/>
          <w:w w:val="100"/>
          <w:sz w:val="21"/>
        </w:rPr>
        <w:t>环</w:t>
      </w:r>
      <w:r>
        <w:rPr>
          <w:spacing w:val="-106"/>
          <w:w w:val="100"/>
          <w:sz w:val="21"/>
        </w:rPr>
        <w:t>）</w:t>
      </w:r>
      <w:r>
        <w:rPr>
          <w:w w:val="100"/>
          <w:sz w:val="21"/>
        </w:rPr>
        <w:t>；</w:t>
      </w:r>
    </w:p>
    <w:p>
      <w:pPr>
        <w:pStyle w:val="BodyText"/>
        <w:spacing w:before="9"/>
        <w:rPr>
          <w:sz w:val="14"/>
        </w:rPr>
      </w:pPr>
    </w:p>
    <w:p>
      <w:pPr>
        <w:pStyle w:val="ListParagraph"/>
        <w:numPr>
          <w:ilvl w:val="1"/>
          <w:numId w:val="26"/>
        </w:numPr>
        <w:tabs>
          <w:tab w:pos="2929" w:val="left" w:leader="none"/>
        </w:tabs>
        <w:spacing w:line="240" w:lineRule="auto" w:before="1" w:after="0"/>
        <w:ind w:left="2962" w:right="0" w:hanging="420"/>
        <w:jc w:val="left"/>
        <w:rPr>
          <w:sz w:val="21"/>
        </w:rPr>
      </w:pPr>
      <w:r>
        <w:rPr>
          <w:spacing w:val="-3"/>
          <w:sz w:val="21"/>
        </w:rPr>
        <w:t>血清铜和血清铜蓝蛋白降低，尿铜增加；</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2"/>
          <w:sz w:val="21"/>
        </w:rPr>
        <w:t>食管静脉曲张；</w:t>
      </w:r>
    </w:p>
    <w:p>
      <w:pPr>
        <w:pStyle w:val="BodyText"/>
        <w:spacing w:before="9"/>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z w:val="21"/>
        </w:rPr>
        <w:t>腹水。</w:t>
      </w:r>
    </w:p>
    <w:p>
      <w:pPr>
        <w:pStyle w:val="BodyText"/>
        <w:spacing w:before="9"/>
        <w:rPr>
          <w:sz w:val="14"/>
        </w:rPr>
      </w:pPr>
    </w:p>
    <w:p>
      <w:pPr>
        <w:pStyle w:val="BodyText"/>
        <w:spacing w:line="273" w:lineRule="auto"/>
        <w:ind w:left="2088" w:right="278"/>
        <w:jc w:val="both"/>
      </w:pPr>
      <w:r>
        <w:rPr/>
        <w:t>我们承担本项疾病责任不受本合同中“遗传性疾病，先天性畸形、变形或染色体异常”的限制。</w:t>
      </w:r>
    </w:p>
    <w:p>
      <w:pPr>
        <w:pStyle w:val="ListParagraph"/>
        <w:numPr>
          <w:ilvl w:val="0"/>
          <w:numId w:val="26"/>
        </w:numPr>
        <w:tabs>
          <w:tab w:pos="2089" w:val="left" w:leader="none"/>
        </w:tabs>
        <w:spacing w:line="240" w:lineRule="auto" w:before="163" w:after="0"/>
        <w:ind w:left="1865" w:right="0" w:hanging="197"/>
        <w:jc w:val="left"/>
        <w:rPr>
          <w:sz w:val="21"/>
        </w:rPr>
      </w:pPr>
      <w:r>
        <w:rPr>
          <w:spacing w:val="-3"/>
          <w:sz w:val="21"/>
        </w:rPr>
        <w:t>疯牛病：神经系统疾病及致命的成胶质状脑病，并有以下症状：</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不能控制的肌肉痉挛及震颤；</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1"/>
          <w:sz w:val="21"/>
        </w:rPr>
        <w:t>逐渐痴呆；</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小脑功能不良，共济失调；</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手足徐动症。</w:t>
      </w:r>
    </w:p>
    <w:p>
      <w:pPr>
        <w:pStyle w:val="BodyText"/>
        <w:spacing w:before="9"/>
        <w:rPr>
          <w:sz w:val="14"/>
        </w:rPr>
      </w:pPr>
    </w:p>
    <w:p>
      <w:pPr>
        <w:pStyle w:val="BodyText"/>
        <w:spacing w:line="273" w:lineRule="auto"/>
        <w:ind w:left="2122" w:right="244"/>
        <w:jc w:val="both"/>
      </w:pPr>
      <w:r>
        <w:rPr/>
        <w:t>诊断必须由神经科专科医生基于以下检查报告作出：脑电图、脑脊液报告、电脑断层扫描(CT)及核磁共振(MRI)。</w:t>
      </w:r>
    </w:p>
    <w:p>
      <w:pPr>
        <w:pStyle w:val="ListParagraph"/>
        <w:numPr>
          <w:ilvl w:val="0"/>
          <w:numId w:val="26"/>
        </w:numPr>
        <w:tabs>
          <w:tab w:pos="2089" w:val="left" w:leader="none"/>
        </w:tabs>
        <w:spacing w:line="273" w:lineRule="auto" w:before="163" w:after="0"/>
        <w:ind w:left="2089" w:right="278" w:hanging="421"/>
        <w:jc w:val="both"/>
        <w:rPr>
          <w:sz w:val="21"/>
        </w:rPr>
      </w:pPr>
      <w:r>
        <w:rPr>
          <w:spacing w:val="-3"/>
          <w:sz w:val="21"/>
        </w:rPr>
        <w:t>肺泡蛋白质沉积症：指肺泡和细支气管腔内充满不可溶性富磷脂蛋白的</w:t>
      </w:r>
      <w:r>
        <w:rPr>
          <w:spacing w:val="-9"/>
          <w:sz w:val="21"/>
        </w:rPr>
        <w:t>疾病，胸部 </w:t>
      </w:r>
      <w:r>
        <w:rPr>
          <w:sz w:val="21"/>
        </w:rPr>
        <w:t>X</w:t>
      </w:r>
      <w:r>
        <w:rPr>
          <w:spacing w:val="-7"/>
          <w:sz w:val="21"/>
        </w:rPr>
        <w:t> 线呈双肺弥漫性肺部磨玻璃影，病理学检查肺泡内充满有</w:t>
      </w:r>
      <w:r>
        <w:rPr>
          <w:spacing w:val="-3"/>
          <w:sz w:val="21"/>
        </w:rPr>
        <w:t>过碘酸雪夫</w:t>
      </w:r>
      <w:r>
        <w:rPr>
          <w:spacing w:val="-1"/>
          <w:sz w:val="21"/>
        </w:rPr>
        <w:t>（PAS）</w:t>
      </w:r>
      <w:r>
        <w:rPr>
          <w:spacing w:val="-3"/>
          <w:sz w:val="21"/>
        </w:rPr>
        <w:t>染色阳性的蛋白样物质。</w:t>
      </w:r>
    </w:p>
    <w:p>
      <w:pPr>
        <w:pStyle w:val="BodyText"/>
        <w:spacing w:line="273" w:lineRule="auto" w:before="163"/>
        <w:ind w:left="2088" w:right="278"/>
        <w:jc w:val="both"/>
      </w:pPr>
      <w:r>
        <w:rPr/>
        <w:t>本病必须由本公司认可的医院的专科医生确诊，并且已经接受了肺灌洗治疗。</w:t>
      </w:r>
    </w:p>
    <w:p>
      <w:pPr>
        <w:pStyle w:val="ListParagraph"/>
        <w:numPr>
          <w:ilvl w:val="0"/>
          <w:numId w:val="26"/>
        </w:numPr>
        <w:tabs>
          <w:tab w:pos="2089" w:val="left" w:leader="none"/>
        </w:tabs>
        <w:spacing w:line="273" w:lineRule="auto" w:before="163" w:after="0"/>
        <w:ind w:left="2089" w:right="98" w:hanging="421"/>
        <w:jc w:val="left"/>
        <w:rPr>
          <w:sz w:val="21"/>
        </w:rPr>
      </w:pPr>
      <w:r>
        <w:rPr>
          <w:spacing w:val="-3"/>
          <w:sz w:val="21"/>
        </w:rPr>
        <w:t>肺淋巴管肌瘤病：肺淋巴管肌瘤病是一种弥漫性肺部疾病，主要病理改 变为肺间质、支气管、血管和淋巴管内出现未成熟的平滑肌异常增生， </w:t>
      </w:r>
      <w:r>
        <w:rPr>
          <w:spacing w:val="-5"/>
          <w:sz w:val="21"/>
        </w:rPr>
        <w:t>本病必须由本公司认可的专科医生确诊，并且同时须满足下列全部条件：</w:t>
      </w:r>
    </w:p>
    <w:p>
      <w:pPr>
        <w:pStyle w:val="ListParagraph"/>
        <w:numPr>
          <w:ilvl w:val="1"/>
          <w:numId w:val="26"/>
        </w:numPr>
        <w:tabs>
          <w:tab w:pos="2929" w:val="left" w:leader="none"/>
        </w:tabs>
        <w:spacing w:line="240" w:lineRule="auto" w:before="163" w:after="0"/>
        <w:ind w:left="2929" w:right="0" w:hanging="387"/>
        <w:jc w:val="left"/>
        <w:rPr>
          <w:sz w:val="21"/>
        </w:rPr>
      </w:pPr>
      <w:r>
        <w:rPr>
          <w:spacing w:val="-3"/>
          <w:sz w:val="21"/>
        </w:rPr>
        <w:t>经组织病理学诊断；</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z w:val="21"/>
        </w:rPr>
        <w:t>CT</w:t>
      </w:r>
      <w:r>
        <w:rPr>
          <w:spacing w:val="-8"/>
          <w:sz w:val="21"/>
        </w:rPr>
        <w:t> 显示双肺弥漫性囊性改变；</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血气提示低氧血症。</w:t>
      </w:r>
    </w:p>
    <w:p>
      <w:pPr>
        <w:pStyle w:val="BodyText"/>
        <w:spacing w:before="9"/>
        <w:rPr>
          <w:sz w:val="14"/>
        </w:rPr>
      </w:pPr>
    </w:p>
    <w:p>
      <w:pPr>
        <w:pStyle w:val="ListParagraph"/>
        <w:numPr>
          <w:ilvl w:val="0"/>
          <w:numId w:val="26"/>
        </w:numPr>
        <w:tabs>
          <w:tab w:pos="2089" w:val="left" w:leader="none"/>
        </w:tabs>
        <w:spacing w:line="240" w:lineRule="auto" w:before="0" w:after="0"/>
        <w:ind w:left="1865" w:right="0" w:hanging="197"/>
        <w:jc w:val="left"/>
        <w:rPr>
          <w:sz w:val="21"/>
        </w:rPr>
      </w:pPr>
      <w:r>
        <w:rPr>
          <w:spacing w:val="-3"/>
          <w:sz w:val="21"/>
        </w:rPr>
        <w:t>颅脑手术：被保险人确已实施全麻下的开颅手术（不包括颅骨钻孔手术</w:t>
      </w:r>
    </w:p>
    <w:p>
      <w:pPr>
        <w:spacing w:after="0" w:line="240" w:lineRule="auto"/>
        <w:jc w:val="left"/>
        <w:rPr>
          <w:sz w:val="21"/>
        </w:rPr>
        <w:sectPr>
          <w:pgSz w:w="11910" w:h="16840"/>
          <w:pgMar w:header="0" w:footer="925" w:top="1080" w:bottom="1200" w:left="1680" w:right="1340"/>
        </w:sectPr>
      </w:pPr>
    </w:p>
    <w:p>
      <w:pPr>
        <w:pStyle w:val="BodyText"/>
        <w:spacing w:before="22"/>
        <w:ind w:left="2088"/>
      </w:pPr>
      <w:r>
        <w:rPr>
          <w:spacing w:val="-3"/>
        </w:rPr>
        <w:t>和经鼻蝶窦入颅手术</w:t>
      </w:r>
      <w:r>
        <w:rPr>
          <w:spacing w:val="-106"/>
        </w:rPr>
        <w:t>）</w:t>
      </w:r>
      <w:r>
        <w:rPr/>
        <w:t>。</w:t>
      </w:r>
    </w:p>
    <w:p>
      <w:pPr>
        <w:pStyle w:val="BodyText"/>
        <w:spacing w:before="10"/>
        <w:rPr>
          <w:sz w:val="14"/>
        </w:rPr>
      </w:pPr>
    </w:p>
    <w:p>
      <w:pPr>
        <w:pStyle w:val="Heading1"/>
        <w:ind w:left="2122"/>
      </w:pPr>
      <w:r>
        <w:rPr/>
        <w:t>因外伤而实施的脑外科手术不在本合同保障范围之内。</w:t>
      </w:r>
    </w:p>
    <w:p>
      <w:pPr>
        <w:pStyle w:val="BodyText"/>
        <w:spacing w:before="10"/>
        <w:rPr>
          <w:b/>
          <w:sz w:val="14"/>
        </w:rPr>
      </w:pPr>
    </w:p>
    <w:p>
      <w:pPr>
        <w:pStyle w:val="BodyText"/>
        <w:ind w:left="2122"/>
      </w:pPr>
      <w:r>
        <w:rPr/>
        <w:t>理赔时必须提供由神经外科医生出具的诊断书及手术报告。</w:t>
      </w:r>
    </w:p>
    <w:p>
      <w:pPr>
        <w:pStyle w:val="BodyText"/>
        <w:spacing w:before="9"/>
        <w:rPr>
          <w:sz w:val="14"/>
        </w:rPr>
      </w:pPr>
    </w:p>
    <w:p>
      <w:pPr>
        <w:pStyle w:val="ListParagraph"/>
        <w:numPr>
          <w:ilvl w:val="0"/>
          <w:numId w:val="26"/>
        </w:numPr>
        <w:tabs>
          <w:tab w:pos="2089" w:val="left" w:leader="none"/>
        </w:tabs>
        <w:spacing w:line="273" w:lineRule="auto" w:before="0" w:after="0"/>
        <w:ind w:left="2089" w:right="201" w:hanging="421"/>
        <w:jc w:val="left"/>
        <w:rPr>
          <w:sz w:val="21"/>
        </w:rPr>
      </w:pPr>
      <w:r>
        <w:rPr>
          <w:sz w:val="21"/>
        </w:rPr>
        <w:t>III</w:t>
      </w:r>
      <w:r>
        <w:rPr>
          <w:spacing w:val="-12"/>
          <w:sz w:val="21"/>
        </w:rPr>
        <w:t> 度房室传导阻滞：指心房激动在房室交界区、房室束及其分支内发生</w:t>
      </w:r>
      <w:r>
        <w:rPr>
          <w:spacing w:val="-3"/>
          <w:sz w:val="21"/>
        </w:rPr>
        <w:t>阻滞，不能正常地传到心室的心脏传导性疾病，须满足下列全部条件：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心电图显示房室搏动彼此独立，心室率&lt;</w:t>
      </w:r>
      <w:r>
        <w:rPr>
          <w:sz w:val="21"/>
        </w:rPr>
        <w:t>50</w:t>
      </w:r>
      <w:r>
        <w:rPr>
          <w:spacing w:val="10"/>
          <w:sz w:val="21"/>
        </w:rPr>
        <w:t> 次</w:t>
      </w:r>
      <w:r>
        <w:rPr>
          <w:sz w:val="21"/>
        </w:rPr>
        <w:t>/</w:t>
      </w:r>
      <w:r>
        <w:rPr>
          <w:spacing w:val="-2"/>
          <w:sz w:val="21"/>
        </w:rPr>
        <w:t>分钟；</w:t>
      </w:r>
    </w:p>
    <w:p>
      <w:pPr>
        <w:pStyle w:val="BodyText"/>
        <w:spacing w:before="9"/>
        <w:rPr>
          <w:sz w:val="14"/>
        </w:rPr>
      </w:pPr>
    </w:p>
    <w:p>
      <w:pPr>
        <w:pStyle w:val="ListParagraph"/>
        <w:numPr>
          <w:ilvl w:val="1"/>
          <w:numId w:val="26"/>
        </w:numPr>
        <w:tabs>
          <w:tab w:pos="2929" w:val="left" w:leader="none"/>
        </w:tabs>
        <w:spacing w:line="240" w:lineRule="auto" w:before="1" w:after="0"/>
        <w:ind w:left="2962" w:right="0" w:hanging="420"/>
        <w:jc w:val="left"/>
        <w:rPr>
          <w:sz w:val="21"/>
        </w:rPr>
      </w:pPr>
      <w:r>
        <w:rPr>
          <w:spacing w:val="-3"/>
          <w:sz w:val="21"/>
        </w:rPr>
        <w:t>出现阿-斯综合征或心力衰竭的表现；</w:t>
      </w:r>
    </w:p>
    <w:p>
      <w:pPr>
        <w:pStyle w:val="BodyText"/>
        <w:spacing w:before="10"/>
        <w:rPr>
          <w:sz w:val="14"/>
        </w:rPr>
      </w:pPr>
    </w:p>
    <w:p>
      <w:pPr>
        <w:pStyle w:val="ListParagraph"/>
        <w:numPr>
          <w:ilvl w:val="1"/>
          <w:numId w:val="26"/>
        </w:numPr>
        <w:tabs>
          <w:tab w:pos="2929" w:val="left" w:leader="none"/>
        </w:tabs>
        <w:spacing w:line="273" w:lineRule="auto" w:before="0" w:after="0"/>
        <w:ind w:left="2962" w:right="278" w:hanging="420"/>
        <w:jc w:val="left"/>
        <w:rPr>
          <w:sz w:val="21"/>
        </w:rPr>
      </w:pPr>
      <w:r>
        <w:rPr>
          <w:spacing w:val="-3"/>
          <w:sz w:val="21"/>
        </w:rPr>
        <w:t>必须持续性依赖心脏起搏器维持心脏正常功能，且已经放置心</w:t>
      </w:r>
      <w:r>
        <w:rPr>
          <w:spacing w:val="-2"/>
          <w:sz w:val="21"/>
        </w:rPr>
        <w:t>脏起搏器。</w:t>
      </w:r>
    </w:p>
    <w:p>
      <w:pPr>
        <w:pStyle w:val="ListParagraph"/>
        <w:numPr>
          <w:ilvl w:val="0"/>
          <w:numId w:val="26"/>
        </w:numPr>
        <w:tabs>
          <w:tab w:pos="2089" w:val="left" w:leader="none"/>
        </w:tabs>
        <w:spacing w:line="273" w:lineRule="auto" w:before="163" w:after="0"/>
        <w:ind w:left="2089" w:right="278" w:hanging="421"/>
        <w:jc w:val="left"/>
        <w:rPr>
          <w:sz w:val="21"/>
        </w:rPr>
      </w:pPr>
      <w:r>
        <w:rPr>
          <w:spacing w:val="-3"/>
          <w:sz w:val="21"/>
        </w:rPr>
        <w:t>骨生长不全症：指一种胶元病，特征为骨易碎、骨质疏松和易骨折。该</w:t>
      </w:r>
      <w:r>
        <w:rPr>
          <w:spacing w:val="-17"/>
          <w:sz w:val="21"/>
        </w:rPr>
        <w:t>病有 </w:t>
      </w:r>
      <w:r>
        <w:rPr>
          <w:sz w:val="21"/>
        </w:rPr>
        <w:t>4</w:t>
      </w:r>
      <w:r>
        <w:rPr>
          <w:spacing w:val="-8"/>
          <w:sz w:val="21"/>
        </w:rPr>
        <w:t> 种类型：Ⅰ型、Ⅱ型、Ⅲ型、Ⅳ型。</w:t>
      </w:r>
    </w:p>
    <w:p>
      <w:pPr>
        <w:pStyle w:val="BodyText"/>
        <w:spacing w:line="273" w:lineRule="auto" w:before="163"/>
        <w:ind w:left="2088" w:right="98"/>
      </w:pPr>
      <w:r>
        <w:rPr>
          <w:b/>
          <w:spacing w:val="-4"/>
        </w:rPr>
        <w:t>本合同只对Ⅲ型成骨不全承担保障责任。</w:t>
      </w:r>
      <w:r>
        <w:rPr>
          <w:spacing w:val="-5"/>
        </w:rPr>
        <w:t>其主要临床特点有：发育迟缓、</w:t>
      </w:r>
      <w:r>
        <w:rPr>
          <w:spacing w:val="-4"/>
        </w:rPr>
        <w:t>多发性骨折、进行性脊柱后侧凸及听力损害。Ⅲ型成骨不全的诊断必须 </w:t>
      </w:r>
      <w:r>
        <w:rPr>
          <w:spacing w:val="-21"/>
        </w:rPr>
        <w:t>根据身体检查、家族史、</w:t>
      </w:r>
      <w:r>
        <w:rPr/>
        <w:t>X</w:t>
      </w:r>
      <w:r>
        <w:rPr>
          <w:spacing w:val="-5"/>
        </w:rPr>
        <w:t> 线检查和皮肤活检报告资料并由专科医生确诊。</w:t>
      </w:r>
    </w:p>
    <w:p>
      <w:pPr>
        <w:pStyle w:val="BodyText"/>
        <w:spacing w:line="273" w:lineRule="auto" w:before="163"/>
        <w:ind w:left="2088" w:right="278"/>
      </w:pPr>
      <w:r>
        <w:rPr/>
        <w:t>我们承担本项疾病责任不受本合同中“遗传性疾病，先天性畸形、变形或染色体异常”的限制。</w:t>
      </w:r>
    </w:p>
    <w:p>
      <w:pPr>
        <w:pStyle w:val="ListParagraph"/>
        <w:numPr>
          <w:ilvl w:val="0"/>
          <w:numId w:val="26"/>
        </w:numPr>
        <w:tabs>
          <w:tab w:pos="2089" w:val="left" w:leader="none"/>
        </w:tabs>
        <w:spacing w:line="273" w:lineRule="auto" w:before="163" w:after="0"/>
        <w:ind w:left="2089" w:right="278" w:hanging="421"/>
        <w:jc w:val="both"/>
        <w:rPr>
          <w:sz w:val="21"/>
        </w:rPr>
      </w:pPr>
      <w:r>
        <w:rPr>
          <w:spacing w:val="-3"/>
          <w:sz w:val="21"/>
        </w:rPr>
        <w:t>急性坏死性胰腺炎开腹手术：指胰酶在胰腺内激活后引起胰腺组织自身消化的急性化学性炎症，并伴有胰腺功能障碍。本病必须经认可医院的专科医生明确诊断，并已经接受了外科剖腹手术治疗，以进行坏死组织清除、坏死病灶切除或胰腺切除。</w:t>
      </w:r>
    </w:p>
    <w:p>
      <w:pPr>
        <w:pStyle w:val="Heading1"/>
        <w:spacing w:line="273" w:lineRule="auto" w:before="164"/>
        <w:ind w:right="257"/>
      </w:pPr>
      <w:r>
        <w:rPr/>
        <w:t>因酗酒或饮酒过量所致的急性坏死性胰腺炎以及腹腔镜手术不在本合同保障范围内。</w:t>
      </w:r>
    </w:p>
    <w:p>
      <w:pPr>
        <w:pStyle w:val="ListParagraph"/>
        <w:numPr>
          <w:ilvl w:val="0"/>
          <w:numId w:val="26"/>
        </w:numPr>
        <w:tabs>
          <w:tab w:pos="2089" w:val="left" w:leader="none"/>
        </w:tabs>
        <w:spacing w:line="273" w:lineRule="auto" w:before="163" w:after="0"/>
        <w:ind w:left="2089" w:right="201" w:hanging="421"/>
        <w:jc w:val="left"/>
        <w:rPr>
          <w:sz w:val="21"/>
        </w:rPr>
      </w:pPr>
      <w:r>
        <w:rPr>
          <w:spacing w:val="-3"/>
          <w:sz w:val="21"/>
        </w:rPr>
        <w:t>进行性球麻痹：由神经科专科医生诊断的包括延髓神经支配的肌肉在内</w:t>
      </w:r>
      <w:r>
        <w:rPr>
          <w:spacing w:val="-6"/>
          <w:sz w:val="21"/>
        </w:rPr>
        <w:t>的肌肉变性及消耗，诊断必须有诸如肌电图(</w:t>
      </w:r>
      <w:r>
        <w:rPr>
          <w:sz w:val="21"/>
        </w:rPr>
        <w:t>EMG</w:t>
      </w:r>
      <w:r>
        <w:rPr>
          <w:spacing w:val="-3"/>
          <w:sz w:val="21"/>
        </w:rPr>
        <w:t>)在内的神经肌肉测试来确定诊断。</w:t>
      </w:r>
    </w:p>
    <w:p>
      <w:pPr>
        <w:pStyle w:val="ListParagraph"/>
        <w:numPr>
          <w:ilvl w:val="0"/>
          <w:numId w:val="26"/>
        </w:numPr>
        <w:tabs>
          <w:tab w:pos="2089" w:val="left" w:leader="none"/>
        </w:tabs>
        <w:spacing w:line="240" w:lineRule="auto" w:before="163" w:after="0"/>
        <w:ind w:left="1865" w:right="0" w:hanging="197"/>
        <w:jc w:val="left"/>
        <w:rPr>
          <w:sz w:val="21"/>
        </w:rPr>
      </w:pPr>
      <w:r>
        <w:rPr>
          <w:spacing w:val="-3"/>
          <w:sz w:val="21"/>
        </w:rPr>
        <w:t>风湿热导致的心脏瓣膜疾病：必须满足下列全部条件：</w:t>
      </w:r>
    </w:p>
    <w:p>
      <w:pPr>
        <w:pStyle w:val="BodyText"/>
        <w:spacing w:before="9"/>
        <w:rPr>
          <w:sz w:val="14"/>
        </w:rPr>
      </w:pPr>
    </w:p>
    <w:p>
      <w:pPr>
        <w:pStyle w:val="ListParagraph"/>
        <w:numPr>
          <w:ilvl w:val="1"/>
          <w:numId w:val="26"/>
        </w:numPr>
        <w:tabs>
          <w:tab w:pos="2929" w:val="left" w:leader="none"/>
        </w:tabs>
        <w:spacing w:line="273" w:lineRule="auto" w:before="1" w:after="0"/>
        <w:ind w:left="2962" w:right="228" w:hanging="420"/>
        <w:jc w:val="left"/>
        <w:rPr>
          <w:sz w:val="21"/>
        </w:rPr>
      </w:pPr>
      <w:r>
        <w:rPr>
          <w:spacing w:val="-5"/>
          <w:sz w:val="21"/>
        </w:rPr>
        <w:t>经由本公司认可的儿科专科注册医生根据已修订的 </w:t>
      </w:r>
      <w:r>
        <w:rPr>
          <w:sz w:val="21"/>
        </w:rPr>
        <w:t>Jones</w:t>
      </w:r>
      <w:r>
        <w:rPr>
          <w:spacing w:val="5"/>
          <w:sz w:val="21"/>
        </w:rPr>
        <w:t> 标准</w:t>
      </w:r>
      <w:r>
        <w:rPr>
          <w:spacing w:val="-3"/>
          <w:sz w:val="21"/>
        </w:rPr>
        <w:t>诊断证实罹患急性风湿热；</w:t>
      </w:r>
    </w:p>
    <w:p>
      <w:pPr>
        <w:pStyle w:val="ListParagraph"/>
        <w:numPr>
          <w:ilvl w:val="1"/>
          <w:numId w:val="26"/>
        </w:numPr>
        <w:tabs>
          <w:tab w:pos="2929" w:val="left" w:leader="none"/>
        </w:tabs>
        <w:spacing w:line="273" w:lineRule="auto" w:before="164" w:after="0"/>
        <w:ind w:left="2962" w:right="278" w:hanging="420"/>
        <w:jc w:val="both"/>
        <w:rPr>
          <w:sz w:val="21"/>
        </w:rPr>
      </w:pPr>
      <w:r>
        <w:rPr>
          <w:spacing w:val="-3"/>
          <w:sz w:val="21"/>
        </w:rPr>
        <w:t>因风湿热所导致一个或以上最少轻度心脏瓣膜关闭不全（</w:t>
      </w:r>
      <w:r>
        <w:rPr>
          <w:sz w:val="21"/>
        </w:rPr>
        <w:t>即返</w:t>
      </w:r>
      <w:r>
        <w:rPr>
          <w:spacing w:val="-9"/>
          <w:sz w:val="21"/>
        </w:rPr>
        <w:t>流部份达 </w:t>
      </w:r>
      <w:r>
        <w:rPr>
          <w:sz w:val="21"/>
        </w:rPr>
        <w:t>20</w:t>
      </w:r>
      <w:r>
        <w:rPr>
          <w:spacing w:val="-3"/>
          <w:sz w:val="21"/>
        </w:rPr>
        <w:t>%或以上</w:t>
      </w:r>
      <w:r>
        <w:rPr>
          <w:sz w:val="21"/>
        </w:rPr>
        <w:t>）</w:t>
      </w:r>
      <w:r>
        <w:rPr>
          <w:spacing w:val="-3"/>
          <w:sz w:val="21"/>
        </w:rPr>
        <w:t>或狭窄的心瓣损伤</w:t>
      </w:r>
      <w:r>
        <w:rPr>
          <w:sz w:val="21"/>
        </w:rPr>
        <w:t>（</w:t>
      </w:r>
      <w:r>
        <w:rPr>
          <w:spacing w:val="-3"/>
          <w:sz w:val="21"/>
        </w:rPr>
        <w:t>即心脏瓣面积为正</w:t>
      </w:r>
      <w:r>
        <w:rPr>
          <w:spacing w:val="-13"/>
          <w:sz w:val="21"/>
        </w:rPr>
        <w:t>常值的 </w:t>
      </w:r>
      <w:r>
        <w:rPr>
          <w:sz w:val="21"/>
        </w:rPr>
        <w:t>30</w:t>
      </w:r>
      <w:r>
        <w:rPr>
          <w:spacing w:val="-1"/>
          <w:sz w:val="21"/>
        </w:rPr>
        <w:t>%或以下</w:t>
      </w:r>
      <w:r>
        <w:rPr>
          <w:spacing w:val="-108"/>
          <w:sz w:val="21"/>
        </w:rPr>
        <w:t>）</w:t>
      </w:r>
      <w:r>
        <w:rPr>
          <w:sz w:val="21"/>
        </w:rPr>
        <w:t>。</w:t>
      </w:r>
    </w:p>
    <w:p>
      <w:pPr>
        <w:pStyle w:val="BodyText"/>
        <w:spacing w:line="273" w:lineRule="auto" w:before="164"/>
        <w:ind w:left="2088" w:right="278"/>
      </w:pPr>
      <w:r>
        <w:rPr/>
        <w:t>有关诊断必须由本公司认可医院的的心脏病专科注册医生根据心瓣功能的定量检查证实。</w:t>
      </w:r>
    </w:p>
    <w:p>
      <w:pPr>
        <w:pStyle w:val="Heading1"/>
        <w:spacing w:line="273" w:lineRule="auto" w:before="164"/>
        <w:ind w:right="202"/>
      </w:pPr>
      <w:r>
        <w:rPr>
          <w:spacing w:val="-3"/>
        </w:rPr>
        <w:t>如因任何先天缺陷，或遗传疾病或发育中出现异常情况，而该异常情况</w:t>
      </w:r>
      <w:r>
        <w:rPr>
          <w:spacing w:val="-9"/>
        </w:rPr>
        <w:t>在被保险人年龄满 </w:t>
      </w:r>
      <w:r>
        <w:rPr/>
        <w:t>18</w:t>
      </w:r>
      <w:r>
        <w:rPr>
          <w:spacing w:val="-12"/>
        </w:rPr>
        <w:t> 岁之前已被诊断或出现，所直接或间接引起或导致</w:t>
      </w:r>
    </w:p>
    <w:p>
      <w:pPr>
        <w:spacing w:before="8"/>
        <w:ind w:left="2088" w:right="0" w:firstLine="0"/>
        <w:jc w:val="left"/>
        <w:rPr>
          <w:b/>
          <w:sz w:val="21"/>
        </w:rPr>
      </w:pPr>
      <w:r>
        <w:rPr>
          <w:b/>
          <w:w w:val="100"/>
          <w:sz w:val="21"/>
        </w:rPr>
        <w:t>（全部或部分</w:t>
      </w:r>
      <w:r>
        <w:rPr>
          <w:b/>
          <w:spacing w:val="-106"/>
          <w:w w:val="100"/>
          <w:sz w:val="21"/>
        </w:rPr>
        <w:t>）</w:t>
      </w:r>
      <w:r>
        <w:rPr>
          <w:b/>
          <w:spacing w:val="-2"/>
          <w:w w:val="100"/>
          <w:sz w:val="21"/>
        </w:rPr>
        <w:t>，将不在本合同保障范围内。</w:t>
      </w:r>
    </w:p>
    <w:p>
      <w:pPr>
        <w:spacing w:after="0"/>
        <w:jc w:val="left"/>
        <w:rPr>
          <w:sz w:val="21"/>
        </w:rPr>
        <w:sectPr>
          <w:pgSz w:w="11910" w:h="16840"/>
          <w:pgMar w:header="0" w:footer="925" w:top="1080" w:bottom="1200" w:left="1680" w:right="1340"/>
        </w:sectPr>
      </w:pPr>
    </w:p>
    <w:p>
      <w:pPr>
        <w:pStyle w:val="ListParagraph"/>
        <w:numPr>
          <w:ilvl w:val="0"/>
          <w:numId w:val="26"/>
        </w:numPr>
        <w:tabs>
          <w:tab w:pos="2089" w:val="left" w:leader="none"/>
        </w:tabs>
        <w:spacing w:line="273" w:lineRule="auto" w:before="22" w:after="0"/>
        <w:ind w:left="2089" w:right="298" w:hanging="421"/>
        <w:jc w:val="both"/>
        <w:rPr>
          <w:sz w:val="21"/>
        </w:rPr>
      </w:pPr>
      <w:r>
        <w:rPr>
          <w:spacing w:val="-3"/>
          <w:sz w:val="21"/>
        </w:rPr>
        <w:t>弥散性血管内凝血：指血液凝固系统和纤溶系统的过度活动导致微血管血栓形成、血小板及凝血因子耗竭和严重出血，需要输注血浆和浓缩血小板进行治疗。</w:t>
      </w:r>
    </w:p>
    <w:p>
      <w:pPr>
        <w:pStyle w:val="BodyText"/>
        <w:spacing w:before="164"/>
        <w:ind w:left="2088"/>
      </w:pPr>
      <w:r>
        <w:rPr/>
        <w:t>诊断时必须满足下列全部条件：</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突发性起病，一般持续数小时或数天；</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严重的出血倾向；</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1"/>
          <w:sz w:val="21"/>
        </w:rPr>
        <w:t>伴有休克。</w:t>
      </w:r>
    </w:p>
    <w:p>
      <w:pPr>
        <w:pStyle w:val="BodyText"/>
        <w:spacing w:before="9"/>
        <w:rPr>
          <w:sz w:val="14"/>
        </w:rPr>
      </w:pPr>
    </w:p>
    <w:p>
      <w:pPr>
        <w:pStyle w:val="BodyText"/>
        <w:spacing w:before="1"/>
        <w:ind w:left="2088"/>
      </w:pPr>
      <w:r>
        <w:rPr/>
        <w:t>有关诊断必须由本公司认可的医院的专科医生确诊。</w:t>
      </w:r>
    </w:p>
    <w:p>
      <w:pPr>
        <w:pStyle w:val="BodyText"/>
        <w:spacing w:before="10"/>
        <w:rPr>
          <w:sz w:val="14"/>
        </w:rPr>
      </w:pPr>
    </w:p>
    <w:p>
      <w:pPr>
        <w:pStyle w:val="ListParagraph"/>
        <w:numPr>
          <w:ilvl w:val="0"/>
          <w:numId w:val="26"/>
        </w:numPr>
        <w:tabs>
          <w:tab w:pos="2089" w:val="left" w:leader="none"/>
        </w:tabs>
        <w:spacing w:line="273" w:lineRule="auto" w:before="0" w:after="0"/>
        <w:ind w:left="2089" w:right="298" w:hanging="421"/>
        <w:jc w:val="both"/>
        <w:rPr>
          <w:sz w:val="21"/>
        </w:rPr>
      </w:pPr>
      <w:r>
        <w:rPr>
          <w:spacing w:val="-3"/>
          <w:sz w:val="21"/>
        </w:rPr>
        <w:t>严重冠心病：指经冠状动脉造影检查明确诊断为主要血管严重狭窄性病变，须满足下列至少一项条件：</w:t>
      </w:r>
    </w:p>
    <w:p>
      <w:pPr>
        <w:pStyle w:val="ListParagraph"/>
        <w:numPr>
          <w:ilvl w:val="1"/>
          <w:numId w:val="26"/>
        </w:numPr>
        <w:tabs>
          <w:tab w:pos="2929" w:val="left" w:leader="none"/>
        </w:tabs>
        <w:spacing w:line="273" w:lineRule="auto" w:before="164" w:after="0"/>
        <w:ind w:left="2962" w:right="142" w:hanging="420"/>
        <w:jc w:val="left"/>
        <w:rPr>
          <w:sz w:val="21"/>
        </w:rPr>
      </w:pPr>
      <w:r>
        <w:rPr>
          <w:spacing w:val="-5"/>
          <w:sz w:val="21"/>
        </w:rPr>
        <w:t>左冠状动脉主干和右冠状动脉中，一支血管管腔堵塞 </w:t>
      </w:r>
      <w:r>
        <w:rPr>
          <w:sz w:val="21"/>
        </w:rPr>
        <w:t>75</w:t>
      </w:r>
      <w:r>
        <w:rPr>
          <w:spacing w:val="-1"/>
          <w:sz w:val="21"/>
        </w:rPr>
        <w:t>%以上， </w:t>
      </w:r>
      <w:r>
        <w:rPr>
          <w:spacing w:val="-7"/>
          <w:sz w:val="21"/>
        </w:rPr>
        <w:t>另一支血管管腔堵塞 </w:t>
      </w:r>
      <w:r>
        <w:rPr>
          <w:sz w:val="21"/>
        </w:rPr>
        <w:t>60%以上；</w:t>
      </w:r>
    </w:p>
    <w:p>
      <w:pPr>
        <w:pStyle w:val="ListParagraph"/>
        <w:numPr>
          <w:ilvl w:val="1"/>
          <w:numId w:val="26"/>
        </w:numPr>
        <w:tabs>
          <w:tab w:pos="2929" w:val="left" w:leader="none"/>
        </w:tabs>
        <w:spacing w:line="273" w:lineRule="auto" w:before="163" w:after="0"/>
        <w:ind w:left="2962" w:right="223" w:hanging="420"/>
        <w:jc w:val="left"/>
        <w:rPr>
          <w:sz w:val="21"/>
        </w:rPr>
      </w:pPr>
      <w:r>
        <w:rPr>
          <w:spacing w:val="-11"/>
          <w:sz w:val="21"/>
        </w:rPr>
        <w:t>左前降支、左旋支和右冠状动脉中，至少一支血管管腔堵塞 </w:t>
      </w:r>
      <w:r>
        <w:rPr>
          <w:sz w:val="21"/>
        </w:rPr>
        <w:t>75% </w:t>
      </w:r>
      <w:r>
        <w:rPr>
          <w:spacing w:val="-6"/>
          <w:sz w:val="21"/>
        </w:rPr>
        <w:t>以上，其他两支血管管腔堵塞 </w:t>
      </w:r>
      <w:r>
        <w:rPr>
          <w:sz w:val="21"/>
        </w:rPr>
        <w:t>60</w:t>
      </w:r>
      <w:r>
        <w:rPr>
          <w:spacing w:val="-2"/>
          <w:sz w:val="21"/>
        </w:rPr>
        <w:t>%以上。</w:t>
      </w:r>
    </w:p>
    <w:p>
      <w:pPr>
        <w:pStyle w:val="BodyText"/>
        <w:spacing w:line="273" w:lineRule="auto" w:before="163"/>
        <w:ind w:left="2088" w:right="298"/>
      </w:pPr>
      <w:r>
        <w:rPr/>
        <w:t>左前降支的分支血管、左旋支的分支血管及右冠状动脉的分支血管的狭窄不作为本保障的衡量指标。</w:t>
      </w:r>
    </w:p>
    <w:p>
      <w:pPr>
        <w:pStyle w:val="ListParagraph"/>
        <w:numPr>
          <w:ilvl w:val="0"/>
          <w:numId w:val="26"/>
        </w:numPr>
        <w:tabs>
          <w:tab w:pos="2089" w:val="left" w:leader="none"/>
        </w:tabs>
        <w:spacing w:line="273" w:lineRule="auto" w:before="163" w:after="0"/>
        <w:ind w:left="2089" w:right="298" w:hanging="421"/>
        <w:jc w:val="both"/>
        <w:rPr>
          <w:sz w:val="21"/>
        </w:rPr>
      </w:pPr>
      <w:r>
        <w:rPr>
          <w:spacing w:val="-3"/>
          <w:sz w:val="21"/>
        </w:rPr>
        <w:t>严重自身免疫性肝炎：自身免疫性肝炎是一种原因不明的慢性肝脏的坏死性炎性疾病，机体免疫机制被破坏，产生针对肝脏自身抗原的抗体导致自身免疫反应，从而破坏肝细胞造成肝脏炎症坏死，进而发展为肝硬化。必须满足下列全部条件：</w:t>
      </w:r>
    </w:p>
    <w:p>
      <w:pPr>
        <w:pStyle w:val="ListParagraph"/>
        <w:numPr>
          <w:ilvl w:val="1"/>
          <w:numId w:val="26"/>
        </w:numPr>
        <w:tabs>
          <w:tab w:pos="2929" w:val="left" w:leader="none"/>
        </w:tabs>
        <w:spacing w:line="240" w:lineRule="auto" w:before="163" w:after="0"/>
        <w:ind w:left="2929" w:right="0" w:hanging="387"/>
        <w:jc w:val="left"/>
        <w:rPr>
          <w:sz w:val="21"/>
        </w:rPr>
      </w:pPr>
      <w:r>
        <w:rPr>
          <w:sz w:val="21"/>
        </w:rPr>
        <w:t>高</w:t>
      </w:r>
      <w:r>
        <w:rPr>
          <w:rFonts w:ascii="Arial" w:hAnsi="Arial" w:eastAsia="Arial"/>
          <w:sz w:val="21"/>
        </w:rPr>
        <w:t>γ</w:t>
      </w:r>
      <w:r>
        <w:rPr>
          <w:rFonts w:ascii="Arial" w:hAnsi="Arial" w:eastAsia="Arial"/>
          <w:spacing w:val="55"/>
          <w:sz w:val="21"/>
        </w:rPr>
        <w:t> </w:t>
      </w:r>
      <w:r>
        <w:rPr>
          <w:spacing w:val="-3"/>
          <w:sz w:val="21"/>
        </w:rPr>
        <w:t>球蛋白血症；</w:t>
      </w:r>
    </w:p>
    <w:p>
      <w:pPr>
        <w:pStyle w:val="ListParagraph"/>
        <w:numPr>
          <w:ilvl w:val="1"/>
          <w:numId w:val="26"/>
        </w:numPr>
        <w:tabs>
          <w:tab w:pos="2929" w:val="left" w:leader="none"/>
        </w:tabs>
        <w:spacing w:line="240" w:lineRule="auto" w:before="177" w:after="0"/>
        <w:ind w:left="2929" w:right="0" w:hanging="387"/>
        <w:jc w:val="left"/>
        <w:rPr>
          <w:sz w:val="21"/>
        </w:rPr>
      </w:pPr>
      <w:r>
        <w:rPr>
          <w:spacing w:val="-5"/>
          <w:sz w:val="21"/>
        </w:rPr>
        <w:t>血液中存在高水平的自身免疫抗体，如 </w:t>
      </w:r>
      <w:r>
        <w:rPr>
          <w:sz w:val="21"/>
        </w:rPr>
        <w:t>ANA（</w:t>
      </w:r>
      <w:r>
        <w:rPr>
          <w:spacing w:val="-2"/>
          <w:sz w:val="21"/>
        </w:rPr>
        <w:t>抗核抗体</w:t>
      </w:r>
      <w:r>
        <w:rPr>
          <w:spacing w:val="-108"/>
          <w:sz w:val="21"/>
        </w:rPr>
        <w:t>）</w:t>
      </w:r>
      <w:r>
        <w:rPr>
          <w:sz w:val="21"/>
        </w:rPr>
        <w:t>、SMA</w:t>
      </w:r>
    </w:p>
    <w:p>
      <w:pPr>
        <w:pStyle w:val="BodyText"/>
        <w:spacing w:before="36"/>
        <w:ind w:left="2962"/>
      </w:pPr>
      <w:r>
        <w:rPr/>
        <w:t>（</w:t>
      </w:r>
      <w:r>
        <w:rPr>
          <w:spacing w:val="-3"/>
        </w:rPr>
        <w:t>抗平滑肌抗体</w:t>
      </w:r>
      <w:r>
        <w:rPr>
          <w:spacing w:val="-106"/>
        </w:rPr>
        <w:t>）</w:t>
      </w:r>
      <w:r>
        <w:rPr>
          <w:spacing w:val="-17"/>
        </w:rPr>
        <w:t>、抗 </w:t>
      </w:r>
      <w:r>
        <w:rPr/>
        <w:t>LKM1</w:t>
      </w:r>
      <w:r>
        <w:rPr>
          <w:spacing w:val="-11"/>
        </w:rPr>
        <w:t> 抗体或抗</w:t>
      </w:r>
      <w:r>
        <w:rPr/>
        <w:t>-SLA/LP</w:t>
      </w:r>
      <w:r>
        <w:rPr>
          <w:spacing w:val="-14"/>
        </w:rPr>
        <w:t> 抗体；</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肝脏活检证实免疫性肝炎；</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临床已经出现腹水、食道静脉曲张和脾肿大等肝硬化表现。</w:t>
      </w:r>
    </w:p>
    <w:p>
      <w:pPr>
        <w:pStyle w:val="BodyText"/>
        <w:spacing w:before="9"/>
        <w:rPr>
          <w:sz w:val="14"/>
        </w:rPr>
      </w:pPr>
    </w:p>
    <w:p>
      <w:pPr>
        <w:pStyle w:val="ListParagraph"/>
        <w:numPr>
          <w:ilvl w:val="0"/>
          <w:numId w:val="26"/>
        </w:numPr>
        <w:tabs>
          <w:tab w:pos="2089" w:val="left" w:leader="none"/>
        </w:tabs>
        <w:spacing w:line="273" w:lineRule="auto" w:before="0" w:after="0"/>
        <w:ind w:left="2089" w:right="298" w:hanging="421"/>
        <w:jc w:val="both"/>
        <w:rPr>
          <w:sz w:val="21"/>
        </w:rPr>
      </w:pPr>
      <w:r>
        <w:rPr>
          <w:spacing w:val="-3"/>
          <w:sz w:val="21"/>
        </w:rPr>
        <w:t>脊髓小脑变性症：脊髓小脑变性症为一组以小脑萎缩和共济失调为主要临床特点的疾病。脊髓小脑变性症必须由本公司认可的医院的专科医生确诊，必须满足下列全部条件：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影像学检查证实存在小脑萎缩；</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临床表现存在共济失调、语言障碍和肌张力异常；</w:t>
      </w:r>
    </w:p>
    <w:p>
      <w:pPr>
        <w:pStyle w:val="BodyText"/>
        <w:spacing w:before="9"/>
        <w:rPr>
          <w:sz w:val="14"/>
        </w:rPr>
      </w:pPr>
    </w:p>
    <w:p>
      <w:pPr>
        <w:pStyle w:val="ListParagraph"/>
        <w:numPr>
          <w:ilvl w:val="1"/>
          <w:numId w:val="26"/>
        </w:numPr>
        <w:tabs>
          <w:tab w:pos="2929" w:val="left" w:leader="none"/>
        </w:tabs>
        <w:spacing w:line="273" w:lineRule="auto" w:before="1" w:after="0"/>
        <w:ind w:left="2962" w:right="298" w:hanging="420"/>
        <w:jc w:val="left"/>
        <w:rPr>
          <w:sz w:val="21"/>
        </w:rPr>
      </w:pPr>
      <w:r>
        <w:rPr>
          <w:spacing w:val="-3"/>
          <w:sz w:val="21"/>
        </w:rPr>
        <w:t>被保险人运动功能严重障碍，自主生活能力完全丧失，无法独立完成六项基本日常生活活动中的三项或三项以上。</w:t>
      </w:r>
    </w:p>
    <w:p>
      <w:pPr>
        <w:pStyle w:val="ListParagraph"/>
        <w:numPr>
          <w:ilvl w:val="0"/>
          <w:numId w:val="26"/>
        </w:numPr>
        <w:tabs>
          <w:tab w:pos="2089" w:val="left" w:leader="none"/>
        </w:tabs>
        <w:spacing w:line="273" w:lineRule="auto" w:before="164" w:after="0"/>
        <w:ind w:left="2089" w:right="115" w:hanging="421"/>
        <w:jc w:val="both"/>
        <w:rPr>
          <w:sz w:val="21"/>
        </w:rPr>
      </w:pPr>
      <w:r>
        <w:rPr>
          <w:w w:val="100"/>
          <w:sz w:val="21"/>
        </w:rPr>
        <w:t>I</w:t>
      </w:r>
      <w:r>
        <w:rPr>
          <w:spacing w:val="-53"/>
          <w:sz w:val="21"/>
        </w:rPr>
        <w:t> </w:t>
      </w:r>
      <w:r>
        <w:rPr>
          <w:spacing w:val="-3"/>
          <w:w w:val="100"/>
          <w:sz w:val="21"/>
        </w:rPr>
        <w:t>型糖尿病</w:t>
      </w:r>
      <w:r>
        <w:rPr>
          <w:w w:val="100"/>
          <w:sz w:val="21"/>
        </w:rPr>
        <w:t>（</w:t>
      </w:r>
      <w:r>
        <w:rPr>
          <w:spacing w:val="-3"/>
          <w:w w:val="100"/>
          <w:sz w:val="21"/>
        </w:rPr>
        <w:t>或称胰岛素依赖性糖尿病</w:t>
      </w:r>
      <w:r>
        <w:rPr>
          <w:spacing w:val="-109"/>
          <w:w w:val="100"/>
          <w:sz w:val="21"/>
        </w:rPr>
        <w:t>）</w:t>
      </w:r>
      <w:r>
        <w:rPr>
          <w:spacing w:val="-3"/>
          <w:w w:val="100"/>
          <w:sz w:val="21"/>
        </w:rPr>
        <w:t>：指因严重的胰岛素缺乏导致的</w:t>
      </w:r>
      <w:r>
        <w:rPr>
          <w:spacing w:val="-3"/>
          <w:sz w:val="21"/>
        </w:rPr>
        <w:t>一组糖、脂肪、蛋白质代谢异常综合症，且须依赖外源性胰岛素进行机 </w:t>
      </w:r>
      <w:r>
        <w:rPr>
          <w:spacing w:val="-10"/>
          <w:sz w:val="21"/>
        </w:rPr>
        <w:t>体的葡萄糖代谢和维持生命。本病须经血胰岛素测定、血 </w:t>
      </w:r>
      <w:r>
        <w:rPr>
          <w:sz w:val="21"/>
        </w:rPr>
        <w:t>C</w:t>
      </w:r>
      <w:r>
        <w:rPr>
          <w:spacing w:val="-16"/>
          <w:sz w:val="21"/>
        </w:rPr>
        <w:t> 肽测定或尿 </w:t>
      </w:r>
      <w:r>
        <w:rPr>
          <w:sz w:val="21"/>
        </w:rPr>
        <w:t>C </w:t>
      </w:r>
      <w:r>
        <w:rPr>
          <w:spacing w:val="-8"/>
          <w:sz w:val="21"/>
        </w:rPr>
        <w:t>肽测定检查证实，且被保险人已经接受了持续的胰岛素治疗 </w:t>
      </w:r>
      <w:r>
        <w:rPr>
          <w:sz w:val="21"/>
        </w:rPr>
        <w:t>180</w:t>
      </w:r>
      <w:r>
        <w:rPr>
          <w:spacing w:val="-10"/>
          <w:sz w:val="21"/>
        </w:rPr>
        <w:t> 天以上，</w:t>
      </w:r>
    </w:p>
    <w:p>
      <w:pPr>
        <w:spacing w:after="0" w:line="273" w:lineRule="auto"/>
        <w:jc w:val="both"/>
        <w:rPr>
          <w:sz w:val="21"/>
        </w:rPr>
        <w:sectPr>
          <w:pgSz w:w="11910" w:h="16840"/>
          <w:pgMar w:header="0" w:footer="925" w:top="1080" w:bottom="1200" w:left="1680" w:right="1320"/>
        </w:sectPr>
      </w:pPr>
    </w:p>
    <w:p>
      <w:pPr>
        <w:pStyle w:val="BodyText"/>
        <w:spacing w:before="22"/>
        <w:ind w:left="2088"/>
      </w:pPr>
      <w:r>
        <w:rPr/>
        <w:t>并须满足下列至少两项条件：</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并发增殖性视网膜病变；</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并发心脏病变，并须植入心脏起搏器进行治疗；</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至少一个脚趾发生坏疽并已实施手术切除。</w:t>
      </w:r>
    </w:p>
    <w:p>
      <w:pPr>
        <w:pStyle w:val="BodyText"/>
        <w:spacing w:before="9"/>
        <w:rPr>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胆道重建：指因疾病或胆道创伤导致接受涉及胆总管小肠吻合术的胆道重建手术。手术必须在专科医生认为是医疗所需的情况下进行。</w:t>
      </w:r>
    </w:p>
    <w:p>
      <w:pPr>
        <w:pStyle w:val="Heading1"/>
        <w:spacing w:before="94"/>
      </w:pPr>
      <w:r>
        <w:rPr/>
        <w:t>胆道闭锁</w:t>
      </w:r>
      <w:r>
        <w:rPr>
          <w:rFonts w:ascii="Malgun Gothic" w:eastAsia="Malgun Gothic" w:hint="eastAsia"/>
        </w:rPr>
        <w:t>不</w:t>
      </w:r>
      <w:r>
        <w:rPr/>
        <w:t>在本合同保障范围内。</w:t>
      </w:r>
    </w:p>
    <w:p>
      <w:pPr>
        <w:pStyle w:val="ListParagraph"/>
        <w:numPr>
          <w:ilvl w:val="0"/>
          <w:numId w:val="26"/>
        </w:numPr>
        <w:tabs>
          <w:tab w:pos="2089" w:val="left" w:leader="none"/>
        </w:tabs>
        <w:spacing w:line="273" w:lineRule="auto" w:before="172" w:after="0"/>
        <w:ind w:left="2089" w:right="278" w:hanging="421"/>
        <w:jc w:val="both"/>
        <w:rPr>
          <w:sz w:val="21"/>
        </w:rPr>
      </w:pPr>
      <w:r>
        <w:rPr>
          <w:spacing w:val="-3"/>
          <w:sz w:val="21"/>
        </w:rPr>
        <w:t>多处臂丛神经根性撕脱：由于疾病或意外导致至少两根臂丛神经根性撕脱，所造成的手臂感觉功能与运动功能完全永久性丧失。该病必须由本公司认可的医院的专科医生确诊，并且有完整的电生理检查结果证实。</w:t>
      </w:r>
    </w:p>
    <w:p>
      <w:pPr>
        <w:pStyle w:val="ListParagraph"/>
        <w:numPr>
          <w:ilvl w:val="0"/>
          <w:numId w:val="26"/>
        </w:numPr>
        <w:tabs>
          <w:tab w:pos="2089" w:val="left" w:leader="none"/>
        </w:tabs>
        <w:spacing w:line="273" w:lineRule="auto" w:before="164" w:after="0"/>
        <w:ind w:left="2089" w:right="98" w:hanging="421"/>
        <w:jc w:val="left"/>
        <w:rPr>
          <w:sz w:val="21"/>
        </w:rPr>
      </w:pPr>
      <w:r>
        <w:rPr>
          <w:spacing w:val="-3"/>
          <w:sz w:val="21"/>
        </w:rPr>
        <w:t>肺源性心脏病：指被保险人因慢性肺部疾病导致慢性心功能损害造成永 久不可逆性的心功能衰竭。心功能衰竭程度达到纽约心脏病学会的心功 </w:t>
      </w:r>
      <w:r>
        <w:rPr>
          <w:spacing w:val="-8"/>
          <w:sz w:val="21"/>
        </w:rPr>
        <w:t>能分级标准之心功能 </w:t>
      </w:r>
      <w:r>
        <w:rPr>
          <w:sz w:val="21"/>
        </w:rPr>
        <w:t>IV</w:t>
      </w:r>
      <w:r>
        <w:rPr>
          <w:spacing w:val="-15"/>
          <w:sz w:val="21"/>
        </w:rPr>
        <w:t> 级。被保险人永久不可逆性的体力活动能力受限， </w:t>
      </w:r>
      <w:r>
        <w:rPr>
          <w:spacing w:val="-7"/>
          <w:sz w:val="21"/>
        </w:rPr>
        <w:t>不能从事任何体力活动。</w:t>
      </w:r>
    </w:p>
    <w:p>
      <w:pPr>
        <w:pStyle w:val="ListParagraph"/>
        <w:numPr>
          <w:ilvl w:val="0"/>
          <w:numId w:val="26"/>
        </w:numPr>
        <w:tabs>
          <w:tab w:pos="2089" w:val="left" w:leader="none"/>
        </w:tabs>
        <w:spacing w:line="273" w:lineRule="auto" w:before="163" w:after="0"/>
        <w:ind w:left="2089" w:right="278" w:hanging="421"/>
        <w:jc w:val="both"/>
        <w:rPr>
          <w:sz w:val="21"/>
        </w:rPr>
      </w:pPr>
      <w:r>
        <w:rPr>
          <w:spacing w:val="-3"/>
          <w:sz w:val="21"/>
        </w:rPr>
        <w:t>血管性痴呆：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before="163"/>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额颞叶痴呆：指一组以额颞叶萎缩为特征的痴呆综合征，临床以明显的人格、行为改变和认知障碍为特征。被保险人自主生活能力完全丧失， 无法独立完成六项基本日常生活活动中的三项或三项以上，日常生活必须持续受到他人监护。导致痴呆的疾病必须明确诊断，并且有完整的临床、实验室和影像学检查结果证实。</w:t>
      </w:r>
    </w:p>
    <w:p>
      <w:pPr>
        <w:pStyle w:val="Heading1"/>
        <w:spacing w:before="163"/>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278" w:hanging="421"/>
        <w:jc w:val="both"/>
        <w:rPr>
          <w:sz w:val="21"/>
        </w:rPr>
      </w:pPr>
      <w:r>
        <w:rPr>
          <w:spacing w:val="-3"/>
          <w:sz w:val="21"/>
        </w:rPr>
        <w:t>路易体痴呆：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before="163"/>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9" w:right="201" w:hanging="421"/>
        <w:jc w:val="both"/>
        <w:rPr>
          <w:sz w:val="21"/>
        </w:rPr>
      </w:pPr>
      <w:r>
        <w:rPr>
          <w:spacing w:val="-16"/>
          <w:sz w:val="21"/>
        </w:rPr>
        <w:t>严重甲型及乙型血友病：被保险人必须是患上严重甲型血友病</w:t>
      </w:r>
      <w:r>
        <w:rPr>
          <w:sz w:val="21"/>
        </w:rPr>
        <w:t>（</w:t>
      </w:r>
      <w:r>
        <w:rPr>
          <w:spacing w:val="-11"/>
          <w:sz w:val="21"/>
        </w:rPr>
        <w:t>缺乏 </w:t>
      </w:r>
      <w:r>
        <w:rPr>
          <w:sz w:val="21"/>
        </w:rPr>
        <w:t>VIII </w:t>
      </w:r>
      <w:r>
        <w:rPr>
          <w:spacing w:val="-1"/>
          <w:sz w:val="21"/>
        </w:rPr>
        <w:t>凝血因子</w:t>
      </w:r>
      <w:r>
        <w:rPr>
          <w:spacing w:val="-29"/>
          <w:sz w:val="21"/>
        </w:rPr>
        <w:t>）</w:t>
      </w:r>
      <w:r>
        <w:rPr>
          <w:spacing w:val="-6"/>
          <w:sz w:val="21"/>
        </w:rPr>
        <w:t>或严重乙型血友病</w:t>
      </w:r>
      <w:r>
        <w:rPr>
          <w:spacing w:val="-3"/>
          <w:sz w:val="21"/>
        </w:rPr>
        <w:t>（</w:t>
      </w:r>
      <w:r>
        <w:rPr>
          <w:spacing w:val="-17"/>
          <w:sz w:val="21"/>
        </w:rPr>
        <w:t>缺乏 </w:t>
      </w:r>
      <w:r>
        <w:rPr>
          <w:sz w:val="21"/>
        </w:rPr>
        <w:t>IX</w:t>
      </w:r>
      <w:r>
        <w:rPr>
          <w:spacing w:val="-12"/>
          <w:sz w:val="21"/>
        </w:rPr>
        <w:t> 凝血因子</w:t>
      </w:r>
      <w:r>
        <w:rPr>
          <w:spacing w:val="-68"/>
          <w:sz w:val="21"/>
        </w:rPr>
        <w:t>）</w:t>
      </w:r>
      <w:r>
        <w:rPr>
          <w:spacing w:val="-18"/>
          <w:sz w:val="21"/>
        </w:rPr>
        <w:t>，而凝血因子 </w:t>
      </w:r>
      <w:r>
        <w:rPr>
          <w:sz w:val="21"/>
        </w:rPr>
        <w:t>VIII</w:t>
      </w:r>
      <w:r>
        <w:rPr>
          <w:spacing w:val="5"/>
          <w:sz w:val="21"/>
        </w:rPr>
        <w:t> 或</w:t>
      </w:r>
      <w:r>
        <w:rPr>
          <w:spacing w:val="-8"/>
          <w:sz w:val="21"/>
        </w:rPr>
        <w:t>凝血因子 </w:t>
      </w:r>
      <w:r>
        <w:rPr>
          <w:sz w:val="21"/>
        </w:rPr>
        <w:t>IX</w:t>
      </w:r>
      <w:r>
        <w:rPr>
          <w:spacing w:val="-9"/>
          <w:sz w:val="21"/>
        </w:rPr>
        <w:t> 的活性水平少于百分之一。诊断必须由本公司认可医院的血</w:t>
      </w:r>
      <w:r>
        <w:rPr>
          <w:spacing w:val="-5"/>
          <w:sz w:val="21"/>
        </w:rPr>
        <w:t>液病专科注册医生确认。</w:t>
      </w:r>
    </w:p>
    <w:p>
      <w:pPr>
        <w:pStyle w:val="BodyText"/>
        <w:spacing w:before="163"/>
        <w:ind w:left="2088"/>
      </w:pPr>
      <w:r>
        <w:rPr/>
        <w:t>我们承担本项疾病责任不受本合同中“遗传性疾病，先天性畸形、变形</w:t>
      </w:r>
    </w:p>
    <w:p>
      <w:pPr>
        <w:spacing w:after="0"/>
        <w:sectPr>
          <w:pgSz w:w="11910" w:h="16840"/>
          <w:pgMar w:header="0" w:footer="925" w:top="1080" w:bottom="1200" w:left="1680" w:right="1340"/>
        </w:sectPr>
      </w:pPr>
    </w:p>
    <w:p>
      <w:pPr>
        <w:pStyle w:val="BodyText"/>
        <w:spacing w:before="22"/>
        <w:ind w:left="2088"/>
      </w:pPr>
      <w:r>
        <w:rPr/>
        <w:t>或染色体异常”的限制。</w:t>
      </w:r>
    </w:p>
    <w:p>
      <w:pPr>
        <w:pStyle w:val="BodyText"/>
        <w:spacing w:before="10"/>
        <w:rPr>
          <w:sz w:val="14"/>
        </w:rPr>
      </w:pPr>
    </w:p>
    <w:p>
      <w:pPr>
        <w:pStyle w:val="ListParagraph"/>
        <w:numPr>
          <w:ilvl w:val="0"/>
          <w:numId w:val="26"/>
        </w:numPr>
        <w:tabs>
          <w:tab w:pos="2089" w:val="left" w:leader="none"/>
        </w:tabs>
        <w:spacing w:line="273" w:lineRule="auto" w:before="0" w:after="0"/>
        <w:ind w:left="2089" w:right="298" w:hanging="421"/>
        <w:jc w:val="left"/>
        <w:rPr>
          <w:sz w:val="21"/>
        </w:rPr>
      </w:pPr>
      <w:r>
        <w:rPr>
          <w:spacing w:val="-3"/>
          <w:sz w:val="21"/>
        </w:rPr>
        <w:t>进行性多灶性白质脑病：是一种亚急性脱髓鞘性脑病，常常发现于免疫缺陷的病人。必须根据脑组织活检确诊。</w:t>
      </w:r>
    </w:p>
    <w:p>
      <w:pPr>
        <w:pStyle w:val="ListParagraph"/>
        <w:numPr>
          <w:ilvl w:val="0"/>
          <w:numId w:val="26"/>
        </w:numPr>
        <w:tabs>
          <w:tab w:pos="2089" w:val="left" w:leader="none"/>
        </w:tabs>
        <w:spacing w:line="273" w:lineRule="auto" w:before="163" w:after="0"/>
        <w:ind w:left="2089" w:right="298" w:hanging="421"/>
        <w:jc w:val="left"/>
        <w:rPr>
          <w:sz w:val="21"/>
        </w:rPr>
      </w:pPr>
      <w:r>
        <w:rPr>
          <w:spacing w:val="-3"/>
          <w:sz w:val="21"/>
        </w:rPr>
        <w:t>一肢及单眼缺失：因疾病或意外伤害导致单眼视力丧失及任何一肢自腕关节或踝关节近端（靠近躯干端</w:t>
      </w:r>
      <w:r>
        <w:rPr>
          <w:sz w:val="21"/>
        </w:rPr>
        <w:t>）</w:t>
      </w:r>
      <w:r>
        <w:rPr>
          <w:spacing w:val="-3"/>
          <w:sz w:val="21"/>
        </w:rPr>
        <w:t>以上完全性断离。</w:t>
      </w:r>
    </w:p>
    <w:p>
      <w:pPr>
        <w:pStyle w:val="BodyText"/>
        <w:spacing w:line="273" w:lineRule="auto" w:before="163"/>
        <w:ind w:left="2088" w:right="298"/>
      </w:pPr>
      <w:r>
        <w:rPr/>
        <w:t>单眼视力丧失指单眼视力永久不可逆性丧失，患眼须满足下列至少一项条件：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眼球缺失或摘除；</w:t>
      </w:r>
    </w:p>
    <w:p>
      <w:pPr>
        <w:pStyle w:val="BodyText"/>
        <w:spacing w:before="9"/>
        <w:rPr>
          <w:sz w:val="14"/>
        </w:rPr>
      </w:pPr>
    </w:p>
    <w:p>
      <w:pPr>
        <w:pStyle w:val="ListParagraph"/>
        <w:numPr>
          <w:ilvl w:val="1"/>
          <w:numId w:val="26"/>
        </w:numPr>
        <w:tabs>
          <w:tab w:pos="2929" w:val="left" w:leader="none"/>
        </w:tabs>
        <w:spacing w:line="273" w:lineRule="auto" w:before="0" w:after="0"/>
        <w:ind w:left="2962" w:right="247" w:hanging="420"/>
        <w:jc w:val="left"/>
        <w:rPr>
          <w:sz w:val="21"/>
        </w:rPr>
      </w:pPr>
      <w:r>
        <w:rPr>
          <w:spacing w:val="-7"/>
          <w:sz w:val="21"/>
        </w:rPr>
        <w:t>矫正视力低于 </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ListParagraph"/>
        <w:numPr>
          <w:ilvl w:val="1"/>
          <w:numId w:val="26"/>
        </w:numPr>
        <w:tabs>
          <w:tab w:pos="2929" w:val="left" w:leader="none"/>
        </w:tabs>
        <w:spacing w:line="240" w:lineRule="auto" w:before="163" w:after="0"/>
        <w:ind w:left="2962" w:right="0" w:hanging="420"/>
        <w:jc w:val="left"/>
        <w:rPr>
          <w:sz w:val="21"/>
        </w:rPr>
      </w:pPr>
      <w:r>
        <w:rPr>
          <w:spacing w:val="-9"/>
          <w:sz w:val="21"/>
        </w:rPr>
        <w:t>视野半径小于 </w:t>
      </w:r>
      <w:r>
        <w:rPr>
          <w:sz w:val="21"/>
        </w:rPr>
        <w:t>5</w:t>
      </w:r>
      <w:r>
        <w:rPr>
          <w:spacing w:val="-17"/>
          <w:sz w:val="21"/>
        </w:rPr>
        <w:t> 度。</w:t>
      </w:r>
    </w:p>
    <w:p>
      <w:pPr>
        <w:pStyle w:val="BodyText"/>
        <w:spacing w:before="10"/>
        <w:rPr>
          <w:sz w:val="14"/>
        </w:rPr>
      </w:pPr>
    </w:p>
    <w:p>
      <w:pPr>
        <w:pStyle w:val="Heading1"/>
      </w:pPr>
      <w:r>
        <w:rPr/>
        <w:t>被保险人在3 周岁之前因疾病导致单眼视力丧失不在本合同保障范围内。</w:t>
      </w:r>
    </w:p>
    <w:p>
      <w:pPr>
        <w:pStyle w:val="BodyText"/>
        <w:spacing w:before="9"/>
        <w:rPr>
          <w:b/>
          <w:sz w:val="14"/>
        </w:rPr>
      </w:pPr>
    </w:p>
    <w:p>
      <w:pPr>
        <w:pStyle w:val="ListParagraph"/>
        <w:numPr>
          <w:ilvl w:val="0"/>
          <w:numId w:val="26"/>
        </w:numPr>
        <w:tabs>
          <w:tab w:pos="2089" w:val="left" w:leader="none"/>
        </w:tabs>
        <w:spacing w:line="273" w:lineRule="auto" w:before="1" w:after="0"/>
        <w:ind w:left="2089" w:right="298" w:hanging="421"/>
        <w:jc w:val="left"/>
        <w:rPr>
          <w:sz w:val="21"/>
        </w:rPr>
      </w:pPr>
      <w:r>
        <w:rPr>
          <w:spacing w:val="-3"/>
          <w:sz w:val="21"/>
        </w:rPr>
        <w:t>慢性呼吸功能衰竭：指慢性肺部疾病导致永久不可逆性的慢性呼吸功能衰竭。慢性呼吸功能衰竭必须明确诊断并须满足下列全部条件：</w:t>
      </w:r>
    </w:p>
    <w:p>
      <w:pPr>
        <w:pStyle w:val="ListParagraph"/>
        <w:numPr>
          <w:ilvl w:val="1"/>
          <w:numId w:val="26"/>
        </w:numPr>
        <w:tabs>
          <w:tab w:pos="2929" w:val="left" w:leader="none"/>
        </w:tabs>
        <w:spacing w:line="240" w:lineRule="auto" w:before="164" w:after="0"/>
        <w:ind w:left="2929" w:right="0" w:hanging="387"/>
        <w:jc w:val="left"/>
        <w:rPr>
          <w:sz w:val="21"/>
        </w:rPr>
      </w:pPr>
      <w:r>
        <w:rPr>
          <w:spacing w:val="-3"/>
          <w:sz w:val="21"/>
        </w:rPr>
        <w:t>休息时出现呼吸困难；</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动脉血氧分压</w:t>
      </w:r>
      <w:r>
        <w:rPr>
          <w:sz w:val="21"/>
        </w:rPr>
        <w:t>（PaO2）&lt;</w:t>
      </w:r>
      <w:r>
        <w:rPr>
          <w:spacing w:val="3"/>
          <w:sz w:val="21"/>
        </w:rPr>
        <w:t> </w:t>
      </w:r>
      <w:r>
        <w:rPr>
          <w:sz w:val="21"/>
        </w:rPr>
        <w:t>50mmHg；</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动脉血氧饱和度</w:t>
      </w:r>
      <w:r>
        <w:rPr>
          <w:sz w:val="21"/>
        </w:rPr>
        <w:t>（SaO2）</w:t>
      </w:r>
      <w:r>
        <w:rPr>
          <w:spacing w:val="2"/>
          <w:sz w:val="21"/>
        </w:rPr>
        <w:t>&lt; </w:t>
      </w:r>
      <w:r>
        <w:rPr>
          <w:sz w:val="21"/>
        </w:rPr>
        <w:t>80%；</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因缺氧必须接受输氧治疗。</w:t>
      </w:r>
    </w:p>
    <w:p>
      <w:pPr>
        <w:pStyle w:val="BodyText"/>
        <w:spacing w:before="9"/>
        <w:rPr>
          <w:sz w:val="14"/>
        </w:rPr>
      </w:pPr>
    </w:p>
    <w:p>
      <w:pPr>
        <w:pStyle w:val="ListParagraph"/>
        <w:numPr>
          <w:ilvl w:val="0"/>
          <w:numId w:val="26"/>
        </w:numPr>
        <w:tabs>
          <w:tab w:pos="2089" w:val="left" w:leader="none"/>
        </w:tabs>
        <w:spacing w:line="273" w:lineRule="auto" w:before="1" w:after="0"/>
        <w:ind w:left="2089" w:right="221" w:hanging="421"/>
        <w:jc w:val="left"/>
        <w:rPr>
          <w:sz w:val="21"/>
        </w:rPr>
      </w:pPr>
      <w:r>
        <w:rPr>
          <w:spacing w:val="-3"/>
          <w:sz w:val="21"/>
        </w:rPr>
        <w:t>脑外科手术：因颅内动脉瘤、帕金森病、癫痫的治疗需要，在全麻下进</w:t>
      </w:r>
      <w:r>
        <w:rPr>
          <w:spacing w:val="-5"/>
          <w:sz w:val="21"/>
        </w:rPr>
        <w:t>行脑部颅骨切开手术</w:t>
      </w:r>
      <w:r>
        <w:rPr>
          <w:spacing w:val="-3"/>
          <w:sz w:val="21"/>
        </w:rPr>
        <w:t>（以切开硬脑膜为准</w:t>
      </w:r>
      <w:r>
        <w:rPr>
          <w:spacing w:val="-108"/>
          <w:sz w:val="21"/>
        </w:rPr>
        <w:t>）</w:t>
      </w:r>
      <w:r>
        <w:rPr>
          <w:spacing w:val="-5"/>
          <w:sz w:val="21"/>
        </w:rPr>
        <w:t>。手术必须是在本公司认可的</w:t>
      </w:r>
      <w:r>
        <w:rPr>
          <w:spacing w:val="-3"/>
          <w:sz w:val="21"/>
        </w:rPr>
        <w:t>医院内由神经专科医师认为是医疗必须的情况下进行。</w:t>
      </w:r>
    </w:p>
    <w:p>
      <w:pPr>
        <w:pStyle w:val="Heading1"/>
        <w:spacing w:line="273" w:lineRule="auto" w:before="164"/>
        <w:ind w:right="277"/>
        <w:jc w:val="both"/>
      </w:pPr>
      <w:r>
        <w:rPr/>
        <w:t>不需手术切开或切除组织的治疗（如伽玛射线、脑血管神经放射介入治疗如栓塞形成、血栓溶解及立体定位活检）及因意外而需要进行的脑部外科手术均不在本合同保障范围内。</w:t>
      </w:r>
    </w:p>
    <w:p>
      <w:pPr>
        <w:pStyle w:val="ListParagraph"/>
        <w:numPr>
          <w:ilvl w:val="0"/>
          <w:numId w:val="26"/>
        </w:numPr>
        <w:tabs>
          <w:tab w:pos="2089" w:val="left" w:leader="none"/>
        </w:tabs>
        <w:spacing w:line="273" w:lineRule="auto" w:before="164" w:after="0"/>
        <w:ind w:left="2089" w:right="298" w:hanging="421"/>
        <w:jc w:val="left"/>
        <w:rPr>
          <w:sz w:val="21"/>
        </w:rPr>
      </w:pPr>
      <w:r>
        <w:rPr>
          <w:spacing w:val="-3"/>
          <w:sz w:val="21"/>
        </w:rPr>
        <w:t>破裂脑动脉瘤夹闭手术：指因脑动脉瘤破裂造成蛛网膜下腔出血，被保险人实际接受了在全麻下进行的开颅动脉瘤夹闭手术。</w:t>
      </w:r>
    </w:p>
    <w:p>
      <w:pPr>
        <w:pStyle w:val="Heading1"/>
        <w:spacing w:line="273" w:lineRule="auto" w:before="164"/>
        <w:ind w:right="277"/>
      </w:pPr>
      <w:r>
        <w:rPr/>
        <w:t>脑动脉瘤（未破裂）预防性手术、颅骨打孔手术、动脉瘤栓塞手术、血管内手术及其他颅脑手术不在本合同保障范围内。</w:t>
      </w:r>
    </w:p>
    <w:p>
      <w:pPr>
        <w:pStyle w:val="ListParagraph"/>
        <w:numPr>
          <w:ilvl w:val="0"/>
          <w:numId w:val="26"/>
        </w:numPr>
        <w:tabs>
          <w:tab w:pos="2089" w:val="left" w:leader="none"/>
        </w:tabs>
        <w:spacing w:line="273" w:lineRule="auto" w:before="164" w:after="0"/>
        <w:ind w:left="2089" w:right="298" w:hanging="421"/>
        <w:jc w:val="left"/>
        <w:rPr>
          <w:sz w:val="21"/>
        </w:rPr>
      </w:pPr>
      <w:r>
        <w:rPr>
          <w:spacing w:val="-3"/>
          <w:sz w:val="21"/>
        </w:rPr>
        <w:t>侵蚀性葡萄胎：指异常增生的绒毛组织浸润性生长侵入子宫肌层或转移至其他器官或组织的葡萄胎，并已经进行化疗或手术治疗的。</w:t>
      </w:r>
    </w:p>
    <w:p>
      <w:pPr>
        <w:pStyle w:val="ListParagraph"/>
        <w:numPr>
          <w:ilvl w:val="0"/>
          <w:numId w:val="26"/>
        </w:numPr>
        <w:tabs>
          <w:tab w:pos="2089" w:val="left" w:leader="none"/>
        </w:tabs>
        <w:spacing w:line="273" w:lineRule="auto" w:before="164" w:after="0"/>
        <w:ind w:left="2089" w:right="298" w:hanging="421"/>
        <w:jc w:val="both"/>
        <w:rPr>
          <w:sz w:val="21"/>
        </w:rPr>
      </w:pPr>
      <w:r>
        <w:rPr>
          <w:spacing w:val="-3"/>
          <w:sz w:val="21"/>
        </w:rPr>
        <w:t>糖尿病导致的双脚截除：因糖尿病引起的神经及血管病变而经本公司认可的医院的内分泌科专科医生建议，由足踝或以上位置截除双脚是维持生命的唯一方法。</w:t>
      </w:r>
    </w:p>
    <w:p>
      <w:pPr>
        <w:pStyle w:val="Heading1"/>
        <w:spacing w:line="273" w:lineRule="auto" w:before="164"/>
        <w:ind w:right="276"/>
      </w:pPr>
      <w:r>
        <w:rPr/>
        <w:t>切除一只或多只脚趾或因任何其他原因引起的截除术不在本合同保障范围内。</w:t>
      </w:r>
    </w:p>
    <w:p>
      <w:pPr>
        <w:spacing w:after="0" w:line="273" w:lineRule="auto"/>
        <w:sectPr>
          <w:pgSz w:w="11910" w:h="16840"/>
          <w:pgMar w:header="0" w:footer="925" w:top="1080" w:bottom="1200" w:left="1680" w:right="1320"/>
        </w:sectPr>
      </w:pPr>
    </w:p>
    <w:p>
      <w:pPr>
        <w:pStyle w:val="ListParagraph"/>
        <w:numPr>
          <w:ilvl w:val="0"/>
          <w:numId w:val="26"/>
        </w:numPr>
        <w:tabs>
          <w:tab w:pos="2089" w:val="left" w:leader="none"/>
        </w:tabs>
        <w:spacing w:line="273" w:lineRule="auto" w:before="22" w:after="0"/>
        <w:ind w:left="2089" w:right="298" w:hanging="421"/>
        <w:jc w:val="both"/>
        <w:rPr>
          <w:sz w:val="21"/>
        </w:rPr>
      </w:pPr>
      <w:r>
        <w:rPr>
          <w:spacing w:val="-3"/>
          <w:sz w:val="21"/>
        </w:rPr>
        <w:t>亚急性硬化性全脑炎：指一种以大脑白质和灰质损害为主的全脑炎。本病的发生是由于缺损型麻疹病毒慢性持续感染所致的一种罕见的致命性中枢神经系统退变性疾病。早期以炎症性病变为主，晚期主要为神经元</w:t>
      </w:r>
      <w:r>
        <w:rPr>
          <w:spacing w:val="-5"/>
          <w:sz w:val="21"/>
        </w:rPr>
        <w:t>坏死和胶质增生，核内包涵体是本病的特征性改变之一。疾病确诊 </w:t>
      </w:r>
      <w:r>
        <w:rPr>
          <w:sz w:val="21"/>
        </w:rPr>
        <w:t>180 </w:t>
      </w:r>
      <w:r>
        <w:rPr>
          <w:spacing w:val="-3"/>
          <w:sz w:val="21"/>
        </w:rPr>
        <w:t>天后，仍遗留下列一种或一种以上障碍：</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一肢或一肢以上肢体机能完全丧失；</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语言能力或咀嚼吞咽能力完全丧失；</w:t>
      </w:r>
    </w:p>
    <w:p>
      <w:pPr>
        <w:pStyle w:val="BodyText"/>
        <w:spacing w:before="9"/>
        <w:rPr>
          <w:sz w:val="14"/>
        </w:rPr>
      </w:pPr>
    </w:p>
    <w:p>
      <w:pPr>
        <w:pStyle w:val="ListParagraph"/>
        <w:numPr>
          <w:ilvl w:val="1"/>
          <w:numId w:val="26"/>
        </w:numPr>
        <w:tabs>
          <w:tab w:pos="2929" w:val="left" w:leader="none"/>
        </w:tabs>
        <w:spacing w:line="273" w:lineRule="auto" w:before="1" w:after="0"/>
        <w:ind w:left="2962" w:right="298" w:hanging="420"/>
        <w:jc w:val="left"/>
        <w:rPr>
          <w:sz w:val="21"/>
        </w:rPr>
      </w:pPr>
      <w:r>
        <w:rPr>
          <w:spacing w:val="-3"/>
          <w:sz w:val="21"/>
        </w:rPr>
        <w:t>自主生活能力完全丧失，无法独立完成六项基本日常生活活动中的三项或三项以上。</w:t>
      </w:r>
    </w:p>
    <w:p>
      <w:pPr>
        <w:pStyle w:val="ListParagraph"/>
        <w:numPr>
          <w:ilvl w:val="0"/>
          <w:numId w:val="26"/>
        </w:numPr>
        <w:tabs>
          <w:tab w:pos="2089" w:val="left" w:leader="none"/>
        </w:tabs>
        <w:spacing w:line="273" w:lineRule="auto" w:before="164" w:after="0"/>
        <w:ind w:left="2089" w:right="298" w:hanging="421"/>
        <w:jc w:val="both"/>
        <w:rPr>
          <w:sz w:val="21"/>
        </w:rPr>
      </w:pPr>
      <w:r>
        <w:rPr>
          <w:spacing w:val="-3"/>
          <w:sz w:val="21"/>
        </w:rPr>
        <w:t>严重川崎病：川崎病是一种表现为发热、结膜炎、颈部淋巴结肿大、皮疹及手</w:t>
      </w:r>
      <w:r>
        <w:rPr>
          <w:sz w:val="21"/>
        </w:rPr>
        <w:t>/</w:t>
      </w:r>
      <w:r>
        <w:rPr>
          <w:spacing w:val="-3"/>
          <w:sz w:val="21"/>
        </w:rPr>
        <w:t>脚肿胀的系统性血管炎。 符合本合同保障的川崎病须满足下列</w:t>
      </w:r>
      <w:r>
        <w:rPr>
          <w:spacing w:val="-2"/>
          <w:sz w:val="21"/>
        </w:rPr>
        <w:t>全部条件：</w:t>
      </w:r>
    </w:p>
    <w:p>
      <w:pPr>
        <w:pStyle w:val="ListParagraph"/>
        <w:numPr>
          <w:ilvl w:val="1"/>
          <w:numId w:val="26"/>
        </w:numPr>
        <w:tabs>
          <w:tab w:pos="2929" w:val="left" w:leader="none"/>
        </w:tabs>
        <w:spacing w:line="273" w:lineRule="auto" w:before="164" w:after="0"/>
        <w:ind w:left="2962" w:right="298" w:hanging="420"/>
        <w:jc w:val="left"/>
        <w:rPr>
          <w:sz w:val="21"/>
        </w:rPr>
      </w:pPr>
      <w:r>
        <w:rPr>
          <w:spacing w:val="-20"/>
          <w:sz w:val="21"/>
        </w:rPr>
        <w:t>有 </w:t>
      </w:r>
      <w:r>
        <w:rPr>
          <w:sz w:val="21"/>
        </w:rPr>
        <w:t>1</w:t>
      </w:r>
      <w:r>
        <w:rPr>
          <w:spacing w:val="-8"/>
          <w:sz w:val="21"/>
        </w:rPr>
        <w:t> 条或以上的冠状动脉出现持续扩张或动脉瘤形成，扩张及</w:t>
      </w:r>
      <w:r>
        <w:rPr>
          <w:spacing w:val="-10"/>
          <w:sz w:val="21"/>
        </w:rPr>
        <w:t>动脉瘤的直径最少为 </w:t>
      </w:r>
      <w:r>
        <w:rPr>
          <w:sz w:val="21"/>
        </w:rPr>
        <w:t>6</w:t>
      </w:r>
      <w:r>
        <w:rPr>
          <w:spacing w:val="-13"/>
          <w:sz w:val="21"/>
        </w:rPr>
        <w:t> 毫米；</w:t>
      </w:r>
    </w:p>
    <w:p>
      <w:pPr>
        <w:pStyle w:val="ListParagraph"/>
        <w:numPr>
          <w:ilvl w:val="1"/>
          <w:numId w:val="26"/>
        </w:numPr>
        <w:tabs>
          <w:tab w:pos="2929" w:val="left" w:leader="none"/>
        </w:tabs>
        <w:spacing w:line="273" w:lineRule="auto" w:before="163" w:after="0"/>
        <w:ind w:left="2962" w:right="298" w:hanging="420"/>
        <w:jc w:val="left"/>
        <w:rPr>
          <w:sz w:val="21"/>
        </w:rPr>
      </w:pPr>
      <w:r>
        <w:rPr>
          <w:spacing w:val="-3"/>
          <w:sz w:val="21"/>
        </w:rPr>
        <w:t>在小儿心脏专科注册医生就此疾病作出初步诊断后，该扩张或</w:t>
      </w:r>
      <w:r>
        <w:rPr>
          <w:spacing w:val="-8"/>
          <w:sz w:val="21"/>
        </w:rPr>
        <w:t>动脉瘤已持续最少 </w:t>
      </w:r>
      <w:r>
        <w:rPr>
          <w:sz w:val="21"/>
        </w:rPr>
        <w:t>6</w:t>
      </w:r>
      <w:r>
        <w:rPr>
          <w:spacing w:val="-14"/>
          <w:sz w:val="21"/>
        </w:rPr>
        <w:t> 个月；</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理赔时必须提供超声心动图和血管造影的诊断证明。</w:t>
      </w:r>
    </w:p>
    <w:p>
      <w:pPr>
        <w:pStyle w:val="BodyText"/>
        <w:spacing w:before="9"/>
        <w:rPr>
          <w:sz w:val="14"/>
        </w:rPr>
      </w:pPr>
    </w:p>
    <w:p>
      <w:pPr>
        <w:pStyle w:val="Heading1"/>
        <w:spacing w:line="273" w:lineRule="auto"/>
        <w:ind w:right="116"/>
        <w:jc w:val="both"/>
      </w:pPr>
      <w:r>
        <w:rPr>
          <w:spacing w:val="-3"/>
        </w:rPr>
        <w:t>在本合同保障中的此项疾病，如因任何先天缺陷，或遗传疾病或发育中</w:t>
      </w:r>
      <w:r>
        <w:rPr>
          <w:spacing w:val="-11"/>
        </w:rPr>
        <w:t>出现异常情况，而该异常情况在被保险人年龄满 </w:t>
      </w:r>
      <w:r>
        <w:rPr/>
        <w:t>18</w:t>
      </w:r>
      <w:r>
        <w:rPr>
          <w:spacing w:val="-8"/>
        </w:rPr>
        <w:t> 岁之前已被诊断或出</w:t>
      </w:r>
      <w:r>
        <w:rPr>
          <w:spacing w:val="-12"/>
        </w:rPr>
        <w:t>现，所直接或间接引起或导致</w:t>
      </w:r>
      <w:r>
        <w:rPr/>
        <w:t>（全部或部分</w:t>
      </w:r>
      <w:r>
        <w:rPr>
          <w:spacing w:val="-80"/>
        </w:rPr>
        <w:t>）</w:t>
      </w:r>
      <w:r>
        <w:rPr>
          <w:spacing w:val="-10"/>
        </w:rPr>
        <w:t>，将不在本合同保障范围内。</w:t>
      </w:r>
    </w:p>
    <w:p>
      <w:pPr>
        <w:pStyle w:val="ListParagraph"/>
        <w:numPr>
          <w:ilvl w:val="0"/>
          <w:numId w:val="26"/>
        </w:numPr>
        <w:tabs>
          <w:tab w:pos="2089" w:val="left" w:leader="none"/>
        </w:tabs>
        <w:spacing w:line="273" w:lineRule="auto" w:before="163" w:after="0"/>
        <w:ind w:left="2089" w:right="298" w:hanging="421"/>
        <w:jc w:val="both"/>
        <w:rPr>
          <w:sz w:val="21"/>
        </w:rPr>
      </w:pPr>
      <w:r>
        <w:rPr>
          <w:spacing w:val="-3"/>
          <w:sz w:val="21"/>
        </w:rPr>
        <w:t>严重的骨质疏松：经本公司认可医院的专科医生确诊为骨质疏松症合并骨折并须满足下列全部条件：</w:t>
      </w:r>
    </w:p>
    <w:p>
      <w:pPr>
        <w:pStyle w:val="ListParagraph"/>
        <w:numPr>
          <w:ilvl w:val="1"/>
          <w:numId w:val="26"/>
        </w:numPr>
        <w:tabs>
          <w:tab w:pos="2929" w:val="left" w:leader="none"/>
        </w:tabs>
        <w:spacing w:line="273" w:lineRule="auto" w:before="163" w:after="0"/>
        <w:ind w:left="2962" w:right="265" w:hanging="420"/>
        <w:jc w:val="both"/>
        <w:rPr>
          <w:sz w:val="21"/>
        </w:rPr>
      </w:pPr>
      <w:r>
        <w:rPr>
          <w:spacing w:val="-5"/>
          <w:sz w:val="21"/>
        </w:rPr>
        <w:t>因骨质疏松症导致或于骨质疏松症出现时，出现最少 </w:t>
      </w:r>
      <w:r>
        <w:rPr>
          <w:sz w:val="21"/>
        </w:rPr>
        <w:t>1</w:t>
      </w:r>
      <w:r>
        <w:rPr>
          <w:spacing w:val="-12"/>
          <w:sz w:val="21"/>
        </w:rPr>
        <w:t> 处股骨</w:t>
      </w:r>
      <w:r>
        <w:rPr>
          <w:spacing w:val="-14"/>
          <w:sz w:val="21"/>
        </w:rPr>
        <w:t>颈骨折或 </w:t>
      </w:r>
      <w:r>
        <w:rPr>
          <w:sz w:val="21"/>
        </w:rPr>
        <w:t>2</w:t>
      </w:r>
      <w:r>
        <w:rPr>
          <w:spacing w:val="-10"/>
          <w:sz w:val="21"/>
        </w:rPr>
        <w:t> 处脊椎骨折</w:t>
      </w:r>
      <w:r>
        <w:rPr>
          <w:spacing w:val="-3"/>
          <w:sz w:val="21"/>
        </w:rPr>
        <w:t>（如为压缩性骨折，须满足锥体高度或</w:t>
      </w:r>
      <w:r>
        <w:rPr>
          <w:spacing w:val="-3"/>
          <w:w w:val="100"/>
          <w:sz w:val="21"/>
        </w:rPr>
        <w:t>面积减少</w:t>
      </w:r>
      <w:r>
        <w:rPr>
          <w:spacing w:val="-53"/>
          <w:sz w:val="21"/>
        </w:rPr>
        <w:t> </w:t>
      </w:r>
      <w:r>
        <w:rPr>
          <w:spacing w:val="-3"/>
          <w:w w:val="100"/>
          <w:sz w:val="21"/>
        </w:rPr>
        <w:t>4</w:t>
      </w:r>
      <w:r>
        <w:rPr>
          <w:w w:val="100"/>
          <w:sz w:val="21"/>
        </w:rPr>
        <w:t>0</w:t>
      </w:r>
      <w:r>
        <w:rPr>
          <w:spacing w:val="-3"/>
          <w:w w:val="100"/>
          <w:sz w:val="21"/>
        </w:rPr>
        <w:t>%及以上</w:t>
      </w:r>
      <w:r>
        <w:rPr>
          <w:spacing w:val="-106"/>
          <w:w w:val="100"/>
          <w:sz w:val="21"/>
        </w:rPr>
        <w:t>）</w:t>
      </w:r>
      <w:r>
        <w:rPr>
          <w:w w:val="100"/>
          <w:sz w:val="21"/>
        </w:rPr>
        <w:t>；</w:t>
      </w:r>
    </w:p>
    <w:p>
      <w:pPr>
        <w:pStyle w:val="ListParagraph"/>
        <w:numPr>
          <w:ilvl w:val="1"/>
          <w:numId w:val="26"/>
        </w:numPr>
        <w:tabs>
          <w:tab w:pos="2929" w:val="left" w:leader="none"/>
        </w:tabs>
        <w:spacing w:line="273" w:lineRule="auto" w:before="163" w:after="0"/>
        <w:ind w:left="2962" w:right="264" w:hanging="420"/>
        <w:jc w:val="both"/>
        <w:rPr>
          <w:sz w:val="21"/>
        </w:rPr>
      </w:pPr>
      <w:r>
        <w:rPr>
          <w:spacing w:val="-11"/>
          <w:sz w:val="21"/>
        </w:rPr>
        <w:t>以双能量 </w:t>
      </w:r>
      <w:r>
        <w:rPr>
          <w:sz w:val="21"/>
        </w:rPr>
        <w:t>X</w:t>
      </w:r>
      <w:r>
        <w:rPr>
          <w:spacing w:val="-10"/>
          <w:sz w:val="21"/>
        </w:rPr>
        <w:t> 光吸收仪或定量电脑断层扫描量度出最少 </w:t>
      </w:r>
      <w:r>
        <w:rPr>
          <w:sz w:val="21"/>
        </w:rPr>
        <w:t>2</w:t>
      </w:r>
      <w:r>
        <w:rPr>
          <w:spacing w:val="-13"/>
          <w:sz w:val="21"/>
        </w:rPr>
        <w:t> 处位置</w:t>
      </w:r>
      <w:r>
        <w:rPr>
          <w:spacing w:val="-6"/>
          <w:sz w:val="21"/>
        </w:rPr>
        <w:t>的骨骼矿物质密度与严重骨质疏鬆症的定义一致</w:t>
      </w:r>
      <w:r>
        <w:rPr>
          <w:spacing w:val="-3"/>
          <w:sz w:val="21"/>
        </w:rPr>
        <w:t>（</w:t>
      </w:r>
      <w:r>
        <w:rPr>
          <w:spacing w:val="-1"/>
          <w:sz w:val="21"/>
        </w:rPr>
        <w:t>即低于</w:t>
      </w:r>
      <w:r>
        <w:rPr>
          <w:sz w:val="21"/>
        </w:rPr>
        <w:t>-2.5 </w:t>
      </w:r>
      <w:r>
        <w:rPr>
          <w:w w:val="100"/>
          <w:sz w:val="21"/>
        </w:rPr>
        <w:t>的</w:t>
      </w:r>
      <w:r>
        <w:rPr>
          <w:spacing w:val="-53"/>
          <w:sz w:val="21"/>
        </w:rPr>
        <w:t> </w:t>
      </w:r>
      <w:r>
        <w:rPr>
          <w:w w:val="100"/>
          <w:sz w:val="21"/>
        </w:rPr>
        <w:t>T</w:t>
      </w:r>
      <w:r>
        <w:rPr>
          <w:spacing w:val="-2"/>
          <w:sz w:val="21"/>
        </w:rPr>
        <w:t> </w:t>
      </w:r>
      <w:r>
        <w:rPr>
          <w:w w:val="100"/>
          <w:sz w:val="21"/>
        </w:rPr>
        <w:t>数值</w:t>
      </w:r>
      <w:r>
        <w:rPr>
          <w:spacing w:val="-108"/>
          <w:w w:val="100"/>
          <w:sz w:val="21"/>
        </w:rPr>
        <w:t>）</w:t>
      </w:r>
      <w:r>
        <w:rPr>
          <w:w w:val="100"/>
          <w:sz w:val="21"/>
        </w:rPr>
        <w:t>；</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已经就骨折进行内部固定术或置换术治疗；</w:t>
      </w:r>
    </w:p>
    <w:p>
      <w:pPr>
        <w:pStyle w:val="BodyText"/>
        <w:spacing w:before="9"/>
        <w:rPr>
          <w:sz w:val="14"/>
        </w:rPr>
      </w:pPr>
    </w:p>
    <w:p>
      <w:pPr>
        <w:pStyle w:val="ListParagraph"/>
        <w:numPr>
          <w:ilvl w:val="1"/>
          <w:numId w:val="26"/>
        </w:numPr>
        <w:tabs>
          <w:tab w:pos="2929" w:val="left" w:leader="none"/>
        </w:tabs>
        <w:spacing w:line="273" w:lineRule="auto" w:before="0" w:after="0"/>
        <w:ind w:left="2962" w:right="298" w:hanging="420"/>
        <w:jc w:val="left"/>
        <w:rPr>
          <w:sz w:val="21"/>
        </w:rPr>
      </w:pPr>
      <w:r>
        <w:rPr>
          <w:spacing w:val="-3"/>
          <w:sz w:val="21"/>
        </w:rPr>
        <w:t>诊断及治疗均须在本公司认可的医院内由专科医师认为是医疗必须的情况下进行。</w:t>
      </w:r>
    </w:p>
    <w:p>
      <w:pPr>
        <w:pStyle w:val="Heading1"/>
        <w:spacing w:line="273" w:lineRule="auto" w:before="164"/>
        <w:ind w:right="160"/>
      </w:pPr>
      <w:r>
        <w:rPr/>
        <w:t>被保险人确诊患上本项疾病的年龄必须在74 周岁或以下才属于本合同保障范围内。</w:t>
      </w:r>
    </w:p>
    <w:p>
      <w:pPr>
        <w:pStyle w:val="ListParagraph"/>
        <w:numPr>
          <w:ilvl w:val="0"/>
          <w:numId w:val="26"/>
        </w:numPr>
        <w:tabs>
          <w:tab w:pos="2089" w:val="left" w:leader="none"/>
        </w:tabs>
        <w:spacing w:line="273" w:lineRule="auto" w:before="164" w:after="0"/>
        <w:ind w:left="2089" w:right="221" w:hanging="421"/>
        <w:jc w:val="left"/>
        <w:rPr>
          <w:sz w:val="21"/>
        </w:rPr>
      </w:pPr>
      <w:r>
        <w:rPr>
          <w:spacing w:val="-3"/>
          <w:sz w:val="21"/>
        </w:rPr>
        <w:t>严重癫痫症：由本公司认可医院的神经科专科医生或儿科医生确诊，并</w:t>
      </w:r>
      <w:r>
        <w:rPr>
          <w:spacing w:val="-4"/>
          <w:sz w:val="21"/>
        </w:rPr>
        <w:t>有证据显示其典型临床症状及有脑电图（EEG）</w:t>
      </w:r>
      <w:r>
        <w:rPr>
          <w:spacing w:val="-3"/>
          <w:sz w:val="21"/>
        </w:rPr>
        <w:t>及或其它脑部影像素描技</w:t>
      </w:r>
      <w:r>
        <w:rPr>
          <w:spacing w:val="-3"/>
          <w:w w:val="100"/>
          <w:sz w:val="21"/>
        </w:rPr>
        <w:t>术（如核磁共振扫描</w:t>
      </w:r>
      <w:r>
        <w:rPr>
          <w:spacing w:val="-1"/>
          <w:w w:val="100"/>
          <w:sz w:val="21"/>
        </w:rPr>
        <w:t>（</w:t>
      </w:r>
      <w:r>
        <w:rPr>
          <w:w w:val="100"/>
          <w:sz w:val="21"/>
        </w:rPr>
        <w:t>M</w:t>
      </w:r>
      <w:r>
        <w:rPr>
          <w:spacing w:val="-3"/>
          <w:w w:val="100"/>
          <w:sz w:val="21"/>
        </w:rPr>
        <w:t>RI</w:t>
      </w:r>
      <w:r>
        <w:rPr>
          <w:spacing w:val="-106"/>
          <w:w w:val="100"/>
          <w:sz w:val="21"/>
        </w:rPr>
        <w:t>）</w:t>
      </w:r>
      <w:r>
        <w:rPr>
          <w:spacing w:val="-3"/>
          <w:w w:val="100"/>
          <w:sz w:val="21"/>
        </w:rPr>
        <w:t>、正电子发射断层扫描（</w:t>
      </w:r>
      <w:r>
        <w:rPr>
          <w:w w:val="100"/>
          <w:sz w:val="21"/>
        </w:rPr>
        <w:t>PET</w:t>
      </w:r>
      <w:r>
        <w:rPr>
          <w:spacing w:val="-106"/>
          <w:w w:val="100"/>
          <w:sz w:val="21"/>
        </w:rPr>
        <w:t>）</w:t>
      </w:r>
      <w:r>
        <w:rPr>
          <w:spacing w:val="-3"/>
          <w:w w:val="100"/>
          <w:sz w:val="21"/>
        </w:rPr>
        <w:t>、电脑断层扫</w:t>
      </w:r>
      <w:r>
        <w:rPr>
          <w:spacing w:val="-10"/>
          <w:w w:val="100"/>
          <w:sz w:val="21"/>
        </w:rPr>
        <w:t>描</w:t>
      </w:r>
      <w:r>
        <w:rPr>
          <w:w w:val="100"/>
          <w:sz w:val="21"/>
        </w:rPr>
        <w:t>（CT</w:t>
      </w:r>
      <w:r>
        <w:rPr>
          <w:spacing w:val="-106"/>
          <w:w w:val="100"/>
          <w:sz w:val="21"/>
        </w:rPr>
        <w:t>）</w:t>
      </w:r>
      <w:r>
        <w:rPr>
          <w:spacing w:val="-13"/>
          <w:w w:val="100"/>
          <w:sz w:val="21"/>
        </w:rPr>
        <w:t>）</w:t>
      </w:r>
      <w:r>
        <w:rPr>
          <w:spacing w:val="-4"/>
          <w:w w:val="100"/>
          <w:sz w:val="21"/>
        </w:rPr>
        <w:t>的特征性发现之严重癫痫。被保险人必须反覆出现自发性的强</w:t>
      </w:r>
      <w:r>
        <w:rPr>
          <w:spacing w:val="-3"/>
          <w:sz w:val="21"/>
        </w:rPr>
        <w:t>直阵挛性抽搐或大发作，且必须已经按照本公司认可医院的专科医生建</w:t>
      </w:r>
    </w:p>
    <w:p>
      <w:pPr>
        <w:spacing w:after="0" w:line="273" w:lineRule="auto"/>
        <w:jc w:val="left"/>
        <w:rPr>
          <w:sz w:val="21"/>
        </w:rPr>
        <w:sectPr>
          <w:pgSz w:w="11910" w:h="16840"/>
          <w:pgMar w:header="0" w:footer="925" w:top="1080" w:bottom="1200" w:left="1680" w:right="13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512"/>
        <w:gridCol w:w="7589"/>
      </w:tblGrid>
      <w:tr>
        <w:trPr>
          <w:trHeight w:val="5176" w:hRule="atLeast"/>
        </w:trPr>
        <w:tc>
          <w:tcPr>
            <w:tcW w:w="853" w:type="dxa"/>
          </w:tcPr>
          <w:p>
            <w:pPr>
              <w:pStyle w:val="TableParagraph"/>
              <w:rPr>
                <w:rFonts w:ascii="Times New Roman"/>
                <w:sz w:val="20"/>
              </w:rPr>
            </w:pPr>
          </w:p>
        </w:tc>
        <w:tc>
          <w:tcPr>
            <w:tcW w:w="1512" w:type="dxa"/>
          </w:tcPr>
          <w:p>
            <w:pPr>
              <w:pStyle w:val="TableParagraph"/>
              <w:rPr>
                <w:rFonts w:ascii="Times New Roman"/>
                <w:sz w:val="20"/>
              </w:rPr>
            </w:pPr>
          </w:p>
        </w:tc>
        <w:tc>
          <w:tcPr>
            <w:tcW w:w="7589" w:type="dxa"/>
          </w:tcPr>
          <w:p>
            <w:pPr>
              <w:pStyle w:val="TableParagraph"/>
              <w:spacing w:line="211" w:lineRule="exact"/>
              <w:ind w:left="526"/>
              <w:rPr>
                <w:sz w:val="21"/>
              </w:rPr>
            </w:pPr>
            <w:r>
              <w:rPr>
                <w:sz w:val="21"/>
              </w:rPr>
              <w:t>议接受抗癫痫药物治疗至少 6 个月或已经进行神经外科手术以治疗反覆</w:t>
            </w:r>
          </w:p>
          <w:p>
            <w:pPr>
              <w:pStyle w:val="TableParagraph"/>
              <w:spacing w:before="37"/>
              <w:ind w:left="526"/>
              <w:rPr>
                <w:sz w:val="21"/>
              </w:rPr>
            </w:pPr>
            <w:r>
              <w:rPr>
                <w:sz w:val="21"/>
              </w:rPr>
              <w:t>性癫痫发作。</w:t>
            </w:r>
          </w:p>
          <w:p>
            <w:pPr>
              <w:pStyle w:val="TableParagraph"/>
              <w:spacing w:before="10"/>
              <w:rPr>
                <w:sz w:val="14"/>
              </w:rPr>
            </w:pPr>
          </w:p>
          <w:p>
            <w:pPr>
              <w:pStyle w:val="TableParagraph"/>
              <w:ind w:left="526"/>
              <w:rPr>
                <w:b/>
                <w:sz w:val="21"/>
              </w:rPr>
            </w:pPr>
            <w:r>
              <w:rPr>
                <w:b/>
                <w:sz w:val="21"/>
              </w:rPr>
              <w:t>以下情况不属于本合同保障范围内：</w:t>
            </w:r>
          </w:p>
          <w:p>
            <w:pPr>
              <w:pStyle w:val="TableParagraph"/>
              <w:spacing w:before="9"/>
              <w:rPr>
                <w:sz w:val="14"/>
              </w:rPr>
            </w:pPr>
          </w:p>
          <w:p>
            <w:pPr>
              <w:pStyle w:val="TableParagraph"/>
              <w:numPr>
                <w:ilvl w:val="0"/>
                <w:numId w:val="28"/>
              </w:numPr>
              <w:tabs>
                <w:tab w:pos="1367" w:val="left" w:leader="none"/>
              </w:tabs>
              <w:spacing w:line="240" w:lineRule="auto" w:before="0" w:after="0"/>
              <w:ind w:left="1366" w:right="0" w:hanging="386"/>
              <w:jc w:val="left"/>
              <w:rPr>
                <w:b/>
                <w:sz w:val="21"/>
              </w:rPr>
            </w:pPr>
            <w:r>
              <w:rPr>
                <w:b/>
                <w:sz w:val="21"/>
              </w:rPr>
              <w:t>1.发热性抽搐；</w:t>
            </w:r>
          </w:p>
          <w:p>
            <w:pPr>
              <w:pStyle w:val="TableParagraph"/>
              <w:spacing w:before="9"/>
              <w:rPr>
                <w:sz w:val="14"/>
              </w:rPr>
            </w:pPr>
          </w:p>
          <w:p>
            <w:pPr>
              <w:pStyle w:val="TableParagraph"/>
              <w:numPr>
                <w:ilvl w:val="0"/>
                <w:numId w:val="28"/>
              </w:numPr>
              <w:tabs>
                <w:tab w:pos="1367" w:val="left" w:leader="none"/>
              </w:tabs>
              <w:spacing w:line="240" w:lineRule="auto" w:before="0" w:after="0"/>
              <w:ind w:left="1366" w:right="0" w:hanging="386"/>
              <w:jc w:val="left"/>
              <w:rPr>
                <w:b/>
                <w:sz w:val="21"/>
              </w:rPr>
            </w:pPr>
            <w:r>
              <w:rPr>
                <w:b/>
                <w:sz w:val="21"/>
              </w:rPr>
              <w:t>2.</w:t>
            </w:r>
            <w:r>
              <w:rPr>
                <w:b/>
                <w:spacing w:val="-1"/>
                <w:sz w:val="21"/>
              </w:rPr>
              <w:t>失神性及非全脑性发作</w:t>
            </w:r>
            <w:r>
              <w:rPr>
                <w:b/>
                <w:sz w:val="21"/>
              </w:rPr>
              <w:t>（小发作</w:t>
            </w:r>
            <w:r>
              <w:rPr>
                <w:b/>
                <w:spacing w:val="-106"/>
                <w:sz w:val="21"/>
              </w:rPr>
              <w:t>）</w:t>
            </w:r>
            <w:r>
              <w:rPr>
                <w:b/>
                <w:sz w:val="21"/>
              </w:rPr>
              <w:t>。</w:t>
            </w:r>
          </w:p>
          <w:p>
            <w:pPr>
              <w:pStyle w:val="TableParagraph"/>
              <w:spacing w:before="9"/>
              <w:rPr>
                <w:sz w:val="14"/>
              </w:rPr>
            </w:pPr>
          </w:p>
          <w:p>
            <w:pPr>
              <w:pStyle w:val="TableParagraph"/>
              <w:numPr>
                <w:ilvl w:val="0"/>
                <w:numId w:val="29"/>
              </w:numPr>
              <w:tabs>
                <w:tab w:pos="947" w:val="left" w:leader="none"/>
              </w:tabs>
              <w:spacing w:line="273" w:lineRule="auto" w:before="0" w:after="0"/>
              <w:ind w:left="526" w:right="493" w:hanging="421"/>
              <w:jc w:val="both"/>
              <w:rPr>
                <w:sz w:val="21"/>
              </w:rPr>
            </w:pPr>
            <w:r>
              <w:rPr>
                <w:spacing w:val="-3"/>
                <w:sz w:val="21"/>
              </w:rPr>
              <w:t>进行性风疹性全脑炎：指由风疹病毒感染引起的儿童和青少年的慢性脑炎，且导致神经系统永久性的功能障碍。须由神经专科医师确诊。</w:t>
            </w:r>
            <w:r>
              <w:rPr>
                <w:spacing w:val="-6"/>
                <w:sz w:val="21"/>
              </w:rPr>
              <w:t>神经系统永久性的功能障碍，指疾病确诊 </w:t>
            </w:r>
            <w:r>
              <w:rPr>
                <w:sz w:val="21"/>
              </w:rPr>
              <w:t>180</w:t>
            </w:r>
            <w:r>
              <w:rPr>
                <w:spacing w:val="-2"/>
                <w:sz w:val="21"/>
              </w:rPr>
              <w:t> 天后，仍遗留下列一种或</w:t>
            </w:r>
            <w:r>
              <w:rPr>
                <w:spacing w:val="-3"/>
                <w:sz w:val="21"/>
              </w:rPr>
              <w:t>一种以上障碍：</w:t>
            </w:r>
          </w:p>
          <w:p>
            <w:pPr>
              <w:pStyle w:val="TableParagraph"/>
              <w:numPr>
                <w:ilvl w:val="1"/>
                <w:numId w:val="29"/>
              </w:numPr>
              <w:tabs>
                <w:tab w:pos="1367" w:val="left" w:leader="none"/>
              </w:tabs>
              <w:spacing w:line="240" w:lineRule="auto" w:before="163" w:after="0"/>
              <w:ind w:left="1400" w:right="0" w:hanging="420"/>
              <w:jc w:val="left"/>
              <w:rPr>
                <w:sz w:val="21"/>
              </w:rPr>
            </w:pPr>
            <w:r>
              <w:rPr>
                <w:spacing w:val="-3"/>
                <w:sz w:val="21"/>
              </w:rPr>
              <w:t>一肢或一肢以上肢体机能完全丧失；</w:t>
            </w:r>
          </w:p>
          <w:p>
            <w:pPr>
              <w:pStyle w:val="TableParagraph"/>
              <w:spacing w:before="9"/>
              <w:rPr>
                <w:sz w:val="14"/>
              </w:rPr>
            </w:pPr>
          </w:p>
          <w:p>
            <w:pPr>
              <w:pStyle w:val="TableParagraph"/>
              <w:numPr>
                <w:ilvl w:val="1"/>
                <w:numId w:val="29"/>
              </w:numPr>
              <w:tabs>
                <w:tab w:pos="1367" w:val="left" w:leader="none"/>
              </w:tabs>
              <w:spacing w:line="240" w:lineRule="auto" w:before="1" w:after="0"/>
              <w:ind w:left="1400" w:right="0" w:hanging="420"/>
              <w:jc w:val="left"/>
              <w:rPr>
                <w:sz w:val="21"/>
              </w:rPr>
            </w:pPr>
            <w:r>
              <w:rPr>
                <w:spacing w:val="-3"/>
                <w:sz w:val="21"/>
              </w:rPr>
              <w:t>语言能力或咀嚼吞咽能力完全丧失；</w:t>
            </w:r>
          </w:p>
          <w:p>
            <w:pPr>
              <w:pStyle w:val="TableParagraph"/>
              <w:spacing w:before="10"/>
              <w:rPr>
                <w:sz w:val="14"/>
              </w:rPr>
            </w:pPr>
          </w:p>
          <w:p>
            <w:pPr>
              <w:pStyle w:val="TableParagraph"/>
              <w:numPr>
                <w:ilvl w:val="1"/>
                <w:numId w:val="29"/>
              </w:numPr>
              <w:tabs>
                <w:tab w:pos="1367" w:val="left" w:leader="none"/>
              </w:tabs>
              <w:spacing w:line="273" w:lineRule="auto" w:before="0" w:after="0"/>
              <w:ind w:left="1400" w:right="543" w:hanging="420"/>
              <w:jc w:val="left"/>
              <w:rPr>
                <w:sz w:val="21"/>
              </w:rPr>
            </w:pPr>
            <w:r>
              <w:rPr>
                <w:spacing w:val="-3"/>
                <w:sz w:val="21"/>
              </w:rPr>
              <w:t>自主生活能力完全丧失，无法独立完成六项基本日常生活活动中的三项或三项以上。</w:t>
            </w:r>
          </w:p>
        </w:tc>
      </w:tr>
      <w:tr>
        <w:trPr>
          <w:trHeight w:val="1070" w:hRule="atLeast"/>
        </w:trPr>
        <w:tc>
          <w:tcPr>
            <w:tcW w:w="853" w:type="dxa"/>
          </w:tcPr>
          <w:p>
            <w:pPr>
              <w:pStyle w:val="TableParagraph"/>
              <w:spacing w:before="64"/>
              <w:ind w:left="179" w:right="104"/>
              <w:jc w:val="center"/>
              <w:rPr>
                <w:b/>
                <w:sz w:val="21"/>
              </w:rPr>
            </w:pPr>
            <w:r>
              <w:rPr>
                <w:b/>
                <w:sz w:val="21"/>
              </w:rPr>
              <w:t>10.10</w:t>
            </w:r>
          </w:p>
        </w:tc>
        <w:tc>
          <w:tcPr>
            <w:tcW w:w="1512" w:type="dxa"/>
          </w:tcPr>
          <w:p>
            <w:pPr>
              <w:pStyle w:val="TableParagraph"/>
              <w:spacing w:before="64"/>
              <w:ind w:left="125"/>
              <w:rPr>
                <w:b/>
                <w:sz w:val="21"/>
              </w:rPr>
            </w:pPr>
            <w:r>
              <w:rPr>
                <w:b/>
                <w:sz w:val="21"/>
              </w:rPr>
              <w:t>住院天数</w:t>
            </w:r>
          </w:p>
        </w:tc>
        <w:tc>
          <w:tcPr>
            <w:tcW w:w="7589" w:type="dxa"/>
          </w:tcPr>
          <w:p>
            <w:pPr>
              <w:pStyle w:val="TableParagraph"/>
              <w:spacing w:line="264" w:lineRule="auto" w:before="64"/>
              <w:ind w:left="105" w:right="469"/>
              <w:jc w:val="both"/>
              <w:rPr>
                <w:b/>
                <w:sz w:val="21"/>
              </w:rPr>
            </w:pPr>
            <w:r>
              <w:rPr>
                <w:sz w:val="21"/>
              </w:rPr>
              <w:t>本合同所称住院天数是指被保险人在医院住院部病房实际的住院治疗天数， </w:t>
            </w:r>
            <w:r>
              <w:rPr>
                <w:spacing w:val="-13"/>
                <w:sz w:val="21"/>
              </w:rPr>
              <w:t>住院满 </w:t>
            </w:r>
            <w:r>
              <w:rPr>
                <w:rFonts w:ascii="Times New Roman" w:eastAsia="Times New Roman"/>
                <w:sz w:val="21"/>
              </w:rPr>
              <w:t>24 </w:t>
            </w:r>
            <w:r>
              <w:rPr>
                <w:spacing w:val="-11"/>
                <w:sz w:val="21"/>
              </w:rPr>
              <w:t>小时为一天。</w:t>
            </w:r>
            <w:r>
              <w:rPr>
                <w:b/>
                <w:spacing w:val="-3"/>
                <w:sz w:val="21"/>
              </w:rPr>
              <w:t>住院期间请假或外出离开医院的当日的住院关爱津贴保险金将不予给付，具体请假或外出日期以医院的记录为准。</w:t>
            </w:r>
          </w:p>
        </w:tc>
      </w:tr>
      <w:tr>
        <w:trPr>
          <w:trHeight w:val="1072" w:hRule="atLeast"/>
        </w:trPr>
        <w:tc>
          <w:tcPr>
            <w:tcW w:w="853" w:type="dxa"/>
          </w:tcPr>
          <w:p>
            <w:pPr>
              <w:pStyle w:val="TableParagraph"/>
              <w:spacing w:before="43"/>
              <w:ind w:left="179" w:right="104"/>
              <w:jc w:val="center"/>
              <w:rPr>
                <w:b/>
                <w:sz w:val="21"/>
              </w:rPr>
            </w:pPr>
            <w:r>
              <w:rPr>
                <w:b/>
                <w:sz w:val="21"/>
              </w:rPr>
              <w:t>10.11</w:t>
            </w:r>
          </w:p>
        </w:tc>
        <w:tc>
          <w:tcPr>
            <w:tcW w:w="1512" w:type="dxa"/>
          </w:tcPr>
          <w:p>
            <w:pPr>
              <w:pStyle w:val="TableParagraph"/>
              <w:spacing w:line="273" w:lineRule="auto" w:before="43"/>
              <w:ind w:left="139" w:right="103"/>
              <w:jc w:val="both"/>
              <w:rPr>
                <w:b/>
                <w:sz w:val="21"/>
              </w:rPr>
            </w:pPr>
            <w:r>
              <w:rPr>
                <w:b/>
                <w:sz w:val="21"/>
              </w:rPr>
              <w:t>《人身保险伤残评定标准与代码》</w:t>
            </w:r>
          </w:p>
        </w:tc>
        <w:tc>
          <w:tcPr>
            <w:tcW w:w="7589" w:type="dxa"/>
          </w:tcPr>
          <w:p>
            <w:pPr>
              <w:pStyle w:val="TableParagraph"/>
              <w:spacing w:line="273" w:lineRule="auto" w:before="43"/>
              <w:ind w:left="129" w:right="378"/>
              <w:jc w:val="both"/>
              <w:rPr>
                <w:sz w:val="21"/>
              </w:rPr>
            </w:pPr>
            <w:r>
              <w:rPr>
                <w:spacing w:val="-10"/>
                <w:sz w:val="21"/>
              </w:rPr>
              <w:t>《人身保险伤残评定标准与代码》</w:t>
            </w:r>
            <w:r>
              <w:rPr>
                <w:spacing w:val="-3"/>
                <w:sz w:val="21"/>
              </w:rPr>
              <w:t>（</w:t>
            </w:r>
            <w:r>
              <w:rPr>
                <w:spacing w:val="-1"/>
                <w:sz w:val="21"/>
              </w:rPr>
              <w:t>标准编号为 </w:t>
            </w:r>
            <w:r>
              <w:rPr>
                <w:sz w:val="21"/>
              </w:rPr>
              <w:t>JR/T 0083—2013）</w:t>
            </w:r>
            <w:r>
              <w:rPr>
                <w:spacing w:val="-2"/>
                <w:sz w:val="21"/>
              </w:rPr>
              <w:t>是由全国</w:t>
            </w:r>
            <w:r>
              <w:rPr>
                <w:spacing w:val="-6"/>
                <w:sz w:val="21"/>
              </w:rPr>
              <w:t>金融标准化技术委员会保险分技术委员会制定并审查通过，并由中国保险监督</w:t>
            </w:r>
            <w:r>
              <w:rPr>
                <w:spacing w:val="-4"/>
                <w:sz w:val="21"/>
              </w:rPr>
              <w:t>管理委员会发布(保监发</w:t>
            </w:r>
            <w:r>
              <w:rPr>
                <w:sz w:val="21"/>
              </w:rPr>
              <w:t>[2014]6</w:t>
            </w:r>
            <w:r>
              <w:rPr>
                <w:spacing w:val="-7"/>
                <w:sz w:val="21"/>
              </w:rPr>
              <w:t> 号)的中华人民共和国金融行业标准。</w:t>
            </w:r>
          </w:p>
        </w:tc>
      </w:tr>
      <w:tr>
        <w:trPr>
          <w:trHeight w:val="1396" w:hRule="atLeast"/>
        </w:trPr>
        <w:tc>
          <w:tcPr>
            <w:tcW w:w="853" w:type="dxa"/>
          </w:tcPr>
          <w:p>
            <w:pPr>
              <w:pStyle w:val="TableParagraph"/>
              <w:spacing w:before="67"/>
              <w:ind w:left="179" w:right="104"/>
              <w:jc w:val="center"/>
              <w:rPr>
                <w:b/>
                <w:sz w:val="21"/>
              </w:rPr>
            </w:pPr>
            <w:r>
              <w:rPr>
                <w:b/>
                <w:sz w:val="21"/>
              </w:rPr>
              <w:t>10.12</w:t>
            </w:r>
          </w:p>
        </w:tc>
        <w:tc>
          <w:tcPr>
            <w:tcW w:w="1512" w:type="dxa"/>
          </w:tcPr>
          <w:p>
            <w:pPr>
              <w:pStyle w:val="TableParagraph"/>
              <w:spacing w:before="67"/>
              <w:ind w:left="139"/>
              <w:rPr>
                <w:b/>
                <w:sz w:val="21"/>
              </w:rPr>
            </w:pPr>
            <w:r>
              <w:rPr>
                <w:b/>
                <w:sz w:val="21"/>
              </w:rPr>
              <w:t>毒品</w:t>
            </w:r>
          </w:p>
        </w:tc>
        <w:tc>
          <w:tcPr>
            <w:tcW w:w="7589" w:type="dxa"/>
          </w:tcPr>
          <w:p>
            <w:pPr>
              <w:pStyle w:val="TableParagraph"/>
              <w:spacing w:line="273" w:lineRule="auto" w:before="67"/>
              <w:ind w:left="141" w:right="197"/>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36" w:hRule="atLeast"/>
        </w:trPr>
        <w:tc>
          <w:tcPr>
            <w:tcW w:w="853" w:type="dxa"/>
          </w:tcPr>
          <w:p>
            <w:pPr>
              <w:pStyle w:val="TableParagraph"/>
              <w:spacing w:before="54"/>
              <w:ind w:left="179" w:right="104"/>
              <w:jc w:val="center"/>
              <w:rPr>
                <w:b/>
                <w:sz w:val="21"/>
              </w:rPr>
            </w:pPr>
            <w:r>
              <w:rPr>
                <w:b/>
                <w:sz w:val="21"/>
              </w:rPr>
              <w:t>10.13</w:t>
            </w:r>
          </w:p>
        </w:tc>
        <w:tc>
          <w:tcPr>
            <w:tcW w:w="1512" w:type="dxa"/>
          </w:tcPr>
          <w:p>
            <w:pPr>
              <w:pStyle w:val="TableParagraph"/>
              <w:spacing w:before="54"/>
              <w:ind w:left="139"/>
              <w:rPr>
                <w:b/>
                <w:sz w:val="21"/>
              </w:rPr>
            </w:pPr>
            <w:r>
              <w:rPr>
                <w:b/>
                <w:sz w:val="21"/>
              </w:rPr>
              <w:t>酒后驾驶</w:t>
            </w:r>
          </w:p>
        </w:tc>
        <w:tc>
          <w:tcPr>
            <w:tcW w:w="7589" w:type="dxa"/>
          </w:tcPr>
          <w:p>
            <w:pPr>
              <w:pStyle w:val="TableParagraph"/>
              <w:spacing w:line="273" w:lineRule="auto" w:before="54"/>
              <w:ind w:left="141" w:right="30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3477" w:hRule="atLeast"/>
        </w:trPr>
        <w:tc>
          <w:tcPr>
            <w:tcW w:w="853" w:type="dxa"/>
          </w:tcPr>
          <w:p>
            <w:pPr>
              <w:pStyle w:val="TableParagraph"/>
              <w:spacing w:before="120"/>
              <w:ind w:left="179" w:right="104"/>
              <w:jc w:val="center"/>
              <w:rPr>
                <w:b/>
                <w:sz w:val="21"/>
              </w:rPr>
            </w:pPr>
            <w:r>
              <w:rPr>
                <w:b/>
                <w:sz w:val="21"/>
              </w:rPr>
              <w:t>10.14</w:t>
            </w:r>
          </w:p>
        </w:tc>
        <w:tc>
          <w:tcPr>
            <w:tcW w:w="1512" w:type="dxa"/>
          </w:tcPr>
          <w:p>
            <w:pPr>
              <w:pStyle w:val="TableParagraph"/>
              <w:spacing w:line="273" w:lineRule="auto" w:before="120"/>
              <w:ind w:left="139" w:right="103"/>
              <w:rPr>
                <w:b/>
                <w:sz w:val="21"/>
              </w:rPr>
            </w:pPr>
            <w:r>
              <w:rPr>
                <w:b/>
                <w:sz w:val="21"/>
              </w:rPr>
              <w:t>无合法有效驾驶证驾驶</w:t>
            </w:r>
          </w:p>
        </w:tc>
        <w:tc>
          <w:tcPr>
            <w:tcW w:w="7589" w:type="dxa"/>
          </w:tcPr>
          <w:p>
            <w:pPr>
              <w:pStyle w:val="TableParagraph"/>
              <w:spacing w:before="120"/>
              <w:ind w:left="141"/>
              <w:rPr>
                <w:sz w:val="21"/>
              </w:rPr>
            </w:pPr>
            <w:r>
              <w:rPr>
                <w:sz w:val="21"/>
              </w:rPr>
              <w:t>指下列情形之一：</w:t>
            </w:r>
          </w:p>
          <w:p>
            <w:pPr>
              <w:pStyle w:val="TableParagraph"/>
              <w:spacing w:before="10"/>
              <w:rPr>
                <w:sz w:val="14"/>
              </w:rPr>
            </w:pPr>
          </w:p>
          <w:p>
            <w:pPr>
              <w:pStyle w:val="TableParagraph"/>
              <w:ind w:left="141"/>
              <w:rPr>
                <w:sz w:val="21"/>
              </w:rPr>
            </w:pPr>
            <w:r>
              <w:rPr>
                <w:sz w:val="21"/>
              </w:rPr>
              <w:t>1.没有取得中华人民共和国有关主管部门颁发或者认可的驾驶资格；</w:t>
            </w:r>
          </w:p>
          <w:p>
            <w:pPr>
              <w:pStyle w:val="TableParagraph"/>
              <w:spacing w:before="9"/>
              <w:rPr>
                <w:sz w:val="14"/>
              </w:rPr>
            </w:pPr>
          </w:p>
          <w:p>
            <w:pPr>
              <w:pStyle w:val="TableParagraph"/>
              <w:spacing w:before="1"/>
              <w:ind w:left="141"/>
              <w:rPr>
                <w:sz w:val="21"/>
              </w:rPr>
            </w:pPr>
            <w:r>
              <w:rPr>
                <w:sz w:val="21"/>
              </w:rPr>
              <w:t>2.驾驶与合法有效驾驶证准驾车型不相符合的车辆；</w:t>
            </w:r>
          </w:p>
          <w:p>
            <w:pPr>
              <w:pStyle w:val="TableParagraph"/>
              <w:spacing w:before="10"/>
              <w:rPr>
                <w:sz w:val="14"/>
              </w:rPr>
            </w:pPr>
          </w:p>
          <w:p>
            <w:pPr>
              <w:pStyle w:val="TableParagraph"/>
              <w:ind w:left="141"/>
              <w:rPr>
                <w:sz w:val="21"/>
              </w:rPr>
            </w:pPr>
            <w:r>
              <w:rPr>
                <w:sz w:val="21"/>
              </w:rPr>
              <w:t>3.持审验不合格或已过期的驾驶证驾驶；</w:t>
            </w:r>
          </w:p>
          <w:p>
            <w:pPr>
              <w:pStyle w:val="TableParagraph"/>
              <w:spacing w:before="10"/>
              <w:rPr>
                <w:sz w:val="14"/>
              </w:rPr>
            </w:pPr>
          </w:p>
          <w:p>
            <w:pPr>
              <w:pStyle w:val="TableParagraph"/>
              <w:spacing w:line="273" w:lineRule="auto"/>
              <w:ind w:left="141" w:right="303"/>
              <w:rPr>
                <w:sz w:val="21"/>
              </w:rPr>
            </w:pPr>
            <w:r>
              <w:rPr>
                <w:sz w:val="21"/>
              </w:rPr>
              <w:t>4.持学习驾驶证学习驾车时，无教练员随车指导，或不按指定时间、路线学习驾车；</w:t>
            </w:r>
          </w:p>
          <w:p>
            <w:pPr>
              <w:pStyle w:val="TableParagraph"/>
              <w:spacing w:line="390" w:lineRule="atLeast" w:before="86"/>
              <w:ind w:left="141" w:right="300"/>
              <w:rPr>
                <w:sz w:val="21"/>
              </w:rPr>
            </w:pPr>
            <w:r>
              <w:rPr>
                <w:sz w:val="21"/>
              </w:rPr>
              <w:t>5．在驾驶证有效期内未按照中华人民共和国法律、行政法规的规定，定期对机动车驾驶证实施审验的。</w:t>
            </w:r>
          </w:p>
        </w:tc>
      </w:tr>
    </w:tbl>
    <w:p>
      <w:pPr>
        <w:spacing w:after="0" w:line="390" w:lineRule="atLeast"/>
        <w:rPr>
          <w:sz w:val="21"/>
        </w:rPr>
        <w:sectPr>
          <w:pgSz w:w="11910" w:h="16840"/>
          <w:pgMar w:header="0" w:footer="925" w:top="1160" w:bottom="1120" w:left="760" w:right="9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495"/>
        <w:gridCol w:w="7629"/>
      </w:tblGrid>
      <w:tr>
        <w:trPr>
          <w:trHeight w:val="1823" w:hRule="atLeast"/>
        </w:trPr>
        <w:tc>
          <w:tcPr>
            <w:tcW w:w="846" w:type="dxa"/>
          </w:tcPr>
          <w:p>
            <w:pPr>
              <w:pStyle w:val="TableParagraph"/>
              <w:spacing w:line="211" w:lineRule="exact"/>
              <w:ind w:left="179" w:right="97"/>
              <w:jc w:val="center"/>
              <w:rPr>
                <w:b/>
                <w:sz w:val="21"/>
              </w:rPr>
            </w:pPr>
            <w:r>
              <w:rPr>
                <w:b/>
                <w:sz w:val="21"/>
              </w:rPr>
              <w:t>10.15</w:t>
            </w:r>
          </w:p>
        </w:tc>
        <w:tc>
          <w:tcPr>
            <w:tcW w:w="1495" w:type="dxa"/>
          </w:tcPr>
          <w:p>
            <w:pPr>
              <w:pStyle w:val="TableParagraph"/>
              <w:spacing w:line="211" w:lineRule="exact"/>
              <w:ind w:left="146"/>
              <w:rPr>
                <w:b/>
                <w:sz w:val="21"/>
              </w:rPr>
            </w:pPr>
            <w:r>
              <w:rPr>
                <w:b/>
                <w:sz w:val="21"/>
              </w:rPr>
              <w:t>无有效行驶证</w:t>
            </w:r>
          </w:p>
        </w:tc>
        <w:tc>
          <w:tcPr>
            <w:tcW w:w="7629" w:type="dxa"/>
          </w:tcPr>
          <w:p>
            <w:pPr>
              <w:pStyle w:val="TableParagraph"/>
              <w:spacing w:line="211" w:lineRule="exact"/>
              <w:ind w:left="165"/>
              <w:rPr>
                <w:sz w:val="21"/>
              </w:rPr>
            </w:pPr>
            <w:r>
              <w:rPr>
                <w:sz w:val="21"/>
              </w:rPr>
              <w:t>指下列情形之一：</w:t>
            </w:r>
          </w:p>
          <w:p>
            <w:pPr>
              <w:pStyle w:val="TableParagraph"/>
              <w:spacing w:before="9"/>
              <w:rPr>
                <w:sz w:val="14"/>
              </w:rPr>
            </w:pPr>
          </w:p>
          <w:p>
            <w:pPr>
              <w:pStyle w:val="TableParagraph"/>
              <w:spacing w:before="1"/>
              <w:ind w:left="165"/>
              <w:rPr>
                <w:sz w:val="21"/>
              </w:rPr>
            </w:pPr>
            <w:r>
              <w:rPr>
                <w:sz w:val="21"/>
              </w:rPr>
              <w:t>1.机动车行驶证被依法注销登记的；</w:t>
            </w:r>
          </w:p>
          <w:p>
            <w:pPr>
              <w:pStyle w:val="TableParagraph"/>
              <w:spacing w:before="10"/>
              <w:rPr>
                <w:sz w:val="14"/>
              </w:rPr>
            </w:pPr>
          </w:p>
          <w:p>
            <w:pPr>
              <w:pStyle w:val="TableParagraph"/>
              <w:ind w:left="165"/>
              <w:rPr>
                <w:sz w:val="21"/>
              </w:rPr>
            </w:pPr>
            <w:r>
              <w:rPr>
                <w:sz w:val="21"/>
              </w:rPr>
              <w:t>2.未办理行驶证或者行驶证在申办过程中；</w:t>
            </w:r>
          </w:p>
          <w:p>
            <w:pPr>
              <w:pStyle w:val="TableParagraph"/>
              <w:spacing w:before="8"/>
              <w:rPr>
                <w:sz w:val="17"/>
              </w:rPr>
            </w:pPr>
          </w:p>
          <w:p>
            <w:pPr>
              <w:pStyle w:val="TableParagraph"/>
              <w:ind w:left="165"/>
              <w:rPr>
                <w:sz w:val="21"/>
              </w:rPr>
            </w:pPr>
            <w:r>
              <w:rPr>
                <w:sz w:val="21"/>
              </w:rPr>
              <w:t>3.未在行驶证检验有效期内依法按时进行或通过机动车安全技术检验。</w:t>
            </w:r>
          </w:p>
        </w:tc>
      </w:tr>
      <w:tr>
        <w:trPr>
          <w:trHeight w:val="938" w:hRule="atLeast"/>
        </w:trPr>
        <w:tc>
          <w:tcPr>
            <w:tcW w:w="846" w:type="dxa"/>
          </w:tcPr>
          <w:p>
            <w:pPr>
              <w:pStyle w:val="TableParagraph"/>
              <w:spacing w:before="105"/>
              <w:ind w:left="179" w:right="97"/>
              <w:jc w:val="center"/>
              <w:rPr>
                <w:b/>
                <w:sz w:val="21"/>
              </w:rPr>
            </w:pPr>
            <w:r>
              <w:rPr>
                <w:b/>
                <w:sz w:val="21"/>
              </w:rPr>
              <w:t>10.16</w:t>
            </w:r>
          </w:p>
        </w:tc>
        <w:tc>
          <w:tcPr>
            <w:tcW w:w="1495" w:type="dxa"/>
          </w:tcPr>
          <w:p>
            <w:pPr>
              <w:pStyle w:val="TableParagraph"/>
              <w:spacing w:before="105"/>
              <w:ind w:left="146"/>
              <w:rPr>
                <w:b/>
                <w:sz w:val="21"/>
              </w:rPr>
            </w:pPr>
            <w:r>
              <w:rPr>
                <w:b/>
                <w:sz w:val="21"/>
              </w:rPr>
              <w:t>机动车</w:t>
            </w:r>
          </w:p>
        </w:tc>
        <w:tc>
          <w:tcPr>
            <w:tcW w:w="7629" w:type="dxa"/>
          </w:tcPr>
          <w:p>
            <w:pPr>
              <w:pStyle w:val="TableParagraph"/>
              <w:spacing w:line="338" w:lineRule="auto" w:before="144"/>
              <w:ind w:left="165" w:right="317"/>
              <w:rPr>
                <w:sz w:val="21"/>
              </w:rPr>
            </w:pPr>
            <w:r>
              <w:rPr>
                <w:sz w:val="21"/>
              </w:rPr>
              <w:t>指以动力装置驱动或者牵引，上道路行驶的供人员乘用或者用于运送物品以及进行工程专项作业的轮式车辆。</w:t>
            </w:r>
          </w:p>
        </w:tc>
      </w:tr>
      <w:tr>
        <w:trPr>
          <w:trHeight w:val="1406" w:hRule="atLeast"/>
        </w:trPr>
        <w:tc>
          <w:tcPr>
            <w:tcW w:w="846" w:type="dxa"/>
          </w:tcPr>
          <w:p>
            <w:pPr>
              <w:pStyle w:val="TableParagraph"/>
              <w:spacing w:before="67"/>
              <w:ind w:left="179" w:right="97"/>
              <w:jc w:val="center"/>
              <w:rPr>
                <w:b/>
                <w:sz w:val="21"/>
              </w:rPr>
            </w:pPr>
            <w:r>
              <w:rPr>
                <w:b/>
                <w:sz w:val="21"/>
              </w:rPr>
              <w:t>10.17</w:t>
            </w:r>
          </w:p>
        </w:tc>
        <w:tc>
          <w:tcPr>
            <w:tcW w:w="1495" w:type="dxa"/>
          </w:tcPr>
          <w:p>
            <w:pPr>
              <w:pStyle w:val="TableParagraph"/>
              <w:spacing w:line="273" w:lineRule="auto" w:before="67"/>
              <w:ind w:left="132" w:right="93"/>
              <w:rPr>
                <w:b/>
                <w:sz w:val="21"/>
              </w:rPr>
            </w:pPr>
            <w:r>
              <w:rPr>
                <w:b/>
                <w:sz w:val="21"/>
              </w:rPr>
              <w:t>感染艾滋病病毒或患艾滋病</w:t>
            </w:r>
          </w:p>
        </w:tc>
        <w:tc>
          <w:tcPr>
            <w:tcW w:w="7629" w:type="dxa"/>
          </w:tcPr>
          <w:p>
            <w:pPr>
              <w:pStyle w:val="TableParagraph"/>
              <w:spacing w:line="273" w:lineRule="auto" w:before="67"/>
              <w:ind w:left="129" w:right="483"/>
              <w:rPr>
                <w:sz w:val="21"/>
              </w:rPr>
            </w:pPr>
            <w:r>
              <w:rPr>
                <w:spacing w:val="-7"/>
                <w:sz w:val="21"/>
              </w:rPr>
              <w:t>艾滋病病毒指人类免疫缺陷病毒，英文缩写为 </w:t>
            </w:r>
            <w:r>
              <w:rPr>
                <w:sz w:val="21"/>
              </w:rPr>
              <w:t>HIV</w:t>
            </w:r>
            <w:r>
              <w:rPr>
                <w:spacing w:val="-8"/>
                <w:sz w:val="21"/>
              </w:rPr>
              <w:t>。艾滋病指人类免疫缺陷病</w:t>
            </w:r>
            <w:r>
              <w:rPr>
                <w:spacing w:val="-7"/>
                <w:sz w:val="21"/>
              </w:rPr>
              <w:t>毒引起的获得性免疫缺陷综合征，英文缩写为 </w:t>
            </w:r>
            <w:r>
              <w:rPr>
                <w:sz w:val="21"/>
              </w:rPr>
              <w:t>AIDS</w:t>
            </w:r>
            <w:r>
              <w:rPr>
                <w:spacing w:val="-3"/>
                <w:sz w:val="21"/>
              </w:rPr>
              <w:t>。在人体血液或其它样本中检测到艾滋病病毒或其抗体呈阳性，没有出现临床症状或体征的，为感染艾滋病病毒；如果同时出现了明显临床症状或体征的，为患艾滋病。</w:t>
            </w:r>
          </w:p>
        </w:tc>
      </w:tr>
      <w:tr>
        <w:trPr>
          <w:trHeight w:val="780" w:hRule="atLeast"/>
        </w:trPr>
        <w:tc>
          <w:tcPr>
            <w:tcW w:w="846" w:type="dxa"/>
          </w:tcPr>
          <w:p>
            <w:pPr>
              <w:pStyle w:val="TableParagraph"/>
              <w:spacing w:before="65"/>
              <w:ind w:left="179" w:right="97"/>
              <w:jc w:val="center"/>
              <w:rPr>
                <w:b/>
                <w:sz w:val="21"/>
              </w:rPr>
            </w:pPr>
            <w:r>
              <w:rPr>
                <w:b/>
                <w:sz w:val="21"/>
              </w:rPr>
              <w:t>10.18</w:t>
            </w:r>
          </w:p>
        </w:tc>
        <w:tc>
          <w:tcPr>
            <w:tcW w:w="1495" w:type="dxa"/>
          </w:tcPr>
          <w:p>
            <w:pPr>
              <w:pStyle w:val="TableParagraph"/>
              <w:spacing w:before="65"/>
              <w:ind w:left="117"/>
              <w:rPr>
                <w:b/>
                <w:sz w:val="21"/>
              </w:rPr>
            </w:pPr>
            <w:r>
              <w:rPr>
                <w:b/>
                <w:sz w:val="21"/>
              </w:rPr>
              <w:t>遗传性疾病</w:t>
            </w:r>
          </w:p>
        </w:tc>
        <w:tc>
          <w:tcPr>
            <w:tcW w:w="7629" w:type="dxa"/>
          </w:tcPr>
          <w:p>
            <w:pPr>
              <w:pStyle w:val="TableParagraph"/>
              <w:spacing w:line="273" w:lineRule="auto" w:before="65"/>
              <w:ind w:left="81" w:right="399"/>
              <w:rPr>
                <w:sz w:val="21"/>
              </w:rPr>
            </w:pPr>
            <w:r>
              <w:rPr>
                <w:sz w:val="21"/>
              </w:rPr>
              <w:t>指生殖细胞或受精卵的遗传物质（染色体和基因）发生突变或畸变所引起的疾病，通常具有由亲代传至后代的垂直传递的特征。</w:t>
            </w:r>
          </w:p>
        </w:tc>
      </w:tr>
      <w:tr>
        <w:trPr>
          <w:trHeight w:val="1131" w:hRule="atLeast"/>
        </w:trPr>
        <w:tc>
          <w:tcPr>
            <w:tcW w:w="846" w:type="dxa"/>
          </w:tcPr>
          <w:p>
            <w:pPr>
              <w:pStyle w:val="TableParagraph"/>
              <w:spacing w:before="64"/>
              <w:ind w:left="179" w:right="97"/>
              <w:jc w:val="center"/>
              <w:rPr>
                <w:b/>
                <w:sz w:val="21"/>
              </w:rPr>
            </w:pPr>
            <w:r>
              <w:rPr>
                <w:b/>
                <w:sz w:val="21"/>
              </w:rPr>
              <w:t>10.19</w:t>
            </w:r>
          </w:p>
        </w:tc>
        <w:tc>
          <w:tcPr>
            <w:tcW w:w="1495" w:type="dxa"/>
          </w:tcPr>
          <w:p>
            <w:pPr>
              <w:pStyle w:val="TableParagraph"/>
              <w:spacing w:line="273" w:lineRule="auto" w:before="64"/>
              <w:ind w:left="117" w:right="108"/>
              <w:rPr>
                <w:b/>
                <w:sz w:val="21"/>
              </w:rPr>
            </w:pPr>
            <w:r>
              <w:rPr>
                <w:b/>
                <w:sz w:val="21"/>
              </w:rPr>
              <w:t>先天性畸形、变形或染色 体异常</w:t>
            </w:r>
          </w:p>
        </w:tc>
        <w:tc>
          <w:tcPr>
            <w:tcW w:w="7629" w:type="dxa"/>
          </w:tcPr>
          <w:p>
            <w:pPr>
              <w:pStyle w:val="TableParagraph"/>
              <w:spacing w:line="273" w:lineRule="auto" w:before="64"/>
              <w:ind w:left="81" w:right="399"/>
              <w:rPr>
                <w:sz w:val="21"/>
              </w:rPr>
            </w:pPr>
            <w:r>
              <w:rPr>
                <w:sz w:val="21"/>
              </w:rPr>
              <w:t>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911" w:hRule="atLeast"/>
        </w:trPr>
        <w:tc>
          <w:tcPr>
            <w:tcW w:w="846" w:type="dxa"/>
          </w:tcPr>
          <w:p>
            <w:pPr>
              <w:pStyle w:val="TableParagraph"/>
              <w:spacing w:before="104"/>
              <w:ind w:left="179" w:right="97"/>
              <w:jc w:val="center"/>
              <w:rPr>
                <w:b/>
                <w:sz w:val="21"/>
              </w:rPr>
            </w:pPr>
            <w:r>
              <w:rPr>
                <w:b/>
                <w:sz w:val="21"/>
              </w:rPr>
              <w:t>10.20</w:t>
            </w:r>
          </w:p>
        </w:tc>
        <w:tc>
          <w:tcPr>
            <w:tcW w:w="1495" w:type="dxa"/>
          </w:tcPr>
          <w:p>
            <w:pPr>
              <w:pStyle w:val="TableParagraph"/>
              <w:spacing w:before="104"/>
              <w:ind w:left="117"/>
              <w:rPr>
                <w:b/>
                <w:sz w:val="21"/>
              </w:rPr>
            </w:pPr>
            <w:r>
              <w:rPr>
                <w:b/>
                <w:sz w:val="21"/>
              </w:rPr>
              <w:t>贷款利率</w:t>
            </w:r>
          </w:p>
        </w:tc>
        <w:tc>
          <w:tcPr>
            <w:tcW w:w="7629" w:type="dxa"/>
          </w:tcPr>
          <w:p>
            <w:pPr>
              <w:pStyle w:val="TableParagraph"/>
              <w:spacing w:line="273" w:lineRule="auto" w:before="104"/>
              <w:ind w:left="81" w:right="379"/>
              <w:rPr>
                <w:sz w:val="21"/>
              </w:rPr>
            </w:pPr>
            <w:r>
              <w:rPr>
                <w:spacing w:val="-7"/>
                <w:sz w:val="21"/>
              </w:rPr>
              <w:t>贷款利率以同期银行 </w:t>
            </w:r>
            <w:r>
              <w:rPr>
                <w:sz w:val="21"/>
              </w:rPr>
              <w:t>6</w:t>
            </w:r>
            <w:r>
              <w:rPr>
                <w:spacing w:val="-11"/>
                <w:sz w:val="21"/>
              </w:rPr>
              <w:t> 个月以内短期贷款利率上浮 </w:t>
            </w:r>
            <w:r>
              <w:rPr>
                <w:sz w:val="21"/>
              </w:rPr>
              <w:t>20%</w:t>
            </w:r>
            <w:r>
              <w:rPr>
                <w:spacing w:val="-16"/>
                <w:sz w:val="21"/>
              </w:rPr>
              <w:t>为限，由我们于每月第 </w:t>
            </w:r>
            <w:r>
              <w:rPr>
                <w:sz w:val="21"/>
              </w:rPr>
              <w:t>1 </w:t>
            </w:r>
            <w:r>
              <w:rPr>
                <w:spacing w:val="-2"/>
                <w:sz w:val="21"/>
              </w:rPr>
              <w:t>个工作日确定。</w:t>
            </w:r>
          </w:p>
          <w:p>
            <w:pPr>
              <w:pStyle w:val="TableParagraph"/>
              <w:spacing w:line="273" w:lineRule="auto" w:before="163"/>
              <w:ind w:left="81" w:right="195"/>
              <w:rPr>
                <w:sz w:val="21"/>
              </w:rPr>
            </w:pPr>
            <w:r>
              <w:rPr>
                <w:sz w:val="21"/>
              </w:rPr>
              <w:t>欠交保险费（包括自动垫交的保险费）的利息也按当时我们已确定的贷款利率， 按与保单贷款相同的方式进行计算。欠交保费的利息从欠交保费的对应保险费到期日次日零时开始计算。</w:t>
            </w:r>
          </w:p>
        </w:tc>
      </w:tr>
      <w:tr>
        <w:trPr>
          <w:trHeight w:val="2028" w:hRule="atLeast"/>
        </w:trPr>
        <w:tc>
          <w:tcPr>
            <w:tcW w:w="846" w:type="dxa"/>
          </w:tcPr>
          <w:p>
            <w:pPr>
              <w:pStyle w:val="TableParagraph"/>
              <w:spacing w:before="65"/>
              <w:ind w:left="179" w:right="97"/>
              <w:jc w:val="center"/>
              <w:rPr>
                <w:b/>
                <w:sz w:val="21"/>
              </w:rPr>
            </w:pPr>
            <w:r>
              <w:rPr>
                <w:b/>
                <w:sz w:val="21"/>
              </w:rPr>
              <w:t>10.21</w:t>
            </w:r>
          </w:p>
        </w:tc>
        <w:tc>
          <w:tcPr>
            <w:tcW w:w="1495" w:type="dxa"/>
          </w:tcPr>
          <w:p>
            <w:pPr>
              <w:pStyle w:val="TableParagraph"/>
              <w:spacing w:before="65"/>
              <w:ind w:left="117"/>
              <w:rPr>
                <w:b/>
                <w:sz w:val="21"/>
              </w:rPr>
            </w:pPr>
            <w:r>
              <w:rPr>
                <w:b/>
                <w:sz w:val="21"/>
              </w:rPr>
              <w:t>利息</w:t>
            </w:r>
          </w:p>
        </w:tc>
        <w:tc>
          <w:tcPr>
            <w:tcW w:w="7629" w:type="dxa"/>
          </w:tcPr>
          <w:p>
            <w:pPr>
              <w:pStyle w:val="TableParagraph"/>
              <w:spacing w:line="273" w:lineRule="auto" w:before="65"/>
              <w:ind w:left="81" w:right="274"/>
              <w:rPr>
                <w:sz w:val="21"/>
              </w:rPr>
            </w:pPr>
            <w:r>
              <w:rPr>
                <w:spacing w:val="-3"/>
                <w:sz w:val="21"/>
              </w:rPr>
              <w:t>该欠交保险费利息按当时我们已确定的利率计算。此利率以中国人民银行公布</w:t>
            </w:r>
            <w:r>
              <w:rPr>
                <w:spacing w:val="-6"/>
                <w:sz w:val="21"/>
              </w:rPr>
              <w:t>的同期限金融机构人民币贷款基准利率上浮 </w:t>
            </w:r>
            <w:r>
              <w:rPr>
                <w:sz w:val="21"/>
              </w:rPr>
              <w:t>20</w:t>
            </w:r>
            <w:r>
              <w:rPr>
                <w:spacing w:val="-7"/>
                <w:sz w:val="21"/>
              </w:rPr>
              <w:t>%为限，由我们于每月第 </w:t>
            </w:r>
            <w:r>
              <w:rPr>
                <w:sz w:val="21"/>
              </w:rPr>
              <w:t>1</w:t>
            </w:r>
            <w:r>
              <w:rPr>
                <w:spacing w:val="-14"/>
                <w:sz w:val="21"/>
              </w:rPr>
              <w:t> 个工作</w:t>
            </w:r>
            <w:r>
              <w:rPr>
                <w:spacing w:val="-12"/>
                <w:sz w:val="21"/>
              </w:rPr>
              <w:t>日确定。欠交保费的利息从欠交保费的对应保险费到期日次日零时开始计算， </w:t>
            </w:r>
            <w:r>
              <w:rPr>
                <w:spacing w:val="-10"/>
                <w:sz w:val="21"/>
              </w:rPr>
              <w:t>每次计息周期不超过 </w:t>
            </w:r>
            <w:r>
              <w:rPr>
                <w:sz w:val="21"/>
              </w:rPr>
              <w:t>6</w:t>
            </w:r>
            <w:r>
              <w:rPr>
                <w:spacing w:val="-16"/>
                <w:sz w:val="21"/>
              </w:rPr>
              <w:t> 个月，若您 </w:t>
            </w:r>
            <w:r>
              <w:rPr>
                <w:sz w:val="21"/>
              </w:rPr>
              <w:t>6</w:t>
            </w:r>
            <w:r>
              <w:rPr>
                <w:spacing w:val="-8"/>
                <w:sz w:val="21"/>
              </w:rPr>
              <w:t> 个月未能足额偿还您所欠交的保险费本金</w:t>
            </w:r>
            <w:r>
              <w:rPr>
                <w:spacing w:val="-5"/>
                <w:sz w:val="21"/>
              </w:rPr>
              <w:t>及利息之和，则该本金及利息之和将作为新的本金，按当时我们确定的利率进</w:t>
            </w:r>
            <w:r>
              <w:rPr>
                <w:spacing w:val="-4"/>
                <w:sz w:val="21"/>
              </w:rPr>
              <w:t>行下一周期计息。</w:t>
            </w:r>
          </w:p>
        </w:tc>
      </w:tr>
      <w:tr>
        <w:trPr>
          <w:trHeight w:val="1410" w:hRule="atLeast"/>
        </w:trPr>
        <w:tc>
          <w:tcPr>
            <w:tcW w:w="846" w:type="dxa"/>
          </w:tcPr>
          <w:p>
            <w:pPr>
              <w:pStyle w:val="TableParagraph"/>
              <w:spacing w:before="64"/>
              <w:ind w:left="179" w:right="97"/>
              <w:jc w:val="center"/>
              <w:rPr>
                <w:b/>
                <w:sz w:val="21"/>
              </w:rPr>
            </w:pPr>
            <w:r>
              <w:rPr>
                <w:b/>
                <w:sz w:val="21"/>
              </w:rPr>
              <w:t>10.22</w:t>
            </w:r>
          </w:p>
        </w:tc>
        <w:tc>
          <w:tcPr>
            <w:tcW w:w="1495" w:type="dxa"/>
          </w:tcPr>
          <w:p>
            <w:pPr>
              <w:pStyle w:val="TableParagraph"/>
              <w:spacing w:before="64"/>
              <w:ind w:left="206"/>
              <w:rPr>
                <w:b/>
                <w:sz w:val="21"/>
              </w:rPr>
            </w:pPr>
            <w:r>
              <w:rPr>
                <w:b/>
                <w:sz w:val="21"/>
              </w:rPr>
              <w:t>猝死</w:t>
            </w:r>
          </w:p>
        </w:tc>
        <w:tc>
          <w:tcPr>
            <w:tcW w:w="7629" w:type="dxa"/>
          </w:tcPr>
          <w:p>
            <w:pPr>
              <w:pStyle w:val="TableParagraph"/>
              <w:spacing w:line="273" w:lineRule="auto" w:before="64"/>
              <w:ind w:left="93" w:right="261"/>
              <w:jc w:val="both"/>
              <w:rPr>
                <w:sz w:val="21"/>
              </w:rPr>
            </w:pPr>
            <w:r>
              <w:rPr>
                <w:spacing w:val="-5"/>
                <w:sz w:val="21"/>
              </w:rPr>
              <w:t>猝死是指貌似健康的人因潜在疾病、机能障碍或其他原因在出现症状后 </w:t>
            </w:r>
            <w:r>
              <w:rPr>
                <w:sz w:val="21"/>
              </w:rPr>
              <w:t>24</w:t>
            </w:r>
            <w:r>
              <w:rPr>
                <w:spacing w:val="-16"/>
                <w:sz w:val="21"/>
              </w:rPr>
              <w:t> 小时</w:t>
            </w:r>
            <w:r>
              <w:rPr>
                <w:spacing w:val="-8"/>
                <w:sz w:val="21"/>
              </w:rPr>
              <w:t>内发生的非暴力性突然死亡。属于疾病身故。猝死的认定，如有公安机关、检察</w:t>
            </w:r>
            <w:r>
              <w:rPr>
                <w:spacing w:val="-10"/>
                <w:sz w:val="21"/>
              </w:rPr>
              <w:t>院、法院等司法机关的法律文件、医疗机构的诊断书等，则以上述法律文件、诊</w:t>
            </w:r>
            <w:r>
              <w:rPr>
                <w:spacing w:val="-2"/>
                <w:sz w:val="21"/>
              </w:rPr>
              <w:t>断书等为准。</w:t>
            </w:r>
          </w:p>
        </w:tc>
      </w:tr>
      <w:tr>
        <w:trPr>
          <w:trHeight w:val="1410" w:hRule="atLeast"/>
        </w:trPr>
        <w:tc>
          <w:tcPr>
            <w:tcW w:w="846" w:type="dxa"/>
          </w:tcPr>
          <w:p>
            <w:pPr>
              <w:pStyle w:val="TableParagraph"/>
              <w:spacing w:before="70"/>
              <w:ind w:left="179" w:right="97"/>
              <w:jc w:val="center"/>
              <w:rPr>
                <w:b/>
                <w:sz w:val="21"/>
              </w:rPr>
            </w:pPr>
            <w:r>
              <w:rPr>
                <w:b/>
                <w:sz w:val="21"/>
              </w:rPr>
              <w:t>10.23</w:t>
            </w:r>
          </w:p>
        </w:tc>
        <w:tc>
          <w:tcPr>
            <w:tcW w:w="1495" w:type="dxa"/>
          </w:tcPr>
          <w:p>
            <w:pPr>
              <w:pStyle w:val="TableParagraph"/>
              <w:spacing w:line="273" w:lineRule="auto" w:before="70"/>
              <w:ind w:left="146" w:right="79"/>
              <w:rPr>
                <w:b/>
                <w:sz w:val="21"/>
              </w:rPr>
            </w:pPr>
            <w:r>
              <w:rPr>
                <w:b/>
                <w:sz w:val="21"/>
              </w:rPr>
              <w:t>六项基本日常生活活动</w:t>
            </w:r>
          </w:p>
        </w:tc>
        <w:tc>
          <w:tcPr>
            <w:tcW w:w="7629" w:type="dxa"/>
          </w:tcPr>
          <w:p>
            <w:pPr>
              <w:pStyle w:val="TableParagraph"/>
              <w:spacing w:before="70"/>
              <w:ind w:left="180"/>
              <w:rPr>
                <w:sz w:val="21"/>
              </w:rPr>
            </w:pPr>
            <w:r>
              <w:rPr>
                <w:w w:val="100"/>
                <w:sz w:val="21"/>
              </w:rPr>
              <w:t>（1</w:t>
            </w:r>
            <w:r>
              <w:rPr>
                <w:spacing w:val="-3"/>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273" w:lineRule="auto" w:before="37"/>
              <w:ind w:left="180" w:right="276"/>
              <w:jc w:val="both"/>
              <w:rPr>
                <w:sz w:val="21"/>
              </w:rPr>
            </w:pPr>
            <w:r>
              <w:rPr>
                <w:w w:val="100"/>
                <w:sz w:val="21"/>
              </w:rPr>
              <w:t>（3</w:t>
            </w:r>
            <w:r>
              <w:rPr>
                <w:spacing w:val="-13"/>
                <w:w w:val="100"/>
                <w:sz w:val="21"/>
              </w:rPr>
              <w:t>）</w:t>
            </w:r>
            <w:r>
              <w:rPr>
                <w:spacing w:val="-4"/>
                <w:w w:val="100"/>
                <w:sz w:val="21"/>
              </w:rPr>
              <w:t>行动：自己上下床或上下轮椅</w:t>
            </w:r>
            <w:r>
              <w:rPr>
                <w:spacing w:val="-118"/>
                <w:w w:val="100"/>
                <w:sz w:val="21"/>
              </w:rPr>
              <w:t>；</w:t>
            </w:r>
            <w:r>
              <w:rPr>
                <w:w w:val="100"/>
                <w:sz w:val="21"/>
              </w:rPr>
              <w:t>（4</w:t>
            </w:r>
            <w:r>
              <w:rPr>
                <w:spacing w:val="-13"/>
                <w:w w:val="100"/>
                <w:sz w:val="21"/>
              </w:rPr>
              <w:t>）</w:t>
            </w:r>
            <w:r>
              <w:rPr>
                <w:spacing w:val="-4"/>
                <w:w w:val="100"/>
                <w:sz w:val="21"/>
              </w:rPr>
              <w:t>如厕：自己控制进行大小便</w:t>
            </w:r>
            <w:r>
              <w:rPr>
                <w:spacing w:val="-118"/>
                <w:w w:val="100"/>
                <w:sz w:val="21"/>
              </w:rPr>
              <w:t>；</w:t>
            </w:r>
            <w:r>
              <w:rPr>
                <w:w w:val="100"/>
                <w:sz w:val="21"/>
              </w:rPr>
              <w:t>（5</w:t>
            </w:r>
            <w:r>
              <w:rPr>
                <w:spacing w:val="-12"/>
                <w:w w:val="100"/>
                <w:sz w:val="21"/>
              </w:rPr>
              <w:t>）进</w:t>
            </w:r>
            <w:r>
              <w:rPr>
                <w:spacing w:val="-8"/>
                <w:w w:val="100"/>
                <w:sz w:val="21"/>
              </w:rPr>
              <w:t>食：自己从已准备好的碗或碟中取食物放入口中；</w:t>
            </w:r>
            <w:r>
              <w:rPr>
                <w:spacing w:val="-3"/>
                <w:w w:val="100"/>
                <w:sz w:val="21"/>
              </w:rPr>
              <w:t>（</w:t>
            </w:r>
            <w:r>
              <w:rPr>
                <w:w w:val="100"/>
                <w:sz w:val="21"/>
              </w:rPr>
              <w:t>6）</w:t>
            </w:r>
            <w:r>
              <w:rPr>
                <w:spacing w:val="-3"/>
                <w:w w:val="100"/>
                <w:sz w:val="21"/>
              </w:rPr>
              <w:t>洗澡：自己进行淋浴或</w:t>
            </w:r>
            <w:r>
              <w:rPr>
                <w:spacing w:val="-3"/>
                <w:sz w:val="21"/>
              </w:rPr>
              <w:t>盆浴。</w:t>
            </w:r>
          </w:p>
        </w:tc>
      </w:tr>
      <w:tr>
        <w:trPr>
          <w:trHeight w:val="651" w:hRule="atLeast"/>
        </w:trPr>
        <w:tc>
          <w:tcPr>
            <w:tcW w:w="846" w:type="dxa"/>
          </w:tcPr>
          <w:p>
            <w:pPr>
              <w:pStyle w:val="TableParagraph"/>
              <w:spacing w:before="64"/>
              <w:ind w:left="179" w:right="97"/>
              <w:jc w:val="center"/>
              <w:rPr>
                <w:b/>
                <w:sz w:val="21"/>
              </w:rPr>
            </w:pPr>
            <w:r>
              <w:rPr>
                <w:b/>
                <w:sz w:val="21"/>
              </w:rPr>
              <w:t>10.24</w:t>
            </w:r>
          </w:p>
        </w:tc>
        <w:tc>
          <w:tcPr>
            <w:tcW w:w="1495" w:type="dxa"/>
          </w:tcPr>
          <w:p>
            <w:pPr>
              <w:pStyle w:val="TableParagraph"/>
              <w:spacing w:before="64"/>
              <w:ind w:left="146"/>
              <w:rPr>
                <w:b/>
                <w:sz w:val="21"/>
              </w:rPr>
            </w:pPr>
            <w:r>
              <w:rPr>
                <w:b/>
                <w:sz w:val="21"/>
              </w:rPr>
              <w:t>永久不可逆</w:t>
            </w:r>
          </w:p>
        </w:tc>
        <w:tc>
          <w:tcPr>
            <w:tcW w:w="7629" w:type="dxa"/>
          </w:tcPr>
          <w:p>
            <w:pPr>
              <w:pStyle w:val="TableParagraph"/>
              <w:spacing w:line="310" w:lineRule="atLeast" w:before="29"/>
              <w:ind w:left="180" w:right="300"/>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bl>
    <w:p>
      <w:pPr>
        <w:spacing w:after="0" w:line="310" w:lineRule="atLeast"/>
        <w:rPr>
          <w:sz w:val="21"/>
        </w:rPr>
        <w:sectPr>
          <w:pgSz w:w="11910" w:h="16840"/>
          <w:pgMar w:header="0" w:footer="925" w:top="1160" w:bottom="1120" w:left="760" w:right="9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530"/>
        <w:gridCol w:w="7618"/>
      </w:tblGrid>
      <w:tr>
        <w:trPr>
          <w:trHeight w:val="776" w:hRule="atLeast"/>
        </w:trPr>
        <w:tc>
          <w:tcPr>
            <w:tcW w:w="860" w:type="dxa"/>
          </w:tcPr>
          <w:p>
            <w:pPr>
              <w:pStyle w:val="TableParagraph"/>
              <w:spacing w:line="211" w:lineRule="exact"/>
              <w:ind w:left="179" w:right="111"/>
              <w:jc w:val="center"/>
              <w:rPr>
                <w:b/>
                <w:sz w:val="21"/>
              </w:rPr>
            </w:pPr>
            <w:r>
              <w:rPr>
                <w:b/>
                <w:sz w:val="21"/>
              </w:rPr>
              <w:t>10.25</w:t>
            </w:r>
          </w:p>
        </w:tc>
        <w:tc>
          <w:tcPr>
            <w:tcW w:w="1530" w:type="dxa"/>
          </w:tcPr>
          <w:p>
            <w:pPr>
              <w:pStyle w:val="TableParagraph"/>
              <w:spacing w:line="211" w:lineRule="exact"/>
              <w:ind w:left="132"/>
              <w:rPr>
                <w:b/>
                <w:sz w:val="21"/>
              </w:rPr>
            </w:pPr>
            <w:r>
              <w:rPr>
                <w:b/>
                <w:sz w:val="21"/>
              </w:rPr>
              <w:t>肢体机能完全</w:t>
            </w:r>
          </w:p>
          <w:p>
            <w:pPr>
              <w:pStyle w:val="TableParagraph"/>
              <w:spacing w:before="37"/>
              <w:ind w:left="132"/>
              <w:rPr>
                <w:b/>
                <w:sz w:val="21"/>
              </w:rPr>
            </w:pPr>
            <w:r>
              <w:rPr>
                <w:b/>
                <w:sz w:val="21"/>
              </w:rPr>
              <w:t>丧失</w:t>
            </w:r>
          </w:p>
        </w:tc>
        <w:tc>
          <w:tcPr>
            <w:tcW w:w="7618" w:type="dxa"/>
          </w:tcPr>
          <w:p>
            <w:pPr>
              <w:pStyle w:val="TableParagraph"/>
              <w:spacing w:line="211" w:lineRule="exact"/>
              <w:ind w:left="131"/>
              <w:rPr>
                <w:sz w:val="21"/>
              </w:rPr>
            </w:pPr>
            <w:r>
              <w:rPr>
                <w:sz w:val="21"/>
              </w:rPr>
              <w:t>指肢体的三大关节中的两大关节僵硬，或不能随意识活动。肢体是指包括肩关</w:t>
            </w:r>
          </w:p>
          <w:p>
            <w:pPr>
              <w:pStyle w:val="TableParagraph"/>
              <w:spacing w:before="37"/>
              <w:ind w:left="131"/>
              <w:rPr>
                <w:sz w:val="21"/>
              </w:rPr>
            </w:pPr>
            <w:r>
              <w:rPr>
                <w:sz w:val="21"/>
              </w:rPr>
              <w:t>节的整个上肢或包括髋关节的整个下肢。</w:t>
            </w:r>
          </w:p>
        </w:tc>
      </w:tr>
      <w:tr>
        <w:trPr>
          <w:trHeight w:val="1400" w:hRule="atLeast"/>
        </w:trPr>
        <w:tc>
          <w:tcPr>
            <w:tcW w:w="860" w:type="dxa"/>
          </w:tcPr>
          <w:p>
            <w:pPr>
              <w:pStyle w:val="TableParagraph"/>
              <w:spacing w:before="6"/>
              <w:rPr>
                <w:sz w:val="14"/>
              </w:rPr>
            </w:pPr>
          </w:p>
          <w:p>
            <w:pPr>
              <w:pStyle w:val="TableParagraph"/>
              <w:ind w:left="179" w:right="111"/>
              <w:jc w:val="center"/>
              <w:rPr>
                <w:b/>
                <w:sz w:val="21"/>
              </w:rPr>
            </w:pPr>
            <w:r>
              <w:rPr>
                <w:b/>
                <w:sz w:val="21"/>
              </w:rPr>
              <w:t>10.26</w:t>
            </w:r>
          </w:p>
        </w:tc>
        <w:tc>
          <w:tcPr>
            <w:tcW w:w="1530" w:type="dxa"/>
          </w:tcPr>
          <w:p>
            <w:pPr>
              <w:pStyle w:val="TableParagraph"/>
              <w:spacing w:before="6"/>
              <w:rPr>
                <w:sz w:val="14"/>
              </w:rPr>
            </w:pPr>
          </w:p>
          <w:p>
            <w:pPr>
              <w:pStyle w:val="TableParagraph"/>
              <w:spacing w:line="273" w:lineRule="auto"/>
              <w:ind w:left="132" w:right="128"/>
              <w:jc w:val="both"/>
              <w:rPr>
                <w:b/>
                <w:sz w:val="21"/>
              </w:rPr>
            </w:pPr>
            <w:r>
              <w:rPr>
                <w:b/>
                <w:sz w:val="21"/>
              </w:rPr>
              <w:t>语言能力或咀嚼吞咽能力完全丧失</w:t>
            </w:r>
          </w:p>
        </w:tc>
        <w:tc>
          <w:tcPr>
            <w:tcW w:w="7618" w:type="dxa"/>
          </w:tcPr>
          <w:p>
            <w:pPr>
              <w:pStyle w:val="TableParagraph"/>
              <w:spacing w:line="310" w:lineRule="atLeast" w:before="154"/>
              <w:ind w:left="131" w:right="196"/>
              <w:rPr>
                <w:sz w:val="21"/>
              </w:rPr>
            </w:pPr>
            <w:r>
              <w:rPr>
                <w:spacing w:val="-3"/>
                <w:sz w:val="21"/>
              </w:rPr>
              <w:t>语言能力完全丧失，指无法发出四种语音</w:t>
            </w:r>
            <w:r>
              <w:rPr>
                <w:sz w:val="21"/>
              </w:rPr>
              <w:t>（</w:t>
            </w:r>
            <w:r>
              <w:rPr>
                <w:spacing w:val="-3"/>
                <w:sz w:val="21"/>
              </w:rPr>
              <w:t>包括口唇音、齿舌音、口盖音和喉头音</w:t>
            </w:r>
            <w:r>
              <w:rPr>
                <w:spacing w:val="-22"/>
                <w:sz w:val="21"/>
              </w:rPr>
              <w:t>）</w:t>
            </w:r>
            <w:r>
              <w:rPr>
                <w:spacing w:val="-8"/>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不能做咀嚼吞咽运动，除流质食物外不能摄取或吞咽的状态。</w:t>
            </w:r>
          </w:p>
        </w:tc>
      </w:tr>
    </w:tbl>
    <w:p>
      <w:pPr>
        <w:pStyle w:val="BodyText"/>
        <w:rPr>
          <w:sz w:val="20"/>
        </w:rPr>
      </w:pPr>
    </w:p>
    <w:p>
      <w:pPr>
        <w:pStyle w:val="BodyText"/>
        <w:rPr>
          <w:sz w:val="20"/>
        </w:rPr>
      </w:pPr>
    </w:p>
    <w:p>
      <w:pPr>
        <w:pStyle w:val="BodyText"/>
        <w:spacing w:before="12"/>
        <w:rPr>
          <w:sz w:val="23"/>
        </w:rPr>
      </w:pPr>
    </w:p>
    <w:p>
      <w:pPr>
        <w:pStyle w:val="BodyText"/>
        <w:spacing w:before="36"/>
        <w:ind w:left="4081" w:right="4028"/>
        <w:jc w:val="center"/>
      </w:pPr>
      <w:r>
        <w:rPr/>
        <w:t>（保险条款内容结束）</w:t>
      </w:r>
    </w:p>
    <w:sectPr>
      <w:pgSz w:w="11910" w:h="16840"/>
      <w:pgMar w:header="0" w:footer="925" w:top="1160" w:bottom="1120" w:left="7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490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44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00"/>
      <w:numFmt w:val="decimal"/>
      <w:lvlText w:val="%1."/>
      <w:lvlJc w:val="left"/>
      <w:pPr>
        <w:ind w:left="526" w:hanging="841"/>
        <w:jc w:val="left"/>
      </w:pPr>
      <w:rPr>
        <w:rFonts w:hint="default" w:ascii="宋体" w:hAnsi="宋体" w:eastAsia="宋体" w:cs="宋体"/>
        <w:w w:val="100"/>
        <w:sz w:val="21"/>
        <w:szCs w:val="21"/>
      </w:rPr>
    </w:lvl>
    <w:lvl w:ilvl="1">
      <w:start w:val="1"/>
      <w:numFmt w:val="lowerLetter"/>
      <w:lvlText w:val="%2)"/>
      <w:lvlJc w:val="left"/>
      <w:pPr>
        <w:ind w:left="1400" w:hanging="387"/>
        <w:jc w:val="left"/>
      </w:pPr>
      <w:rPr>
        <w:rFonts w:hint="default" w:ascii="宋体" w:hAnsi="宋体" w:eastAsia="宋体" w:cs="宋体"/>
        <w:w w:val="100"/>
        <w:sz w:val="21"/>
        <w:szCs w:val="21"/>
      </w:rPr>
    </w:lvl>
    <w:lvl w:ilvl="2">
      <w:start w:val="0"/>
      <w:numFmt w:val="bullet"/>
      <w:lvlText w:val="•"/>
      <w:lvlJc w:val="left"/>
      <w:pPr>
        <w:ind w:left="2087" w:hanging="387"/>
      </w:pPr>
      <w:rPr>
        <w:rFonts w:hint="default"/>
      </w:rPr>
    </w:lvl>
    <w:lvl w:ilvl="3">
      <w:start w:val="0"/>
      <w:numFmt w:val="bullet"/>
      <w:lvlText w:val="•"/>
      <w:lvlJc w:val="left"/>
      <w:pPr>
        <w:ind w:left="2775" w:hanging="387"/>
      </w:pPr>
      <w:rPr>
        <w:rFonts w:hint="default"/>
      </w:rPr>
    </w:lvl>
    <w:lvl w:ilvl="4">
      <w:start w:val="0"/>
      <w:numFmt w:val="bullet"/>
      <w:lvlText w:val="•"/>
      <w:lvlJc w:val="left"/>
      <w:pPr>
        <w:ind w:left="3463" w:hanging="387"/>
      </w:pPr>
      <w:rPr>
        <w:rFonts w:hint="default"/>
      </w:rPr>
    </w:lvl>
    <w:lvl w:ilvl="5">
      <w:start w:val="0"/>
      <w:numFmt w:val="bullet"/>
      <w:lvlText w:val="•"/>
      <w:lvlJc w:val="left"/>
      <w:pPr>
        <w:ind w:left="4150" w:hanging="387"/>
      </w:pPr>
      <w:rPr>
        <w:rFonts w:hint="default"/>
      </w:rPr>
    </w:lvl>
    <w:lvl w:ilvl="6">
      <w:start w:val="0"/>
      <w:numFmt w:val="bullet"/>
      <w:lvlText w:val="•"/>
      <w:lvlJc w:val="left"/>
      <w:pPr>
        <w:ind w:left="4838" w:hanging="387"/>
      </w:pPr>
      <w:rPr>
        <w:rFonts w:hint="default"/>
      </w:rPr>
    </w:lvl>
    <w:lvl w:ilvl="7">
      <w:start w:val="0"/>
      <w:numFmt w:val="bullet"/>
      <w:lvlText w:val="•"/>
      <w:lvlJc w:val="left"/>
      <w:pPr>
        <w:ind w:left="5526" w:hanging="387"/>
      </w:pPr>
      <w:rPr>
        <w:rFonts w:hint="default"/>
      </w:rPr>
    </w:lvl>
    <w:lvl w:ilvl="8">
      <w:start w:val="0"/>
      <w:numFmt w:val="bullet"/>
      <w:lvlText w:val="•"/>
      <w:lvlJc w:val="left"/>
      <w:pPr>
        <w:ind w:left="6213" w:hanging="387"/>
      </w:pPr>
      <w:rPr>
        <w:rFonts w:hint="default"/>
      </w:rPr>
    </w:lvl>
  </w:abstractNum>
  <w:abstractNum w:abstractNumId="27">
    <w:multiLevelType w:val="hybridMultilevel"/>
    <w:lvl w:ilvl="0">
      <w:start w:val="1"/>
      <w:numFmt w:val="lowerLetter"/>
      <w:lvlText w:val="%1)"/>
      <w:lvlJc w:val="left"/>
      <w:pPr>
        <w:ind w:left="1366" w:hanging="387"/>
        <w:jc w:val="left"/>
      </w:pPr>
      <w:rPr>
        <w:rFonts w:hint="default" w:ascii="宋体" w:hAnsi="宋体" w:eastAsia="宋体" w:cs="宋体"/>
        <w:b/>
        <w:bCs/>
        <w:w w:val="99"/>
        <w:sz w:val="21"/>
        <w:szCs w:val="21"/>
      </w:rPr>
    </w:lvl>
    <w:lvl w:ilvl="1">
      <w:start w:val="0"/>
      <w:numFmt w:val="bullet"/>
      <w:lvlText w:val="•"/>
      <w:lvlJc w:val="left"/>
      <w:pPr>
        <w:ind w:left="1982" w:hanging="387"/>
      </w:pPr>
      <w:rPr>
        <w:rFonts w:hint="default"/>
      </w:rPr>
    </w:lvl>
    <w:lvl w:ilvl="2">
      <w:start w:val="0"/>
      <w:numFmt w:val="bullet"/>
      <w:lvlText w:val="•"/>
      <w:lvlJc w:val="left"/>
      <w:pPr>
        <w:ind w:left="2605" w:hanging="387"/>
      </w:pPr>
      <w:rPr>
        <w:rFonts w:hint="default"/>
      </w:rPr>
    </w:lvl>
    <w:lvl w:ilvl="3">
      <w:start w:val="0"/>
      <w:numFmt w:val="bullet"/>
      <w:lvlText w:val="•"/>
      <w:lvlJc w:val="left"/>
      <w:pPr>
        <w:ind w:left="3228" w:hanging="387"/>
      </w:pPr>
      <w:rPr>
        <w:rFonts w:hint="default"/>
      </w:rPr>
    </w:lvl>
    <w:lvl w:ilvl="4">
      <w:start w:val="0"/>
      <w:numFmt w:val="bullet"/>
      <w:lvlText w:val="•"/>
      <w:lvlJc w:val="left"/>
      <w:pPr>
        <w:ind w:left="3851" w:hanging="387"/>
      </w:pPr>
      <w:rPr>
        <w:rFonts w:hint="default"/>
      </w:rPr>
    </w:lvl>
    <w:lvl w:ilvl="5">
      <w:start w:val="0"/>
      <w:numFmt w:val="bullet"/>
      <w:lvlText w:val="•"/>
      <w:lvlJc w:val="left"/>
      <w:pPr>
        <w:ind w:left="4474" w:hanging="387"/>
      </w:pPr>
      <w:rPr>
        <w:rFonts w:hint="default"/>
      </w:rPr>
    </w:lvl>
    <w:lvl w:ilvl="6">
      <w:start w:val="0"/>
      <w:numFmt w:val="bullet"/>
      <w:lvlText w:val="•"/>
      <w:lvlJc w:val="left"/>
      <w:pPr>
        <w:ind w:left="5097" w:hanging="387"/>
      </w:pPr>
      <w:rPr>
        <w:rFonts w:hint="default"/>
      </w:rPr>
    </w:lvl>
    <w:lvl w:ilvl="7">
      <w:start w:val="0"/>
      <w:numFmt w:val="bullet"/>
      <w:lvlText w:val="•"/>
      <w:lvlJc w:val="left"/>
      <w:pPr>
        <w:ind w:left="5720" w:hanging="387"/>
      </w:pPr>
      <w:rPr>
        <w:rFonts w:hint="default"/>
      </w:rPr>
    </w:lvl>
    <w:lvl w:ilvl="8">
      <w:start w:val="0"/>
      <w:numFmt w:val="bullet"/>
      <w:lvlText w:val="•"/>
      <w:lvlJc w:val="left"/>
      <w:pPr>
        <w:ind w:left="6343" w:hanging="387"/>
      </w:pPr>
      <w:rPr>
        <w:rFonts w:hint="default"/>
      </w:rPr>
    </w:lvl>
  </w:abstractNum>
  <w:abstractNum w:abstractNumId="26">
    <w:multiLevelType w:val="hybridMultilevel"/>
    <w:lvl w:ilvl="0">
      <w:start w:val="1"/>
      <w:numFmt w:val="lowerLetter"/>
      <w:lvlText w:val="%1)"/>
      <w:lvlJc w:val="left"/>
      <w:pPr>
        <w:ind w:left="2929" w:hanging="387"/>
        <w:jc w:val="left"/>
      </w:pPr>
      <w:rPr>
        <w:rFonts w:hint="default" w:ascii="宋体" w:hAnsi="宋体" w:eastAsia="宋体" w:cs="宋体"/>
        <w:b/>
        <w:bCs/>
        <w:w w:val="99"/>
        <w:sz w:val="21"/>
        <w:szCs w:val="21"/>
      </w:rPr>
    </w:lvl>
    <w:lvl w:ilvl="1">
      <w:start w:val="0"/>
      <w:numFmt w:val="bullet"/>
      <w:lvlText w:val="•"/>
      <w:lvlJc w:val="left"/>
      <w:pPr>
        <w:ind w:left="3518" w:hanging="387"/>
      </w:pPr>
      <w:rPr>
        <w:rFonts w:hint="default"/>
      </w:rPr>
    </w:lvl>
    <w:lvl w:ilvl="2">
      <w:start w:val="0"/>
      <w:numFmt w:val="bullet"/>
      <w:lvlText w:val="•"/>
      <w:lvlJc w:val="left"/>
      <w:pPr>
        <w:ind w:left="4117" w:hanging="387"/>
      </w:pPr>
      <w:rPr>
        <w:rFonts w:hint="default"/>
      </w:rPr>
    </w:lvl>
    <w:lvl w:ilvl="3">
      <w:start w:val="0"/>
      <w:numFmt w:val="bullet"/>
      <w:lvlText w:val="•"/>
      <w:lvlJc w:val="left"/>
      <w:pPr>
        <w:ind w:left="4715" w:hanging="387"/>
      </w:pPr>
      <w:rPr>
        <w:rFonts w:hint="default"/>
      </w:rPr>
    </w:lvl>
    <w:lvl w:ilvl="4">
      <w:start w:val="0"/>
      <w:numFmt w:val="bullet"/>
      <w:lvlText w:val="•"/>
      <w:lvlJc w:val="left"/>
      <w:pPr>
        <w:ind w:left="5314" w:hanging="387"/>
      </w:pPr>
      <w:rPr>
        <w:rFonts w:hint="default"/>
      </w:rPr>
    </w:lvl>
    <w:lvl w:ilvl="5">
      <w:start w:val="0"/>
      <w:numFmt w:val="bullet"/>
      <w:lvlText w:val="•"/>
      <w:lvlJc w:val="left"/>
      <w:pPr>
        <w:ind w:left="5913" w:hanging="387"/>
      </w:pPr>
      <w:rPr>
        <w:rFonts w:hint="default"/>
      </w:rPr>
    </w:lvl>
    <w:lvl w:ilvl="6">
      <w:start w:val="0"/>
      <w:numFmt w:val="bullet"/>
      <w:lvlText w:val="•"/>
      <w:lvlJc w:val="left"/>
      <w:pPr>
        <w:ind w:left="6511" w:hanging="387"/>
      </w:pPr>
      <w:rPr>
        <w:rFonts w:hint="default"/>
      </w:rPr>
    </w:lvl>
    <w:lvl w:ilvl="7">
      <w:start w:val="0"/>
      <w:numFmt w:val="bullet"/>
      <w:lvlText w:val="•"/>
      <w:lvlJc w:val="left"/>
      <w:pPr>
        <w:ind w:left="7110" w:hanging="387"/>
      </w:pPr>
      <w:rPr>
        <w:rFonts w:hint="default"/>
      </w:rPr>
    </w:lvl>
    <w:lvl w:ilvl="8">
      <w:start w:val="0"/>
      <w:numFmt w:val="bullet"/>
      <w:lvlText w:val="•"/>
      <w:lvlJc w:val="left"/>
      <w:pPr>
        <w:ind w:left="7709" w:hanging="387"/>
      </w:pPr>
      <w:rPr>
        <w:rFonts w:hint="default"/>
      </w:rPr>
    </w:lvl>
  </w:abstractNum>
  <w:abstractNum w:abstractNumId="25">
    <w:multiLevelType w:val="hybridMultilevel"/>
    <w:lvl w:ilvl="0">
      <w:start w:val="2"/>
      <w:numFmt w:val="decimal"/>
      <w:lvlText w:val="%1."/>
      <w:lvlJc w:val="left"/>
      <w:pPr>
        <w:ind w:left="1865" w:hanging="421"/>
        <w:jc w:val="left"/>
      </w:pPr>
      <w:rPr>
        <w:rFonts w:hint="default" w:ascii="宋体" w:hAnsi="宋体" w:eastAsia="宋体" w:cs="宋体"/>
        <w:w w:val="100"/>
        <w:sz w:val="21"/>
        <w:szCs w:val="21"/>
      </w:rPr>
    </w:lvl>
    <w:lvl w:ilvl="1">
      <w:start w:val="1"/>
      <w:numFmt w:val="lowerLetter"/>
      <w:lvlText w:val="%2)"/>
      <w:lvlJc w:val="left"/>
      <w:pPr>
        <w:ind w:left="2962" w:hanging="394"/>
        <w:jc w:val="left"/>
      </w:pPr>
      <w:rPr>
        <w:rFonts w:hint="default" w:ascii="宋体" w:hAnsi="宋体" w:eastAsia="宋体" w:cs="宋体"/>
        <w:w w:val="100"/>
        <w:sz w:val="21"/>
        <w:szCs w:val="21"/>
      </w:rPr>
    </w:lvl>
    <w:lvl w:ilvl="2">
      <w:start w:val="0"/>
      <w:numFmt w:val="bullet"/>
      <w:lvlText w:val="•"/>
      <w:lvlJc w:val="left"/>
      <w:pPr>
        <w:ind w:left="2920" w:hanging="394"/>
      </w:pPr>
      <w:rPr>
        <w:rFonts w:hint="default"/>
      </w:rPr>
    </w:lvl>
    <w:lvl w:ilvl="3">
      <w:start w:val="0"/>
      <w:numFmt w:val="bullet"/>
      <w:lvlText w:val="•"/>
      <w:lvlJc w:val="left"/>
      <w:pPr>
        <w:ind w:left="2960" w:hanging="394"/>
      </w:pPr>
      <w:rPr>
        <w:rFonts w:hint="default"/>
      </w:rPr>
    </w:lvl>
    <w:lvl w:ilvl="4">
      <w:start w:val="0"/>
      <w:numFmt w:val="bullet"/>
      <w:lvlText w:val="•"/>
      <w:lvlJc w:val="left"/>
      <w:pPr>
        <w:ind w:left="3792" w:hanging="394"/>
      </w:pPr>
      <w:rPr>
        <w:rFonts w:hint="default"/>
      </w:rPr>
    </w:lvl>
    <w:lvl w:ilvl="5">
      <w:start w:val="0"/>
      <w:numFmt w:val="bullet"/>
      <w:lvlText w:val="•"/>
      <w:lvlJc w:val="left"/>
      <w:pPr>
        <w:ind w:left="4624" w:hanging="394"/>
      </w:pPr>
      <w:rPr>
        <w:rFonts w:hint="default"/>
      </w:rPr>
    </w:lvl>
    <w:lvl w:ilvl="6">
      <w:start w:val="0"/>
      <w:numFmt w:val="bullet"/>
      <w:lvlText w:val="•"/>
      <w:lvlJc w:val="left"/>
      <w:pPr>
        <w:ind w:left="5457" w:hanging="394"/>
      </w:pPr>
      <w:rPr>
        <w:rFonts w:hint="default"/>
      </w:rPr>
    </w:lvl>
    <w:lvl w:ilvl="7">
      <w:start w:val="0"/>
      <w:numFmt w:val="bullet"/>
      <w:lvlText w:val="•"/>
      <w:lvlJc w:val="left"/>
      <w:pPr>
        <w:ind w:left="6289" w:hanging="394"/>
      </w:pPr>
      <w:rPr>
        <w:rFonts w:hint="default"/>
      </w:rPr>
    </w:lvl>
    <w:lvl w:ilvl="8">
      <w:start w:val="0"/>
      <w:numFmt w:val="bullet"/>
      <w:lvlText w:val="•"/>
      <w:lvlJc w:val="left"/>
      <w:pPr>
        <w:ind w:left="7121" w:hanging="394"/>
      </w:pPr>
      <w:rPr>
        <w:rFonts w:hint="default"/>
      </w:rPr>
    </w:lvl>
  </w:abstractNum>
  <w:abstractNum w:abstractNumId="24">
    <w:multiLevelType w:val="hybridMultilevel"/>
    <w:lvl w:ilvl="0">
      <w:start w:val="1"/>
      <w:numFmt w:val="lowerLetter"/>
      <w:lvlText w:val="%1)"/>
      <w:lvlJc w:val="left"/>
      <w:pPr>
        <w:ind w:left="2962" w:hanging="394"/>
        <w:jc w:val="left"/>
      </w:pPr>
      <w:rPr>
        <w:rFonts w:hint="default" w:ascii="宋体" w:hAnsi="宋体" w:eastAsia="宋体" w:cs="宋体"/>
        <w:b/>
        <w:bCs/>
        <w:w w:val="99"/>
        <w:sz w:val="21"/>
        <w:szCs w:val="21"/>
      </w:rPr>
    </w:lvl>
    <w:lvl w:ilvl="1">
      <w:start w:val="0"/>
      <w:numFmt w:val="bullet"/>
      <w:lvlText w:val="•"/>
      <w:lvlJc w:val="left"/>
      <w:pPr>
        <w:ind w:left="3546" w:hanging="394"/>
      </w:pPr>
      <w:rPr>
        <w:rFonts w:hint="default"/>
      </w:rPr>
    </w:lvl>
    <w:lvl w:ilvl="2">
      <w:start w:val="0"/>
      <w:numFmt w:val="bullet"/>
      <w:lvlText w:val="•"/>
      <w:lvlJc w:val="left"/>
      <w:pPr>
        <w:ind w:left="4133" w:hanging="394"/>
      </w:pPr>
      <w:rPr>
        <w:rFonts w:hint="default"/>
      </w:rPr>
    </w:lvl>
    <w:lvl w:ilvl="3">
      <w:start w:val="0"/>
      <w:numFmt w:val="bullet"/>
      <w:lvlText w:val="•"/>
      <w:lvlJc w:val="left"/>
      <w:pPr>
        <w:ind w:left="4719" w:hanging="394"/>
      </w:pPr>
      <w:rPr>
        <w:rFonts w:hint="default"/>
      </w:rPr>
    </w:lvl>
    <w:lvl w:ilvl="4">
      <w:start w:val="0"/>
      <w:numFmt w:val="bullet"/>
      <w:lvlText w:val="•"/>
      <w:lvlJc w:val="left"/>
      <w:pPr>
        <w:ind w:left="5306" w:hanging="394"/>
      </w:pPr>
      <w:rPr>
        <w:rFonts w:hint="default"/>
      </w:rPr>
    </w:lvl>
    <w:lvl w:ilvl="5">
      <w:start w:val="0"/>
      <w:numFmt w:val="bullet"/>
      <w:lvlText w:val="•"/>
      <w:lvlJc w:val="left"/>
      <w:pPr>
        <w:ind w:left="5893" w:hanging="394"/>
      </w:pPr>
      <w:rPr>
        <w:rFonts w:hint="default"/>
      </w:rPr>
    </w:lvl>
    <w:lvl w:ilvl="6">
      <w:start w:val="0"/>
      <w:numFmt w:val="bullet"/>
      <w:lvlText w:val="•"/>
      <w:lvlJc w:val="left"/>
      <w:pPr>
        <w:ind w:left="6479" w:hanging="394"/>
      </w:pPr>
      <w:rPr>
        <w:rFonts w:hint="default"/>
      </w:rPr>
    </w:lvl>
    <w:lvl w:ilvl="7">
      <w:start w:val="0"/>
      <w:numFmt w:val="bullet"/>
      <w:lvlText w:val="•"/>
      <w:lvlJc w:val="left"/>
      <w:pPr>
        <w:ind w:left="7066" w:hanging="394"/>
      </w:pPr>
      <w:rPr>
        <w:rFonts w:hint="default"/>
      </w:rPr>
    </w:lvl>
    <w:lvl w:ilvl="8">
      <w:start w:val="0"/>
      <w:numFmt w:val="bullet"/>
      <w:lvlText w:val="•"/>
      <w:lvlJc w:val="left"/>
      <w:pPr>
        <w:ind w:left="7653" w:hanging="394"/>
      </w:pPr>
      <w:rPr>
        <w:rFonts w:hint="default"/>
      </w:rPr>
    </w:lvl>
  </w:abstractNum>
  <w:abstractNum w:abstractNumId="23">
    <w:multiLevelType w:val="hybridMultilevel"/>
    <w:lvl w:ilvl="0">
      <w:start w:val="46"/>
      <w:numFmt w:val="decimal"/>
      <w:lvlText w:val="%1."/>
      <w:lvlJc w:val="left"/>
      <w:pPr>
        <w:ind w:left="745" w:hanging="421"/>
        <w:jc w:val="left"/>
      </w:pPr>
      <w:rPr>
        <w:rFonts w:hint="default" w:ascii="宋体" w:hAnsi="宋体" w:eastAsia="宋体" w:cs="宋体"/>
        <w:w w:val="100"/>
        <w:sz w:val="21"/>
        <w:szCs w:val="21"/>
      </w:rPr>
    </w:lvl>
    <w:lvl w:ilvl="1">
      <w:start w:val="0"/>
      <w:numFmt w:val="bullet"/>
      <w:lvlText w:val="•"/>
      <w:lvlJc w:val="left"/>
      <w:pPr>
        <w:ind w:left="1422" w:hanging="421"/>
      </w:pPr>
      <w:rPr>
        <w:rFonts w:hint="default"/>
      </w:rPr>
    </w:lvl>
    <w:lvl w:ilvl="2">
      <w:start w:val="0"/>
      <w:numFmt w:val="bullet"/>
      <w:lvlText w:val="•"/>
      <w:lvlJc w:val="left"/>
      <w:pPr>
        <w:ind w:left="2104" w:hanging="421"/>
      </w:pPr>
      <w:rPr>
        <w:rFonts w:hint="default"/>
      </w:rPr>
    </w:lvl>
    <w:lvl w:ilvl="3">
      <w:start w:val="0"/>
      <w:numFmt w:val="bullet"/>
      <w:lvlText w:val="•"/>
      <w:lvlJc w:val="left"/>
      <w:pPr>
        <w:ind w:left="2787" w:hanging="421"/>
      </w:pPr>
      <w:rPr>
        <w:rFonts w:hint="default"/>
      </w:rPr>
    </w:lvl>
    <w:lvl w:ilvl="4">
      <w:start w:val="0"/>
      <w:numFmt w:val="bullet"/>
      <w:lvlText w:val="•"/>
      <w:lvlJc w:val="left"/>
      <w:pPr>
        <w:ind w:left="3469" w:hanging="421"/>
      </w:pPr>
      <w:rPr>
        <w:rFonts w:hint="default"/>
      </w:rPr>
    </w:lvl>
    <w:lvl w:ilvl="5">
      <w:start w:val="0"/>
      <w:numFmt w:val="bullet"/>
      <w:lvlText w:val="•"/>
      <w:lvlJc w:val="left"/>
      <w:pPr>
        <w:ind w:left="4152" w:hanging="421"/>
      </w:pPr>
      <w:rPr>
        <w:rFonts w:hint="default"/>
      </w:rPr>
    </w:lvl>
    <w:lvl w:ilvl="6">
      <w:start w:val="0"/>
      <w:numFmt w:val="bullet"/>
      <w:lvlText w:val="•"/>
      <w:lvlJc w:val="left"/>
      <w:pPr>
        <w:ind w:left="4834" w:hanging="421"/>
      </w:pPr>
      <w:rPr>
        <w:rFonts w:hint="default"/>
      </w:rPr>
    </w:lvl>
    <w:lvl w:ilvl="7">
      <w:start w:val="0"/>
      <w:numFmt w:val="bullet"/>
      <w:lvlText w:val="•"/>
      <w:lvlJc w:val="left"/>
      <w:pPr>
        <w:ind w:left="5516" w:hanging="421"/>
      </w:pPr>
      <w:rPr>
        <w:rFonts w:hint="default"/>
      </w:rPr>
    </w:lvl>
    <w:lvl w:ilvl="8">
      <w:start w:val="0"/>
      <w:numFmt w:val="bullet"/>
      <w:lvlText w:val="•"/>
      <w:lvlJc w:val="left"/>
      <w:pPr>
        <w:ind w:left="6199" w:hanging="421"/>
      </w:pPr>
      <w:rPr>
        <w:rFonts w:hint="default"/>
      </w:rPr>
    </w:lvl>
  </w:abstractNum>
  <w:abstractNum w:abstractNumId="22">
    <w:multiLevelType w:val="hybridMultilevel"/>
    <w:lvl w:ilvl="0">
      <w:start w:val="4"/>
      <w:numFmt w:val="lowerLetter"/>
      <w:lvlText w:val="%1)"/>
      <w:lvlJc w:val="left"/>
      <w:pPr>
        <w:ind w:left="1585" w:hanging="420"/>
        <w:jc w:val="left"/>
      </w:pPr>
      <w:rPr>
        <w:rFonts w:hint="default" w:ascii="宋体" w:hAnsi="宋体" w:eastAsia="宋体" w:cs="宋体"/>
        <w:w w:val="100"/>
        <w:sz w:val="21"/>
        <w:szCs w:val="21"/>
      </w:rPr>
    </w:lvl>
    <w:lvl w:ilvl="1">
      <w:start w:val="0"/>
      <w:numFmt w:val="bullet"/>
      <w:lvlText w:val="•"/>
      <w:lvlJc w:val="left"/>
      <w:pPr>
        <w:ind w:left="2178" w:hanging="420"/>
      </w:pPr>
      <w:rPr>
        <w:rFonts w:hint="default"/>
      </w:rPr>
    </w:lvl>
    <w:lvl w:ilvl="2">
      <w:start w:val="0"/>
      <w:numFmt w:val="bullet"/>
      <w:lvlText w:val="•"/>
      <w:lvlJc w:val="left"/>
      <w:pPr>
        <w:ind w:left="2776" w:hanging="420"/>
      </w:pPr>
      <w:rPr>
        <w:rFonts w:hint="default"/>
      </w:rPr>
    </w:lvl>
    <w:lvl w:ilvl="3">
      <w:start w:val="0"/>
      <w:numFmt w:val="bullet"/>
      <w:lvlText w:val="•"/>
      <w:lvlJc w:val="left"/>
      <w:pPr>
        <w:ind w:left="3375" w:hanging="420"/>
      </w:pPr>
      <w:rPr>
        <w:rFonts w:hint="default"/>
      </w:rPr>
    </w:lvl>
    <w:lvl w:ilvl="4">
      <w:start w:val="0"/>
      <w:numFmt w:val="bullet"/>
      <w:lvlText w:val="•"/>
      <w:lvlJc w:val="left"/>
      <w:pPr>
        <w:ind w:left="3973" w:hanging="420"/>
      </w:pPr>
      <w:rPr>
        <w:rFonts w:hint="default"/>
      </w:rPr>
    </w:lvl>
    <w:lvl w:ilvl="5">
      <w:start w:val="0"/>
      <w:numFmt w:val="bullet"/>
      <w:lvlText w:val="•"/>
      <w:lvlJc w:val="left"/>
      <w:pPr>
        <w:ind w:left="4572" w:hanging="420"/>
      </w:pPr>
      <w:rPr>
        <w:rFonts w:hint="default"/>
      </w:rPr>
    </w:lvl>
    <w:lvl w:ilvl="6">
      <w:start w:val="0"/>
      <w:numFmt w:val="bullet"/>
      <w:lvlText w:val="•"/>
      <w:lvlJc w:val="left"/>
      <w:pPr>
        <w:ind w:left="5170" w:hanging="420"/>
      </w:pPr>
      <w:rPr>
        <w:rFonts w:hint="default"/>
      </w:rPr>
    </w:lvl>
    <w:lvl w:ilvl="7">
      <w:start w:val="0"/>
      <w:numFmt w:val="bullet"/>
      <w:lvlText w:val="•"/>
      <w:lvlJc w:val="left"/>
      <w:pPr>
        <w:ind w:left="5768" w:hanging="420"/>
      </w:pPr>
      <w:rPr>
        <w:rFonts w:hint="default"/>
      </w:rPr>
    </w:lvl>
    <w:lvl w:ilvl="8">
      <w:start w:val="0"/>
      <w:numFmt w:val="bullet"/>
      <w:lvlText w:val="•"/>
      <w:lvlJc w:val="left"/>
      <w:pPr>
        <w:ind w:left="6367" w:hanging="420"/>
      </w:pPr>
      <w:rPr>
        <w:rFonts w:hint="default"/>
      </w:rPr>
    </w:lvl>
  </w:abstractNum>
  <w:abstractNum w:abstractNumId="21">
    <w:multiLevelType w:val="hybridMultilevel"/>
    <w:lvl w:ilvl="0">
      <w:start w:val="1"/>
      <w:numFmt w:val="lowerLetter"/>
      <w:lvlText w:val="%1)"/>
      <w:lvlJc w:val="left"/>
      <w:pPr>
        <w:ind w:left="2929" w:hanging="420"/>
        <w:jc w:val="left"/>
      </w:pPr>
      <w:rPr>
        <w:rFonts w:hint="default" w:ascii="宋体" w:hAnsi="宋体" w:eastAsia="宋体" w:cs="宋体"/>
        <w:b/>
        <w:bCs/>
        <w:w w:val="99"/>
        <w:sz w:val="21"/>
        <w:szCs w:val="21"/>
      </w:rPr>
    </w:lvl>
    <w:lvl w:ilvl="1">
      <w:start w:val="0"/>
      <w:numFmt w:val="bullet"/>
      <w:lvlText w:val="•"/>
      <w:lvlJc w:val="left"/>
      <w:pPr>
        <w:ind w:left="3506" w:hanging="420"/>
      </w:pPr>
      <w:rPr>
        <w:rFonts w:hint="default"/>
      </w:rPr>
    </w:lvl>
    <w:lvl w:ilvl="2">
      <w:start w:val="0"/>
      <w:numFmt w:val="bullet"/>
      <w:lvlText w:val="•"/>
      <w:lvlJc w:val="left"/>
      <w:pPr>
        <w:ind w:left="4093" w:hanging="420"/>
      </w:pPr>
      <w:rPr>
        <w:rFonts w:hint="default"/>
      </w:rPr>
    </w:lvl>
    <w:lvl w:ilvl="3">
      <w:start w:val="0"/>
      <w:numFmt w:val="bullet"/>
      <w:lvlText w:val="•"/>
      <w:lvlJc w:val="left"/>
      <w:pPr>
        <w:ind w:left="4679" w:hanging="420"/>
      </w:pPr>
      <w:rPr>
        <w:rFonts w:hint="default"/>
      </w:rPr>
    </w:lvl>
    <w:lvl w:ilvl="4">
      <w:start w:val="0"/>
      <w:numFmt w:val="bullet"/>
      <w:lvlText w:val="•"/>
      <w:lvlJc w:val="left"/>
      <w:pPr>
        <w:ind w:left="5266" w:hanging="420"/>
      </w:pPr>
      <w:rPr>
        <w:rFonts w:hint="default"/>
      </w:rPr>
    </w:lvl>
    <w:lvl w:ilvl="5">
      <w:start w:val="0"/>
      <w:numFmt w:val="bullet"/>
      <w:lvlText w:val="•"/>
      <w:lvlJc w:val="left"/>
      <w:pPr>
        <w:ind w:left="5853" w:hanging="420"/>
      </w:pPr>
      <w:rPr>
        <w:rFonts w:hint="default"/>
      </w:rPr>
    </w:lvl>
    <w:lvl w:ilvl="6">
      <w:start w:val="0"/>
      <w:numFmt w:val="bullet"/>
      <w:lvlText w:val="•"/>
      <w:lvlJc w:val="left"/>
      <w:pPr>
        <w:ind w:left="6439" w:hanging="420"/>
      </w:pPr>
      <w:rPr>
        <w:rFonts w:hint="default"/>
      </w:rPr>
    </w:lvl>
    <w:lvl w:ilvl="7">
      <w:start w:val="0"/>
      <w:numFmt w:val="bullet"/>
      <w:lvlText w:val="•"/>
      <w:lvlJc w:val="left"/>
      <w:pPr>
        <w:ind w:left="7026" w:hanging="420"/>
      </w:pPr>
      <w:rPr>
        <w:rFonts w:hint="default"/>
      </w:rPr>
    </w:lvl>
    <w:lvl w:ilvl="8">
      <w:start w:val="0"/>
      <w:numFmt w:val="bullet"/>
      <w:lvlText w:val="•"/>
      <w:lvlJc w:val="left"/>
      <w:pPr>
        <w:ind w:left="7613" w:hanging="420"/>
      </w:pPr>
      <w:rPr>
        <w:rFonts w:hint="default"/>
      </w:rPr>
    </w:lvl>
  </w:abstractNum>
  <w:abstractNum w:abstractNumId="20">
    <w:multiLevelType w:val="hybridMultilevel"/>
    <w:lvl w:ilvl="0">
      <w:start w:val="0"/>
      <w:numFmt w:val="decimal"/>
      <w:lvlText w:val="%1"/>
      <w:lvlJc w:val="left"/>
      <w:pPr>
        <w:ind w:left="2247" w:hanging="159"/>
        <w:jc w:val="left"/>
      </w:pPr>
      <w:rPr>
        <w:rFonts w:hint="default" w:ascii="宋体" w:hAnsi="宋体" w:eastAsia="宋体" w:cs="宋体"/>
        <w:w w:val="100"/>
        <w:sz w:val="21"/>
        <w:szCs w:val="21"/>
      </w:rPr>
    </w:lvl>
    <w:lvl w:ilvl="1">
      <w:start w:val="0"/>
      <w:numFmt w:val="bullet"/>
      <w:lvlText w:val="•"/>
      <w:lvlJc w:val="left"/>
      <w:pPr>
        <w:ind w:left="2902" w:hanging="159"/>
      </w:pPr>
      <w:rPr>
        <w:rFonts w:hint="default"/>
      </w:rPr>
    </w:lvl>
    <w:lvl w:ilvl="2">
      <w:start w:val="0"/>
      <w:numFmt w:val="bullet"/>
      <w:lvlText w:val="•"/>
      <w:lvlJc w:val="left"/>
      <w:pPr>
        <w:ind w:left="3565" w:hanging="159"/>
      </w:pPr>
      <w:rPr>
        <w:rFonts w:hint="default"/>
      </w:rPr>
    </w:lvl>
    <w:lvl w:ilvl="3">
      <w:start w:val="0"/>
      <w:numFmt w:val="bullet"/>
      <w:lvlText w:val="•"/>
      <w:lvlJc w:val="left"/>
      <w:pPr>
        <w:ind w:left="4227" w:hanging="159"/>
      </w:pPr>
      <w:rPr>
        <w:rFonts w:hint="default"/>
      </w:rPr>
    </w:lvl>
    <w:lvl w:ilvl="4">
      <w:start w:val="0"/>
      <w:numFmt w:val="bullet"/>
      <w:lvlText w:val="•"/>
      <w:lvlJc w:val="left"/>
      <w:pPr>
        <w:ind w:left="4890" w:hanging="159"/>
      </w:pPr>
      <w:rPr>
        <w:rFonts w:hint="default"/>
      </w:rPr>
    </w:lvl>
    <w:lvl w:ilvl="5">
      <w:start w:val="0"/>
      <w:numFmt w:val="bullet"/>
      <w:lvlText w:val="•"/>
      <w:lvlJc w:val="left"/>
      <w:pPr>
        <w:ind w:left="5553" w:hanging="159"/>
      </w:pPr>
      <w:rPr>
        <w:rFonts w:hint="default"/>
      </w:rPr>
    </w:lvl>
    <w:lvl w:ilvl="6">
      <w:start w:val="0"/>
      <w:numFmt w:val="bullet"/>
      <w:lvlText w:val="•"/>
      <w:lvlJc w:val="left"/>
      <w:pPr>
        <w:ind w:left="6215" w:hanging="159"/>
      </w:pPr>
      <w:rPr>
        <w:rFonts w:hint="default"/>
      </w:rPr>
    </w:lvl>
    <w:lvl w:ilvl="7">
      <w:start w:val="0"/>
      <w:numFmt w:val="bullet"/>
      <w:lvlText w:val="•"/>
      <w:lvlJc w:val="left"/>
      <w:pPr>
        <w:ind w:left="6878" w:hanging="159"/>
      </w:pPr>
      <w:rPr>
        <w:rFonts w:hint="default"/>
      </w:rPr>
    </w:lvl>
    <w:lvl w:ilvl="8">
      <w:start w:val="0"/>
      <w:numFmt w:val="bullet"/>
      <w:lvlText w:val="•"/>
      <w:lvlJc w:val="left"/>
      <w:pPr>
        <w:ind w:left="7541" w:hanging="159"/>
      </w:pPr>
      <w:rPr>
        <w:rFonts w:hint="default"/>
      </w:rPr>
    </w:lvl>
  </w:abstractNum>
  <w:abstractNum w:abstractNumId="19">
    <w:multiLevelType w:val="hybridMultilevel"/>
    <w:lvl w:ilvl="0">
      <w:start w:val="4"/>
      <w:numFmt w:val="decimal"/>
      <w:lvlText w:val="%1."/>
      <w:lvlJc w:val="left"/>
      <w:pPr>
        <w:ind w:left="2089" w:hanging="421"/>
        <w:jc w:val="left"/>
      </w:pPr>
      <w:rPr>
        <w:rFonts w:hint="default" w:ascii="宋体" w:hAnsi="宋体" w:eastAsia="宋体" w:cs="宋体"/>
        <w:w w:val="100"/>
        <w:sz w:val="21"/>
        <w:szCs w:val="21"/>
      </w:rPr>
    </w:lvl>
    <w:lvl w:ilvl="1">
      <w:start w:val="1"/>
      <w:numFmt w:val="lowerLetter"/>
      <w:lvlText w:val="%2)"/>
      <w:lvlJc w:val="left"/>
      <w:pPr>
        <w:ind w:left="2929" w:hanging="420"/>
        <w:jc w:val="left"/>
      </w:pPr>
      <w:rPr>
        <w:rFonts w:hint="default" w:ascii="宋体" w:hAnsi="宋体" w:eastAsia="宋体" w:cs="宋体"/>
        <w:w w:val="100"/>
        <w:sz w:val="21"/>
        <w:szCs w:val="21"/>
      </w:rPr>
    </w:lvl>
    <w:lvl w:ilvl="2">
      <w:start w:val="0"/>
      <w:numFmt w:val="bullet"/>
      <w:lvlText w:val="•"/>
      <w:lvlJc w:val="left"/>
      <w:pPr>
        <w:ind w:left="3040" w:hanging="420"/>
      </w:pPr>
      <w:rPr>
        <w:rFonts w:hint="default"/>
      </w:rPr>
    </w:lvl>
    <w:lvl w:ilvl="3">
      <w:start w:val="0"/>
      <w:numFmt w:val="bullet"/>
      <w:lvlText w:val="•"/>
      <w:lvlJc w:val="left"/>
      <w:pPr>
        <w:ind w:left="3758" w:hanging="420"/>
      </w:pPr>
      <w:rPr>
        <w:rFonts w:hint="default"/>
      </w:rPr>
    </w:lvl>
    <w:lvl w:ilvl="4">
      <w:start w:val="0"/>
      <w:numFmt w:val="bullet"/>
      <w:lvlText w:val="•"/>
      <w:lvlJc w:val="left"/>
      <w:pPr>
        <w:ind w:left="4476" w:hanging="420"/>
      </w:pPr>
      <w:rPr>
        <w:rFonts w:hint="default"/>
      </w:rPr>
    </w:lvl>
    <w:lvl w:ilvl="5">
      <w:start w:val="0"/>
      <w:numFmt w:val="bullet"/>
      <w:lvlText w:val="•"/>
      <w:lvlJc w:val="left"/>
      <w:pPr>
        <w:ind w:left="5194" w:hanging="420"/>
      </w:pPr>
      <w:rPr>
        <w:rFonts w:hint="default"/>
      </w:rPr>
    </w:lvl>
    <w:lvl w:ilvl="6">
      <w:start w:val="0"/>
      <w:numFmt w:val="bullet"/>
      <w:lvlText w:val="•"/>
      <w:lvlJc w:val="left"/>
      <w:pPr>
        <w:ind w:left="5913" w:hanging="420"/>
      </w:pPr>
      <w:rPr>
        <w:rFonts w:hint="default"/>
      </w:rPr>
    </w:lvl>
    <w:lvl w:ilvl="7">
      <w:start w:val="0"/>
      <w:numFmt w:val="bullet"/>
      <w:lvlText w:val="•"/>
      <w:lvlJc w:val="left"/>
      <w:pPr>
        <w:ind w:left="6631" w:hanging="420"/>
      </w:pPr>
      <w:rPr>
        <w:rFonts w:hint="default"/>
      </w:rPr>
    </w:lvl>
    <w:lvl w:ilvl="8">
      <w:start w:val="0"/>
      <w:numFmt w:val="bullet"/>
      <w:lvlText w:val="•"/>
      <w:lvlJc w:val="left"/>
      <w:pPr>
        <w:ind w:left="7349" w:hanging="420"/>
      </w:pPr>
      <w:rPr>
        <w:rFonts w:hint="default"/>
      </w:rPr>
    </w:lvl>
  </w:abstractNum>
  <w:abstractNum w:abstractNumId="18">
    <w:multiLevelType w:val="hybridMultilevel"/>
    <w:lvl w:ilvl="0">
      <w:start w:val="1"/>
      <w:numFmt w:val="lowerLetter"/>
      <w:lvlText w:val="%1)"/>
      <w:lvlJc w:val="left"/>
      <w:pPr>
        <w:ind w:left="2929" w:hanging="420"/>
        <w:jc w:val="left"/>
      </w:pPr>
      <w:rPr>
        <w:rFonts w:hint="default" w:ascii="宋体" w:hAnsi="宋体" w:eastAsia="宋体" w:cs="宋体"/>
        <w:b/>
        <w:bCs/>
        <w:w w:val="99"/>
        <w:sz w:val="21"/>
        <w:szCs w:val="21"/>
      </w:rPr>
    </w:lvl>
    <w:lvl w:ilvl="1">
      <w:start w:val="0"/>
      <w:numFmt w:val="bullet"/>
      <w:lvlText w:val="•"/>
      <w:lvlJc w:val="left"/>
      <w:pPr>
        <w:ind w:left="3514" w:hanging="420"/>
      </w:pPr>
      <w:rPr>
        <w:rFonts w:hint="default"/>
      </w:rPr>
    </w:lvl>
    <w:lvl w:ilvl="2">
      <w:start w:val="0"/>
      <w:numFmt w:val="bullet"/>
      <w:lvlText w:val="•"/>
      <w:lvlJc w:val="left"/>
      <w:pPr>
        <w:ind w:left="4109" w:hanging="420"/>
      </w:pPr>
      <w:rPr>
        <w:rFonts w:hint="default"/>
      </w:rPr>
    </w:lvl>
    <w:lvl w:ilvl="3">
      <w:start w:val="0"/>
      <w:numFmt w:val="bullet"/>
      <w:lvlText w:val="•"/>
      <w:lvlJc w:val="left"/>
      <w:pPr>
        <w:ind w:left="4703" w:hanging="420"/>
      </w:pPr>
      <w:rPr>
        <w:rFonts w:hint="default"/>
      </w:rPr>
    </w:lvl>
    <w:lvl w:ilvl="4">
      <w:start w:val="0"/>
      <w:numFmt w:val="bullet"/>
      <w:lvlText w:val="•"/>
      <w:lvlJc w:val="left"/>
      <w:pPr>
        <w:ind w:left="5298" w:hanging="420"/>
      </w:pPr>
      <w:rPr>
        <w:rFonts w:hint="default"/>
      </w:rPr>
    </w:lvl>
    <w:lvl w:ilvl="5">
      <w:start w:val="0"/>
      <w:numFmt w:val="bullet"/>
      <w:lvlText w:val="•"/>
      <w:lvlJc w:val="left"/>
      <w:pPr>
        <w:ind w:left="5893" w:hanging="420"/>
      </w:pPr>
      <w:rPr>
        <w:rFonts w:hint="default"/>
      </w:rPr>
    </w:lvl>
    <w:lvl w:ilvl="6">
      <w:start w:val="0"/>
      <w:numFmt w:val="bullet"/>
      <w:lvlText w:val="•"/>
      <w:lvlJc w:val="left"/>
      <w:pPr>
        <w:ind w:left="6487" w:hanging="420"/>
      </w:pPr>
      <w:rPr>
        <w:rFonts w:hint="default"/>
      </w:rPr>
    </w:lvl>
    <w:lvl w:ilvl="7">
      <w:start w:val="0"/>
      <w:numFmt w:val="bullet"/>
      <w:lvlText w:val="•"/>
      <w:lvlJc w:val="left"/>
      <w:pPr>
        <w:ind w:left="7082" w:hanging="420"/>
      </w:pPr>
      <w:rPr>
        <w:rFonts w:hint="default"/>
      </w:rPr>
    </w:lvl>
    <w:lvl w:ilvl="8">
      <w:start w:val="0"/>
      <w:numFmt w:val="bullet"/>
      <w:lvlText w:val="•"/>
      <w:lvlJc w:val="left"/>
      <w:pPr>
        <w:ind w:left="7677" w:hanging="420"/>
      </w:pPr>
      <w:rPr>
        <w:rFonts w:hint="default"/>
      </w:rPr>
    </w:lvl>
  </w:abstractNum>
  <w:abstractNum w:abstractNumId="17">
    <w:multiLevelType w:val="hybridMultilevel"/>
    <w:lvl w:ilvl="0">
      <w:start w:val="1"/>
      <w:numFmt w:val="decimal"/>
      <w:lvlText w:val="%1."/>
      <w:lvlJc w:val="left"/>
      <w:pPr>
        <w:ind w:left="550" w:hanging="421"/>
        <w:jc w:val="left"/>
      </w:pPr>
      <w:rPr>
        <w:rFonts w:hint="default" w:ascii="宋体" w:hAnsi="宋体" w:eastAsia="宋体" w:cs="宋体"/>
        <w:w w:val="100"/>
        <w:sz w:val="21"/>
        <w:szCs w:val="21"/>
      </w:rPr>
    </w:lvl>
    <w:lvl w:ilvl="1">
      <w:start w:val="1"/>
      <w:numFmt w:val="lowerLetter"/>
      <w:lvlText w:val="%2)"/>
      <w:lvlJc w:val="left"/>
      <w:pPr>
        <w:ind w:left="1390" w:hanging="420"/>
        <w:jc w:val="left"/>
      </w:pPr>
      <w:rPr>
        <w:rFonts w:hint="default" w:ascii="宋体" w:hAnsi="宋体" w:eastAsia="宋体" w:cs="宋体"/>
        <w:w w:val="100"/>
        <w:sz w:val="21"/>
        <w:szCs w:val="21"/>
      </w:rPr>
    </w:lvl>
    <w:lvl w:ilvl="2">
      <w:start w:val="0"/>
      <w:numFmt w:val="bullet"/>
      <w:lvlText w:val="•"/>
      <w:lvlJc w:val="left"/>
      <w:pPr>
        <w:ind w:left="2083" w:hanging="420"/>
      </w:pPr>
      <w:rPr>
        <w:rFonts w:hint="default"/>
      </w:rPr>
    </w:lvl>
    <w:lvl w:ilvl="3">
      <w:start w:val="0"/>
      <w:numFmt w:val="bullet"/>
      <w:lvlText w:val="•"/>
      <w:lvlJc w:val="left"/>
      <w:pPr>
        <w:ind w:left="2766" w:hanging="420"/>
      </w:pPr>
      <w:rPr>
        <w:rFonts w:hint="default"/>
      </w:rPr>
    </w:lvl>
    <w:lvl w:ilvl="4">
      <w:start w:val="0"/>
      <w:numFmt w:val="bullet"/>
      <w:lvlText w:val="•"/>
      <w:lvlJc w:val="left"/>
      <w:pPr>
        <w:ind w:left="3450" w:hanging="420"/>
      </w:pPr>
      <w:rPr>
        <w:rFonts w:hint="default"/>
      </w:rPr>
    </w:lvl>
    <w:lvl w:ilvl="5">
      <w:start w:val="0"/>
      <w:numFmt w:val="bullet"/>
      <w:lvlText w:val="•"/>
      <w:lvlJc w:val="left"/>
      <w:pPr>
        <w:ind w:left="4133" w:hanging="420"/>
      </w:pPr>
      <w:rPr>
        <w:rFonts w:hint="default"/>
      </w:rPr>
    </w:lvl>
    <w:lvl w:ilvl="6">
      <w:start w:val="0"/>
      <w:numFmt w:val="bullet"/>
      <w:lvlText w:val="•"/>
      <w:lvlJc w:val="left"/>
      <w:pPr>
        <w:ind w:left="4816" w:hanging="420"/>
      </w:pPr>
      <w:rPr>
        <w:rFonts w:hint="default"/>
      </w:rPr>
    </w:lvl>
    <w:lvl w:ilvl="7">
      <w:start w:val="0"/>
      <w:numFmt w:val="bullet"/>
      <w:lvlText w:val="•"/>
      <w:lvlJc w:val="left"/>
      <w:pPr>
        <w:ind w:left="5500" w:hanging="420"/>
      </w:pPr>
      <w:rPr>
        <w:rFonts w:hint="default"/>
      </w:rPr>
    </w:lvl>
    <w:lvl w:ilvl="8">
      <w:start w:val="0"/>
      <w:numFmt w:val="bullet"/>
      <w:lvlText w:val="•"/>
      <w:lvlJc w:val="left"/>
      <w:pPr>
        <w:ind w:left="6183" w:hanging="420"/>
      </w:pPr>
      <w:rPr>
        <w:rFonts w:hint="default"/>
      </w:rPr>
    </w:lvl>
  </w:abstractNum>
  <w:abstractNum w:abstractNumId="16">
    <w:multiLevelType w:val="hybridMultilevel"/>
    <w:lvl w:ilvl="0">
      <w:start w:val="1"/>
      <w:numFmt w:val="decimal"/>
      <w:lvlText w:val="%1."/>
      <w:lvlJc w:val="left"/>
      <w:pPr>
        <w:ind w:left="545" w:hanging="317"/>
        <w:jc w:val="left"/>
      </w:pPr>
      <w:rPr>
        <w:rFonts w:hint="default" w:ascii="宋体" w:hAnsi="宋体" w:eastAsia="宋体" w:cs="宋体"/>
        <w:w w:val="100"/>
        <w:sz w:val="21"/>
        <w:szCs w:val="21"/>
      </w:rPr>
    </w:lvl>
    <w:lvl w:ilvl="1">
      <w:start w:val="0"/>
      <w:numFmt w:val="bullet"/>
      <w:lvlText w:val="•"/>
      <w:lvlJc w:val="left"/>
      <w:pPr>
        <w:ind w:left="1243" w:hanging="317"/>
      </w:pPr>
      <w:rPr>
        <w:rFonts w:hint="default"/>
      </w:rPr>
    </w:lvl>
    <w:lvl w:ilvl="2">
      <w:start w:val="0"/>
      <w:numFmt w:val="bullet"/>
      <w:lvlText w:val="•"/>
      <w:lvlJc w:val="left"/>
      <w:pPr>
        <w:ind w:left="1946" w:hanging="317"/>
      </w:pPr>
      <w:rPr>
        <w:rFonts w:hint="default"/>
      </w:rPr>
    </w:lvl>
    <w:lvl w:ilvl="3">
      <w:start w:val="0"/>
      <w:numFmt w:val="bullet"/>
      <w:lvlText w:val="•"/>
      <w:lvlJc w:val="left"/>
      <w:pPr>
        <w:ind w:left="2649" w:hanging="317"/>
      </w:pPr>
      <w:rPr>
        <w:rFonts w:hint="default"/>
      </w:rPr>
    </w:lvl>
    <w:lvl w:ilvl="4">
      <w:start w:val="0"/>
      <w:numFmt w:val="bullet"/>
      <w:lvlText w:val="•"/>
      <w:lvlJc w:val="left"/>
      <w:pPr>
        <w:ind w:left="3353" w:hanging="317"/>
      </w:pPr>
      <w:rPr>
        <w:rFonts w:hint="default"/>
      </w:rPr>
    </w:lvl>
    <w:lvl w:ilvl="5">
      <w:start w:val="0"/>
      <w:numFmt w:val="bullet"/>
      <w:lvlText w:val="•"/>
      <w:lvlJc w:val="left"/>
      <w:pPr>
        <w:ind w:left="4056" w:hanging="317"/>
      </w:pPr>
      <w:rPr>
        <w:rFonts w:hint="default"/>
      </w:rPr>
    </w:lvl>
    <w:lvl w:ilvl="6">
      <w:start w:val="0"/>
      <w:numFmt w:val="bullet"/>
      <w:lvlText w:val="•"/>
      <w:lvlJc w:val="left"/>
      <w:pPr>
        <w:ind w:left="4759" w:hanging="317"/>
      </w:pPr>
      <w:rPr>
        <w:rFonts w:hint="default"/>
      </w:rPr>
    </w:lvl>
    <w:lvl w:ilvl="7">
      <w:start w:val="0"/>
      <w:numFmt w:val="bullet"/>
      <w:lvlText w:val="•"/>
      <w:lvlJc w:val="left"/>
      <w:pPr>
        <w:ind w:left="5463" w:hanging="317"/>
      </w:pPr>
      <w:rPr>
        <w:rFonts w:hint="default"/>
      </w:rPr>
    </w:lvl>
    <w:lvl w:ilvl="8">
      <w:start w:val="0"/>
      <w:numFmt w:val="bullet"/>
      <w:lvlText w:val="•"/>
      <w:lvlJc w:val="left"/>
      <w:pPr>
        <w:ind w:left="6166" w:hanging="317"/>
      </w:pPr>
      <w:rPr>
        <w:rFonts w:hint="default"/>
      </w:rPr>
    </w:lvl>
  </w:abstractNum>
  <w:abstractNum w:abstractNumId="15">
    <w:multiLevelType w:val="hybridMultilevel"/>
    <w:lvl w:ilvl="0">
      <w:start w:val="1"/>
      <w:numFmt w:val="decimal"/>
      <w:lvlText w:val="（%1）"/>
      <w:lvlJc w:val="left"/>
      <w:pPr>
        <w:ind w:left="1055" w:hanging="721"/>
        <w:jc w:val="left"/>
      </w:pPr>
      <w:rPr>
        <w:rFonts w:hint="default" w:ascii="宋体" w:hAnsi="宋体" w:eastAsia="宋体" w:cs="宋体"/>
        <w:w w:val="100"/>
        <w:sz w:val="21"/>
        <w:szCs w:val="21"/>
      </w:rPr>
    </w:lvl>
    <w:lvl w:ilvl="1">
      <w:start w:val="0"/>
      <w:numFmt w:val="bullet"/>
      <w:lvlText w:val="•"/>
      <w:lvlJc w:val="left"/>
      <w:pPr>
        <w:ind w:left="1721" w:hanging="721"/>
      </w:pPr>
      <w:rPr>
        <w:rFonts w:hint="default"/>
      </w:rPr>
    </w:lvl>
    <w:lvl w:ilvl="2">
      <w:start w:val="0"/>
      <w:numFmt w:val="bullet"/>
      <w:lvlText w:val="•"/>
      <w:lvlJc w:val="left"/>
      <w:pPr>
        <w:ind w:left="2382" w:hanging="721"/>
      </w:pPr>
      <w:rPr>
        <w:rFonts w:hint="default"/>
      </w:rPr>
    </w:lvl>
    <w:lvl w:ilvl="3">
      <w:start w:val="0"/>
      <w:numFmt w:val="bullet"/>
      <w:lvlText w:val="•"/>
      <w:lvlJc w:val="left"/>
      <w:pPr>
        <w:ind w:left="3044" w:hanging="721"/>
      </w:pPr>
      <w:rPr>
        <w:rFonts w:hint="default"/>
      </w:rPr>
    </w:lvl>
    <w:lvl w:ilvl="4">
      <w:start w:val="0"/>
      <w:numFmt w:val="bullet"/>
      <w:lvlText w:val="•"/>
      <w:lvlJc w:val="left"/>
      <w:pPr>
        <w:ind w:left="3705" w:hanging="721"/>
      </w:pPr>
      <w:rPr>
        <w:rFonts w:hint="default"/>
      </w:rPr>
    </w:lvl>
    <w:lvl w:ilvl="5">
      <w:start w:val="0"/>
      <w:numFmt w:val="bullet"/>
      <w:lvlText w:val="•"/>
      <w:lvlJc w:val="left"/>
      <w:pPr>
        <w:ind w:left="4367" w:hanging="721"/>
      </w:pPr>
      <w:rPr>
        <w:rFonts w:hint="default"/>
      </w:rPr>
    </w:lvl>
    <w:lvl w:ilvl="6">
      <w:start w:val="0"/>
      <w:numFmt w:val="bullet"/>
      <w:lvlText w:val="•"/>
      <w:lvlJc w:val="left"/>
      <w:pPr>
        <w:ind w:left="5028" w:hanging="721"/>
      </w:pPr>
      <w:rPr>
        <w:rFonts w:hint="default"/>
      </w:rPr>
    </w:lvl>
    <w:lvl w:ilvl="7">
      <w:start w:val="0"/>
      <w:numFmt w:val="bullet"/>
      <w:lvlText w:val="•"/>
      <w:lvlJc w:val="left"/>
      <w:pPr>
        <w:ind w:left="5689" w:hanging="721"/>
      </w:pPr>
      <w:rPr>
        <w:rFonts w:hint="default"/>
      </w:rPr>
    </w:lvl>
    <w:lvl w:ilvl="8">
      <w:start w:val="0"/>
      <w:numFmt w:val="bullet"/>
      <w:lvlText w:val="•"/>
      <w:lvlJc w:val="left"/>
      <w:pPr>
        <w:ind w:left="6351" w:hanging="721"/>
      </w:pPr>
      <w:rPr>
        <w:rFonts w:hint="default"/>
      </w:rPr>
    </w:lvl>
  </w:abstractNum>
  <w:abstractNum w:abstractNumId="14">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1"/>
      <w:numFmt w:val="lowerLetter"/>
      <w:lvlText w:val="%2)"/>
      <w:lvlJc w:val="left"/>
      <w:pPr>
        <w:ind w:left="2929" w:hanging="420"/>
        <w:jc w:val="left"/>
      </w:pPr>
      <w:rPr>
        <w:rFonts w:hint="default" w:ascii="宋体" w:hAnsi="宋体" w:eastAsia="宋体" w:cs="宋体"/>
        <w:w w:val="100"/>
        <w:sz w:val="21"/>
        <w:szCs w:val="21"/>
      </w:rPr>
    </w:lvl>
    <w:lvl w:ilvl="2">
      <w:start w:val="0"/>
      <w:numFmt w:val="bullet"/>
      <w:lvlText w:val="•"/>
      <w:lvlJc w:val="left"/>
      <w:pPr>
        <w:ind w:left="3580" w:hanging="420"/>
      </w:pPr>
      <w:rPr>
        <w:rFonts w:hint="default"/>
      </w:rPr>
    </w:lvl>
    <w:lvl w:ilvl="3">
      <w:start w:val="0"/>
      <w:numFmt w:val="bullet"/>
      <w:lvlText w:val="•"/>
      <w:lvlJc w:val="left"/>
      <w:pPr>
        <w:ind w:left="4241" w:hanging="420"/>
      </w:pPr>
      <w:rPr>
        <w:rFonts w:hint="default"/>
      </w:rPr>
    </w:lvl>
    <w:lvl w:ilvl="4">
      <w:start w:val="0"/>
      <w:numFmt w:val="bullet"/>
      <w:lvlText w:val="•"/>
      <w:lvlJc w:val="left"/>
      <w:pPr>
        <w:ind w:left="4902" w:hanging="420"/>
      </w:pPr>
      <w:rPr>
        <w:rFonts w:hint="default"/>
      </w:rPr>
    </w:lvl>
    <w:lvl w:ilvl="5">
      <w:start w:val="0"/>
      <w:numFmt w:val="bullet"/>
      <w:lvlText w:val="•"/>
      <w:lvlJc w:val="left"/>
      <w:pPr>
        <w:ind w:left="5562" w:hanging="420"/>
      </w:pPr>
      <w:rPr>
        <w:rFonts w:hint="default"/>
      </w:rPr>
    </w:lvl>
    <w:lvl w:ilvl="6">
      <w:start w:val="0"/>
      <w:numFmt w:val="bullet"/>
      <w:lvlText w:val="•"/>
      <w:lvlJc w:val="left"/>
      <w:pPr>
        <w:ind w:left="6223" w:hanging="420"/>
      </w:pPr>
      <w:rPr>
        <w:rFonts w:hint="default"/>
      </w:rPr>
    </w:lvl>
    <w:lvl w:ilvl="7">
      <w:start w:val="0"/>
      <w:numFmt w:val="bullet"/>
      <w:lvlText w:val="•"/>
      <w:lvlJc w:val="left"/>
      <w:pPr>
        <w:ind w:left="6884" w:hanging="420"/>
      </w:pPr>
      <w:rPr>
        <w:rFonts w:hint="default"/>
      </w:rPr>
    </w:lvl>
    <w:lvl w:ilvl="8">
      <w:start w:val="0"/>
      <w:numFmt w:val="bullet"/>
      <w:lvlText w:val="•"/>
      <w:lvlJc w:val="left"/>
      <w:pPr>
        <w:ind w:left="7544" w:hanging="420"/>
      </w:pPr>
      <w:rPr>
        <w:rFonts w:hint="default"/>
      </w:rPr>
    </w:lvl>
  </w:abstractNum>
  <w:abstractNum w:abstractNumId="13">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0"/>
      <w:numFmt w:val="bullet"/>
      <w:lvlText w:val="•"/>
      <w:lvlJc w:val="left"/>
      <w:pPr>
        <w:ind w:left="3076" w:hanging="721"/>
      </w:pPr>
      <w:rPr>
        <w:rFonts w:hint="default"/>
      </w:rPr>
    </w:lvl>
    <w:lvl w:ilvl="2">
      <w:start w:val="0"/>
      <w:numFmt w:val="bullet"/>
      <w:lvlText w:val="•"/>
      <w:lvlJc w:val="left"/>
      <w:pPr>
        <w:ind w:left="3733" w:hanging="721"/>
      </w:pPr>
      <w:rPr>
        <w:rFonts w:hint="default"/>
      </w:rPr>
    </w:lvl>
    <w:lvl w:ilvl="3">
      <w:start w:val="0"/>
      <w:numFmt w:val="bullet"/>
      <w:lvlText w:val="•"/>
      <w:lvlJc w:val="left"/>
      <w:pPr>
        <w:ind w:left="4389" w:hanging="721"/>
      </w:pPr>
      <w:rPr>
        <w:rFonts w:hint="default"/>
      </w:rPr>
    </w:lvl>
    <w:lvl w:ilvl="4">
      <w:start w:val="0"/>
      <w:numFmt w:val="bullet"/>
      <w:lvlText w:val="•"/>
      <w:lvlJc w:val="left"/>
      <w:pPr>
        <w:ind w:left="5046" w:hanging="721"/>
      </w:pPr>
      <w:rPr>
        <w:rFonts w:hint="default"/>
      </w:rPr>
    </w:lvl>
    <w:lvl w:ilvl="5">
      <w:start w:val="0"/>
      <w:numFmt w:val="bullet"/>
      <w:lvlText w:val="•"/>
      <w:lvlJc w:val="left"/>
      <w:pPr>
        <w:ind w:left="5703" w:hanging="721"/>
      </w:pPr>
      <w:rPr>
        <w:rFonts w:hint="default"/>
      </w:rPr>
    </w:lvl>
    <w:lvl w:ilvl="6">
      <w:start w:val="0"/>
      <w:numFmt w:val="bullet"/>
      <w:lvlText w:val="•"/>
      <w:lvlJc w:val="left"/>
      <w:pPr>
        <w:ind w:left="6359"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673" w:hanging="721"/>
      </w:pPr>
      <w:rPr>
        <w:rFonts w:hint="default"/>
      </w:rPr>
    </w:lvl>
  </w:abstractNum>
  <w:abstractNum w:abstractNumId="12">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0"/>
      <w:numFmt w:val="bullet"/>
      <w:lvlText w:val="•"/>
      <w:lvlJc w:val="left"/>
      <w:pPr>
        <w:ind w:left="3082" w:hanging="721"/>
      </w:pPr>
      <w:rPr>
        <w:rFonts w:hint="default"/>
      </w:rPr>
    </w:lvl>
    <w:lvl w:ilvl="2">
      <w:start w:val="0"/>
      <w:numFmt w:val="bullet"/>
      <w:lvlText w:val="•"/>
      <w:lvlJc w:val="left"/>
      <w:pPr>
        <w:ind w:left="3745" w:hanging="721"/>
      </w:pPr>
      <w:rPr>
        <w:rFonts w:hint="default"/>
      </w:rPr>
    </w:lvl>
    <w:lvl w:ilvl="3">
      <w:start w:val="0"/>
      <w:numFmt w:val="bullet"/>
      <w:lvlText w:val="•"/>
      <w:lvlJc w:val="left"/>
      <w:pPr>
        <w:ind w:left="4407" w:hanging="721"/>
      </w:pPr>
      <w:rPr>
        <w:rFonts w:hint="default"/>
      </w:rPr>
    </w:lvl>
    <w:lvl w:ilvl="4">
      <w:start w:val="0"/>
      <w:numFmt w:val="bullet"/>
      <w:lvlText w:val="•"/>
      <w:lvlJc w:val="left"/>
      <w:pPr>
        <w:ind w:left="5070" w:hanging="721"/>
      </w:pPr>
      <w:rPr>
        <w:rFonts w:hint="default"/>
      </w:rPr>
    </w:lvl>
    <w:lvl w:ilvl="5">
      <w:start w:val="0"/>
      <w:numFmt w:val="bullet"/>
      <w:lvlText w:val="•"/>
      <w:lvlJc w:val="left"/>
      <w:pPr>
        <w:ind w:left="5733" w:hanging="721"/>
      </w:pPr>
      <w:rPr>
        <w:rFonts w:hint="default"/>
      </w:rPr>
    </w:lvl>
    <w:lvl w:ilvl="6">
      <w:start w:val="0"/>
      <w:numFmt w:val="bullet"/>
      <w:lvlText w:val="•"/>
      <w:lvlJc w:val="left"/>
      <w:pPr>
        <w:ind w:left="6395" w:hanging="721"/>
      </w:pPr>
      <w:rPr>
        <w:rFonts w:hint="default"/>
      </w:rPr>
    </w:lvl>
    <w:lvl w:ilvl="7">
      <w:start w:val="0"/>
      <w:numFmt w:val="bullet"/>
      <w:lvlText w:val="•"/>
      <w:lvlJc w:val="left"/>
      <w:pPr>
        <w:ind w:left="7058" w:hanging="721"/>
      </w:pPr>
      <w:rPr>
        <w:rFonts w:hint="default"/>
      </w:rPr>
    </w:lvl>
    <w:lvl w:ilvl="8">
      <w:start w:val="0"/>
      <w:numFmt w:val="bullet"/>
      <w:lvlText w:val="•"/>
      <w:lvlJc w:val="left"/>
      <w:pPr>
        <w:ind w:left="7721" w:hanging="721"/>
      </w:pPr>
      <w:rPr>
        <w:rFonts w:hint="default"/>
      </w:rPr>
    </w:lvl>
  </w:abstractNum>
  <w:abstractNum w:abstractNumId="11">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0"/>
      <w:numFmt w:val="bullet"/>
      <w:lvlText w:val="•"/>
      <w:lvlJc w:val="left"/>
      <w:pPr>
        <w:ind w:left="3082" w:hanging="721"/>
      </w:pPr>
      <w:rPr>
        <w:rFonts w:hint="default"/>
      </w:rPr>
    </w:lvl>
    <w:lvl w:ilvl="2">
      <w:start w:val="0"/>
      <w:numFmt w:val="bullet"/>
      <w:lvlText w:val="•"/>
      <w:lvlJc w:val="left"/>
      <w:pPr>
        <w:ind w:left="3745" w:hanging="721"/>
      </w:pPr>
      <w:rPr>
        <w:rFonts w:hint="default"/>
      </w:rPr>
    </w:lvl>
    <w:lvl w:ilvl="3">
      <w:start w:val="0"/>
      <w:numFmt w:val="bullet"/>
      <w:lvlText w:val="•"/>
      <w:lvlJc w:val="left"/>
      <w:pPr>
        <w:ind w:left="4407" w:hanging="721"/>
      </w:pPr>
      <w:rPr>
        <w:rFonts w:hint="default"/>
      </w:rPr>
    </w:lvl>
    <w:lvl w:ilvl="4">
      <w:start w:val="0"/>
      <w:numFmt w:val="bullet"/>
      <w:lvlText w:val="•"/>
      <w:lvlJc w:val="left"/>
      <w:pPr>
        <w:ind w:left="5070" w:hanging="721"/>
      </w:pPr>
      <w:rPr>
        <w:rFonts w:hint="default"/>
      </w:rPr>
    </w:lvl>
    <w:lvl w:ilvl="5">
      <w:start w:val="0"/>
      <w:numFmt w:val="bullet"/>
      <w:lvlText w:val="•"/>
      <w:lvlJc w:val="left"/>
      <w:pPr>
        <w:ind w:left="5733" w:hanging="721"/>
      </w:pPr>
      <w:rPr>
        <w:rFonts w:hint="default"/>
      </w:rPr>
    </w:lvl>
    <w:lvl w:ilvl="6">
      <w:start w:val="0"/>
      <w:numFmt w:val="bullet"/>
      <w:lvlText w:val="•"/>
      <w:lvlJc w:val="left"/>
      <w:pPr>
        <w:ind w:left="6395" w:hanging="721"/>
      </w:pPr>
      <w:rPr>
        <w:rFonts w:hint="default"/>
      </w:rPr>
    </w:lvl>
    <w:lvl w:ilvl="7">
      <w:start w:val="0"/>
      <w:numFmt w:val="bullet"/>
      <w:lvlText w:val="•"/>
      <w:lvlJc w:val="left"/>
      <w:pPr>
        <w:ind w:left="7058" w:hanging="721"/>
      </w:pPr>
      <w:rPr>
        <w:rFonts w:hint="default"/>
      </w:rPr>
    </w:lvl>
    <w:lvl w:ilvl="8">
      <w:start w:val="0"/>
      <w:numFmt w:val="bullet"/>
      <w:lvlText w:val="•"/>
      <w:lvlJc w:val="left"/>
      <w:pPr>
        <w:ind w:left="7721" w:hanging="721"/>
      </w:pPr>
      <w:rPr>
        <w:rFonts w:hint="default"/>
      </w:rPr>
    </w:lvl>
  </w:abstractNum>
  <w:abstractNum w:abstractNumId="10">
    <w:multiLevelType w:val="hybridMultilevel"/>
    <w:lvl w:ilvl="0">
      <w:start w:val="10"/>
      <w:numFmt w:val="decimal"/>
      <w:lvlText w:val="%1"/>
      <w:lvlJc w:val="left"/>
      <w:pPr>
        <w:ind w:left="890" w:hanging="579"/>
        <w:jc w:val="left"/>
      </w:pPr>
      <w:rPr>
        <w:rFonts w:hint="default"/>
      </w:rPr>
    </w:lvl>
    <w:lvl w:ilvl="1">
      <w:start w:val="19"/>
      <w:numFmt w:val="decimal"/>
      <w:lvlText w:val="%1.%2"/>
      <w:lvlJc w:val="left"/>
      <w:pPr>
        <w:ind w:left="311" w:hanging="579"/>
        <w:jc w:val="left"/>
      </w:pPr>
      <w:rPr>
        <w:rFonts w:hint="default" w:ascii="宋体" w:hAnsi="宋体" w:eastAsia="宋体" w:cs="宋体"/>
        <w:w w:val="100"/>
        <w:sz w:val="21"/>
        <w:szCs w:val="21"/>
      </w:rPr>
    </w:lvl>
    <w:lvl w:ilvl="2">
      <w:start w:val="0"/>
      <w:numFmt w:val="bullet"/>
      <w:lvlText w:val="•"/>
      <w:lvlJc w:val="left"/>
      <w:pPr>
        <w:ind w:left="1108" w:hanging="579"/>
      </w:pPr>
      <w:rPr>
        <w:rFonts w:hint="default"/>
      </w:rPr>
    </w:lvl>
    <w:lvl w:ilvl="3">
      <w:start w:val="0"/>
      <w:numFmt w:val="bullet"/>
      <w:lvlText w:val="•"/>
      <w:lvlJc w:val="left"/>
      <w:pPr>
        <w:ind w:left="1316" w:hanging="579"/>
      </w:pPr>
      <w:rPr>
        <w:rFonts w:hint="default"/>
      </w:rPr>
    </w:lvl>
    <w:lvl w:ilvl="4">
      <w:start w:val="0"/>
      <w:numFmt w:val="bullet"/>
      <w:lvlText w:val="•"/>
      <w:lvlJc w:val="left"/>
      <w:pPr>
        <w:ind w:left="1524" w:hanging="579"/>
      </w:pPr>
      <w:rPr>
        <w:rFonts w:hint="default"/>
      </w:rPr>
    </w:lvl>
    <w:lvl w:ilvl="5">
      <w:start w:val="0"/>
      <w:numFmt w:val="bullet"/>
      <w:lvlText w:val="•"/>
      <w:lvlJc w:val="left"/>
      <w:pPr>
        <w:ind w:left="1732" w:hanging="579"/>
      </w:pPr>
      <w:rPr>
        <w:rFonts w:hint="default"/>
      </w:rPr>
    </w:lvl>
    <w:lvl w:ilvl="6">
      <w:start w:val="0"/>
      <w:numFmt w:val="bullet"/>
      <w:lvlText w:val="•"/>
      <w:lvlJc w:val="left"/>
      <w:pPr>
        <w:ind w:left="1940" w:hanging="579"/>
      </w:pPr>
      <w:rPr>
        <w:rFonts w:hint="default"/>
      </w:rPr>
    </w:lvl>
    <w:lvl w:ilvl="7">
      <w:start w:val="0"/>
      <w:numFmt w:val="bullet"/>
      <w:lvlText w:val="•"/>
      <w:lvlJc w:val="left"/>
      <w:pPr>
        <w:ind w:left="2148" w:hanging="579"/>
      </w:pPr>
      <w:rPr>
        <w:rFonts w:hint="default"/>
      </w:rPr>
    </w:lvl>
    <w:lvl w:ilvl="8">
      <w:start w:val="0"/>
      <w:numFmt w:val="bullet"/>
      <w:lvlText w:val="•"/>
      <w:lvlJc w:val="left"/>
      <w:pPr>
        <w:ind w:left="2356" w:hanging="579"/>
      </w:pPr>
      <w:rPr>
        <w:rFonts w:hint="default"/>
      </w:rPr>
    </w:lvl>
  </w:abstractNum>
  <w:abstractNum w:abstractNumId="9">
    <w:multiLevelType w:val="hybridMultilevel"/>
    <w:lvl w:ilvl="0">
      <w:start w:val="10"/>
      <w:numFmt w:val="decimal"/>
      <w:lvlText w:val="%1"/>
      <w:lvlJc w:val="left"/>
      <w:pPr>
        <w:ind w:left="837" w:hanging="526"/>
        <w:jc w:val="left"/>
      </w:pPr>
      <w:rPr>
        <w:rFonts w:hint="default"/>
      </w:rPr>
    </w:lvl>
    <w:lvl w:ilvl="1">
      <w:start w:val="3"/>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154" w:hanging="526"/>
      </w:pPr>
      <w:rPr>
        <w:rFonts w:hint="default"/>
      </w:rPr>
    </w:lvl>
    <w:lvl w:ilvl="3">
      <w:start w:val="0"/>
      <w:numFmt w:val="bullet"/>
      <w:lvlText w:val="•"/>
      <w:lvlJc w:val="left"/>
      <w:pPr>
        <w:ind w:left="1311" w:hanging="526"/>
      </w:pPr>
      <w:rPr>
        <w:rFonts w:hint="default"/>
      </w:rPr>
    </w:lvl>
    <w:lvl w:ilvl="4">
      <w:start w:val="0"/>
      <w:numFmt w:val="bullet"/>
      <w:lvlText w:val="•"/>
      <w:lvlJc w:val="left"/>
      <w:pPr>
        <w:ind w:left="1468" w:hanging="526"/>
      </w:pPr>
      <w:rPr>
        <w:rFonts w:hint="default"/>
      </w:rPr>
    </w:lvl>
    <w:lvl w:ilvl="5">
      <w:start w:val="0"/>
      <w:numFmt w:val="bullet"/>
      <w:lvlText w:val="•"/>
      <w:lvlJc w:val="left"/>
      <w:pPr>
        <w:ind w:left="1625" w:hanging="526"/>
      </w:pPr>
      <w:rPr>
        <w:rFonts w:hint="default"/>
      </w:rPr>
    </w:lvl>
    <w:lvl w:ilvl="6">
      <w:start w:val="0"/>
      <w:numFmt w:val="bullet"/>
      <w:lvlText w:val="•"/>
      <w:lvlJc w:val="left"/>
      <w:pPr>
        <w:ind w:left="1782" w:hanging="526"/>
      </w:pPr>
      <w:rPr>
        <w:rFonts w:hint="default"/>
      </w:rPr>
    </w:lvl>
    <w:lvl w:ilvl="7">
      <w:start w:val="0"/>
      <w:numFmt w:val="bullet"/>
      <w:lvlText w:val="•"/>
      <w:lvlJc w:val="left"/>
      <w:pPr>
        <w:ind w:left="1939" w:hanging="526"/>
      </w:pPr>
      <w:rPr>
        <w:rFonts w:hint="default"/>
      </w:rPr>
    </w:lvl>
    <w:lvl w:ilvl="8">
      <w:start w:val="0"/>
      <w:numFmt w:val="bullet"/>
      <w:lvlText w:val="•"/>
      <w:lvlJc w:val="left"/>
      <w:pPr>
        <w:ind w:left="2096" w:hanging="526"/>
      </w:pPr>
      <w:rPr>
        <w:rFonts w:hint="default"/>
      </w:rPr>
    </w:lvl>
  </w:abstractNum>
  <w:abstractNum w:abstractNumId="8">
    <w:multiLevelType w:val="hybridMultilevel"/>
    <w:lvl w:ilvl="0">
      <w:start w:val="8"/>
      <w:numFmt w:val="decimal"/>
      <w:lvlText w:val="%1"/>
      <w:lvlJc w:val="left"/>
      <w:pPr>
        <w:ind w:left="365" w:hanging="423"/>
        <w:jc w:val="left"/>
      </w:pPr>
      <w:rPr>
        <w:rFonts w:hint="default"/>
      </w:rPr>
    </w:lvl>
    <w:lvl w:ilvl="1">
      <w:start w:val="1"/>
      <w:numFmt w:val="decimal"/>
      <w:lvlText w:val="%1.%2"/>
      <w:lvlJc w:val="left"/>
      <w:pPr>
        <w:ind w:left="365" w:hanging="423"/>
        <w:jc w:val="left"/>
      </w:pPr>
      <w:rPr>
        <w:rFonts w:hint="default" w:ascii="宋体" w:hAnsi="宋体" w:eastAsia="宋体" w:cs="宋体"/>
        <w:w w:val="100"/>
        <w:sz w:val="21"/>
        <w:szCs w:val="21"/>
      </w:rPr>
    </w:lvl>
    <w:lvl w:ilvl="2">
      <w:start w:val="0"/>
      <w:numFmt w:val="bullet"/>
      <w:lvlText w:val="•"/>
      <w:lvlJc w:val="left"/>
      <w:pPr>
        <w:ind w:left="780" w:hanging="423"/>
      </w:pPr>
      <w:rPr>
        <w:rFonts w:hint="default"/>
      </w:rPr>
    </w:lvl>
    <w:lvl w:ilvl="3">
      <w:start w:val="0"/>
      <w:numFmt w:val="bullet"/>
      <w:lvlText w:val="•"/>
      <w:lvlJc w:val="left"/>
      <w:pPr>
        <w:ind w:left="991" w:hanging="423"/>
      </w:pPr>
      <w:rPr>
        <w:rFonts w:hint="default"/>
      </w:rPr>
    </w:lvl>
    <w:lvl w:ilvl="4">
      <w:start w:val="0"/>
      <w:numFmt w:val="bullet"/>
      <w:lvlText w:val="•"/>
      <w:lvlJc w:val="left"/>
      <w:pPr>
        <w:ind w:left="1201" w:hanging="423"/>
      </w:pPr>
      <w:rPr>
        <w:rFonts w:hint="default"/>
      </w:rPr>
    </w:lvl>
    <w:lvl w:ilvl="5">
      <w:start w:val="0"/>
      <w:numFmt w:val="bullet"/>
      <w:lvlText w:val="•"/>
      <w:lvlJc w:val="left"/>
      <w:pPr>
        <w:ind w:left="1412" w:hanging="423"/>
      </w:pPr>
      <w:rPr>
        <w:rFonts w:hint="default"/>
      </w:rPr>
    </w:lvl>
    <w:lvl w:ilvl="6">
      <w:start w:val="0"/>
      <w:numFmt w:val="bullet"/>
      <w:lvlText w:val="•"/>
      <w:lvlJc w:val="left"/>
      <w:pPr>
        <w:ind w:left="1622" w:hanging="423"/>
      </w:pPr>
      <w:rPr>
        <w:rFonts w:hint="default"/>
      </w:rPr>
    </w:lvl>
    <w:lvl w:ilvl="7">
      <w:start w:val="0"/>
      <w:numFmt w:val="bullet"/>
      <w:lvlText w:val="•"/>
      <w:lvlJc w:val="left"/>
      <w:pPr>
        <w:ind w:left="1832" w:hanging="423"/>
      </w:pPr>
      <w:rPr>
        <w:rFonts w:hint="default"/>
      </w:rPr>
    </w:lvl>
    <w:lvl w:ilvl="8">
      <w:start w:val="0"/>
      <w:numFmt w:val="bullet"/>
      <w:lvlText w:val="•"/>
      <w:lvlJc w:val="left"/>
      <w:pPr>
        <w:ind w:left="2043" w:hanging="423"/>
      </w:pPr>
      <w:rPr>
        <w:rFonts w:hint="default"/>
      </w:rPr>
    </w:lvl>
  </w:abstractNum>
  <w:abstractNum w:abstractNumId="7">
    <w:multiLevelType w:val="hybridMultilevel"/>
    <w:lvl w:ilvl="0">
      <w:start w:val="6"/>
      <w:numFmt w:val="decimal"/>
      <w:lvlText w:val="%1"/>
      <w:lvlJc w:val="left"/>
      <w:pPr>
        <w:ind w:left="785" w:hanging="420"/>
        <w:jc w:val="left"/>
      </w:pPr>
      <w:rPr>
        <w:rFonts w:hint="default"/>
      </w:rPr>
    </w:lvl>
    <w:lvl w:ilvl="1">
      <w:start w:val="1"/>
      <w:numFmt w:val="decimal"/>
      <w:lvlText w:val="%1.%2"/>
      <w:lvlJc w:val="left"/>
      <w:pPr>
        <w:ind w:left="785" w:hanging="420"/>
        <w:jc w:val="left"/>
      </w:pPr>
      <w:rPr>
        <w:rFonts w:hint="default" w:ascii="宋体" w:hAnsi="宋体" w:eastAsia="宋体" w:cs="宋体"/>
        <w:w w:val="100"/>
        <w:sz w:val="21"/>
        <w:szCs w:val="21"/>
      </w:rPr>
    </w:lvl>
    <w:lvl w:ilvl="2">
      <w:start w:val="0"/>
      <w:numFmt w:val="bullet"/>
      <w:lvlText w:val="•"/>
      <w:lvlJc w:val="left"/>
      <w:pPr>
        <w:ind w:left="1116" w:hanging="420"/>
      </w:pPr>
      <w:rPr>
        <w:rFonts w:hint="default"/>
      </w:rPr>
    </w:lvl>
    <w:lvl w:ilvl="3">
      <w:start w:val="0"/>
      <w:numFmt w:val="bullet"/>
      <w:lvlText w:val="•"/>
      <w:lvlJc w:val="left"/>
      <w:pPr>
        <w:ind w:left="1285" w:hanging="420"/>
      </w:pPr>
      <w:rPr>
        <w:rFonts w:hint="default"/>
      </w:rPr>
    </w:lvl>
    <w:lvl w:ilvl="4">
      <w:start w:val="0"/>
      <w:numFmt w:val="bullet"/>
      <w:lvlText w:val="•"/>
      <w:lvlJc w:val="left"/>
      <w:pPr>
        <w:ind w:left="1453" w:hanging="420"/>
      </w:pPr>
      <w:rPr>
        <w:rFonts w:hint="default"/>
      </w:rPr>
    </w:lvl>
    <w:lvl w:ilvl="5">
      <w:start w:val="0"/>
      <w:numFmt w:val="bullet"/>
      <w:lvlText w:val="•"/>
      <w:lvlJc w:val="left"/>
      <w:pPr>
        <w:ind w:left="1622" w:hanging="420"/>
      </w:pPr>
      <w:rPr>
        <w:rFonts w:hint="default"/>
      </w:rPr>
    </w:lvl>
    <w:lvl w:ilvl="6">
      <w:start w:val="0"/>
      <w:numFmt w:val="bullet"/>
      <w:lvlText w:val="•"/>
      <w:lvlJc w:val="left"/>
      <w:pPr>
        <w:ind w:left="1790" w:hanging="420"/>
      </w:pPr>
      <w:rPr>
        <w:rFonts w:hint="default"/>
      </w:rPr>
    </w:lvl>
    <w:lvl w:ilvl="7">
      <w:start w:val="0"/>
      <w:numFmt w:val="bullet"/>
      <w:lvlText w:val="•"/>
      <w:lvlJc w:val="left"/>
      <w:pPr>
        <w:ind w:left="1958" w:hanging="420"/>
      </w:pPr>
      <w:rPr>
        <w:rFonts w:hint="default"/>
      </w:rPr>
    </w:lvl>
    <w:lvl w:ilvl="8">
      <w:start w:val="0"/>
      <w:numFmt w:val="bullet"/>
      <w:lvlText w:val="•"/>
      <w:lvlJc w:val="left"/>
      <w:pPr>
        <w:ind w:left="2127" w:hanging="420"/>
      </w:pPr>
      <w:rPr>
        <w:rFonts w:hint="default"/>
      </w:rPr>
    </w:lvl>
  </w:abstractNum>
  <w:abstractNum w:abstractNumId="6">
    <w:multiLevelType w:val="hybridMultilevel"/>
    <w:lvl w:ilvl="0">
      <w:start w:val="3"/>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889" w:hanging="420"/>
      </w:pPr>
      <w:rPr>
        <w:rFonts w:hint="default"/>
      </w:rPr>
    </w:lvl>
    <w:lvl w:ilvl="3">
      <w:start w:val="0"/>
      <w:numFmt w:val="bullet"/>
      <w:lvlText w:val="•"/>
      <w:lvlJc w:val="left"/>
      <w:pPr>
        <w:ind w:left="1059" w:hanging="420"/>
      </w:pPr>
      <w:rPr>
        <w:rFonts w:hint="default"/>
      </w:rPr>
    </w:lvl>
    <w:lvl w:ilvl="4">
      <w:start w:val="0"/>
      <w:numFmt w:val="bullet"/>
      <w:lvlText w:val="•"/>
      <w:lvlJc w:val="left"/>
      <w:pPr>
        <w:ind w:left="1229" w:hanging="420"/>
      </w:pPr>
      <w:rPr>
        <w:rFonts w:hint="default"/>
      </w:rPr>
    </w:lvl>
    <w:lvl w:ilvl="5">
      <w:start w:val="0"/>
      <w:numFmt w:val="bullet"/>
      <w:lvlText w:val="•"/>
      <w:lvlJc w:val="left"/>
      <w:pPr>
        <w:ind w:left="1398" w:hanging="420"/>
      </w:pPr>
      <w:rPr>
        <w:rFonts w:hint="default"/>
      </w:rPr>
    </w:lvl>
    <w:lvl w:ilvl="6">
      <w:start w:val="0"/>
      <w:numFmt w:val="bullet"/>
      <w:lvlText w:val="•"/>
      <w:lvlJc w:val="left"/>
      <w:pPr>
        <w:ind w:left="1568" w:hanging="420"/>
      </w:pPr>
      <w:rPr>
        <w:rFonts w:hint="default"/>
      </w:rPr>
    </w:lvl>
    <w:lvl w:ilvl="7">
      <w:start w:val="0"/>
      <w:numFmt w:val="bullet"/>
      <w:lvlText w:val="•"/>
      <w:lvlJc w:val="left"/>
      <w:pPr>
        <w:ind w:left="1738" w:hanging="420"/>
      </w:pPr>
      <w:rPr>
        <w:rFonts w:hint="default"/>
      </w:rPr>
    </w:lvl>
    <w:lvl w:ilvl="8">
      <w:start w:val="0"/>
      <w:numFmt w:val="bullet"/>
      <w:lvlText w:val="•"/>
      <w:lvlJc w:val="left"/>
      <w:pPr>
        <w:ind w:left="1907" w:hanging="420"/>
      </w:pPr>
      <w:rPr>
        <w:rFonts w:hint="default"/>
      </w:rPr>
    </w:lvl>
  </w:abstractNum>
  <w:abstractNum w:abstractNumId="5">
    <w:multiLevelType w:val="hybridMultilevel"/>
    <w:lvl w:ilvl="0">
      <w:start w:val="10"/>
      <w:numFmt w:val="decimal"/>
      <w:lvlText w:val="%1"/>
      <w:lvlJc w:val="left"/>
      <w:pPr>
        <w:ind w:left="108" w:hanging="579"/>
        <w:jc w:val="left"/>
      </w:pPr>
      <w:rPr>
        <w:rFonts w:hint="default"/>
      </w:rPr>
    </w:lvl>
    <w:lvl w:ilvl="1">
      <w:start w:val="10"/>
      <w:numFmt w:val="decimal"/>
      <w:lvlText w:val="%1.%2"/>
      <w:lvlJc w:val="left"/>
      <w:pPr>
        <w:ind w:left="108" w:hanging="579"/>
        <w:jc w:val="right"/>
      </w:pPr>
      <w:rPr>
        <w:rFonts w:hint="default" w:ascii="宋体" w:hAnsi="宋体" w:eastAsia="宋体" w:cs="宋体"/>
        <w:w w:val="100"/>
        <w:sz w:val="21"/>
        <w:szCs w:val="21"/>
      </w:rPr>
    </w:lvl>
    <w:lvl w:ilvl="2">
      <w:start w:val="0"/>
      <w:numFmt w:val="bullet"/>
      <w:lvlText w:val="•"/>
      <w:lvlJc w:val="left"/>
      <w:pPr>
        <w:ind w:left="624" w:hanging="579"/>
      </w:pPr>
      <w:rPr>
        <w:rFonts w:hint="default"/>
      </w:rPr>
    </w:lvl>
    <w:lvl w:ilvl="3">
      <w:start w:val="0"/>
      <w:numFmt w:val="bullet"/>
      <w:lvlText w:val="•"/>
      <w:lvlJc w:val="left"/>
      <w:pPr>
        <w:ind w:left="887" w:hanging="579"/>
      </w:pPr>
      <w:rPr>
        <w:rFonts w:hint="default"/>
      </w:rPr>
    </w:lvl>
    <w:lvl w:ilvl="4">
      <w:start w:val="0"/>
      <w:numFmt w:val="bullet"/>
      <w:lvlText w:val="•"/>
      <w:lvlJc w:val="left"/>
      <w:pPr>
        <w:ind w:left="1149" w:hanging="579"/>
      </w:pPr>
      <w:rPr>
        <w:rFonts w:hint="default"/>
      </w:rPr>
    </w:lvl>
    <w:lvl w:ilvl="5">
      <w:start w:val="0"/>
      <w:numFmt w:val="bullet"/>
      <w:lvlText w:val="•"/>
      <w:lvlJc w:val="left"/>
      <w:pPr>
        <w:ind w:left="1412" w:hanging="579"/>
      </w:pPr>
      <w:rPr>
        <w:rFonts w:hint="default"/>
      </w:rPr>
    </w:lvl>
    <w:lvl w:ilvl="6">
      <w:start w:val="0"/>
      <w:numFmt w:val="bullet"/>
      <w:lvlText w:val="•"/>
      <w:lvlJc w:val="left"/>
      <w:pPr>
        <w:ind w:left="1674" w:hanging="579"/>
      </w:pPr>
      <w:rPr>
        <w:rFonts w:hint="default"/>
      </w:rPr>
    </w:lvl>
    <w:lvl w:ilvl="7">
      <w:start w:val="0"/>
      <w:numFmt w:val="bullet"/>
      <w:lvlText w:val="•"/>
      <w:lvlJc w:val="left"/>
      <w:pPr>
        <w:ind w:left="1936" w:hanging="579"/>
      </w:pPr>
      <w:rPr>
        <w:rFonts w:hint="default"/>
      </w:rPr>
    </w:lvl>
    <w:lvl w:ilvl="8">
      <w:start w:val="0"/>
      <w:numFmt w:val="bullet"/>
      <w:lvlText w:val="•"/>
      <w:lvlJc w:val="left"/>
      <w:pPr>
        <w:ind w:left="2199" w:hanging="579"/>
      </w:pPr>
      <w:rPr>
        <w:rFonts w:hint="default"/>
      </w:rPr>
    </w:lvl>
  </w:abstractNum>
  <w:abstractNum w:abstractNumId="4">
    <w:multiLevelType w:val="hybridMultilevel"/>
    <w:lvl w:ilvl="0">
      <w:start w:val="10"/>
      <w:numFmt w:val="decimal"/>
      <w:lvlText w:val="%1."/>
      <w:lvlJc w:val="left"/>
      <w:pPr>
        <w:ind w:left="625" w:hanging="423"/>
        <w:jc w:val="left"/>
      </w:pPr>
      <w:rPr>
        <w:rFonts w:hint="default" w:ascii="宋体" w:hAnsi="宋体" w:eastAsia="宋体" w:cs="宋体"/>
        <w:b/>
        <w:bCs/>
        <w:w w:val="99"/>
        <w:sz w:val="21"/>
        <w:szCs w:val="21"/>
      </w:rPr>
    </w:lvl>
    <w:lvl w:ilvl="1">
      <w:start w:val="1"/>
      <w:numFmt w:val="decimal"/>
      <w:lvlText w:val="%1.%2"/>
      <w:lvlJc w:val="left"/>
      <w:pPr>
        <w:ind w:left="834" w:hanging="526"/>
        <w:jc w:val="left"/>
      </w:pPr>
      <w:rPr>
        <w:rFonts w:hint="default" w:ascii="宋体" w:hAnsi="宋体" w:eastAsia="宋体" w:cs="宋体"/>
        <w:w w:val="100"/>
        <w:sz w:val="21"/>
        <w:szCs w:val="21"/>
      </w:rPr>
    </w:lvl>
    <w:lvl w:ilvl="2">
      <w:start w:val="0"/>
      <w:numFmt w:val="bullet"/>
      <w:lvlText w:val="•"/>
      <w:lvlJc w:val="left"/>
      <w:pPr>
        <w:ind w:left="1024" w:hanging="526"/>
      </w:pPr>
      <w:rPr>
        <w:rFonts w:hint="default"/>
      </w:rPr>
    </w:lvl>
    <w:lvl w:ilvl="3">
      <w:start w:val="0"/>
      <w:numFmt w:val="bullet"/>
      <w:lvlText w:val="•"/>
      <w:lvlJc w:val="left"/>
      <w:pPr>
        <w:ind w:left="1209" w:hanging="526"/>
      </w:pPr>
      <w:rPr>
        <w:rFonts w:hint="default"/>
      </w:rPr>
    </w:lvl>
    <w:lvl w:ilvl="4">
      <w:start w:val="0"/>
      <w:numFmt w:val="bullet"/>
      <w:lvlText w:val="•"/>
      <w:lvlJc w:val="left"/>
      <w:pPr>
        <w:ind w:left="1394" w:hanging="526"/>
      </w:pPr>
      <w:rPr>
        <w:rFonts w:hint="default"/>
      </w:rPr>
    </w:lvl>
    <w:lvl w:ilvl="5">
      <w:start w:val="0"/>
      <w:numFmt w:val="bullet"/>
      <w:lvlText w:val="•"/>
      <w:lvlJc w:val="left"/>
      <w:pPr>
        <w:ind w:left="1579" w:hanging="526"/>
      </w:pPr>
      <w:rPr>
        <w:rFonts w:hint="default"/>
      </w:rPr>
    </w:lvl>
    <w:lvl w:ilvl="6">
      <w:start w:val="0"/>
      <w:numFmt w:val="bullet"/>
      <w:lvlText w:val="•"/>
      <w:lvlJc w:val="left"/>
      <w:pPr>
        <w:ind w:left="1764" w:hanging="526"/>
      </w:pPr>
      <w:rPr>
        <w:rFonts w:hint="default"/>
      </w:rPr>
    </w:lvl>
    <w:lvl w:ilvl="7">
      <w:start w:val="0"/>
      <w:numFmt w:val="bullet"/>
      <w:lvlText w:val="•"/>
      <w:lvlJc w:val="left"/>
      <w:pPr>
        <w:ind w:left="1949" w:hanging="526"/>
      </w:pPr>
      <w:rPr>
        <w:rFonts w:hint="default"/>
      </w:rPr>
    </w:lvl>
    <w:lvl w:ilvl="8">
      <w:start w:val="0"/>
      <w:numFmt w:val="bullet"/>
      <w:lvlText w:val="•"/>
      <w:lvlJc w:val="left"/>
      <w:pPr>
        <w:ind w:left="2134" w:hanging="526"/>
      </w:pPr>
      <w:rPr>
        <w:rFonts w:hint="default"/>
      </w:rPr>
    </w:lvl>
  </w:abstractNum>
  <w:abstractNum w:abstractNumId="3">
    <w:multiLevelType w:val="hybridMultilevel"/>
    <w:lvl w:ilvl="0">
      <w:start w:val="9"/>
      <w:numFmt w:val="decimal"/>
      <w:lvlText w:val="%1"/>
      <w:lvlJc w:val="left"/>
      <w:pPr>
        <w:ind w:left="730" w:hanging="423"/>
        <w:jc w:val="left"/>
      </w:pPr>
      <w:rPr>
        <w:rFonts w:hint="default"/>
      </w:rPr>
    </w:lvl>
    <w:lvl w:ilvl="1">
      <w:start w:val="1"/>
      <w:numFmt w:val="decimal"/>
      <w:lvlText w:val="%1.%2"/>
      <w:lvlJc w:val="left"/>
      <w:pPr>
        <w:ind w:left="202" w:hanging="423"/>
        <w:jc w:val="left"/>
      </w:pPr>
      <w:rPr>
        <w:rFonts w:hint="default" w:ascii="宋体" w:hAnsi="宋体" w:eastAsia="宋体" w:cs="宋体"/>
        <w:w w:val="100"/>
        <w:sz w:val="21"/>
        <w:szCs w:val="21"/>
      </w:rPr>
    </w:lvl>
    <w:lvl w:ilvl="2">
      <w:start w:val="0"/>
      <w:numFmt w:val="bullet"/>
      <w:lvlText w:val="•"/>
      <w:lvlJc w:val="left"/>
      <w:pPr>
        <w:ind w:left="936" w:hanging="423"/>
      </w:pPr>
      <w:rPr>
        <w:rFonts w:hint="default"/>
      </w:rPr>
    </w:lvl>
    <w:lvl w:ilvl="3">
      <w:start w:val="0"/>
      <w:numFmt w:val="bullet"/>
      <w:lvlText w:val="•"/>
      <w:lvlJc w:val="left"/>
      <w:pPr>
        <w:ind w:left="1132" w:hanging="423"/>
      </w:pPr>
      <w:rPr>
        <w:rFonts w:hint="default"/>
      </w:rPr>
    </w:lvl>
    <w:lvl w:ilvl="4">
      <w:start w:val="0"/>
      <w:numFmt w:val="bullet"/>
      <w:lvlText w:val="•"/>
      <w:lvlJc w:val="left"/>
      <w:pPr>
        <w:ind w:left="1328" w:hanging="423"/>
      </w:pPr>
      <w:rPr>
        <w:rFonts w:hint="default"/>
      </w:rPr>
    </w:lvl>
    <w:lvl w:ilvl="5">
      <w:start w:val="0"/>
      <w:numFmt w:val="bullet"/>
      <w:lvlText w:val="•"/>
      <w:lvlJc w:val="left"/>
      <w:pPr>
        <w:ind w:left="1524" w:hanging="423"/>
      </w:pPr>
      <w:rPr>
        <w:rFonts w:hint="default"/>
      </w:rPr>
    </w:lvl>
    <w:lvl w:ilvl="6">
      <w:start w:val="0"/>
      <w:numFmt w:val="bullet"/>
      <w:lvlText w:val="•"/>
      <w:lvlJc w:val="left"/>
      <w:pPr>
        <w:ind w:left="1720"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112" w:hanging="423"/>
      </w:pPr>
      <w:rPr>
        <w:rFonts w:hint="default"/>
      </w:rPr>
    </w:lvl>
  </w:abstractNum>
  <w:abstractNum w:abstractNumId="2">
    <w:multiLevelType w:val="hybridMultilevel"/>
    <w:lvl w:ilvl="0">
      <w:start w:val="4"/>
      <w:numFmt w:val="decimal"/>
      <w:lvlText w:val="%1."/>
      <w:lvlJc w:val="left"/>
      <w:pPr>
        <w:ind w:left="150" w:hanging="318"/>
        <w:jc w:val="left"/>
      </w:pPr>
      <w:rPr>
        <w:rFonts w:hint="default" w:ascii="宋体" w:hAnsi="宋体" w:eastAsia="宋体" w:cs="宋体"/>
        <w:b/>
        <w:bCs/>
        <w:w w:val="99"/>
        <w:sz w:val="21"/>
        <w:szCs w:val="21"/>
      </w:rPr>
    </w:lvl>
    <w:lvl w:ilvl="1">
      <w:start w:val="1"/>
      <w:numFmt w:val="decimal"/>
      <w:lvlText w:val="%1.%2"/>
      <w:lvlJc w:val="left"/>
      <w:pPr>
        <w:ind w:left="676" w:hanging="420"/>
        <w:jc w:val="left"/>
      </w:pPr>
      <w:rPr>
        <w:rFonts w:hint="default" w:ascii="宋体" w:hAnsi="宋体" w:eastAsia="宋体" w:cs="宋体"/>
        <w:w w:val="100"/>
        <w:sz w:val="21"/>
        <w:szCs w:val="21"/>
      </w:rPr>
    </w:lvl>
    <w:lvl w:ilvl="2">
      <w:start w:val="0"/>
      <w:numFmt w:val="bullet"/>
      <w:lvlText w:val="•"/>
      <w:lvlJc w:val="left"/>
      <w:pPr>
        <w:ind w:left="866" w:hanging="420"/>
      </w:pPr>
      <w:rPr>
        <w:rFonts w:hint="default"/>
      </w:rPr>
    </w:lvl>
    <w:lvl w:ilvl="3">
      <w:start w:val="0"/>
      <w:numFmt w:val="bullet"/>
      <w:lvlText w:val="•"/>
      <w:lvlJc w:val="left"/>
      <w:pPr>
        <w:ind w:left="1052" w:hanging="420"/>
      </w:pPr>
      <w:rPr>
        <w:rFonts w:hint="default"/>
      </w:rPr>
    </w:lvl>
    <w:lvl w:ilvl="4">
      <w:start w:val="0"/>
      <w:numFmt w:val="bullet"/>
      <w:lvlText w:val="•"/>
      <w:lvlJc w:val="left"/>
      <w:pPr>
        <w:ind w:left="1239" w:hanging="420"/>
      </w:pPr>
      <w:rPr>
        <w:rFonts w:hint="default"/>
      </w:rPr>
    </w:lvl>
    <w:lvl w:ilvl="5">
      <w:start w:val="0"/>
      <w:numFmt w:val="bullet"/>
      <w:lvlText w:val="•"/>
      <w:lvlJc w:val="left"/>
      <w:pPr>
        <w:ind w:left="1425" w:hanging="420"/>
      </w:pPr>
      <w:rPr>
        <w:rFonts w:hint="default"/>
      </w:rPr>
    </w:lvl>
    <w:lvl w:ilvl="6">
      <w:start w:val="0"/>
      <w:numFmt w:val="bullet"/>
      <w:lvlText w:val="•"/>
      <w:lvlJc w:val="left"/>
      <w:pPr>
        <w:ind w:left="1612" w:hanging="420"/>
      </w:pPr>
      <w:rPr>
        <w:rFonts w:hint="default"/>
      </w:rPr>
    </w:lvl>
    <w:lvl w:ilvl="7">
      <w:start w:val="0"/>
      <w:numFmt w:val="bullet"/>
      <w:lvlText w:val="•"/>
      <w:lvlJc w:val="left"/>
      <w:pPr>
        <w:ind w:left="1798" w:hanging="420"/>
      </w:pPr>
      <w:rPr>
        <w:rFonts w:hint="default"/>
      </w:rPr>
    </w:lvl>
    <w:lvl w:ilvl="8">
      <w:start w:val="0"/>
      <w:numFmt w:val="bullet"/>
      <w:lvlText w:val="•"/>
      <w:lvlJc w:val="left"/>
      <w:pPr>
        <w:ind w:left="1985" w:hanging="420"/>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01" w:hanging="420"/>
      </w:pPr>
      <w:rPr>
        <w:rFonts w:hint="default"/>
      </w:rPr>
    </w:lvl>
    <w:lvl w:ilvl="3">
      <w:start w:val="0"/>
      <w:numFmt w:val="bullet"/>
      <w:lvlText w:val="•"/>
      <w:lvlJc w:val="left"/>
      <w:pPr>
        <w:ind w:left="1083" w:hanging="420"/>
      </w:pPr>
      <w:rPr>
        <w:rFonts w:hint="default"/>
      </w:rPr>
    </w:lvl>
    <w:lvl w:ilvl="4">
      <w:start w:val="0"/>
      <w:numFmt w:val="bullet"/>
      <w:lvlText w:val="•"/>
      <w:lvlJc w:val="left"/>
      <w:pPr>
        <w:ind w:left="1265" w:hanging="420"/>
      </w:pPr>
      <w:rPr>
        <w:rFonts w:hint="default"/>
      </w:rPr>
    </w:lvl>
    <w:lvl w:ilvl="5">
      <w:start w:val="0"/>
      <w:numFmt w:val="bullet"/>
      <w:lvlText w:val="•"/>
      <w:lvlJc w:val="left"/>
      <w:pPr>
        <w:ind w:left="1447" w:hanging="420"/>
      </w:pPr>
      <w:rPr>
        <w:rFonts w:hint="default"/>
      </w:rPr>
    </w:lvl>
    <w:lvl w:ilvl="6">
      <w:start w:val="0"/>
      <w:numFmt w:val="bullet"/>
      <w:lvlText w:val="•"/>
      <w:lvlJc w:val="left"/>
      <w:pPr>
        <w:ind w:left="1628" w:hanging="420"/>
      </w:pPr>
      <w:rPr>
        <w:rFonts w:hint="default"/>
      </w:rPr>
    </w:lvl>
    <w:lvl w:ilvl="7">
      <w:start w:val="0"/>
      <w:numFmt w:val="bullet"/>
      <w:lvlText w:val="•"/>
      <w:lvlJc w:val="left"/>
      <w:pPr>
        <w:ind w:left="1810" w:hanging="420"/>
      </w:pPr>
      <w:rPr>
        <w:rFonts w:hint="default"/>
      </w:rPr>
    </w:lvl>
    <w:lvl w:ilvl="8">
      <w:start w:val="0"/>
      <w:numFmt w:val="bullet"/>
      <w:lvlText w:val="•"/>
      <w:lvlJc w:val="left"/>
      <w:pPr>
        <w:ind w:left="1992" w:hanging="420"/>
      </w:pPr>
      <w:rPr>
        <w:rFonts w:hint="default"/>
      </w:rPr>
    </w:lvl>
  </w:abstractNum>
  <w:abstractNum w:abstractNumId="0">
    <w:multiLevelType w:val="hybridMultilevel"/>
    <w:lvl w:ilvl="0">
      <w:start w:val="0"/>
      <w:numFmt w:val="bullet"/>
      <w:lvlText w:val=""/>
      <w:lvlJc w:val="left"/>
      <w:pPr>
        <w:ind w:left="252" w:hanging="399"/>
      </w:pPr>
      <w:rPr>
        <w:rFonts w:hint="default" w:ascii="Wingdings" w:hAnsi="Wingdings" w:eastAsia="Wingdings" w:cs="Wingdings"/>
        <w:w w:val="100"/>
        <w:sz w:val="21"/>
        <w:szCs w:val="21"/>
      </w:rPr>
    </w:lvl>
    <w:lvl w:ilvl="1">
      <w:start w:val="1"/>
      <w:numFmt w:val="decimal"/>
      <w:lvlText w:val="%2."/>
      <w:lvlJc w:val="left"/>
      <w:pPr>
        <w:ind w:left="2021" w:hanging="317"/>
        <w:jc w:val="left"/>
      </w:pPr>
      <w:rPr>
        <w:rFonts w:hint="default" w:ascii="宋体" w:hAnsi="宋体" w:eastAsia="宋体" w:cs="宋体"/>
        <w:w w:val="100"/>
        <w:sz w:val="21"/>
        <w:szCs w:val="21"/>
      </w:rPr>
    </w:lvl>
    <w:lvl w:ilvl="2">
      <w:start w:val="0"/>
      <w:numFmt w:val="bullet"/>
      <w:lvlText w:val="•"/>
      <w:lvlJc w:val="left"/>
      <w:pPr>
        <w:ind w:left="2800" w:hanging="317"/>
      </w:pPr>
      <w:rPr>
        <w:rFonts w:hint="default"/>
      </w:rPr>
    </w:lvl>
    <w:lvl w:ilvl="3">
      <w:start w:val="0"/>
      <w:numFmt w:val="bullet"/>
      <w:lvlText w:val="•"/>
      <w:lvlJc w:val="left"/>
      <w:pPr>
        <w:ind w:left="3581" w:hanging="317"/>
      </w:pPr>
      <w:rPr>
        <w:rFonts w:hint="default"/>
      </w:rPr>
    </w:lvl>
    <w:lvl w:ilvl="4">
      <w:start w:val="0"/>
      <w:numFmt w:val="bullet"/>
      <w:lvlText w:val="•"/>
      <w:lvlJc w:val="left"/>
      <w:pPr>
        <w:ind w:left="4362" w:hanging="317"/>
      </w:pPr>
      <w:rPr>
        <w:rFonts w:hint="default"/>
      </w:rPr>
    </w:lvl>
    <w:lvl w:ilvl="5">
      <w:start w:val="0"/>
      <w:numFmt w:val="bullet"/>
      <w:lvlText w:val="•"/>
      <w:lvlJc w:val="left"/>
      <w:pPr>
        <w:ind w:left="5142" w:hanging="317"/>
      </w:pPr>
      <w:rPr>
        <w:rFonts w:hint="default"/>
      </w:rPr>
    </w:lvl>
    <w:lvl w:ilvl="6">
      <w:start w:val="0"/>
      <w:numFmt w:val="bullet"/>
      <w:lvlText w:val="•"/>
      <w:lvlJc w:val="left"/>
      <w:pPr>
        <w:ind w:left="5923" w:hanging="317"/>
      </w:pPr>
      <w:rPr>
        <w:rFonts w:hint="default"/>
      </w:rPr>
    </w:lvl>
    <w:lvl w:ilvl="7">
      <w:start w:val="0"/>
      <w:numFmt w:val="bullet"/>
      <w:lvlText w:val="•"/>
      <w:lvlJc w:val="left"/>
      <w:pPr>
        <w:ind w:left="6704" w:hanging="317"/>
      </w:pPr>
      <w:rPr>
        <w:rFonts w:hint="default"/>
      </w:rPr>
    </w:lvl>
    <w:lvl w:ilvl="8">
      <w:start w:val="0"/>
      <w:numFmt w:val="bullet"/>
      <w:lvlText w:val="•"/>
      <w:lvlJc w:val="left"/>
      <w:pPr>
        <w:ind w:left="7484" w:hanging="317"/>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88"/>
      <w:outlineLvl w:val="1"/>
    </w:pPr>
    <w:rPr>
      <w:rFonts w:ascii="宋体" w:hAnsi="宋体" w:eastAsia="宋体" w:cs="宋体"/>
      <w:b/>
      <w:bCs/>
      <w:sz w:val="21"/>
      <w:szCs w:val="21"/>
    </w:rPr>
  </w:style>
  <w:style w:styleId="ListParagraph" w:type="paragraph">
    <w:name w:val="List Paragraph"/>
    <w:basedOn w:val="Normal"/>
    <w:uiPriority w:val="1"/>
    <w:qFormat/>
    <w:pPr>
      <w:ind w:left="2089"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个人终身寿险（万能型）条款</dc:title>
  <dcterms:created xsi:type="dcterms:W3CDTF">2018-10-20T04:21:07Z</dcterms:created>
  <dcterms:modified xsi:type="dcterms:W3CDTF">2018-10-20T04:21:07Z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Microsoft® Office Word 2007</vt:lpwstr>
  </property>
  <property fmtid="{D5CDD505-2E9C-101B-9397-08002B2CF9AE}" pid="4" name="LastSaved">
    <vt:filetime>2018-10-19T00:00:00Z</vt:filetime>
  </property>
</Properties>
</file>