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pPr>
      <w:r>
        <w:rPr/>
        <w:t>海康附加定期重大疾病保险条款</w:t>
      </w:r>
    </w:p>
    <w:p>
      <w:pPr>
        <w:pStyle w:val="BodyText"/>
        <w:spacing w:before="4"/>
        <w:rPr>
          <w:rFonts w:ascii="微软雅黑"/>
          <w:b/>
          <w:sz w:val="26"/>
        </w:rPr>
      </w:pPr>
    </w:p>
    <w:p>
      <w:pPr>
        <w:spacing w:before="0"/>
        <w:ind w:left="1334" w:right="0" w:firstLine="0"/>
        <w:jc w:val="center"/>
        <w:rPr>
          <w:sz w:val="32"/>
        </w:rPr>
      </w:pPr>
      <w:r>
        <w:rPr>
          <w:sz w:val="32"/>
        </w:rPr>
        <w:t>阅 读 指 引</w:t>
      </w:r>
    </w:p>
    <w:p>
      <w:pPr>
        <w:pStyle w:val="BodyText"/>
        <w:spacing w:before="2"/>
        <w:rPr>
          <w:sz w:val="35"/>
        </w:rPr>
      </w:pPr>
    </w:p>
    <w:p>
      <w:pPr>
        <w:pStyle w:val="BodyText"/>
        <w:spacing w:before="1"/>
        <w:ind w:left="13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37"/>
        <w:ind w:left="0" w:right="64" w:firstLine="0"/>
        <w:jc w:val="center"/>
        <w:rPr>
          <w:sz w:val="16"/>
        </w:rPr>
      </w:pPr>
      <w:r>
        <w:rPr/>
        <w:br w:type="column"/>
      </w:r>
      <w:r>
        <w:rPr>
          <w:sz w:val="16"/>
        </w:rPr>
        <w:t>海康人寿[2009]疾病保险 004 号</w:t>
      </w:r>
    </w:p>
    <w:p>
      <w:pPr>
        <w:pStyle w:val="BodyText"/>
        <w:spacing w:before="5"/>
        <w:rPr>
          <w:sz w:val="10"/>
        </w:rPr>
      </w:pPr>
    </w:p>
    <w:p>
      <w:pPr>
        <w:pStyle w:val="BodyText"/>
        <w:ind w:left="600"/>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74"/>
        <w:ind w:left="0" w:right="64" w:firstLine="0"/>
        <w:jc w:val="center"/>
        <w:rPr>
          <w:sz w:val="16"/>
        </w:rPr>
      </w:pPr>
      <w:r>
        <w:rPr>
          <w:sz w:val="16"/>
        </w:rPr>
        <w:t>请扫描以查询验证条款</w:t>
      </w:r>
    </w:p>
    <w:p>
      <w:pPr>
        <w:spacing w:after="0"/>
        <w:jc w:val="center"/>
        <w:rPr>
          <w:sz w:val="16"/>
        </w:rPr>
        <w:sectPr>
          <w:type w:val="continuous"/>
          <w:pgSz w:w="11910" w:h="16840"/>
          <w:pgMar w:top="540" w:bottom="280" w:left="1300" w:right="200"/>
          <w:cols w:num="2" w:equalWidth="0">
            <w:col w:w="7973" w:space="40"/>
            <w:col w:w="2397"/>
          </w:cols>
        </w:sectPr>
      </w:pPr>
    </w:p>
    <w:p>
      <w:pPr>
        <w:pStyle w:val="BodyText"/>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2"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8">
        <w:r>
          <w:rPr>
            <w:rFonts w:ascii="Times New Roman" w:eastAsia="Times New Roman"/>
          </w:rPr>
          <w:t>2.3</w:t>
        </w:r>
      </w:hyperlink>
    </w:p>
    <w:p>
      <w:pPr>
        <w:pStyle w:val="BodyText"/>
        <w:tabs>
          <w:tab w:pos="8204" w:val="right" w:leader="dot"/>
        </w:tabs>
        <w:spacing w:before="21"/>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权益</w:t>
        <w:tab/>
      </w:r>
      <w:hyperlink w:history="true" w:anchor="_bookmark18">
        <w:r>
          <w:rPr>
            <w:rFonts w:ascii="Times New Roman" w:eastAsia="Times New Roman"/>
          </w:rPr>
          <w:t>5</w:t>
        </w:r>
      </w:hyperlink>
    </w:p>
    <w:p>
      <w:pPr>
        <w:pStyle w:val="BodyText"/>
        <w:tabs>
          <w:tab w:pos="8362"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23">
        <w:r>
          <w:rPr>
            <w:rFonts w:ascii="Times New Roman" w:eastAsia="Times New Roman"/>
          </w:rPr>
          <w:t>6.1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9">
        <w:r>
          <w:rPr>
            <w:rFonts w:ascii="Times New Roman" w:eastAsia="Times New Roman"/>
          </w:rPr>
          <w:t>2.4</w:t>
        </w:r>
      </w:hyperlink>
    </w:p>
    <w:p>
      <w:pPr>
        <w:pStyle w:val="BodyText"/>
        <w:tabs>
          <w:tab w:pos="8361"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2">
        <w:r>
          <w:rPr>
            <w:rFonts w:ascii="Times New Roman" w:eastAsia="Times New Roman"/>
          </w:rPr>
          <w:t>3.1</w:t>
        </w:r>
      </w:hyperlink>
    </w:p>
    <w:p>
      <w:pPr>
        <w:pStyle w:val="BodyText"/>
        <w:tabs>
          <w:tab w:pos="8360"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23">
        <w:r>
          <w:rPr>
            <w:rFonts w:ascii="Times New Roman" w:eastAsia="Times New Roman"/>
          </w:rPr>
          <w:t>6.1</w:t>
        </w:r>
      </w:hyperlink>
    </w:p>
    <w:p>
      <w:pPr>
        <w:pStyle w:val="BodyText"/>
        <w:tabs>
          <w:tab w:pos="8206"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24">
        <w:r>
          <w:rPr>
            <w:rFonts w:ascii="Times New Roman" w:eastAsia="Times New Roman"/>
          </w:rPr>
          <w:t>7</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200"/>
        </w:sectPr>
      </w:pPr>
    </w:p>
    <w:p>
      <w:pPr>
        <w:pStyle w:val="BodyText"/>
        <w:spacing w:before="6"/>
        <w:rPr>
          <w:b/>
          <w:sz w:val="34"/>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3"/>
        <w:rPr>
          <w:b/>
          <w:sz w:val="24"/>
        </w:rPr>
      </w:pPr>
    </w:p>
    <w:p>
      <w:pPr>
        <w:pStyle w:val="Heading3"/>
        <w:numPr>
          <w:ilvl w:val="0"/>
          <w:numId w:val="1"/>
        </w:numPr>
        <w:tabs>
          <w:tab w:pos="478" w:val="left" w:leader="none"/>
          <w:tab w:pos="479" w:val="left" w:leader="none"/>
        </w:tabs>
        <w:spacing w:line="240" w:lineRule="auto" w:before="1" w:after="0"/>
        <w:ind w:left="478" w:right="0" w:hanging="360"/>
        <w:jc w:val="left"/>
      </w:pPr>
      <w:hyperlink w:history="true" w:anchor="_bookmark0">
        <w:r>
          <w:rPr/>
          <w:t>您与我们订立的合同</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
        <w:r>
          <w:rPr>
            <w:spacing w:val="-1"/>
            <w:sz w:val="21"/>
          </w:rPr>
          <w:t>投保范围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
        <w:r>
          <w:rPr>
            <w:spacing w:val="-2"/>
            <w:sz w:val="21"/>
          </w:rPr>
          <w:t>合同成立与生效</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
        <w:r>
          <w:rPr>
            <w:spacing w:val="-1"/>
            <w:sz w:val="21"/>
          </w:rPr>
          <w:t>合同终止</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5">
        <w:r>
          <w:rPr/>
          <w:t>我们提供的保障</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6">
        <w:r>
          <w:rPr>
            <w:spacing w:val="-2"/>
            <w:sz w:val="21"/>
          </w:rPr>
          <w:t>基本保险金额</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7">
        <w:r>
          <w:rPr>
            <w:spacing w:val="-1"/>
            <w:sz w:val="21"/>
          </w:rPr>
          <w:t>保险期间</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8">
        <w:r>
          <w:rPr>
            <w:spacing w:val="-1"/>
            <w:sz w:val="21"/>
          </w:rPr>
          <w:t>保险责任</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0">
        <w:r>
          <w:rPr>
            <w:spacing w:val="-1"/>
            <w:sz w:val="21"/>
          </w:rPr>
          <w:t>责任免除</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11">
        <w:r>
          <w:rPr/>
          <w:t>保险金的申请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3">
        <w:r>
          <w:rPr>
            <w:spacing w:val="-2"/>
            <w:sz w:val="21"/>
          </w:rPr>
          <w:t>保险事故通知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4">
        <w:r>
          <w:rPr>
            <w:spacing w:val="-1"/>
            <w:sz w:val="21"/>
          </w:rPr>
          <w:t>保险金申请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5">
        <w:r>
          <w:rPr>
            <w:spacing w:val="-1"/>
            <w:sz w:val="21"/>
          </w:rPr>
          <w:t>诉讼时效</w:t>
        </w:r>
      </w:hyperlink>
    </w:p>
    <w:p>
      <w:pPr>
        <w:pStyle w:val="BodyText"/>
        <w:rPr>
          <w:sz w:val="22"/>
        </w:rPr>
      </w:pPr>
      <w:r>
        <w:rPr/>
        <w:br w:type="column"/>
      </w:r>
      <w:r>
        <w:rPr>
          <w:sz w:val="22"/>
        </w:rPr>
      </w:r>
    </w:p>
    <w:p>
      <w:pPr>
        <w:pStyle w:val="BodyText"/>
        <w:rPr>
          <w:sz w:val="22"/>
        </w:rPr>
      </w:pPr>
    </w:p>
    <w:p>
      <w:pPr>
        <w:pStyle w:val="BodyText"/>
        <w:rPr>
          <w:sz w:val="22"/>
        </w:rPr>
      </w:pPr>
    </w:p>
    <w:p>
      <w:pPr>
        <w:pStyle w:val="BodyText"/>
        <w:spacing w:before="1"/>
        <w:rPr>
          <w:sz w:val="18"/>
        </w:rPr>
      </w:pPr>
    </w:p>
    <w:p>
      <w:pPr>
        <w:pStyle w:val="Heading3"/>
        <w:numPr>
          <w:ilvl w:val="0"/>
          <w:numId w:val="1"/>
        </w:numPr>
        <w:tabs>
          <w:tab w:pos="478" w:val="left" w:leader="none"/>
          <w:tab w:pos="479" w:val="left" w:leader="none"/>
        </w:tabs>
        <w:spacing w:line="240" w:lineRule="auto" w:before="0" w:after="0"/>
        <w:ind w:left="478" w:right="0" w:hanging="360"/>
        <w:jc w:val="left"/>
      </w:pPr>
      <w:hyperlink w:history="true" w:anchor="_bookmark16">
        <w:r>
          <w:rPr/>
          <w:t>保险费的缴纳</w:t>
        </w:r>
      </w:hyperlink>
    </w:p>
    <w:p>
      <w:pPr>
        <w:pStyle w:val="ListParagraph"/>
        <w:numPr>
          <w:ilvl w:val="1"/>
          <w:numId w:val="1"/>
        </w:numPr>
        <w:tabs>
          <w:tab w:pos="717" w:val="left" w:leader="none"/>
        </w:tabs>
        <w:spacing w:line="240" w:lineRule="auto" w:before="20" w:after="0"/>
        <w:ind w:left="716" w:right="0" w:hanging="420"/>
        <w:jc w:val="left"/>
        <w:rPr>
          <w:sz w:val="21"/>
        </w:rPr>
      </w:pPr>
      <w:r>
        <w:rPr/>
        <w:pict>
          <v:line style="position:absolute;mso-position-horizontal-relative:page;mso-position-vertical-relative:paragraph;z-index:0" from="220.320007pt,-21.773458pt" to="220.320007pt,227.826542pt" stroked="true" strokeweight=".72pt" strokecolor="#000000">
            <v:stroke dashstyle="solid"/>
            <w10:wrap type="none"/>
          </v:line>
        </w:pict>
      </w:r>
      <w:hyperlink w:history="true" w:anchor="_bookmark17">
        <w:r>
          <w:rPr>
            <w:spacing w:val="-2"/>
            <w:sz w:val="21"/>
          </w:rPr>
          <w:t>保险费的调整</w:t>
        </w:r>
      </w:hyperlink>
    </w:p>
    <w:p>
      <w:pPr>
        <w:pStyle w:val="Heading3"/>
        <w:numPr>
          <w:ilvl w:val="0"/>
          <w:numId w:val="1"/>
        </w:numPr>
        <w:tabs>
          <w:tab w:pos="478" w:val="left" w:leader="none"/>
          <w:tab w:pos="479" w:val="left" w:leader="none"/>
        </w:tabs>
        <w:spacing w:line="240" w:lineRule="auto" w:before="176" w:after="0"/>
        <w:ind w:left="478" w:right="0" w:hanging="360"/>
        <w:jc w:val="left"/>
      </w:pPr>
      <w:hyperlink w:history="true" w:anchor="_bookmark19">
        <w:r>
          <w:rPr/>
          <w:t>现金价值权益</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20">
        <w:r>
          <w:rPr>
            <w:spacing w:val="-1"/>
            <w:sz w:val="21"/>
          </w:rPr>
          <w:t>现金价值</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21">
        <w:r>
          <w:rPr>
            <w:spacing w:val="-1"/>
            <w:sz w:val="21"/>
          </w:rPr>
          <w:t>减额缴清</w:t>
        </w:r>
      </w:hyperlink>
    </w:p>
    <w:p>
      <w:pPr>
        <w:pStyle w:val="Heading3"/>
        <w:numPr>
          <w:ilvl w:val="0"/>
          <w:numId w:val="1"/>
        </w:numPr>
        <w:tabs>
          <w:tab w:pos="478" w:val="left" w:leader="none"/>
          <w:tab w:pos="479" w:val="left" w:leader="none"/>
        </w:tabs>
        <w:spacing w:line="240" w:lineRule="auto" w:before="176" w:after="0"/>
        <w:ind w:left="478" w:right="0" w:hanging="360"/>
        <w:jc w:val="left"/>
      </w:pPr>
      <w:hyperlink w:history="true" w:anchor="_bookmark22">
        <w:r>
          <w:rPr/>
          <w:t>解除合同</w:t>
        </w:r>
      </w:hyperlink>
    </w:p>
    <w:p>
      <w:pPr>
        <w:pStyle w:val="ListParagraph"/>
        <w:numPr>
          <w:ilvl w:val="1"/>
          <w:numId w:val="1"/>
        </w:numPr>
        <w:tabs>
          <w:tab w:pos="736" w:val="left" w:leader="none"/>
        </w:tabs>
        <w:spacing w:line="256" w:lineRule="auto" w:before="20" w:after="0"/>
        <w:ind w:left="716" w:right="0" w:hanging="420"/>
        <w:jc w:val="left"/>
        <w:rPr>
          <w:sz w:val="21"/>
        </w:rPr>
      </w:pPr>
      <w:hyperlink w:history="true" w:anchor="_bookmark23">
        <w:r>
          <w:rPr>
            <w:spacing w:val="12"/>
            <w:sz w:val="21"/>
          </w:rPr>
          <w:t>您解除合同的手续及风</w:t>
        </w:r>
      </w:hyperlink>
      <w:hyperlink w:history="true" w:anchor="_bookmark23">
        <w:r>
          <w:rPr>
            <w:spacing w:val="12"/>
            <w:sz w:val="21"/>
          </w:rPr>
          <w:t>险</w:t>
        </w:r>
      </w:hyperlink>
    </w:p>
    <w:p>
      <w:pPr>
        <w:pStyle w:val="Heading3"/>
        <w:numPr>
          <w:ilvl w:val="0"/>
          <w:numId w:val="1"/>
        </w:numPr>
        <w:tabs>
          <w:tab w:pos="478" w:val="left" w:leader="none"/>
          <w:tab w:pos="479" w:val="left" w:leader="none"/>
        </w:tabs>
        <w:spacing w:line="240" w:lineRule="auto" w:before="178" w:after="0"/>
        <w:ind w:left="478" w:right="0" w:hanging="360"/>
        <w:jc w:val="left"/>
      </w:pPr>
      <w:hyperlink w:history="true" w:anchor="_bookmark24">
        <w:r>
          <w:rPr/>
          <w:t>释义</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25">
        <w:r>
          <w:rPr>
            <w:spacing w:val="-1"/>
            <w:sz w:val="21"/>
          </w:rPr>
          <w:t>重大疾病</w:t>
        </w:r>
      </w:hyperlink>
    </w:p>
    <w:p>
      <w:pPr>
        <w:pStyle w:val="ListParagraph"/>
        <w:numPr>
          <w:ilvl w:val="1"/>
          <w:numId w:val="1"/>
        </w:numPr>
        <w:tabs>
          <w:tab w:pos="716" w:val="left" w:leader="none"/>
        </w:tabs>
        <w:spacing w:line="240" w:lineRule="auto" w:before="20" w:after="0"/>
        <w:ind w:left="716" w:right="0" w:hanging="421"/>
        <w:jc w:val="left"/>
        <w:rPr>
          <w:sz w:val="21"/>
        </w:rPr>
      </w:pPr>
      <w:hyperlink w:history="true" w:anchor="_bookmark26">
        <w:r>
          <w:rPr>
            <w:spacing w:val="-3"/>
            <w:sz w:val="21"/>
          </w:rPr>
          <w:t>肢体机能完全丧失</w:t>
        </w:r>
      </w:hyperlink>
    </w:p>
    <w:p>
      <w:pPr>
        <w:pStyle w:val="ListParagraph"/>
        <w:numPr>
          <w:ilvl w:val="1"/>
          <w:numId w:val="1"/>
        </w:numPr>
        <w:tabs>
          <w:tab w:pos="736" w:val="left" w:leader="none"/>
        </w:tabs>
        <w:spacing w:line="256" w:lineRule="auto" w:before="20" w:after="0"/>
        <w:ind w:left="716" w:right="0" w:hanging="420"/>
        <w:jc w:val="left"/>
        <w:rPr>
          <w:sz w:val="21"/>
        </w:rPr>
      </w:pPr>
      <w:hyperlink w:history="true" w:anchor="_bookmark27">
        <w:r>
          <w:rPr>
            <w:spacing w:val="12"/>
            <w:sz w:val="21"/>
          </w:rPr>
          <w:t>语言能力或咀嚼吞咽能</w:t>
        </w:r>
      </w:hyperlink>
      <w:hyperlink w:history="true" w:anchor="_bookmark27">
        <w:r>
          <w:rPr>
            <w:spacing w:val="3"/>
            <w:sz w:val="21"/>
          </w:rPr>
          <w:t>力完全丧失</w:t>
        </w:r>
      </w:hyperlink>
    </w:p>
    <w:p>
      <w:pPr>
        <w:pStyle w:val="ListParagraph"/>
        <w:numPr>
          <w:ilvl w:val="1"/>
          <w:numId w:val="1"/>
        </w:numPr>
        <w:tabs>
          <w:tab w:pos="717" w:val="left" w:leader="none"/>
        </w:tabs>
        <w:spacing w:line="240" w:lineRule="auto" w:before="22" w:after="0"/>
        <w:ind w:left="716" w:right="0" w:hanging="420"/>
        <w:jc w:val="left"/>
        <w:rPr>
          <w:sz w:val="21"/>
        </w:rPr>
      </w:pPr>
      <w:hyperlink w:history="true" w:anchor="_bookmark28">
        <w:r>
          <w:rPr>
            <w:spacing w:val="-3"/>
            <w:sz w:val="21"/>
          </w:rPr>
          <w:t>六项基本日常生活活动</w:t>
        </w:r>
      </w:hyperlink>
    </w:p>
    <w:p>
      <w:pPr>
        <w:pStyle w:val="BodyText"/>
        <w:rPr>
          <w:sz w:val="22"/>
        </w:rPr>
      </w:pPr>
      <w:r>
        <w:rPr/>
        <w:br w:type="column"/>
      </w:r>
      <w:r>
        <w:rPr>
          <w:sz w:val="22"/>
        </w:rPr>
      </w:r>
    </w:p>
    <w:p>
      <w:pPr>
        <w:pStyle w:val="BodyText"/>
        <w:rPr>
          <w:sz w:val="22"/>
        </w:rPr>
      </w:pPr>
    </w:p>
    <w:p>
      <w:pPr>
        <w:pStyle w:val="BodyText"/>
        <w:spacing w:before="2"/>
        <w:rPr>
          <w:sz w:val="28"/>
        </w:rPr>
      </w:pPr>
    </w:p>
    <w:p>
      <w:pPr>
        <w:pStyle w:val="ListParagraph"/>
        <w:numPr>
          <w:ilvl w:val="1"/>
          <w:numId w:val="1"/>
        </w:numPr>
        <w:tabs>
          <w:tab w:pos="539" w:val="left" w:leader="none"/>
        </w:tabs>
        <w:spacing w:line="240" w:lineRule="auto" w:before="0" w:after="0"/>
        <w:ind w:left="538" w:right="0" w:hanging="420"/>
        <w:jc w:val="left"/>
        <w:rPr>
          <w:sz w:val="21"/>
        </w:rPr>
      </w:pPr>
      <w:hyperlink w:history="true" w:anchor="_bookmark29">
        <w:r>
          <w:rPr>
            <w:spacing w:val="-1"/>
            <w:sz w:val="21"/>
          </w:rPr>
          <w:t>永久不可逆</w:t>
        </w:r>
      </w:hyperlink>
    </w:p>
    <w:p>
      <w:pPr>
        <w:pStyle w:val="ListParagraph"/>
        <w:numPr>
          <w:ilvl w:val="1"/>
          <w:numId w:val="1"/>
        </w:numPr>
        <w:tabs>
          <w:tab w:pos="539" w:val="left" w:leader="none"/>
        </w:tabs>
        <w:spacing w:line="240" w:lineRule="auto" w:before="21" w:after="0"/>
        <w:ind w:left="538" w:right="0" w:hanging="420"/>
        <w:jc w:val="left"/>
        <w:rPr>
          <w:sz w:val="21"/>
        </w:rPr>
      </w:pPr>
      <w:r>
        <w:rPr/>
        <w:pict>
          <v:line style="position:absolute;mso-position-horizontal-relative:page;mso-position-vertical-relative:paragraph;z-index:1048" from="374.940491pt,-13.910012pt" to="374.940491pt,235.689988pt" stroked="true" strokeweight=".841pt" strokecolor="#000000">
            <v:stroke dashstyle="solid"/>
            <w10:wrap type="none"/>
          </v:line>
        </w:pict>
      </w:r>
      <w:hyperlink w:history="true" w:anchor="_bookmark30">
        <w:r>
          <w:rPr>
            <w:spacing w:val="-1"/>
            <w:sz w:val="21"/>
          </w:rPr>
          <w:t>意外伤害</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1">
        <w:r>
          <w:rPr>
            <w:sz w:val="21"/>
          </w:rPr>
          <w:t>发病</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2">
        <w:r>
          <w:rPr>
            <w:spacing w:val="-3"/>
            <w:sz w:val="21"/>
          </w:rPr>
          <w:t>指定或认可的医院</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3">
        <w:r>
          <w:rPr>
            <w:spacing w:val="-1"/>
            <w:sz w:val="21"/>
          </w:rPr>
          <w:t>专科医生</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4">
        <w:r>
          <w:rPr>
            <w:sz w:val="21"/>
          </w:rPr>
          <w:t>毒品</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5">
        <w:r>
          <w:rPr>
            <w:spacing w:val="-1"/>
            <w:sz w:val="21"/>
          </w:rPr>
          <w:t>酒后驾驶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6">
        <w:r>
          <w:rPr>
            <w:spacing w:val="-3"/>
            <w:sz w:val="21"/>
          </w:rPr>
          <w:t>无合法有效驾驶证驾驶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7">
        <w:r>
          <w:rPr>
            <w:spacing w:val="-2"/>
            <w:sz w:val="21"/>
          </w:rPr>
          <w:t>无有效行驶证</w:t>
        </w:r>
      </w:hyperlink>
    </w:p>
    <w:p>
      <w:pPr>
        <w:pStyle w:val="ListParagraph"/>
        <w:numPr>
          <w:ilvl w:val="1"/>
          <w:numId w:val="1"/>
        </w:numPr>
        <w:tabs>
          <w:tab w:pos="559" w:val="left" w:leader="none"/>
        </w:tabs>
        <w:spacing w:line="256" w:lineRule="auto" w:before="21" w:after="0"/>
        <w:ind w:left="539" w:right="1215" w:hanging="420"/>
        <w:jc w:val="left"/>
        <w:rPr>
          <w:sz w:val="21"/>
        </w:rPr>
      </w:pPr>
      <w:hyperlink w:history="true" w:anchor="_bookmark38">
        <w:r>
          <w:rPr>
            <w:spacing w:val="12"/>
            <w:sz w:val="21"/>
          </w:rPr>
          <w:t>感染艾滋病病毒或患艾</w:t>
        </w:r>
      </w:hyperlink>
      <w:hyperlink w:history="true" w:anchor="_bookmark38">
        <w:r>
          <w:rPr>
            <w:spacing w:val="12"/>
            <w:sz w:val="21"/>
          </w:rPr>
          <w:t>滋病</w:t>
        </w:r>
      </w:hyperlink>
    </w:p>
    <w:p>
      <w:pPr>
        <w:pStyle w:val="ListParagraph"/>
        <w:numPr>
          <w:ilvl w:val="1"/>
          <w:numId w:val="1"/>
        </w:numPr>
        <w:tabs>
          <w:tab w:pos="540" w:val="left" w:leader="none"/>
        </w:tabs>
        <w:spacing w:line="240" w:lineRule="auto" w:before="22" w:after="0"/>
        <w:ind w:left="539" w:right="0" w:hanging="420"/>
        <w:jc w:val="left"/>
        <w:rPr>
          <w:sz w:val="21"/>
        </w:rPr>
      </w:pPr>
      <w:hyperlink w:history="true" w:anchor="_bookmark39">
        <w:r>
          <w:rPr>
            <w:spacing w:val="-1"/>
            <w:sz w:val="21"/>
          </w:rPr>
          <w:t>遗传性疾病</w:t>
        </w:r>
      </w:hyperlink>
    </w:p>
    <w:p>
      <w:pPr>
        <w:pStyle w:val="ListParagraph"/>
        <w:numPr>
          <w:ilvl w:val="1"/>
          <w:numId w:val="1"/>
        </w:numPr>
        <w:tabs>
          <w:tab w:pos="540" w:val="left" w:leader="none"/>
        </w:tabs>
        <w:spacing w:line="256" w:lineRule="auto" w:before="20" w:after="0"/>
        <w:ind w:left="539" w:right="1217" w:hanging="420"/>
        <w:jc w:val="left"/>
        <w:rPr>
          <w:sz w:val="21"/>
        </w:rPr>
      </w:pPr>
      <w:hyperlink w:history="true" w:anchor="_bookmark40">
        <w:r>
          <w:rPr>
            <w:spacing w:val="-6"/>
            <w:sz w:val="21"/>
          </w:rPr>
          <w:t>先天性畸形、变形或染色</w:t>
        </w:r>
      </w:hyperlink>
      <w:hyperlink w:history="true" w:anchor="_bookmark40">
        <w:r>
          <w:rPr>
            <w:sz w:val="21"/>
          </w:rPr>
          <w:t>体异常</w:t>
        </w:r>
      </w:hyperlink>
    </w:p>
    <w:p>
      <w:pPr>
        <w:spacing w:after="0" w:line="256" w:lineRule="auto"/>
        <w:jc w:val="left"/>
        <w:rPr>
          <w:sz w:val="21"/>
        </w:rPr>
        <w:sectPr>
          <w:type w:val="continuous"/>
          <w:pgSz w:w="11910" w:h="16840"/>
          <w:pgMar w:top="540" w:bottom="280" w:left="1300" w:right="200"/>
          <w:cols w:num="3" w:equalWidth="0">
            <w:col w:w="2380" w:space="714"/>
            <w:col w:w="3004" w:space="265"/>
            <w:col w:w="404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p>
    <w:p>
      <w:pPr>
        <w:pStyle w:val="BodyText"/>
        <w:spacing w:before="37"/>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2495" w:right="2495"/>
      </w:pPr>
      <w:r>
        <w:rPr/>
        <w:t>海康附加定期重大疾病保险</w:t>
      </w:r>
    </w:p>
    <w:p>
      <w:pPr>
        <w:pStyle w:val="BodyText"/>
        <w:spacing w:before="395"/>
        <w:ind w:left="138"/>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p>
    <w:p>
      <w:pPr>
        <w:pStyle w:val="BodyText"/>
        <w:spacing w:before="21"/>
        <w:ind w:left="138"/>
      </w:pPr>
      <w:r>
        <w:rPr>
          <w:rFonts w:ascii="Times New Roman" w:hAnsi="Times New Roman" w:eastAsia="Times New Roman"/>
        </w:rPr>
        <w:t>“</w:t>
      </w:r>
      <w:r>
        <w:rPr/>
        <w:t>海康附加定期重大疾病保险合同</w:t>
      </w:r>
      <w:r>
        <w:rPr>
          <w:rFonts w:ascii="Times New Roman" w:hAnsi="Times New Roman" w:eastAsia="Times New Roman"/>
        </w:rPr>
        <w:t>”</w:t>
      </w:r>
      <w:r>
        <w:rPr/>
        <w:t>。</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480003pt,19.295637pt" to="525.840003pt,19.295637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 w:id="3"/>
      <w:bookmarkEnd w:id="3"/>
      <w:r>
        <w:rPr>
          <w:b w:val="0"/>
        </w:rPr>
      </w:r>
      <w:bookmarkStart w:name="_bookmark1" w:id="4"/>
      <w:bookmarkEnd w:id="4"/>
      <w:r>
        <w:rPr/>
        <w:t>合同构成</w:t>
      </w:r>
    </w:p>
    <w:p>
      <w:pPr>
        <w:pStyle w:val="BodyText"/>
        <w:spacing w:before="3"/>
        <w:rPr>
          <w:b/>
          <w:sz w:val="10"/>
        </w:rPr>
      </w:pPr>
    </w:p>
    <w:p>
      <w:pPr>
        <w:pStyle w:val="BodyText"/>
        <w:spacing w:line="266" w:lineRule="auto" w:before="43"/>
        <w:ind w:left="1609" w:right="131"/>
        <w:jc w:val="both"/>
      </w:pPr>
      <w:r>
        <w:rPr/>
        <w:t>本附加合同依您的申请，附加于您与我们订立的主保险合同（以下简称</w:t>
      </w:r>
      <w:r>
        <w:rPr>
          <w:rFonts w:ascii="Times New Roman" w:hAnsi="Times New Roman" w:eastAsia="Times New Roman"/>
        </w:rPr>
        <w:t>“</w:t>
      </w:r>
      <w:r>
        <w:rPr/>
        <w:t>主合同</w:t>
      </w:r>
      <w:r>
        <w:rPr>
          <w:rFonts w:ascii="Times New Roman" w:hAnsi="Times New Roman" w:eastAsia="Times New Roman"/>
        </w:rPr>
        <w:t>”</w:t>
      </w:r>
      <w:r>
        <w:rPr/>
        <w:t>） 之上，并经我们审核同意，在保险单或批注中列明后生效。本附加合同未约定的事项，以主合同为准；若主合同与本附加合同的条款内容互有冲突，则以本附加合同为准。</w:t>
      </w:r>
    </w:p>
    <w:p>
      <w:pPr>
        <w:pStyle w:val="BodyText"/>
        <w:spacing w:before="9"/>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 w:id="5"/>
      <w:bookmarkEnd w:id="5"/>
      <w:r>
        <w:rPr>
          <w:b w:val="0"/>
        </w:rPr>
      </w:r>
      <w:bookmarkStart w:name="_bookmark2" w:id="6"/>
      <w:bookmarkEnd w:id="6"/>
      <w:r>
        <w:rPr/>
        <w:t>投保范围</w:t>
      </w:r>
    </w:p>
    <w:p>
      <w:pPr>
        <w:pStyle w:val="BodyText"/>
        <w:spacing w:before="9"/>
        <w:rPr>
          <w:b/>
          <w:sz w:val="10"/>
        </w:rPr>
      </w:pPr>
    </w:p>
    <w:p>
      <w:pPr>
        <w:pStyle w:val="BodyText"/>
        <w:spacing w:before="37"/>
        <w:ind w:left="1609"/>
      </w:pPr>
      <w:r>
        <w:rPr/>
        <w:t>本附加合同接受的被保险人的投保年龄为出生满七天至五十五周岁。</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3" w:id="7"/>
      <w:bookmarkEnd w:id="7"/>
      <w:r>
        <w:rPr>
          <w:b w:val="0"/>
        </w:rPr>
      </w:r>
      <w:bookmarkStart w:name="_bookmark3" w:id="8"/>
      <w:bookmarkEnd w:id="8"/>
      <w:r>
        <w:rPr/>
        <w:t>合同成立与生效</w:t>
      </w:r>
    </w:p>
    <w:p>
      <w:pPr>
        <w:pStyle w:val="BodyText"/>
        <w:spacing w:line="273" w:lineRule="auto" w:before="177"/>
        <w:ind w:left="1609" w:right="131"/>
      </w:pPr>
      <w:r>
        <w:rPr/>
        <w:t>若您于投保主合同时投保本附加合同，则主合同的合同成立日与生效日分别为本附加合同的合同成立日与生效日，并在保险单上载明。</w:t>
      </w:r>
    </w:p>
    <w:p>
      <w:pPr>
        <w:pStyle w:val="BodyText"/>
        <w:spacing w:line="273" w:lineRule="auto" w:before="163"/>
        <w:ind w:left="1609" w:right="131"/>
        <w:jc w:val="both"/>
      </w:pPr>
      <w:r>
        <w:rPr/>
        <w:t>若您于主合同有效期内申请附加本附加合同，我们同意承保，则本附加合同成立， 合同成立日期在批注上载明。您缴付应缴的保险费且我们同意承保后，则本附加合同自批注上所载的生效日的零时起生效。</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4" w:id="9"/>
      <w:bookmarkEnd w:id="9"/>
      <w:r>
        <w:rPr>
          <w:b w:val="0"/>
        </w:rPr>
      </w:r>
      <w:bookmarkStart w:name="_bookmark4" w:id="10"/>
      <w:bookmarkEnd w:id="10"/>
      <w:r>
        <w:rPr/>
        <w:t>合同终止</w:t>
      </w:r>
    </w:p>
    <w:p>
      <w:pPr>
        <w:pStyle w:val="BodyText"/>
        <w:spacing w:before="177"/>
        <w:ind w:left="1578"/>
        <w:jc w:val="both"/>
      </w:pPr>
      <w:r>
        <w:rPr/>
        <w:t>本附加合同因以下事项而终止效力：</w:t>
      </w:r>
    </w:p>
    <w:p>
      <w:pPr>
        <w:pStyle w:val="BodyText"/>
        <w:spacing w:before="10"/>
        <w:rPr>
          <w:sz w:val="14"/>
        </w:rPr>
      </w:pPr>
    </w:p>
    <w:p>
      <w:pPr>
        <w:pStyle w:val="ListParagraph"/>
        <w:numPr>
          <w:ilvl w:val="2"/>
          <w:numId w:val="2"/>
        </w:numPr>
        <w:tabs>
          <w:tab w:pos="1896" w:val="left" w:leader="none"/>
        </w:tabs>
        <w:spacing w:line="240" w:lineRule="auto" w:before="0" w:after="0"/>
        <w:ind w:left="1895" w:right="0" w:hanging="317"/>
        <w:jc w:val="both"/>
        <w:rPr>
          <w:rFonts w:ascii="黑体" w:eastAsia="黑体" w:hint="eastAsia"/>
          <w:sz w:val="21"/>
        </w:rPr>
      </w:pPr>
      <w:r>
        <w:rPr>
          <w:rFonts w:ascii="黑体" w:eastAsia="黑体" w:hint="eastAsia"/>
          <w:spacing w:val="-3"/>
          <w:sz w:val="21"/>
        </w:rPr>
        <w:t>主合同效力终止或变更为减额缴清时；</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您于本附加合同有效期内向我们申请解除合同；</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主合同豁免保险费但本附加合同的保费不在豁免范围内；</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本附加合同因其他条款所列情况而终止。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80003pt,19.295624pt" to="525.840003pt,19.295624pt" stroked="true" strokeweight="1.44pt" strokecolor="#000000">
            <v:stroke dashstyle="solid"/>
            <w10:wrap type="topAndBottom"/>
          </v:line>
        </w:pict>
      </w:r>
      <w:bookmarkStart w:name="_bookmark5" w:id="11"/>
      <w:bookmarkEnd w:id="11"/>
      <w:r>
        <w:rPr>
          <w:b w:val="0"/>
        </w:rPr>
      </w:r>
      <w:bookmarkStart w:name="_bookmark5" w:id="12"/>
      <w:bookmarkEnd w:id="12"/>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6" w:id="13"/>
      <w:bookmarkEnd w:id="13"/>
      <w:r>
        <w:rPr>
          <w:b w:val="0"/>
        </w:rPr>
      </w:r>
      <w:bookmarkStart w:name="_bookmark6" w:id="14"/>
      <w:bookmarkEnd w:id="14"/>
      <w:r>
        <w:rPr/>
        <w:t>基本保险金额</w:t>
      </w:r>
    </w:p>
    <w:p>
      <w:pPr>
        <w:pStyle w:val="BodyText"/>
        <w:spacing w:line="273" w:lineRule="auto" w:before="177"/>
        <w:ind w:left="1609" w:right="131"/>
        <w:jc w:val="both"/>
      </w:pPr>
      <w:r>
        <w:rPr/>
        <w:t>本附加合同所称基本保险金额是指投保单或合同批注上所载的本附加合同的金额， 若该金额经本附加合同其它条款修正而发生变更，则以变更后的金额为基本保险金额。</w:t>
      </w:r>
    </w:p>
    <w:p>
      <w:pPr>
        <w:pStyle w:val="Heading3"/>
        <w:numPr>
          <w:ilvl w:val="1"/>
          <w:numId w:val="2"/>
        </w:numPr>
        <w:tabs>
          <w:tab w:pos="714" w:val="left" w:leader="none"/>
          <w:tab w:pos="715" w:val="left" w:leader="none"/>
        </w:tabs>
        <w:spacing w:line="240" w:lineRule="auto" w:before="164" w:after="0"/>
        <w:ind w:left="714" w:right="0" w:hanging="576"/>
        <w:jc w:val="left"/>
      </w:pPr>
      <w:bookmarkStart w:name="_bookmark7" w:id="15"/>
      <w:bookmarkEnd w:id="15"/>
      <w:r>
        <w:rPr>
          <w:b w:val="0"/>
        </w:rPr>
      </w:r>
      <w:bookmarkStart w:name="_bookmark7" w:id="16"/>
      <w:bookmarkEnd w:id="16"/>
      <w:r>
        <w:rPr/>
        <w:t>保险期间</w:t>
      </w:r>
    </w:p>
    <w:p>
      <w:pPr>
        <w:pStyle w:val="BodyText"/>
        <w:spacing w:before="177"/>
        <w:ind w:left="1609"/>
        <w:jc w:val="both"/>
      </w:pPr>
      <w:r>
        <w:rPr/>
        <w:t>本附加合同的保险期间等于缴费期间。本附加合同的缴费期间有十年、十五年、二</w:t>
      </w:r>
    </w:p>
    <w:p>
      <w:pPr>
        <w:spacing w:after="0"/>
        <w:jc w:val="both"/>
        <w:sectPr>
          <w:pgSz w:w="11910" w:h="16840"/>
          <w:pgMar w:top="1420" w:bottom="280" w:left="1280" w:right="1280"/>
        </w:sectPr>
      </w:pPr>
    </w:p>
    <w:p>
      <w:pPr>
        <w:pStyle w:val="BodyText"/>
        <w:spacing w:line="264" w:lineRule="auto" w:before="29"/>
        <w:ind w:left="1609" w:right="131"/>
        <w:jc w:val="both"/>
      </w:pPr>
      <w:r>
        <w:rPr>
          <w:spacing w:val="-10"/>
        </w:rPr>
        <w:t>十年、至被保险人 </w:t>
      </w:r>
      <w:r>
        <w:rPr>
          <w:rFonts w:ascii="Times New Roman" w:eastAsia="Times New Roman"/>
        </w:rPr>
        <w:t>55 </w:t>
      </w:r>
      <w:r>
        <w:rPr>
          <w:spacing w:val="-10"/>
        </w:rPr>
        <w:t>周岁、至被保险人 </w:t>
      </w:r>
      <w:r>
        <w:rPr>
          <w:rFonts w:ascii="Times New Roman" w:eastAsia="Times New Roman"/>
        </w:rPr>
        <w:t>60 </w:t>
      </w:r>
      <w:r>
        <w:rPr>
          <w:spacing w:val="-10"/>
        </w:rPr>
        <w:t>周岁、至被保险人 </w:t>
      </w:r>
      <w:r>
        <w:rPr>
          <w:rFonts w:ascii="Times New Roman" w:eastAsia="Times New Roman"/>
        </w:rPr>
        <w:t>65 </w:t>
      </w:r>
      <w:r>
        <w:rPr>
          <w:spacing w:val="-6"/>
        </w:rPr>
        <w:t>周岁六种。您可以</w:t>
      </w:r>
      <w:r>
        <w:rPr/>
        <w:t>与我们约定其中一种缴费期间并在投保单上载明。自本附加合同生效日零时起至本</w:t>
      </w:r>
      <w:r>
        <w:rPr>
          <w:spacing w:val="-3"/>
        </w:rPr>
        <w:t>附加合同约定的满期日零时止。</w:t>
      </w:r>
    </w:p>
    <w:p>
      <w:pPr>
        <w:pStyle w:val="BodyText"/>
        <w:spacing w:before="11"/>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8" w:id="17"/>
      <w:bookmarkEnd w:id="17"/>
      <w:r>
        <w:rPr>
          <w:b w:val="0"/>
        </w:rPr>
      </w:r>
      <w:bookmarkStart w:name="_bookmark8" w:id="18"/>
      <w:bookmarkEnd w:id="18"/>
      <w:r>
        <w:rPr/>
        <w:t>保险责任</w:t>
      </w:r>
    </w:p>
    <w:p>
      <w:pPr>
        <w:pStyle w:val="BodyText"/>
        <w:spacing w:before="9"/>
        <w:rPr>
          <w:b/>
          <w:sz w:val="10"/>
        </w:rPr>
      </w:pPr>
    </w:p>
    <w:p>
      <w:pPr>
        <w:pStyle w:val="BodyText"/>
        <w:spacing w:line="266" w:lineRule="auto" w:before="37"/>
        <w:ind w:left="1575" w:right="131"/>
        <w:jc w:val="both"/>
      </w:pPr>
      <w:r>
        <w:rPr/>
        <w:t>在本附加合同有效期限内，若被保险人因</w:t>
      </w:r>
      <w:r>
        <w:rPr>
          <w:b/>
        </w:rPr>
        <w:t>意外伤害</w:t>
      </w:r>
      <w:r>
        <w:rPr/>
        <w:t>事故或于本附加合同生效（或最后一次复效，以较迟者为准）日起</w:t>
      </w:r>
      <w:r>
        <w:rPr>
          <w:rFonts w:ascii="黑体" w:hAns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重大疾病</w:t>
      </w:r>
      <w:r>
        <w:rPr/>
        <w:t>，且被保险人至确诊日后的</w:t>
      </w:r>
      <w:r>
        <w:rPr>
          <w:rFonts w:ascii="黑体" w:hAnsi="黑体" w:eastAsia="黑体" w:hint="eastAsia"/>
        </w:rPr>
        <w:t>第二</w:t>
      </w:r>
      <w:r>
        <w:rPr>
          <w:rFonts w:ascii="黑体" w:hAnsi="黑体" w:eastAsia="黑体" w:hint="eastAsia"/>
          <w:w w:val="100"/>
        </w:rPr>
        <w:t>十八天的零时</w:t>
      </w:r>
      <w:r>
        <w:rPr>
          <w:w w:val="100"/>
        </w:rPr>
        <w:t>仍然生存（确诊日的次日为第一天</w:t>
      </w:r>
      <w:r>
        <w:rPr>
          <w:spacing w:val="-104"/>
          <w:w w:val="100"/>
        </w:rPr>
        <w:t>）</w:t>
      </w:r>
      <w:r>
        <w:rPr>
          <w:w w:val="100"/>
        </w:rPr>
        <w:t>，则我们按基本保险金额给付</w:t>
      </w:r>
      <w:r>
        <w:rPr>
          <w:rFonts w:ascii="Times New Roman" w:hAnsi="Times New Roman" w:eastAsia="Times New Roman"/>
          <w:spacing w:val="1"/>
          <w:w w:val="100"/>
        </w:rPr>
        <w:t>“</w:t>
      </w:r>
      <w:r>
        <w:rPr>
          <w:w w:val="100"/>
        </w:rPr>
        <w:t>重</w:t>
      </w:r>
      <w:r>
        <w:rPr>
          <w:spacing w:val="-2"/>
        </w:rPr>
        <w:t>大疾病保险金</w:t>
      </w:r>
      <w:r>
        <w:rPr>
          <w:rFonts w:ascii="Times New Roman" w:hAnsi="Times New Roman" w:eastAsia="Times New Roman"/>
          <w:spacing w:val="-3"/>
        </w:rPr>
        <w:t>”</w:t>
      </w:r>
      <w:r>
        <w:rPr>
          <w:spacing w:val="-6"/>
        </w:rPr>
        <w:t>予被保险人</w:t>
      </w:r>
      <w:r>
        <w:rPr/>
        <w:t>（</w:t>
      </w:r>
      <w:r>
        <w:rPr>
          <w:rFonts w:ascii="黑体" w:hAnsi="黑体" w:eastAsia="黑体" w:hint="eastAsia"/>
          <w:spacing w:val="-3"/>
        </w:rPr>
        <w:t>若被保险人同时符合一项以上</w:t>
      </w:r>
      <w:r>
        <w:rPr>
          <w:rFonts w:ascii="黑体" w:hAnsi="黑体" w:eastAsia="黑体" w:hint="eastAsia"/>
          <w:b/>
        </w:rPr>
        <w:t>重大疾病</w:t>
      </w:r>
      <w:r>
        <w:rPr>
          <w:rFonts w:ascii="黑体" w:hAnsi="黑体" w:eastAsia="黑体" w:hint="eastAsia"/>
          <w:spacing w:val="-5"/>
        </w:rPr>
        <w:t>时，该给付以一</w:t>
      </w:r>
      <w:r>
        <w:rPr>
          <w:rFonts w:ascii="黑体" w:hAnsi="黑体" w:eastAsia="黑体" w:hint="eastAsia"/>
          <w:spacing w:val="-5"/>
          <w:w w:val="100"/>
        </w:rPr>
        <w:t>项为限</w:t>
      </w:r>
      <w:r>
        <w:rPr>
          <w:spacing w:val="-106"/>
          <w:w w:val="100"/>
        </w:rPr>
        <w:t>）</w:t>
      </w:r>
      <w:r>
        <w:rPr>
          <w:spacing w:val="-3"/>
          <w:w w:val="100"/>
        </w:rPr>
        <w:t>，本附加合同效力终止。</w:t>
      </w:r>
    </w:p>
    <w:p>
      <w:pPr>
        <w:pStyle w:val="BodyText"/>
        <w:spacing w:before="9"/>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0" w:id="19"/>
      <w:bookmarkEnd w:id="19"/>
      <w:r>
        <w:rPr>
          <w:b w:val="0"/>
        </w:rPr>
      </w:r>
      <w:bookmarkStart w:name="_bookmark9" w:id="20"/>
      <w:bookmarkEnd w:id="20"/>
      <w:r>
        <w:rPr>
          <w:b w:val="0"/>
        </w:rPr>
      </w:r>
      <w:bookmarkStart w:name="_bookmark9" w:id="21"/>
      <w:bookmarkEnd w:id="21"/>
      <w:r>
        <w:rPr/>
        <w:t>责任免除</w:t>
      </w:r>
    </w:p>
    <w:p>
      <w:pPr>
        <w:pStyle w:val="BodyText"/>
        <w:spacing w:before="9"/>
        <w:rPr>
          <w:b/>
          <w:sz w:val="10"/>
        </w:rPr>
      </w:pPr>
    </w:p>
    <w:p>
      <w:pPr>
        <w:pStyle w:val="BodyText"/>
        <w:spacing w:line="273" w:lineRule="auto" w:before="37"/>
        <w:ind w:left="1609" w:right="134"/>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r>
        <w:rPr/>
        <w:t>：</w:t>
      </w:r>
    </w:p>
    <w:p>
      <w:pPr>
        <w:pStyle w:val="ListParagraph"/>
        <w:numPr>
          <w:ilvl w:val="2"/>
          <w:numId w:val="2"/>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6" w:after="0"/>
        <w:ind w:left="1895" w:right="0" w:hanging="317"/>
        <w:jc w:val="left"/>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480003pt,19.295626pt" to="525.840003pt,19.295626pt" stroked="true" strokeweight="1.44pt" strokecolor="#000000">
            <v:stroke dashstyle="solid"/>
            <w10:wrap type="topAndBottom"/>
          </v:line>
        </w:pict>
      </w:r>
      <w:bookmarkStart w:name="_bookmark11" w:id="22"/>
      <w:bookmarkEnd w:id="22"/>
      <w:r>
        <w:rPr/>
      </w:r>
      <w:bookmarkStart w:name="_bookmark11" w:id="23"/>
      <w:bookmarkEnd w:id="23"/>
      <w:r>
        <w:rPr>
          <w:b/>
          <w:w w:val="95"/>
          <w:sz w:val="24"/>
        </w:rPr>
        <w:t>保险金的申请</w:t>
      </w:r>
    </w:p>
    <w:p>
      <w:pPr>
        <w:pStyle w:val="BodyText"/>
        <w:spacing w:before="5"/>
        <w:rPr>
          <w:b/>
          <w:sz w:val="5"/>
        </w:rPr>
      </w:pPr>
    </w:p>
    <w:p>
      <w:pPr>
        <w:pStyle w:val="ListParagraph"/>
        <w:numPr>
          <w:ilvl w:val="1"/>
          <w:numId w:val="2"/>
        </w:numPr>
        <w:tabs>
          <w:tab w:pos="714" w:val="left" w:leader="none"/>
          <w:tab w:pos="715" w:val="left" w:leader="none"/>
        </w:tabs>
        <w:spacing w:line="240" w:lineRule="auto" w:before="43" w:after="0"/>
        <w:ind w:left="714" w:right="0" w:hanging="576"/>
        <w:jc w:val="left"/>
        <w:rPr>
          <w:b/>
          <w:sz w:val="21"/>
        </w:rPr>
      </w:pPr>
      <w:bookmarkStart w:name="_bookmark13" w:id="24"/>
      <w:bookmarkEnd w:id="24"/>
      <w:r>
        <w:rPr/>
      </w:r>
      <w:bookmarkStart w:name="_bookmark13" w:id="25"/>
      <w:bookmarkEnd w:id="25"/>
      <w:r>
        <w:rPr>
          <w:b/>
          <w:sz w:val="21"/>
        </w:rPr>
        <w:t>保险事故通知</w:t>
      </w:r>
    </w:p>
    <w:p>
      <w:pPr>
        <w:pStyle w:val="BodyText"/>
        <w:spacing w:before="177"/>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ind w:left="1609" w:right="131"/>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14" w:id="26"/>
      <w:bookmarkEnd w:id="26"/>
      <w:r>
        <w:rPr>
          <w:b w:val="0"/>
        </w:rPr>
      </w:r>
      <w:bookmarkStart w:name="_bookmark14" w:id="27"/>
      <w:bookmarkEnd w:id="27"/>
      <w:r>
        <w:rPr/>
        <w:t>保险金申请</w:t>
      </w:r>
    </w:p>
    <w:p>
      <w:pPr>
        <w:pStyle w:val="BodyText"/>
        <w:spacing w:line="273" w:lineRule="auto" w:before="176"/>
        <w:ind w:left="1609" w:right="133" w:hanging="1"/>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3" w:after="0"/>
        <w:ind w:left="1895" w:right="0" w:hanging="317"/>
        <w:jc w:val="both"/>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被保险人的有效身份证件；</w:t>
      </w:r>
    </w:p>
    <w:p>
      <w:pPr>
        <w:spacing w:after="0" w:line="240" w:lineRule="auto"/>
        <w:jc w:val="both"/>
        <w:rPr>
          <w:sz w:val="21"/>
        </w:rPr>
        <w:sectPr>
          <w:pgSz w:w="11910" w:h="16840"/>
          <w:pgMar w:top="1380" w:bottom="280" w:left="1280" w:right="1280"/>
        </w:sectPr>
      </w:pPr>
    </w:p>
    <w:p>
      <w:pPr>
        <w:pStyle w:val="ListParagraph"/>
        <w:numPr>
          <w:ilvl w:val="2"/>
          <w:numId w:val="2"/>
        </w:numPr>
        <w:tabs>
          <w:tab w:pos="1896" w:val="left" w:leader="none"/>
        </w:tabs>
        <w:spacing w:line="256" w:lineRule="auto" w:before="29" w:after="0"/>
        <w:ind w:left="1895" w:right="213" w:hanging="317"/>
        <w:jc w:val="left"/>
        <w:rPr>
          <w:sz w:val="21"/>
        </w:rPr>
      </w:pPr>
      <w:r>
        <w:rPr>
          <w:spacing w:val="-1"/>
          <w:sz w:val="21"/>
        </w:rPr>
        <w:t>由我们</w:t>
      </w:r>
      <w:r>
        <w:rPr>
          <w:b/>
          <w:spacing w:val="-2"/>
          <w:sz w:val="21"/>
        </w:rPr>
        <w:t>指定或认可的医院</w:t>
      </w:r>
      <w:r>
        <w:rPr>
          <w:spacing w:val="-3"/>
          <w:sz w:val="21"/>
        </w:rPr>
        <w:t>的</w:t>
      </w:r>
      <w:r>
        <w:rPr>
          <w:b/>
          <w:sz w:val="21"/>
        </w:rPr>
        <w:t>专科医生</w:t>
      </w:r>
      <w:r>
        <w:rPr>
          <w:spacing w:val="-8"/>
          <w:sz w:val="21"/>
        </w:rPr>
        <w:t>出具的病历、必须的病理检验、血液检查及</w:t>
      </w:r>
      <w:r>
        <w:rPr>
          <w:spacing w:val="-5"/>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5"/>
        <w:rPr>
          <w:sz w:val="11"/>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5" w:id="28"/>
      <w:bookmarkEnd w:id="28"/>
      <w:r>
        <w:rPr>
          <w:b w:val="0"/>
        </w:rPr>
      </w:r>
      <w:bookmarkStart w:name="_bookmark15" w:id="29"/>
      <w:bookmarkEnd w:id="29"/>
      <w:r>
        <w:rPr/>
        <w:t>诉讼时效</w:t>
      </w:r>
    </w:p>
    <w:p>
      <w:pPr>
        <w:pStyle w:val="BodyText"/>
        <w:spacing w:before="9"/>
        <w:rPr>
          <w:b/>
          <w:sz w:val="10"/>
        </w:rPr>
      </w:pPr>
    </w:p>
    <w:p>
      <w:pPr>
        <w:pStyle w:val="BodyText"/>
        <w:spacing w:line="273" w:lineRule="auto" w:before="36"/>
        <w:ind w:left="1609" w:right="211"/>
      </w:pPr>
      <w:r>
        <w:rPr/>
        <w:t>被保险人向我们请求给付保险金的诉讼时效期间为两年，自其知道或者应当知道保险事故发生之日起计算。</w:t>
      </w:r>
    </w:p>
    <w:p>
      <w:pPr>
        <w:pStyle w:val="BodyText"/>
        <w:spacing w:before="5"/>
        <w:rPr>
          <w:sz w:val="22"/>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44;mso-wrap-distance-left:0;mso-wrap-distance-right:0" from="69.480003pt,19.34565pt" to="525.840003pt,19.34565pt" stroked="true" strokeweight="1.44pt" strokecolor="#000000">
            <v:stroke dashstyle="solid"/>
            <w10:wrap type="topAndBottom"/>
          </v:line>
        </w:pict>
      </w:r>
      <w:bookmarkStart w:name="_bookmark16" w:id="30"/>
      <w:bookmarkEnd w:id="30"/>
      <w:r>
        <w:rPr>
          <w:b w:val="0"/>
        </w:rPr>
      </w:r>
      <w:bookmarkStart w:name="_bookmark16" w:id="31"/>
      <w:bookmarkEnd w:id="31"/>
      <w:r>
        <w:rPr>
          <w:w w:val="95"/>
        </w:rPr>
        <w:t>保险费的缴纳</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7" w:id="32"/>
      <w:bookmarkEnd w:id="32"/>
      <w:r>
        <w:rPr>
          <w:b w:val="0"/>
        </w:rPr>
      </w:r>
      <w:bookmarkStart w:name="_bookmark17" w:id="33"/>
      <w:bookmarkEnd w:id="33"/>
      <w:r>
        <w:rPr/>
        <w:t>保险费的调整</w:t>
      </w:r>
    </w:p>
    <w:p>
      <w:pPr>
        <w:pStyle w:val="BodyText"/>
        <w:spacing w:line="273" w:lineRule="auto" w:before="177"/>
        <w:ind w:left="1609" w:right="211"/>
        <w:jc w:val="both"/>
      </w:pPr>
      <w:r>
        <w:rPr/>
        <w:t>本附加合同有效期内，我们有权调整本附加合同的保险费，但这种调整不会针对个别被保险人的身体状况和理赔状况有所不同。经调整后的保险费将在下一个保单周年日前以书面形式通知您。</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480003pt,19.295618pt" to="525.840003pt,19.295618pt" stroked="true" strokeweight="1.44pt" strokecolor="#000000">
            <v:stroke dashstyle="solid"/>
            <w10:wrap type="topAndBottom"/>
          </v:line>
        </w:pict>
      </w:r>
      <w:bookmarkStart w:name="_bookmark19" w:id="34"/>
      <w:bookmarkEnd w:id="34"/>
      <w:r>
        <w:rPr>
          <w:b w:val="0"/>
        </w:rPr>
      </w:r>
      <w:bookmarkStart w:name="_bookmark19" w:id="35"/>
      <w:bookmarkEnd w:id="35"/>
      <w:r>
        <w:rPr>
          <w:w w:val="95"/>
        </w:rPr>
        <w:t>现金价值权益</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0" w:id="36"/>
      <w:bookmarkEnd w:id="36"/>
      <w:r>
        <w:rPr>
          <w:b w:val="0"/>
        </w:rPr>
      </w:r>
      <w:bookmarkStart w:name="_bookmark20" w:id="37"/>
      <w:bookmarkEnd w:id="37"/>
      <w:r>
        <w:rPr/>
        <w:t>现金价值</w:t>
      </w:r>
    </w:p>
    <w:p>
      <w:pPr>
        <w:pStyle w:val="BodyText"/>
        <w:spacing w:before="9"/>
        <w:rPr>
          <w:b/>
          <w:sz w:val="10"/>
        </w:rPr>
      </w:pPr>
    </w:p>
    <w:p>
      <w:pPr>
        <w:pStyle w:val="BodyText"/>
        <w:spacing w:before="37"/>
        <w:ind w:left="1609"/>
      </w:pPr>
      <w:r>
        <w:rPr/>
        <w:t>本附加合同的现金价值会在保险单或批注上载明。</w:t>
      </w:r>
    </w:p>
    <w:p>
      <w:pPr>
        <w:pStyle w:val="BodyText"/>
        <w:spacing w:before="6"/>
        <w:rPr>
          <w:sz w:val="11"/>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1" w:id="38"/>
      <w:bookmarkEnd w:id="38"/>
      <w:r>
        <w:rPr>
          <w:b w:val="0"/>
        </w:rPr>
      </w:r>
      <w:bookmarkStart w:name="_bookmark21" w:id="39"/>
      <w:bookmarkEnd w:id="39"/>
      <w:r>
        <w:rPr/>
        <w:t>减额缴清</w:t>
      </w:r>
    </w:p>
    <w:p>
      <w:pPr>
        <w:pStyle w:val="BodyText"/>
        <w:spacing w:before="9"/>
        <w:rPr>
          <w:b/>
          <w:sz w:val="10"/>
        </w:rPr>
      </w:pPr>
    </w:p>
    <w:p>
      <w:pPr>
        <w:pStyle w:val="BodyText"/>
        <w:spacing w:before="37"/>
        <w:ind w:left="1609"/>
      </w:pPr>
      <w:r>
        <w:rPr/>
        <w:t>本附加合同不提供减额缴清。</w:t>
      </w:r>
    </w:p>
    <w:p>
      <w:pPr>
        <w:pStyle w:val="BodyText"/>
        <w:spacing w:before="2"/>
        <w:rPr>
          <w:sz w:val="22"/>
        </w:rPr>
      </w:pPr>
    </w:p>
    <w:p>
      <w:pPr>
        <w:pStyle w:val="Heading2"/>
        <w:numPr>
          <w:ilvl w:val="0"/>
          <w:numId w:val="2"/>
        </w:numPr>
        <w:tabs>
          <w:tab w:pos="570" w:val="left" w:leader="none"/>
          <w:tab w:pos="571" w:val="left" w:leader="none"/>
        </w:tabs>
        <w:spacing w:line="240" w:lineRule="auto" w:before="33" w:after="0"/>
        <w:ind w:left="570" w:right="0" w:hanging="432"/>
        <w:jc w:val="left"/>
      </w:pPr>
      <w:r>
        <w:rPr/>
        <w:pict>
          <v:line style="position:absolute;mso-position-horizontal-relative:page;mso-position-vertical-relative:paragraph;z-index:1192;mso-wrap-distance-left:0;mso-wrap-distance-right:0" from="69.480003pt,20.825611pt" to="525.840003pt,20.825611pt" stroked="true" strokeweight="1.44pt" strokecolor="#000000">
            <v:stroke dashstyle="solid"/>
            <w10:wrap type="topAndBottom"/>
          </v:line>
        </w:pict>
      </w:r>
      <w:bookmarkStart w:name="_bookmark22" w:id="40"/>
      <w:bookmarkEnd w:id="40"/>
      <w:r>
        <w:rPr>
          <w:b w:val="0"/>
        </w:rPr>
      </w:r>
      <w:bookmarkStart w:name="_bookmark22" w:id="41"/>
      <w:bookmarkEnd w:id="41"/>
      <w:r>
        <w:rPr/>
        <w:t>解除合同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3" w:id="42"/>
      <w:bookmarkEnd w:id="42"/>
      <w:r>
        <w:rPr>
          <w:b w:val="0"/>
        </w:rPr>
      </w:r>
      <w:bookmarkStart w:name="_bookmark23" w:id="43"/>
      <w:bookmarkEnd w:id="43"/>
      <w:r>
        <w:rPr>
          <w:spacing w:val="-1"/>
        </w:rPr>
        <w:t>您解除合同的手续及风险</w:t>
      </w:r>
    </w:p>
    <w:p>
      <w:pPr>
        <w:pStyle w:val="BodyText"/>
        <w:spacing w:line="273" w:lineRule="auto" w:before="177"/>
        <w:ind w:left="1609" w:right="211"/>
      </w:pPr>
      <w:r>
        <w:rPr/>
        <w:t>您于犹豫期后，可以向我们书面申请解除本附加合同，并向我们提供下列证明和资料：</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before="177"/>
        <w:ind w:left="1609" w:right="211"/>
        <w:jc w:val="both"/>
      </w:pPr>
      <w:r>
        <w:rPr/>
        <w:t>自我们收到您的解除合同申请书时起，本合同效力终止。我们自收到您的解除合同申请书之日起三十日内，向您退还本合同解除时的现金价值。若有借款，则先扣除未偿还的借款及借款利息。</w:t>
      </w:r>
    </w:p>
    <w:p>
      <w:pPr>
        <w:pStyle w:val="BodyText"/>
        <w:spacing w:before="163"/>
        <w:ind w:left="1610"/>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16;mso-wrap-distance-left:0;mso-wrap-distance-right:0" from="69.480003pt,19.29563pt" to="525.840003pt,19.29563pt" stroked="true" strokeweight="1.44pt" strokecolor="#000000">
            <v:stroke dashstyle="solid"/>
            <w10:wrap type="topAndBottom"/>
          </v:line>
        </w:pict>
      </w:r>
      <w:bookmarkStart w:name="_bookmark24" w:id="44"/>
      <w:bookmarkEnd w:id="44"/>
      <w:r>
        <w:rPr>
          <w:b w:val="0"/>
        </w:rPr>
      </w:r>
      <w:bookmarkStart w:name="_bookmark24" w:id="45"/>
      <w:bookmarkEnd w:id="45"/>
      <w:r>
        <w:rPr/>
        <w:t>释义</w:t>
      </w:r>
    </w:p>
    <w:p>
      <w:pPr>
        <w:spacing w:after="0" w:line="240" w:lineRule="auto"/>
        <w:jc w:val="left"/>
        <w:sectPr>
          <w:pgSz w:w="11910" w:h="16840"/>
          <w:pgMar w:top="1380" w:bottom="280" w:left="1280" w:right="1200"/>
        </w:sectPr>
      </w:pPr>
    </w:p>
    <w:p>
      <w:pPr>
        <w:pStyle w:val="Heading3"/>
        <w:numPr>
          <w:ilvl w:val="1"/>
          <w:numId w:val="2"/>
        </w:numPr>
        <w:tabs>
          <w:tab w:pos="694" w:val="left" w:leader="none"/>
          <w:tab w:pos="695" w:val="left" w:leader="none"/>
        </w:tabs>
        <w:spacing w:line="240" w:lineRule="auto" w:before="29" w:after="0"/>
        <w:ind w:left="694" w:right="0" w:hanging="576"/>
        <w:jc w:val="left"/>
      </w:pPr>
      <w:bookmarkStart w:name="_bookmark25" w:id="46"/>
      <w:bookmarkEnd w:id="46"/>
      <w:r>
        <w:rPr>
          <w:b w:val="0"/>
        </w:rPr>
      </w:r>
      <w:bookmarkStart w:name="_bookmark25" w:id="47"/>
      <w:bookmarkEnd w:id="47"/>
      <w:r>
        <w:rPr/>
        <w:t>重大疾病</w:t>
      </w:r>
    </w:p>
    <w:p>
      <w:pPr>
        <w:pStyle w:val="BodyText"/>
        <w:spacing w:before="10"/>
        <w:rPr>
          <w:b/>
          <w:sz w:val="10"/>
        </w:rPr>
      </w:pPr>
    </w:p>
    <w:p>
      <w:pPr>
        <w:pStyle w:val="BodyText"/>
        <w:spacing w:line="273" w:lineRule="auto" w:before="36"/>
        <w:ind w:left="1589" w:right="211"/>
      </w:pPr>
      <w:r>
        <w:rPr/>
        <w:t>重大疾病指下列所定义的二十八项疾病或手术，其中前二十四种重大疾病采用中国保险行业协会颁布的《重大疾病保险的疾病定义使用规范》中的定义。</w:t>
      </w:r>
    </w:p>
    <w:p>
      <w:pPr>
        <w:pStyle w:val="Heading3"/>
        <w:numPr>
          <w:ilvl w:val="2"/>
          <w:numId w:val="3"/>
        </w:numPr>
        <w:tabs>
          <w:tab w:pos="1378" w:val="left" w:leader="none"/>
          <w:tab w:pos="1379" w:val="left" w:leader="none"/>
        </w:tabs>
        <w:spacing w:line="240" w:lineRule="auto" w:before="163" w:after="0"/>
        <w:ind w:left="1378" w:right="0" w:hanging="720"/>
        <w:jc w:val="left"/>
      </w:pPr>
      <w:r>
        <w:rPr/>
        <w:t>恶性肿瘤</w:t>
      </w:r>
    </w:p>
    <w:p>
      <w:pPr>
        <w:pStyle w:val="BodyText"/>
        <w:spacing w:line="266" w:lineRule="auto" w:before="140"/>
        <w:ind w:left="1589" w:right="104"/>
      </w:pPr>
      <w:r>
        <w:rPr>
          <w:spacing w:val="-6"/>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w:t>
      </w:r>
      <w:r>
        <w:rPr>
          <w:spacing w:val="-2"/>
        </w:rPr>
        <w:t>的恶性</w:t>
      </w:r>
      <w:r>
        <w:rPr>
          <w:spacing w:val="-3"/>
        </w:rPr>
        <w:t>肿瘤范畴。</w:t>
      </w:r>
    </w:p>
    <w:p>
      <w:pPr>
        <w:pStyle w:val="BodyText"/>
        <w:spacing w:before="169"/>
        <w:ind w:left="1589"/>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pStyle w:val="BodyText"/>
        <w:ind w:left="1589"/>
        <w:rPr>
          <w:rFonts w:ascii="黑体" w:eastAsia="黑体" w:hint="eastAsia"/>
        </w:rPr>
      </w:pPr>
      <w:r>
        <w:rPr>
          <w:rFonts w:ascii="Times New Roman" w:eastAsia="Times New Roman"/>
        </w:rPr>
        <w:t>1</w:t>
      </w:r>
      <w:r>
        <w:rPr>
          <w:rFonts w:ascii="黑体" w:eastAsia="黑体" w:hint="eastAsia"/>
        </w:rPr>
        <w:t>． 原位癌；</w:t>
      </w:r>
    </w:p>
    <w:p>
      <w:pPr>
        <w:pStyle w:val="BodyText"/>
        <w:spacing w:before="176"/>
        <w:ind w:left="1589"/>
        <w:rPr>
          <w:rFonts w:ascii="黑体" w:eastAsia="黑体" w:hint="eastAsia"/>
        </w:rPr>
      </w:pPr>
      <w:r>
        <w:rPr>
          <w:rFonts w:ascii="Times New Roman" w:eastAsia="Times New Roman"/>
        </w:rPr>
        <w:t>2</w:t>
      </w:r>
      <w:r>
        <w:rPr>
          <w:rFonts w:ascii="黑体" w:eastAsia="黑体" w:hint="eastAsia"/>
        </w:rPr>
        <w:t>． 相当于 Binet 分期方案 A 期程度的慢性淋巴细胞白血病；</w:t>
      </w:r>
    </w:p>
    <w:p>
      <w:pPr>
        <w:pStyle w:val="BodyText"/>
        <w:spacing w:before="176"/>
        <w:ind w:left="1589"/>
        <w:rPr>
          <w:rFonts w:ascii="黑体" w:eastAsia="黑体" w:hint="eastAsia"/>
        </w:rPr>
      </w:pPr>
      <w:r>
        <w:rPr>
          <w:rFonts w:ascii="Times New Roman" w:eastAsia="Times New Roman"/>
        </w:rPr>
        <w:t>3</w:t>
      </w:r>
      <w:r>
        <w:rPr>
          <w:rFonts w:ascii="黑体" w:eastAsia="黑体" w:hint="eastAsia"/>
        </w:rPr>
        <w:t>． 相当于 Ann Arbor 分期方案 I 期程度的何杰金氏病；</w:t>
      </w:r>
    </w:p>
    <w:p>
      <w:pPr>
        <w:pStyle w:val="BodyText"/>
        <w:spacing w:before="176"/>
        <w:ind w:left="1589"/>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6"/>
        <w:ind w:left="1589"/>
        <w:rPr>
          <w:rFonts w:ascii="黑体" w:eastAsia="黑体" w:hint="eastAsia"/>
        </w:rPr>
      </w:pPr>
      <w:r>
        <w:rPr>
          <w:rFonts w:ascii="Times New Roman" w:eastAsia="Times New Roman"/>
          <w:position w:val="1"/>
        </w:rPr>
        <w:t>5</w:t>
      </w:r>
      <w:r>
        <w:rPr>
          <w:rFonts w:ascii="黑体" w:eastAsia="黑体" w:hint="eastAsia"/>
          <w:position w:val="1"/>
        </w:rPr>
        <w:t>． TNM分期为T</w:t>
      </w:r>
      <w:r>
        <w:rPr>
          <w:rFonts w:ascii="黑体" w:eastAsia="黑体" w:hint="eastAsia"/>
          <w:sz w:val="11"/>
        </w:rPr>
        <w:t>1</w:t>
      </w:r>
      <w:r>
        <w:rPr>
          <w:rFonts w:ascii="黑体" w:eastAsia="黑体" w:hint="eastAsia"/>
          <w:position w:val="1"/>
        </w:rPr>
        <w:t>N</w:t>
      </w:r>
      <w:r>
        <w:rPr>
          <w:rFonts w:ascii="黑体" w:eastAsia="黑体" w:hint="eastAsia"/>
          <w:sz w:val="11"/>
        </w:rPr>
        <w:t>0</w:t>
      </w:r>
      <w:r>
        <w:rPr>
          <w:rFonts w:ascii="黑体" w:eastAsia="黑体" w:hint="eastAsia"/>
          <w:position w:val="1"/>
        </w:rPr>
        <w:t>M</w:t>
      </w:r>
      <w:r>
        <w:rPr>
          <w:rFonts w:ascii="黑体" w:eastAsia="黑体" w:hint="eastAsia"/>
          <w:sz w:val="11"/>
        </w:rPr>
        <w:t>0</w:t>
      </w:r>
      <w:r>
        <w:rPr>
          <w:rFonts w:ascii="黑体" w:eastAsia="黑体" w:hint="eastAsia"/>
          <w:position w:val="1"/>
        </w:rPr>
        <w:t>期或更轻分期的前列腺癌；</w:t>
      </w:r>
    </w:p>
    <w:p>
      <w:pPr>
        <w:spacing w:before="177"/>
        <w:ind w:left="1589"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1378" w:val="left" w:leader="none"/>
          <w:tab w:pos="1379" w:val="left" w:leader="none"/>
        </w:tabs>
        <w:spacing w:line="240" w:lineRule="auto" w:before="177" w:after="0"/>
        <w:ind w:left="1378" w:right="0" w:hanging="720"/>
        <w:jc w:val="left"/>
      </w:pPr>
      <w:r>
        <w:rPr/>
        <w:t>急性心肌梗塞</w:t>
      </w:r>
    </w:p>
    <w:p>
      <w:pPr>
        <w:pStyle w:val="BodyText"/>
        <w:spacing w:line="273" w:lineRule="auto" w:before="141"/>
        <w:ind w:left="1589" w:right="211"/>
      </w:pPr>
      <w:r>
        <w:rPr/>
        <w:t>指因冠状动脉阻塞导致的相应区域供血不足造成部分心肌坏死。须满足下列至少三项条件：</w:t>
      </w:r>
    </w:p>
    <w:p>
      <w:pPr>
        <w:pStyle w:val="BodyText"/>
        <w:spacing w:before="163"/>
        <w:ind w:left="1589"/>
      </w:pPr>
      <w:r>
        <w:rPr>
          <w:rFonts w:ascii="Times New Roman" w:eastAsia="Times New Roman"/>
        </w:rPr>
        <w:t>1</w:t>
      </w:r>
      <w:r>
        <w:rPr/>
        <w:t>． 典型临床表现，例如急性胸痛等；</w:t>
      </w:r>
    </w:p>
    <w:p>
      <w:pPr>
        <w:pStyle w:val="BodyText"/>
        <w:spacing w:before="177"/>
        <w:ind w:left="1589"/>
      </w:pPr>
      <w:r>
        <w:rPr>
          <w:rFonts w:ascii="Times New Roman" w:eastAsia="Times New Roman"/>
        </w:rPr>
        <w:t>2</w:t>
      </w:r>
      <w:r>
        <w:rPr/>
        <w:t>． 新近的心电图改变提示急性心肌梗塞；</w:t>
      </w:r>
    </w:p>
    <w:p>
      <w:pPr>
        <w:pStyle w:val="BodyText"/>
        <w:spacing w:before="177"/>
        <w:ind w:left="1589"/>
      </w:pPr>
      <w:r>
        <w:rPr>
          <w:rFonts w:ascii="Times New Roman" w:eastAsia="Times New Roman"/>
        </w:rPr>
        <w:t>3</w:t>
      </w:r>
      <w:r>
        <w:rPr/>
        <w:t>． 心肌酶或肌钙蛋白有诊断意义的升高，或呈符合急性心肌梗塞的动态性变化；</w:t>
      </w:r>
    </w:p>
    <w:p>
      <w:pPr>
        <w:pStyle w:val="BodyText"/>
        <w:spacing w:before="177"/>
        <w:ind w:left="158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1378" w:val="left" w:leader="none"/>
          <w:tab w:pos="1379" w:val="left" w:leader="none"/>
        </w:tabs>
        <w:spacing w:line="240" w:lineRule="auto" w:before="177" w:after="0"/>
        <w:ind w:left="1378" w:right="0" w:hanging="720"/>
        <w:jc w:val="left"/>
      </w:pPr>
      <w:r>
        <w:rPr/>
        <w:t>脑中风后遗症</w:t>
      </w:r>
    </w:p>
    <w:p>
      <w:pPr>
        <w:pStyle w:val="BodyText"/>
        <w:spacing w:line="264" w:lineRule="auto" w:before="141"/>
        <w:ind w:left="1589" w:right="211"/>
        <w:jc w:val="both"/>
      </w:pPr>
      <w:r>
        <w:rPr/>
        <w:t>指因脑血管的突发病变引起脑血管出血、栓塞或梗塞，并导致神经系统永久性的功</w:t>
      </w:r>
      <w:r>
        <w:rPr>
          <w:spacing w:val="-4"/>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2"/>
        <w:ind w:left="158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589" w:firstLine="0"/>
      </w:pPr>
      <w:r>
        <w:rPr>
          <w:rFonts w:ascii="Times New Roman" w:eastAsia="Times New Roman"/>
          <w:b w:val="0"/>
        </w:rPr>
        <w:t>2</w:t>
      </w:r>
      <w:r>
        <w:rPr>
          <w:b w:val="0"/>
        </w:rPr>
        <w:t>． </w:t>
      </w:r>
      <w:r>
        <w:rPr/>
        <w:t>语言能力或咀嚼吞咽能力完全丧失；</w:t>
      </w:r>
    </w:p>
    <w:p>
      <w:pPr>
        <w:spacing w:line="256" w:lineRule="auto" w:before="177"/>
        <w:ind w:left="194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1378" w:val="left" w:leader="none"/>
          <w:tab w:pos="1379" w:val="left" w:leader="none"/>
        </w:tabs>
        <w:spacing w:line="240" w:lineRule="auto" w:before="178" w:after="0"/>
        <w:ind w:left="1378" w:right="0" w:hanging="720"/>
        <w:jc w:val="left"/>
      </w:pPr>
      <w:r>
        <w:rPr>
          <w:spacing w:val="-2"/>
        </w:rPr>
        <w:t>重大器官移植术或造血干细胞移植术</w:t>
      </w:r>
    </w:p>
    <w:p>
      <w:pPr>
        <w:pStyle w:val="BodyText"/>
        <w:spacing w:line="273" w:lineRule="auto" w:before="141"/>
        <w:ind w:left="1589" w:right="211"/>
      </w:pPr>
      <w:r>
        <w:rPr/>
        <w:t>重大器官移植术，指因相应器官功能衰竭，已经实施了肾脏、肝脏、心脏或肺脏的异体移植手术。</w:t>
      </w:r>
    </w:p>
    <w:p>
      <w:pPr>
        <w:spacing w:after="0" w:line="273" w:lineRule="auto"/>
        <w:sectPr>
          <w:pgSz w:w="11910" w:h="16840"/>
          <w:pgMar w:top="1380" w:bottom="280" w:left="1300" w:right="1200"/>
        </w:sectPr>
      </w:pPr>
    </w:p>
    <w:p>
      <w:pPr>
        <w:pStyle w:val="BodyText"/>
        <w:spacing w:line="273" w:lineRule="auto" w:before="9"/>
        <w:ind w:left="1209" w:right="109"/>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3"/>
        </w:rPr>
        <w:t>的异体移植手术。</w:t>
      </w:r>
    </w:p>
    <w:p>
      <w:pPr>
        <w:pStyle w:val="Heading3"/>
        <w:numPr>
          <w:ilvl w:val="2"/>
          <w:numId w:val="3"/>
        </w:numPr>
        <w:tabs>
          <w:tab w:pos="998" w:val="left" w:leader="none"/>
          <w:tab w:pos="999" w:val="left" w:leader="none"/>
        </w:tabs>
        <w:spacing w:line="240" w:lineRule="auto" w:before="163" w:after="0"/>
        <w:ind w:left="998" w:right="0" w:hanging="720"/>
        <w:jc w:val="left"/>
      </w:pPr>
      <w:r>
        <w:rPr/>
        <w:t>冠状动脉搭桥术（</w:t>
      </w:r>
      <w:r>
        <w:rPr>
          <w:spacing w:val="-3"/>
        </w:rPr>
        <w:t>或称冠状动脉旁路移植术</w:t>
      </w:r>
      <w:r>
        <w:rPr/>
        <w:t>）</w:t>
      </w:r>
    </w:p>
    <w:p>
      <w:pPr>
        <w:pStyle w:val="BodyText"/>
        <w:spacing w:before="140"/>
        <w:ind w:left="1209"/>
      </w:pPr>
      <w:r>
        <w:rPr/>
        <w:t>指为治疗严重的冠心病，实际实施了开胸进行的冠状动脉血管旁路移植的手术。</w:t>
      </w:r>
    </w:p>
    <w:p>
      <w:pPr>
        <w:pStyle w:val="BodyText"/>
        <w:spacing w:before="9"/>
        <w:rPr>
          <w:sz w:val="14"/>
        </w:rPr>
      </w:pPr>
    </w:p>
    <w:p>
      <w:pPr>
        <w:pStyle w:val="BodyText"/>
        <w:spacing w:line="273" w:lineRule="auto"/>
        <w:ind w:left="1209" w:right="104"/>
        <w:rPr>
          <w:rFonts w:ascii="黑体" w:eastAsia="黑体" w:hint="eastAsia"/>
        </w:rPr>
      </w:pPr>
      <w:r>
        <w:rPr>
          <w:rFonts w:ascii="黑体" w:eastAsia="黑体" w:hint="eastAsia"/>
          <w:spacing w:val="-9"/>
        </w:rPr>
        <w:t>冠状动脉支架植入术、心导管球囊扩张术、激光射频技术及其它非开胸的介入手术、</w:t>
      </w:r>
      <w:r>
        <w:rPr>
          <w:rFonts w:ascii="黑体" w:eastAsia="黑体" w:hint="eastAsia"/>
          <w:spacing w:val="-5"/>
        </w:rPr>
        <w:t>腔镜手术不在保障范围内。</w:t>
      </w:r>
    </w:p>
    <w:p>
      <w:pPr>
        <w:pStyle w:val="Heading3"/>
        <w:numPr>
          <w:ilvl w:val="2"/>
          <w:numId w:val="3"/>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1"/>
        <w:ind w:left="1209" w:right="211" w:hanging="1"/>
      </w:pPr>
      <w:r>
        <w:rPr>
          <w:spacing w:val="-9"/>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1"/>
        </w:rPr>
        <w:t>急性或亚急性重症肝炎</w:t>
      </w:r>
    </w:p>
    <w:p>
      <w:pPr>
        <w:pStyle w:val="BodyText"/>
        <w:spacing w:line="273" w:lineRule="auto" w:before="140"/>
        <w:ind w:left="1209" w:right="211"/>
      </w:pPr>
      <w:r>
        <w:rPr/>
        <w:t>指因肝炎病毒感染引起肝脏组织弥漫性坏死，导致急性肝功能衰竭，且经血清学或病毒学检查证实，并须满足下列全部条件：</w:t>
      </w:r>
    </w:p>
    <w:p>
      <w:pPr>
        <w:pStyle w:val="BodyText"/>
        <w:spacing w:before="163"/>
        <w:ind w:left="1209"/>
      </w:pPr>
      <w:r>
        <w:rPr>
          <w:rFonts w:ascii="Times New Roman" w:eastAsia="Times New Roman"/>
        </w:rPr>
        <w:t>1</w:t>
      </w:r>
      <w:r>
        <w:rPr/>
        <w:t>． 重度黄疸或黄疸迅速加重；</w:t>
      </w:r>
    </w:p>
    <w:p>
      <w:pPr>
        <w:pStyle w:val="BodyText"/>
        <w:spacing w:before="177"/>
        <w:ind w:left="1209"/>
      </w:pPr>
      <w:r>
        <w:rPr>
          <w:rFonts w:ascii="Times New Roman" w:eastAsia="Times New Roman"/>
        </w:rPr>
        <w:t>2</w:t>
      </w:r>
      <w:r>
        <w:rPr/>
        <w:t>． 肝性脑病；</w:t>
      </w:r>
    </w:p>
    <w:p>
      <w:pPr>
        <w:pStyle w:val="BodyText"/>
        <w:spacing w:before="177"/>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09"/>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09" w:right="108"/>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3"/>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09"/>
      </w:pPr>
      <w:r>
        <w:rPr>
          <w:rFonts w:ascii="Times New Roman" w:eastAsia="Times New Roman"/>
        </w:rPr>
        <w:t>1</w:t>
      </w:r>
      <w:r>
        <w:rPr/>
        <w:t>． 实际实施了开颅进行的脑肿瘤完全切除或部分切除的手术；</w:t>
      </w:r>
    </w:p>
    <w:p>
      <w:pPr>
        <w:pStyle w:val="BodyText"/>
        <w:spacing w:before="177"/>
        <w:ind w:left="1209"/>
      </w:pPr>
      <w:r>
        <w:rPr>
          <w:rFonts w:ascii="Times New Roman" w:eastAsia="Times New Roman"/>
        </w:rPr>
        <w:t>2</w:t>
      </w:r>
      <w:r>
        <w:rPr/>
        <w:t>． 实际实施了对脑肿瘤进行的放射治疗。</w:t>
      </w:r>
    </w:p>
    <w:p>
      <w:pPr>
        <w:pStyle w:val="BodyText"/>
        <w:spacing w:before="177"/>
        <w:ind w:left="1209"/>
        <w:rPr>
          <w:rFonts w:ascii="黑体" w:eastAsia="黑体" w:hint="eastAsia"/>
        </w:rPr>
      </w:pPr>
      <w:r>
        <w:rPr>
          <w:rFonts w:ascii="黑体" w:eastAsia="黑体" w:hint="eastAsia"/>
        </w:rPr>
        <w:t>脑垂体瘤、脑囊肿、脑血管性疾病不在保障范围内。</w:t>
      </w:r>
    </w:p>
    <w:p>
      <w:pPr>
        <w:pStyle w:val="BodyText"/>
        <w:spacing w:before="10"/>
        <w:rPr>
          <w:rFonts w:ascii="黑体"/>
          <w:sz w:val="14"/>
        </w:rPr>
      </w:pPr>
    </w:p>
    <w:p>
      <w:pPr>
        <w:pStyle w:val="Heading3"/>
        <w:numPr>
          <w:ilvl w:val="2"/>
          <w:numId w:val="3"/>
        </w:numPr>
        <w:tabs>
          <w:tab w:pos="998" w:val="left" w:leader="none"/>
          <w:tab w:pos="999" w:val="left" w:leader="none"/>
        </w:tabs>
        <w:spacing w:line="240" w:lineRule="auto" w:before="0" w:after="0"/>
        <w:ind w:left="998" w:right="0" w:hanging="720"/>
        <w:jc w:val="left"/>
      </w:pPr>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spacing w:before="1"/>
        <w:ind w:left="1209"/>
      </w:pPr>
      <w:r>
        <w:rPr>
          <w:rFonts w:ascii="Times New Roman" w:eastAsia="Times New Roman"/>
        </w:rPr>
        <w:t>1</w:t>
      </w:r>
      <w:r>
        <w:rPr/>
        <w:t>． 持续性黄疸；</w:t>
      </w:r>
    </w:p>
    <w:p>
      <w:pPr>
        <w:pStyle w:val="BodyText"/>
        <w:spacing w:before="177"/>
        <w:ind w:left="1209"/>
      </w:pPr>
      <w:r>
        <w:rPr>
          <w:rFonts w:ascii="Times New Roman" w:eastAsia="Times New Roman"/>
        </w:rPr>
        <w:t>2</w:t>
      </w:r>
      <w:r>
        <w:rPr/>
        <w:t>． 腹水；</w:t>
      </w:r>
    </w:p>
    <w:p>
      <w:pPr>
        <w:pStyle w:val="BodyText"/>
        <w:spacing w:before="177"/>
        <w:ind w:left="1210"/>
      </w:pPr>
      <w:r>
        <w:rPr>
          <w:rFonts w:ascii="Times New Roman" w:eastAsia="Times New Roman"/>
        </w:rPr>
        <w:t>3</w:t>
      </w:r>
      <w:r>
        <w:rPr/>
        <w:t>． 肝性脑病；</w:t>
      </w:r>
    </w:p>
    <w:p>
      <w:pPr>
        <w:pStyle w:val="BodyText"/>
        <w:spacing w:before="177"/>
        <w:ind w:left="1210"/>
      </w:pPr>
      <w:r>
        <w:rPr>
          <w:rFonts w:ascii="Times New Roman" w:eastAsia="Times New Roman"/>
        </w:rPr>
        <w:t>4</w:t>
      </w:r>
      <w:r>
        <w:rPr/>
        <w:t>． 充血性脾肿大伴脾功能亢进或食管胃底静脉曲张。</w:t>
      </w:r>
    </w:p>
    <w:p>
      <w:pPr>
        <w:pStyle w:val="BodyText"/>
        <w:spacing w:before="177"/>
        <w:ind w:left="1210"/>
        <w:rPr>
          <w:rFonts w:ascii="黑体" w:eastAsia="黑体" w:hint="eastAsia"/>
        </w:rPr>
      </w:pPr>
      <w:r>
        <w:rPr>
          <w:rFonts w:ascii="黑体" w:eastAsia="黑体" w:hint="eastAsia"/>
        </w:rPr>
        <w:t>因酗酒或药物滥用导致的肝功能衰竭不在保障范围内。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2"/>
        </w:rPr>
        <w:t>脑炎后遗症或脑膜炎后遗症</w:t>
      </w:r>
    </w:p>
    <w:p>
      <w:pPr>
        <w:pStyle w:val="BodyText"/>
        <w:spacing w:before="141"/>
        <w:ind w:left="1209"/>
      </w:pPr>
      <w:r>
        <w:rPr/>
        <w:t>指因患脑炎或脑膜炎导致的神经系统永久性的功能障碍。神经系统永久性的功能障</w:t>
      </w:r>
    </w:p>
    <w:p>
      <w:pPr>
        <w:spacing w:after="0"/>
        <w:sectPr>
          <w:pgSz w:w="11910" w:h="16840"/>
          <w:pgMar w:top="1400" w:bottom="280" w:left="1680" w:right="1200"/>
        </w:sectPr>
      </w:pPr>
    </w:p>
    <w:p>
      <w:pPr>
        <w:pStyle w:val="BodyText"/>
        <w:spacing w:before="29"/>
        <w:ind w:left="1209"/>
      </w:pPr>
      <w:r>
        <w:rPr/>
        <w:t>碍，指疾病确诊 </w:t>
      </w:r>
      <w:r>
        <w:rPr>
          <w:rFonts w:ascii="Times New Roman" w:eastAsia="Times New Roman"/>
        </w:rPr>
        <w:t>180 </w:t>
      </w:r>
      <w:r>
        <w:rPr/>
        <w:t>天后，仍遗留下列一种或一种以上障碍：</w:t>
      </w:r>
    </w:p>
    <w:p>
      <w:pPr>
        <w:spacing w:before="177"/>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1"/>
        <w:ind w:left="1209" w:right="211"/>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1"/>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双耳失聪</w:t>
      </w:r>
    </w:p>
    <w:p>
      <w:pPr>
        <w:spacing w:before="141"/>
        <w:ind w:left="1209"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BodyText"/>
        <w:spacing w:line="256" w:lineRule="auto" w:before="21"/>
        <w:ind w:left="1209" w:right="213" w:hanging="1"/>
      </w:pPr>
      <w:r>
        <w:rPr>
          <w:spacing w:val="-8"/>
        </w:rPr>
        <w:t>赫兹语音频率下，平均听阈大于 </w:t>
      </w:r>
      <w:r>
        <w:rPr>
          <w:rFonts w:ascii="Times New Roman" w:eastAsia="Times New Roman"/>
        </w:rPr>
        <w:t>90 </w:t>
      </w:r>
      <w:r>
        <w:rPr>
          <w:spacing w:val="-9"/>
        </w:rPr>
        <w:t>分贝，且经纯音听力测试、声导抗检测或听觉诱</w:t>
      </w:r>
      <w:r>
        <w:rPr>
          <w:spacing w:val="-3"/>
        </w:rPr>
        <w:t>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双目失明</w:t>
      </w:r>
    </w:p>
    <w:p>
      <w:pPr>
        <w:spacing w:line="273" w:lineRule="auto" w:before="141"/>
        <w:ind w:left="1209" w:right="211"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09"/>
        <w:jc w:val="both"/>
      </w:pPr>
      <w:r>
        <w:rPr>
          <w:rFonts w:ascii="Times New Roman" w:eastAsia="Times New Roman"/>
        </w:rPr>
        <w:t>1</w:t>
      </w:r>
      <w:r>
        <w:rPr/>
        <w:t>． 眼球缺失或摘除；</w:t>
      </w:r>
    </w:p>
    <w:p>
      <w:pPr>
        <w:pStyle w:val="BodyText"/>
        <w:spacing w:before="177"/>
        <w:ind w:left="1209"/>
        <w:jc w:val="both"/>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spacing w:before="177"/>
        <w:ind w:left="1209"/>
        <w:jc w:val="both"/>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10"/>
        <w:jc w:val="both"/>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瘫痪</w:t>
      </w:r>
    </w:p>
    <w:p>
      <w:pPr>
        <w:pStyle w:val="BodyText"/>
        <w:spacing w:line="264" w:lineRule="auto" w:before="140"/>
        <w:ind w:left="1209" w:right="211"/>
        <w:jc w:val="both"/>
      </w:pPr>
      <w:r>
        <w:rPr/>
        <w:t>指因疾病或</w:t>
      </w:r>
      <w:r>
        <w:rPr>
          <w:b/>
        </w:rPr>
        <w:t>意外伤害</w:t>
      </w:r>
      <w:r>
        <w:rPr>
          <w:spacing w:val="-3"/>
        </w:rPr>
        <w:t>导致两肢或两肢以上肢体机能永久完全丧失。肢体机能永久完</w:t>
      </w:r>
      <w:r>
        <w:rPr>
          <w:spacing w:val="-7"/>
        </w:rPr>
        <w:t>全丧失，指疾病确诊 </w:t>
      </w:r>
      <w:r>
        <w:rPr>
          <w:rFonts w:ascii="Times New Roman" w:eastAsia="Times New Roman"/>
        </w:rPr>
        <w:t>180 </w:t>
      </w:r>
      <w:r>
        <w:rPr>
          <w:spacing w:val="-1"/>
        </w:rPr>
        <w:t>天后或</w:t>
      </w:r>
      <w:r>
        <w:rPr>
          <w:b/>
        </w:rPr>
        <w:t>意外伤害</w:t>
      </w:r>
      <w:r>
        <w:rPr>
          <w:spacing w:val="-14"/>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1" w:after="0"/>
        <w:ind w:left="998" w:right="0" w:hanging="720"/>
        <w:jc w:val="left"/>
      </w:pPr>
      <w:r>
        <w:rPr/>
        <w:t>心脏瓣膜手术</w:t>
      </w:r>
    </w:p>
    <w:p>
      <w:pPr>
        <w:pStyle w:val="BodyText"/>
        <w:spacing w:before="140"/>
        <w:ind w:left="1209"/>
      </w:pPr>
      <w:r>
        <w:rPr/>
        <w:t>指为治疗心脏瓣膜疾病，实际实施了开胸进行的心脏瓣膜置换或修复的手术。</w:t>
      </w:r>
    </w:p>
    <w:p>
      <w:pPr>
        <w:pStyle w:val="BodyText"/>
        <w:spacing w:before="9"/>
        <w:rPr>
          <w:sz w:val="14"/>
        </w:rPr>
      </w:pPr>
    </w:p>
    <w:p>
      <w:pPr>
        <w:pStyle w:val="Heading3"/>
        <w:numPr>
          <w:ilvl w:val="2"/>
          <w:numId w:val="3"/>
        </w:numPr>
        <w:tabs>
          <w:tab w:pos="999" w:val="left" w:leader="none"/>
        </w:tabs>
        <w:spacing w:line="240" w:lineRule="auto" w:before="0" w:after="0"/>
        <w:ind w:left="998" w:right="0" w:hanging="720"/>
        <w:jc w:val="left"/>
      </w:pPr>
      <w:r>
        <w:rPr/>
        <w:t>严重阿尔茨海默病</w:t>
      </w:r>
    </w:p>
    <w:p>
      <w:pPr>
        <w:pStyle w:val="BodyText"/>
        <w:spacing w:line="268" w:lineRule="auto" w:before="141"/>
        <w:ind w:left="1209" w:right="211"/>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spacing w:after="0" w:line="268" w:lineRule="auto"/>
        <w:jc w:val="both"/>
        <w:sectPr>
          <w:pgSz w:w="11910" w:h="16840"/>
          <w:pgMar w:top="1380" w:bottom="280" w:left="1680" w:right="1200"/>
        </w:sectPr>
      </w:pPr>
    </w:p>
    <w:p>
      <w:pPr>
        <w:pStyle w:val="BodyText"/>
        <w:spacing w:before="9"/>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严重脑损伤</w:t>
      </w:r>
    </w:p>
    <w:p>
      <w:pPr>
        <w:pStyle w:val="BodyText"/>
        <w:spacing w:line="261" w:lineRule="auto" w:before="141"/>
        <w:ind w:left="1209" w:right="107"/>
      </w:pPr>
      <w:r>
        <w:rPr>
          <w:spacing w:val="-8"/>
        </w:rPr>
        <w:t>指因头部遭受机械性外力，引起脑重要部位损伤，导致神经系统永久性的功能障碍。</w:t>
      </w:r>
      <w:r>
        <w:rPr/>
        <w:t>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w:t>
      </w:r>
      <w:r>
        <w:rPr>
          <w:spacing w:val="-4"/>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严重帕金森病</w:t>
      </w:r>
    </w:p>
    <w:p>
      <w:pPr>
        <w:pStyle w:val="BodyText"/>
        <w:spacing w:line="273" w:lineRule="auto" w:before="140"/>
        <w:ind w:left="1209" w:right="211"/>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line="256" w:lineRule="auto" w:before="177"/>
        <w:ind w:left="1569" w:right="214"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w:t>
      </w:r>
      <w:r>
        <w:rPr>
          <w:rFonts w:ascii="MS PGothic" w:hAnsi="MS PGothic" w:eastAsia="MS PGothic" w:hint="eastAsia"/>
        </w:rPr>
        <w:t>Ⅲ</w:t>
      </w:r>
      <w:r>
        <w:rPr/>
        <w:t>度烧伤</w:t>
      </w:r>
    </w:p>
    <w:p>
      <w:pPr>
        <w:pStyle w:val="BodyText"/>
        <w:spacing w:line="256" w:lineRule="auto" w:before="140"/>
        <w:ind w:left="1209" w:right="213"/>
      </w:pPr>
      <w:r>
        <w:rPr>
          <w:spacing w:val="-2"/>
        </w:rPr>
        <w:t>指烧伤程度为</w:t>
      </w:r>
      <w:r>
        <w:rPr>
          <w:rFonts w:ascii="MS PGothic" w:hAnsi="MS PGothic" w:eastAsia="MS PGothic" w:hint="eastAsia"/>
          <w:spacing w:val="-3"/>
        </w:rPr>
        <w:t>Ⅲ</w:t>
      </w:r>
      <w:r>
        <w:rPr>
          <w:spacing w:val="-2"/>
        </w:rPr>
        <w:t>度，且</w:t>
      </w:r>
      <w:r>
        <w:rPr>
          <w:rFonts w:ascii="MS PGothic" w:hAnsi="MS PGothic" w:eastAsia="MS PGothic" w:hint="eastAsia"/>
          <w:spacing w:val="-3"/>
        </w:rPr>
        <w:t>Ⅲ</w:t>
      </w:r>
      <w:r>
        <w:rPr>
          <w:spacing w:val="-6"/>
        </w:rPr>
        <w:t>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以上。体表面积根据《中国新九分法》计算。</w:t>
      </w:r>
    </w:p>
    <w:p>
      <w:pPr>
        <w:pStyle w:val="Heading3"/>
        <w:numPr>
          <w:ilvl w:val="2"/>
          <w:numId w:val="3"/>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1"/>
        <w:ind w:left="1209" w:right="85"/>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4" w:after="0"/>
        <w:ind w:left="998" w:right="0" w:hanging="720"/>
        <w:jc w:val="left"/>
      </w:pPr>
      <w:r>
        <w:rPr/>
        <w:t>严重运动神经元病</w:t>
      </w:r>
    </w:p>
    <w:p>
      <w:pPr>
        <w:pStyle w:val="BodyText"/>
        <w:spacing w:line="273" w:lineRule="auto" w:before="141"/>
        <w:ind w:left="1209" w:right="21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3" w:after="0"/>
        <w:ind w:left="998" w:right="0" w:hanging="720"/>
        <w:jc w:val="left"/>
      </w:pPr>
      <w:r>
        <w:rPr/>
        <w:t>语言能力丧失</w:t>
      </w:r>
    </w:p>
    <w:p>
      <w:pPr>
        <w:pStyle w:val="BodyText"/>
        <w:spacing w:line="256" w:lineRule="auto" w:before="141"/>
        <w:ind w:left="1209" w:right="211" w:hanging="1"/>
      </w:pPr>
      <w:r>
        <w:rPr>
          <w:spacing w:val="-2"/>
        </w:rPr>
        <w:t>指因疾病或</w:t>
      </w:r>
      <w:r>
        <w:rPr>
          <w:b/>
        </w:rPr>
        <w:t>意外伤害</w:t>
      </w:r>
      <w:r>
        <w:rPr>
          <w:spacing w:val="-8"/>
        </w:rPr>
        <w:t>导致完全丧失语言能力，经过积极治疗至少 </w:t>
      </w:r>
      <w:r>
        <w:rPr>
          <w:rFonts w:ascii="Times New Roman" w:eastAsia="Times New Roman"/>
        </w:rPr>
        <w:t>12 </w:t>
      </w:r>
      <w:r>
        <w:rPr>
          <w:spacing w:val="-19"/>
        </w:rPr>
        <w:t>个月</w:t>
      </w:r>
      <w:r>
        <w:rPr>
          <w:spacing w:val="-3"/>
        </w:rPr>
        <w:t>（</w:t>
      </w:r>
      <w:r>
        <w:rPr>
          <w:spacing w:val="-2"/>
        </w:rPr>
        <w:t>声带完全</w:t>
      </w:r>
      <w:r>
        <w:rPr>
          <w:spacing w:val="-3"/>
        </w:rPr>
        <w:t>切除不受此时间限制</w:t>
      </w:r>
      <w:r>
        <w:rPr/>
        <w:t>）</w:t>
      </w:r>
      <w:r>
        <w:rPr>
          <w:spacing w:val="-3"/>
        </w:rPr>
        <w:t>，仍无法通过现有医疗手段恢复。</w:t>
      </w:r>
    </w:p>
    <w:p>
      <w:pPr>
        <w:pStyle w:val="BodyText"/>
        <w:spacing w:line="408" w:lineRule="auto" w:before="178"/>
        <w:ind w:left="1209" w:right="298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spacing w:after="0" w:line="408" w:lineRule="auto"/>
        <w:rPr>
          <w:rFonts w:ascii="黑体" w:eastAsia="黑体" w:hint="eastAsia"/>
        </w:rPr>
        <w:sectPr>
          <w:pgSz w:w="11910" w:h="16840"/>
          <w:pgMar w:top="1400" w:bottom="280" w:left="1680" w:right="1200"/>
        </w:sectPr>
      </w:pPr>
    </w:p>
    <w:p>
      <w:pPr>
        <w:pStyle w:val="Heading3"/>
        <w:numPr>
          <w:ilvl w:val="2"/>
          <w:numId w:val="3"/>
        </w:numPr>
        <w:tabs>
          <w:tab w:pos="999" w:val="left" w:leader="none"/>
        </w:tabs>
        <w:spacing w:line="240" w:lineRule="auto" w:before="29" w:after="0"/>
        <w:ind w:left="998" w:right="0" w:hanging="720"/>
        <w:jc w:val="left"/>
      </w:pPr>
      <w:r>
        <w:rPr/>
        <w:t>重型再生障碍性贫血</w:t>
      </w:r>
    </w:p>
    <w:p>
      <w:pPr>
        <w:pStyle w:val="BodyText"/>
        <w:spacing w:line="273" w:lineRule="auto" w:before="141"/>
        <w:ind w:left="1209" w:right="111"/>
      </w:pPr>
      <w:r>
        <w:rPr/>
        <w:t>指因骨髓造血功能慢性持续性衰竭导致的贫血、中性粒细胞减少及血小板减少。须满足下列全部条件：</w:t>
      </w:r>
    </w:p>
    <w:p>
      <w:pPr>
        <w:pStyle w:val="BodyText"/>
        <w:spacing w:before="163"/>
        <w:ind w:left="1209"/>
        <w:jc w:val="both"/>
      </w:pPr>
      <w:r>
        <w:rPr>
          <w:rFonts w:ascii="Times New Roman" w:eastAsia="Times New Roman"/>
        </w:rPr>
        <w:t>1</w:t>
      </w:r>
      <w:r>
        <w:rPr/>
        <w:t>． 骨髓穿刺检查或骨髓活检结果支持诊断；</w:t>
      </w:r>
    </w:p>
    <w:p>
      <w:pPr>
        <w:pStyle w:val="BodyText"/>
        <w:spacing w:before="176"/>
        <w:ind w:left="1209"/>
        <w:jc w:val="both"/>
      </w:pPr>
      <w:r>
        <w:rPr>
          <w:rFonts w:ascii="Times New Roman" w:eastAsia="Times New Roman"/>
        </w:rPr>
        <w:t>2</w:t>
      </w:r>
      <w:r>
        <w:rPr/>
        <w:t>． 外周血象须具备以下三项条件：</w:t>
      </w:r>
    </w:p>
    <w:p>
      <w:pPr>
        <w:pStyle w:val="BodyText"/>
        <w:tabs>
          <w:tab w:pos="2078" w:val="left" w:leader="none"/>
        </w:tabs>
        <w:spacing w:before="176"/>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6"/>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6" w:after="0"/>
        <w:ind w:left="998" w:right="0" w:hanging="720"/>
        <w:jc w:val="left"/>
      </w:pPr>
      <w:r>
        <w:rPr/>
        <w:t>主动脉手术</w:t>
      </w:r>
    </w:p>
    <w:p>
      <w:pPr>
        <w:pStyle w:val="BodyText"/>
        <w:spacing w:line="273" w:lineRule="auto" w:before="140"/>
        <w:ind w:left="1209" w:right="11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09"/>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细菌性脑膜炎</w:t>
      </w:r>
    </w:p>
    <w:p>
      <w:pPr>
        <w:pStyle w:val="BodyText"/>
        <w:spacing w:line="273" w:lineRule="auto" w:before="141"/>
        <w:ind w:left="1209" w:right="111"/>
      </w:pPr>
      <w:r>
        <w:rPr/>
        <w:t>细菌性脑膜炎是细菌感染造成的覆盖脑和脊髓的脑脊膜的炎症。细菌性脑膜炎必须造成永久性神经系统功能损害并且符合下列条件：</w:t>
      </w:r>
    </w:p>
    <w:p>
      <w:pPr>
        <w:pStyle w:val="BodyText"/>
        <w:spacing w:before="163"/>
        <w:ind w:left="1209"/>
      </w:pPr>
      <w:r>
        <w:rPr>
          <w:rFonts w:ascii="Times New Roman" w:eastAsia="Times New Roman"/>
        </w:rPr>
        <w:t>1</w:t>
      </w:r>
      <w:r>
        <w:rPr/>
        <w:t>． 导致三周岁以上被保险人</w:t>
      </w:r>
      <w:r>
        <w:rPr>
          <w:b/>
        </w:rPr>
        <w:t>永久不可逆</w:t>
      </w:r>
      <w:r>
        <w:rPr/>
        <w:t>性的丧失下列活动能力：</w:t>
      </w:r>
    </w:p>
    <w:p>
      <w:pPr>
        <w:pStyle w:val="BodyText"/>
        <w:tabs>
          <w:tab w:pos="2078" w:val="left" w:leader="none"/>
        </w:tabs>
        <w:spacing w:before="177"/>
        <w:ind w:left="1538"/>
      </w:pPr>
      <w:r>
        <w:rPr>
          <w:rFonts w:ascii="Times New Roman" w:eastAsia="Times New Roman"/>
        </w:rPr>
        <w:t>i</w:t>
      </w:r>
      <w:r>
        <w:rPr/>
        <w:t>．</w:t>
        <w:tab/>
      </w:r>
      <w:r>
        <w:rPr>
          <w:spacing w:val="-3"/>
        </w:rPr>
        <w:t>在室内从房间到房间之间的平地移动；或者</w:t>
      </w:r>
    </w:p>
    <w:p>
      <w:pPr>
        <w:pStyle w:val="BodyText"/>
        <w:tabs>
          <w:tab w:pos="2078" w:val="left" w:leader="none"/>
        </w:tabs>
        <w:spacing w:before="177"/>
        <w:ind w:left="1538"/>
      </w:pPr>
      <w:r>
        <w:rPr>
          <w:rFonts w:ascii="Times New Roman" w:eastAsia="Times New Roman"/>
        </w:rPr>
        <w:t>ii</w:t>
      </w:r>
      <w:r>
        <w:rPr/>
        <w:t>．</w:t>
        <w:tab/>
      </w:r>
      <w:r>
        <w:rPr>
          <w:spacing w:val="-3"/>
        </w:rPr>
        <w:t>在食物已经准备好的情况下自己进食。</w:t>
      </w:r>
    </w:p>
    <w:p>
      <w:pPr>
        <w:pStyle w:val="BodyText"/>
        <w:spacing w:line="256" w:lineRule="auto" w:before="177"/>
        <w:ind w:left="1569" w:right="97" w:hanging="361"/>
      </w:pPr>
      <w:r>
        <w:rPr>
          <w:rFonts w:ascii="Times New Roman" w:eastAsia="Times New Roman"/>
        </w:rPr>
        <w:t>2</w:t>
      </w:r>
      <w:r>
        <w:rPr/>
        <w:t>． 导致三周岁以下被保险人持续超过 </w:t>
      </w:r>
      <w:r>
        <w:rPr>
          <w:rFonts w:ascii="Times New Roman" w:eastAsia="Times New Roman"/>
        </w:rPr>
        <w:t>180 </w:t>
      </w:r>
      <w:r>
        <w:rPr/>
        <w:t>天以上的一项或多项下列后遗症：癫痫症、阻塞性脑积水、瘫痪、肢体强直痉挛或共济失调。</w:t>
      </w:r>
    </w:p>
    <w:p>
      <w:pPr>
        <w:pStyle w:val="Heading3"/>
        <w:numPr>
          <w:ilvl w:val="2"/>
          <w:numId w:val="3"/>
        </w:numPr>
        <w:tabs>
          <w:tab w:pos="999" w:val="left" w:leader="none"/>
        </w:tabs>
        <w:spacing w:line="240" w:lineRule="auto" w:before="178" w:after="0"/>
        <w:ind w:left="998" w:right="0" w:hanging="720"/>
        <w:jc w:val="left"/>
      </w:pPr>
      <w:r>
        <w:rPr/>
        <w:t>慢性呼吸功能衰竭</w:t>
      </w:r>
    </w:p>
    <w:p>
      <w:pPr>
        <w:pStyle w:val="BodyText"/>
        <w:spacing w:before="140"/>
        <w:ind w:left="1209"/>
        <w:jc w:val="both"/>
      </w:pPr>
      <w:r>
        <w:rPr/>
        <w:t>终末期慢性肺部疾病。必须满足以下所有条件：</w:t>
      </w:r>
    </w:p>
    <w:p>
      <w:pPr>
        <w:pStyle w:val="BodyText"/>
        <w:spacing w:before="9"/>
        <w:rPr>
          <w:sz w:val="14"/>
        </w:rPr>
      </w:pPr>
    </w:p>
    <w:p>
      <w:pPr>
        <w:pStyle w:val="BodyText"/>
        <w:ind w:left="1209"/>
        <w:jc w:val="both"/>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subscript"/>
        </w:rPr>
        <w:t>.</w:t>
      </w:r>
      <w:r>
        <w:rPr>
          <w:rFonts w:ascii="Times New Roman" w:eastAsia="Times New Roman"/>
          <w:vertAlign w:val="subscript"/>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7"/>
        <w:ind w:left="1209"/>
        <w:jc w:val="both"/>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7"/>
        <w:ind w:left="1209"/>
        <w:jc w:val="both"/>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before="177"/>
        <w:ind w:left="1209"/>
        <w:jc w:val="both"/>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p>
    <w:p>
      <w:pPr>
        <w:pStyle w:val="BodyText"/>
        <w:spacing w:before="21"/>
        <w:ind w:left="1569"/>
      </w:pPr>
      <w:r>
        <w:rPr>
          <w:rFonts w:ascii="Times New Roman" w:eastAsia="Times New Roman"/>
        </w:rPr>
        <w:t>50 mmHg</w:t>
      </w:r>
      <w:r>
        <w:rPr/>
        <w:t>。</w:t>
      </w:r>
    </w:p>
    <w:p>
      <w:pPr>
        <w:pStyle w:val="Heading3"/>
        <w:numPr>
          <w:ilvl w:val="2"/>
          <w:numId w:val="3"/>
        </w:numPr>
        <w:tabs>
          <w:tab w:pos="999" w:val="left" w:leader="none"/>
        </w:tabs>
        <w:spacing w:line="240" w:lineRule="auto" w:before="177" w:after="0"/>
        <w:ind w:left="998" w:right="0" w:hanging="720"/>
        <w:jc w:val="left"/>
      </w:pPr>
      <w:r>
        <w:rPr/>
        <w:t>多发性硬化症</w:t>
      </w:r>
    </w:p>
    <w:p>
      <w:pPr>
        <w:pStyle w:val="BodyText"/>
        <w:spacing w:line="273" w:lineRule="auto" w:before="141"/>
        <w:ind w:left="1209" w:right="111"/>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3"/>
        <w:ind w:left="1209" w:right="0" w:firstLine="0"/>
        <w:jc w:val="both"/>
        <w:rPr>
          <w:sz w:val="21"/>
        </w:rPr>
      </w:pPr>
      <w:r>
        <w:rPr>
          <w:rFonts w:ascii="Times New Roman" w:eastAsia="Times New Roman"/>
          <w:sz w:val="21"/>
        </w:rPr>
        <w:t>1</w:t>
      </w:r>
      <w:r>
        <w:rPr>
          <w:sz w:val="21"/>
        </w:rPr>
        <w:t>． 被保险人</w:t>
      </w:r>
      <w:r>
        <w:rPr>
          <w:b/>
          <w:sz w:val="21"/>
        </w:rPr>
        <w:t>永久不可逆</w:t>
      </w:r>
      <w:r>
        <w:rPr>
          <w:sz w:val="21"/>
        </w:rPr>
        <w:t>性的丧失下列活动能力：</w:t>
      </w:r>
    </w:p>
    <w:p>
      <w:pPr>
        <w:spacing w:after="0"/>
        <w:jc w:val="both"/>
        <w:rPr>
          <w:sz w:val="21"/>
        </w:rPr>
        <w:sectPr>
          <w:pgSz w:w="11910" w:h="16840"/>
          <w:pgMar w:top="1380" w:bottom="280" w:left="1680" w:right="1300"/>
        </w:sectPr>
      </w:pPr>
    </w:p>
    <w:p>
      <w:pPr>
        <w:pStyle w:val="BodyText"/>
        <w:tabs>
          <w:tab w:pos="2458" w:val="left" w:leader="none"/>
        </w:tabs>
        <w:spacing w:before="29"/>
        <w:ind w:left="1918"/>
      </w:pPr>
      <w:r>
        <w:rPr>
          <w:rFonts w:ascii="Times New Roman" w:eastAsia="Times New Roman"/>
        </w:rPr>
        <w:t>i</w:t>
      </w:r>
      <w:r>
        <w:rPr/>
        <w:t>．</w:t>
        <w:tab/>
      </w:r>
      <w:r>
        <w:rPr>
          <w:spacing w:val="-3"/>
        </w:rPr>
        <w:t>在室内从房间到房间之间的平地移动；或者</w:t>
      </w:r>
    </w:p>
    <w:p>
      <w:pPr>
        <w:pStyle w:val="BodyText"/>
        <w:tabs>
          <w:tab w:pos="2458" w:val="left" w:leader="none"/>
        </w:tabs>
        <w:spacing w:before="177"/>
        <w:ind w:left="1918"/>
      </w:pPr>
      <w:r>
        <w:rPr>
          <w:rFonts w:ascii="Times New Roman" w:eastAsia="Times New Roman"/>
        </w:rPr>
        <w:t>ii</w:t>
      </w:r>
      <w:r>
        <w:rPr/>
        <w:t>．</w:t>
        <w:tab/>
      </w:r>
      <w:r>
        <w:rPr>
          <w:spacing w:val="-3"/>
        </w:rPr>
        <w:t>在食物已经准备好的情况下自行进食。</w:t>
      </w:r>
    </w:p>
    <w:p>
      <w:pPr>
        <w:pStyle w:val="Heading3"/>
        <w:numPr>
          <w:ilvl w:val="2"/>
          <w:numId w:val="3"/>
        </w:numPr>
        <w:tabs>
          <w:tab w:pos="1379" w:val="left" w:leader="none"/>
        </w:tabs>
        <w:spacing w:line="240" w:lineRule="auto" w:before="177" w:after="0"/>
        <w:ind w:left="1378" w:right="0" w:hanging="720"/>
        <w:jc w:val="left"/>
      </w:pPr>
      <w:r>
        <w:rPr/>
        <w:t>脊髓灰质炎</w:t>
      </w:r>
    </w:p>
    <w:p>
      <w:pPr>
        <w:pStyle w:val="BodyText"/>
        <w:spacing w:line="273" w:lineRule="auto" w:before="141"/>
        <w:ind w:left="1589" w:right="211"/>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w:t>
      </w:r>
      <w:r>
        <w:rPr>
          <w:b/>
        </w:rPr>
        <w:t>永久不可逆</w:t>
      </w:r>
      <w:r>
        <w:rPr/>
        <w:t>性丧失的情况予以理赔。肢体功能的完全丧失指的是肢体关节永久完全僵硬、或麻痹、或关节不能随意识活动。肢体的定义为整个上肢或是整个下肢。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6" w:id="48"/>
      <w:bookmarkEnd w:id="48"/>
      <w:r>
        <w:rPr>
          <w:b w:val="0"/>
        </w:rPr>
      </w:r>
      <w:bookmarkStart w:name="_bookmark26" w:id="49"/>
      <w:bookmarkEnd w:id="49"/>
      <w:r>
        <w:rPr/>
        <w:t>肢体机能完全丧失</w:t>
      </w:r>
    </w:p>
    <w:p>
      <w:pPr>
        <w:pStyle w:val="BodyText"/>
        <w:spacing w:line="273" w:lineRule="auto" w:before="176"/>
        <w:ind w:left="1589" w:right="211"/>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7" w:id="50"/>
      <w:bookmarkEnd w:id="50"/>
      <w:r>
        <w:rPr>
          <w:b w:val="0"/>
        </w:rPr>
      </w:r>
      <w:bookmarkStart w:name="_bookmark27" w:id="51"/>
      <w:bookmarkEnd w:id="51"/>
      <w:r>
        <w:rPr>
          <w:spacing w:val="-2"/>
        </w:rPr>
        <w:t>语言能力或咀嚼吞咽能力完全丧失</w:t>
      </w:r>
    </w:p>
    <w:p>
      <w:pPr>
        <w:pStyle w:val="BodyText"/>
        <w:spacing w:line="273" w:lineRule="auto" w:before="177"/>
        <w:ind w:left="1589" w:right="105"/>
      </w:pPr>
      <w:r>
        <w:rPr>
          <w:spacing w:val="-6"/>
        </w:rPr>
        <w:t>语言能力完全丧失，指无法发出四种语音</w:t>
      </w:r>
      <w:r>
        <w:rPr/>
        <w:t>（</w:t>
      </w:r>
      <w:r>
        <w:rPr>
          <w:spacing w:val="-8"/>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89" w:right="211"/>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8" w:id="52"/>
      <w:bookmarkEnd w:id="52"/>
      <w:r>
        <w:rPr>
          <w:b w:val="0"/>
        </w:rPr>
      </w:r>
      <w:bookmarkStart w:name="_bookmark28" w:id="53"/>
      <w:bookmarkEnd w:id="53"/>
      <w:r>
        <w:rPr>
          <w:spacing w:val="-1"/>
        </w:rPr>
        <w:t>六项基本日常生活活动</w:t>
      </w:r>
    </w:p>
    <w:p>
      <w:pPr>
        <w:pStyle w:val="BodyText"/>
        <w:spacing w:before="177"/>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89" w:right="104"/>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29" w:id="54"/>
      <w:bookmarkEnd w:id="54"/>
      <w:r>
        <w:rPr>
          <w:b w:val="0"/>
        </w:rPr>
      </w:r>
      <w:bookmarkStart w:name="_bookmark29" w:id="55"/>
      <w:bookmarkEnd w:id="55"/>
      <w:r>
        <w:rPr/>
        <w:t>永久不可逆</w:t>
      </w:r>
    </w:p>
    <w:p>
      <w:pPr>
        <w:pStyle w:val="BodyText"/>
        <w:spacing w:line="256" w:lineRule="auto" w:before="177"/>
        <w:ind w:left="1589" w:right="168"/>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30" w:id="56"/>
      <w:bookmarkEnd w:id="56"/>
      <w:r>
        <w:rPr>
          <w:b w:val="0"/>
        </w:rPr>
      </w:r>
      <w:bookmarkStart w:name="_bookmark30" w:id="57"/>
      <w:bookmarkEnd w:id="57"/>
      <w:r>
        <w:rPr/>
        <w:t>意外伤害</w:t>
      </w:r>
    </w:p>
    <w:p>
      <w:pPr>
        <w:pStyle w:val="BodyText"/>
        <w:spacing w:before="177"/>
        <w:ind w:left="1589"/>
        <w:jc w:val="both"/>
      </w:pPr>
      <w:r>
        <w:rPr/>
        <w:t>指遭受外来的、突发的、非本意的、非疾病的客观事件直接致使身体受到的伤害。</w:t>
      </w:r>
    </w:p>
    <w:p>
      <w:pPr>
        <w:pStyle w:val="BodyText"/>
        <w:spacing w:before="9"/>
        <w:rPr>
          <w:sz w:val="14"/>
        </w:rPr>
      </w:pPr>
    </w:p>
    <w:p>
      <w:pPr>
        <w:pStyle w:val="Heading3"/>
        <w:numPr>
          <w:ilvl w:val="1"/>
          <w:numId w:val="3"/>
        </w:numPr>
        <w:tabs>
          <w:tab w:pos="694" w:val="left" w:leader="none"/>
          <w:tab w:pos="695" w:val="left" w:leader="none"/>
        </w:tabs>
        <w:spacing w:line="240" w:lineRule="auto" w:before="1" w:after="0"/>
        <w:ind w:left="694" w:right="0" w:hanging="576"/>
        <w:jc w:val="left"/>
        <w:rPr>
          <w:rFonts w:ascii="Times New Roman" w:eastAsia="Times New Roman"/>
        </w:rPr>
      </w:pPr>
      <w:bookmarkStart w:name="_bookmark31" w:id="58"/>
      <w:bookmarkEnd w:id="58"/>
      <w:r>
        <w:rPr>
          <w:b w:val="0"/>
        </w:rPr>
      </w:r>
      <w:bookmarkStart w:name="_bookmark31" w:id="59"/>
      <w:bookmarkEnd w:id="59"/>
      <w:r>
        <w:rPr/>
        <w:t>发病</w:t>
      </w:r>
    </w:p>
    <w:p>
      <w:pPr>
        <w:pStyle w:val="BodyText"/>
        <w:spacing w:line="273" w:lineRule="auto" w:before="177"/>
        <w:ind w:left="1589" w:right="211"/>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2" w:id="60"/>
      <w:bookmarkEnd w:id="60"/>
      <w:r>
        <w:rPr>
          <w:b w:val="0"/>
        </w:rPr>
      </w:r>
      <w:bookmarkStart w:name="_bookmark32" w:id="61"/>
      <w:bookmarkEnd w:id="61"/>
      <w:r>
        <w:rPr/>
        <w:t>指定或认可的医院</w:t>
      </w:r>
    </w:p>
    <w:p>
      <w:pPr>
        <w:pStyle w:val="BodyText"/>
        <w:spacing w:before="177"/>
        <w:ind w:left="1589"/>
        <w:jc w:val="both"/>
      </w:pPr>
      <w:r>
        <w:rPr/>
        <w:t>本附加合同所称的指定或认可的医院应符合下列所有条件：</w:t>
      </w:r>
    </w:p>
    <w:p>
      <w:pPr>
        <w:pStyle w:val="BodyText"/>
        <w:spacing w:before="10"/>
        <w:rPr>
          <w:sz w:val="14"/>
        </w:rPr>
      </w:pPr>
    </w:p>
    <w:p>
      <w:pPr>
        <w:pStyle w:val="ListParagraph"/>
        <w:numPr>
          <w:ilvl w:val="0"/>
          <w:numId w:val="4"/>
        </w:numPr>
        <w:tabs>
          <w:tab w:pos="1876" w:val="left" w:leader="none"/>
        </w:tabs>
        <w:spacing w:line="240" w:lineRule="auto" w:before="0" w:after="0"/>
        <w:ind w:left="1875" w:right="0" w:hanging="317"/>
        <w:jc w:val="both"/>
        <w:rPr>
          <w:sz w:val="21"/>
        </w:rPr>
      </w:pPr>
      <w:r>
        <w:rPr>
          <w:spacing w:val="-3"/>
          <w:sz w:val="21"/>
        </w:rPr>
        <w:t>拥有合法经营执照；</w:t>
      </w:r>
    </w:p>
    <w:p>
      <w:pPr>
        <w:pStyle w:val="ListParagraph"/>
        <w:numPr>
          <w:ilvl w:val="0"/>
          <w:numId w:val="4"/>
        </w:numPr>
        <w:tabs>
          <w:tab w:pos="1876" w:val="left" w:leader="none"/>
        </w:tabs>
        <w:spacing w:line="240" w:lineRule="auto" w:before="177" w:after="0"/>
        <w:ind w:left="1875" w:right="0" w:hanging="317"/>
        <w:jc w:val="both"/>
        <w:rPr>
          <w:sz w:val="21"/>
        </w:rPr>
      </w:pPr>
      <w:r>
        <w:rPr>
          <w:spacing w:val="-3"/>
          <w:sz w:val="21"/>
        </w:rPr>
        <w:t>设立的主要目的为向受伤者和患病者提供留院治疗和护理服务；</w:t>
      </w:r>
    </w:p>
    <w:p>
      <w:pPr>
        <w:pStyle w:val="ListParagraph"/>
        <w:numPr>
          <w:ilvl w:val="0"/>
          <w:numId w:val="4"/>
        </w:numPr>
        <w:tabs>
          <w:tab w:pos="1876" w:val="left" w:leader="none"/>
        </w:tabs>
        <w:spacing w:line="256" w:lineRule="auto" w:before="177" w:after="0"/>
        <w:ind w:left="1875" w:right="216" w:hanging="317"/>
        <w:jc w:val="left"/>
        <w:rPr>
          <w:sz w:val="21"/>
        </w:rPr>
      </w:pPr>
      <w:r>
        <w:rPr>
          <w:sz w:val="21"/>
        </w:rPr>
        <w:t>有合格的医生</w:t>
      </w:r>
      <w:r>
        <w:rPr>
          <w:rFonts w:ascii="Times New Roman" w:eastAsia="Times New Roman"/>
          <w:sz w:val="21"/>
        </w:rPr>
        <w:t>(</w:t>
      </w:r>
      <w:r>
        <w:rPr>
          <w:rFonts w:ascii="黑体" w:eastAsia="黑体" w:hint="eastAsia"/>
          <w:spacing w:val="-2"/>
          <w:sz w:val="21"/>
        </w:rPr>
        <w:t>被保险人本人、其配偶或其直系亲属除外</w:t>
      </w:r>
      <w:r>
        <w:rPr>
          <w:rFonts w:ascii="Times New Roman" w:eastAsia="Times New Roman"/>
          <w:sz w:val="21"/>
        </w:rPr>
        <w:t>)</w:t>
      </w:r>
      <w:r>
        <w:rPr>
          <w:spacing w:val="-1"/>
          <w:sz w:val="21"/>
        </w:rPr>
        <w:t>和护士提供全日二十四</w:t>
      </w:r>
      <w:r>
        <w:rPr>
          <w:spacing w:val="-3"/>
          <w:sz w:val="21"/>
        </w:rPr>
        <w:t>小时的医疗和护理服务；</w:t>
      </w:r>
    </w:p>
    <w:p>
      <w:pPr>
        <w:spacing w:after="0" w:line="256" w:lineRule="auto"/>
        <w:jc w:val="left"/>
        <w:rPr>
          <w:sz w:val="21"/>
        </w:rPr>
        <w:sectPr>
          <w:pgSz w:w="11910" w:h="16840"/>
          <w:pgMar w:top="1380" w:bottom="280" w:left="1300" w:right="1200"/>
        </w:sectPr>
      </w:pPr>
    </w:p>
    <w:p>
      <w:pPr>
        <w:pStyle w:val="ListParagraph"/>
        <w:numPr>
          <w:ilvl w:val="0"/>
          <w:numId w:val="4"/>
        </w:numPr>
        <w:tabs>
          <w:tab w:pos="1876" w:val="left" w:leader="none"/>
        </w:tabs>
        <w:spacing w:line="256" w:lineRule="auto" w:before="29" w:after="0"/>
        <w:ind w:left="1875" w:right="211" w:hanging="317"/>
        <w:jc w:val="left"/>
        <w:rPr>
          <w:sz w:val="21"/>
        </w:rPr>
      </w:pPr>
      <w:r>
        <w:rPr>
          <w:spacing w:val="-5"/>
          <w:sz w:val="21"/>
        </w:rPr>
        <w:t>具有系统性诊疗等程序或手术设备的二级或以上综合性医院或专科医院，</w:t>
      </w:r>
      <w:r>
        <w:rPr>
          <w:rFonts w:ascii="黑体" w:eastAsia="黑体" w:hint="eastAsia"/>
          <w:spacing w:val="-2"/>
          <w:sz w:val="21"/>
        </w:rPr>
        <w:t>但不包</w:t>
      </w:r>
      <w:r>
        <w:rPr>
          <w:rFonts w:ascii="黑体" w:eastAsia="黑体" w:hint="eastAsia"/>
          <w:spacing w:val="-3"/>
          <w:sz w:val="21"/>
        </w:rPr>
        <w:t>括观察室、联合病房和康复病房</w:t>
      </w:r>
      <w:r>
        <w:rPr>
          <w:sz w:val="21"/>
        </w:rPr>
        <w:t>；</w:t>
      </w:r>
    </w:p>
    <w:p>
      <w:pPr>
        <w:pStyle w:val="ListParagraph"/>
        <w:numPr>
          <w:ilvl w:val="0"/>
          <w:numId w:val="4"/>
        </w:numPr>
        <w:tabs>
          <w:tab w:pos="1876" w:val="left" w:leader="none"/>
        </w:tabs>
        <w:spacing w:line="240" w:lineRule="auto" w:before="178" w:after="0"/>
        <w:ind w:left="1875" w:right="0" w:hanging="317"/>
        <w:jc w:val="left"/>
        <w:rPr>
          <w:sz w:val="21"/>
        </w:rPr>
      </w:pPr>
      <w:r>
        <w:rPr>
          <w:spacing w:val="-3"/>
          <w:sz w:val="21"/>
        </w:rPr>
        <w:t>非主要作为康复医院、诊所、护理、疗养、戒酒、戒毒或类似的医疗机构。</w:t>
      </w:r>
    </w:p>
    <w:p>
      <w:pPr>
        <w:pStyle w:val="BodyText"/>
        <w:spacing w:before="3"/>
        <w:rPr>
          <w:sz w:val="10"/>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33" w:id="62"/>
      <w:bookmarkEnd w:id="62"/>
      <w:r>
        <w:rPr>
          <w:b w:val="0"/>
        </w:rPr>
      </w:r>
      <w:bookmarkStart w:name="_bookmark33" w:id="63"/>
      <w:bookmarkEnd w:id="63"/>
      <w:r>
        <w:rPr/>
        <w:t>专科医生</w:t>
      </w:r>
    </w:p>
    <w:p>
      <w:pPr>
        <w:pStyle w:val="BodyText"/>
        <w:spacing w:before="10"/>
        <w:rPr>
          <w:b/>
          <w:sz w:val="10"/>
        </w:rPr>
      </w:pPr>
    </w:p>
    <w:p>
      <w:pPr>
        <w:pStyle w:val="BodyText"/>
        <w:spacing w:before="36"/>
        <w:ind w:left="1589"/>
      </w:pPr>
      <w:r>
        <w:rPr/>
        <w:t>专科医生应当同时满足以下四项资格条件：</w:t>
      </w:r>
    </w:p>
    <w:p>
      <w:pPr>
        <w:pStyle w:val="BodyText"/>
        <w:spacing w:before="9"/>
        <w:rPr>
          <w:sz w:val="14"/>
        </w:rPr>
      </w:pPr>
    </w:p>
    <w:p>
      <w:pPr>
        <w:pStyle w:val="ListParagraph"/>
        <w:numPr>
          <w:ilvl w:val="0"/>
          <w:numId w:val="5"/>
        </w:numPr>
        <w:tabs>
          <w:tab w:pos="1876" w:val="left" w:leader="none"/>
        </w:tabs>
        <w:spacing w:line="240" w:lineRule="auto" w:before="0" w:after="0"/>
        <w:ind w:left="1875" w:right="0" w:hanging="317"/>
        <w:jc w:val="left"/>
        <w:rPr>
          <w:sz w:val="21"/>
        </w:rPr>
      </w:pPr>
      <w:r>
        <w:rPr>
          <w:spacing w:val="-9"/>
          <w:sz w:val="21"/>
        </w:rPr>
        <w:t>具有有效的中华人民共和国《医师资格证书》；</w:t>
      </w:r>
    </w:p>
    <w:p>
      <w:pPr>
        <w:pStyle w:val="ListParagraph"/>
        <w:numPr>
          <w:ilvl w:val="0"/>
          <w:numId w:val="5"/>
        </w:numPr>
        <w:tabs>
          <w:tab w:pos="1876" w:val="left" w:leader="none"/>
        </w:tabs>
        <w:spacing w:line="240" w:lineRule="auto" w:before="176" w:after="0"/>
        <w:ind w:left="1875" w:right="0" w:hanging="317"/>
        <w:jc w:val="left"/>
        <w:rPr>
          <w:sz w:val="21"/>
        </w:rPr>
      </w:pPr>
      <w:r>
        <w:rPr>
          <w:spacing w:val="-9"/>
          <w:sz w:val="21"/>
        </w:rPr>
        <w:t>具有有效的中华人民共和国《医师执业证书》，并按期到相关部门登记注册；</w:t>
      </w:r>
    </w:p>
    <w:p>
      <w:pPr>
        <w:pStyle w:val="ListParagraph"/>
        <w:numPr>
          <w:ilvl w:val="0"/>
          <w:numId w:val="5"/>
        </w:numPr>
        <w:tabs>
          <w:tab w:pos="1876" w:val="left" w:leader="none"/>
        </w:tabs>
        <w:spacing w:line="240" w:lineRule="auto" w:before="176" w:after="0"/>
        <w:ind w:left="1875" w:right="0" w:hanging="317"/>
        <w:jc w:val="left"/>
        <w:rPr>
          <w:sz w:val="21"/>
        </w:rPr>
      </w:pPr>
      <w:r>
        <w:rPr>
          <w:spacing w:val="-7"/>
          <w:sz w:val="21"/>
        </w:rPr>
        <w:t>具有有效的中华人民共和国主治医师或主治医师以上职称的《医师职称证书》；</w:t>
      </w:r>
    </w:p>
    <w:p>
      <w:pPr>
        <w:pStyle w:val="ListParagraph"/>
        <w:numPr>
          <w:ilvl w:val="0"/>
          <w:numId w:val="5"/>
        </w:numPr>
        <w:tabs>
          <w:tab w:pos="1876" w:val="left" w:leader="none"/>
        </w:tabs>
        <w:spacing w:line="240" w:lineRule="auto" w:before="176" w:after="0"/>
        <w:ind w:left="1875" w:right="0" w:hanging="317"/>
        <w:jc w:val="left"/>
        <w:rPr>
          <w:sz w:val="21"/>
        </w:rPr>
      </w:pPr>
      <w:r>
        <w:rPr>
          <w:spacing w:val="-3"/>
          <w:sz w:val="21"/>
        </w:rPr>
        <w:t>在二级或二级以上医院的相应科室从事临床工作三年以上。</w:t>
      </w:r>
    </w:p>
    <w:p>
      <w:pPr>
        <w:pStyle w:val="BodyText"/>
        <w:spacing w:before="2"/>
        <w:rPr>
          <w:sz w:val="10"/>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34" w:id="64"/>
      <w:bookmarkEnd w:id="64"/>
      <w:r>
        <w:rPr>
          <w:b w:val="0"/>
        </w:rPr>
      </w:r>
      <w:bookmarkStart w:name="_bookmark34" w:id="65"/>
      <w:bookmarkEnd w:id="65"/>
      <w:r>
        <w:rPr/>
        <w:t>毒品</w:t>
      </w:r>
    </w:p>
    <w:p>
      <w:pPr>
        <w:pStyle w:val="BodyText"/>
        <w:spacing w:before="9"/>
        <w:rPr>
          <w:b/>
          <w:sz w:val="10"/>
        </w:rPr>
      </w:pPr>
    </w:p>
    <w:p>
      <w:pPr>
        <w:pStyle w:val="BodyText"/>
        <w:spacing w:line="273" w:lineRule="auto" w:before="36"/>
        <w:ind w:left="1589" w:right="211"/>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before="2"/>
        <w:rPr>
          <w:sz w:val="9"/>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35" w:id="66"/>
      <w:bookmarkEnd w:id="66"/>
      <w:r>
        <w:rPr>
          <w:b w:val="0"/>
        </w:rPr>
      </w:r>
      <w:bookmarkStart w:name="_bookmark35" w:id="67"/>
      <w:bookmarkEnd w:id="67"/>
      <w:r>
        <w:rPr/>
        <w:t>酒后驾驶</w:t>
      </w:r>
    </w:p>
    <w:p>
      <w:pPr>
        <w:pStyle w:val="BodyText"/>
        <w:spacing w:before="9"/>
        <w:rPr>
          <w:b/>
          <w:sz w:val="10"/>
        </w:rPr>
      </w:pPr>
    </w:p>
    <w:p>
      <w:pPr>
        <w:pStyle w:val="BodyText"/>
        <w:spacing w:line="273" w:lineRule="auto" w:before="37"/>
        <w:ind w:left="1589" w:right="211"/>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36" w:id="68"/>
      <w:bookmarkEnd w:id="68"/>
      <w:r>
        <w:rPr>
          <w:b w:val="0"/>
        </w:rPr>
      </w:r>
      <w:bookmarkStart w:name="_bookmark36" w:id="69"/>
      <w:bookmarkEnd w:id="69"/>
      <w:r>
        <w:rPr>
          <w:spacing w:val="-1"/>
        </w:rPr>
        <w:t>无合法有效驾驶证驾驶</w:t>
      </w:r>
    </w:p>
    <w:p>
      <w:pPr>
        <w:pStyle w:val="BodyText"/>
        <w:spacing w:before="177"/>
        <w:ind w:left="1589"/>
        <w:jc w:val="both"/>
      </w:pPr>
      <w:r>
        <w:rPr/>
        <w:t>指下列情形之一：</w:t>
      </w:r>
    </w:p>
    <w:p>
      <w:pPr>
        <w:pStyle w:val="BodyText"/>
        <w:spacing w:before="9"/>
        <w:rPr>
          <w:sz w:val="14"/>
        </w:rPr>
      </w:pPr>
    </w:p>
    <w:p>
      <w:pPr>
        <w:pStyle w:val="ListParagraph"/>
        <w:numPr>
          <w:ilvl w:val="0"/>
          <w:numId w:val="6"/>
        </w:numPr>
        <w:tabs>
          <w:tab w:pos="1919" w:val="left" w:leader="none"/>
        </w:tabs>
        <w:spacing w:line="240" w:lineRule="auto" w:before="0" w:after="0"/>
        <w:ind w:left="1918" w:right="0" w:hanging="360"/>
        <w:jc w:val="both"/>
        <w:rPr>
          <w:sz w:val="21"/>
        </w:rPr>
      </w:pPr>
      <w:r>
        <w:rPr>
          <w:spacing w:val="-3"/>
          <w:sz w:val="21"/>
        </w:rPr>
        <w:t>没有取得驾驶资格；</w:t>
      </w:r>
    </w:p>
    <w:p>
      <w:pPr>
        <w:pStyle w:val="ListParagraph"/>
        <w:numPr>
          <w:ilvl w:val="0"/>
          <w:numId w:val="6"/>
        </w:numPr>
        <w:tabs>
          <w:tab w:pos="1919" w:val="left" w:leader="none"/>
        </w:tabs>
        <w:spacing w:line="240" w:lineRule="auto" w:before="176" w:after="0"/>
        <w:ind w:left="1918" w:right="0" w:hanging="360"/>
        <w:jc w:val="both"/>
        <w:rPr>
          <w:sz w:val="21"/>
        </w:rPr>
      </w:pPr>
      <w:r>
        <w:rPr>
          <w:spacing w:val="-3"/>
          <w:sz w:val="21"/>
        </w:rPr>
        <w:t>驾驶与驾驶证准驾车型不相符合的车辆；</w:t>
      </w:r>
    </w:p>
    <w:p>
      <w:pPr>
        <w:pStyle w:val="ListParagraph"/>
        <w:numPr>
          <w:ilvl w:val="0"/>
          <w:numId w:val="6"/>
        </w:numPr>
        <w:tabs>
          <w:tab w:pos="1919" w:val="left" w:leader="none"/>
        </w:tabs>
        <w:spacing w:line="240" w:lineRule="auto" w:before="176" w:after="0"/>
        <w:ind w:left="1918" w:right="0" w:hanging="360"/>
        <w:jc w:val="both"/>
        <w:rPr>
          <w:sz w:val="21"/>
        </w:rPr>
      </w:pPr>
      <w:r>
        <w:rPr>
          <w:spacing w:val="-3"/>
          <w:sz w:val="21"/>
        </w:rPr>
        <w:t>持审验不合格的驾驶证驾驶；</w:t>
      </w:r>
    </w:p>
    <w:p>
      <w:pPr>
        <w:pStyle w:val="ListParagraph"/>
        <w:numPr>
          <w:ilvl w:val="0"/>
          <w:numId w:val="6"/>
        </w:numPr>
        <w:tabs>
          <w:tab w:pos="1920" w:val="left" w:leader="none"/>
        </w:tabs>
        <w:spacing w:line="240" w:lineRule="auto" w:before="176" w:after="0"/>
        <w:ind w:left="1919" w:right="0" w:hanging="361"/>
        <w:jc w:val="both"/>
        <w:rPr>
          <w:sz w:val="21"/>
        </w:rPr>
      </w:pPr>
      <w:r>
        <w:rPr>
          <w:spacing w:val="-13"/>
          <w:sz w:val="21"/>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37" w:id="70"/>
      <w:bookmarkEnd w:id="70"/>
      <w:r>
        <w:rPr>
          <w:b w:val="0"/>
        </w:rPr>
      </w:r>
      <w:bookmarkStart w:name="_bookmark37" w:id="71"/>
      <w:bookmarkEnd w:id="71"/>
      <w:r>
        <w:rPr/>
        <w:t>无有效行驶证</w:t>
      </w:r>
    </w:p>
    <w:p>
      <w:pPr>
        <w:pStyle w:val="BodyText"/>
        <w:spacing w:before="177"/>
        <w:ind w:left="1589"/>
        <w:jc w:val="both"/>
      </w:pPr>
      <w:r>
        <w:rPr/>
        <w:t>指下列情形之一：</w:t>
      </w:r>
    </w:p>
    <w:p>
      <w:pPr>
        <w:pStyle w:val="BodyText"/>
        <w:spacing w:before="10"/>
        <w:rPr>
          <w:sz w:val="14"/>
        </w:rPr>
      </w:pPr>
    </w:p>
    <w:p>
      <w:pPr>
        <w:pStyle w:val="ListParagraph"/>
        <w:numPr>
          <w:ilvl w:val="0"/>
          <w:numId w:val="7"/>
        </w:numPr>
        <w:tabs>
          <w:tab w:pos="1919" w:val="left" w:leader="none"/>
        </w:tabs>
        <w:spacing w:line="240" w:lineRule="auto" w:before="0" w:after="0"/>
        <w:ind w:left="1918" w:right="0" w:hanging="360"/>
        <w:jc w:val="both"/>
        <w:rPr>
          <w:sz w:val="21"/>
        </w:rPr>
      </w:pPr>
      <w:r>
        <w:rPr>
          <w:spacing w:val="-3"/>
          <w:sz w:val="21"/>
        </w:rPr>
        <w:t>机动车被依法注销登记的；</w:t>
      </w:r>
    </w:p>
    <w:p>
      <w:pPr>
        <w:pStyle w:val="ListParagraph"/>
        <w:numPr>
          <w:ilvl w:val="0"/>
          <w:numId w:val="7"/>
        </w:numPr>
        <w:tabs>
          <w:tab w:pos="1919" w:val="left" w:leader="none"/>
        </w:tabs>
        <w:spacing w:line="240" w:lineRule="auto" w:before="177" w:after="0"/>
        <w:ind w:left="1918" w:right="0" w:hanging="360"/>
        <w:jc w:val="both"/>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38" w:id="72"/>
      <w:bookmarkEnd w:id="72"/>
      <w:r>
        <w:rPr>
          <w:b w:val="0"/>
        </w:rPr>
      </w:r>
      <w:bookmarkStart w:name="_bookmark38" w:id="73"/>
      <w:bookmarkEnd w:id="73"/>
      <w:r>
        <w:rPr>
          <w:spacing w:val="-3"/>
        </w:rPr>
        <w:t>感染艾滋病病毒或患艾滋病</w:t>
      </w:r>
    </w:p>
    <w:p>
      <w:pPr>
        <w:pStyle w:val="BodyText"/>
        <w:spacing w:line="256" w:lineRule="auto" w:before="177"/>
        <w:ind w:left="1589" w:right="16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1"/>
        <w:ind w:left="1589" w:right="107"/>
      </w:pPr>
      <w:r>
        <w:rPr/>
        <w:t>在人体血液或其它样本中检测到艾滋病病毒或其抗体呈阳性，没有出现临床症状或</w:t>
      </w:r>
      <w:r>
        <w:rPr>
          <w:spacing w:val="-9"/>
        </w:rPr>
        <w:t>体征的，为感染艾滋病病毒；如果同时出现了明显临床症状或体征的，为患艾滋病。</w:t>
      </w:r>
    </w:p>
    <w:p>
      <w:pPr>
        <w:spacing w:after="0" w:line="273" w:lineRule="auto"/>
        <w:sectPr>
          <w:pgSz w:w="11910" w:h="16840"/>
          <w:pgMar w:top="1380" w:bottom="280" w:left="1300" w:right="1200"/>
        </w:sectPr>
      </w:pPr>
    </w:p>
    <w:p>
      <w:pPr>
        <w:pStyle w:val="Heading3"/>
        <w:numPr>
          <w:ilvl w:val="1"/>
          <w:numId w:val="3"/>
        </w:numPr>
        <w:tabs>
          <w:tab w:pos="694" w:val="left" w:leader="none"/>
          <w:tab w:pos="695" w:val="left" w:leader="none"/>
        </w:tabs>
        <w:spacing w:line="240" w:lineRule="auto" w:before="29" w:after="0"/>
        <w:ind w:left="694" w:right="0" w:hanging="576"/>
        <w:jc w:val="left"/>
        <w:rPr>
          <w:rFonts w:ascii="Times New Roman" w:eastAsia="Times New Roman"/>
        </w:rPr>
      </w:pPr>
      <w:bookmarkStart w:name="_bookmark39" w:id="74"/>
      <w:bookmarkEnd w:id="74"/>
      <w:r>
        <w:rPr>
          <w:b w:val="0"/>
        </w:rPr>
      </w:r>
      <w:bookmarkStart w:name="_bookmark39" w:id="75"/>
      <w:bookmarkEnd w:id="75"/>
      <w:r>
        <w:rPr/>
        <w:t>遗传性疾病</w:t>
      </w:r>
    </w:p>
    <w:p>
      <w:pPr>
        <w:pStyle w:val="BodyText"/>
        <w:spacing w:line="273" w:lineRule="auto" w:before="177"/>
        <w:ind w:left="1589" w:right="111"/>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40" w:id="76"/>
      <w:bookmarkEnd w:id="76"/>
      <w:r>
        <w:rPr>
          <w:b w:val="0"/>
        </w:rPr>
      </w:r>
      <w:bookmarkStart w:name="_bookmark40" w:id="77"/>
      <w:bookmarkEnd w:id="77"/>
      <w:r>
        <w:rPr>
          <w:spacing w:val="-2"/>
        </w:rPr>
        <w:t>先天性畸形、变形或染色体异常</w:t>
      </w:r>
    </w:p>
    <w:p>
      <w:pPr>
        <w:pStyle w:val="BodyText"/>
        <w:spacing w:line="273" w:lineRule="auto" w:before="176"/>
        <w:ind w:left="1589" w:right="111"/>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S PGothic">
    <w:altName w:val="MS PGothic"/>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1"/>
      </w:pPr>
      <w:rPr>
        <w:rFonts w:hint="default"/>
      </w:rPr>
    </w:lvl>
    <w:lvl w:ilvl="2">
      <w:start w:val="0"/>
      <w:numFmt w:val="bullet"/>
      <w:lvlText w:val="•"/>
      <w:lvlJc w:val="left"/>
      <w:pPr>
        <w:ind w:left="3417" w:hanging="361"/>
      </w:pPr>
      <w:rPr>
        <w:rFonts w:hint="default"/>
      </w:rPr>
    </w:lvl>
    <w:lvl w:ilvl="3">
      <w:start w:val="0"/>
      <w:numFmt w:val="bullet"/>
      <w:lvlText w:val="•"/>
      <w:lvlJc w:val="left"/>
      <w:pPr>
        <w:ind w:left="4165" w:hanging="361"/>
      </w:pPr>
      <w:rPr>
        <w:rFonts w:hint="default"/>
      </w:rPr>
    </w:lvl>
    <w:lvl w:ilvl="4">
      <w:start w:val="0"/>
      <w:numFmt w:val="bullet"/>
      <w:lvlText w:val="•"/>
      <w:lvlJc w:val="left"/>
      <w:pPr>
        <w:ind w:left="4914" w:hanging="361"/>
      </w:pPr>
      <w:rPr>
        <w:rFonts w:hint="default"/>
      </w:rPr>
    </w:lvl>
    <w:lvl w:ilvl="5">
      <w:start w:val="0"/>
      <w:numFmt w:val="bullet"/>
      <w:lvlText w:val="•"/>
      <w:lvlJc w:val="left"/>
      <w:pPr>
        <w:ind w:left="5663" w:hanging="361"/>
      </w:pPr>
      <w:rPr>
        <w:rFonts w:hint="default"/>
      </w:rPr>
    </w:lvl>
    <w:lvl w:ilvl="6">
      <w:start w:val="0"/>
      <w:numFmt w:val="bullet"/>
      <w:lvlText w:val="•"/>
      <w:lvlJc w:val="left"/>
      <w:pPr>
        <w:ind w:left="6411" w:hanging="361"/>
      </w:pPr>
      <w:rPr>
        <w:rFonts w:hint="default"/>
      </w:rPr>
    </w:lvl>
    <w:lvl w:ilvl="7">
      <w:start w:val="0"/>
      <w:numFmt w:val="bullet"/>
      <w:lvlText w:val="•"/>
      <w:lvlJc w:val="left"/>
      <w:pPr>
        <w:ind w:left="7160" w:hanging="361"/>
      </w:pPr>
      <w:rPr>
        <w:rFonts w:hint="default"/>
      </w:rPr>
    </w:lvl>
    <w:lvl w:ilvl="8">
      <w:start w:val="0"/>
      <w:numFmt w:val="bullet"/>
      <w:lvlText w:val="•"/>
      <w:lvlJc w:val="left"/>
      <w:pPr>
        <w:ind w:left="7909" w:hanging="361"/>
      </w:pPr>
      <w:rPr>
        <w:rFonts w:hint="default"/>
      </w:rPr>
    </w:lvl>
  </w:abstractNum>
  <w:abstractNum w:abstractNumId="5">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1"/>
      </w:pPr>
      <w:rPr>
        <w:rFonts w:hint="default"/>
      </w:rPr>
    </w:lvl>
    <w:lvl w:ilvl="2">
      <w:start w:val="0"/>
      <w:numFmt w:val="bullet"/>
      <w:lvlText w:val="•"/>
      <w:lvlJc w:val="left"/>
      <w:pPr>
        <w:ind w:left="3417" w:hanging="361"/>
      </w:pPr>
      <w:rPr>
        <w:rFonts w:hint="default"/>
      </w:rPr>
    </w:lvl>
    <w:lvl w:ilvl="3">
      <w:start w:val="0"/>
      <w:numFmt w:val="bullet"/>
      <w:lvlText w:val="•"/>
      <w:lvlJc w:val="left"/>
      <w:pPr>
        <w:ind w:left="4165" w:hanging="361"/>
      </w:pPr>
      <w:rPr>
        <w:rFonts w:hint="default"/>
      </w:rPr>
    </w:lvl>
    <w:lvl w:ilvl="4">
      <w:start w:val="0"/>
      <w:numFmt w:val="bullet"/>
      <w:lvlText w:val="•"/>
      <w:lvlJc w:val="left"/>
      <w:pPr>
        <w:ind w:left="4914" w:hanging="361"/>
      </w:pPr>
      <w:rPr>
        <w:rFonts w:hint="default"/>
      </w:rPr>
    </w:lvl>
    <w:lvl w:ilvl="5">
      <w:start w:val="0"/>
      <w:numFmt w:val="bullet"/>
      <w:lvlText w:val="•"/>
      <w:lvlJc w:val="left"/>
      <w:pPr>
        <w:ind w:left="5663" w:hanging="361"/>
      </w:pPr>
      <w:rPr>
        <w:rFonts w:hint="default"/>
      </w:rPr>
    </w:lvl>
    <w:lvl w:ilvl="6">
      <w:start w:val="0"/>
      <w:numFmt w:val="bullet"/>
      <w:lvlText w:val="•"/>
      <w:lvlJc w:val="left"/>
      <w:pPr>
        <w:ind w:left="6411" w:hanging="361"/>
      </w:pPr>
      <w:rPr>
        <w:rFonts w:hint="default"/>
      </w:rPr>
    </w:lvl>
    <w:lvl w:ilvl="7">
      <w:start w:val="0"/>
      <w:numFmt w:val="bullet"/>
      <w:lvlText w:val="•"/>
      <w:lvlJc w:val="left"/>
      <w:pPr>
        <w:ind w:left="7160" w:hanging="361"/>
      </w:pPr>
      <w:rPr>
        <w:rFonts w:hint="default"/>
      </w:rPr>
    </w:lvl>
    <w:lvl w:ilvl="8">
      <w:start w:val="0"/>
      <w:numFmt w:val="bullet"/>
      <w:lvlText w:val="•"/>
      <w:lvlJc w:val="left"/>
      <w:pPr>
        <w:ind w:left="7909" w:hanging="361"/>
      </w:pPr>
      <w:rPr>
        <w:rFonts w:hint="default"/>
      </w:rPr>
    </w:lvl>
  </w:abstractNum>
  <w:abstractNum w:abstractNumId="4">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32" w:hanging="317"/>
      </w:pPr>
      <w:rPr>
        <w:rFonts w:hint="default"/>
      </w:rPr>
    </w:lvl>
    <w:lvl w:ilvl="2">
      <w:start w:val="0"/>
      <w:numFmt w:val="bullet"/>
      <w:lvlText w:val="•"/>
      <w:lvlJc w:val="left"/>
      <w:pPr>
        <w:ind w:left="3385" w:hanging="317"/>
      </w:pPr>
      <w:rPr>
        <w:rFonts w:hint="default"/>
      </w:rPr>
    </w:lvl>
    <w:lvl w:ilvl="3">
      <w:start w:val="0"/>
      <w:numFmt w:val="bullet"/>
      <w:lvlText w:val="•"/>
      <w:lvlJc w:val="left"/>
      <w:pPr>
        <w:ind w:left="4137" w:hanging="317"/>
      </w:pPr>
      <w:rPr>
        <w:rFonts w:hint="default"/>
      </w:rPr>
    </w:lvl>
    <w:lvl w:ilvl="4">
      <w:start w:val="0"/>
      <w:numFmt w:val="bullet"/>
      <w:lvlText w:val="•"/>
      <w:lvlJc w:val="left"/>
      <w:pPr>
        <w:ind w:left="4890"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5" w:hanging="317"/>
      </w:pPr>
      <w:rPr>
        <w:rFonts w:hint="default"/>
      </w:rPr>
    </w:lvl>
    <w:lvl w:ilvl="7">
      <w:start w:val="0"/>
      <w:numFmt w:val="bullet"/>
      <w:lvlText w:val="•"/>
      <w:lvlJc w:val="left"/>
      <w:pPr>
        <w:ind w:left="7148" w:hanging="317"/>
      </w:pPr>
      <w:rPr>
        <w:rFonts w:hint="default"/>
      </w:rPr>
    </w:lvl>
    <w:lvl w:ilvl="8">
      <w:start w:val="0"/>
      <w:numFmt w:val="bullet"/>
      <w:lvlText w:val="•"/>
      <w:lvlJc w:val="left"/>
      <w:pPr>
        <w:ind w:left="7901" w:hanging="317"/>
      </w:pPr>
      <w:rPr>
        <w:rFonts w:hint="default"/>
      </w:rPr>
    </w:lvl>
  </w:abstractNum>
  <w:abstractNum w:abstractNumId="3">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32" w:hanging="317"/>
      </w:pPr>
      <w:rPr>
        <w:rFonts w:hint="default"/>
      </w:rPr>
    </w:lvl>
    <w:lvl w:ilvl="2">
      <w:start w:val="0"/>
      <w:numFmt w:val="bullet"/>
      <w:lvlText w:val="•"/>
      <w:lvlJc w:val="left"/>
      <w:pPr>
        <w:ind w:left="3385" w:hanging="317"/>
      </w:pPr>
      <w:rPr>
        <w:rFonts w:hint="default"/>
      </w:rPr>
    </w:lvl>
    <w:lvl w:ilvl="3">
      <w:start w:val="0"/>
      <w:numFmt w:val="bullet"/>
      <w:lvlText w:val="•"/>
      <w:lvlJc w:val="left"/>
      <w:pPr>
        <w:ind w:left="4137" w:hanging="317"/>
      </w:pPr>
      <w:rPr>
        <w:rFonts w:hint="default"/>
      </w:rPr>
    </w:lvl>
    <w:lvl w:ilvl="4">
      <w:start w:val="0"/>
      <w:numFmt w:val="bullet"/>
      <w:lvlText w:val="•"/>
      <w:lvlJc w:val="left"/>
      <w:pPr>
        <w:ind w:left="4890"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5" w:hanging="317"/>
      </w:pPr>
      <w:rPr>
        <w:rFonts w:hint="default"/>
      </w:rPr>
    </w:lvl>
    <w:lvl w:ilvl="7">
      <w:start w:val="0"/>
      <w:numFmt w:val="bullet"/>
      <w:lvlText w:val="•"/>
      <w:lvlJc w:val="left"/>
      <w:pPr>
        <w:ind w:left="7148" w:hanging="317"/>
      </w:pPr>
      <w:rPr>
        <w:rFonts w:hint="default"/>
      </w:rPr>
    </w:lvl>
    <w:lvl w:ilvl="8">
      <w:start w:val="0"/>
      <w:numFmt w:val="bullet"/>
      <w:lvlText w:val="•"/>
      <w:lvlJc w:val="left"/>
      <w:pPr>
        <w:ind w:left="7901" w:hanging="317"/>
      </w:pPr>
      <w:rPr>
        <w:rFonts w:hint="default"/>
      </w:rPr>
    </w:lvl>
  </w:abstractNum>
  <w:abstractNum w:abstractNumId="2">
    <w:multiLevelType w:val="hybridMultilevel"/>
    <w:lvl w:ilvl="0">
      <w:start w:val="7"/>
      <w:numFmt w:val="decimal"/>
      <w:lvlText w:val="%1"/>
      <w:lvlJc w:val="left"/>
      <w:pPr>
        <w:ind w:left="1378" w:hanging="720"/>
        <w:jc w:val="left"/>
      </w:pPr>
      <w:rPr>
        <w:rFonts w:hint="default"/>
      </w:rPr>
    </w:lvl>
    <w:lvl w:ilvl="1">
      <w:start w:val="1"/>
      <w:numFmt w:val="decimal"/>
      <w:lvlText w:val="%1.%2"/>
      <w:lvlJc w:val="left"/>
      <w:pPr>
        <w:ind w:left="1378" w:hanging="720"/>
        <w:jc w:val="right"/>
      </w:pPr>
      <w:rPr>
        <w:rFonts w:hint="default"/>
      </w:rPr>
    </w:lvl>
    <w:lvl w:ilvl="2">
      <w:start w:val="1"/>
      <w:numFmt w:val="decimal"/>
      <w:lvlText w:val="%1.%2.%3"/>
      <w:lvlJc w:val="left"/>
      <w:pPr>
        <w:ind w:left="137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87" w:hanging="720"/>
      </w:pPr>
      <w:rPr>
        <w:rFonts w:hint="default"/>
      </w:rPr>
    </w:lvl>
    <w:lvl w:ilvl="4">
      <w:start w:val="0"/>
      <w:numFmt w:val="bullet"/>
      <w:lvlText w:val="•"/>
      <w:lvlJc w:val="left"/>
      <w:pPr>
        <w:ind w:left="4590"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5" w:hanging="720"/>
      </w:pPr>
      <w:rPr>
        <w:rFonts w:hint="default"/>
      </w:rPr>
    </w:lvl>
    <w:lvl w:ilvl="7">
      <w:start w:val="0"/>
      <w:numFmt w:val="bullet"/>
      <w:lvlText w:val="•"/>
      <w:lvlJc w:val="left"/>
      <w:pPr>
        <w:ind w:left="6998" w:hanging="720"/>
      </w:pPr>
      <w:rPr>
        <w:rFonts w:hint="default"/>
      </w:rPr>
    </w:lvl>
    <w:lvl w:ilvl="8">
      <w:start w:val="0"/>
      <w:numFmt w:val="bullet"/>
      <w:lvlText w:val="•"/>
      <w:lvlJc w:val="left"/>
      <w:pPr>
        <w:ind w:left="7801"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1900" w:hanging="317"/>
      </w:pPr>
      <w:rPr>
        <w:rFonts w:hint="default"/>
      </w:rPr>
    </w:lvl>
    <w:lvl w:ilvl="4">
      <w:start w:val="0"/>
      <w:numFmt w:val="bullet"/>
      <w:lvlText w:val="•"/>
      <w:lvlJc w:val="left"/>
      <w:pPr>
        <w:ind w:left="2960" w:hanging="317"/>
      </w:pPr>
      <w:rPr>
        <w:rFonts w:hint="default"/>
      </w:rPr>
    </w:lvl>
    <w:lvl w:ilvl="5">
      <w:start w:val="0"/>
      <w:numFmt w:val="bullet"/>
      <w:lvlText w:val="•"/>
      <w:lvlJc w:val="left"/>
      <w:pPr>
        <w:ind w:left="4021" w:hanging="317"/>
      </w:pPr>
      <w:rPr>
        <w:rFonts w:hint="default"/>
      </w:rPr>
    </w:lvl>
    <w:lvl w:ilvl="6">
      <w:start w:val="0"/>
      <w:numFmt w:val="bullet"/>
      <w:lvlText w:val="•"/>
      <w:lvlJc w:val="left"/>
      <w:pPr>
        <w:ind w:left="5082" w:hanging="317"/>
      </w:pPr>
      <w:rPr>
        <w:rFonts w:hint="default"/>
      </w:rPr>
    </w:lvl>
    <w:lvl w:ilvl="7">
      <w:start w:val="0"/>
      <w:numFmt w:val="bullet"/>
      <w:lvlText w:val="•"/>
      <w:lvlJc w:val="left"/>
      <w:pPr>
        <w:ind w:left="6143" w:hanging="317"/>
      </w:pPr>
      <w:rPr>
        <w:rFonts w:hint="default"/>
      </w:rPr>
    </w:lvl>
    <w:lvl w:ilvl="8">
      <w:start w:val="0"/>
      <w:numFmt w:val="bullet"/>
      <w:lvlText w:val="•"/>
      <w:lvlJc w:val="left"/>
      <w:pPr>
        <w:ind w:left="720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1"/>
      </w:pPr>
      <w:rPr>
        <w:rFonts w:hint="default"/>
      </w:rPr>
    </w:lvl>
    <w:lvl w:ilvl="3">
      <w:start w:val="0"/>
      <w:numFmt w:val="bullet"/>
      <w:lvlText w:val="•"/>
      <w:lvlJc w:val="left"/>
      <w:pPr>
        <w:ind w:left="401" w:hanging="421"/>
      </w:pPr>
      <w:rPr>
        <w:rFonts w:hint="default"/>
      </w:rPr>
    </w:lvl>
    <w:lvl w:ilvl="4">
      <w:start w:val="0"/>
      <w:numFmt w:val="bullet"/>
      <w:lvlText w:val="•"/>
      <w:lvlJc w:val="left"/>
      <w:pPr>
        <w:ind w:left="241" w:hanging="421"/>
      </w:pPr>
      <w:rPr>
        <w:rFonts w:hint="default"/>
      </w:rPr>
    </w:lvl>
    <w:lvl w:ilvl="5">
      <w:start w:val="0"/>
      <w:numFmt w:val="bullet"/>
      <w:lvlText w:val="•"/>
      <w:lvlJc w:val="left"/>
      <w:pPr>
        <w:ind w:left="82" w:hanging="421"/>
      </w:pPr>
      <w:rPr>
        <w:rFonts w:hint="default"/>
      </w:rPr>
    </w:lvl>
    <w:lvl w:ilvl="6">
      <w:start w:val="0"/>
      <w:numFmt w:val="bullet"/>
      <w:lvlText w:val="•"/>
      <w:lvlJc w:val="left"/>
      <w:pPr>
        <w:ind w:left="-77" w:hanging="421"/>
      </w:pPr>
      <w:rPr>
        <w:rFonts w:hint="default"/>
      </w:rPr>
    </w:lvl>
    <w:lvl w:ilvl="7">
      <w:start w:val="0"/>
      <w:numFmt w:val="bullet"/>
      <w:lvlText w:val="•"/>
      <w:lvlJc w:val="left"/>
      <w:pPr>
        <w:ind w:left="-237" w:hanging="421"/>
      </w:pPr>
      <w:rPr>
        <w:rFonts w:hint="default"/>
      </w:rPr>
    </w:lvl>
    <w:lvl w:ilvl="8">
      <w:start w:val="0"/>
      <w:numFmt w:val="bullet"/>
      <w:lvlText w:val="•"/>
      <w:lvlJc w:val="left"/>
      <w:pPr>
        <w:ind w:left="-396" w:hanging="421"/>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31"/>
      <w:jc w:val="center"/>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43"/>
      <w:ind w:left="998" w:hanging="576"/>
      <w:outlineLvl w:val="3"/>
    </w:pPr>
    <w:rPr>
      <w:rFonts w:ascii="宋体" w:hAnsi="宋体" w:eastAsia="宋体" w:cs="宋体"/>
      <w:b/>
      <w:bCs/>
      <w:sz w:val="21"/>
      <w:szCs w:val="21"/>
    </w:rPr>
  </w:style>
  <w:style w:styleId="ListParagraph" w:type="paragraph">
    <w:name w:val="List Paragraph"/>
    <w:basedOn w:val="Normal"/>
    <w:uiPriority w:val="1"/>
    <w:qFormat/>
    <w:pPr>
      <w:ind w:left="998" w:hanging="57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2018-10-20T04:31:29Z</dcterms:created>
  <dcterms:modified xsi:type="dcterms:W3CDTF">2018-10-20T04:31:29Z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Acrobat PDFMaker 10.0 Word 版</vt:lpwstr>
  </property>
  <property fmtid="{D5CDD505-2E9C-101B-9397-08002B2CF9AE}" pid="4" name="LastSaved">
    <vt:filetime>2018-10-19T00:00:00Z</vt:filetime>
  </property>
</Properties>
</file>