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0" w:right="102" w:firstLine="0"/>
        <w:jc w:val="right"/>
        <w:rPr>
          <w:sz w:val="18"/>
        </w:rPr>
      </w:pPr>
      <w:r>
        <w:rPr/>
        <w:drawing>
          <wp:anchor distT="0" distB="0" distL="0" distR="0" allowOverlap="1" layoutInCell="1" locked="0" behindDoc="0" simplePos="0" relativeHeight="0">
            <wp:simplePos x="0" y="0"/>
            <wp:positionH relativeFrom="page">
              <wp:posOffset>6222365</wp:posOffset>
            </wp:positionH>
            <wp:positionV relativeFrom="paragraph">
              <wp:posOffset>235606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007 号</w:t>
      </w:r>
    </w:p>
    <w:p>
      <w:pPr>
        <w:spacing w:before="34"/>
        <w:ind w:left="0" w:right="532" w:firstLine="0"/>
        <w:jc w:val="right"/>
        <w:rPr>
          <w:sz w:val="18"/>
        </w:rPr>
      </w:pPr>
      <w:r>
        <w:rPr>
          <w:sz w:val="18"/>
        </w:rPr>
        <w:t>请扫描以查询验证条款</w:t>
      </w:r>
    </w:p>
    <w:p>
      <w:pPr>
        <w:pStyle w:val="Heading1"/>
        <w:spacing w:line="220" w:lineRule="auto" w:before="109"/>
        <w:ind w:left="1983" w:right="2531"/>
        <w:jc w:val="center"/>
      </w:pPr>
      <w:r>
        <w:rPr/>
        <w:t>合众附加得益人生提前给付重大疾病保险条款阅  读  指 引</w:t>
      </w:r>
    </w:p>
    <w:p>
      <w:pPr>
        <w:pStyle w:val="BodyText"/>
        <w:spacing w:before="228"/>
        <w:ind w:left="1983" w:right="2470"/>
        <w:jc w:val="center"/>
      </w:pPr>
      <w:r>
        <w:rPr/>
        <w:drawing>
          <wp:anchor distT="0" distB="0" distL="0" distR="0" allowOverlap="1" layoutInCell="1" locked="0" behindDoc="1" simplePos="0" relativeHeight="268408655">
            <wp:simplePos x="0" y="0"/>
            <wp:positionH relativeFrom="page">
              <wp:posOffset>624840</wp:posOffset>
            </wp:positionH>
            <wp:positionV relativeFrom="paragraph">
              <wp:posOffset>391968</wp:posOffset>
            </wp:positionV>
            <wp:extent cx="6452616" cy="74076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52616" cy="740760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6" w:val="left" w:leader="none"/>
        </w:tabs>
        <w:spacing w:before="82"/>
        <w:ind w:left="245"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75" w:val="left" w:leader="none"/>
          <w:tab w:pos="1276" w:val="left" w:leader="none"/>
          <w:tab w:pos="9574" w:val="right" w:leader="dot"/>
        </w:tabs>
        <w:spacing w:line="240" w:lineRule="auto" w:before="26" w:after="0"/>
        <w:ind w:left="1275"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6" w:val="left" w:leader="none"/>
        </w:tabs>
        <w:spacing w:before="21"/>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5" w:val="left" w:leader="none"/>
          <w:tab w:pos="1266" w:val="left" w:leader="none"/>
          <w:tab w:pos="9564" w:val="right" w:leader="dot"/>
        </w:tabs>
        <w:spacing w:line="240" w:lineRule="auto" w:before="25" w:after="0"/>
        <w:ind w:left="1266"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5" w:val="left" w:leader="none"/>
          <w:tab w:pos="1266" w:val="left" w:leader="none"/>
          <w:tab w:pos="9564" w:val="right" w:leader="dot"/>
        </w:tabs>
        <w:spacing w:line="240" w:lineRule="auto" w:before="22" w:after="0"/>
        <w:ind w:left="1266"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5" w:val="left" w:leader="none"/>
          <w:tab w:pos="1276" w:val="left" w:leader="none"/>
          <w:tab w:pos="9569" w:val="right" w:leader="dot"/>
        </w:tabs>
        <w:spacing w:line="240" w:lineRule="auto" w:before="22" w:after="0"/>
        <w:ind w:left="1275"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5" w:val="left" w:leader="none"/>
          <w:tab w:pos="1276" w:val="left" w:leader="none"/>
          <w:tab w:pos="9574" w:val="right" w:leader="dot"/>
        </w:tabs>
        <w:spacing w:line="240" w:lineRule="auto" w:before="22" w:after="0"/>
        <w:ind w:left="1275" w:right="0" w:hanging="398"/>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5" w:val="left" w:leader="none"/>
          <w:tab w:pos="1276" w:val="left" w:leader="none"/>
          <w:tab w:pos="9362" w:val="right" w:leader="dot"/>
        </w:tabs>
        <w:spacing w:line="240" w:lineRule="auto" w:before="22" w:after="0"/>
        <w:ind w:left="1275"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6" w:val="left" w:leader="none"/>
        </w:tabs>
        <w:spacing w:before="23"/>
        <w:ind w:left="2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3409"/>
        <w:gridCol w:w="3478"/>
      </w:tblGrid>
      <w:tr>
        <w:trPr>
          <w:trHeight w:val="5515" w:hRule="atLeast"/>
        </w:trPr>
        <w:tc>
          <w:tcPr>
            <w:tcW w:w="319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tc>
        <w:tc>
          <w:tcPr>
            <w:tcW w:w="3409" w:type="dxa"/>
          </w:tcPr>
          <w:p>
            <w:pPr>
              <w:pStyle w:val="TableParagraph"/>
              <w:numPr>
                <w:ilvl w:val="1"/>
                <w:numId w:val="3"/>
              </w:numPr>
              <w:tabs>
                <w:tab w:pos="684" w:val="left" w:leader="none"/>
              </w:tabs>
              <w:spacing w:line="211" w:lineRule="exact" w:before="0" w:after="0"/>
              <w:ind w:left="683" w:right="0" w:hanging="423"/>
              <w:jc w:val="left"/>
              <w:rPr>
                <w:sz w:val="21"/>
              </w:rPr>
            </w:pPr>
            <w:r>
              <w:rPr>
                <w:spacing w:val="-3"/>
                <w:sz w:val="21"/>
              </w:rPr>
              <w:t>保险金的给付</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诉讼时效</w:t>
            </w:r>
          </w:p>
          <w:p>
            <w:pPr>
              <w:pStyle w:val="TableParagraph"/>
              <w:numPr>
                <w:ilvl w:val="0"/>
                <w:numId w:val="4"/>
              </w:numPr>
              <w:tabs>
                <w:tab w:pos="473" w:val="left" w:leader="none"/>
              </w:tabs>
              <w:spacing w:line="240" w:lineRule="auto" w:before="37" w:after="0"/>
              <w:ind w:left="472" w:right="0" w:hanging="317"/>
              <w:jc w:val="left"/>
              <w:rPr>
                <w:b/>
                <w:sz w:val="21"/>
              </w:rPr>
            </w:pPr>
            <w:r>
              <w:rPr>
                <w:b/>
                <w:spacing w:val="-1"/>
                <w:sz w:val="21"/>
              </w:rPr>
              <w:t>保险费的支付和现金价值权益</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保险费的支付</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保险费率调整</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保险单的现金价值</w:t>
            </w:r>
          </w:p>
          <w:p>
            <w:pPr>
              <w:pStyle w:val="TableParagraph"/>
              <w:numPr>
                <w:ilvl w:val="1"/>
                <w:numId w:val="4"/>
              </w:numPr>
              <w:tabs>
                <w:tab w:pos="684" w:val="left" w:leader="none"/>
              </w:tabs>
              <w:spacing w:line="240" w:lineRule="auto" w:before="37" w:after="0"/>
              <w:ind w:left="683" w:right="0" w:hanging="423"/>
              <w:jc w:val="left"/>
              <w:rPr>
                <w:sz w:val="21"/>
              </w:rPr>
            </w:pPr>
            <w:r>
              <w:rPr>
                <w:spacing w:val="-2"/>
                <w:sz w:val="21"/>
              </w:rPr>
              <w:t>宽限期</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合同效力中止</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合同效力恢复</w:t>
            </w:r>
          </w:p>
          <w:p>
            <w:pPr>
              <w:pStyle w:val="TableParagraph"/>
              <w:numPr>
                <w:ilvl w:val="0"/>
                <w:numId w:val="4"/>
              </w:numPr>
              <w:tabs>
                <w:tab w:pos="473" w:val="left" w:leader="none"/>
              </w:tabs>
              <w:spacing w:line="240" w:lineRule="auto" w:before="36" w:after="0"/>
              <w:ind w:left="472" w:right="0" w:hanging="317"/>
              <w:jc w:val="left"/>
              <w:rPr>
                <w:b/>
                <w:sz w:val="21"/>
              </w:rPr>
            </w:pPr>
            <w:r>
              <w:rPr>
                <w:b/>
                <w:sz w:val="21"/>
              </w:rPr>
              <w:t>其他事项</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明确说明与如实告知</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本公司合同解除权的限制</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年龄性别错误</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未还款项</w:t>
            </w:r>
          </w:p>
          <w:p>
            <w:pPr>
              <w:pStyle w:val="TableParagraph"/>
              <w:numPr>
                <w:ilvl w:val="0"/>
                <w:numId w:val="4"/>
              </w:numPr>
              <w:tabs>
                <w:tab w:pos="473" w:val="left" w:leader="none"/>
              </w:tabs>
              <w:spacing w:line="240" w:lineRule="auto" w:before="36" w:after="0"/>
              <w:ind w:left="472" w:right="0" w:hanging="317"/>
              <w:jc w:val="left"/>
              <w:rPr>
                <w:b/>
                <w:sz w:val="21"/>
              </w:rPr>
            </w:pPr>
            <w:r>
              <w:rPr>
                <w:b/>
                <w:sz w:val="21"/>
              </w:rPr>
              <w:t>释义</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周岁</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有效身份证件</w:t>
            </w:r>
          </w:p>
          <w:p>
            <w:pPr>
              <w:pStyle w:val="TableParagraph"/>
              <w:numPr>
                <w:ilvl w:val="1"/>
                <w:numId w:val="4"/>
              </w:numPr>
              <w:tabs>
                <w:tab w:pos="684" w:val="left" w:leader="none"/>
              </w:tabs>
              <w:spacing w:line="255" w:lineRule="exact" w:before="36" w:after="0"/>
              <w:ind w:left="683" w:right="0" w:hanging="423"/>
              <w:jc w:val="left"/>
              <w:rPr>
                <w:sz w:val="21"/>
              </w:rPr>
            </w:pPr>
            <w:r>
              <w:rPr>
                <w:spacing w:val="-3"/>
                <w:sz w:val="21"/>
              </w:rPr>
              <w:t>现金价值</w:t>
            </w:r>
          </w:p>
        </w:tc>
        <w:tc>
          <w:tcPr>
            <w:tcW w:w="3478" w:type="dxa"/>
          </w:tcPr>
          <w:p>
            <w:pPr>
              <w:pStyle w:val="TableParagraph"/>
              <w:numPr>
                <w:ilvl w:val="1"/>
                <w:numId w:val="5"/>
              </w:numPr>
              <w:tabs>
                <w:tab w:pos="621" w:val="left" w:leader="none"/>
              </w:tabs>
              <w:spacing w:line="211" w:lineRule="exact" w:before="0" w:after="0"/>
              <w:ind w:left="685" w:right="0" w:hanging="488"/>
              <w:jc w:val="left"/>
              <w:rPr>
                <w:sz w:val="21"/>
              </w:rPr>
            </w:pPr>
            <w:r>
              <w:rPr>
                <w:spacing w:val="-3"/>
                <w:sz w:val="21"/>
              </w:rPr>
              <w:t>重大疾病</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意外伤害</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专科医生</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毒品</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酒后驾驶</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无合法有效驾驶证驾驶</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无有效行驶证</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遗传性疾病</w:t>
            </w:r>
          </w:p>
          <w:p>
            <w:pPr>
              <w:pStyle w:val="TableParagraph"/>
              <w:numPr>
                <w:ilvl w:val="1"/>
                <w:numId w:val="5"/>
              </w:numPr>
              <w:tabs>
                <w:tab w:pos="729" w:val="left" w:leader="none"/>
              </w:tabs>
              <w:spacing w:line="273" w:lineRule="auto" w:before="37" w:after="0"/>
              <w:ind w:left="685" w:right="196" w:hanging="488"/>
              <w:jc w:val="left"/>
              <w:rPr>
                <w:sz w:val="21"/>
              </w:rPr>
            </w:pPr>
            <w:r>
              <w:rPr>
                <w:sz w:val="21"/>
              </w:rPr>
              <w:t>先天性畸形、变形或染色体异常</w:t>
            </w:r>
          </w:p>
          <w:p>
            <w:pPr>
              <w:pStyle w:val="TableParagraph"/>
              <w:numPr>
                <w:ilvl w:val="1"/>
                <w:numId w:val="5"/>
              </w:numPr>
              <w:tabs>
                <w:tab w:pos="724" w:val="left" w:leader="none"/>
              </w:tabs>
              <w:spacing w:line="240" w:lineRule="auto" w:before="7" w:after="0"/>
              <w:ind w:left="723" w:right="0" w:hanging="526"/>
              <w:jc w:val="left"/>
              <w:rPr>
                <w:sz w:val="21"/>
              </w:rPr>
            </w:pPr>
            <w:r>
              <w:rPr>
                <w:spacing w:val="-3"/>
                <w:sz w:val="21"/>
              </w:rPr>
              <w:t>本合同约定利率</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肢体机能完全丧失</w:t>
            </w:r>
          </w:p>
          <w:p>
            <w:pPr>
              <w:pStyle w:val="TableParagraph"/>
              <w:numPr>
                <w:ilvl w:val="1"/>
                <w:numId w:val="5"/>
              </w:numPr>
              <w:tabs>
                <w:tab w:pos="729" w:val="left" w:leader="none"/>
              </w:tabs>
              <w:spacing w:line="273" w:lineRule="auto" w:before="37" w:after="0"/>
              <w:ind w:left="723" w:right="196" w:hanging="526"/>
              <w:jc w:val="left"/>
              <w:rPr>
                <w:sz w:val="21"/>
              </w:rPr>
            </w:pPr>
            <w:r>
              <w:rPr>
                <w:sz w:val="21"/>
              </w:rPr>
              <w:t>语言能力或咀嚼吞咽能力完全丧失</w:t>
            </w:r>
          </w:p>
          <w:p>
            <w:pPr>
              <w:pStyle w:val="TableParagraph"/>
              <w:numPr>
                <w:ilvl w:val="1"/>
                <w:numId w:val="5"/>
              </w:numPr>
              <w:tabs>
                <w:tab w:pos="722" w:val="left" w:leader="none"/>
              </w:tabs>
              <w:spacing w:line="240" w:lineRule="auto" w:before="7" w:after="0"/>
              <w:ind w:left="721" w:right="0" w:hanging="526"/>
              <w:jc w:val="left"/>
              <w:rPr>
                <w:sz w:val="21"/>
              </w:rPr>
            </w:pPr>
            <w:r>
              <w:rPr>
                <w:spacing w:val="-3"/>
                <w:sz w:val="21"/>
              </w:rPr>
              <w:t>六项基本日常生活活动</w:t>
            </w:r>
          </w:p>
          <w:p>
            <w:pPr>
              <w:pStyle w:val="TableParagraph"/>
              <w:numPr>
                <w:ilvl w:val="1"/>
                <w:numId w:val="5"/>
              </w:numPr>
              <w:tabs>
                <w:tab w:pos="724" w:val="left" w:leader="none"/>
              </w:tabs>
              <w:spacing w:line="240" w:lineRule="auto" w:before="36" w:after="0"/>
              <w:ind w:left="723" w:right="0" w:hanging="526"/>
              <w:jc w:val="left"/>
              <w:rPr>
                <w:sz w:val="21"/>
              </w:rPr>
            </w:pPr>
            <w:r>
              <w:rPr>
                <w:spacing w:val="-3"/>
                <w:sz w:val="21"/>
              </w:rPr>
              <w:t>永久不可逆</w:t>
            </w:r>
          </w:p>
        </w:tc>
      </w:tr>
    </w:tbl>
    <w:p>
      <w:pPr>
        <w:spacing w:after="0" w:line="240" w:lineRule="auto"/>
        <w:jc w:val="left"/>
        <w:rPr>
          <w:sz w:val="21"/>
        </w:rPr>
        <w:sectPr>
          <w:footerReference w:type="default" r:id="rId5"/>
          <w:type w:val="continuous"/>
          <w:pgSz w:w="11910" w:h="16840"/>
          <w:pgMar w:footer="912" w:top="100" w:bottom="1100" w:left="880" w:right="100"/>
          <w:pgNumType w:start="1"/>
        </w:sectPr>
      </w:pPr>
    </w:p>
    <w:p>
      <w:pPr>
        <w:pStyle w:val="Heading1"/>
        <w:spacing w:line="484" w:lineRule="exact"/>
      </w:pPr>
      <w:r>
        <w:rPr/>
        <w:t>合众附加得益人生提前给付重大疾病保险条款</w:t>
      </w:r>
    </w:p>
    <w:p>
      <w:pPr>
        <w:pStyle w:val="BodyText"/>
        <w:spacing w:before="5"/>
        <w:rPr>
          <w:rFonts w:ascii="微软雅黑"/>
          <w:b/>
          <w:sz w:val="24"/>
        </w:rPr>
      </w:pPr>
    </w:p>
    <w:p>
      <w:pPr>
        <w:pStyle w:val="BodyText"/>
        <w:ind w:left="223"/>
      </w:pPr>
      <w:r>
        <w:rPr/>
        <w:t>在本条款中，“您”指投保人，“我们”、“本公司”均指合众人寿保险股份有限公司。</w:t>
      </w:r>
    </w:p>
    <w:p>
      <w:pPr>
        <w:pStyle w:val="BodyText"/>
        <w:rPr>
          <w:sz w:val="20"/>
        </w:rPr>
      </w:pPr>
    </w:p>
    <w:p>
      <w:pPr>
        <w:pStyle w:val="BodyText"/>
        <w:spacing w:before="3"/>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1" w:hRule="atLeast"/>
        </w:trPr>
        <w:tc>
          <w:tcPr>
            <w:tcW w:w="748" w:type="dxa"/>
            <w:tcBorders>
              <w:top w:val="single" w:sz="4" w:space="0" w:color="000000"/>
            </w:tcBorders>
          </w:tcPr>
          <w:p>
            <w:pPr>
              <w:pStyle w:val="TableParagraph"/>
              <w:spacing w:before="7"/>
              <w:ind w:left="0"/>
              <w:rPr>
                <w:sz w:val="15"/>
              </w:rPr>
            </w:pPr>
          </w:p>
          <w:p>
            <w:pPr>
              <w:pStyle w:val="TableParagraph"/>
              <w:spacing w:before="0"/>
              <w:ind w:left="108"/>
              <w:rPr>
                <w:b/>
                <w:sz w:val="21"/>
              </w:rPr>
            </w:pPr>
            <w:r>
              <w:rPr>
                <w:b/>
                <w:sz w:val="21"/>
              </w:rPr>
              <w:t>1.1</w:t>
            </w:r>
          </w:p>
        </w:tc>
        <w:tc>
          <w:tcPr>
            <w:tcW w:w="1752" w:type="dxa"/>
            <w:tcBorders>
              <w:top w:val="single" w:sz="4" w:space="0" w:color="000000"/>
            </w:tcBorders>
          </w:tcPr>
          <w:p>
            <w:pPr>
              <w:pStyle w:val="TableParagraph"/>
              <w:spacing w:before="7"/>
              <w:ind w:left="0"/>
              <w:rPr>
                <w:sz w:val="15"/>
              </w:rPr>
            </w:pPr>
          </w:p>
          <w:p>
            <w:pPr>
              <w:pStyle w:val="TableParagraph"/>
              <w:spacing w:before="0"/>
              <w:ind w:left="282"/>
              <w:rPr>
                <w:b/>
                <w:sz w:val="21"/>
              </w:rPr>
            </w:pPr>
            <w:r>
              <w:rPr>
                <w:b/>
                <w:sz w:val="21"/>
              </w:rPr>
              <w:t>投保范围</w:t>
            </w:r>
          </w:p>
        </w:tc>
        <w:tc>
          <w:tcPr>
            <w:tcW w:w="6861" w:type="dxa"/>
            <w:tcBorders>
              <w:top w:val="single" w:sz="4" w:space="0" w:color="000000"/>
            </w:tcBorders>
          </w:tcPr>
          <w:p>
            <w:pPr>
              <w:pStyle w:val="TableParagraph"/>
              <w:spacing w:before="7"/>
              <w:ind w:left="0"/>
              <w:rPr>
                <w:sz w:val="15"/>
              </w:rPr>
            </w:pPr>
          </w:p>
          <w:p>
            <w:pPr>
              <w:pStyle w:val="TableParagraph"/>
              <w:spacing w:line="273" w:lineRule="auto" w:before="0"/>
              <w:ind w:left="203" w:right="151"/>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2"/>
                <w:sz w:val="21"/>
              </w:rPr>
              <w:t> </w:t>
            </w:r>
            <w:r>
              <w:rPr>
                <w:spacing w:val="-3"/>
                <w:w w:val="100"/>
                <w:sz w:val="21"/>
              </w:rPr>
              <w:t>6</w:t>
            </w:r>
            <w:r>
              <w:rPr>
                <w:w w:val="100"/>
                <w:sz w:val="21"/>
              </w:rPr>
              <w:t>.</w:t>
            </w:r>
            <w:r>
              <w:rPr>
                <w:spacing w:val="-1"/>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203" w:right="138"/>
              <w:rPr>
                <w:sz w:val="21"/>
              </w:rPr>
            </w:pPr>
            <w:r>
              <w:rPr>
                <w:spacing w:val="-10"/>
                <w:sz w:val="21"/>
              </w:rPr>
              <w:t>凡出生满 </w:t>
            </w:r>
            <w:r>
              <w:rPr>
                <w:sz w:val="21"/>
              </w:rPr>
              <w:t>28</w:t>
            </w:r>
            <w:r>
              <w:rPr>
                <w:spacing w:val="-25"/>
                <w:sz w:val="21"/>
              </w:rPr>
              <w:t> 天至 </w:t>
            </w:r>
            <w:r>
              <w:rPr>
                <w:sz w:val="21"/>
              </w:rPr>
              <w:t>55</w:t>
            </w:r>
            <w:r>
              <w:rPr>
                <w:spacing w:val="-8"/>
                <w:sz w:val="21"/>
              </w:rPr>
              <w:t> 周岁，符合本公司承保条件的人，均可作为被保险人。</w:t>
            </w:r>
          </w:p>
        </w:tc>
      </w:tr>
      <w:tr>
        <w:trPr>
          <w:trHeight w:val="2496" w:hRule="atLeast"/>
        </w:trPr>
        <w:tc>
          <w:tcPr>
            <w:tcW w:w="748" w:type="dxa"/>
          </w:tcPr>
          <w:p>
            <w:pPr>
              <w:pStyle w:val="TableParagraph"/>
              <w:spacing w:before="143"/>
              <w:ind w:left="108"/>
              <w:rPr>
                <w:b/>
                <w:sz w:val="21"/>
              </w:rPr>
            </w:pPr>
            <w:r>
              <w:rPr>
                <w:b/>
                <w:sz w:val="21"/>
              </w:rPr>
              <w:t>1.2</w:t>
            </w:r>
          </w:p>
        </w:tc>
        <w:tc>
          <w:tcPr>
            <w:tcW w:w="1752" w:type="dxa"/>
          </w:tcPr>
          <w:p>
            <w:pPr>
              <w:pStyle w:val="TableParagraph"/>
              <w:spacing w:before="143"/>
              <w:ind w:left="282"/>
              <w:rPr>
                <w:b/>
                <w:sz w:val="21"/>
              </w:rPr>
            </w:pPr>
            <w:r>
              <w:rPr>
                <w:b/>
                <w:sz w:val="21"/>
              </w:rPr>
              <w:t>合同构成</w:t>
            </w:r>
          </w:p>
        </w:tc>
        <w:tc>
          <w:tcPr>
            <w:tcW w:w="6861" w:type="dxa"/>
          </w:tcPr>
          <w:p>
            <w:pPr>
              <w:pStyle w:val="TableParagraph"/>
              <w:spacing w:line="264" w:lineRule="auto" w:before="143"/>
              <w:ind w:left="203" w:right="104"/>
              <w:jc w:val="both"/>
              <w:rPr>
                <w:sz w:val="21"/>
              </w:rPr>
            </w:pPr>
            <w:r>
              <w:rPr>
                <w:w w:val="100"/>
                <w:sz w:val="21"/>
              </w:rPr>
              <w:t>本附加保险合同（以下简称“本附加合同</w:t>
            </w:r>
            <w:r>
              <w:rPr>
                <w:spacing w:val="-104"/>
                <w:w w:val="100"/>
                <w:sz w:val="21"/>
              </w:rPr>
              <w:t>”）</w:t>
            </w:r>
            <w:r>
              <w:rPr>
                <w:spacing w:val="-1"/>
                <w:w w:val="100"/>
                <w:sz w:val="21"/>
              </w:rPr>
              <w:t>，需由合众得益人生两全保</w:t>
            </w:r>
            <w:r>
              <w:rPr>
                <w:spacing w:val="-1"/>
                <w:sz w:val="21"/>
              </w:rPr>
              <w:t>险（分红型）主保险合同（以下简称</w:t>
            </w:r>
            <w:r>
              <w:rPr>
                <w:rFonts w:ascii="Times New Roman" w:hAnsi="Times New Roman" w:eastAsia="Times New Roman"/>
                <w:spacing w:val="-1"/>
                <w:sz w:val="21"/>
              </w:rPr>
              <w:t>“</w:t>
            </w:r>
            <w:r>
              <w:rPr>
                <w:spacing w:val="-1"/>
                <w:sz w:val="21"/>
              </w:rPr>
              <w:t>主合同</w:t>
            </w:r>
            <w:r>
              <w:rPr>
                <w:rFonts w:ascii="Times New Roman" w:hAnsi="Times New Roman" w:eastAsia="Times New Roman"/>
                <w:spacing w:val="-1"/>
                <w:sz w:val="21"/>
              </w:rPr>
              <w:t>”</w:t>
            </w:r>
            <w:r>
              <w:rPr>
                <w:spacing w:val="-1"/>
                <w:sz w:val="21"/>
              </w:rPr>
              <w:t>）投保人提出申请，经我</w:t>
            </w:r>
            <w:r>
              <w:rPr>
                <w:spacing w:val="-3"/>
                <w:sz w:val="21"/>
              </w:rPr>
              <w:t>们同意而订立。</w:t>
            </w:r>
          </w:p>
          <w:p>
            <w:pPr>
              <w:pStyle w:val="TableParagraph"/>
              <w:spacing w:line="273" w:lineRule="auto" w:before="16"/>
              <w:ind w:left="203" w:right="105"/>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184" w:hRule="atLeast"/>
        </w:trPr>
        <w:tc>
          <w:tcPr>
            <w:tcW w:w="748" w:type="dxa"/>
          </w:tcPr>
          <w:p>
            <w:pPr>
              <w:pStyle w:val="TableParagraph"/>
              <w:spacing w:before="142"/>
              <w:ind w:left="108"/>
              <w:rPr>
                <w:b/>
                <w:sz w:val="21"/>
              </w:rPr>
            </w:pPr>
            <w:r>
              <w:rPr>
                <w:b/>
                <w:sz w:val="21"/>
              </w:rPr>
              <w:t>1.3</w:t>
            </w:r>
          </w:p>
        </w:tc>
        <w:tc>
          <w:tcPr>
            <w:tcW w:w="1752" w:type="dxa"/>
          </w:tcPr>
          <w:p>
            <w:pPr>
              <w:pStyle w:val="TableParagraph"/>
              <w:spacing w:line="273" w:lineRule="auto" w:before="142"/>
              <w:ind w:left="282" w:right="200"/>
              <w:rPr>
                <w:b/>
                <w:sz w:val="21"/>
              </w:rPr>
            </w:pPr>
            <w:r>
              <w:rPr>
                <w:b/>
                <w:sz w:val="21"/>
              </w:rPr>
              <w:t>合同成立与生效</w:t>
            </w:r>
          </w:p>
        </w:tc>
        <w:tc>
          <w:tcPr>
            <w:tcW w:w="6861" w:type="dxa"/>
          </w:tcPr>
          <w:p>
            <w:pPr>
              <w:pStyle w:val="TableParagraph"/>
              <w:spacing w:line="273" w:lineRule="auto" w:before="142"/>
              <w:ind w:left="203" w:right="138"/>
              <w:jc w:val="both"/>
              <w:rPr>
                <w:sz w:val="21"/>
              </w:rPr>
            </w:pPr>
            <w:r>
              <w:rPr>
                <w:sz w:val="21"/>
              </w:rPr>
              <w:t>您提出保险申请、我们同意承保，本附加合同成立，合同成立日期在保险单上载明。</w:t>
            </w:r>
          </w:p>
          <w:p>
            <w:pPr>
              <w:pStyle w:val="TableParagraph"/>
              <w:spacing w:line="273" w:lineRule="auto" w:before="7"/>
              <w:ind w:left="203" w:right="138"/>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保险费约定支付日均以该日期计算。如果当月无对应的同一日，则以该月最后一日作为对应日。</w:t>
            </w:r>
          </w:p>
        </w:tc>
      </w:tr>
      <w:tr>
        <w:trPr>
          <w:trHeight w:val="2496" w:hRule="atLeast"/>
        </w:trPr>
        <w:tc>
          <w:tcPr>
            <w:tcW w:w="748" w:type="dxa"/>
          </w:tcPr>
          <w:p>
            <w:pPr>
              <w:pStyle w:val="TableParagraph"/>
              <w:spacing w:before="142"/>
              <w:ind w:left="108"/>
              <w:rPr>
                <w:b/>
                <w:sz w:val="21"/>
              </w:rPr>
            </w:pPr>
            <w:r>
              <w:rPr>
                <w:b/>
                <w:sz w:val="21"/>
              </w:rPr>
              <w:t>1.4</w:t>
            </w:r>
          </w:p>
        </w:tc>
        <w:tc>
          <w:tcPr>
            <w:tcW w:w="1752" w:type="dxa"/>
          </w:tcPr>
          <w:p>
            <w:pPr>
              <w:pStyle w:val="TableParagraph"/>
              <w:spacing w:before="142"/>
              <w:ind w:left="282"/>
              <w:rPr>
                <w:b/>
                <w:sz w:val="21"/>
              </w:rPr>
            </w:pPr>
            <w:r>
              <w:rPr>
                <w:b/>
                <w:sz w:val="21"/>
              </w:rPr>
              <w:t>犹豫期</w:t>
            </w:r>
          </w:p>
        </w:tc>
        <w:tc>
          <w:tcPr>
            <w:tcW w:w="6861" w:type="dxa"/>
          </w:tcPr>
          <w:p>
            <w:pPr>
              <w:pStyle w:val="TableParagraph"/>
              <w:spacing w:line="273" w:lineRule="auto" w:before="142"/>
              <w:ind w:left="203" w:right="-15"/>
              <w:rPr>
                <w:sz w:val="21"/>
              </w:rPr>
            </w:pPr>
            <w:r>
              <w:rPr>
                <w:spacing w:val="-7"/>
                <w:sz w:val="21"/>
              </w:rPr>
              <w:t>为了使您充分了解本附加合同的保障范围，确定选择了合适的保险金额、</w:t>
            </w:r>
            <w:r>
              <w:rPr>
                <w:spacing w:val="-10"/>
                <w:sz w:val="21"/>
              </w:rPr>
              <w:t>交费期限和交费金额，自您签收保险合同之日起，有 </w:t>
            </w:r>
            <w:r>
              <w:rPr>
                <w:sz w:val="21"/>
              </w:rPr>
              <w:t>10</w:t>
            </w:r>
            <w:r>
              <w:rPr>
                <w:spacing w:val="-11"/>
                <w:sz w:val="21"/>
              </w:rPr>
              <w:t> 天的犹豫期。如</w:t>
            </w:r>
            <w:r>
              <w:rPr>
                <w:spacing w:val="-6"/>
                <w:sz w:val="21"/>
              </w:rPr>
              <w:t>果您在此期间提出解除本附加合同，需要填写书面申请书，并提供您的</w:t>
            </w:r>
            <w:r>
              <w:rPr>
                <w:spacing w:val="-4"/>
                <w:w w:val="100"/>
                <w:sz w:val="21"/>
              </w:rPr>
              <w:t>保险合同及</w:t>
            </w:r>
            <w:r>
              <w:rPr>
                <w:b/>
                <w:spacing w:val="-7"/>
                <w:w w:val="100"/>
                <w:sz w:val="21"/>
              </w:rPr>
              <w:t>有效身份证件</w:t>
            </w:r>
            <w:r>
              <w:rPr>
                <w:w w:val="100"/>
                <w:sz w:val="21"/>
              </w:rPr>
              <w:t>（</w:t>
            </w:r>
            <w:r>
              <w:rPr>
                <w:spacing w:val="-2"/>
                <w:w w:val="100"/>
                <w:sz w:val="21"/>
              </w:rPr>
              <w:t>见释义</w:t>
            </w:r>
            <w:r>
              <w:rPr>
                <w:spacing w:val="-55"/>
                <w:sz w:val="21"/>
              </w:rPr>
              <w:t> </w:t>
            </w:r>
            <w:r>
              <w:rPr>
                <w:w w:val="100"/>
                <w:sz w:val="21"/>
              </w:rPr>
              <w:t>6.2</w:t>
            </w:r>
            <w:r>
              <w:rPr>
                <w:spacing w:val="-108"/>
                <w:w w:val="100"/>
                <w:sz w:val="21"/>
              </w:rPr>
              <w:t>）</w:t>
            </w:r>
            <w:r>
              <w:rPr>
                <w:spacing w:val="-8"/>
                <w:w w:val="100"/>
                <w:sz w:val="21"/>
              </w:rPr>
              <w:t>，我们会在扣除不超过人民币</w:t>
            </w:r>
            <w:r>
              <w:rPr>
                <w:spacing w:val="-53"/>
                <w:sz w:val="21"/>
              </w:rPr>
              <w:t> </w:t>
            </w:r>
            <w:r>
              <w:rPr>
                <w:spacing w:val="-3"/>
                <w:w w:val="100"/>
                <w:sz w:val="21"/>
              </w:rPr>
              <w:t>10</w:t>
            </w:r>
            <w:r>
              <w:rPr>
                <w:spacing w:val="-3"/>
                <w:sz w:val="21"/>
              </w:rPr>
              <w:t>元的保单工本费后无息退还您所交的本附加合同的保险费。自我们收到您解除本附加合同的书面申请时起，本附加合同即被解除。对本附加合同解除前发生的保险事故我们不承担保险责任。</w:t>
            </w:r>
          </w:p>
        </w:tc>
      </w:tr>
      <w:tr>
        <w:trPr>
          <w:trHeight w:val="1559" w:hRule="atLeast"/>
        </w:trPr>
        <w:tc>
          <w:tcPr>
            <w:tcW w:w="748" w:type="dxa"/>
          </w:tcPr>
          <w:p>
            <w:pPr>
              <w:pStyle w:val="TableParagraph"/>
              <w:spacing w:before="142"/>
              <w:ind w:left="108"/>
              <w:rPr>
                <w:b/>
                <w:sz w:val="21"/>
              </w:rPr>
            </w:pPr>
            <w:r>
              <w:rPr>
                <w:b/>
                <w:sz w:val="21"/>
              </w:rPr>
              <w:t>1.5</w:t>
            </w:r>
          </w:p>
        </w:tc>
        <w:tc>
          <w:tcPr>
            <w:tcW w:w="1752" w:type="dxa"/>
          </w:tcPr>
          <w:p>
            <w:pPr>
              <w:pStyle w:val="TableParagraph"/>
              <w:spacing w:before="142"/>
              <w:ind w:left="282"/>
              <w:rPr>
                <w:b/>
                <w:sz w:val="21"/>
              </w:rPr>
            </w:pPr>
            <w:r>
              <w:rPr>
                <w:b/>
                <w:sz w:val="21"/>
              </w:rPr>
              <w:t>合同内容变更</w:t>
            </w:r>
          </w:p>
        </w:tc>
        <w:tc>
          <w:tcPr>
            <w:tcW w:w="6861" w:type="dxa"/>
          </w:tcPr>
          <w:p>
            <w:pPr>
              <w:pStyle w:val="TableParagraph"/>
              <w:spacing w:line="273" w:lineRule="auto" w:before="142"/>
              <w:ind w:left="203" w:right="138"/>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353" w:hRule="atLeast"/>
        </w:trPr>
        <w:tc>
          <w:tcPr>
            <w:tcW w:w="748" w:type="dxa"/>
          </w:tcPr>
          <w:p>
            <w:pPr>
              <w:pStyle w:val="TableParagraph"/>
              <w:spacing w:before="142"/>
              <w:ind w:left="108"/>
              <w:rPr>
                <w:b/>
                <w:sz w:val="21"/>
              </w:rPr>
            </w:pPr>
            <w:r>
              <w:rPr>
                <w:b/>
                <w:sz w:val="21"/>
              </w:rPr>
              <w:t>1.6</w:t>
            </w:r>
          </w:p>
        </w:tc>
        <w:tc>
          <w:tcPr>
            <w:tcW w:w="1752" w:type="dxa"/>
          </w:tcPr>
          <w:p>
            <w:pPr>
              <w:pStyle w:val="TableParagraph"/>
              <w:spacing w:line="273" w:lineRule="auto" w:before="142"/>
              <w:ind w:left="282" w:right="200"/>
              <w:rPr>
                <w:b/>
                <w:sz w:val="21"/>
              </w:rPr>
            </w:pPr>
            <w:r>
              <w:rPr>
                <w:b/>
                <w:sz w:val="21"/>
              </w:rPr>
              <w:t>您解除合同的手续及风险</w:t>
            </w:r>
          </w:p>
        </w:tc>
        <w:tc>
          <w:tcPr>
            <w:tcW w:w="6861" w:type="dxa"/>
          </w:tcPr>
          <w:p>
            <w:pPr>
              <w:pStyle w:val="TableParagraph"/>
              <w:spacing w:line="273" w:lineRule="auto" w:before="142"/>
              <w:ind w:left="203" w:right="138"/>
              <w:rPr>
                <w:sz w:val="21"/>
              </w:rPr>
            </w:pPr>
            <w:r>
              <w:rPr>
                <w:sz w:val="21"/>
              </w:rPr>
              <w:t>如您在犹豫期后申请解除本附加合同，请填写解除合同申请书并向我们提供下列资料：</w:t>
            </w:r>
          </w:p>
          <w:p>
            <w:pPr>
              <w:pStyle w:val="TableParagraph"/>
              <w:spacing w:before="7"/>
              <w:ind w:left="203"/>
              <w:rPr>
                <w:sz w:val="21"/>
              </w:rPr>
            </w:pPr>
            <w:r>
              <w:rPr>
                <w:sz w:val="21"/>
              </w:rPr>
              <w:t>（1）保险合同；</w:t>
            </w:r>
          </w:p>
          <w:p>
            <w:pPr>
              <w:pStyle w:val="TableParagraph"/>
              <w:spacing w:line="255" w:lineRule="exact" w:before="37"/>
              <w:ind w:left="203"/>
              <w:rPr>
                <w:sz w:val="21"/>
              </w:rPr>
            </w:pPr>
            <w:r>
              <w:rPr>
                <w:sz w:val="21"/>
              </w:rPr>
              <w:t>（2）您的有效身份证件。</w:t>
            </w:r>
          </w:p>
        </w:tc>
      </w:tr>
    </w:tbl>
    <w:p>
      <w:pPr>
        <w:spacing w:after="0" w:line="255" w:lineRule="exact"/>
        <w:rPr>
          <w:sz w:val="21"/>
        </w:rPr>
        <w:sectPr>
          <w:pgSz w:w="11910" w:h="16840"/>
          <w:pgMar w:header="0" w:footer="912" w:top="1420" w:bottom="118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7"/>
      </w:tblGrid>
      <w:tr>
        <w:trPr>
          <w:trHeight w:val="910"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7" w:type="dxa"/>
          </w:tcPr>
          <w:p>
            <w:pPr>
              <w:pStyle w:val="TableParagraph"/>
              <w:spacing w:line="202" w:lineRule="exact" w:before="0"/>
              <w:ind w:left="203"/>
              <w:rPr>
                <w:sz w:val="21"/>
              </w:rPr>
            </w:pPr>
            <w:r>
              <w:rPr>
                <w:sz w:val="21"/>
              </w:rPr>
              <w:t>自我们收到解除合同申请书时起，本附加合同终止。我们自收到解除合</w:t>
            </w:r>
          </w:p>
          <w:p>
            <w:pPr>
              <w:pStyle w:val="TableParagraph"/>
              <w:spacing w:line="273" w:lineRule="auto" w:before="37"/>
              <w:ind w:left="203" w:right="463"/>
              <w:rPr>
                <w:sz w:val="21"/>
              </w:rPr>
            </w:pP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r>
              <w:rPr>
                <w:spacing w:val="-3"/>
                <w:sz w:val="21"/>
              </w:rPr>
              <w:t>您在犹豫期后解除合同会遭受一定损失。</w:t>
            </w:r>
          </w:p>
        </w:tc>
      </w:tr>
      <w:tr>
        <w:trPr>
          <w:trHeight w:val="597" w:hRule="atLeast"/>
        </w:trPr>
        <w:tc>
          <w:tcPr>
            <w:tcW w:w="748" w:type="dxa"/>
            <w:tcBorders>
              <w:bottom w:val="single" w:sz="4" w:space="0" w:color="000000"/>
            </w:tcBorders>
          </w:tcPr>
          <w:p>
            <w:pPr>
              <w:pStyle w:val="TableParagraph"/>
              <w:spacing w:before="29"/>
              <w:ind w:left="108"/>
              <w:rPr>
                <w:rFonts w:ascii="Arial" w:hAnsi="Arial"/>
                <w:b/>
                <w:sz w:val="40"/>
              </w:rPr>
            </w:pPr>
            <w:r>
              <w:rPr>
                <w:rFonts w:ascii="Arial" w:hAnsi="Arial"/>
                <w:b/>
                <w:w w:val="119"/>
                <w:sz w:val="40"/>
              </w:rPr>
              <w:t></w:t>
            </w:r>
          </w:p>
        </w:tc>
        <w:tc>
          <w:tcPr>
            <w:tcW w:w="8609" w:type="dxa"/>
            <w:gridSpan w:val="2"/>
            <w:tcBorders>
              <w:bottom w:val="single" w:sz="4" w:space="0" w:color="000000"/>
            </w:tcBorders>
          </w:tcPr>
          <w:p>
            <w:pPr>
              <w:pStyle w:val="TableParagraph"/>
              <w:spacing w:before="81"/>
              <w:ind w:left="282"/>
              <w:rPr>
                <w:b/>
                <w:sz w:val="24"/>
              </w:rPr>
            </w:pPr>
            <w:r>
              <w:rPr>
                <w:b/>
                <w:w w:val="95"/>
                <w:sz w:val="24"/>
              </w:rPr>
              <w:t>我们提供的保障</w:t>
            </w:r>
          </w:p>
        </w:tc>
      </w:tr>
      <w:tr>
        <w:trPr>
          <w:trHeight w:val="1073" w:hRule="atLeast"/>
        </w:trPr>
        <w:tc>
          <w:tcPr>
            <w:tcW w:w="748" w:type="dxa"/>
            <w:tcBorders>
              <w:top w:val="single" w:sz="4" w:space="0" w:color="000000"/>
            </w:tcBorders>
          </w:tcPr>
          <w:p>
            <w:pPr>
              <w:pStyle w:val="TableParagraph"/>
              <w:spacing w:before="9"/>
              <w:ind w:left="0"/>
              <w:rPr>
                <w:sz w:val="20"/>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9"/>
              <w:ind w:left="0"/>
              <w:rPr>
                <w:sz w:val="20"/>
              </w:rPr>
            </w:pPr>
          </w:p>
          <w:p>
            <w:pPr>
              <w:pStyle w:val="TableParagraph"/>
              <w:spacing w:before="0"/>
              <w:ind w:left="282"/>
              <w:rPr>
                <w:b/>
                <w:sz w:val="21"/>
              </w:rPr>
            </w:pPr>
            <w:r>
              <w:rPr>
                <w:b/>
                <w:sz w:val="21"/>
              </w:rPr>
              <w:t>基本保险金额</w:t>
            </w:r>
          </w:p>
        </w:tc>
        <w:tc>
          <w:tcPr>
            <w:tcW w:w="6857" w:type="dxa"/>
            <w:tcBorders>
              <w:top w:val="single" w:sz="4" w:space="0" w:color="000000"/>
            </w:tcBorders>
          </w:tcPr>
          <w:p>
            <w:pPr>
              <w:pStyle w:val="TableParagraph"/>
              <w:spacing w:before="9"/>
              <w:ind w:left="0"/>
              <w:rPr>
                <w:sz w:val="20"/>
              </w:rPr>
            </w:pPr>
          </w:p>
          <w:p>
            <w:pPr>
              <w:pStyle w:val="TableParagraph"/>
              <w:spacing w:line="273" w:lineRule="auto" w:before="0"/>
              <w:ind w:left="203" w:right="345"/>
              <w:rPr>
                <w:sz w:val="21"/>
              </w:rPr>
            </w:pPr>
            <w:r>
              <w:rPr>
                <w:sz w:val="21"/>
              </w:rPr>
              <w:t>本附加合同的基本保险金额由您在投保时与我们约定并在保险单上载明。若该金额发生变更，则以变更后的金额为基本保险金额。</w:t>
            </w:r>
          </w:p>
        </w:tc>
      </w:tr>
      <w:tr>
        <w:trPr>
          <w:trHeight w:val="936" w:hRule="atLeast"/>
        </w:trPr>
        <w:tc>
          <w:tcPr>
            <w:tcW w:w="748" w:type="dxa"/>
          </w:tcPr>
          <w:p>
            <w:pPr>
              <w:pStyle w:val="TableParagraph"/>
              <w:ind w:left="108"/>
              <w:rPr>
                <w:b/>
                <w:sz w:val="21"/>
              </w:rPr>
            </w:pPr>
            <w:r>
              <w:rPr>
                <w:b/>
                <w:sz w:val="21"/>
              </w:rPr>
              <w:t>2.2</w:t>
            </w:r>
          </w:p>
        </w:tc>
        <w:tc>
          <w:tcPr>
            <w:tcW w:w="1752" w:type="dxa"/>
          </w:tcPr>
          <w:p>
            <w:pPr>
              <w:pStyle w:val="TableParagraph"/>
              <w:ind w:left="282"/>
              <w:rPr>
                <w:b/>
                <w:sz w:val="21"/>
              </w:rPr>
            </w:pPr>
            <w:r>
              <w:rPr>
                <w:b/>
                <w:sz w:val="21"/>
              </w:rPr>
              <w:t>保险期间</w:t>
            </w:r>
          </w:p>
        </w:tc>
        <w:tc>
          <w:tcPr>
            <w:tcW w:w="6857" w:type="dxa"/>
          </w:tcPr>
          <w:p>
            <w:pPr>
              <w:pStyle w:val="TableParagraph"/>
              <w:spacing w:line="273" w:lineRule="auto"/>
              <w:ind w:left="203" w:right="134"/>
              <w:rPr>
                <w:sz w:val="21"/>
              </w:rPr>
            </w:pPr>
            <w:r>
              <w:rPr>
                <w:sz w:val="21"/>
              </w:rPr>
              <w:t>本附加合同的保险期间为自保险单上记载的本附加合同生效日起，至被保险人年满 85 周岁的保单周年日止。</w:t>
            </w:r>
          </w:p>
        </w:tc>
      </w:tr>
      <w:tr>
        <w:trPr>
          <w:trHeight w:val="624" w:hRule="atLeast"/>
        </w:trPr>
        <w:tc>
          <w:tcPr>
            <w:tcW w:w="748" w:type="dxa"/>
          </w:tcPr>
          <w:p>
            <w:pPr>
              <w:pStyle w:val="TableParagraph"/>
              <w:ind w:left="108"/>
              <w:rPr>
                <w:b/>
                <w:sz w:val="21"/>
              </w:rPr>
            </w:pPr>
            <w:r>
              <w:rPr>
                <w:b/>
                <w:sz w:val="21"/>
              </w:rPr>
              <w:t>2.3</w:t>
            </w:r>
          </w:p>
        </w:tc>
        <w:tc>
          <w:tcPr>
            <w:tcW w:w="1752" w:type="dxa"/>
          </w:tcPr>
          <w:p>
            <w:pPr>
              <w:pStyle w:val="TableParagraph"/>
              <w:ind w:left="282"/>
              <w:rPr>
                <w:b/>
                <w:sz w:val="21"/>
              </w:rPr>
            </w:pPr>
            <w:r>
              <w:rPr>
                <w:b/>
                <w:sz w:val="21"/>
              </w:rPr>
              <w:t>保险责任</w:t>
            </w:r>
          </w:p>
        </w:tc>
        <w:tc>
          <w:tcPr>
            <w:tcW w:w="6857" w:type="dxa"/>
          </w:tcPr>
          <w:p>
            <w:pPr>
              <w:pStyle w:val="TableParagraph"/>
              <w:ind w:left="203"/>
              <w:rPr>
                <w:sz w:val="21"/>
              </w:rPr>
            </w:pPr>
            <w:r>
              <w:rPr>
                <w:sz w:val="21"/>
              </w:rPr>
              <w:t>在本附加合同保险期间内，我们承担如下保险责任：</w:t>
            </w:r>
          </w:p>
        </w:tc>
      </w:tr>
      <w:tr>
        <w:trPr>
          <w:trHeight w:val="2184" w:hRule="atLeast"/>
        </w:trPr>
        <w:tc>
          <w:tcPr>
            <w:tcW w:w="748" w:type="dxa"/>
          </w:tcPr>
          <w:p>
            <w:pPr>
              <w:pStyle w:val="TableParagraph"/>
              <w:spacing w:before="0"/>
              <w:ind w:left="0"/>
              <w:rPr>
                <w:rFonts w:ascii="Times New Roman"/>
                <w:sz w:val="20"/>
              </w:rPr>
            </w:pPr>
          </w:p>
        </w:tc>
        <w:tc>
          <w:tcPr>
            <w:tcW w:w="1752" w:type="dxa"/>
          </w:tcPr>
          <w:p>
            <w:pPr>
              <w:pStyle w:val="TableParagraph"/>
              <w:ind w:left="282"/>
              <w:rPr>
                <w:rFonts w:ascii="黑体" w:eastAsia="黑体" w:hint="eastAsia"/>
                <w:b/>
                <w:sz w:val="21"/>
              </w:rPr>
            </w:pPr>
            <w:r>
              <w:rPr>
                <w:rFonts w:ascii="黑体" w:eastAsia="黑体" w:hint="eastAsia"/>
                <w:b/>
                <w:sz w:val="21"/>
              </w:rPr>
              <w:t>等待期</w:t>
            </w:r>
          </w:p>
        </w:tc>
        <w:tc>
          <w:tcPr>
            <w:tcW w:w="6857" w:type="dxa"/>
          </w:tcPr>
          <w:p>
            <w:pPr>
              <w:pStyle w:val="TableParagraph"/>
              <w:spacing w:line="273" w:lineRule="auto"/>
              <w:ind w:left="203" w:right="98"/>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w w:val="100"/>
                <w:sz w:val="21"/>
              </w:rPr>
              <w:t>附加合同所定义的</w:t>
            </w:r>
            <w:r>
              <w:rPr>
                <w:rFonts w:ascii="黑体" w:eastAsia="黑体" w:hint="eastAsia"/>
                <w:b/>
                <w:spacing w:val="-3"/>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spacing w:val="-4"/>
                <w:w w:val="100"/>
                <w:sz w:val="21"/>
              </w:rPr>
              <w:t>，我们将无息返还您所交的本</w:t>
            </w:r>
            <w:r>
              <w:rPr>
                <w:rFonts w:ascii="黑体" w:eastAsia="黑体" w:hint="eastAsia"/>
                <w:spacing w:val="-5"/>
                <w:sz w:val="21"/>
              </w:rPr>
              <w:t>附加合同的保险费，本附加合同终止。这 </w:t>
            </w:r>
            <w:r>
              <w:rPr>
                <w:rFonts w:ascii="黑体" w:eastAsia="黑体" w:hint="eastAsia"/>
                <w:sz w:val="21"/>
              </w:rPr>
              <w:t>180</w:t>
            </w:r>
            <w:r>
              <w:rPr>
                <w:rFonts w:ascii="黑体" w:eastAsia="黑体" w:hint="eastAsia"/>
                <w:spacing w:val="-8"/>
                <w:sz w:val="21"/>
              </w:rPr>
              <w:t> 天的时间称为等待期。被</w:t>
            </w:r>
            <w:r>
              <w:rPr>
                <w:rFonts w:ascii="黑体" w:eastAsia="黑体" w:hint="eastAsia"/>
                <w:spacing w:val="-6"/>
                <w:sz w:val="21"/>
              </w:rPr>
              <w:t>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6.5）</w:t>
            </w:r>
            <w:r>
              <w:rPr>
                <w:rFonts w:ascii="黑体" w:eastAsia="黑体" w:hint="eastAsia"/>
                <w:spacing w:val="-3"/>
                <w:sz w:val="21"/>
              </w:rPr>
              <w:t>导致本附加合同定义的重大疾病，无等待期。</w:t>
            </w:r>
          </w:p>
          <w:p>
            <w:pPr>
              <w:pStyle w:val="TableParagraph"/>
              <w:spacing w:before="8"/>
              <w:ind w:left="203"/>
              <w:rPr>
                <w:rFonts w:ascii="黑体" w:eastAsia="黑体" w:hint="eastAsia"/>
                <w:sz w:val="21"/>
              </w:rPr>
            </w:pPr>
            <w:r>
              <w:rPr>
                <w:rFonts w:ascii="黑体" w:eastAsia="黑体" w:hint="eastAsia"/>
                <w:sz w:val="21"/>
              </w:rPr>
              <w:t>等待期后发Th保险事故，我们按照下列方式给付保险金：</w:t>
            </w:r>
          </w:p>
        </w:tc>
      </w:tr>
      <w:tr>
        <w:trPr>
          <w:trHeight w:val="6240"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重大疾病保险金</w:t>
            </w:r>
          </w:p>
        </w:tc>
        <w:tc>
          <w:tcPr>
            <w:tcW w:w="6857" w:type="dxa"/>
          </w:tcPr>
          <w:p>
            <w:pPr>
              <w:pStyle w:val="TableParagraph"/>
              <w:spacing w:line="273" w:lineRule="auto"/>
              <w:ind w:left="203" w:right="134"/>
              <w:jc w:val="both"/>
              <w:rPr>
                <w:sz w:val="21"/>
              </w:rPr>
            </w:pPr>
            <w:r>
              <w:rPr>
                <w:spacing w:val="-3"/>
                <w:w w:val="100"/>
                <w:sz w:val="21"/>
              </w:rPr>
              <w:t>被保险人在年满</w:t>
            </w:r>
            <w:r>
              <w:rPr>
                <w:spacing w:val="-3"/>
                <w:sz w:val="21"/>
              </w:rPr>
              <w:t> </w:t>
            </w:r>
            <w:r>
              <w:rPr>
                <w:w w:val="100"/>
                <w:sz w:val="21"/>
              </w:rPr>
              <w:t>18</w:t>
            </w:r>
            <w:r>
              <w:rPr>
                <w:spacing w:val="-55"/>
                <w:sz w:val="21"/>
              </w:rPr>
              <w:t> </w:t>
            </w:r>
            <w:r>
              <w:rPr>
                <w:spacing w:val="-3"/>
                <w:w w:val="100"/>
                <w:sz w:val="21"/>
              </w:rPr>
              <w:t>周岁的保单周年日前（</w:t>
            </w:r>
            <w:r>
              <w:rPr>
                <w:spacing w:val="-2"/>
                <w:w w:val="100"/>
                <w:sz w:val="21"/>
              </w:rPr>
              <w:t>不含</w:t>
            </w:r>
            <w:r>
              <w:rPr>
                <w:spacing w:val="-106"/>
                <w:w w:val="100"/>
                <w:sz w:val="21"/>
              </w:rPr>
              <w:t>）</w:t>
            </w:r>
            <w:r>
              <w:rPr>
                <w:spacing w:val="-3"/>
                <w:w w:val="100"/>
                <w:sz w:val="21"/>
              </w:rPr>
              <w:t>，初次发生且经</w:t>
            </w:r>
            <w:r>
              <w:rPr>
                <w:b/>
                <w:w w:val="100"/>
                <w:sz w:val="21"/>
              </w:rPr>
              <w:t>专科医</w:t>
            </w:r>
            <w:r>
              <w:rPr>
                <w:b/>
                <w:sz w:val="21"/>
              </w:rPr>
              <w:t>生</w:t>
            </w:r>
            <w:r>
              <w:rPr>
                <w:sz w:val="21"/>
              </w:rPr>
              <w:t>（</w:t>
            </w:r>
            <w:r>
              <w:rPr>
                <w:spacing w:val="-12"/>
                <w:sz w:val="21"/>
              </w:rPr>
              <w:t>见释义 </w:t>
            </w:r>
            <w:r>
              <w:rPr>
                <w:sz w:val="21"/>
              </w:rPr>
              <w:t>6.6）</w:t>
            </w:r>
            <w:r>
              <w:rPr>
                <w:spacing w:val="-3"/>
                <w:sz w:val="21"/>
              </w:rPr>
              <w:t>明确诊断患本附加合同所定义的重大疾病，我们按本附加合同的所交保险费，以及主合同基本保险金额与本附加合同基本保险金额相等部分所对应的已交保险费之和给付重大疾病保险金，本附加合同终止。</w:t>
            </w:r>
          </w:p>
          <w:p>
            <w:pPr>
              <w:pStyle w:val="TableParagraph"/>
              <w:spacing w:before="5"/>
              <w:ind w:left="0"/>
              <w:rPr>
                <w:sz w:val="24"/>
              </w:rPr>
            </w:pPr>
          </w:p>
          <w:p>
            <w:pPr>
              <w:pStyle w:val="TableParagraph"/>
              <w:spacing w:line="273" w:lineRule="auto" w:before="1"/>
              <w:ind w:left="203" w:right="100"/>
              <w:jc w:val="both"/>
              <w:rPr>
                <w:sz w:val="21"/>
              </w:rPr>
            </w:pPr>
            <w:r>
              <w:rPr>
                <w:spacing w:val="-3"/>
                <w:w w:val="100"/>
                <w:sz w:val="21"/>
              </w:rPr>
              <w:t>被保险人在年满</w:t>
            </w:r>
            <w:r>
              <w:rPr>
                <w:spacing w:val="-3"/>
                <w:sz w:val="21"/>
              </w:rPr>
              <w:t> </w:t>
            </w:r>
            <w:r>
              <w:rPr>
                <w:w w:val="100"/>
                <w:sz w:val="21"/>
              </w:rPr>
              <w:t>18</w:t>
            </w:r>
            <w:r>
              <w:rPr>
                <w:spacing w:val="-55"/>
                <w:sz w:val="21"/>
              </w:rPr>
              <w:t> </w:t>
            </w:r>
            <w:r>
              <w:rPr>
                <w:spacing w:val="-3"/>
                <w:w w:val="100"/>
                <w:sz w:val="21"/>
              </w:rPr>
              <w:t>周岁的保单周年日后（</w:t>
            </w:r>
            <w:r>
              <w:rPr>
                <w:w w:val="100"/>
                <w:sz w:val="21"/>
              </w:rPr>
              <w:t>含</w:t>
            </w:r>
            <w:r>
              <w:rPr>
                <w:spacing w:val="-108"/>
                <w:w w:val="100"/>
                <w:sz w:val="21"/>
              </w:rPr>
              <w:t>）</w:t>
            </w:r>
            <w:r>
              <w:rPr>
                <w:spacing w:val="-3"/>
                <w:w w:val="100"/>
                <w:sz w:val="21"/>
              </w:rPr>
              <w:t>，初次发生且经专科医生</w:t>
            </w:r>
            <w:r>
              <w:rPr>
                <w:spacing w:val="-3"/>
                <w:sz w:val="21"/>
              </w:rPr>
              <w:t>明确诊断患本附加合同所定义的重大疾病，我们按照本附加合同的基本保险金额，以及主合同基本保险金额与本附加合同基本保险金额相等部</w:t>
            </w:r>
            <w:r>
              <w:rPr>
                <w:spacing w:val="-7"/>
                <w:sz w:val="21"/>
              </w:rPr>
              <w:t>分所对应的被保险人在 </w:t>
            </w:r>
            <w:r>
              <w:rPr>
                <w:sz w:val="21"/>
              </w:rPr>
              <w:t>85</w:t>
            </w:r>
            <w:r>
              <w:rPr>
                <w:spacing w:val="-11"/>
                <w:sz w:val="21"/>
              </w:rPr>
              <w:t> 周岁的保单周年日前</w:t>
            </w:r>
            <w:r>
              <w:rPr>
                <w:spacing w:val="-3"/>
                <w:sz w:val="21"/>
              </w:rPr>
              <w:t>（</w:t>
            </w:r>
            <w:r>
              <w:rPr>
                <w:sz w:val="21"/>
              </w:rPr>
              <w:t>含</w:t>
            </w:r>
            <w:r>
              <w:rPr>
                <w:spacing w:val="-36"/>
                <w:sz w:val="21"/>
              </w:rPr>
              <w:t>）</w:t>
            </w:r>
            <w:r>
              <w:rPr>
                <w:spacing w:val="-3"/>
                <w:sz w:val="21"/>
              </w:rPr>
              <w:t>我们尚未给付的生存保险金之和给付重大疾病保险金，本附加合同终止。</w:t>
            </w:r>
          </w:p>
          <w:p>
            <w:pPr>
              <w:pStyle w:val="TableParagraph"/>
              <w:spacing w:before="5"/>
              <w:ind w:left="0"/>
              <w:rPr>
                <w:sz w:val="24"/>
              </w:rPr>
            </w:pPr>
          </w:p>
          <w:p>
            <w:pPr>
              <w:pStyle w:val="TableParagraph"/>
              <w:spacing w:line="273" w:lineRule="auto" w:before="1"/>
              <w:ind w:left="203" w:right="134"/>
              <w:jc w:val="both"/>
              <w:rPr>
                <w:rFonts w:ascii="黑体" w:eastAsia="黑体" w:hint="eastAsia"/>
                <w:sz w:val="21"/>
              </w:rPr>
            </w:pPr>
            <w:r>
              <w:rPr>
                <w:rFonts w:ascii="黑体" w:eastAsia="黑体" w:hint="eastAsia"/>
                <w:sz w:val="21"/>
              </w:rPr>
              <w:t>我们给付重大疾病保险金后，主合同的基本保险金额会减少，减少的基本保险金额等于本附加合同的基本保险金额；主合同约定的各项保险责任及保险单上载明的现金价值按减少后的基本保险金额确定。当主合同基本保险金额减少至零时，主合同终止。</w:t>
            </w:r>
          </w:p>
          <w:p>
            <w:pPr>
              <w:pStyle w:val="TableParagraph"/>
              <w:spacing w:before="5"/>
              <w:ind w:left="0"/>
              <w:rPr>
                <w:sz w:val="24"/>
              </w:rPr>
            </w:pPr>
          </w:p>
          <w:p>
            <w:pPr>
              <w:pStyle w:val="TableParagraph"/>
              <w:spacing w:line="273" w:lineRule="auto" w:before="1"/>
              <w:ind w:left="203" w:right="134"/>
              <w:jc w:val="both"/>
              <w:rPr>
                <w:sz w:val="21"/>
              </w:rPr>
            </w:pPr>
            <w:r>
              <w:rPr>
                <w:sz w:val="21"/>
              </w:rPr>
              <w:t>本附加合同重大疾病保险金的给付以一次为限。我们给付任何一项重大疾病保险金后，本附加合同终止。</w:t>
            </w:r>
          </w:p>
        </w:tc>
      </w:tr>
      <w:tr>
        <w:trPr>
          <w:trHeight w:val="1197" w:hRule="atLeast"/>
        </w:trPr>
        <w:tc>
          <w:tcPr>
            <w:tcW w:w="748" w:type="dxa"/>
          </w:tcPr>
          <w:p>
            <w:pPr>
              <w:pStyle w:val="TableParagraph"/>
              <w:ind w:left="108"/>
              <w:rPr>
                <w:b/>
                <w:sz w:val="21"/>
              </w:rPr>
            </w:pPr>
            <w:r>
              <w:rPr>
                <w:b/>
                <w:sz w:val="21"/>
              </w:rPr>
              <w:t>2.4</w:t>
            </w: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保险责任的免除</w:t>
            </w:r>
          </w:p>
        </w:tc>
        <w:tc>
          <w:tcPr>
            <w:tcW w:w="6857" w:type="dxa"/>
          </w:tcPr>
          <w:p>
            <w:pPr>
              <w:pStyle w:val="TableParagraph"/>
              <w:spacing w:line="273" w:lineRule="auto"/>
              <w:ind w:left="203" w:right="102"/>
              <w:rPr>
                <w:rFonts w:ascii="黑体" w:eastAsia="黑体" w:hint="eastAsia"/>
                <w:sz w:val="21"/>
              </w:rPr>
            </w:pPr>
            <w:r>
              <w:rPr>
                <w:rFonts w:ascii="黑体" w:eastAsia="黑体" w:hint="eastAsia"/>
                <w:sz w:val="21"/>
              </w:rPr>
              <w:t>因下列情形之一，导致被保险人发Th本附加合同所定义的重大疾病，本公司不承担保险责任：</w:t>
            </w:r>
          </w:p>
          <w:p>
            <w:pPr>
              <w:pStyle w:val="TableParagraph"/>
              <w:spacing w:line="264" w:lineRule="exact" w:before="163"/>
              <w:ind w:left="203"/>
              <w:rPr>
                <w:rFonts w:ascii="黑体" w:eastAsia="黑体" w:hint="eastAsia"/>
                <w:sz w:val="21"/>
              </w:rPr>
            </w:pPr>
            <w:r>
              <w:rPr>
                <w:rFonts w:ascii="黑体" w:eastAsia="黑体" w:hint="eastAsia"/>
                <w:sz w:val="21"/>
              </w:rPr>
              <w:t>（1）  投保人对被保险人的故意杀害、故意伤害；</w:t>
            </w:r>
          </w:p>
        </w:tc>
      </w:tr>
    </w:tbl>
    <w:p>
      <w:pPr>
        <w:spacing w:after="0" w:line="264" w:lineRule="exact"/>
        <w:rPr>
          <w:rFonts w:ascii="黑体" w:eastAsia="黑体" w:hint="eastAsia"/>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4786"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numPr>
                <w:ilvl w:val="0"/>
                <w:numId w:val="6"/>
              </w:numPr>
              <w:tabs>
                <w:tab w:pos="924" w:val="left" w:leader="none"/>
              </w:tabs>
              <w:spacing w:line="202" w:lineRule="exact" w:before="0" w:after="0"/>
              <w:ind w:left="923"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4" w:val="left" w:leader="none"/>
              </w:tabs>
              <w:spacing w:line="273" w:lineRule="auto" w:before="36" w:after="0"/>
              <w:ind w:left="923" w:right="106"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4" w:val="left" w:leader="none"/>
              </w:tabs>
              <w:spacing w:line="240" w:lineRule="auto" w:before="7" w:after="0"/>
              <w:ind w:left="92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4" w:val="left" w:leader="none"/>
              </w:tabs>
              <w:spacing w:line="273" w:lineRule="auto" w:before="37" w:after="0"/>
              <w:ind w:left="923" w:right="107"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1</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w w:val="100"/>
                <w:sz w:val="21"/>
              </w:rPr>
              <w:t>；</w:t>
            </w:r>
          </w:p>
          <w:p>
            <w:pPr>
              <w:pStyle w:val="TableParagraph"/>
              <w:numPr>
                <w:ilvl w:val="0"/>
                <w:numId w:val="6"/>
              </w:numPr>
              <w:tabs>
                <w:tab w:pos="924" w:val="left" w:leader="none"/>
              </w:tabs>
              <w:spacing w:line="273" w:lineRule="auto" w:before="7" w:after="0"/>
              <w:ind w:left="923" w:right="105"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spacing w:line="256" w:lineRule="auto" w:before="7"/>
              <w:ind w:left="203" w:right="102"/>
              <w:jc w:val="both"/>
              <w:rPr>
                <w:sz w:val="21"/>
              </w:rPr>
            </w:pPr>
            <w:r>
              <w:rPr>
                <w:spacing w:val="-9"/>
                <w:sz w:val="21"/>
              </w:rPr>
              <w:t>发生上述第</w:t>
            </w:r>
            <w:r>
              <w:rPr>
                <w:spacing w:val="-13"/>
                <w:sz w:val="21"/>
              </w:rPr>
              <w:t>（</w:t>
            </w:r>
            <w:r>
              <w:rPr>
                <w:rFonts w:ascii="Times New Roman" w:eastAsia="Times New Roman"/>
                <w:spacing w:val="-13"/>
                <w:sz w:val="21"/>
              </w:rPr>
              <w:t>1</w:t>
            </w:r>
            <w:r>
              <w:rPr>
                <w:spacing w:val="-13"/>
                <w:sz w:val="21"/>
              </w:rPr>
              <w:t>）</w:t>
            </w:r>
            <w:r>
              <w:rPr>
                <w:spacing w:val="-3"/>
                <w:sz w:val="21"/>
              </w:rPr>
              <w:t>项情形导致被保险人发生本附加合同所定义的重大疾病</w:t>
            </w:r>
            <w:r>
              <w:rPr>
                <w:spacing w:val="-5"/>
                <w:sz w:val="21"/>
              </w:rPr>
              <w:t>的，本附加合同终止，您已交足 </w:t>
            </w:r>
            <w:r>
              <w:rPr>
                <w:rFonts w:ascii="Times New Roman" w:eastAsia="Times New Roman"/>
                <w:sz w:val="21"/>
              </w:rPr>
              <w:t>2 </w:t>
            </w:r>
            <w:r>
              <w:rPr>
                <w:spacing w:val="-3"/>
                <w:sz w:val="21"/>
              </w:rPr>
              <w:t>年以上保险费的，我们向其他权利人退还保险单的现金价值。</w:t>
            </w:r>
          </w:p>
          <w:p>
            <w:pPr>
              <w:pStyle w:val="TableParagraph"/>
              <w:spacing w:line="273" w:lineRule="auto" w:before="22"/>
              <w:ind w:left="203" w:right="106"/>
              <w:rPr>
                <w:sz w:val="21"/>
              </w:rPr>
            </w:pPr>
            <w:r>
              <w:rPr>
                <w:sz w:val="21"/>
              </w:rPr>
              <w:t>发生上述其他情形导致被保险人发生本附加合同所定义的重大疾病的， 本附加合同终止，我们向您退还保险单的现金价值。</w:t>
            </w:r>
          </w:p>
        </w:tc>
      </w:tr>
      <w:tr>
        <w:trPr>
          <w:trHeight w:val="2209" w:hRule="atLeast"/>
        </w:trPr>
        <w:tc>
          <w:tcPr>
            <w:tcW w:w="748" w:type="dxa"/>
          </w:tcPr>
          <w:p>
            <w:pPr>
              <w:pStyle w:val="TableParagraph"/>
              <w:ind w:left="108"/>
              <w:rPr>
                <w:b/>
                <w:sz w:val="21"/>
              </w:rPr>
            </w:pPr>
            <w:r>
              <w:rPr>
                <w:b/>
                <w:sz w:val="21"/>
              </w:rPr>
              <w:t>2.5</w:t>
            </w:r>
          </w:p>
        </w:tc>
        <w:tc>
          <w:tcPr>
            <w:tcW w:w="1752" w:type="dxa"/>
          </w:tcPr>
          <w:p>
            <w:pPr>
              <w:pStyle w:val="TableParagraph"/>
              <w:spacing w:line="273" w:lineRule="auto"/>
              <w:ind w:left="282" w:right="200"/>
              <w:rPr>
                <w:b/>
                <w:sz w:val="21"/>
              </w:rPr>
            </w:pPr>
            <w:r>
              <w:rPr>
                <w:b/>
                <w:sz w:val="21"/>
              </w:rPr>
              <w:t>保险责任的终止</w:t>
            </w:r>
          </w:p>
        </w:tc>
        <w:tc>
          <w:tcPr>
            <w:tcW w:w="6861" w:type="dxa"/>
          </w:tcPr>
          <w:p>
            <w:pPr>
              <w:pStyle w:val="TableParagraph"/>
              <w:ind w:left="205"/>
              <w:rPr>
                <w:sz w:val="21"/>
              </w:rPr>
            </w:pPr>
            <w:r>
              <w:rPr>
                <w:sz w:val="21"/>
              </w:rPr>
              <w:t>以下任何一种情况发生时，本附加合同及其保险责任自动终止：</w:t>
            </w:r>
          </w:p>
          <w:p>
            <w:pPr>
              <w:pStyle w:val="TableParagraph"/>
              <w:spacing w:before="37"/>
              <w:ind w:left="205"/>
              <w:rPr>
                <w:sz w:val="21"/>
              </w:rPr>
            </w:pPr>
            <w:r>
              <w:rPr>
                <w:sz w:val="21"/>
              </w:rPr>
              <w:t>（1）在本附加合同有效期内您向我们申请解除合同；</w:t>
            </w:r>
          </w:p>
          <w:p>
            <w:pPr>
              <w:pStyle w:val="TableParagraph"/>
              <w:spacing w:before="37"/>
              <w:ind w:left="205"/>
              <w:rPr>
                <w:sz w:val="21"/>
              </w:rPr>
            </w:pPr>
            <w:r>
              <w:rPr>
                <w:sz w:val="21"/>
              </w:rPr>
              <w:t>（2）本附加合同其他条款所列保险责任终止或本附加合同终止的情形；</w:t>
            </w:r>
          </w:p>
          <w:p>
            <w:pPr>
              <w:pStyle w:val="TableParagraph"/>
              <w:spacing w:before="37"/>
              <w:ind w:left="205"/>
              <w:rPr>
                <w:sz w:val="21"/>
              </w:rPr>
            </w:pPr>
            <w:r>
              <w:rPr>
                <w:sz w:val="21"/>
              </w:rPr>
              <w:t>（3）主合同效力终止；</w:t>
            </w:r>
          </w:p>
          <w:p>
            <w:pPr>
              <w:pStyle w:val="TableParagraph"/>
              <w:spacing w:line="273" w:lineRule="auto" w:before="37"/>
              <w:ind w:left="729" w:right="33" w:hanging="526"/>
              <w:rPr>
                <w:sz w:val="21"/>
              </w:rPr>
            </w:pPr>
            <w:r>
              <w:rPr>
                <w:sz w:val="21"/>
              </w:rPr>
              <w:t>（4）本附加合同因其他条款所列情况而中止效力，且自本附加合同效力中止之日起 2 年内您与我们未达成复效协议的。</w:t>
            </w:r>
          </w:p>
        </w:tc>
      </w:tr>
      <w:tr>
        <w:trPr>
          <w:trHeight w:val="754" w:hRule="atLeast"/>
        </w:trPr>
        <w:tc>
          <w:tcPr>
            <w:tcW w:w="74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
              <w:ind w:left="0"/>
              <w:rPr>
                <w:sz w:val="18"/>
              </w:rPr>
            </w:pPr>
          </w:p>
          <w:p>
            <w:pPr>
              <w:pStyle w:val="TableParagraph"/>
              <w:spacing w:before="0"/>
              <w:ind w:left="282"/>
              <w:rPr>
                <w:b/>
                <w:sz w:val="24"/>
              </w:rPr>
            </w:pPr>
            <w:r>
              <w:rPr>
                <w:b/>
                <w:sz w:val="24"/>
              </w:rPr>
              <w:t>如何申请领取保险金</w:t>
            </w:r>
          </w:p>
        </w:tc>
      </w:tr>
      <w:tr>
        <w:trPr>
          <w:trHeight w:val="758" w:hRule="atLeast"/>
        </w:trPr>
        <w:tc>
          <w:tcPr>
            <w:tcW w:w="748" w:type="dxa"/>
            <w:tcBorders>
              <w:top w:val="single" w:sz="4" w:space="0" w:color="000000"/>
            </w:tcBorders>
          </w:tcPr>
          <w:p>
            <w:pPr>
              <w:pStyle w:val="TableParagraph"/>
              <w:spacing w:before="12"/>
              <w:ind w:left="0"/>
              <w:rPr>
                <w:sz w:val="20"/>
              </w:rPr>
            </w:pPr>
          </w:p>
          <w:p>
            <w:pPr>
              <w:pStyle w:val="TableParagraph"/>
              <w:spacing w:before="0"/>
              <w:ind w:left="108"/>
              <w:rPr>
                <w:b/>
                <w:sz w:val="21"/>
              </w:rPr>
            </w:pPr>
            <w:r>
              <w:rPr>
                <w:b/>
                <w:sz w:val="21"/>
              </w:rPr>
              <w:t>3.1</w:t>
            </w:r>
          </w:p>
        </w:tc>
        <w:tc>
          <w:tcPr>
            <w:tcW w:w="1752" w:type="dxa"/>
            <w:tcBorders>
              <w:top w:val="single" w:sz="4" w:space="0" w:color="000000"/>
            </w:tcBorders>
          </w:tcPr>
          <w:p>
            <w:pPr>
              <w:pStyle w:val="TableParagraph"/>
              <w:spacing w:before="12"/>
              <w:ind w:left="0"/>
              <w:rPr>
                <w:sz w:val="20"/>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12"/>
              <w:ind w:left="0"/>
              <w:rPr>
                <w:sz w:val="20"/>
              </w:rPr>
            </w:pPr>
          </w:p>
          <w:p>
            <w:pPr>
              <w:pStyle w:val="TableParagraph"/>
              <w:spacing w:before="0"/>
              <w:ind w:left="203"/>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39"/>
              <w:ind w:left="108"/>
              <w:rPr>
                <w:b/>
                <w:sz w:val="21"/>
              </w:rPr>
            </w:pPr>
            <w:r>
              <w:rPr>
                <w:b/>
                <w:sz w:val="21"/>
              </w:rPr>
              <w:t>3.2</w:t>
            </w:r>
          </w:p>
        </w:tc>
        <w:tc>
          <w:tcPr>
            <w:tcW w:w="1752" w:type="dxa"/>
          </w:tcPr>
          <w:p>
            <w:pPr>
              <w:pStyle w:val="TableParagraph"/>
              <w:spacing w:before="139"/>
              <w:ind w:left="282"/>
              <w:rPr>
                <w:b/>
                <w:sz w:val="21"/>
              </w:rPr>
            </w:pPr>
            <w:r>
              <w:rPr>
                <w:b/>
                <w:sz w:val="21"/>
              </w:rPr>
              <w:t>保险事故通知</w:t>
            </w:r>
          </w:p>
        </w:tc>
        <w:tc>
          <w:tcPr>
            <w:tcW w:w="6861" w:type="dxa"/>
          </w:tcPr>
          <w:p>
            <w:pPr>
              <w:pStyle w:val="TableParagraph"/>
              <w:spacing w:before="127"/>
              <w:ind w:left="203"/>
              <w:rPr>
                <w:i/>
                <w:sz w:val="22"/>
              </w:rPr>
            </w:pPr>
            <w:r>
              <w:rPr>
                <w:sz w:val="21"/>
              </w:rPr>
              <w:t>您或受益人知道保险事故后应当在 10 日内通知本公司</w:t>
            </w:r>
            <w:r>
              <w:rPr>
                <w:i/>
                <w:sz w:val="22"/>
              </w:rPr>
              <w:t>。</w:t>
            </w:r>
          </w:p>
          <w:p>
            <w:pPr>
              <w:pStyle w:val="TableParagraph"/>
              <w:spacing w:line="273" w:lineRule="auto" w:before="35"/>
              <w:ind w:left="203" w:right="-15"/>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24" w:hRule="atLeast"/>
        </w:trPr>
        <w:tc>
          <w:tcPr>
            <w:tcW w:w="748" w:type="dxa"/>
          </w:tcPr>
          <w:p>
            <w:pPr>
              <w:pStyle w:val="TableParagraph"/>
              <w:ind w:left="108"/>
              <w:rPr>
                <w:b/>
                <w:sz w:val="21"/>
              </w:rPr>
            </w:pPr>
            <w:r>
              <w:rPr>
                <w:b/>
                <w:sz w:val="21"/>
              </w:rPr>
              <w:t>3.3</w:t>
            </w:r>
          </w:p>
        </w:tc>
        <w:tc>
          <w:tcPr>
            <w:tcW w:w="1752" w:type="dxa"/>
          </w:tcPr>
          <w:p>
            <w:pPr>
              <w:pStyle w:val="TableParagraph"/>
              <w:ind w:left="282"/>
              <w:rPr>
                <w:b/>
                <w:sz w:val="21"/>
              </w:rPr>
            </w:pPr>
            <w:r>
              <w:rPr>
                <w:b/>
                <w:sz w:val="21"/>
              </w:rPr>
              <w:t>保险金申请</w:t>
            </w:r>
          </w:p>
        </w:tc>
        <w:tc>
          <w:tcPr>
            <w:tcW w:w="6861" w:type="dxa"/>
          </w:tcPr>
          <w:p>
            <w:pPr>
              <w:pStyle w:val="TableParagraph"/>
              <w:ind w:left="203"/>
              <w:rPr>
                <w:sz w:val="21"/>
              </w:rPr>
            </w:pPr>
            <w:r>
              <w:rPr>
                <w:sz w:val="21"/>
              </w:rPr>
              <w:t>在申请保险金时，请按照下列方式办理：</w:t>
            </w:r>
          </w:p>
        </w:tc>
      </w:tr>
      <w:tr>
        <w:trPr>
          <w:trHeight w:val="2289"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ind w:left="203"/>
              <w:rPr>
                <w:sz w:val="21"/>
              </w:rPr>
            </w:pPr>
            <w:r>
              <w:rPr>
                <w:sz w:val="21"/>
              </w:rPr>
              <w:t>申请人须填写保险金给付申请书，并须提供下列证明和资料：</w:t>
            </w:r>
          </w:p>
          <w:p>
            <w:pPr>
              <w:pStyle w:val="TableParagraph"/>
              <w:spacing w:before="37"/>
              <w:ind w:left="205"/>
              <w:rPr>
                <w:sz w:val="21"/>
              </w:rPr>
            </w:pPr>
            <w:r>
              <w:rPr>
                <w:sz w:val="21"/>
              </w:rPr>
              <w:t>（1）保险合同；</w:t>
            </w:r>
          </w:p>
          <w:p>
            <w:pPr>
              <w:pStyle w:val="TableParagraph"/>
              <w:spacing w:before="37"/>
              <w:ind w:left="203"/>
              <w:rPr>
                <w:sz w:val="21"/>
              </w:rPr>
            </w:pPr>
            <w:r>
              <w:rPr>
                <w:sz w:val="21"/>
              </w:rPr>
              <w:t>（2）申请人的有效身份证件；</w:t>
            </w:r>
          </w:p>
          <w:p>
            <w:pPr>
              <w:pStyle w:val="TableParagraph"/>
              <w:spacing w:line="273" w:lineRule="auto" w:before="37"/>
              <w:ind w:left="695" w:right="102"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64" w:lineRule="exact" w:before="7"/>
              <w:ind w:left="205"/>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p>
        </w:tc>
      </w:tr>
    </w:tbl>
    <w:p>
      <w:pPr>
        <w:spacing w:after="0" w:line="264" w:lineRule="exact"/>
        <w:rPr>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730"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9" w:type="dxa"/>
          </w:tcPr>
          <w:p>
            <w:pPr>
              <w:pStyle w:val="TableParagraph"/>
              <w:spacing w:line="202" w:lineRule="exact" w:before="0"/>
              <w:ind w:left="203"/>
              <w:rPr>
                <w:sz w:val="21"/>
              </w:rPr>
            </w:pPr>
            <w:r>
              <w:rPr>
                <w:sz w:val="21"/>
              </w:rPr>
              <w:t>以上证明和资料不完整的，我们将及时一次性通知申请人补充提供有关</w:t>
            </w:r>
          </w:p>
          <w:p>
            <w:pPr>
              <w:pStyle w:val="TableParagraph"/>
              <w:spacing w:before="37"/>
              <w:ind w:left="203"/>
              <w:rPr>
                <w:sz w:val="21"/>
              </w:rPr>
            </w:pPr>
            <w:r>
              <w:rPr>
                <w:sz w:val="21"/>
              </w:rPr>
              <w:t>证明和资料。</w:t>
            </w:r>
          </w:p>
        </w:tc>
      </w:tr>
      <w:tr>
        <w:trPr>
          <w:trHeight w:val="3744" w:hRule="atLeast"/>
        </w:trPr>
        <w:tc>
          <w:tcPr>
            <w:tcW w:w="748" w:type="dxa"/>
          </w:tcPr>
          <w:p>
            <w:pPr>
              <w:pStyle w:val="TableParagraph"/>
              <w:ind w:left="108"/>
              <w:rPr>
                <w:b/>
                <w:sz w:val="21"/>
              </w:rPr>
            </w:pPr>
            <w:r>
              <w:rPr>
                <w:b/>
                <w:sz w:val="21"/>
              </w:rPr>
              <w:t>3.4</w:t>
            </w:r>
          </w:p>
        </w:tc>
        <w:tc>
          <w:tcPr>
            <w:tcW w:w="1752" w:type="dxa"/>
          </w:tcPr>
          <w:p>
            <w:pPr>
              <w:pStyle w:val="TableParagraph"/>
              <w:ind w:left="282"/>
              <w:rPr>
                <w:b/>
                <w:sz w:val="21"/>
              </w:rPr>
            </w:pPr>
            <w:r>
              <w:rPr>
                <w:b/>
                <w:sz w:val="21"/>
              </w:rPr>
              <w:t>保险金的给付</w:t>
            </w:r>
          </w:p>
        </w:tc>
        <w:tc>
          <w:tcPr>
            <w:tcW w:w="6859" w:type="dxa"/>
          </w:tcPr>
          <w:p>
            <w:pPr>
              <w:pStyle w:val="TableParagraph"/>
              <w:ind w:left="203"/>
              <w:rPr>
                <w:sz w:val="21"/>
              </w:rPr>
            </w:pPr>
            <w:r>
              <w:rPr>
                <w:sz w:val="21"/>
              </w:rPr>
              <w:t>本公司在收到保险金给付申请书及合同约定的证明和资料后，将在 5 日</w:t>
            </w:r>
          </w:p>
          <w:p>
            <w:pPr>
              <w:pStyle w:val="TableParagraph"/>
              <w:spacing w:before="37"/>
              <w:ind w:left="203"/>
              <w:rPr>
                <w:sz w:val="21"/>
              </w:rPr>
            </w:pPr>
            <w:r>
              <w:rPr>
                <w:sz w:val="21"/>
              </w:rPr>
              <w:t>内作出核定；情形复杂的，在 30 日内作出核定。</w:t>
            </w:r>
          </w:p>
          <w:p>
            <w:pPr>
              <w:pStyle w:val="TableParagraph"/>
              <w:spacing w:line="273" w:lineRule="auto" w:before="37"/>
              <w:ind w:left="203" w:right="105"/>
              <w:jc w:val="both"/>
              <w:rPr>
                <w:sz w:val="21"/>
              </w:rPr>
            </w:pPr>
            <w:r>
              <w:rPr>
                <w:sz w:val="21"/>
              </w:rPr>
              <w:t>对属于保险责任的，本公司在与受益人达成给付保险金的协议后 10 日内，履行给付保险金义务。</w:t>
            </w:r>
          </w:p>
          <w:p>
            <w:pPr>
              <w:pStyle w:val="TableParagraph"/>
              <w:spacing w:line="273" w:lineRule="auto" w:before="8"/>
              <w:ind w:left="203" w:right="104"/>
              <w:jc w:val="both"/>
              <w:rPr>
                <w:sz w:val="21"/>
              </w:rPr>
            </w:pPr>
            <w:r>
              <w:rPr>
                <w:sz w:val="21"/>
              </w:rPr>
              <w:t>本公司未及时履行前款规定义务的，除支付保险金外，应当赔偿受益人因此受到的损失。</w:t>
            </w:r>
          </w:p>
          <w:p>
            <w:pPr>
              <w:pStyle w:val="TableParagraph"/>
              <w:spacing w:line="273" w:lineRule="auto" w:before="8"/>
              <w:ind w:left="203" w:right="136"/>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8"/>
              <w:ind w:left="203" w:right="100"/>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3"/>
                <w:sz w:val="21"/>
              </w:rPr>
              <w:t>支付；本公司最终确定给付保险金的数额后，将支付相应的差额。</w:t>
            </w:r>
          </w:p>
        </w:tc>
      </w:tr>
      <w:tr>
        <w:trPr>
          <w:trHeight w:val="960" w:hRule="atLeast"/>
        </w:trPr>
        <w:tc>
          <w:tcPr>
            <w:tcW w:w="748" w:type="dxa"/>
          </w:tcPr>
          <w:p>
            <w:pPr>
              <w:pStyle w:val="TableParagraph"/>
              <w:ind w:left="108"/>
              <w:rPr>
                <w:b/>
                <w:sz w:val="21"/>
              </w:rPr>
            </w:pPr>
            <w:r>
              <w:rPr>
                <w:b/>
                <w:sz w:val="21"/>
              </w:rPr>
              <w:t>3.5</w:t>
            </w:r>
          </w:p>
        </w:tc>
        <w:tc>
          <w:tcPr>
            <w:tcW w:w="1752" w:type="dxa"/>
          </w:tcPr>
          <w:p>
            <w:pPr>
              <w:pStyle w:val="TableParagraph"/>
              <w:ind w:left="282"/>
              <w:rPr>
                <w:b/>
                <w:sz w:val="21"/>
              </w:rPr>
            </w:pPr>
            <w:r>
              <w:rPr>
                <w:b/>
                <w:sz w:val="21"/>
              </w:rPr>
              <w:t>诉讼时效</w:t>
            </w:r>
          </w:p>
        </w:tc>
        <w:tc>
          <w:tcPr>
            <w:tcW w:w="6859" w:type="dxa"/>
          </w:tcPr>
          <w:p>
            <w:pPr>
              <w:pStyle w:val="TableParagraph"/>
              <w:spacing w:line="273" w:lineRule="auto"/>
              <w:ind w:left="203" w:right="136"/>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3" w:hRule="atLeast"/>
        </w:trPr>
        <w:tc>
          <w:tcPr>
            <w:tcW w:w="74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
              <w:ind w:left="0"/>
              <w:rPr>
                <w:sz w:val="18"/>
              </w:rPr>
            </w:pPr>
          </w:p>
          <w:p>
            <w:pPr>
              <w:pStyle w:val="TableParagraph"/>
              <w:spacing w:before="0"/>
              <w:ind w:left="291"/>
              <w:rPr>
                <w:b/>
                <w:sz w:val="24"/>
              </w:rPr>
            </w:pPr>
            <w:r>
              <w:rPr>
                <w:b/>
                <w:w w:val="95"/>
                <w:sz w:val="24"/>
              </w:rPr>
              <w:t>保险费的支付和现金价值权益</w:t>
            </w:r>
          </w:p>
        </w:tc>
      </w:tr>
      <w:tr>
        <w:trPr>
          <w:trHeight w:val="1092" w:hRule="atLeast"/>
        </w:trPr>
        <w:tc>
          <w:tcPr>
            <w:tcW w:w="748" w:type="dxa"/>
            <w:tcBorders>
              <w:top w:val="single" w:sz="4" w:space="0" w:color="000000"/>
            </w:tcBorders>
          </w:tcPr>
          <w:p>
            <w:pPr>
              <w:pStyle w:val="TableParagraph"/>
              <w:spacing w:before="2"/>
              <w:ind w:left="0"/>
              <w:rPr>
                <w:sz w:val="22"/>
              </w:rPr>
            </w:pPr>
          </w:p>
          <w:p>
            <w:pPr>
              <w:pStyle w:val="TableParagraph"/>
              <w:spacing w:before="0"/>
              <w:ind w:left="108"/>
              <w:rPr>
                <w:b/>
                <w:sz w:val="21"/>
              </w:rPr>
            </w:pPr>
            <w:r>
              <w:rPr>
                <w:b/>
                <w:sz w:val="21"/>
              </w:rPr>
              <w:t>4.1</w:t>
            </w:r>
          </w:p>
        </w:tc>
        <w:tc>
          <w:tcPr>
            <w:tcW w:w="1752" w:type="dxa"/>
            <w:tcBorders>
              <w:top w:val="single" w:sz="4" w:space="0" w:color="000000"/>
            </w:tcBorders>
          </w:tcPr>
          <w:p>
            <w:pPr>
              <w:pStyle w:val="TableParagraph"/>
              <w:spacing w:before="2"/>
              <w:ind w:left="0"/>
              <w:rPr>
                <w:sz w:val="22"/>
              </w:rPr>
            </w:pPr>
          </w:p>
          <w:p>
            <w:pPr>
              <w:pStyle w:val="TableParagraph"/>
              <w:spacing w:before="0"/>
              <w:ind w:left="282"/>
              <w:rPr>
                <w:b/>
                <w:sz w:val="21"/>
              </w:rPr>
            </w:pPr>
            <w:r>
              <w:rPr>
                <w:b/>
                <w:sz w:val="21"/>
              </w:rPr>
              <w:t>保险费的支付</w:t>
            </w:r>
          </w:p>
        </w:tc>
        <w:tc>
          <w:tcPr>
            <w:tcW w:w="6859" w:type="dxa"/>
            <w:tcBorders>
              <w:top w:val="single" w:sz="4" w:space="0" w:color="000000"/>
            </w:tcBorders>
          </w:tcPr>
          <w:p>
            <w:pPr>
              <w:pStyle w:val="TableParagraph"/>
              <w:spacing w:before="2"/>
              <w:ind w:left="0"/>
              <w:rPr>
                <w:sz w:val="22"/>
              </w:rPr>
            </w:pPr>
          </w:p>
          <w:p>
            <w:pPr>
              <w:pStyle w:val="TableParagraph"/>
              <w:spacing w:line="273" w:lineRule="auto" w:before="0"/>
              <w:ind w:left="203" w:right="-15"/>
              <w:rPr>
                <w:sz w:val="21"/>
              </w:rPr>
            </w:pPr>
            <w:r>
              <w:rPr>
                <w:spacing w:val="-3"/>
                <w:sz w:val="21"/>
              </w:rPr>
              <w:t>本附加合同的交费方式和交费期限由您和我们约定并在保险单上载明。</w:t>
            </w:r>
            <w:r>
              <w:rPr>
                <w:spacing w:val="-10"/>
                <w:sz w:val="21"/>
              </w:rPr>
              <w:t>在支付首期保险费后，您应当按约定的交费日期支付其余各期的保险费。</w:t>
            </w:r>
          </w:p>
        </w:tc>
      </w:tr>
      <w:tr>
        <w:trPr>
          <w:trHeight w:val="3120" w:hRule="atLeast"/>
        </w:trPr>
        <w:tc>
          <w:tcPr>
            <w:tcW w:w="748" w:type="dxa"/>
          </w:tcPr>
          <w:p>
            <w:pPr>
              <w:pStyle w:val="TableParagraph"/>
              <w:ind w:left="108"/>
              <w:rPr>
                <w:b/>
                <w:sz w:val="21"/>
              </w:rPr>
            </w:pPr>
            <w:r>
              <w:rPr>
                <w:b/>
                <w:sz w:val="21"/>
              </w:rPr>
              <w:t>4.2</w:t>
            </w:r>
          </w:p>
        </w:tc>
        <w:tc>
          <w:tcPr>
            <w:tcW w:w="1752" w:type="dxa"/>
          </w:tcPr>
          <w:p>
            <w:pPr>
              <w:pStyle w:val="TableParagraph"/>
              <w:ind w:left="282"/>
              <w:rPr>
                <w:b/>
                <w:sz w:val="21"/>
              </w:rPr>
            </w:pPr>
            <w:r>
              <w:rPr>
                <w:b/>
                <w:sz w:val="21"/>
              </w:rPr>
              <w:t>保险费率调整</w:t>
            </w:r>
          </w:p>
        </w:tc>
        <w:tc>
          <w:tcPr>
            <w:tcW w:w="6859" w:type="dxa"/>
          </w:tcPr>
          <w:p>
            <w:pPr>
              <w:pStyle w:val="TableParagraph"/>
              <w:spacing w:line="273" w:lineRule="auto"/>
              <w:ind w:left="203" w:right="136"/>
              <w:jc w:val="both"/>
              <w:rPr>
                <w:sz w:val="21"/>
              </w:rPr>
            </w:pPr>
            <w:r>
              <w:rPr>
                <w:sz w:val="21"/>
              </w:rPr>
              <w:t>因为确定本附加合同保险费率所使用的重大疾病发生率等定价基础将可能在未来发生变化，因此我们保留对保险费率进行调整的权利。</w:t>
            </w:r>
          </w:p>
          <w:p>
            <w:pPr>
              <w:pStyle w:val="TableParagraph"/>
              <w:spacing w:line="273" w:lineRule="auto" w:before="7"/>
              <w:ind w:left="203" w:right="136"/>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203" w:right="136"/>
              <w:jc w:val="both"/>
              <w:rPr>
                <w:sz w:val="21"/>
              </w:rPr>
            </w:pPr>
            <w:r>
              <w:rPr>
                <w:sz w:val="21"/>
              </w:rPr>
              <w:t>我们进行保险费率调整后，您须按调整后的保险费率支付以后各期保险费，保险费率调整前您已经支付的保险费不受影响。</w:t>
            </w:r>
          </w:p>
        </w:tc>
      </w:tr>
      <w:tr>
        <w:trPr>
          <w:trHeight w:val="1248" w:hRule="atLeast"/>
        </w:trPr>
        <w:tc>
          <w:tcPr>
            <w:tcW w:w="748" w:type="dxa"/>
          </w:tcPr>
          <w:p>
            <w:pPr>
              <w:pStyle w:val="TableParagraph"/>
              <w:ind w:left="108"/>
              <w:rPr>
                <w:b/>
                <w:sz w:val="21"/>
              </w:rPr>
            </w:pPr>
            <w:r>
              <w:rPr>
                <w:b/>
                <w:sz w:val="21"/>
              </w:rPr>
              <w:t>4.3</w:t>
            </w:r>
          </w:p>
        </w:tc>
        <w:tc>
          <w:tcPr>
            <w:tcW w:w="1752" w:type="dxa"/>
          </w:tcPr>
          <w:p>
            <w:pPr>
              <w:pStyle w:val="TableParagraph"/>
              <w:spacing w:line="273" w:lineRule="auto"/>
              <w:ind w:left="282" w:right="200"/>
              <w:rPr>
                <w:b/>
                <w:sz w:val="21"/>
              </w:rPr>
            </w:pPr>
            <w:r>
              <w:rPr>
                <w:b/>
                <w:sz w:val="21"/>
              </w:rPr>
              <w:t>保险单的现金价值</w:t>
            </w:r>
          </w:p>
        </w:tc>
        <w:tc>
          <w:tcPr>
            <w:tcW w:w="6859" w:type="dxa"/>
          </w:tcPr>
          <w:p>
            <w:pPr>
              <w:pStyle w:val="TableParagraph"/>
              <w:spacing w:line="273" w:lineRule="auto"/>
              <w:ind w:left="203" w:right="136"/>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1977" w:hRule="atLeast"/>
        </w:trPr>
        <w:tc>
          <w:tcPr>
            <w:tcW w:w="748" w:type="dxa"/>
          </w:tcPr>
          <w:p>
            <w:pPr>
              <w:pStyle w:val="TableParagraph"/>
              <w:ind w:left="108"/>
              <w:rPr>
                <w:b/>
                <w:sz w:val="21"/>
              </w:rPr>
            </w:pPr>
            <w:r>
              <w:rPr>
                <w:b/>
                <w:sz w:val="21"/>
              </w:rPr>
              <w:t>4.4</w:t>
            </w:r>
          </w:p>
        </w:tc>
        <w:tc>
          <w:tcPr>
            <w:tcW w:w="1752" w:type="dxa"/>
          </w:tcPr>
          <w:p>
            <w:pPr>
              <w:pStyle w:val="TableParagraph"/>
              <w:ind w:left="282"/>
              <w:rPr>
                <w:b/>
                <w:sz w:val="21"/>
              </w:rPr>
            </w:pPr>
            <w:r>
              <w:rPr>
                <w:b/>
                <w:sz w:val="21"/>
              </w:rPr>
              <w:t>宽限期</w:t>
            </w:r>
          </w:p>
        </w:tc>
        <w:tc>
          <w:tcPr>
            <w:tcW w:w="6859" w:type="dxa"/>
          </w:tcPr>
          <w:p>
            <w:pPr>
              <w:pStyle w:val="TableParagraph"/>
              <w:spacing w:line="273" w:lineRule="auto"/>
              <w:ind w:left="203" w:right="136"/>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312" w:lineRule="exact" w:before="3"/>
              <w:ind w:left="203" w:right="136"/>
              <w:rPr>
                <w:sz w:val="21"/>
              </w:rPr>
            </w:pPr>
            <w:r>
              <w:rPr>
                <w:sz w:val="21"/>
              </w:rPr>
              <w:t>如果您宽限期结束之后仍未支付保险费，则本附加合同自宽限期满的次日零时起效力中止。</w:t>
            </w:r>
          </w:p>
        </w:tc>
      </w:tr>
    </w:tbl>
    <w:p>
      <w:pPr>
        <w:spacing w:after="0" w:line="312" w:lineRule="exact"/>
        <w:rPr>
          <w:sz w:val="21"/>
        </w:rPr>
        <w:sectPr>
          <w:pgSz w:w="11910" w:h="16840"/>
          <w:pgMar w:header="0" w:footer="912" w:top="1460" w:bottom="1100" w:left="1080" w:right="1240"/>
        </w:sectPr>
      </w:pPr>
    </w:p>
    <w:p>
      <w:pPr>
        <w:pStyle w:val="BodyText"/>
        <w:spacing w:before="11"/>
        <w:rPr>
          <w:rFonts w:ascii="Times New Roman"/>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7"/>
        <w:gridCol w:w="6854"/>
      </w:tblGrid>
      <w:tr>
        <w:trPr>
          <w:trHeight w:val="1041" w:hRule="atLeast"/>
        </w:trPr>
        <w:tc>
          <w:tcPr>
            <w:tcW w:w="748" w:type="dxa"/>
          </w:tcPr>
          <w:p>
            <w:pPr>
              <w:pStyle w:val="TableParagraph"/>
              <w:spacing w:line="211" w:lineRule="exact" w:before="0"/>
              <w:ind w:left="108"/>
              <w:rPr>
                <w:b/>
                <w:sz w:val="21"/>
              </w:rPr>
            </w:pPr>
            <w:r>
              <w:rPr>
                <w:b/>
                <w:sz w:val="21"/>
              </w:rPr>
              <w:t>4.5</w:t>
            </w:r>
          </w:p>
        </w:tc>
        <w:tc>
          <w:tcPr>
            <w:tcW w:w="1757" w:type="dxa"/>
          </w:tcPr>
          <w:p>
            <w:pPr>
              <w:pStyle w:val="TableParagraph"/>
              <w:spacing w:line="211" w:lineRule="exact" w:before="0"/>
              <w:ind w:left="282"/>
              <w:rPr>
                <w:b/>
                <w:sz w:val="21"/>
              </w:rPr>
            </w:pPr>
            <w:r>
              <w:rPr>
                <w:b/>
                <w:sz w:val="21"/>
              </w:rPr>
              <w:t>合同效力中止</w:t>
            </w:r>
          </w:p>
        </w:tc>
        <w:tc>
          <w:tcPr>
            <w:tcW w:w="6854" w:type="dxa"/>
          </w:tcPr>
          <w:p>
            <w:pPr>
              <w:pStyle w:val="TableParagraph"/>
              <w:spacing w:line="211" w:lineRule="exact" w:before="0"/>
              <w:ind w:left="198"/>
              <w:rPr>
                <w:sz w:val="21"/>
              </w:rPr>
            </w:pPr>
            <w:r>
              <w:rPr>
                <w:sz w:val="21"/>
              </w:rPr>
              <w:t>当出现主合同或本附加合同约定的合同效力中止情形时，本附加合同效</w:t>
            </w:r>
          </w:p>
          <w:p>
            <w:pPr>
              <w:pStyle w:val="TableParagraph"/>
              <w:spacing w:line="273" w:lineRule="auto" w:before="37"/>
              <w:ind w:left="198" w:right="136"/>
              <w:rPr>
                <w:sz w:val="21"/>
              </w:rPr>
            </w:pPr>
            <w:r>
              <w:rPr>
                <w:sz w:val="21"/>
              </w:rPr>
              <w:t>力即行中止。我们对本附加合同效力中止期间所发生的保险事故，不承担保险责任。</w:t>
            </w:r>
          </w:p>
        </w:tc>
      </w:tr>
      <w:tr>
        <w:trPr>
          <w:trHeight w:val="2209" w:hRule="atLeast"/>
        </w:trPr>
        <w:tc>
          <w:tcPr>
            <w:tcW w:w="748" w:type="dxa"/>
          </w:tcPr>
          <w:p>
            <w:pPr>
              <w:pStyle w:val="TableParagraph"/>
              <w:spacing w:before="142"/>
              <w:ind w:left="108"/>
              <w:rPr>
                <w:b/>
                <w:sz w:val="21"/>
              </w:rPr>
            </w:pPr>
            <w:r>
              <w:rPr>
                <w:b/>
                <w:sz w:val="21"/>
              </w:rPr>
              <w:t>4.6</w:t>
            </w:r>
          </w:p>
        </w:tc>
        <w:tc>
          <w:tcPr>
            <w:tcW w:w="1757" w:type="dxa"/>
          </w:tcPr>
          <w:p>
            <w:pPr>
              <w:pStyle w:val="TableParagraph"/>
              <w:spacing w:before="142"/>
              <w:ind w:left="282"/>
              <w:rPr>
                <w:b/>
                <w:sz w:val="21"/>
              </w:rPr>
            </w:pPr>
            <w:r>
              <w:rPr>
                <w:b/>
                <w:sz w:val="21"/>
              </w:rPr>
              <w:t>合同效力恢复</w:t>
            </w:r>
          </w:p>
        </w:tc>
        <w:tc>
          <w:tcPr>
            <w:tcW w:w="6854" w:type="dxa"/>
          </w:tcPr>
          <w:p>
            <w:pPr>
              <w:pStyle w:val="TableParagraph"/>
              <w:spacing w:line="273" w:lineRule="auto" w:before="142"/>
              <w:ind w:left="198" w:right="136"/>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3"/>
                <w:sz w:val="21"/>
              </w:rPr>
              <w:t>（</w:t>
            </w:r>
            <w:r>
              <w:rPr>
                <w:spacing w:val="-11"/>
                <w:sz w:val="21"/>
              </w:rPr>
              <w:t>见释义 </w:t>
            </w:r>
            <w:r>
              <w:rPr>
                <w:sz w:val="21"/>
              </w:rPr>
              <w:t>6.13）</w:t>
            </w:r>
            <w:r>
              <w:rPr>
                <w:spacing w:val="-3"/>
                <w:sz w:val="21"/>
              </w:rPr>
              <w:t>按日复利计算。</w:t>
            </w:r>
          </w:p>
          <w:p>
            <w:pPr>
              <w:pStyle w:val="TableParagraph"/>
              <w:spacing w:line="273" w:lineRule="auto" w:before="7"/>
              <w:ind w:left="198" w:right="136"/>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7" w:type="dxa"/>
            <w:tcBorders>
              <w:bottom w:val="single" w:sz="4" w:space="0" w:color="000000"/>
            </w:tcBorders>
          </w:tcPr>
          <w:p>
            <w:pPr>
              <w:pStyle w:val="TableParagraph"/>
              <w:spacing w:before="4"/>
              <w:ind w:left="0"/>
              <w:rPr>
                <w:rFonts w:ascii="Times New Roman"/>
                <w:sz w:val="21"/>
              </w:rPr>
            </w:pPr>
          </w:p>
          <w:p>
            <w:pPr>
              <w:pStyle w:val="TableParagraph"/>
              <w:spacing w:before="0"/>
              <w:ind w:left="291"/>
              <w:rPr>
                <w:b/>
                <w:sz w:val="24"/>
              </w:rPr>
            </w:pPr>
            <w:r>
              <w:rPr>
                <w:b/>
                <w:sz w:val="24"/>
              </w:rPr>
              <w:t>其他事项</w:t>
            </w:r>
          </w:p>
        </w:tc>
        <w:tc>
          <w:tcPr>
            <w:tcW w:w="6854" w:type="dxa"/>
            <w:tcBorders>
              <w:bottom w:val="single" w:sz="4" w:space="0" w:color="000000"/>
            </w:tcBorders>
          </w:tcPr>
          <w:p>
            <w:pPr>
              <w:pStyle w:val="TableParagraph"/>
              <w:spacing w:before="0"/>
              <w:ind w:left="0"/>
              <w:rPr>
                <w:rFonts w:ascii="Times New Roman"/>
                <w:sz w:val="20"/>
              </w:rPr>
            </w:pPr>
          </w:p>
        </w:tc>
      </w:tr>
      <w:tr>
        <w:trPr>
          <w:trHeight w:val="5458" w:hRule="atLeast"/>
        </w:trPr>
        <w:tc>
          <w:tcPr>
            <w:tcW w:w="748" w:type="dxa"/>
            <w:tcBorders>
              <w:top w:val="single" w:sz="4" w:space="0" w:color="000000"/>
            </w:tcBorders>
          </w:tcPr>
          <w:p>
            <w:pPr>
              <w:pStyle w:val="TableParagraph"/>
              <w:spacing w:before="9"/>
              <w:ind w:left="0"/>
              <w:rPr>
                <w:rFonts w:ascii="Times New Roman"/>
                <w:sz w:val="25"/>
              </w:rPr>
            </w:pPr>
          </w:p>
          <w:p>
            <w:pPr>
              <w:pStyle w:val="TableParagraph"/>
              <w:spacing w:before="0"/>
              <w:ind w:left="108"/>
              <w:rPr>
                <w:b/>
                <w:sz w:val="21"/>
              </w:rPr>
            </w:pPr>
            <w:r>
              <w:rPr>
                <w:b/>
                <w:sz w:val="21"/>
              </w:rPr>
              <w:t>5.1</w:t>
            </w:r>
          </w:p>
        </w:tc>
        <w:tc>
          <w:tcPr>
            <w:tcW w:w="1757"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91" w:right="196"/>
              <w:rPr>
                <w:b/>
                <w:sz w:val="21"/>
              </w:rPr>
            </w:pPr>
            <w:r>
              <w:rPr>
                <w:b/>
                <w:sz w:val="21"/>
              </w:rPr>
              <w:t>明确说明与如实告知</w:t>
            </w:r>
          </w:p>
        </w:tc>
        <w:tc>
          <w:tcPr>
            <w:tcW w:w="6854" w:type="dxa"/>
            <w:tcBorders>
              <w:top w:val="single" w:sz="4" w:space="0" w:color="000000"/>
            </w:tcBorders>
          </w:tcPr>
          <w:p>
            <w:pPr>
              <w:pStyle w:val="TableParagraph"/>
              <w:spacing w:before="9"/>
              <w:ind w:left="0"/>
              <w:rPr>
                <w:rFonts w:ascii="Times New Roman"/>
                <w:sz w:val="25"/>
              </w:rPr>
            </w:pPr>
          </w:p>
          <w:p>
            <w:pPr>
              <w:pStyle w:val="TableParagraph"/>
              <w:spacing w:before="0"/>
              <w:ind w:left="222"/>
              <w:rPr>
                <w:sz w:val="21"/>
              </w:rPr>
            </w:pPr>
            <w:r>
              <w:rPr>
                <w:sz w:val="21"/>
              </w:rPr>
              <w:t>订立本合同时，本公司应向投保人说明本合同的内容。</w:t>
            </w:r>
          </w:p>
          <w:p>
            <w:pPr>
              <w:pStyle w:val="TableParagraph"/>
              <w:spacing w:line="273" w:lineRule="auto" w:before="36"/>
              <w:ind w:left="222" w:right="112"/>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2" w:right="-15"/>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22" w:right="112"/>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22"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22" w:right="112"/>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48" w:type="dxa"/>
          </w:tcPr>
          <w:p>
            <w:pPr>
              <w:pStyle w:val="TableParagraph"/>
              <w:spacing w:before="142"/>
              <w:ind w:left="108"/>
              <w:rPr>
                <w:b/>
                <w:sz w:val="21"/>
              </w:rPr>
            </w:pPr>
            <w:r>
              <w:rPr>
                <w:b/>
                <w:sz w:val="21"/>
              </w:rPr>
              <w:t>5.2</w:t>
            </w:r>
          </w:p>
        </w:tc>
        <w:tc>
          <w:tcPr>
            <w:tcW w:w="1757" w:type="dxa"/>
          </w:tcPr>
          <w:p>
            <w:pPr>
              <w:pStyle w:val="TableParagraph"/>
              <w:spacing w:line="273" w:lineRule="auto" w:before="142"/>
              <w:ind w:left="291" w:right="196"/>
              <w:rPr>
                <w:b/>
                <w:sz w:val="21"/>
              </w:rPr>
            </w:pPr>
            <w:r>
              <w:rPr>
                <w:b/>
                <w:sz w:val="21"/>
              </w:rPr>
              <w:t>本公司合同解除权的限制</w:t>
            </w:r>
          </w:p>
        </w:tc>
        <w:tc>
          <w:tcPr>
            <w:tcW w:w="6854" w:type="dxa"/>
          </w:tcPr>
          <w:p>
            <w:pPr>
              <w:pStyle w:val="TableParagraph"/>
              <w:spacing w:before="142"/>
              <w:ind w:left="222"/>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222" w:right="112"/>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2601" w:hRule="atLeast"/>
        </w:trPr>
        <w:tc>
          <w:tcPr>
            <w:tcW w:w="748" w:type="dxa"/>
          </w:tcPr>
          <w:p>
            <w:pPr>
              <w:pStyle w:val="TableParagraph"/>
              <w:spacing w:before="142"/>
              <w:ind w:left="108"/>
              <w:rPr>
                <w:b/>
                <w:sz w:val="21"/>
              </w:rPr>
            </w:pPr>
            <w:r>
              <w:rPr>
                <w:b/>
                <w:sz w:val="21"/>
              </w:rPr>
              <w:t>5.3</w:t>
            </w:r>
          </w:p>
        </w:tc>
        <w:tc>
          <w:tcPr>
            <w:tcW w:w="1757" w:type="dxa"/>
          </w:tcPr>
          <w:p>
            <w:pPr>
              <w:pStyle w:val="TableParagraph"/>
              <w:spacing w:before="142"/>
              <w:ind w:left="291"/>
              <w:rPr>
                <w:b/>
                <w:sz w:val="21"/>
              </w:rPr>
            </w:pPr>
            <w:r>
              <w:rPr>
                <w:b/>
                <w:sz w:val="21"/>
              </w:rPr>
              <w:t>年龄性别错误</w:t>
            </w:r>
          </w:p>
        </w:tc>
        <w:tc>
          <w:tcPr>
            <w:tcW w:w="6854" w:type="dxa"/>
          </w:tcPr>
          <w:p>
            <w:pPr>
              <w:pStyle w:val="TableParagraph"/>
              <w:spacing w:line="273" w:lineRule="auto" w:before="142"/>
              <w:ind w:left="222" w:right="112"/>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714" w:right="100" w:hanging="490"/>
              <w:jc w:val="both"/>
              <w:rPr>
                <w:sz w:val="21"/>
              </w:rPr>
            </w:pPr>
            <w:r>
              <w:rPr>
                <w:spacing w:val="-17"/>
                <w:sz w:val="21"/>
              </w:rPr>
              <w:t>（1）</w:t>
            </w:r>
            <w:r>
              <w:rPr>
                <w:spacing w:val="-7"/>
                <w:sz w:val="21"/>
              </w:rPr>
              <w:t>您申报的被保险人年龄不真实，并且其真实年龄不符合本附加合同</w:t>
            </w:r>
            <w:r>
              <w:rPr>
                <w:spacing w:val="-9"/>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312" w:lineRule="exact" w:before="3"/>
              <w:ind w:left="714" w:right="100" w:hanging="490"/>
              <w:jc w:val="both"/>
              <w:rPr>
                <w:sz w:val="21"/>
              </w:rPr>
            </w:pPr>
            <w:r>
              <w:rPr>
                <w:spacing w:val="-17"/>
                <w:sz w:val="21"/>
              </w:rPr>
              <w:t>（2）</w:t>
            </w:r>
            <w:r>
              <w:rPr>
                <w:spacing w:val="-6"/>
                <w:sz w:val="21"/>
              </w:rPr>
              <w:t>您申报的被保险人年龄或性别不真实，致使您实付保险费少于应付</w:t>
            </w:r>
            <w:r>
              <w:rPr>
                <w:spacing w:val="-10"/>
                <w:sz w:val="21"/>
              </w:rPr>
              <w:t>保险费的，我们有权更正并要求您补交保险费。若已经发生保险事</w:t>
            </w:r>
          </w:p>
        </w:tc>
      </w:tr>
    </w:tbl>
    <w:p>
      <w:pPr>
        <w:spacing w:after="0" w:line="312" w:lineRule="exact"/>
        <w:jc w:val="both"/>
        <w:rPr>
          <w:sz w:val="21"/>
        </w:rPr>
        <w:sectPr>
          <w:pgSz w:w="11910" w:h="16840"/>
          <w:pgMar w:header="0" w:footer="912" w:top="158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876"/>
        <w:gridCol w:w="6731"/>
      </w:tblGrid>
      <w:tr>
        <w:trPr>
          <w:trHeight w:val="1042" w:hRule="atLeast"/>
        </w:trPr>
        <w:tc>
          <w:tcPr>
            <w:tcW w:w="753"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1" w:type="dxa"/>
          </w:tcPr>
          <w:p>
            <w:pPr>
              <w:pStyle w:val="TableParagraph"/>
              <w:spacing w:line="202" w:lineRule="exact" w:before="0"/>
              <w:ind w:left="590"/>
              <w:rPr>
                <w:sz w:val="21"/>
              </w:rPr>
            </w:pPr>
            <w:r>
              <w:rPr>
                <w:sz w:val="21"/>
              </w:rPr>
              <w:t>故，在给付保险金时按实付保险费和应付保险费的比例给付。</w:t>
            </w:r>
          </w:p>
          <w:p>
            <w:pPr>
              <w:pStyle w:val="TableParagraph"/>
              <w:spacing w:line="273" w:lineRule="auto" w:before="37"/>
              <w:ind w:right="103"/>
              <w:rPr>
                <w:sz w:val="21"/>
              </w:rPr>
            </w:pPr>
            <w:r>
              <w:rPr>
                <w:spacing w:val="-17"/>
                <w:sz w:val="21"/>
              </w:rPr>
              <w:t>（3）</w:t>
            </w:r>
            <w:r>
              <w:rPr>
                <w:spacing w:val="-6"/>
                <w:sz w:val="21"/>
              </w:rPr>
              <w:t>您申报的被保险人年龄或性别不真实，致使您实付保险费多于应付</w:t>
            </w:r>
            <w:r>
              <w:rPr>
                <w:spacing w:val="-4"/>
                <w:sz w:val="21"/>
              </w:rPr>
              <w:t>保险费的，我们会将多收的保险费退还给您。</w:t>
            </w:r>
          </w:p>
        </w:tc>
      </w:tr>
      <w:tr>
        <w:trPr>
          <w:trHeight w:val="1584" w:hRule="atLeast"/>
        </w:trPr>
        <w:tc>
          <w:tcPr>
            <w:tcW w:w="753" w:type="dxa"/>
          </w:tcPr>
          <w:p>
            <w:pPr>
              <w:pStyle w:val="TableParagraph"/>
              <w:ind w:left="108"/>
              <w:rPr>
                <w:b/>
                <w:sz w:val="21"/>
              </w:rPr>
            </w:pPr>
            <w:r>
              <w:rPr>
                <w:b/>
                <w:sz w:val="21"/>
              </w:rPr>
              <w:t>5.4</w:t>
            </w:r>
          </w:p>
        </w:tc>
        <w:tc>
          <w:tcPr>
            <w:tcW w:w="1876" w:type="dxa"/>
          </w:tcPr>
          <w:p>
            <w:pPr>
              <w:pStyle w:val="TableParagraph"/>
              <w:ind w:left="286"/>
              <w:rPr>
                <w:b/>
                <w:sz w:val="21"/>
              </w:rPr>
            </w:pPr>
            <w:r>
              <w:rPr>
                <w:b/>
                <w:sz w:val="21"/>
              </w:rPr>
              <w:t>未还款项</w:t>
            </w:r>
          </w:p>
        </w:tc>
        <w:tc>
          <w:tcPr>
            <w:tcW w:w="6731" w:type="dxa"/>
          </w:tcPr>
          <w:p>
            <w:pPr>
              <w:pStyle w:val="TableParagraph"/>
              <w:spacing w:line="273" w:lineRule="auto"/>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3"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7"/>
              <w:ind w:left="0"/>
              <w:rPr>
                <w:rFonts w:ascii="Times New Roman"/>
                <w:sz w:val="20"/>
              </w:rPr>
            </w:pPr>
          </w:p>
          <w:p>
            <w:pPr>
              <w:pStyle w:val="TableParagraph"/>
              <w:spacing w:before="0"/>
              <w:ind w:left="286"/>
              <w:rPr>
                <w:b/>
                <w:sz w:val="24"/>
              </w:rPr>
            </w:pPr>
            <w:r>
              <w:rPr>
                <w:b/>
                <w:sz w:val="24"/>
              </w:rPr>
              <w:t>释义</w:t>
            </w:r>
          </w:p>
        </w:tc>
        <w:tc>
          <w:tcPr>
            <w:tcW w:w="6731" w:type="dxa"/>
            <w:tcBorders>
              <w:bottom w:val="single" w:sz="4" w:space="0" w:color="000000"/>
            </w:tcBorders>
          </w:tcPr>
          <w:p>
            <w:pPr>
              <w:pStyle w:val="TableParagraph"/>
              <w:spacing w:before="0"/>
              <w:ind w:left="0"/>
              <w:rPr>
                <w:rFonts w:ascii="Times New Roman"/>
                <w:sz w:val="20"/>
              </w:rPr>
            </w:pPr>
          </w:p>
        </w:tc>
      </w:tr>
      <w:tr>
        <w:trPr>
          <w:trHeight w:val="1093" w:hRule="atLeast"/>
        </w:trPr>
        <w:tc>
          <w:tcPr>
            <w:tcW w:w="753" w:type="dxa"/>
            <w:tcBorders>
              <w:top w:val="single" w:sz="4" w:space="0" w:color="000000"/>
            </w:tcBorders>
          </w:tcPr>
          <w:p>
            <w:pPr>
              <w:pStyle w:val="TableParagraph"/>
              <w:spacing w:before="3"/>
              <w:ind w:left="0"/>
              <w:rPr>
                <w:rFonts w:ascii="Times New Roman"/>
                <w:sz w:val="25"/>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3"/>
              <w:ind w:left="0"/>
              <w:rPr>
                <w:rFonts w:ascii="Times New Roman"/>
                <w:sz w:val="25"/>
              </w:rPr>
            </w:pPr>
          </w:p>
          <w:p>
            <w:pPr>
              <w:pStyle w:val="TableParagraph"/>
              <w:spacing w:before="0"/>
              <w:ind w:left="286"/>
              <w:rPr>
                <w:b/>
                <w:sz w:val="21"/>
              </w:rPr>
            </w:pPr>
            <w:r>
              <w:rPr>
                <w:b/>
                <w:sz w:val="21"/>
              </w:rPr>
              <w:t>周岁</w:t>
            </w:r>
          </w:p>
        </w:tc>
        <w:tc>
          <w:tcPr>
            <w:tcW w:w="6731" w:type="dxa"/>
            <w:tcBorders>
              <w:top w:val="single" w:sz="4" w:space="0" w:color="000000"/>
            </w:tcBorders>
          </w:tcPr>
          <w:p>
            <w:pPr>
              <w:pStyle w:val="TableParagraph"/>
              <w:spacing w:before="3"/>
              <w:ind w:left="0"/>
              <w:rPr>
                <w:rFonts w:ascii="Times New Roman"/>
                <w:sz w:val="25"/>
              </w:rPr>
            </w:pPr>
          </w:p>
          <w:p>
            <w:pPr>
              <w:pStyle w:val="TableParagraph"/>
              <w:spacing w:line="273" w:lineRule="auto" w:before="0"/>
              <w:ind w:right="113"/>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3" w:type="dxa"/>
          </w:tcPr>
          <w:p>
            <w:pPr>
              <w:pStyle w:val="TableParagraph"/>
              <w:ind w:left="108"/>
              <w:rPr>
                <w:b/>
                <w:sz w:val="21"/>
              </w:rPr>
            </w:pPr>
            <w:r>
              <w:rPr>
                <w:b/>
                <w:sz w:val="21"/>
              </w:rPr>
              <w:t>6.2</w:t>
            </w:r>
          </w:p>
        </w:tc>
        <w:tc>
          <w:tcPr>
            <w:tcW w:w="1876" w:type="dxa"/>
          </w:tcPr>
          <w:p>
            <w:pPr>
              <w:pStyle w:val="TableParagraph"/>
              <w:ind w:left="286"/>
              <w:rPr>
                <w:b/>
                <w:sz w:val="21"/>
              </w:rPr>
            </w:pPr>
            <w:r>
              <w:rPr>
                <w:b/>
                <w:sz w:val="21"/>
              </w:rPr>
              <w:t>有效身份证件</w:t>
            </w:r>
          </w:p>
        </w:tc>
        <w:tc>
          <w:tcPr>
            <w:tcW w:w="6731" w:type="dxa"/>
          </w:tcPr>
          <w:p>
            <w:pPr>
              <w:pStyle w:val="TableParagraph"/>
              <w:spacing w:line="273" w:lineRule="auto"/>
              <w:ind w:right="113"/>
              <w:rPr>
                <w:sz w:val="21"/>
              </w:rPr>
            </w:pPr>
            <w:r>
              <w:rPr>
                <w:sz w:val="21"/>
              </w:rPr>
              <w:t>指由政府主管部门规定的证明其身份的证件，如：居民身份证、按规定可使用的有效护照、军官证、警官证、士兵证等证件。</w:t>
            </w:r>
          </w:p>
        </w:tc>
      </w:tr>
      <w:tr>
        <w:trPr>
          <w:trHeight w:val="935" w:hRule="atLeast"/>
        </w:trPr>
        <w:tc>
          <w:tcPr>
            <w:tcW w:w="753" w:type="dxa"/>
          </w:tcPr>
          <w:p>
            <w:pPr>
              <w:pStyle w:val="TableParagraph"/>
              <w:ind w:left="108"/>
              <w:rPr>
                <w:b/>
                <w:sz w:val="21"/>
              </w:rPr>
            </w:pPr>
            <w:r>
              <w:rPr>
                <w:b/>
                <w:sz w:val="21"/>
              </w:rPr>
              <w:t>6.3</w:t>
            </w:r>
          </w:p>
        </w:tc>
        <w:tc>
          <w:tcPr>
            <w:tcW w:w="1876" w:type="dxa"/>
          </w:tcPr>
          <w:p>
            <w:pPr>
              <w:pStyle w:val="TableParagraph"/>
              <w:ind w:left="286"/>
              <w:rPr>
                <w:b/>
                <w:sz w:val="21"/>
              </w:rPr>
            </w:pPr>
            <w:r>
              <w:rPr>
                <w:b/>
                <w:sz w:val="21"/>
              </w:rPr>
              <w:t>现金价值</w:t>
            </w:r>
          </w:p>
        </w:tc>
        <w:tc>
          <w:tcPr>
            <w:tcW w:w="6731" w:type="dxa"/>
          </w:tcPr>
          <w:p>
            <w:pPr>
              <w:pStyle w:val="TableParagraph"/>
              <w:spacing w:line="273" w:lineRule="auto"/>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624" w:hRule="atLeast"/>
        </w:trPr>
        <w:tc>
          <w:tcPr>
            <w:tcW w:w="753" w:type="dxa"/>
          </w:tcPr>
          <w:p>
            <w:pPr>
              <w:pStyle w:val="TableParagraph"/>
              <w:ind w:left="108"/>
              <w:rPr>
                <w:b/>
                <w:sz w:val="21"/>
              </w:rPr>
            </w:pPr>
            <w:r>
              <w:rPr>
                <w:b/>
                <w:sz w:val="21"/>
              </w:rPr>
              <w:t>6.4</w:t>
            </w:r>
          </w:p>
        </w:tc>
        <w:tc>
          <w:tcPr>
            <w:tcW w:w="1876" w:type="dxa"/>
          </w:tcPr>
          <w:p>
            <w:pPr>
              <w:pStyle w:val="TableParagraph"/>
              <w:ind w:left="286"/>
              <w:rPr>
                <w:b/>
                <w:sz w:val="21"/>
              </w:rPr>
            </w:pPr>
            <w:r>
              <w:rPr>
                <w:b/>
                <w:sz w:val="21"/>
              </w:rPr>
              <w:t>重大疾病</w:t>
            </w:r>
          </w:p>
        </w:tc>
        <w:tc>
          <w:tcPr>
            <w:tcW w:w="6731" w:type="dxa"/>
          </w:tcPr>
          <w:p>
            <w:pPr>
              <w:pStyle w:val="TableParagraph"/>
              <w:rPr>
                <w:sz w:val="21"/>
              </w:rPr>
            </w:pPr>
            <w:r>
              <w:rPr>
                <w:sz w:val="21"/>
              </w:rPr>
              <w:t>指符合以下疾病定义所述条件的疾病，应当由专科医生明确诊断：</w:t>
            </w:r>
          </w:p>
        </w:tc>
      </w:tr>
      <w:tr>
        <w:trPr>
          <w:trHeight w:val="3694" w:hRule="atLeast"/>
        </w:trPr>
        <w:tc>
          <w:tcPr>
            <w:tcW w:w="753" w:type="dxa"/>
          </w:tcPr>
          <w:p>
            <w:pPr>
              <w:pStyle w:val="TableParagraph"/>
              <w:spacing w:before="0"/>
              <w:ind w:left="0"/>
              <w:rPr>
                <w:rFonts w:ascii="Times New Roman"/>
                <w:sz w:val="20"/>
              </w:rPr>
            </w:pPr>
          </w:p>
        </w:tc>
        <w:tc>
          <w:tcPr>
            <w:tcW w:w="1876" w:type="dxa"/>
          </w:tcPr>
          <w:p>
            <w:pPr>
              <w:pStyle w:val="TableParagraph"/>
              <w:ind w:left="286"/>
              <w:rPr>
                <w:sz w:val="21"/>
              </w:rPr>
            </w:pPr>
            <w:r>
              <w:rPr>
                <w:sz w:val="21"/>
              </w:rPr>
              <w:t>(一) 恶性肿瘤</w:t>
            </w:r>
          </w:p>
          <w:p>
            <w:pPr>
              <w:pStyle w:val="TableParagraph"/>
              <w:spacing w:line="273" w:lineRule="auto" w:before="37"/>
              <w:ind w:left="286" w:right="113"/>
              <w:rPr>
                <w:sz w:val="21"/>
              </w:rPr>
            </w:pPr>
            <w:r>
              <w:rPr>
                <w:sz w:val="21"/>
              </w:rPr>
              <w:t>－“中国保险行业协会推荐”</w:t>
            </w:r>
          </w:p>
        </w:tc>
        <w:tc>
          <w:tcPr>
            <w:tcW w:w="6731" w:type="dxa"/>
          </w:tcPr>
          <w:p>
            <w:pPr>
              <w:pStyle w:val="TableParagraph"/>
              <w:spacing w:line="273" w:lineRule="auto"/>
              <w:ind w:right="113"/>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spacing w:before="36"/>
              <w:jc w:val="both"/>
              <w:rPr>
                <w:sz w:val="21"/>
              </w:rPr>
            </w:pPr>
            <w:r>
              <w:rPr>
                <w:sz w:val="21"/>
              </w:rPr>
              <w:t>（1）原位癌；</w:t>
            </w:r>
          </w:p>
          <w:p>
            <w:pPr>
              <w:pStyle w:val="TableParagraph"/>
              <w:spacing w:before="36"/>
              <w:jc w:val="both"/>
              <w:rPr>
                <w:sz w:val="21"/>
              </w:rPr>
            </w:pPr>
            <w:r>
              <w:rPr>
                <w:sz w:val="21"/>
              </w:rPr>
              <w:t>（2）相当于Binet分期方案A期程度的慢性淋巴细胞白血病；</w:t>
            </w:r>
          </w:p>
          <w:p>
            <w:pPr>
              <w:pStyle w:val="TableParagraph"/>
              <w:spacing w:before="36"/>
              <w:jc w:val="both"/>
              <w:rPr>
                <w:sz w:val="21"/>
              </w:rPr>
            </w:pPr>
            <w:r>
              <w:rPr>
                <w:sz w:val="21"/>
              </w:rPr>
              <w:t>（3）相当于Ann Arbor分期方案I期程度的何杰金氏病；</w:t>
            </w:r>
          </w:p>
          <w:p>
            <w:pPr>
              <w:pStyle w:val="TableParagraph"/>
              <w:spacing w:line="273" w:lineRule="exact" w:before="15"/>
              <w:jc w:val="both"/>
              <w:rPr>
                <w:sz w:val="21"/>
              </w:rPr>
            </w:pPr>
            <w:r>
              <w:rPr>
                <w:sz w:val="21"/>
              </w:rPr>
              <w:t>（4）皮肤癌（不包括恶性黑色素瘤及已发生转移的皮肤癌）；</w:t>
            </w:r>
          </w:p>
          <w:p>
            <w:pPr>
              <w:pStyle w:val="TableParagraph"/>
              <w:spacing w:line="229" w:lineRule="exact" w:before="0"/>
              <w:jc w:val="both"/>
              <w:rPr>
                <w:sz w:val="21"/>
              </w:rPr>
            </w:pPr>
            <w:r>
              <w:rPr>
                <w:sz w:val="21"/>
              </w:rPr>
              <w:t>（5）TNM 分期为 T N M 期或更轻分期的前列腺癌；</w:t>
            </w:r>
          </w:p>
          <w:p>
            <w:pPr>
              <w:pStyle w:val="TableParagraph"/>
              <w:spacing w:line="100" w:lineRule="exact" w:before="0"/>
              <w:ind w:left="1780"/>
              <w:rPr>
                <w:sz w:val="11"/>
              </w:rPr>
            </w:pPr>
            <w:r>
              <w:rPr>
                <w:sz w:val="11"/>
              </w:rPr>
              <w:t>1  0 0</w:t>
            </w:r>
          </w:p>
          <w:p>
            <w:pPr>
              <w:pStyle w:val="TableParagraph"/>
              <w:spacing w:before="3"/>
              <w:jc w:val="both"/>
              <w:rPr>
                <w:sz w:val="21"/>
              </w:rPr>
            </w:pPr>
            <w:r>
              <w:rPr>
                <w:sz w:val="21"/>
              </w:rPr>
              <w:t>（6）感染艾滋病病毒或患艾滋病期间所患恶性肿瘤。</w:t>
            </w:r>
          </w:p>
        </w:tc>
      </w:tr>
      <w:tr>
        <w:trPr>
          <w:trHeight w:val="2798" w:hRule="atLeast"/>
        </w:trPr>
        <w:tc>
          <w:tcPr>
            <w:tcW w:w="753" w:type="dxa"/>
          </w:tcPr>
          <w:p>
            <w:pPr>
              <w:pStyle w:val="TableParagraph"/>
              <w:spacing w:before="0"/>
              <w:ind w:left="0"/>
              <w:rPr>
                <w:rFonts w:ascii="Times New Roman"/>
                <w:sz w:val="20"/>
              </w:rPr>
            </w:pPr>
          </w:p>
        </w:tc>
        <w:tc>
          <w:tcPr>
            <w:tcW w:w="1876" w:type="dxa"/>
          </w:tcPr>
          <w:p>
            <w:pPr>
              <w:pStyle w:val="TableParagraph"/>
              <w:spacing w:line="273" w:lineRule="auto" w:before="124"/>
              <w:ind w:left="286" w:right="98"/>
              <w:jc w:val="both"/>
              <w:rPr>
                <w:sz w:val="21"/>
              </w:rPr>
            </w:pPr>
            <w:r>
              <w:rPr>
                <w:spacing w:val="13"/>
                <w:sz w:val="21"/>
              </w:rPr>
              <w:t>(二) 急性心肌</w:t>
            </w:r>
            <w:r>
              <w:rPr>
                <w:spacing w:val="-1"/>
                <w:sz w:val="21"/>
              </w:rPr>
              <w:t>梗塞－“中国保</w:t>
            </w:r>
            <w:r>
              <w:rPr>
                <w:spacing w:val="-32"/>
                <w:sz w:val="21"/>
              </w:rPr>
              <w:t>险 行 业 协 会 推荐”</w:t>
            </w:r>
          </w:p>
        </w:tc>
        <w:tc>
          <w:tcPr>
            <w:tcW w:w="6731" w:type="dxa"/>
          </w:tcPr>
          <w:p>
            <w:pPr>
              <w:pStyle w:val="TableParagraph"/>
              <w:spacing w:line="273" w:lineRule="auto" w:before="124"/>
              <w:ind w:right="106"/>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5" w:right="104" w:hanging="548"/>
              <w:rPr>
                <w:sz w:val="21"/>
              </w:rPr>
            </w:pPr>
            <w:r>
              <w:rPr>
                <w:spacing w:val="-17"/>
                <w:sz w:val="21"/>
              </w:rPr>
              <w:t>（3）</w:t>
            </w:r>
            <w:r>
              <w:rPr>
                <w:spacing w:val="-6"/>
                <w:sz w:val="21"/>
              </w:rPr>
              <w:t>心肌酶或肌钙蛋白有诊断意义的升高，或呈符合急性心肌梗塞的动</w:t>
            </w:r>
            <w:r>
              <w:rPr>
                <w:spacing w:val="-4"/>
                <w:sz w:val="21"/>
              </w:rPr>
              <w:t>态性变化；</w:t>
            </w:r>
          </w:p>
          <w:p>
            <w:pPr>
              <w:pStyle w:val="TableParagraph"/>
              <w:spacing w:before="7"/>
              <w:rPr>
                <w:sz w:val="21"/>
              </w:rPr>
            </w:pPr>
            <w:r>
              <w:rPr>
                <w:sz w:val="21"/>
              </w:rPr>
              <w:t>（4）发病90天后，经检查证实左心室功能降低，如左心室射血分数低于</w:t>
            </w:r>
          </w:p>
          <w:p>
            <w:pPr>
              <w:pStyle w:val="TableParagraph"/>
              <w:spacing w:before="36"/>
              <w:ind w:left="645"/>
              <w:rPr>
                <w:sz w:val="21"/>
              </w:rPr>
            </w:pPr>
            <w:r>
              <w:rPr>
                <w:sz w:val="21"/>
              </w:rPr>
              <w:t>50%。</w:t>
            </w:r>
          </w:p>
        </w:tc>
      </w:tr>
      <w:tr>
        <w:trPr>
          <w:trHeight w:val="417" w:hRule="atLeast"/>
        </w:trPr>
        <w:tc>
          <w:tcPr>
            <w:tcW w:w="753" w:type="dxa"/>
          </w:tcPr>
          <w:p>
            <w:pPr>
              <w:pStyle w:val="TableParagraph"/>
              <w:spacing w:before="0"/>
              <w:ind w:left="0"/>
              <w:rPr>
                <w:rFonts w:ascii="Times New Roman"/>
                <w:sz w:val="20"/>
              </w:rPr>
            </w:pPr>
          </w:p>
        </w:tc>
        <w:tc>
          <w:tcPr>
            <w:tcW w:w="1876" w:type="dxa"/>
          </w:tcPr>
          <w:p>
            <w:pPr>
              <w:pStyle w:val="TableParagraph"/>
              <w:spacing w:line="264" w:lineRule="exact"/>
              <w:ind w:left="286"/>
              <w:rPr>
                <w:sz w:val="21"/>
              </w:rPr>
            </w:pPr>
            <w:r>
              <w:rPr>
                <w:sz w:val="21"/>
              </w:rPr>
              <w:t>(三) 脑中风后</w:t>
            </w:r>
          </w:p>
        </w:tc>
        <w:tc>
          <w:tcPr>
            <w:tcW w:w="6731" w:type="dxa"/>
          </w:tcPr>
          <w:p>
            <w:pPr>
              <w:pStyle w:val="TableParagraph"/>
              <w:spacing w:line="264" w:lineRule="exact"/>
              <w:rPr>
                <w:sz w:val="21"/>
              </w:rPr>
            </w:pPr>
            <w:r>
              <w:rPr>
                <w:sz w:val="21"/>
              </w:rPr>
              <w:t>指因脑血管的突发病变引起脑血管出血、栓塞或梗塞，并导致神经系统</w:t>
            </w:r>
          </w:p>
        </w:tc>
      </w:tr>
    </w:tbl>
    <w:p>
      <w:pPr>
        <w:spacing w:after="0" w:line="264" w:lineRule="exact"/>
        <w:rPr>
          <w:sz w:val="21"/>
        </w:rPr>
        <w:sectPr>
          <w:pgSz w:w="11910" w:h="16840"/>
          <w:pgMar w:header="0" w:footer="912" w:top="1460" w:bottom="1100" w:left="1080" w:right="12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931"/>
      </w:tblGrid>
      <w:tr>
        <w:trPr>
          <w:trHeight w:val="1977" w:hRule="atLeast"/>
        </w:trPr>
        <w:tc>
          <w:tcPr>
            <w:tcW w:w="1789" w:type="dxa"/>
          </w:tcPr>
          <w:p>
            <w:pPr>
              <w:pStyle w:val="TableParagraph"/>
              <w:spacing w:line="202" w:lineRule="exact" w:before="0"/>
              <w:ind w:left="200"/>
              <w:rPr>
                <w:sz w:val="21"/>
              </w:rPr>
            </w:pPr>
            <w:r>
              <w:rPr>
                <w:sz w:val="21"/>
              </w:rPr>
              <w:t>遗症－“中国保</w:t>
            </w:r>
          </w:p>
          <w:p>
            <w:pPr>
              <w:pStyle w:val="TableParagraph"/>
              <w:spacing w:line="273" w:lineRule="auto" w:before="37"/>
              <w:ind w:left="200" w:right="114"/>
              <w:rPr>
                <w:sz w:val="21"/>
              </w:rPr>
            </w:pPr>
            <w:r>
              <w:rPr>
                <w:spacing w:val="-32"/>
                <w:sz w:val="21"/>
              </w:rPr>
              <w:t>险 行 业 协 会 推荐”</w:t>
            </w:r>
          </w:p>
        </w:tc>
        <w:tc>
          <w:tcPr>
            <w:tcW w:w="6931" w:type="dxa"/>
          </w:tcPr>
          <w:p>
            <w:pPr>
              <w:pStyle w:val="TableParagraph"/>
              <w:spacing w:line="202" w:lineRule="exact" w:before="0"/>
              <w:rPr>
                <w:sz w:val="21"/>
              </w:rPr>
            </w:pPr>
            <w:r>
              <w:rPr>
                <w:sz w:val="21"/>
              </w:rPr>
              <w:t>永久性的功能障碍。神经系统永久性的功能障碍，指疾病确诊180天后，</w:t>
            </w:r>
          </w:p>
          <w:p>
            <w:pPr>
              <w:pStyle w:val="TableParagraph"/>
              <w:spacing w:before="37"/>
              <w:rPr>
                <w:sz w:val="21"/>
              </w:rPr>
            </w:pPr>
            <w:r>
              <w:rPr>
                <w:sz w:val="21"/>
              </w:rPr>
              <w:t>仍遗留下列一种或一种以上障碍：</w:t>
            </w:r>
          </w:p>
          <w:p>
            <w:pPr>
              <w:pStyle w:val="TableParagraph"/>
              <w:spacing w:before="36"/>
              <w:rPr>
                <w:sz w:val="21"/>
              </w:rPr>
            </w:pPr>
            <w:r>
              <w:rPr>
                <w:sz w:val="21"/>
              </w:rPr>
              <w:t>（1）一肢或一肢以上</w:t>
            </w:r>
            <w:r>
              <w:rPr>
                <w:b/>
                <w:sz w:val="21"/>
              </w:rPr>
              <w:t>肢体机能完全丧失</w:t>
            </w:r>
            <w:r>
              <w:rPr>
                <w:sz w:val="21"/>
              </w:rPr>
              <w:t>（见释义6.14）；</w:t>
            </w:r>
          </w:p>
          <w:p>
            <w:pPr>
              <w:pStyle w:val="TableParagraph"/>
              <w:spacing w:before="36"/>
              <w:rPr>
                <w:sz w:val="21"/>
              </w:rPr>
            </w:pPr>
            <w:r>
              <w:rPr>
                <w:sz w:val="21"/>
              </w:rPr>
              <w:t>（2）</w:t>
            </w:r>
            <w:r>
              <w:rPr>
                <w:b/>
                <w:sz w:val="21"/>
              </w:rPr>
              <w:t>语言能力或咀嚼吞咽能力完全丧失</w:t>
            </w:r>
            <w:r>
              <w:rPr>
                <w:sz w:val="21"/>
              </w:rPr>
              <w:t>（见释义6.15）；</w:t>
            </w:r>
          </w:p>
          <w:p>
            <w:pPr>
              <w:pStyle w:val="TableParagraph"/>
              <w:spacing w:line="256" w:lineRule="auto" w:before="36"/>
              <w:ind w:left="624" w:right="307"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w:t>
            </w:r>
            <w:r>
              <w:rPr>
                <w:b/>
                <w:spacing w:val="-4"/>
                <w:sz w:val="21"/>
              </w:rPr>
              <w:t>六项基本日常生活活动</w:t>
            </w:r>
            <w:r>
              <w:rPr>
                <w:spacing w:val="-3"/>
                <w:sz w:val="21"/>
              </w:rPr>
              <w:t>（见</w:t>
            </w:r>
            <w:r>
              <w:rPr>
                <w:spacing w:val="-14"/>
                <w:sz w:val="21"/>
              </w:rPr>
              <w:t>释义 </w:t>
            </w:r>
            <w:r>
              <w:rPr>
                <w:sz w:val="21"/>
              </w:rPr>
              <w:t>6.16）</w:t>
            </w:r>
            <w:r>
              <w:rPr>
                <w:spacing w:val="-3"/>
                <w:sz w:val="21"/>
              </w:rPr>
              <w:t>中的三项或三项以上。</w:t>
            </w:r>
          </w:p>
        </w:tc>
      </w:tr>
      <w:tr>
        <w:trPr>
          <w:trHeight w:val="1872" w:hRule="atLeast"/>
        </w:trPr>
        <w:tc>
          <w:tcPr>
            <w:tcW w:w="1789" w:type="dxa"/>
          </w:tcPr>
          <w:p>
            <w:pPr>
              <w:pStyle w:val="TableParagraph"/>
              <w:spacing w:line="273" w:lineRule="auto"/>
              <w:ind w:left="200" w:right="96"/>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8"/>
              <w:ind w:left="200" w:right="113"/>
              <w:jc w:val="both"/>
              <w:rPr>
                <w:sz w:val="21"/>
              </w:rPr>
            </w:pPr>
            <w:r>
              <w:rPr>
                <w:sz w:val="21"/>
              </w:rPr>
              <w:t>“中国保险行业协会推荐”</w:t>
            </w:r>
          </w:p>
        </w:tc>
        <w:tc>
          <w:tcPr>
            <w:tcW w:w="6931" w:type="dxa"/>
          </w:tcPr>
          <w:p>
            <w:pPr>
              <w:pStyle w:val="TableParagraph"/>
              <w:spacing w:line="273" w:lineRule="auto"/>
              <w:ind w:right="313"/>
              <w:jc w:val="both"/>
              <w:rPr>
                <w:sz w:val="21"/>
              </w:rPr>
            </w:pPr>
            <w:r>
              <w:rPr>
                <w:sz w:val="21"/>
              </w:rPr>
              <w:t>重大器官移植术，指因相应器官功能衰竭，已经实施了肾脏、肝脏、心脏或肺脏的异体移植手术。</w:t>
            </w:r>
          </w:p>
          <w:p>
            <w:pPr>
              <w:pStyle w:val="TableParagraph"/>
              <w:spacing w:line="273" w:lineRule="auto" w:before="8"/>
              <w:ind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89" w:type="dxa"/>
          </w:tcPr>
          <w:p>
            <w:pPr>
              <w:pStyle w:val="TableParagraph"/>
              <w:spacing w:line="273" w:lineRule="auto"/>
              <w:ind w:left="200" w:right="96"/>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31" w:type="dxa"/>
          </w:tcPr>
          <w:p>
            <w:pPr>
              <w:pStyle w:val="TableParagraph"/>
              <w:spacing w:line="273" w:lineRule="auto"/>
              <w:ind w:right="306"/>
              <w:rPr>
                <w:sz w:val="21"/>
              </w:rPr>
            </w:pPr>
            <w:r>
              <w:rPr>
                <w:sz w:val="21"/>
              </w:rPr>
              <w:t>指为治疗严重的冠心病，实际实施了开胸进行的冠状动脉血管旁路移植的手术。</w:t>
            </w:r>
          </w:p>
          <w:p>
            <w:pPr>
              <w:pStyle w:val="TableParagraph"/>
              <w:spacing w:line="273" w:lineRule="auto" w:before="7"/>
              <w:ind w:right="306"/>
              <w:rPr>
                <w:sz w:val="21"/>
              </w:rPr>
            </w:pPr>
            <w:r>
              <w:rPr>
                <w:sz w:val="21"/>
              </w:rPr>
              <w:t>冠状动脉支架植入术、心导管球囊扩张术、激光射频技术及其他非开胸的介入手术、腔镜手术不在保障范围内。</w:t>
            </w:r>
          </w:p>
        </w:tc>
      </w:tr>
      <w:tr>
        <w:trPr>
          <w:trHeight w:val="2184" w:hRule="atLeast"/>
        </w:trPr>
        <w:tc>
          <w:tcPr>
            <w:tcW w:w="1789" w:type="dxa"/>
          </w:tcPr>
          <w:p>
            <w:pPr>
              <w:pStyle w:val="TableParagraph"/>
              <w:spacing w:line="273" w:lineRule="auto"/>
              <w:ind w:left="200" w:right="96"/>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31" w:type="dxa"/>
          </w:tcPr>
          <w:p>
            <w:pPr>
              <w:pStyle w:val="TableParagraph"/>
              <w:spacing w:line="273" w:lineRule="auto"/>
              <w:ind w:right="306"/>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789" w:type="dxa"/>
          </w:tcPr>
          <w:p>
            <w:pPr>
              <w:pStyle w:val="TableParagraph"/>
              <w:spacing w:line="273" w:lineRule="auto"/>
              <w:ind w:left="200" w:right="96"/>
              <w:jc w:val="both"/>
              <w:rPr>
                <w:sz w:val="21"/>
              </w:rPr>
            </w:pPr>
            <w:r>
              <w:rPr>
                <w:spacing w:val="13"/>
                <w:sz w:val="21"/>
              </w:rPr>
              <w:t>(七) 多个肢体</w:t>
            </w:r>
            <w:r>
              <w:rPr>
                <w:spacing w:val="-1"/>
                <w:sz w:val="21"/>
              </w:rPr>
              <w:t>缺失－“中国保</w:t>
            </w:r>
            <w:r>
              <w:rPr>
                <w:spacing w:val="-32"/>
                <w:sz w:val="21"/>
              </w:rPr>
              <w:t>险 行 业 协 会 推荐”</w:t>
            </w:r>
          </w:p>
        </w:tc>
        <w:tc>
          <w:tcPr>
            <w:tcW w:w="6931" w:type="dxa"/>
          </w:tcPr>
          <w:p>
            <w:pPr>
              <w:pStyle w:val="TableParagraph"/>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192" w:hRule="atLeast"/>
        </w:trPr>
        <w:tc>
          <w:tcPr>
            <w:tcW w:w="1789" w:type="dxa"/>
          </w:tcPr>
          <w:p>
            <w:pPr>
              <w:pStyle w:val="TableParagraph"/>
              <w:spacing w:line="273" w:lineRule="auto"/>
              <w:ind w:left="200" w:right="96"/>
              <w:rPr>
                <w:sz w:val="21"/>
              </w:rPr>
            </w:pPr>
            <w:r>
              <w:rPr>
                <w:sz w:val="21"/>
              </w:rPr>
              <w:t>(八) 急性或亚急性重症肝炎－</w:t>
            </w:r>
          </w:p>
          <w:p>
            <w:pPr>
              <w:pStyle w:val="TableParagraph"/>
              <w:spacing w:line="273" w:lineRule="auto" w:before="8"/>
              <w:ind w:left="200" w:right="113"/>
              <w:rPr>
                <w:sz w:val="21"/>
              </w:rPr>
            </w:pPr>
            <w:r>
              <w:rPr>
                <w:sz w:val="21"/>
              </w:rPr>
              <w:t>“中国保险行业协会推荐”</w:t>
            </w:r>
          </w:p>
        </w:tc>
        <w:tc>
          <w:tcPr>
            <w:tcW w:w="6931" w:type="dxa"/>
          </w:tcPr>
          <w:p>
            <w:pPr>
              <w:pStyle w:val="TableParagraph"/>
              <w:spacing w:line="273" w:lineRule="auto"/>
              <w:ind w:right="306"/>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1657" w:hRule="atLeast"/>
        </w:trPr>
        <w:tc>
          <w:tcPr>
            <w:tcW w:w="1789" w:type="dxa"/>
          </w:tcPr>
          <w:p>
            <w:pPr>
              <w:pStyle w:val="TableParagraph"/>
              <w:spacing w:line="273" w:lineRule="auto" w:before="126"/>
              <w:ind w:left="200" w:right="96"/>
              <w:jc w:val="both"/>
              <w:rPr>
                <w:sz w:val="21"/>
              </w:rPr>
            </w:pPr>
            <w:r>
              <w:rPr>
                <w:sz w:val="21"/>
              </w:rPr>
              <w:t>(九) 良性脑肿瘤－“中国保险行业协会推荐”</w:t>
            </w:r>
          </w:p>
        </w:tc>
        <w:tc>
          <w:tcPr>
            <w:tcW w:w="6931" w:type="dxa"/>
          </w:tcPr>
          <w:p>
            <w:pPr>
              <w:pStyle w:val="TableParagraph"/>
              <w:spacing w:line="273" w:lineRule="auto" w:before="126"/>
              <w:ind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line="264" w:lineRule="exact" w:before="7"/>
              <w:rPr>
                <w:sz w:val="21"/>
              </w:rPr>
            </w:pPr>
            <w:r>
              <w:rPr>
                <w:sz w:val="21"/>
              </w:rPr>
              <w:t>（1）实际实施了开颅进行的脑肿瘤完全切除或部分切除的手术；</w:t>
            </w:r>
          </w:p>
        </w:tc>
      </w:tr>
    </w:tbl>
    <w:p>
      <w:pPr>
        <w:spacing w:after="0" w:line="264" w:lineRule="exact"/>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931"/>
      </w:tblGrid>
      <w:tr>
        <w:trPr>
          <w:trHeight w:val="730" w:hRule="atLeast"/>
        </w:trPr>
        <w:tc>
          <w:tcPr>
            <w:tcW w:w="1789" w:type="dxa"/>
          </w:tcPr>
          <w:p>
            <w:pPr>
              <w:pStyle w:val="TableParagraph"/>
              <w:spacing w:before="0"/>
              <w:ind w:left="0"/>
              <w:rPr>
                <w:rFonts w:ascii="Times New Roman"/>
                <w:sz w:val="20"/>
              </w:rPr>
            </w:pPr>
          </w:p>
        </w:tc>
        <w:tc>
          <w:tcPr>
            <w:tcW w:w="6931" w:type="dxa"/>
          </w:tcPr>
          <w:p>
            <w:pPr>
              <w:pStyle w:val="TableParagraph"/>
              <w:spacing w:line="202" w:lineRule="exact" w:before="0"/>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183" w:hRule="atLeast"/>
        </w:trPr>
        <w:tc>
          <w:tcPr>
            <w:tcW w:w="1789" w:type="dxa"/>
          </w:tcPr>
          <w:p>
            <w:pPr>
              <w:pStyle w:val="TableParagraph"/>
              <w:spacing w:line="273" w:lineRule="auto"/>
              <w:ind w:left="200" w:right="96"/>
              <w:rPr>
                <w:sz w:val="21"/>
              </w:rPr>
            </w:pPr>
            <w:r>
              <w:rPr>
                <w:sz w:val="21"/>
              </w:rPr>
              <w:t>(十) 慢性肝功能衰竭失代偿期</w:t>
            </w:r>
          </w:p>
          <w:p>
            <w:pPr>
              <w:pStyle w:val="TableParagraph"/>
              <w:spacing w:line="273" w:lineRule="auto" w:before="8"/>
              <w:ind w:left="200" w:right="113"/>
              <w:rPr>
                <w:sz w:val="21"/>
              </w:rPr>
            </w:pPr>
            <w:r>
              <w:rPr>
                <w:sz w:val="21"/>
              </w:rPr>
              <w:t>－“中国保险行业协会推荐”</w:t>
            </w:r>
          </w:p>
        </w:tc>
        <w:tc>
          <w:tcPr>
            <w:tcW w:w="6931" w:type="dxa"/>
          </w:tcPr>
          <w:p>
            <w:pPr>
              <w:pStyle w:val="TableParagraph"/>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681"/>
              <w:rPr>
                <w:sz w:val="21"/>
              </w:rPr>
            </w:pPr>
            <w:r>
              <w:rPr>
                <w:sz w:val="21"/>
              </w:rPr>
              <w:t>（4）充血性脾肿大伴脾功能亢进或食管胃底静脉曲张。因酗酒或药物滥用导致的肝功能衰竭不在保障范围内。</w:t>
            </w:r>
          </w:p>
        </w:tc>
      </w:tr>
      <w:tr>
        <w:trPr>
          <w:trHeight w:val="2184" w:hRule="atLeast"/>
        </w:trPr>
        <w:tc>
          <w:tcPr>
            <w:tcW w:w="1789" w:type="dxa"/>
          </w:tcPr>
          <w:p>
            <w:pPr>
              <w:pStyle w:val="TableParagraph"/>
              <w:spacing w:line="273" w:lineRule="auto"/>
              <w:ind w:left="200" w:right="96"/>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1" w:type="dxa"/>
          </w:tcPr>
          <w:p>
            <w:pPr>
              <w:pStyle w:val="TableParagraph"/>
              <w:spacing w:line="273" w:lineRule="auto"/>
              <w:ind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8"/>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56" w:lineRule="auto" w:before="36"/>
              <w:ind w:right="303"/>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r>
        <w:trPr>
          <w:trHeight w:val="1560" w:hRule="atLeast"/>
        </w:trPr>
        <w:tc>
          <w:tcPr>
            <w:tcW w:w="1789" w:type="dxa"/>
          </w:tcPr>
          <w:p>
            <w:pPr>
              <w:pStyle w:val="TableParagraph"/>
              <w:spacing w:line="273" w:lineRule="auto"/>
              <w:ind w:left="200" w:right="96"/>
              <w:jc w:val="both"/>
              <w:rPr>
                <w:sz w:val="21"/>
              </w:rPr>
            </w:pPr>
            <w:r>
              <w:rPr>
                <w:sz w:val="21"/>
              </w:rPr>
              <w:t>(十二) 深度昏迷－“中国保险行业协会推荐”</w:t>
            </w:r>
          </w:p>
        </w:tc>
        <w:tc>
          <w:tcPr>
            <w:tcW w:w="6931" w:type="dxa"/>
          </w:tcPr>
          <w:p>
            <w:pPr>
              <w:pStyle w:val="TableParagraph"/>
              <w:spacing w:line="273" w:lineRule="auto"/>
              <w:ind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8"/>
              <w:jc w:val="both"/>
              <w:rPr>
                <w:sz w:val="21"/>
              </w:rPr>
            </w:pPr>
            <w:r>
              <w:rPr>
                <w:sz w:val="21"/>
              </w:rPr>
              <w:t>因酗酒或药物滥用导致的深度昏迷不在保障范围内。</w:t>
            </w:r>
          </w:p>
        </w:tc>
      </w:tr>
      <w:tr>
        <w:trPr>
          <w:trHeight w:val="1248" w:hRule="atLeast"/>
        </w:trPr>
        <w:tc>
          <w:tcPr>
            <w:tcW w:w="1789" w:type="dxa"/>
          </w:tcPr>
          <w:p>
            <w:pPr>
              <w:pStyle w:val="TableParagraph"/>
              <w:spacing w:line="273" w:lineRule="auto"/>
              <w:ind w:left="200" w:right="96"/>
              <w:jc w:val="both"/>
              <w:rPr>
                <w:sz w:val="21"/>
              </w:rPr>
            </w:pPr>
            <w:r>
              <w:rPr>
                <w:sz w:val="21"/>
              </w:rPr>
              <w:t>(十三) 双耳失聪－“中国保险行业协会推荐”</w:t>
            </w:r>
          </w:p>
        </w:tc>
        <w:tc>
          <w:tcPr>
            <w:tcW w:w="6931" w:type="dxa"/>
          </w:tcPr>
          <w:p>
            <w:pPr>
              <w:pStyle w:val="TableParagraph"/>
              <w:spacing w:line="264" w:lineRule="auto"/>
              <w:ind w:right="197"/>
              <w:jc w:val="both"/>
              <w:rPr>
                <w:sz w:val="21"/>
              </w:rPr>
            </w:pPr>
            <w:r>
              <w:rPr>
                <w:spacing w:val="-3"/>
                <w:sz w:val="21"/>
              </w:rPr>
              <w:t>指因疾病或意外伤害导致双耳听力</w:t>
            </w:r>
            <w:r>
              <w:rPr>
                <w:b/>
                <w:sz w:val="21"/>
              </w:rPr>
              <w:t>永久不可逆</w:t>
            </w:r>
            <w:r>
              <w:rPr>
                <w:spacing w:val="-3"/>
                <w:sz w:val="21"/>
              </w:rPr>
              <w:t>（</w:t>
            </w:r>
            <w:r>
              <w:rPr>
                <w:spacing w:val="-12"/>
                <w:sz w:val="21"/>
              </w:rPr>
              <w:t>见释义 </w:t>
            </w:r>
            <w:r>
              <w:rPr>
                <w:sz w:val="21"/>
              </w:rPr>
              <w:t>6.17）</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2184" w:hRule="atLeast"/>
        </w:trPr>
        <w:tc>
          <w:tcPr>
            <w:tcW w:w="1789" w:type="dxa"/>
          </w:tcPr>
          <w:p>
            <w:pPr>
              <w:pStyle w:val="TableParagraph"/>
              <w:spacing w:line="273" w:lineRule="auto"/>
              <w:ind w:left="200" w:right="96"/>
              <w:jc w:val="both"/>
              <w:rPr>
                <w:sz w:val="21"/>
              </w:rPr>
            </w:pPr>
            <w:r>
              <w:rPr>
                <w:sz w:val="21"/>
              </w:rPr>
              <w:t>(十四) 双目失明－“中国保险行业协会推荐”</w:t>
            </w:r>
          </w:p>
        </w:tc>
        <w:tc>
          <w:tcPr>
            <w:tcW w:w="6931" w:type="dxa"/>
          </w:tcPr>
          <w:p>
            <w:pPr>
              <w:pStyle w:val="TableParagraph"/>
              <w:spacing w:line="273" w:lineRule="auto"/>
              <w:ind w:right="306"/>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24" w:right="303" w:hanging="526"/>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rPr>
                <w:sz w:val="21"/>
              </w:rPr>
            </w:pPr>
            <w:r>
              <w:rPr>
                <w:sz w:val="21"/>
              </w:rPr>
              <w:t>（3）视野半径小于 5 度。</w:t>
            </w:r>
          </w:p>
        </w:tc>
      </w:tr>
      <w:tr>
        <w:trPr>
          <w:trHeight w:val="1248" w:hRule="atLeast"/>
        </w:trPr>
        <w:tc>
          <w:tcPr>
            <w:tcW w:w="1789" w:type="dxa"/>
          </w:tcPr>
          <w:p>
            <w:pPr>
              <w:pStyle w:val="TableParagraph"/>
              <w:ind w:left="200"/>
              <w:rPr>
                <w:sz w:val="21"/>
              </w:rPr>
            </w:pPr>
            <w:r>
              <w:rPr>
                <w:sz w:val="21"/>
              </w:rPr>
              <w:t>(十五) 瘫痪－</w:t>
            </w:r>
          </w:p>
          <w:p>
            <w:pPr>
              <w:pStyle w:val="TableParagraph"/>
              <w:spacing w:line="273" w:lineRule="auto" w:before="38"/>
              <w:ind w:left="200" w:right="113"/>
              <w:rPr>
                <w:sz w:val="21"/>
              </w:rPr>
            </w:pPr>
            <w:r>
              <w:rPr>
                <w:sz w:val="21"/>
              </w:rPr>
              <w:t>“中国保险行业协会推荐”</w:t>
            </w:r>
          </w:p>
        </w:tc>
        <w:tc>
          <w:tcPr>
            <w:tcW w:w="6931" w:type="dxa"/>
          </w:tcPr>
          <w:p>
            <w:pPr>
              <w:pStyle w:val="TableParagraph"/>
              <w:spacing w:line="264" w:lineRule="auto"/>
              <w:ind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89" w:type="dxa"/>
          </w:tcPr>
          <w:p>
            <w:pPr>
              <w:pStyle w:val="TableParagraph"/>
              <w:spacing w:line="273" w:lineRule="auto"/>
              <w:ind w:left="200" w:right="96"/>
              <w:jc w:val="both"/>
              <w:rPr>
                <w:sz w:val="21"/>
              </w:rPr>
            </w:pPr>
            <w:r>
              <w:rPr>
                <w:sz w:val="21"/>
              </w:rPr>
              <w:t>(十六) 心脏瓣膜手术－“中国保险行业协会推荐”</w:t>
            </w:r>
          </w:p>
        </w:tc>
        <w:tc>
          <w:tcPr>
            <w:tcW w:w="6931" w:type="dxa"/>
          </w:tcPr>
          <w:p>
            <w:pPr>
              <w:pStyle w:val="TableParagraph"/>
              <w:spacing w:line="273" w:lineRule="auto"/>
              <w:ind w:right="306"/>
              <w:rPr>
                <w:sz w:val="21"/>
              </w:rPr>
            </w:pPr>
            <w:r>
              <w:rPr>
                <w:sz w:val="21"/>
              </w:rPr>
              <w:t>指为治疗心脏瓣膜疾病，实际实施了开胸进行的心脏瓣膜置换或修复的手术。</w:t>
            </w:r>
          </w:p>
        </w:tc>
      </w:tr>
      <w:tr>
        <w:trPr>
          <w:trHeight w:val="729" w:hRule="atLeast"/>
        </w:trPr>
        <w:tc>
          <w:tcPr>
            <w:tcW w:w="1789" w:type="dxa"/>
          </w:tcPr>
          <w:p>
            <w:pPr>
              <w:pStyle w:val="TableParagraph"/>
              <w:spacing w:line="310" w:lineRule="atLeast" w:before="98"/>
              <w:ind w:left="200" w:right="96"/>
              <w:rPr>
                <w:sz w:val="21"/>
              </w:rPr>
            </w:pPr>
            <w:r>
              <w:rPr>
                <w:spacing w:val="13"/>
                <w:sz w:val="21"/>
              </w:rPr>
              <w:t>(十七) 严重阿</w:t>
            </w:r>
            <w:r>
              <w:rPr>
                <w:spacing w:val="-32"/>
                <w:sz w:val="21"/>
              </w:rPr>
              <w:t>尔 茨 海 默 病 －</w:t>
            </w:r>
          </w:p>
        </w:tc>
        <w:tc>
          <w:tcPr>
            <w:tcW w:w="6931" w:type="dxa"/>
          </w:tcPr>
          <w:p>
            <w:pPr>
              <w:pStyle w:val="TableParagraph"/>
              <w:spacing w:line="310" w:lineRule="atLeast" w:before="98"/>
              <w:ind w:right="306"/>
              <w:rPr>
                <w:sz w:val="21"/>
              </w:rPr>
            </w:pPr>
            <w:r>
              <w:rPr>
                <w:sz w:val="21"/>
              </w:rPr>
              <w:t>指因大脑进行性、不可逆性改变导致智能严重衰退或丧失，临床表现为明显的认知能力障碍、行为异常和社交能力减退，其日常生活必须持续</w:t>
            </w:r>
          </w:p>
        </w:tc>
      </w:tr>
    </w:tbl>
    <w:p>
      <w:pPr>
        <w:spacing w:after="0" w:line="310" w:lineRule="atLeast"/>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5"/>
      </w:tblGrid>
      <w:tr>
        <w:trPr>
          <w:trHeight w:val="1354" w:hRule="atLeast"/>
        </w:trPr>
        <w:tc>
          <w:tcPr>
            <w:tcW w:w="1795" w:type="dxa"/>
          </w:tcPr>
          <w:p>
            <w:pPr>
              <w:pStyle w:val="TableParagraph"/>
              <w:spacing w:line="202" w:lineRule="exact" w:before="0"/>
              <w:ind w:left="200"/>
              <w:rPr>
                <w:sz w:val="21"/>
              </w:rPr>
            </w:pPr>
            <w:r>
              <w:rPr>
                <w:sz w:val="21"/>
              </w:rPr>
              <w:t>“中国保险行业</w:t>
            </w:r>
          </w:p>
          <w:p>
            <w:pPr>
              <w:pStyle w:val="TableParagraph"/>
              <w:spacing w:before="37"/>
              <w:ind w:left="200"/>
              <w:rPr>
                <w:sz w:val="21"/>
              </w:rPr>
            </w:pPr>
            <w:r>
              <w:rPr>
                <w:sz w:val="21"/>
              </w:rPr>
              <w:t>协会推荐”</w:t>
            </w:r>
          </w:p>
        </w:tc>
        <w:tc>
          <w:tcPr>
            <w:tcW w:w="6925" w:type="dxa"/>
          </w:tcPr>
          <w:p>
            <w:pPr>
              <w:pStyle w:val="TableParagraph"/>
              <w:spacing w:line="202" w:lineRule="exact" w:before="0"/>
              <w:ind w:left="92"/>
              <w:rPr>
                <w:sz w:val="21"/>
              </w:rPr>
            </w:pPr>
            <w:r>
              <w:rPr>
                <w:sz w:val="21"/>
              </w:rPr>
              <w:t>受到他人监护。须由头颅断层扫描（CT）、核磁共振检查（MRI）或正电</w:t>
            </w:r>
          </w:p>
          <w:p>
            <w:pPr>
              <w:pStyle w:val="TableParagraph"/>
              <w:spacing w:line="273" w:lineRule="auto" w:before="37"/>
              <w:ind w:left="92" w:right="210"/>
              <w:rPr>
                <w:sz w:val="21"/>
              </w:rPr>
            </w:pPr>
            <w:r>
              <w:rPr>
                <w:sz w:val="21"/>
              </w:rPr>
              <w:t>子发射断层扫描（PET）等影像学检查证实，且自主生活能力完全丧失， 无法独立完成六项基本日常生活活动中的三项或三项以上。</w:t>
            </w:r>
          </w:p>
          <w:p>
            <w:pPr>
              <w:pStyle w:val="TableParagraph"/>
              <w:spacing w:before="7"/>
              <w:ind w:left="92"/>
              <w:rPr>
                <w:sz w:val="21"/>
              </w:rPr>
            </w:pPr>
            <w:r>
              <w:rPr>
                <w:sz w:val="21"/>
              </w:rPr>
              <w:t>神经官能症和精神疾病不在保障范围内。</w:t>
            </w:r>
          </w:p>
        </w:tc>
      </w:tr>
      <w:tr>
        <w:trPr>
          <w:trHeight w:val="2808" w:hRule="atLeast"/>
        </w:trPr>
        <w:tc>
          <w:tcPr>
            <w:tcW w:w="1795" w:type="dxa"/>
          </w:tcPr>
          <w:p>
            <w:pPr>
              <w:pStyle w:val="TableParagraph"/>
              <w:spacing w:line="273" w:lineRule="auto"/>
              <w:ind w:left="200" w:right="102"/>
              <w:jc w:val="both"/>
              <w:rPr>
                <w:sz w:val="21"/>
              </w:rPr>
            </w:pPr>
            <w:r>
              <w:rPr>
                <w:spacing w:val="13"/>
                <w:sz w:val="21"/>
              </w:rPr>
              <w:t>(十八) 严重脑</w:t>
            </w:r>
            <w:r>
              <w:rPr>
                <w:spacing w:val="-1"/>
                <w:sz w:val="21"/>
              </w:rPr>
              <w:t>损伤－“中国保</w:t>
            </w:r>
            <w:r>
              <w:rPr>
                <w:spacing w:val="-32"/>
                <w:sz w:val="21"/>
              </w:rPr>
              <w:t>险 行 业 协 会 推荐”</w:t>
            </w:r>
          </w:p>
        </w:tc>
        <w:tc>
          <w:tcPr>
            <w:tcW w:w="6925" w:type="dxa"/>
          </w:tcPr>
          <w:p>
            <w:pPr>
              <w:pStyle w:val="TableParagraph"/>
              <w:spacing w:line="273" w:lineRule="auto"/>
              <w:ind w:left="92"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8"/>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303" w:hanging="526"/>
              <w:rPr>
                <w:sz w:val="21"/>
              </w:rPr>
            </w:pPr>
            <w:r>
              <w:rPr>
                <w:spacing w:val="-17"/>
                <w:sz w:val="21"/>
              </w:rPr>
              <w:t>（3）</w:t>
            </w:r>
            <w:r>
              <w:rPr>
                <w:spacing w:val="-8"/>
                <w:sz w:val="21"/>
              </w:rPr>
              <w:t>自主生活能力完全丧失，无法独立完成六项基本日常生活活动中的</w:t>
            </w:r>
            <w:r>
              <w:rPr>
                <w:spacing w:val="-5"/>
                <w:sz w:val="21"/>
              </w:rPr>
              <w:t>三项或三项以上。</w:t>
            </w:r>
          </w:p>
        </w:tc>
      </w:tr>
      <w:tr>
        <w:trPr>
          <w:trHeight w:val="2180" w:hRule="atLeast"/>
        </w:trPr>
        <w:tc>
          <w:tcPr>
            <w:tcW w:w="1795" w:type="dxa"/>
          </w:tcPr>
          <w:p>
            <w:pPr>
              <w:pStyle w:val="TableParagraph"/>
              <w:spacing w:line="273" w:lineRule="auto"/>
              <w:ind w:left="200" w:right="102"/>
              <w:jc w:val="both"/>
              <w:rPr>
                <w:sz w:val="21"/>
              </w:rPr>
            </w:pPr>
            <w:r>
              <w:rPr>
                <w:sz w:val="21"/>
              </w:rPr>
              <w:t>(十九) 严重帕金森病－“中国保险行业协会推荐”</w:t>
            </w:r>
          </w:p>
        </w:tc>
        <w:tc>
          <w:tcPr>
            <w:tcW w:w="6925" w:type="dxa"/>
          </w:tcPr>
          <w:p>
            <w:pPr>
              <w:pStyle w:val="TableParagraph"/>
              <w:spacing w:line="273" w:lineRule="auto"/>
              <w:ind w:left="92"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8"/>
              <w:ind w:left="92"/>
              <w:rPr>
                <w:sz w:val="21"/>
              </w:rPr>
            </w:pPr>
            <w:r>
              <w:rPr>
                <w:sz w:val="21"/>
              </w:rPr>
              <w:t>（1）药物治疗无法控制病情；</w:t>
            </w:r>
          </w:p>
          <w:p>
            <w:pPr>
              <w:pStyle w:val="TableParagraph"/>
              <w:spacing w:line="273" w:lineRule="auto" w:before="37"/>
              <w:ind w:left="618" w:right="303" w:hanging="526"/>
              <w:rPr>
                <w:sz w:val="21"/>
              </w:rPr>
            </w:pPr>
            <w:r>
              <w:rPr>
                <w:spacing w:val="-17"/>
                <w:sz w:val="21"/>
              </w:rPr>
              <w:t>（2）</w:t>
            </w:r>
            <w:r>
              <w:rPr>
                <w:spacing w:val="-8"/>
                <w:sz w:val="21"/>
              </w:rPr>
              <w:t>自主生活能力完全丧失，无法独立完成六项基本日常生活活动中的</w:t>
            </w:r>
            <w:r>
              <w:rPr>
                <w:spacing w:val="-5"/>
                <w:sz w:val="21"/>
              </w:rPr>
              <w:t>三项或三项以上。</w:t>
            </w:r>
          </w:p>
          <w:p>
            <w:pPr>
              <w:pStyle w:val="TableParagraph"/>
              <w:spacing w:before="7"/>
              <w:ind w:left="92"/>
              <w:rPr>
                <w:sz w:val="21"/>
              </w:rPr>
            </w:pPr>
            <w:r>
              <w:rPr>
                <w:sz w:val="21"/>
              </w:rPr>
              <w:t>继发性帕金森综合征不在保障范围内。</w:t>
            </w:r>
          </w:p>
        </w:tc>
      </w:tr>
      <w:tr>
        <w:trPr>
          <w:trHeight w:val="1558" w:hRule="atLeast"/>
        </w:trPr>
        <w:tc>
          <w:tcPr>
            <w:tcW w:w="1795" w:type="dxa"/>
          </w:tcPr>
          <w:p>
            <w:pPr>
              <w:pStyle w:val="TableParagraph"/>
              <w:spacing w:line="266" w:lineRule="auto" w:before="137"/>
              <w:ind w:left="200" w:right="90"/>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5" w:type="dxa"/>
          </w:tcPr>
          <w:p>
            <w:pPr>
              <w:pStyle w:val="TableParagraph"/>
              <w:spacing w:before="137"/>
              <w:ind w:left="92"/>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2"/>
              <w:rPr>
                <w:sz w:val="21"/>
              </w:rPr>
            </w:pPr>
            <w:r>
              <w:rPr>
                <w:sz w:val="21"/>
              </w:rPr>
              <w:t>以上。体表面积根据《中国新九分法》计算。</w:t>
            </w:r>
          </w:p>
        </w:tc>
      </w:tr>
      <w:tr>
        <w:trPr>
          <w:trHeight w:val="1561" w:hRule="atLeast"/>
        </w:trPr>
        <w:tc>
          <w:tcPr>
            <w:tcW w:w="1795" w:type="dxa"/>
          </w:tcPr>
          <w:p>
            <w:pPr>
              <w:pStyle w:val="TableParagraph"/>
              <w:spacing w:line="268" w:lineRule="auto" w:before="138"/>
              <w:ind w:left="200" w:right="90"/>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5" w:type="dxa"/>
          </w:tcPr>
          <w:p>
            <w:pPr>
              <w:pStyle w:val="TableParagraph"/>
              <w:spacing w:line="273" w:lineRule="auto" w:before="138"/>
              <w:ind w:left="92" w:right="306"/>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19"/>
              <w:rPr>
                <w:sz w:val="21"/>
              </w:rPr>
            </w:pPr>
            <w:r>
              <w:rPr>
                <w:sz w:val="21"/>
              </w:rPr>
              <w:t>“中国保险行业协会推荐”</w:t>
            </w:r>
          </w:p>
        </w:tc>
        <w:tc>
          <w:tcPr>
            <w:tcW w:w="6925" w:type="dxa"/>
          </w:tcPr>
          <w:p>
            <w:pPr>
              <w:pStyle w:val="TableParagraph"/>
              <w:spacing w:line="273" w:lineRule="auto" w:before="137"/>
              <w:ind w:left="92"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5" w:type="dxa"/>
          </w:tcPr>
          <w:p>
            <w:pPr>
              <w:pStyle w:val="TableParagraph"/>
              <w:spacing w:line="266" w:lineRule="auto" w:before="137"/>
              <w:ind w:left="200" w:right="90"/>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925" w:type="dxa"/>
          </w:tcPr>
          <w:p>
            <w:pPr>
              <w:pStyle w:val="TableParagraph"/>
              <w:spacing w:before="137"/>
              <w:ind w:left="92"/>
              <w:rPr>
                <w:sz w:val="21"/>
              </w:rPr>
            </w:pPr>
            <w:r>
              <w:rPr>
                <w:sz w:val="21"/>
              </w:rPr>
              <w:t>指因疾病或意外伤害导致完全丧失语言能力，经过积极治疗至少12个月</w:t>
            </w:r>
          </w:p>
          <w:p>
            <w:pPr>
              <w:pStyle w:val="TableParagraph"/>
              <w:spacing w:line="273" w:lineRule="auto" w:before="37"/>
              <w:ind w:left="92" w:right="524"/>
              <w:rPr>
                <w:sz w:val="21"/>
              </w:rPr>
            </w:pPr>
            <w:r>
              <w:rPr>
                <w:sz w:val="21"/>
              </w:rPr>
              <w:t>（声带完全切除不受此时间限制），仍无法通过现有医疗手段恢复。精神心理因素所致的语言能力丧失不在保障范围内。</w:t>
            </w:r>
          </w:p>
        </w:tc>
      </w:tr>
      <w:tr>
        <w:trPr>
          <w:trHeight w:val="1335"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before="22"/>
              <w:ind w:left="200"/>
              <w:rPr>
                <w:sz w:val="21"/>
              </w:rPr>
            </w:pPr>
            <w:r>
              <w:rPr>
                <w:sz w:val="21"/>
              </w:rPr>
              <w:t>－“中国保险行</w:t>
            </w:r>
          </w:p>
        </w:tc>
        <w:tc>
          <w:tcPr>
            <w:tcW w:w="6925" w:type="dxa"/>
          </w:tcPr>
          <w:p>
            <w:pPr>
              <w:pStyle w:val="TableParagraph"/>
              <w:spacing w:line="273" w:lineRule="auto" w:before="137"/>
              <w:ind w:left="92" w:right="306"/>
              <w:rPr>
                <w:sz w:val="21"/>
              </w:rPr>
            </w:pPr>
            <w:r>
              <w:rPr>
                <w:sz w:val="21"/>
              </w:rPr>
              <w:t>指因骨髓造血功能慢性持续性衰竭导致的贫血、中性粒细胞减少及血小板减少。须满足下列全部条件：</w:t>
            </w:r>
          </w:p>
          <w:p>
            <w:pPr>
              <w:pStyle w:val="TableParagraph"/>
              <w:spacing w:before="7"/>
              <w:ind w:left="92"/>
              <w:rPr>
                <w:sz w:val="21"/>
              </w:rPr>
            </w:pPr>
            <w:r>
              <w:rPr>
                <w:sz w:val="21"/>
              </w:rPr>
              <w:t>（1）骨髓穿刺检查或骨髓活检结果支持诊断；</w:t>
            </w:r>
          </w:p>
          <w:p>
            <w:pPr>
              <w:pStyle w:val="TableParagraph"/>
              <w:spacing w:line="264" w:lineRule="exact" w:before="15"/>
              <w:ind w:left="92"/>
              <w:rPr>
                <w:sz w:val="21"/>
              </w:rPr>
            </w:pPr>
            <w:r>
              <w:rPr>
                <w:sz w:val="21"/>
              </w:rPr>
              <w:t>（2）外周血象须具备以下三项条件：</w:t>
            </w:r>
          </w:p>
        </w:tc>
      </w:tr>
    </w:tbl>
    <w:p>
      <w:pPr>
        <w:spacing w:after="0" w:line="264" w:lineRule="exact"/>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5"/>
      </w:tblGrid>
      <w:tr>
        <w:trPr>
          <w:trHeight w:val="1093" w:hRule="atLeast"/>
        </w:trPr>
        <w:tc>
          <w:tcPr>
            <w:tcW w:w="1795" w:type="dxa"/>
          </w:tcPr>
          <w:p>
            <w:pPr>
              <w:pStyle w:val="TableParagraph"/>
              <w:spacing w:line="256" w:lineRule="exact" w:before="0"/>
              <w:ind w:left="200"/>
              <w:rPr>
                <w:sz w:val="21"/>
              </w:rPr>
            </w:pPr>
            <w:r>
              <w:rPr>
                <w:sz w:val="21"/>
              </w:rPr>
              <w:t>业协会推荐”</w:t>
            </w:r>
          </w:p>
        </w:tc>
        <w:tc>
          <w:tcPr>
            <w:tcW w:w="6925" w:type="dxa"/>
          </w:tcPr>
          <w:p>
            <w:pPr>
              <w:pStyle w:val="TableParagraph"/>
              <w:spacing w:line="65" w:lineRule="exact" w:before="0"/>
              <w:ind w:left="319"/>
              <w:jc w:val="center"/>
              <w:rPr>
                <w:sz w:val="11"/>
              </w:rPr>
            </w:pPr>
            <w:r>
              <w:rPr>
                <w:w w:val="100"/>
                <w:sz w:val="11"/>
              </w:rPr>
              <w:t>9</w:t>
            </w:r>
          </w:p>
          <w:p>
            <w:pPr>
              <w:pStyle w:val="TableParagraph"/>
              <w:spacing w:line="228" w:lineRule="exact" w:before="0"/>
              <w:ind w:left="651"/>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1"/>
              <w:rPr>
                <w:sz w:val="21"/>
              </w:rPr>
            </w:pPr>
            <w:r>
              <w:rPr>
                <w:sz w:val="21"/>
              </w:rPr>
              <w:t>② 网织红细胞＜1%；</w:t>
            </w:r>
          </w:p>
          <w:p>
            <w:pPr>
              <w:pStyle w:val="TableParagraph"/>
              <w:spacing w:line="99" w:lineRule="exact" w:before="5"/>
              <w:ind w:left="0" w:right="734"/>
              <w:jc w:val="center"/>
              <w:rPr>
                <w:sz w:val="11"/>
              </w:rPr>
            </w:pPr>
            <w:r>
              <w:rPr>
                <w:w w:val="100"/>
                <w:sz w:val="11"/>
              </w:rPr>
              <w:t>9</w:t>
            </w:r>
          </w:p>
          <w:p>
            <w:pPr>
              <w:pStyle w:val="TableParagraph"/>
              <w:spacing w:line="230" w:lineRule="exact" w:before="0"/>
              <w:ind w:left="651"/>
              <w:rPr>
                <w:sz w:val="21"/>
              </w:rPr>
            </w:pPr>
            <w:r>
              <w:rPr>
                <w:sz w:val="21"/>
              </w:rPr>
              <w:t>③ 血小板绝对值≤20×10 /L。</w:t>
            </w:r>
          </w:p>
        </w:tc>
      </w:tr>
      <w:tr>
        <w:trPr>
          <w:trHeight w:val="1550" w:hRule="atLeast"/>
        </w:trPr>
        <w:tc>
          <w:tcPr>
            <w:tcW w:w="1795" w:type="dxa"/>
          </w:tcPr>
          <w:p>
            <w:pPr>
              <w:pStyle w:val="TableParagraph"/>
              <w:spacing w:line="266" w:lineRule="auto" w:before="136"/>
              <w:ind w:left="200" w:right="90"/>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925" w:type="dxa"/>
          </w:tcPr>
          <w:p>
            <w:pPr>
              <w:pStyle w:val="TableParagraph"/>
              <w:spacing w:line="273" w:lineRule="auto" w:before="136"/>
              <w:ind w:left="92"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2"/>
              <w:jc w:val="both"/>
              <w:rPr>
                <w:sz w:val="21"/>
              </w:rPr>
            </w:pPr>
            <w:r>
              <w:rPr>
                <w:sz w:val="21"/>
              </w:rPr>
              <w:t>动脉内血管成形术不在保障范围内。</w:t>
            </w:r>
          </w:p>
        </w:tc>
      </w:tr>
      <w:tr>
        <w:trPr>
          <w:trHeight w:val="1872" w:hRule="atLeast"/>
        </w:trPr>
        <w:tc>
          <w:tcPr>
            <w:tcW w:w="1795" w:type="dxa"/>
          </w:tcPr>
          <w:p>
            <w:pPr>
              <w:pStyle w:val="TableParagraph"/>
              <w:spacing w:line="256" w:lineRule="auto" w:before="146"/>
              <w:ind w:left="200" w:right="90"/>
              <w:rPr>
                <w:sz w:val="21"/>
              </w:rPr>
            </w:pPr>
            <w:r>
              <w:rPr>
                <w:rFonts w:ascii="Times New Roman" w:eastAsia="Times New Roman"/>
                <w:sz w:val="21"/>
              </w:rPr>
              <w:t>( </w:t>
            </w:r>
            <w:r>
              <w:rPr>
                <w:sz w:val="21"/>
              </w:rPr>
              <w:t>二十六</w:t>
            </w:r>
            <w:r>
              <w:rPr>
                <w:rFonts w:ascii="Times New Roman" w:eastAsia="Times New Roman"/>
                <w:sz w:val="21"/>
              </w:rPr>
              <w:t>) </w:t>
            </w:r>
            <w:r>
              <w:rPr>
                <w:sz w:val="21"/>
              </w:rPr>
              <w:t>严重冠心病</w:t>
            </w:r>
          </w:p>
        </w:tc>
        <w:tc>
          <w:tcPr>
            <w:tcW w:w="6925" w:type="dxa"/>
          </w:tcPr>
          <w:p>
            <w:pPr>
              <w:pStyle w:val="TableParagraph"/>
              <w:spacing w:before="146"/>
              <w:ind w:left="92"/>
              <w:rPr>
                <w:sz w:val="21"/>
              </w:rPr>
            </w:pPr>
            <w:r>
              <w:rPr>
                <w:sz w:val="21"/>
              </w:rPr>
              <w:t>指经心脏科专科医师根据冠状动脉造影检查结果确诊的三支主要血管</w:t>
            </w:r>
          </w:p>
          <w:p>
            <w:pPr>
              <w:pStyle w:val="TableParagraph"/>
              <w:spacing w:line="261" w:lineRule="auto" w:before="37"/>
              <w:ind w:left="92" w:right="301"/>
              <w:jc w:val="both"/>
              <w:rPr>
                <w:sz w:val="21"/>
              </w:rPr>
            </w:pPr>
            <w:r>
              <w:rPr>
                <w:sz w:val="21"/>
              </w:rPr>
              <w:t>（</w:t>
            </w:r>
            <w:r>
              <w:rPr>
                <w:spacing w:val="-3"/>
                <w:sz w:val="21"/>
              </w:rPr>
              <w:t>左冠状动脉主干和右冠状动脉，或前降支、左旋支和右冠状动脉</w:t>
            </w:r>
            <w:r>
              <w:rPr>
                <w:sz w:val="21"/>
              </w:rPr>
              <w:t>）严</w:t>
            </w:r>
            <w:r>
              <w:rPr>
                <w:spacing w:val="-2"/>
                <w:sz w:val="21"/>
              </w:rPr>
              <w:t>重狭窄性病变</w:t>
            </w:r>
            <w:r>
              <w:rPr>
                <w:spacing w:val="-3"/>
                <w:sz w:val="21"/>
              </w:rPr>
              <w:t>（至少一支血管管腔直径减少 </w:t>
            </w:r>
            <w:r>
              <w:rPr>
                <w:rFonts w:ascii="Trebuchet MS" w:eastAsia="Trebuchet MS"/>
                <w:sz w:val="21"/>
              </w:rPr>
              <w:t>75%</w:t>
            </w:r>
            <w:r>
              <w:rPr>
                <w:spacing w:val="-3"/>
                <w:sz w:val="21"/>
              </w:rPr>
              <w:t>以上和其他两支血管管</w:t>
            </w:r>
            <w:r>
              <w:rPr>
                <w:spacing w:val="-8"/>
                <w:sz w:val="21"/>
              </w:rPr>
              <w:t>腔直径减少 </w:t>
            </w:r>
            <w:r>
              <w:rPr>
                <w:rFonts w:ascii="Trebuchet MS" w:eastAsia="Trebuchet MS"/>
                <w:sz w:val="21"/>
              </w:rPr>
              <w:t>60%</w:t>
            </w:r>
            <w:r>
              <w:rPr>
                <w:spacing w:val="-2"/>
                <w:sz w:val="21"/>
              </w:rPr>
              <w:t>以上</w:t>
            </w:r>
            <w:r>
              <w:rPr>
                <w:spacing w:val="-106"/>
                <w:sz w:val="21"/>
              </w:rPr>
              <w:t>）</w:t>
            </w:r>
            <w:r>
              <w:rPr>
                <w:spacing w:val="-11"/>
                <w:sz w:val="21"/>
              </w:rPr>
              <w:t>。前降支、左旋支及右冠状动脉的分支血管的狭窄</w:t>
            </w:r>
            <w:r>
              <w:rPr>
                <w:spacing w:val="-6"/>
                <w:sz w:val="21"/>
              </w:rPr>
              <w:t>不作为本保障的衡量指标。</w:t>
            </w:r>
          </w:p>
        </w:tc>
      </w:tr>
      <w:tr>
        <w:trPr>
          <w:trHeight w:val="1560" w:hRule="atLeast"/>
        </w:trPr>
        <w:tc>
          <w:tcPr>
            <w:tcW w:w="1795" w:type="dxa"/>
          </w:tcPr>
          <w:p>
            <w:pPr>
              <w:pStyle w:val="TableParagraph"/>
              <w:spacing w:line="256" w:lineRule="auto" w:before="146"/>
              <w:ind w:left="200" w:right="90"/>
              <w:rPr>
                <w:sz w:val="21"/>
              </w:rPr>
            </w:pPr>
            <w:r>
              <w:rPr>
                <w:rFonts w:ascii="Times New Roman" w:eastAsia="Times New Roman"/>
                <w:sz w:val="21"/>
              </w:rPr>
              <w:t>( </w:t>
            </w:r>
            <w:r>
              <w:rPr>
                <w:sz w:val="21"/>
              </w:rPr>
              <w:t>二十七</w:t>
            </w:r>
            <w:r>
              <w:rPr>
                <w:rFonts w:ascii="Times New Roman" w:eastAsia="Times New Roman"/>
                <w:sz w:val="21"/>
              </w:rPr>
              <w:t>) </w:t>
            </w:r>
            <w:r>
              <w:rPr>
                <w:sz w:val="21"/>
              </w:rPr>
              <w:t>严重心肌病</w:t>
            </w:r>
          </w:p>
        </w:tc>
        <w:tc>
          <w:tcPr>
            <w:tcW w:w="6925" w:type="dxa"/>
          </w:tcPr>
          <w:p>
            <w:pPr>
              <w:pStyle w:val="TableParagraph"/>
              <w:spacing w:line="266" w:lineRule="auto" w:before="146"/>
              <w:ind w:left="92" w:right="301"/>
              <w:jc w:val="both"/>
              <w:rPr>
                <w:sz w:val="21"/>
              </w:rPr>
            </w:pPr>
            <w:r>
              <w:rPr>
                <w:spacing w:val="1"/>
                <w:sz w:val="21"/>
              </w:rPr>
              <w:t>指被保人因心肌病导致慢性心功能损害造成永久不可逆性的心功能衰</w:t>
            </w:r>
            <w:r>
              <w:rPr>
                <w:spacing w:val="-4"/>
                <w:sz w:val="21"/>
              </w:rPr>
              <w:t>竭。心功能衰竭程度达到纽约心脏病学会的心功能分级标准之心功能 </w:t>
            </w:r>
            <w:r>
              <w:rPr>
                <w:rFonts w:ascii="Trebuchet MS" w:eastAsia="Trebuchet MS"/>
                <w:sz w:val="21"/>
              </w:rPr>
              <w:t>IV </w:t>
            </w:r>
            <w:r>
              <w:rPr>
                <w:spacing w:val="-3"/>
                <w:sz w:val="21"/>
              </w:rPr>
              <w:t>级。被保险人永久不可逆性的体力活动能力受限，不能从事任何体力活动。</w:t>
            </w:r>
          </w:p>
        </w:tc>
      </w:tr>
      <w:tr>
        <w:trPr>
          <w:trHeight w:val="2184" w:hRule="atLeast"/>
        </w:trPr>
        <w:tc>
          <w:tcPr>
            <w:tcW w:w="1795" w:type="dxa"/>
          </w:tcPr>
          <w:p>
            <w:pPr>
              <w:pStyle w:val="TableParagraph"/>
              <w:spacing w:line="256" w:lineRule="auto" w:before="146"/>
              <w:ind w:left="200" w:right="90"/>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6925" w:type="dxa"/>
          </w:tcPr>
          <w:p>
            <w:pPr>
              <w:pStyle w:val="TableParagraph"/>
              <w:spacing w:line="273" w:lineRule="auto" w:before="146"/>
              <w:ind w:left="92" w:right="198"/>
              <w:rPr>
                <w:sz w:val="21"/>
              </w:rPr>
            </w:pPr>
            <w:r>
              <w:rPr>
                <w:spacing w:val="-8"/>
                <w:sz w:val="21"/>
              </w:rPr>
              <w:t>多发性硬化为中枢神经系统白质多灶性脱髓鞘病变，病变有时累及灰质。</w:t>
            </w:r>
            <w:r>
              <w:rPr>
                <w:spacing w:val="-5"/>
                <w:sz w:val="21"/>
              </w:rPr>
              <w:t>多发性硬化必须明确诊断，并且已经造成永久不可逆的神经系统功能损</w:t>
            </w:r>
            <w:r>
              <w:rPr>
                <w:spacing w:val="-6"/>
                <w:sz w:val="21"/>
              </w:rPr>
              <w:t>害。永久不可逆的神经系统功能损害指被保险人持续 </w:t>
            </w:r>
            <w:r>
              <w:rPr>
                <w:sz w:val="21"/>
              </w:rPr>
              <w:t>180</w:t>
            </w:r>
            <w:r>
              <w:rPr>
                <w:spacing w:val="-9"/>
                <w:sz w:val="21"/>
              </w:rPr>
              <w:t> 天无法独立完</w:t>
            </w:r>
            <w:r>
              <w:rPr>
                <w:spacing w:val="-5"/>
                <w:sz w:val="21"/>
              </w:rPr>
              <w:t>成下列基本日常生活活动：</w:t>
            </w:r>
          </w:p>
          <w:p>
            <w:pPr>
              <w:pStyle w:val="TableParagraph"/>
              <w:spacing w:before="8"/>
              <w:ind w:left="92"/>
              <w:rPr>
                <w:sz w:val="21"/>
              </w:rPr>
            </w:pPr>
            <w:r>
              <w:rPr>
                <w:sz w:val="21"/>
              </w:rPr>
              <w:t>（1）移动：自己从一个房间到另一个房间；或者</w:t>
            </w:r>
          </w:p>
          <w:p>
            <w:pPr>
              <w:pStyle w:val="TableParagraph"/>
              <w:spacing w:before="37"/>
              <w:ind w:left="92"/>
              <w:rPr>
                <w:sz w:val="21"/>
              </w:rPr>
            </w:pPr>
            <w:r>
              <w:rPr>
                <w:sz w:val="21"/>
              </w:rPr>
              <w:t>（2）进食：自己从已准备好的碗或碟中取食物放入口中。</w:t>
            </w:r>
          </w:p>
        </w:tc>
      </w:tr>
      <w:tr>
        <w:trPr>
          <w:trHeight w:val="2187" w:hRule="atLeast"/>
        </w:trPr>
        <w:tc>
          <w:tcPr>
            <w:tcW w:w="1795" w:type="dxa"/>
          </w:tcPr>
          <w:p>
            <w:pPr>
              <w:pStyle w:val="TableParagraph"/>
              <w:spacing w:line="256" w:lineRule="auto" w:before="146"/>
              <w:ind w:left="200" w:right="90"/>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25" w:type="dxa"/>
          </w:tcPr>
          <w:p>
            <w:pPr>
              <w:pStyle w:val="TableParagraph"/>
              <w:spacing w:line="273" w:lineRule="auto" w:before="146"/>
              <w:ind w:left="92" w:right="305"/>
              <w:rPr>
                <w:sz w:val="21"/>
              </w:rPr>
            </w:pPr>
            <w:r>
              <w:rPr>
                <w:sz w:val="21"/>
              </w:rPr>
              <w:t>慢性肺部疾病导致永久不可逆性的慢性呼吸功能衰竭，必须由呼吸专科医师确认并符合下列所有条件：</w:t>
            </w:r>
          </w:p>
          <w:p>
            <w:pPr>
              <w:pStyle w:val="TableParagraph"/>
              <w:spacing w:before="8"/>
              <w:ind w:left="92"/>
              <w:rPr>
                <w:sz w:val="21"/>
              </w:rPr>
            </w:pPr>
            <w:r>
              <w:rPr>
                <w:sz w:val="21"/>
              </w:rPr>
              <w:t>（1）休息时出现呼吸困难；</w:t>
            </w:r>
          </w:p>
          <w:p>
            <w:pPr>
              <w:pStyle w:val="TableParagraph"/>
              <w:spacing w:before="37"/>
              <w:ind w:left="92"/>
              <w:rPr>
                <w:sz w:val="21"/>
              </w:rPr>
            </w:pPr>
            <w:r>
              <w:rPr>
                <w:position w:val="1"/>
                <w:sz w:val="21"/>
              </w:rPr>
              <w:t>（2）</w:t>
            </w:r>
            <w:r>
              <w:rPr>
                <w:spacing w:val="-3"/>
                <w:position w:val="1"/>
                <w:sz w:val="21"/>
              </w:rPr>
              <w:t>动脉血氧分压 </w:t>
            </w:r>
            <w:r>
              <w:rPr>
                <w:position w:val="1"/>
                <w:sz w:val="21"/>
              </w:rPr>
              <w:t>（PaO</w:t>
            </w:r>
            <w:r>
              <w:rPr>
                <w:sz w:val="11"/>
              </w:rPr>
              <w:t>2</w:t>
            </w:r>
            <w:r>
              <w:rPr>
                <w:spacing w:val="51"/>
                <w:sz w:val="11"/>
              </w:rPr>
              <w:t> </w:t>
            </w:r>
            <w:r>
              <w:rPr>
                <w:position w:val="1"/>
                <w:sz w:val="21"/>
              </w:rPr>
              <w:t>）&lt; 50mmHg；</w:t>
            </w:r>
          </w:p>
          <w:p>
            <w:pPr>
              <w:pStyle w:val="TableParagraph"/>
              <w:spacing w:before="37"/>
              <w:ind w:left="92"/>
              <w:rPr>
                <w:sz w:val="21"/>
              </w:rPr>
            </w:pPr>
            <w:r>
              <w:rPr>
                <w:position w:val="1"/>
                <w:sz w:val="21"/>
              </w:rPr>
              <w:t>（3）</w:t>
            </w:r>
            <w:r>
              <w:rPr>
                <w:spacing w:val="-3"/>
                <w:position w:val="1"/>
                <w:sz w:val="21"/>
              </w:rPr>
              <w:t>动脉血氧饱和度 </w:t>
            </w:r>
            <w:r>
              <w:rPr>
                <w:position w:val="1"/>
                <w:sz w:val="21"/>
              </w:rPr>
              <w:t>（SaO</w:t>
            </w:r>
            <w:r>
              <w:rPr>
                <w:sz w:val="11"/>
              </w:rPr>
              <w:t>2</w:t>
            </w:r>
            <w:r>
              <w:rPr>
                <w:spacing w:val="50"/>
                <w:sz w:val="11"/>
              </w:rPr>
              <w:t> </w:t>
            </w:r>
            <w:r>
              <w:rPr>
                <w:position w:val="1"/>
                <w:sz w:val="21"/>
              </w:rPr>
              <w:t>）&lt; 80%；</w:t>
            </w:r>
          </w:p>
          <w:p>
            <w:pPr>
              <w:pStyle w:val="TableParagraph"/>
              <w:spacing w:before="37"/>
              <w:ind w:left="92"/>
              <w:rPr>
                <w:sz w:val="21"/>
              </w:rPr>
            </w:pPr>
            <w:r>
              <w:rPr>
                <w:sz w:val="21"/>
              </w:rPr>
              <w:t>（4）因缺氧必须接受持续的输氧治疗。</w:t>
            </w:r>
          </w:p>
        </w:tc>
      </w:tr>
      <w:tr>
        <w:trPr>
          <w:trHeight w:val="3225" w:hRule="atLeast"/>
        </w:trPr>
        <w:tc>
          <w:tcPr>
            <w:tcW w:w="1795" w:type="dxa"/>
          </w:tcPr>
          <w:p>
            <w:pPr>
              <w:pStyle w:val="TableParagraph"/>
              <w:spacing w:line="273" w:lineRule="auto" w:before="143"/>
              <w:ind w:left="200" w:right="119"/>
              <w:jc w:val="both"/>
              <w:rPr>
                <w:sz w:val="21"/>
              </w:rPr>
            </w:pPr>
            <w:r>
              <w:rPr>
                <w:sz w:val="21"/>
              </w:rPr>
              <w:t>（三十）经输血导致的人类免疫缺陷病毒感染</w:t>
            </w:r>
          </w:p>
        </w:tc>
        <w:tc>
          <w:tcPr>
            <w:tcW w:w="6925" w:type="dxa"/>
          </w:tcPr>
          <w:p>
            <w:pPr>
              <w:pStyle w:val="TableParagraph"/>
              <w:spacing w:before="143"/>
              <w:ind w:left="92"/>
              <w:rPr>
                <w:sz w:val="21"/>
              </w:rPr>
            </w:pPr>
            <w:r>
              <w:rPr>
                <w:sz w:val="21"/>
              </w:rPr>
              <w:t>被保险人感染上人类免疫缺陷病毒（HIV）并且符合下列所有条件：</w:t>
            </w:r>
          </w:p>
          <w:p>
            <w:pPr>
              <w:pStyle w:val="TableParagraph"/>
              <w:spacing w:before="37"/>
              <w:ind w:left="92"/>
              <w:rPr>
                <w:sz w:val="21"/>
              </w:rPr>
            </w:pPr>
            <w:r>
              <w:rPr>
                <w:sz w:val="21"/>
              </w:rPr>
              <w:t>（1）在保障起始日或复效日之后，被保险人因输血而感染HIV；</w:t>
            </w:r>
          </w:p>
          <w:p>
            <w:pPr>
              <w:pStyle w:val="TableParagraph"/>
              <w:spacing w:line="273" w:lineRule="auto" w:before="37"/>
              <w:ind w:left="618" w:right="301" w:hanging="526"/>
              <w:rPr>
                <w:sz w:val="21"/>
              </w:rPr>
            </w:pPr>
            <w:r>
              <w:rPr>
                <w:w w:val="100"/>
                <w:sz w:val="21"/>
              </w:rPr>
              <w:t>（2</w:t>
            </w:r>
            <w:r>
              <w:rPr>
                <w:spacing w:val="-94"/>
                <w:w w:val="100"/>
                <w:sz w:val="21"/>
              </w:rPr>
              <w:t>）</w:t>
            </w:r>
            <w:r>
              <w:rPr>
                <w:spacing w:val="-3"/>
                <w:w w:val="100"/>
                <w:sz w:val="21"/>
              </w:rPr>
              <w:t>提供输血治疗的输血中心或医院出具该项输血感染属医疗责任事故</w:t>
            </w:r>
            <w:r>
              <w:rPr>
                <w:spacing w:val="-3"/>
                <w:sz w:val="21"/>
              </w:rPr>
              <w:t>的报告，或者法院终审裁定为医疗责任并且不准上诉；</w:t>
            </w:r>
          </w:p>
          <w:p>
            <w:pPr>
              <w:pStyle w:val="TableParagraph"/>
              <w:spacing w:before="8"/>
              <w:ind w:left="92"/>
              <w:rPr>
                <w:sz w:val="21"/>
              </w:rPr>
            </w:pPr>
            <w:r>
              <w:rPr>
                <w:sz w:val="21"/>
              </w:rPr>
              <w:t>（3）受感染的被保险人不是血友病患者；</w:t>
            </w:r>
          </w:p>
          <w:p>
            <w:pPr>
              <w:pStyle w:val="TableParagraph"/>
              <w:spacing w:line="310" w:lineRule="atLeast" w:before="2"/>
              <w:ind w:left="92" w:right="210"/>
              <w:rPr>
                <w:sz w:val="21"/>
              </w:rPr>
            </w:pPr>
            <w:r>
              <w:rPr>
                <w:spacing w:val="-3"/>
                <w:sz w:val="21"/>
              </w:rPr>
              <w:t>在任何治愈艾滋病</w:t>
            </w:r>
            <w:r>
              <w:rPr>
                <w:sz w:val="21"/>
              </w:rPr>
              <w:t>（AIDS）</w:t>
            </w:r>
            <w:r>
              <w:rPr>
                <w:spacing w:val="-14"/>
                <w:sz w:val="21"/>
              </w:rPr>
              <w:t>或阻止 </w:t>
            </w:r>
            <w:r>
              <w:rPr>
                <w:sz w:val="21"/>
              </w:rPr>
              <w:t>HIV</w:t>
            </w:r>
            <w:r>
              <w:rPr>
                <w:spacing w:val="-9"/>
                <w:sz w:val="21"/>
              </w:rPr>
              <w:t> 病毒作用的疗法被发现以后，或</w:t>
            </w:r>
            <w:r>
              <w:rPr>
                <w:spacing w:val="-13"/>
                <w:sz w:val="21"/>
              </w:rPr>
              <w:t>能防止 </w:t>
            </w:r>
            <w:r>
              <w:rPr>
                <w:sz w:val="21"/>
              </w:rPr>
              <w:t>AIDS</w:t>
            </w:r>
            <w:r>
              <w:rPr>
                <w:spacing w:val="-8"/>
                <w:sz w:val="21"/>
              </w:rPr>
              <w:t> 发生的医疗方法被研究出来以后，本保障将不再予以赔付。</w:t>
            </w:r>
            <w:r>
              <w:rPr>
                <w:spacing w:val="-9"/>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bl>
    <w:p>
      <w:pPr>
        <w:spacing w:after="0" w:line="310" w:lineRule="atLeast"/>
        <w:rPr>
          <w:sz w:val="21"/>
        </w:rPr>
        <w:sectPr>
          <w:pgSz w:w="11910" w:h="16840"/>
          <w:pgMar w:header="0" w:footer="912" w:top="1400" w:bottom="1100" w:left="1680" w:right="1040"/>
        </w:sectPr>
      </w:pPr>
    </w:p>
    <w:p>
      <w:pPr>
        <w:pStyle w:val="BodyText"/>
        <w:spacing w:before="11"/>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888"/>
        <w:gridCol w:w="6939"/>
      </w:tblGrid>
      <w:tr>
        <w:trPr>
          <w:trHeight w:val="4786" w:hRule="atLeast"/>
        </w:trPr>
        <w:tc>
          <w:tcPr>
            <w:tcW w:w="824" w:type="dxa"/>
          </w:tcPr>
          <w:p>
            <w:pPr>
              <w:pStyle w:val="TableParagraph"/>
              <w:spacing w:before="0"/>
              <w:ind w:left="0"/>
              <w:rPr>
                <w:rFonts w:ascii="Times New Roman"/>
                <w:sz w:val="20"/>
              </w:rPr>
            </w:pPr>
          </w:p>
        </w:tc>
        <w:tc>
          <w:tcPr>
            <w:tcW w:w="1888" w:type="dxa"/>
          </w:tcPr>
          <w:p>
            <w:pPr>
              <w:pStyle w:val="TableParagraph"/>
              <w:spacing w:line="211" w:lineRule="exact" w:before="0"/>
              <w:ind w:left="307"/>
              <w:rPr>
                <w:sz w:val="21"/>
              </w:rPr>
            </w:pPr>
            <w:r>
              <w:rPr>
                <w:sz w:val="21"/>
              </w:rPr>
              <w:t>（三十一）</w:t>
            </w:r>
          </w:p>
          <w:p>
            <w:pPr>
              <w:pStyle w:val="TableParagraph"/>
              <w:spacing w:before="37"/>
              <w:ind w:left="307"/>
              <w:rPr>
                <w:sz w:val="21"/>
              </w:rPr>
            </w:pPr>
            <w:r>
              <w:rPr>
                <w:sz w:val="21"/>
              </w:rPr>
              <w:t>系统性红斑狼疮</w:t>
            </w:r>
          </w:p>
          <w:p>
            <w:pPr>
              <w:pStyle w:val="TableParagraph"/>
              <w:spacing w:line="273" w:lineRule="auto" w:before="37"/>
              <w:ind w:left="307" w:right="199"/>
              <w:rPr>
                <w:sz w:val="21"/>
              </w:rPr>
            </w:pPr>
            <w:r>
              <w:rPr>
                <w:sz w:val="21"/>
              </w:rPr>
              <w:t>－ III 型或以上狼疮性肾炎</w:t>
            </w:r>
          </w:p>
        </w:tc>
        <w:tc>
          <w:tcPr>
            <w:tcW w:w="6939" w:type="dxa"/>
          </w:tcPr>
          <w:p>
            <w:pPr>
              <w:pStyle w:val="TableParagraph"/>
              <w:spacing w:line="211" w:lineRule="exact" w:before="0"/>
              <w:ind w:left="106"/>
              <w:rPr>
                <w:sz w:val="21"/>
              </w:rPr>
            </w:pPr>
            <w:r>
              <w:rPr>
                <w:sz w:val="21"/>
              </w:rPr>
              <w:t>系统性红斑狼疮是由多种因素引起，累及多系统的自身免疫性疾病。其</w:t>
            </w:r>
          </w:p>
          <w:p>
            <w:pPr>
              <w:pStyle w:val="TableParagraph"/>
              <w:spacing w:before="37"/>
              <w:ind w:left="106"/>
              <w:rPr>
                <w:sz w:val="21"/>
              </w:rPr>
            </w:pPr>
            <w:r>
              <w:rPr>
                <w:sz w:val="21"/>
              </w:rPr>
              <w:t>特点是生成自身抗体对抗多种自身抗原。多见于育龄妇女。</w:t>
            </w:r>
          </w:p>
          <w:p>
            <w:pPr>
              <w:pStyle w:val="TableParagraph"/>
              <w:spacing w:line="273" w:lineRule="auto" w:before="37"/>
              <w:ind w:left="106" w:right="313"/>
              <w:jc w:val="both"/>
              <w:rPr>
                <w:sz w:val="21"/>
              </w:rPr>
            </w:pPr>
            <w:r>
              <w:rPr>
                <w:spacing w:val="-3"/>
                <w:sz w:val="21"/>
              </w:rPr>
              <w:t>本保单所指的系统性红斑狼疮仅限于累及肾脏</w:t>
            </w:r>
            <w:r>
              <w:rPr>
                <w:sz w:val="21"/>
              </w:rPr>
              <w:t>（</w:t>
            </w:r>
            <w:r>
              <w:rPr>
                <w:spacing w:val="-3"/>
                <w:sz w:val="21"/>
              </w:rPr>
              <w:t>经肾脏活检确认的，符</w:t>
            </w:r>
            <w:r>
              <w:rPr>
                <w:spacing w:val="-26"/>
                <w:sz w:val="21"/>
              </w:rPr>
              <w:t>合 </w:t>
            </w:r>
            <w:r>
              <w:rPr>
                <w:sz w:val="21"/>
              </w:rPr>
              <w:t>WHO</w:t>
            </w:r>
            <w:r>
              <w:rPr>
                <w:spacing w:val="-15"/>
                <w:sz w:val="21"/>
              </w:rPr>
              <w:t> 诊断标准定义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的系统性红斑狼疮。其他类型的红斑性狼疮，如盘状狼疮、仅累及血液及关节的狼疮不在本保单保障范围內。</w:t>
            </w:r>
          </w:p>
          <w:p>
            <w:pPr>
              <w:pStyle w:val="TableParagraph"/>
              <w:spacing w:before="7"/>
              <w:ind w:left="106"/>
              <w:jc w:val="both"/>
              <w:rPr>
                <w:sz w:val="21"/>
              </w:rPr>
            </w:pPr>
            <w:r>
              <w:rPr>
                <w:sz w:val="21"/>
              </w:rPr>
              <w:t>本病必须由免疫和风湿科专家医师确诊。</w:t>
            </w:r>
          </w:p>
          <w:p>
            <w:pPr>
              <w:pStyle w:val="TableParagraph"/>
              <w:spacing w:before="0"/>
              <w:ind w:left="0"/>
              <w:rPr>
                <w:rFonts w:ascii="Times New Roman"/>
                <w:sz w:val="20"/>
              </w:rPr>
            </w:pPr>
          </w:p>
          <w:p>
            <w:pPr>
              <w:pStyle w:val="TableParagraph"/>
              <w:spacing w:before="118"/>
              <w:ind w:left="106"/>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7"/>
              </w:numPr>
              <w:tabs>
                <w:tab w:pos="393" w:val="left" w:leader="none"/>
                <w:tab w:pos="2456" w:val="left" w:leader="none"/>
              </w:tabs>
              <w:spacing w:line="240" w:lineRule="auto" w:before="36" w:after="0"/>
              <w:ind w:left="234"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499" w:val="left" w:leader="none"/>
                <w:tab w:pos="2456" w:val="left" w:leader="none"/>
              </w:tabs>
              <w:spacing w:line="240" w:lineRule="auto" w:before="36" w:after="0"/>
              <w:ind w:left="498"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604" w:val="left" w:leader="none"/>
                <w:tab w:pos="2456" w:val="left" w:leader="none"/>
              </w:tabs>
              <w:spacing w:line="273" w:lineRule="auto" w:before="37" w:after="0"/>
              <w:ind w:left="234" w:right="2586" w:firstLine="0"/>
              <w:jc w:val="left"/>
              <w:rPr>
                <w:sz w:val="21"/>
              </w:rPr>
            </w:pPr>
            <w:r>
              <w:rPr>
                <w:spacing w:val="-41"/>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499" w:val="left" w:leader="none"/>
                <w:tab w:pos="2456" w:val="left" w:leader="none"/>
              </w:tabs>
              <w:spacing w:line="240" w:lineRule="auto" w:before="7" w:after="0"/>
              <w:ind w:left="498"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7"/>
              </w:numPr>
              <w:tabs>
                <w:tab w:pos="393" w:val="left" w:leader="none"/>
                <w:tab w:pos="2456" w:val="left" w:leader="none"/>
              </w:tabs>
              <w:spacing w:line="240" w:lineRule="auto" w:before="36" w:after="0"/>
              <w:ind w:left="234"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936" w:hRule="atLeast"/>
        </w:trPr>
        <w:tc>
          <w:tcPr>
            <w:tcW w:w="824" w:type="dxa"/>
          </w:tcPr>
          <w:p>
            <w:pPr>
              <w:pStyle w:val="TableParagraph"/>
              <w:spacing w:before="142"/>
              <w:ind w:left="200"/>
              <w:rPr>
                <w:b/>
                <w:sz w:val="21"/>
              </w:rPr>
            </w:pPr>
            <w:r>
              <w:rPr>
                <w:b/>
                <w:sz w:val="21"/>
              </w:rPr>
              <w:t>6.5</w:t>
            </w:r>
          </w:p>
        </w:tc>
        <w:tc>
          <w:tcPr>
            <w:tcW w:w="1888" w:type="dxa"/>
          </w:tcPr>
          <w:p>
            <w:pPr>
              <w:pStyle w:val="TableParagraph"/>
              <w:spacing w:before="142"/>
              <w:ind w:left="307"/>
              <w:rPr>
                <w:b/>
                <w:sz w:val="21"/>
              </w:rPr>
            </w:pPr>
            <w:r>
              <w:rPr>
                <w:b/>
                <w:sz w:val="21"/>
              </w:rPr>
              <w:t>意外伤害</w:t>
            </w:r>
          </w:p>
        </w:tc>
        <w:tc>
          <w:tcPr>
            <w:tcW w:w="6939" w:type="dxa"/>
          </w:tcPr>
          <w:p>
            <w:pPr>
              <w:pStyle w:val="TableParagraph"/>
              <w:spacing w:line="273" w:lineRule="auto" w:before="142"/>
              <w:ind w:left="106" w:right="313"/>
              <w:rPr>
                <w:sz w:val="21"/>
              </w:rPr>
            </w:pPr>
            <w:r>
              <w:rPr>
                <w:sz w:val="21"/>
              </w:rPr>
              <w:t>指遭受外来的、突发的、非本意的、非疾病的使身体受到伤害的客观事件。</w:t>
            </w:r>
          </w:p>
        </w:tc>
      </w:tr>
      <w:tr>
        <w:trPr>
          <w:trHeight w:val="2496" w:hRule="atLeast"/>
        </w:trPr>
        <w:tc>
          <w:tcPr>
            <w:tcW w:w="824" w:type="dxa"/>
          </w:tcPr>
          <w:p>
            <w:pPr>
              <w:pStyle w:val="TableParagraph"/>
              <w:spacing w:before="142"/>
              <w:ind w:left="200"/>
              <w:rPr>
                <w:b/>
                <w:sz w:val="21"/>
              </w:rPr>
            </w:pPr>
            <w:r>
              <w:rPr>
                <w:b/>
                <w:sz w:val="21"/>
              </w:rPr>
              <w:t>6.6</w:t>
            </w:r>
          </w:p>
        </w:tc>
        <w:tc>
          <w:tcPr>
            <w:tcW w:w="1888" w:type="dxa"/>
          </w:tcPr>
          <w:p>
            <w:pPr>
              <w:pStyle w:val="TableParagraph"/>
              <w:spacing w:before="142"/>
              <w:ind w:left="307"/>
              <w:rPr>
                <w:b/>
                <w:sz w:val="21"/>
              </w:rPr>
            </w:pPr>
            <w:r>
              <w:rPr>
                <w:b/>
                <w:sz w:val="21"/>
              </w:rPr>
              <w:t>专科医生</w:t>
            </w:r>
          </w:p>
        </w:tc>
        <w:tc>
          <w:tcPr>
            <w:tcW w:w="6939" w:type="dxa"/>
          </w:tcPr>
          <w:p>
            <w:pPr>
              <w:pStyle w:val="TableParagraph"/>
              <w:spacing w:before="142"/>
              <w:ind w:left="106"/>
              <w:rPr>
                <w:sz w:val="21"/>
              </w:rPr>
            </w:pPr>
            <w:r>
              <w:rPr>
                <w:sz w:val="21"/>
              </w:rPr>
              <w:t>专科医生应当同时满足以下四项资格条件：</w:t>
            </w:r>
          </w:p>
          <w:p>
            <w:pPr>
              <w:pStyle w:val="TableParagraph"/>
              <w:spacing w:before="36"/>
              <w:ind w:left="188"/>
              <w:rPr>
                <w:sz w:val="21"/>
              </w:rPr>
            </w:pPr>
            <w:r>
              <w:rPr>
                <w:sz w:val="21"/>
              </w:rPr>
              <w:t>（1）具有有效的中华人民共和国《医师资格证书》；</w:t>
            </w:r>
          </w:p>
          <w:p>
            <w:pPr>
              <w:pStyle w:val="TableParagraph"/>
              <w:spacing w:line="273" w:lineRule="auto" w:before="36"/>
              <w:ind w:left="728" w:right="306" w:hanging="540"/>
              <w:rPr>
                <w:sz w:val="21"/>
              </w:rPr>
            </w:pPr>
            <w:r>
              <w:rPr>
                <w:sz w:val="21"/>
              </w:rPr>
              <w:t>（2）具有有效的中华人民共和国《医师执业证书》，并按期到相关部门登记注册；</w:t>
            </w:r>
          </w:p>
          <w:p>
            <w:pPr>
              <w:pStyle w:val="TableParagraph"/>
              <w:spacing w:line="273" w:lineRule="auto" w:before="7"/>
              <w:ind w:left="728" w:right="306" w:hanging="540"/>
              <w:rPr>
                <w:sz w:val="21"/>
              </w:rPr>
            </w:pPr>
            <w:r>
              <w:rPr>
                <w:sz w:val="21"/>
              </w:rPr>
              <w:t>（3）具有有效的中华人民共和国主治医师或主治医师以上职称的《医师职称证书》；</w:t>
            </w:r>
          </w:p>
          <w:p>
            <w:pPr>
              <w:pStyle w:val="TableParagraph"/>
              <w:spacing w:before="7"/>
              <w:ind w:left="188"/>
              <w:rPr>
                <w:sz w:val="21"/>
              </w:rPr>
            </w:pPr>
            <w:r>
              <w:rPr>
                <w:sz w:val="21"/>
              </w:rPr>
              <w:t>（4）在二级或二级以上医院的相应科室从事临床工作三年以上。</w:t>
            </w:r>
          </w:p>
        </w:tc>
      </w:tr>
      <w:tr>
        <w:trPr>
          <w:trHeight w:val="1560" w:hRule="atLeast"/>
        </w:trPr>
        <w:tc>
          <w:tcPr>
            <w:tcW w:w="824" w:type="dxa"/>
          </w:tcPr>
          <w:p>
            <w:pPr>
              <w:pStyle w:val="TableParagraph"/>
              <w:spacing w:before="142"/>
              <w:ind w:left="200"/>
              <w:rPr>
                <w:b/>
                <w:sz w:val="21"/>
              </w:rPr>
            </w:pPr>
            <w:r>
              <w:rPr>
                <w:b/>
                <w:sz w:val="21"/>
              </w:rPr>
              <w:t>6.7</w:t>
            </w:r>
          </w:p>
        </w:tc>
        <w:tc>
          <w:tcPr>
            <w:tcW w:w="1888" w:type="dxa"/>
          </w:tcPr>
          <w:p>
            <w:pPr>
              <w:pStyle w:val="TableParagraph"/>
              <w:spacing w:before="142"/>
              <w:ind w:left="307"/>
              <w:rPr>
                <w:b/>
                <w:sz w:val="21"/>
              </w:rPr>
            </w:pPr>
            <w:r>
              <w:rPr>
                <w:b/>
                <w:sz w:val="21"/>
              </w:rPr>
              <w:t>毒品</w:t>
            </w:r>
          </w:p>
        </w:tc>
        <w:tc>
          <w:tcPr>
            <w:tcW w:w="6939" w:type="dxa"/>
          </w:tcPr>
          <w:p>
            <w:pPr>
              <w:pStyle w:val="TableParagraph"/>
              <w:spacing w:line="273" w:lineRule="auto" w:before="142"/>
              <w:ind w:left="106"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24" w:type="dxa"/>
          </w:tcPr>
          <w:p>
            <w:pPr>
              <w:pStyle w:val="TableParagraph"/>
              <w:spacing w:before="142"/>
              <w:ind w:left="200"/>
              <w:rPr>
                <w:b/>
                <w:sz w:val="21"/>
              </w:rPr>
            </w:pPr>
            <w:r>
              <w:rPr>
                <w:b/>
                <w:sz w:val="21"/>
              </w:rPr>
              <w:t>6.8</w:t>
            </w:r>
          </w:p>
        </w:tc>
        <w:tc>
          <w:tcPr>
            <w:tcW w:w="1888" w:type="dxa"/>
          </w:tcPr>
          <w:p>
            <w:pPr>
              <w:pStyle w:val="TableParagraph"/>
              <w:spacing w:before="142"/>
              <w:ind w:left="307"/>
              <w:rPr>
                <w:b/>
                <w:sz w:val="21"/>
              </w:rPr>
            </w:pPr>
            <w:r>
              <w:rPr>
                <w:b/>
                <w:sz w:val="21"/>
              </w:rPr>
              <w:t>酒后驾驶</w:t>
            </w:r>
          </w:p>
        </w:tc>
        <w:tc>
          <w:tcPr>
            <w:tcW w:w="6939" w:type="dxa"/>
          </w:tcPr>
          <w:p>
            <w:pPr>
              <w:pStyle w:val="TableParagraph"/>
              <w:spacing w:line="273" w:lineRule="auto" w:before="142"/>
              <w:ind w:left="106" w:right="197"/>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1977" w:hRule="atLeast"/>
        </w:trPr>
        <w:tc>
          <w:tcPr>
            <w:tcW w:w="824" w:type="dxa"/>
          </w:tcPr>
          <w:p>
            <w:pPr>
              <w:pStyle w:val="TableParagraph"/>
              <w:spacing w:before="142"/>
              <w:ind w:left="200"/>
              <w:rPr>
                <w:b/>
                <w:sz w:val="21"/>
              </w:rPr>
            </w:pPr>
            <w:r>
              <w:rPr>
                <w:b/>
                <w:sz w:val="21"/>
              </w:rPr>
              <w:t>6.9</w:t>
            </w:r>
          </w:p>
        </w:tc>
        <w:tc>
          <w:tcPr>
            <w:tcW w:w="1888" w:type="dxa"/>
          </w:tcPr>
          <w:p>
            <w:pPr>
              <w:pStyle w:val="TableParagraph"/>
              <w:spacing w:line="273" w:lineRule="auto" w:before="142"/>
              <w:ind w:left="307" w:right="311"/>
              <w:rPr>
                <w:b/>
                <w:sz w:val="21"/>
              </w:rPr>
            </w:pPr>
            <w:r>
              <w:rPr>
                <w:b/>
                <w:sz w:val="21"/>
              </w:rPr>
              <w:t>无合法有效驾驶证驾驶</w:t>
            </w:r>
          </w:p>
        </w:tc>
        <w:tc>
          <w:tcPr>
            <w:tcW w:w="6939" w:type="dxa"/>
          </w:tcPr>
          <w:p>
            <w:pPr>
              <w:pStyle w:val="TableParagraph"/>
              <w:spacing w:before="142"/>
              <w:ind w:left="106"/>
              <w:rPr>
                <w:sz w:val="21"/>
              </w:rPr>
            </w:pPr>
            <w:r>
              <w:rPr>
                <w:sz w:val="21"/>
              </w:rPr>
              <w:t>指下列情形之一：</w:t>
            </w:r>
          </w:p>
          <w:p>
            <w:pPr>
              <w:pStyle w:val="TableParagraph"/>
              <w:spacing w:before="36"/>
              <w:ind w:left="178"/>
              <w:rPr>
                <w:sz w:val="21"/>
              </w:rPr>
            </w:pPr>
            <w:r>
              <w:rPr>
                <w:sz w:val="21"/>
              </w:rPr>
              <w:t>（1）没有取得驾驶资格；</w:t>
            </w:r>
          </w:p>
          <w:p>
            <w:pPr>
              <w:pStyle w:val="TableParagraph"/>
              <w:spacing w:before="36"/>
              <w:ind w:left="178"/>
              <w:rPr>
                <w:sz w:val="21"/>
              </w:rPr>
            </w:pPr>
            <w:r>
              <w:rPr>
                <w:sz w:val="21"/>
              </w:rPr>
              <w:t>（2）驾驶与驾驶证准驾车型不相符合的车辆；</w:t>
            </w:r>
          </w:p>
          <w:p>
            <w:pPr>
              <w:pStyle w:val="TableParagraph"/>
              <w:spacing w:before="36"/>
              <w:ind w:left="178"/>
              <w:rPr>
                <w:sz w:val="21"/>
              </w:rPr>
            </w:pPr>
            <w:r>
              <w:rPr>
                <w:sz w:val="21"/>
              </w:rPr>
              <w:t>（3）持审验不合格的驾驶证驾驶；</w:t>
            </w:r>
          </w:p>
          <w:p>
            <w:pPr>
              <w:pStyle w:val="TableParagraph"/>
              <w:spacing w:line="310" w:lineRule="atLeast" w:before="1"/>
              <w:ind w:left="702" w:right="140" w:hanging="524"/>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912" w:top="1580" w:bottom="1100" w:left="100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835"/>
        <w:gridCol w:w="6939"/>
      </w:tblGrid>
      <w:tr>
        <w:trPr>
          <w:trHeight w:val="1042" w:hRule="atLeast"/>
        </w:trPr>
        <w:tc>
          <w:tcPr>
            <w:tcW w:w="877" w:type="dxa"/>
          </w:tcPr>
          <w:p>
            <w:pPr>
              <w:pStyle w:val="TableParagraph"/>
              <w:spacing w:line="202" w:lineRule="exact" w:before="0"/>
              <w:ind w:left="200"/>
              <w:rPr>
                <w:b/>
                <w:sz w:val="21"/>
              </w:rPr>
            </w:pPr>
            <w:r>
              <w:rPr>
                <w:b/>
                <w:sz w:val="21"/>
              </w:rPr>
              <w:t>6.10</w:t>
            </w:r>
          </w:p>
        </w:tc>
        <w:tc>
          <w:tcPr>
            <w:tcW w:w="1835" w:type="dxa"/>
          </w:tcPr>
          <w:p>
            <w:pPr>
              <w:pStyle w:val="TableParagraph"/>
              <w:spacing w:line="202" w:lineRule="exact" w:before="0"/>
              <w:ind w:left="254"/>
              <w:rPr>
                <w:b/>
                <w:sz w:val="21"/>
              </w:rPr>
            </w:pPr>
            <w:r>
              <w:rPr>
                <w:b/>
                <w:sz w:val="21"/>
              </w:rPr>
              <w:t>无有效行驶证</w:t>
            </w:r>
          </w:p>
        </w:tc>
        <w:tc>
          <w:tcPr>
            <w:tcW w:w="6939" w:type="dxa"/>
          </w:tcPr>
          <w:p>
            <w:pPr>
              <w:pStyle w:val="TableParagraph"/>
              <w:spacing w:line="202" w:lineRule="exact" w:before="0"/>
              <w:ind w:left="106"/>
              <w:rPr>
                <w:sz w:val="21"/>
              </w:rPr>
            </w:pPr>
            <w:r>
              <w:rPr>
                <w:sz w:val="21"/>
              </w:rPr>
              <w:t>指下列情形之一：</w:t>
            </w:r>
          </w:p>
          <w:p>
            <w:pPr>
              <w:pStyle w:val="TableParagraph"/>
              <w:spacing w:before="37"/>
              <w:ind w:left="106"/>
              <w:rPr>
                <w:sz w:val="21"/>
              </w:rPr>
            </w:pPr>
            <w:r>
              <w:rPr>
                <w:sz w:val="21"/>
              </w:rPr>
              <w:t>（1）机动车被依法注销登记的；</w:t>
            </w:r>
          </w:p>
          <w:p>
            <w:pPr>
              <w:pStyle w:val="TableParagraph"/>
              <w:spacing w:before="36"/>
              <w:ind w:left="106"/>
              <w:rPr>
                <w:sz w:val="21"/>
              </w:rPr>
            </w:pPr>
            <w:r>
              <w:rPr>
                <w:sz w:val="21"/>
              </w:rPr>
              <w:t>（2）未依法按时进行或通过机动车安全技术检验。</w:t>
            </w:r>
          </w:p>
        </w:tc>
      </w:tr>
      <w:tr>
        <w:trPr>
          <w:trHeight w:val="935" w:hRule="atLeast"/>
        </w:trPr>
        <w:tc>
          <w:tcPr>
            <w:tcW w:w="877" w:type="dxa"/>
          </w:tcPr>
          <w:p>
            <w:pPr>
              <w:pStyle w:val="TableParagraph"/>
              <w:ind w:left="200"/>
              <w:rPr>
                <w:b/>
                <w:sz w:val="21"/>
              </w:rPr>
            </w:pPr>
            <w:r>
              <w:rPr>
                <w:b/>
                <w:sz w:val="21"/>
              </w:rPr>
              <w:t>6.11</w:t>
            </w:r>
          </w:p>
        </w:tc>
        <w:tc>
          <w:tcPr>
            <w:tcW w:w="1835" w:type="dxa"/>
          </w:tcPr>
          <w:p>
            <w:pPr>
              <w:pStyle w:val="TableParagraph"/>
              <w:ind w:left="254"/>
              <w:rPr>
                <w:b/>
                <w:sz w:val="21"/>
              </w:rPr>
            </w:pPr>
            <w:r>
              <w:rPr>
                <w:b/>
                <w:sz w:val="21"/>
              </w:rPr>
              <w:t>遗传性疾病</w:t>
            </w:r>
          </w:p>
        </w:tc>
        <w:tc>
          <w:tcPr>
            <w:tcW w:w="6939" w:type="dxa"/>
          </w:tcPr>
          <w:p>
            <w:pPr>
              <w:pStyle w:val="TableParagraph"/>
              <w:spacing w:line="273" w:lineRule="auto"/>
              <w:ind w:left="106" w:right="31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7" w:type="dxa"/>
          </w:tcPr>
          <w:p>
            <w:pPr>
              <w:pStyle w:val="TableParagraph"/>
              <w:ind w:left="200"/>
              <w:rPr>
                <w:b/>
                <w:sz w:val="21"/>
              </w:rPr>
            </w:pPr>
            <w:r>
              <w:rPr>
                <w:b/>
                <w:sz w:val="21"/>
              </w:rPr>
              <w:t>6.12</w:t>
            </w:r>
          </w:p>
        </w:tc>
        <w:tc>
          <w:tcPr>
            <w:tcW w:w="1835" w:type="dxa"/>
          </w:tcPr>
          <w:p>
            <w:pPr>
              <w:pStyle w:val="TableParagraph"/>
              <w:spacing w:line="273" w:lineRule="auto"/>
              <w:ind w:left="254" w:right="105"/>
              <w:rPr>
                <w:b/>
                <w:sz w:val="21"/>
              </w:rPr>
            </w:pPr>
            <w:r>
              <w:rPr>
                <w:b/>
                <w:spacing w:val="-1"/>
                <w:sz w:val="21"/>
              </w:rPr>
              <w:t>先天性畸形、变形或染色体异 常</w:t>
            </w:r>
          </w:p>
        </w:tc>
        <w:tc>
          <w:tcPr>
            <w:tcW w:w="6939" w:type="dxa"/>
          </w:tcPr>
          <w:p>
            <w:pPr>
              <w:pStyle w:val="TableParagraph"/>
              <w:spacing w:line="273" w:lineRule="auto"/>
              <w:ind w:left="106" w:right="313"/>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77" w:type="dxa"/>
          </w:tcPr>
          <w:p>
            <w:pPr>
              <w:pStyle w:val="TableParagraph"/>
              <w:ind w:left="200"/>
              <w:rPr>
                <w:b/>
                <w:sz w:val="21"/>
              </w:rPr>
            </w:pPr>
            <w:r>
              <w:rPr>
                <w:b/>
                <w:sz w:val="21"/>
              </w:rPr>
              <w:t>6.13</w:t>
            </w:r>
          </w:p>
        </w:tc>
        <w:tc>
          <w:tcPr>
            <w:tcW w:w="1835" w:type="dxa"/>
          </w:tcPr>
          <w:p>
            <w:pPr>
              <w:pStyle w:val="TableParagraph"/>
              <w:spacing w:line="273" w:lineRule="auto"/>
              <w:ind w:left="254" w:right="311"/>
              <w:rPr>
                <w:b/>
                <w:sz w:val="21"/>
              </w:rPr>
            </w:pPr>
            <w:r>
              <w:rPr>
                <w:b/>
                <w:sz w:val="21"/>
              </w:rPr>
              <w:t>本合同约定利率</w:t>
            </w:r>
          </w:p>
        </w:tc>
        <w:tc>
          <w:tcPr>
            <w:tcW w:w="6939" w:type="dxa"/>
          </w:tcPr>
          <w:p>
            <w:pPr>
              <w:pStyle w:val="TableParagraph"/>
              <w:spacing w:line="273" w:lineRule="auto"/>
              <w:ind w:left="106" w:right="313"/>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5" w:hRule="atLeast"/>
        </w:trPr>
        <w:tc>
          <w:tcPr>
            <w:tcW w:w="877" w:type="dxa"/>
          </w:tcPr>
          <w:p>
            <w:pPr>
              <w:pStyle w:val="TableParagraph"/>
              <w:ind w:left="200"/>
              <w:rPr>
                <w:b/>
                <w:sz w:val="21"/>
              </w:rPr>
            </w:pPr>
            <w:r>
              <w:rPr>
                <w:b/>
                <w:sz w:val="21"/>
              </w:rPr>
              <w:t>6.14</w:t>
            </w:r>
          </w:p>
        </w:tc>
        <w:tc>
          <w:tcPr>
            <w:tcW w:w="1835" w:type="dxa"/>
          </w:tcPr>
          <w:p>
            <w:pPr>
              <w:pStyle w:val="TableParagraph"/>
              <w:spacing w:line="273" w:lineRule="auto"/>
              <w:ind w:left="254" w:right="311"/>
              <w:rPr>
                <w:b/>
                <w:sz w:val="21"/>
              </w:rPr>
            </w:pPr>
            <w:r>
              <w:rPr>
                <w:b/>
                <w:sz w:val="21"/>
              </w:rPr>
              <w:t>肢体机能完全丧失</w:t>
            </w:r>
          </w:p>
        </w:tc>
        <w:tc>
          <w:tcPr>
            <w:tcW w:w="6939" w:type="dxa"/>
          </w:tcPr>
          <w:p>
            <w:pPr>
              <w:pStyle w:val="TableParagraph"/>
              <w:spacing w:line="273" w:lineRule="auto"/>
              <w:ind w:left="106" w:right="31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7" w:type="dxa"/>
          </w:tcPr>
          <w:p>
            <w:pPr>
              <w:pStyle w:val="TableParagraph"/>
              <w:ind w:left="200"/>
              <w:rPr>
                <w:b/>
                <w:sz w:val="21"/>
              </w:rPr>
            </w:pPr>
            <w:r>
              <w:rPr>
                <w:b/>
                <w:sz w:val="21"/>
              </w:rPr>
              <w:t>6.15</w:t>
            </w:r>
          </w:p>
        </w:tc>
        <w:tc>
          <w:tcPr>
            <w:tcW w:w="1835" w:type="dxa"/>
          </w:tcPr>
          <w:p>
            <w:pPr>
              <w:pStyle w:val="TableParagraph"/>
              <w:spacing w:line="273" w:lineRule="auto"/>
              <w:ind w:left="254" w:right="311"/>
              <w:jc w:val="both"/>
              <w:rPr>
                <w:b/>
                <w:sz w:val="21"/>
              </w:rPr>
            </w:pPr>
            <w:r>
              <w:rPr>
                <w:b/>
                <w:sz w:val="21"/>
              </w:rPr>
              <w:t>语言能力或咀嚼吞咽能力完全丧失</w:t>
            </w:r>
          </w:p>
        </w:tc>
        <w:tc>
          <w:tcPr>
            <w:tcW w:w="6939" w:type="dxa"/>
          </w:tcPr>
          <w:p>
            <w:pPr>
              <w:pStyle w:val="TableParagraph"/>
              <w:spacing w:line="273" w:lineRule="auto"/>
              <w:ind w:left="106"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106"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0" w:hRule="atLeast"/>
        </w:trPr>
        <w:tc>
          <w:tcPr>
            <w:tcW w:w="877" w:type="dxa"/>
          </w:tcPr>
          <w:p>
            <w:pPr>
              <w:pStyle w:val="TableParagraph"/>
              <w:ind w:left="200"/>
              <w:rPr>
                <w:b/>
                <w:sz w:val="21"/>
              </w:rPr>
            </w:pPr>
            <w:r>
              <w:rPr>
                <w:b/>
                <w:sz w:val="21"/>
              </w:rPr>
              <w:t>6.16</w:t>
            </w:r>
          </w:p>
        </w:tc>
        <w:tc>
          <w:tcPr>
            <w:tcW w:w="1835" w:type="dxa"/>
          </w:tcPr>
          <w:p>
            <w:pPr>
              <w:pStyle w:val="TableParagraph"/>
              <w:spacing w:line="273" w:lineRule="auto"/>
              <w:ind w:left="254" w:right="311"/>
              <w:rPr>
                <w:b/>
                <w:sz w:val="21"/>
              </w:rPr>
            </w:pPr>
            <w:r>
              <w:rPr>
                <w:b/>
                <w:sz w:val="21"/>
              </w:rPr>
              <w:t>六项基本日常生活活动</w:t>
            </w:r>
          </w:p>
        </w:tc>
        <w:tc>
          <w:tcPr>
            <w:tcW w:w="6939" w:type="dxa"/>
          </w:tcPr>
          <w:p>
            <w:pPr>
              <w:pStyle w:val="TableParagraph"/>
              <w:ind w:left="106"/>
              <w:rPr>
                <w:sz w:val="21"/>
              </w:rPr>
            </w:pPr>
            <w:r>
              <w:rPr>
                <w:sz w:val="21"/>
              </w:rPr>
              <w:t>六项基本日常生活活动是指：</w:t>
            </w:r>
          </w:p>
          <w:p>
            <w:pPr>
              <w:pStyle w:val="TableParagraph"/>
              <w:spacing w:before="37"/>
              <w:ind w:left="106"/>
              <w:rPr>
                <w:sz w:val="21"/>
              </w:rPr>
            </w:pPr>
            <w:r>
              <w:rPr>
                <w:sz w:val="21"/>
              </w:rPr>
              <w:t>（1）穿衣：自己能够穿衣及脱衣；</w:t>
            </w:r>
          </w:p>
          <w:p>
            <w:pPr>
              <w:pStyle w:val="TableParagraph"/>
              <w:spacing w:before="37"/>
              <w:ind w:left="106"/>
              <w:rPr>
                <w:sz w:val="21"/>
              </w:rPr>
            </w:pPr>
            <w:r>
              <w:rPr>
                <w:sz w:val="21"/>
              </w:rPr>
              <w:t>（2）移动：自己从一个房间到另一个房间；</w:t>
            </w:r>
          </w:p>
          <w:p>
            <w:pPr>
              <w:pStyle w:val="TableParagraph"/>
              <w:spacing w:before="37"/>
              <w:ind w:left="106"/>
              <w:rPr>
                <w:sz w:val="21"/>
              </w:rPr>
            </w:pPr>
            <w:r>
              <w:rPr>
                <w:sz w:val="21"/>
              </w:rPr>
              <w:t>（3）行动：自己上下床或上下轮椅；</w:t>
            </w:r>
          </w:p>
          <w:p>
            <w:pPr>
              <w:pStyle w:val="TableParagraph"/>
              <w:spacing w:before="37"/>
              <w:ind w:left="106"/>
              <w:rPr>
                <w:sz w:val="21"/>
              </w:rPr>
            </w:pPr>
            <w:r>
              <w:rPr>
                <w:sz w:val="21"/>
              </w:rPr>
              <w:t>（4）如厕：自己控制进行大小便；</w:t>
            </w:r>
          </w:p>
          <w:p>
            <w:pPr>
              <w:pStyle w:val="TableParagraph"/>
              <w:spacing w:before="37"/>
              <w:ind w:left="106"/>
              <w:rPr>
                <w:sz w:val="21"/>
              </w:rPr>
            </w:pPr>
            <w:r>
              <w:rPr>
                <w:sz w:val="21"/>
              </w:rPr>
              <w:t>（5）进食：自己从已准备好的碗或碟中取食物放入口中；</w:t>
            </w:r>
          </w:p>
          <w:p>
            <w:pPr>
              <w:pStyle w:val="TableParagraph"/>
              <w:spacing w:before="37"/>
              <w:ind w:left="106"/>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7" w:type="dxa"/>
          </w:tcPr>
          <w:p>
            <w:pPr>
              <w:pStyle w:val="TableParagraph"/>
              <w:spacing w:before="129"/>
              <w:ind w:left="200"/>
              <w:rPr>
                <w:b/>
                <w:sz w:val="21"/>
              </w:rPr>
            </w:pPr>
            <w:r>
              <w:rPr>
                <w:b/>
                <w:sz w:val="21"/>
              </w:rPr>
              <w:t>6.17</w:t>
            </w:r>
          </w:p>
        </w:tc>
        <w:tc>
          <w:tcPr>
            <w:tcW w:w="1835" w:type="dxa"/>
          </w:tcPr>
          <w:p>
            <w:pPr>
              <w:pStyle w:val="TableParagraph"/>
              <w:spacing w:before="129"/>
              <w:ind w:left="254"/>
              <w:rPr>
                <w:b/>
                <w:sz w:val="21"/>
              </w:rPr>
            </w:pPr>
            <w:r>
              <w:rPr>
                <w:b/>
                <w:sz w:val="21"/>
              </w:rPr>
              <w:t>永久不可逆</w:t>
            </w:r>
          </w:p>
        </w:tc>
        <w:tc>
          <w:tcPr>
            <w:tcW w:w="6939" w:type="dxa"/>
          </w:tcPr>
          <w:p>
            <w:pPr>
              <w:pStyle w:val="TableParagraph"/>
              <w:spacing w:line="290" w:lineRule="atLeast" w:before="129"/>
              <w:ind w:left="106"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60" w:bottom="110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2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34" w:hanging="159"/>
        <w:jc w:val="left"/>
      </w:pPr>
      <w:rPr>
        <w:rFonts w:hint="default" w:ascii="宋体" w:hAnsi="宋体" w:eastAsia="宋体" w:cs="宋体"/>
        <w:w w:val="100"/>
        <w:sz w:val="21"/>
        <w:szCs w:val="21"/>
      </w:rPr>
    </w:lvl>
    <w:lvl w:ilvl="1">
      <w:start w:val="0"/>
      <w:numFmt w:val="bullet"/>
      <w:lvlText w:val="•"/>
      <w:lvlJc w:val="left"/>
      <w:pPr>
        <w:ind w:left="909" w:hanging="159"/>
      </w:pPr>
      <w:rPr>
        <w:rFonts w:hint="default"/>
      </w:rPr>
    </w:lvl>
    <w:lvl w:ilvl="2">
      <w:start w:val="0"/>
      <w:numFmt w:val="bullet"/>
      <w:lvlText w:val="•"/>
      <w:lvlJc w:val="left"/>
      <w:pPr>
        <w:ind w:left="1579" w:hanging="159"/>
      </w:pPr>
      <w:rPr>
        <w:rFonts w:hint="default"/>
      </w:rPr>
    </w:lvl>
    <w:lvl w:ilvl="3">
      <w:start w:val="0"/>
      <w:numFmt w:val="bullet"/>
      <w:lvlText w:val="•"/>
      <w:lvlJc w:val="left"/>
      <w:pPr>
        <w:ind w:left="2249" w:hanging="159"/>
      </w:pPr>
      <w:rPr>
        <w:rFonts w:hint="default"/>
      </w:rPr>
    </w:lvl>
    <w:lvl w:ilvl="4">
      <w:start w:val="0"/>
      <w:numFmt w:val="bullet"/>
      <w:lvlText w:val="•"/>
      <w:lvlJc w:val="left"/>
      <w:pPr>
        <w:ind w:left="2919" w:hanging="159"/>
      </w:pPr>
      <w:rPr>
        <w:rFonts w:hint="default"/>
      </w:rPr>
    </w:lvl>
    <w:lvl w:ilvl="5">
      <w:start w:val="0"/>
      <w:numFmt w:val="bullet"/>
      <w:lvlText w:val="•"/>
      <w:lvlJc w:val="left"/>
      <w:pPr>
        <w:ind w:left="3589" w:hanging="159"/>
      </w:pPr>
      <w:rPr>
        <w:rFonts w:hint="default"/>
      </w:rPr>
    </w:lvl>
    <w:lvl w:ilvl="6">
      <w:start w:val="0"/>
      <w:numFmt w:val="bullet"/>
      <w:lvlText w:val="•"/>
      <w:lvlJc w:val="left"/>
      <w:pPr>
        <w:ind w:left="4259" w:hanging="159"/>
      </w:pPr>
      <w:rPr>
        <w:rFonts w:hint="default"/>
      </w:rPr>
    </w:lvl>
    <w:lvl w:ilvl="7">
      <w:start w:val="0"/>
      <w:numFmt w:val="bullet"/>
      <w:lvlText w:val="•"/>
      <w:lvlJc w:val="left"/>
      <w:pPr>
        <w:ind w:left="4929" w:hanging="159"/>
      </w:pPr>
      <w:rPr>
        <w:rFonts w:hint="default"/>
      </w:rPr>
    </w:lvl>
    <w:lvl w:ilvl="8">
      <w:start w:val="0"/>
      <w:numFmt w:val="bullet"/>
      <w:lvlText w:val="•"/>
      <w:lvlJc w:val="left"/>
      <w:pPr>
        <w:ind w:left="5599" w:hanging="159"/>
      </w:pPr>
      <w:rPr>
        <w:rFonts w:hint="default"/>
      </w:rPr>
    </w:lvl>
  </w:abstractNum>
  <w:abstractNum w:abstractNumId="5">
    <w:multiLevelType w:val="hybridMultilevel"/>
    <w:lvl w:ilvl="0">
      <w:start w:val="2"/>
      <w:numFmt w:val="decimal"/>
      <w:lvlText w:val="（%1）"/>
      <w:lvlJc w:val="left"/>
      <w:pPr>
        <w:ind w:left="923" w:hanging="720"/>
        <w:jc w:val="left"/>
      </w:pPr>
      <w:rPr>
        <w:rFonts w:hint="default" w:ascii="黑体" w:hAnsi="黑体" w:eastAsia="黑体" w:cs="黑体"/>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108" w:hanging="720"/>
      </w:pPr>
      <w:rPr>
        <w:rFonts w:hint="default"/>
      </w:rPr>
    </w:lvl>
    <w:lvl w:ilvl="3">
      <w:start w:val="0"/>
      <w:numFmt w:val="bullet"/>
      <w:lvlText w:val="•"/>
      <w:lvlJc w:val="left"/>
      <w:pPr>
        <w:ind w:left="2702" w:hanging="720"/>
      </w:pPr>
      <w:rPr>
        <w:rFonts w:hint="default"/>
      </w:rPr>
    </w:lvl>
    <w:lvl w:ilvl="4">
      <w:start w:val="0"/>
      <w:numFmt w:val="bullet"/>
      <w:lvlText w:val="•"/>
      <w:lvlJc w:val="left"/>
      <w:pPr>
        <w:ind w:left="3296" w:hanging="720"/>
      </w:pPr>
      <w:rPr>
        <w:rFonts w:hint="default"/>
      </w:rPr>
    </w:lvl>
    <w:lvl w:ilvl="5">
      <w:start w:val="0"/>
      <w:numFmt w:val="bullet"/>
      <w:lvlText w:val="•"/>
      <w:lvlJc w:val="left"/>
      <w:pPr>
        <w:ind w:left="3890" w:hanging="720"/>
      </w:pPr>
      <w:rPr>
        <w:rFonts w:hint="default"/>
      </w:rPr>
    </w:lvl>
    <w:lvl w:ilvl="6">
      <w:start w:val="0"/>
      <w:numFmt w:val="bullet"/>
      <w:lvlText w:val="•"/>
      <w:lvlJc w:val="left"/>
      <w:pPr>
        <w:ind w:left="4484" w:hanging="720"/>
      </w:pPr>
      <w:rPr>
        <w:rFonts w:hint="default"/>
      </w:rPr>
    </w:lvl>
    <w:lvl w:ilvl="7">
      <w:start w:val="0"/>
      <w:numFmt w:val="bullet"/>
      <w:lvlText w:val="•"/>
      <w:lvlJc w:val="left"/>
      <w:pPr>
        <w:ind w:left="5078" w:hanging="720"/>
      </w:pPr>
      <w:rPr>
        <w:rFonts w:hint="default"/>
      </w:rPr>
    </w:lvl>
    <w:lvl w:ilvl="8">
      <w:start w:val="0"/>
      <w:numFmt w:val="bullet"/>
      <w:lvlText w:val="•"/>
      <w:lvlJc w:val="left"/>
      <w:pPr>
        <w:ind w:left="5672" w:hanging="720"/>
      </w:pPr>
      <w:rPr>
        <w:rFonts w:hint="default"/>
      </w:rPr>
    </w:lvl>
  </w:abstractNum>
  <w:abstractNum w:abstractNumId="4">
    <w:multiLevelType w:val="hybridMultilevel"/>
    <w:lvl w:ilvl="0">
      <w:start w:val="6"/>
      <w:numFmt w:val="decimal"/>
      <w:lvlText w:val="%1"/>
      <w:lvlJc w:val="left"/>
      <w:pPr>
        <w:ind w:left="620" w:hanging="423"/>
        <w:jc w:val="left"/>
      </w:pPr>
      <w:rPr>
        <w:rFonts w:hint="default"/>
      </w:rPr>
    </w:lvl>
    <w:lvl w:ilvl="1">
      <w:start w:val="4"/>
      <w:numFmt w:val="decimal"/>
      <w:lvlText w:val="%1.%2"/>
      <w:lvlJc w:val="left"/>
      <w:pPr>
        <w:ind w:left="685" w:hanging="423"/>
        <w:jc w:val="left"/>
      </w:pPr>
      <w:rPr>
        <w:rFonts w:hint="default" w:ascii="宋体" w:hAnsi="宋体" w:eastAsia="宋体" w:cs="宋体"/>
        <w:w w:val="100"/>
        <w:sz w:val="21"/>
        <w:szCs w:val="21"/>
      </w:rPr>
    </w:lvl>
    <w:lvl w:ilvl="2">
      <w:start w:val="0"/>
      <w:numFmt w:val="bullet"/>
      <w:lvlText w:val="•"/>
      <w:lvlJc w:val="left"/>
      <w:pPr>
        <w:ind w:left="990" w:hanging="423"/>
      </w:pPr>
      <w:rPr>
        <w:rFonts w:hint="default"/>
      </w:rPr>
    </w:lvl>
    <w:lvl w:ilvl="3">
      <w:start w:val="0"/>
      <w:numFmt w:val="bullet"/>
      <w:lvlText w:val="•"/>
      <w:lvlJc w:val="left"/>
      <w:pPr>
        <w:ind w:left="1301" w:hanging="423"/>
      </w:pPr>
      <w:rPr>
        <w:rFonts w:hint="default"/>
      </w:rPr>
    </w:lvl>
    <w:lvl w:ilvl="4">
      <w:start w:val="0"/>
      <w:numFmt w:val="bullet"/>
      <w:lvlText w:val="•"/>
      <w:lvlJc w:val="left"/>
      <w:pPr>
        <w:ind w:left="1612" w:hanging="423"/>
      </w:pPr>
      <w:rPr>
        <w:rFonts w:hint="default"/>
      </w:rPr>
    </w:lvl>
    <w:lvl w:ilvl="5">
      <w:start w:val="0"/>
      <w:numFmt w:val="bullet"/>
      <w:lvlText w:val="•"/>
      <w:lvlJc w:val="left"/>
      <w:pPr>
        <w:ind w:left="1923"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856" w:hanging="423"/>
      </w:pPr>
      <w:rPr>
        <w:rFonts w:hint="default"/>
      </w:rPr>
    </w:lvl>
  </w:abstractNum>
  <w:abstractNum w:abstractNumId="3">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6"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92" w:hanging="423"/>
      </w:pPr>
      <w:rPr>
        <w:rFonts w:hint="default"/>
      </w:rPr>
    </w:lvl>
    <w:lvl w:ilvl="6">
      <w:start w:val="0"/>
      <w:numFmt w:val="bullet"/>
      <w:lvlText w:val="•"/>
      <w:lvlJc w:val="left"/>
      <w:pPr>
        <w:ind w:left="2196" w:hanging="423"/>
      </w:pPr>
      <w:rPr>
        <w:rFonts w:hint="default"/>
      </w:rPr>
    </w:lvl>
    <w:lvl w:ilvl="7">
      <w:start w:val="0"/>
      <w:numFmt w:val="bullet"/>
      <w:lvlText w:val="•"/>
      <w:lvlJc w:val="left"/>
      <w:pPr>
        <w:ind w:left="2499" w:hanging="423"/>
      </w:pPr>
      <w:rPr>
        <w:rFonts w:hint="default"/>
      </w:rPr>
    </w:lvl>
    <w:lvl w:ilvl="8">
      <w:start w:val="0"/>
      <w:numFmt w:val="bullet"/>
      <w:lvlText w:val="•"/>
      <w:lvlJc w:val="left"/>
      <w:pPr>
        <w:ind w:left="2802" w:hanging="423"/>
      </w:pPr>
      <w:rPr>
        <w:rFonts w:hint="default"/>
      </w:rPr>
    </w:lvl>
  </w:abstractNum>
  <w:abstractNum w:abstractNumId="2">
    <w:multiLevelType w:val="hybridMultilevel"/>
    <w:lvl w:ilvl="0">
      <w:start w:val="3"/>
      <w:numFmt w:val="decimal"/>
      <w:lvlText w:val="%1"/>
      <w:lvlJc w:val="left"/>
      <w:pPr>
        <w:ind w:left="683" w:hanging="423"/>
        <w:jc w:val="left"/>
      </w:pPr>
      <w:rPr>
        <w:rFonts w:hint="default"/>
      </w:rPr>
    </w:lvl>
    <w:lvl w:ilvl="1">
      <w:start w:val="4"/>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225" w:hanging="423"/>
      </w:pPr>
      <w:rPr>
        <w:rFonts w:hint="default"/>
      </w:rPr>
    </w:lvl>
    <w:lvl w:ilvl="3">
      <w:start w:val="0"/>
      <w:numFmt w:val="bullet"/>
      <w:lvlText w:val="•"/>
      <w:lvlJc w:val="left"/>
      <w:pPr>
        <w:ind w:left="1498" w:hanging="423"/>
      </w:pPr>
      <w:rPr>
        <w:rFonts w:hint="default"/>
      </w:rPr>
    </w:lvl>
    <w:lvl w:ilvl="4">
      <w:start w:val="0"/>
      <w:numFmt w:val="bullet"/>
      <w:lvlText w:val="•"/>
      <w:lvlJc w:val="left"/>
      <w:pPr>
        <w:ind w:left="1771"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317" w:hanging="423"/>
      </w:pPr>
      <w:rPr>
        <w:rFonts w:hint="default"/>
      </w:rPr>
    </w:lvl>
    <w:lvl w:ilvl="7">
      <w:start w:val="0"/>
      <w:numFmt w:val="bullet"/>
      <w:lvlText w:val="•"/>
      <w:lvlJc w:val="left"/>
      <w:pPr>
        <w:ind w:left="2590" w:hanging="423"/>
      </w:pPr>
      <w:rPr>
        <w:rFonts w:hint="default"/>
      </w:rPr>
    </w:lvl>
    <w:lvl w:ilvl="8">
      <w:start w:val="0"/>
      <w:numFmt w:val="bullet"/>
      <w:lvlText w:val="•"/>
      <w:lvlJc w:val="left"/>
      <w:pPr>
        <w:ind w:left="2863"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9" w:hanging="423"/>
      </w:pPr>
      <w:rPr>
        <w:rFonts w:hint="default"/>
      </w:rPr>
    </w:lvl>
    <w:lvl w:ilvl="4">
      <w:start w:val="0"/>
      <w:numFmt w:val="bullet"/>
      <w:lvlText w:val="•"/>
      <w:lvlJc w:val="left"/>
      <w:pPr>
        <w:ind w:left="1544" w:hanging="423"/>
      </w:pPr>
      <w:rPr>
        <w:rFonts w:hint="default"/>
      </w:rPr>
    </w:lvl>
    <w:lvl w:ilvl="5">
      <w:start w:val="0"/>
      <w:numFmt w:val="bullet"/>
      <w:lvlText w:val="•"/>
      <w:lvlJc w:val="left"/>
      <w:pPr>
        <w:ind w:left="1819" w:hanging="423"/>
      </w:pPr>
      <w:rPr>
        <w:rFonts w:hint="default"/>
      </w:rPr>
    </w:lvl>
    <w:lvl w:ilvl="6">
      <w:start w:val="0"/>
      <w:numFmt w:val="bullet"/>
      <w:lvlText w:val="•"/>
      <w:lvlJc w:val="left"/>
      <w:pPr>
        <w:ind w:left="2094" w:hanging="423"/>
      </w:pPr>
      <w:rPr>
        <w:rFonts w:hint="default"/>
      </w:rPr>
    </w:lvl>
    <w:lvl w:ilvl="7">
      <w:start w:val="0"/>
      <w:numFmt w:val="bullet"/>
      <w:lvlText w:val="•"/>
      <w:lvlJc w:val="left"/>
      <w:pPr>
        <w:ind w:left="2369" w:hanging="423"/>
      </w:pPr>
      <w:rPr>
        <w:rFonts w:hint="default"/>
      </w:rPr>
    </w:lvl>
    <w:lvl w:ilvl="8">
      <w:start w:val="0"/>
      <w:numFmt w:val="bullet"/>
      <w:lvlText w:val="•"/>
      <w:lvlJc w:val="left"/>
      <w:pPr>
        <w:ind w:left="2644" w:hanging="423"/>
      </w:pPr>
      <w:rPr>
        <w:rFonts w:hint="default"/>
      </w:rPr>
    </w:lvl>
  </w:abstractNum>
  <w:abstractNum w:abstractNumId="0">
    <w:multiLevelType w:val="hybridMultilevel"/>
    <w:lvl w:ilvl="0">
      <w:start w:val="0"/>
      <w:numFmt w:val="bullet"/>
      <w:lvlText w:val=""/>
      <w:lvlJc w:val="left"/>
      <w:pPr>
        <w:ind w:left="1275" w:hanging="399"/>
      </w:pPr>
      <w:rPr>
        <w:rFonts w:hint="default" w:ascii="Wingdings" w:hAnsi="Wingdings" w:eastAsia="Wingdings" w:cs="Wingdings"/>
        <w:w w:val="100"/>
        <w:sz w:val="21"/>
        <w:szCs w:val="21"/>
      </w:rPr>
    </w:lvl>
    <w:lvl w:ilvl="1">
      <w:start w:val="0"/>
      <w:numFmt w:val="bullet"/>
      <w:lvlText w:val="•"/>
      <w:lvlJc w:val="left"/>
      <w:pPr>
        <w:ind w:left="2244" w:hanging="399"/>
      </w:pPr>
      <w:rPr>
        <w:rFonts w:hint="default"/>
      </w:rPr>
    </w:lvl>
    <w:lvl w:ilvl="2">
      <w:start w:val="0"/>
      <w:numFmt w:val="bullet"/>
      <w:lvlText w:val="•"/>
      <w:lvlJc w:val="left"/>
      <w:pPr>
        <w:ind w:left="3209" w:hanging="399"/>
      </w:pPr>
      <w:rPr>
        <w:rFonts w:hint="default"/>
      </w:rPr>
    </w:lvl>
    <w:lvl w:ilvl="3">
      <w:start w:val="0"/>
      <w:numFmt w:val="bullet"/>
      <w:lvlText w:val="•"/>
      <w:lvlJc w:val="left"/>
      <w:pPr>
        <w:ind w:left="4173" w:hanging="399"/>
      </w:pPr>
      <w:rPr>
        <w:rFonts w:hint="default"/>
      </w:rPr>
    </w:lvl>
    <w:lvl w:ilvl="4">
      <w:start w:val="0"/>
      <w:numFmt w:val="bullet"/>
      <w:lvlText w:val="•"/>
      <w:lvlJc w:val="left"/>
      <w:pPr>
        <w:ind w:left="5138" w:hanging="399"/>
      </w:pPr>
      <w:rPr>
        <w:rFonts w:hint="default"/>
      </w:rPr>
    </w:lvl>
    <w:lvl w:ilvl="5">
      <w:start w:val="0"/>
      <w:numFmt w:val="bullet"/>
      <w:lvlText w:val="•"/>
      <w:lvlJc w:val="left"/>
      <w:pPr>
        <w:ind w:left="6103" w:hanging="399"/>
      </w:pPr>
      <w:rPr>
        <w:rFonts w:hint="default"/>
      </w:rPr>
    </w:lvl>
    <w:lvl w:ilvl="6">
      <w:start w:val="0"/>
      <w:numFmt w:val="bullet"/>
      <w:lvlText w:val="•"/>
      <w:lvlJc w:val="left"/>
      <w:pPr>
        <w:ind w:left="7067" w:hanging="399"/>
      </w:pPr>
      <w:rPr>
        <w:rFonts w:hint="default"/>
      </w:rPr>
    </w:lvl>
    <w:lvl w:ilvl="7">
      <w:start w:val="0"/>
      <w:numFmt w:val="bullet"/>
      <w:lvlText w:val="•"/>
      <w:lvlJc w:val="left"/>
      <w:pPr>
        <w:ind w:left="8032" w:hanging="399"/>
      </w:pPr>
      <w:rPr>
        <w:rFonts w:hint="default"/>
      </w:rPr>
    </w:lvl>
    <w:lvl w:ilvl="8">
      <w:start w:val="0"/>
      <w:numFmt w:val="bullet"/>
      <w:lvlText w:val="•"/>
      <w:lvlJc w:val="left"/>
      <w:pPr>
        <w:ind w:left="8997"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83"/>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75" w:hanging="399"/>
    </w:pPr>
    <w:rPr>
      <w:rFonts w:ascii="宋体" w:hAnsi="宋体" w:eastAsia="宋体" w:cs="宋体"/>
    </w:rPr>
  </w:style>
  <w:style w:styleId="TableParagraph" w:type="paragraph">
    <w:name w:val="Table Paragraph"/>
    <w:basedOn w:val="Normal"/>
    <w:uiPriority w:val="1"/>
    <w:qFormat/>
    <w:pPr>
      <w:spacing w:before="134"/>
      <w:ind w:left="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2018-10-20T04:23:50Z</dcterms:created>
  <dcterms:modified xsi:type="dcterms:W3CDTF">2018-10-20T04:23:50Z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Microsoft® Office Word 2007</vt:lpwstr>
  </property>
  <property fmtid="{D5CDD505-2E9C-101B-9397-08002B2CF9AE}" pid="4" name="LastSaved">
    <vt:filetime>2018-10-19T00:00:00Z</vt:filetime>
  </property>
</Properties>
</file>