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Pr>
          <w:rFonts w:ascii="Times New Roman"/>
          <w:sz w:val="18"/>
        </w:rPr>
      </w:pPr>
    </w:p>
    <w:p>
      <w:pPr>
        <w:pStyle w:val="BodyText"/>
        <w:ind w:left="340"/>
        <w:rPr>
          <w:rFonts w:ascii="Times New Roman"/>
          <w:sz w:val="20"/>
        </w:rPr>
      </w:pPr>
      <w:r>
        <w:rPr>
          <w:rFonts w:ascii="Times New Roman"/>
          <w:sz w:val="20"/>
        </w:rPr>
        <w:drawing>
          <wp:inline distT="0" distB="0" distL="0" distR="0">
            <wp:extent cx="1179576" cy="3749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79576" cy="374903"/>
                    </a:xfrm>
                    <a:prstGeom prst="rect">
                      <a:avLst/>
                    </a:prstGeom>
                  </pic:spPr>
                </pic:pic>
              </a:graphicData>
            </a:graphic>
          </wp:inline>
        </w:drawing>
      </w:r>
      <w:r>
        <w:rPr>
          <w:rFonts w:ascii="Times New Roman"/>
          <w:sz w:val="20"/>
        </w:rPr>
      </w:r>
    </w:p>
    <w:p>
      <w:pPr>
        <w:spacing w:line="254" w:lineRule="exact" w:before="25"/>
        <w:ind w:left="8754" w:right="0" w:firstLine="0"/>
        <w:jc w:val="left"/>
        <w:rPr>
          <w:sz w:val="20"/>
        </w:rPr>
      </w:pPr>
      <w:r>
        <w:rPr/>
        <w:drawing>
          <wp:anchor distT="0" distB="0" distL="0" distR="0" allowOverlap="1" layoutInCell="1" locked="0" behindDoc="0" simplePos="0" relativeHeight="1048">
            <wp:simplePos x="0" y="0"/>
            <wp:positionH relativeFrom="page">
              <wp:posOffset>6143244</wp:posOffset>
            </wp:positionH>
            <wp:positionV relativeFrom="paragraph">
              <wp:posOffset>-512448</wp:posOffset>
            </wp:positionV>
            <wp:extent cx="723900" cy="71475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14755"/>
                    </a:xfrm>
                    <a:prstGeom prst="rect">
                      <a:avLst/>
                    </a:prstGeom>
                  </pic:spPr>
                </pic:pic>
              </a:graphicData>
            </a:graphic>
          </wp:anchor>
        </w:drawing>
      </w:r>
      <w:r>
        <w:rPr>
          <w:w w:val="99"/>
          <w:sz w:val="20"/>
        </w:rPr>
        <w:t> </w:t>
      </w:r>
    </w:p>
    <w:p>
      <w:pPr>
        <w:spacing w:line="182" w:lineRule="auto" w:before="55"/>
        <w:ind w:left="8087" w:right="233" w:hanging="802"/>
        <w:jc w:val="right"/>
        <w:rPr>
          <w:sz w:val="20"/>
        </w:rPr>
      </w:pPr>
      <w:r>
        <w:rPr>
          <w:sz w:val="20"/>
        </w:rPr>
        <w:t>农银人寿[2013]疾病保险 003 号</w:t>
      </w:r>
      <w:r>
        <w:rPr>
          <w:w w:val="99"/>
          <w:sz w:val="20"/>
        </w:rPr>
        <w:t> </w:t>
      </w:r>
      <w:r>
        <w:rPr>
          <w:w w:val="95"/>
          <w:sz w:val="20"/>
        </w:rPr>
        <w:t>请扫描以查询验证条款 </w:t>
      </w:r>
    </w:p>
    <w:p>
      <w:pPr>
        <w:pStyle w:val="Heading1"/>
        <w:spacing w:line="516" w:lineRule="exact"/>
        <w:ind w:left="1936"/>
      </w:pPr>
      <w:r>
        <w:rPr/>
        <w:t>农银健康人生重大疾病保险条款</w:t>
      </w:r>
    </w:p>
    <w:p>
      <w:pPr>
        <w:spacing w:before="71"/>
        <w:ind w:left="1898" w:right="189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2003" w:right="189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tabs>
          <w:tab w:pos="1263" w:val="left" w:leader="none"/>
        </w:tabs>
        <w:spacing w:line="520" w:lineRule="exact" w:before="48"/>
        <w:ind w:left="255"/>
      </w:pPr>
      <w:r>
        <w:rPr/>
        <w:drawing>
          <wp:anchor distT="0" distB="0" distL="0" distR="0" allowOverlap="1" layoutInCell="1" locked="0" behindDoc="1" simplePos="0" relativeHeight="268360271">
            <wp:simplePos x="0" y="0"/>
            <wp:positionH relativeFrom="page">
              <wp:posOffset>542544</wp:posOffset>
            </wp:positionH>
            <wp:positionV relativeFrom="paragraph">
              <wp:posOffset>21760</wp:posOffset>
            </wp:positionV>
            <wp:extent cx="6473952" cy="72771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73952" cy="7277100"/>
                    </a:xfrm>
                    <a:prstGeom prst="rect">
                      <a:avLst/>
                    </a:prstGeom>
                  </pic:spPr>
                </pic:pic>
              </a:graphicData>
            </a:graphic>
          </wp:anchor>
        </w:drawing>
      </w:r>
      <w:r>
        <w:rPr>
          <w:rFonts w:ascii="Times New Roman" w:eastAsia="Times New Roman"/>
          <w:position w:val="-11"/>
          <w:sz w:val="52"/>
        </w:rPr>
        <w:t>C</w:t>
        <w:tab/>
      </w:r>
      <w:r>
        <w:rPr>
          <w:spacing w:val="-1"/>
        </w:rPr>
        <w:t>您拥有的重要权益</w:t>
      </w:r>
    </w:p>
    <w:p>
      <w:pPr>
        <w:pStyle w:val="ListParagraph"/>
        <w:numPr>
          <w:ilvl w:val="0"/>
          <w:numId w:val="1"/>
        </w:numPr>
        <w:tabs>
          <w:tab w:pos="1645" w:val="left" w:leader="none"/>
          <w:tab w:pos="1646" w:val="left" w:leader="none"/>
        </w:tabs>
        <w:spacing w:line="211" w:lineRule="exact" w:before="0" w:after="0"/>
        <w:ind w:left="1645" w:right="0" w:hanging="422"/>
        <w:jc w:val="left"/>
        <w:rPr>
          <w:sz w:val="21"/>
        </w:rPr>
      </w:pPr>
      <w:r>
        <w:rPr>
          <w:rFonts w:ascii="仿宋" w:hAnsi="仿宋" w:eastAsia="仿宋" w:hint="eastAsia"/>
          <w:spacing w:val="-6"/>
          <w:sz w:val="21"/>
        </w:rPr>
        <w:t>签收本主险合同之日起 </w:t>
      </w:r>
      <w:r>
        <w:rPr>
          <w:rFonts w:ascii="仿宋" w:hAnsi="仿宋" w:eastAsia="仿宋" w:hint="eastAsia"/>
          <w:sz w:val="21"/>
        </w:rPr>
        <w:t>10</w:t>
      </w:r>
      <w:r>
        <w:rPr>
          <w:rFonts w:ascii="仿宋" w:hAnsi="仿宋" w:eastAsia="仿宋" w:hint="eastAsia"/>
          <w:spacing w:val="-18"/>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45" w:val="left" w:leader="none"/>
          <w:tab w:pos="1646" w:val="left" w:leader="none"/>
          <w:tab w:pos="9630" w:val="right" w:leader="dot"/>
        </w:tabs>
        <w:spacing w:line="240" w:lineRule="auto" w:before="10" w:after="0"/>
        <w:ind w:left="1645"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45" w:val="left" w:leader="none"/>
          <w:tab w:pos="1646" w:val="left" w:leader="none"/>
          <w:tab w:pos="9630" w:val="right" w:leader="dot"/>
        </w:tabs>
        <w:spacing w:line="274" w:lineRule="exact" w:before="9" w:after="0"/>
        <w:ind w:left="1645"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2"/>
        <w:tabs>
          <w:tab w:pos="1263" w:val="left" w:leader="none"/>
        </w:tabs>
        <w:spacing w:line="503" w:lineRule="exact"/>
        <w:ind w:left="255"/>
      </w:pPr>
      <w:r>
        <w:rPr>
          <w:rFonts w:ascii="Times New Roman" w:eastAsia="Times New Roman"/>
          <w:position w:val="-11"/>
          <w:sz w:val="52"/>
        </w:rPr>
        <w:t>C</w:t>
        <w:tab/>
      </w:r>
      <w:r>
        <w:rPr>
          <w:spacing w:val="-1"/>
        </w:rPr>
        <w:t>您应当特别注意的事项</w:t>
      </w:r>
    </w:p>
    <w:p>
      <w:pPr>
        <w:pStyle w:val="ListParagraph"/>
        <w:numPr>
          <w:ilvl w:val="0"/>
          <w:numId w:val="2"/>
        </w:numPr>
        <w:tabs>
          <w:tab w:pos="1645" w:val="left" w:leader="none"/>
          <w:tab w:pos="1646" w:val="left" w:leader="none"/>
          <w:tab w:pos="9836" w:val="right" w:leader="dot"/>
        </w:tabs>
        <w:spacing w:line="210" w:lineRule="exact" w:before="0" w:after="0"/>
        <w:ind w:left="1645"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45" w:val="left" w:leader="none"/>
          <w:tab w:pos="1646" w:val="left" w:leader="none"/>
          <w:tab w:pos="9630" w:val="right" w:leader="dot"/>
        </w:tabs>
        <w:spacing w:line="240" w:lineRule="auto" w:before="9" w:after="0"/>
        <w:ind w:left="1645"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请您</w:t>
      </w:r>
      <w:r>
        <w:rPr>
          <w:rFonts w:ascii="仿宋" w:eastAsia="仿宋" w:hint="eastAsia"/>
          <w:spacing w:val="-3"/>
          <w:sz w:val="21"/>
        </w:rPr>
        <w:t>注</w:t>
      </w:r>
      <w:r>
        <w:rPr>
          <w:rFonts w:ascii="仿宋" w:eastAsia="仿宋" w:hint="eastAsia"/>
          <w:sz w:val="21"/>
        </w:rPr>
        <w:t>意</w:t>
      </w:r>
      <w:r>
        <w:rPr>
          <w:rFonts w:ascii="仿宋" w:eastAsia="仿宋" w:hint="eastAsia"/>
          <w:spacing w:val="-3"/>
          <w:sz w:val="21"/>
        </w:rPr>
        <w:t>导</w:t>
      </w:r>
      <w:r>
        <w:rPr>
          <w:rFonts w:ascii="仿宋" w:eastAsia="仿宋" w:hint="eastAsia"/>
          <w:sz w:val="21"/>
        </w:rPr>
        <w:t>致</w:t>
      </w:r>
      <w:r>
        <w:rPr>
          <w:rFonts w:ascii="仿宋" w:eastAsia="仿宋" w:hint="eastAsia"/>
          <w:spacing w:val="-3"/>
          <w:sz w:val="21"/>
        </w:rPr>
        <w:t>本</w:t>
      </w:r>
      <w:r>
        <w:rPr>
          <w:rFonts w:ascii="仿宋" w:eastAsia="仿宋" w:hint="eastAsia"/>
          <w:sz w:val="21"/>
        </w:rPr>
        <w:t>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效力</w:t>
      </w:r>
      <w:r>
        <w:rPr>
          <w:rFonts w:ascii="仿宋" w:eastAsia="仿宋" w:hint="eastAsia"/>
          <w:spacing w:val="-3"/>
          <w:sz w:val="21"/>
        </w:rPr>
        <w:t>终</w:t>
      </w:r>
      <w:r>
        <w:rPr>
          <w:rFonts w:ascii="仿宋" w:eastAsia="仿宋" w:hint="eastAsia"/>
          <w:sz w:val="21"/>
        </w:rPr>
        <w:t>止</w:t>
      </w:r>
      <w:r>
        <w:rPr>
          <w:rFonts w:ascii="仿宋" w:eastAsia="仿宋" w:hint="eastAsia"/>
          <w:spacing w:val="-3"/>
          <w:sz w:val="21"/>
        </w:rPr>
        <w:t>的</w:t>
      </w:r>
      <w:r>
        <w:rPr>
          <w:rFonts w:ascii="仿宋" w:eastAsia="仿宋" w:hint="eastAsia"/>
          <w:sz w:val="21"/>
        </w:rPr>
        <w:t>其</w:t>
      </w:r>
      <w:r>
        <w:rPr>
          <w:rFonts w:ascii="仿宋" w:eastAsia="仿宋" w:hint="eastAsia"/>
          <w:spacing w:val="-3"/>
          <w:sz w:val="21"/>
        </w:rPr>
        <w:t>他</w:t>
      </w:r>
      <w:r>
        <w:rPr>
          <w:rFonts w:ascii="仿宋" w:eastAsia="仿宋" w:hint="eastAsia"/>
          <w:sz w:val="21"/>
        </w:rPr>
        <w:t>情况</w:t>
        <w:tab/>
      </w:r>
      <w:r>
        <w:rPr>
          <w:sz w:val="21"/>
        </w:rPr>
        <w:t>9.5</w:t>
      </w:r>
    </w:p>
    <w:p>
      <w:pPr>
        <w:pStyle w:val="ListParagraph"/>
        <w:numPr>
          <w:ilvl w:val="0"/>
          <w:numId w:val="2"/>
        </w:numPr>
        <w:tabs>
          <w:tab w:pos="1645" w:val="left" w:leader="none"/>
          <w:tab w:pos="1646" w:val="left" w:leader="none"/>
        </w:tabs>
        <w:spacing w:line="240" w:lineRule="auto" w:before="9" w:after="0"/>
        <w:ind w:left="1645"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5" w:val="left" w:leader="none"/>
          <w:tab w:pos="1646" w:val="left" w:leader="none"/>
          <w:tab w:pos="9944" w:val="right" w:leader="dot"/>
        </w:tabs>
        <w:spacing w:line="274" w:lineRule="exact" w:before="9" w:after="0"/>
        <w:ind w:left="1645"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10.6</w:t>
      </w:r>
    </w:p>
    <w:p>
      <w:pPr>
        <w:pStyle w:val="Heading2"/>
        <w:tabs>
          <w:tab w:pos="1263" w:val="left" w:leader="none"/>
        </w:tabs>
        <w:spacing w:line="484" w:lineRule="exact"/>
        <w:ind w:left="255"/>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3" w:val="left" w:leader="none"/>
        </w:tabs>
        <w:spacing w:line="499" w:lineRule="exact" w:before="0"/>
        <w:ind w:left="255" w:right="0" w:firstLine="0"/>
        <w:jc w:val="left"/>
        <w:rPr>
          <w:sz w:val="21"/>
        </w:rPr>
      </w:pPr>
      <w:r>
        <w:rPr/>
        <w:pict>
          <v:shapetype id="_x0000_t202" o:spt="202" coordsize="21600,21600" path="m,l,21600r21600,l21600,xe">
            <v:stroke joinstyle="miter"/>
            <v:path gradientshapeok="t" o:connecttype="rect"/>
          </v:shapetype>
          <v:shape style="position:absolute;margin-left:57.599998pt;margin-top:17.664703pt;width:480.15pt;height:304.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34"/>
                    <w:gridCol w:w="727"/>
                    <w:gridCol w:w="3272"/>
                  </w:tblGrid>
                  <w:tr>
                    <w:trPr>
                      <w:trHeight w:val="460" w:hRule="atLeast"/>
                    </w:trPr>
                    <w:tc>
                      <w:tcPr>
                        <w:tcW w:w="2359" w:type="dxa"/>
                        <w:tcBorders>
                          <w:top w:val="single" w:sz="4" w:space="0" w:color="000000"/>
                          <w:left w:val="single" w:sz="4" w:space="0" w:color="000000"/>
                        </w:tcBorders>
                      </w:tcPr>
                      <w:p>
                        <w:pPr>
                          <w:pStyle w:val="TableParagraph"/>
                          <w:spacing w:before="67"/>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34" w:type="dxa"/>
                        <w:tcBorders>
                          <w:top w:val="single" w:sz="4" w:space="0" w:color="000000"/>
                        </w:tcBorders>
                      </w:tcPr>
                      <w:p>
                        <w:pPr>
                          <w:pStyle w:val="TableParagraph"/>
                          <w:spacing w:before="133"/>
                          <w:ind w:left="357"/>
                          <w:rPr>
                            <w:rFonts w:ascii="仿宋" w:eastAsia="仿宋" w:hint="eastAsia"/>
                            <w:sz w:val="21"/>
                          </w:rPr>
                        </w:pPr>
                        <w:r>
                          <w:rPr>
                            <w:rFonts w:ascii="仿宋" w:eastAsia="仿宋" w:hint="eastAsia"/>
                            <w:sz w:val="21"/>
                          </w:rPr>
                          <w:t>5.2 保险费自动垫交</w:t>
                        </w:r>
                      </w:p>
                    </w:tc>
                    <w:tc>
                      <w:tcPr>
                        <w:tcW w:w="727" w:type="dxa"/>
                        <w:tcBorders>
                          <w:top w:val="single" w:sz="4" w:space="0" w:color="000000"/>
                        </w:tcBorders>
                      </w:tcPr>
                      <w:p>
                        <w:pPr>
                          <w:pStyle w:val="TableParagraph"/>
                          <w:spacing w:before="133"/>
                          <w:ind w:left="152"/>
                          <w:rPr>
                            <w:rFonts w:ascii="仿宋"/>
                            <w:sz w:val="21"/>
                          </w:rPr>
                        </w:pPr>
                        <w:r>
                          <w:rPr>
                            <w:rFonts w:ascii="仿宋"/>
                            <w:sz w:val="21"/>
                          </w:rPr>
                          <w:t>10.5</w:t>
                        </w:r>
                      </w:p>
                    </w:tc>
                    <w:tc>
                      <w:tcPr>
                        <w:tcW w:w="3272" w:type="dxa"/>
                        <w:tcBorders>
                          <w:top w:val="single" w:sz="4" w:space="0" w:color="000000"/>
                          <w:right w:val="single" w:sz="4" w:space="0" w:color="000000"/>
                        </w:tcBorders>
                      </w:tcPr>
                      <w:p>
                        <w:pPr>
                          <w:pStyle w:val="TableParagraph"/>
                          <w:spacing w:before="133"/>
                          <w:ind w:left="56"/>
                          <w:rPr>
                            <w:rFonts w:ascii="仿宋" w:eastAsia="仿宋" w:hint="eastAsia"/>
                            <w:sz w:val="21"/>
                          </w:rPr>
                        </w:pPr>
                        <w:r>
                          <w:rPr>
                            <w:rFonts w:ascii="仿宋" w:eastAsia="仿宋" w:hint="eastAsia"/>
                            <w:sz w:val="21"/>
                          </w:rPr>
                          <w:t>医疗机构</w:t>
                        </w:r>
                      </w:p>
                    </w:tc>
                  </w:tr>
                  <w:tr>
                    <w:trPr>
                      <w:trHeight w:val="279"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1.1 合同构成</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29" w:lineRule="exact"/>
                          <w:ind w:left="152"/>
                          <w:rPr>
                            <w:rFonts w:ascii="仿宋"/>
                            <w:sz w:val="21"/>
                          </w:rPr>
                        </w:pPr>
                        <w:r>
                          <w:rPr>
                            <w:rFonts w:ascii="仿宋"/>
                            <w:sz w:val="21"/>
                          </w:rPr>
                          <w:t>10.6</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重大疾病</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1.2 合同成立与生效</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6.1 效力中止</w:t>
                        </w:r>
                      </w:p>
                    </w:tc>
                    <w:tc>
                      <w:tcPr>
                        <w:tcW w:w="727" w:type="dxa"/>
                      </w:tcPr>
                      <w:p>
                        <w:pPr>
                          <w:pStyle w:val="TableParagraph"/>
                          <w:spacing w:line="228" w:lineRule="exact"/>
                          <w:ind w:left="152"/>
                          <w:rPr>
                            <w:rFonts w:ascii="仿宋"/>
                            <w:sz w:val="21"/>
                          </w:rPr>
                        </w:pPr>
                        <w:r>
                          <w:rPr>
                            <w:rFonts w:ascii="仿宋"/>
                            <w:sz w:val="21"/>
                          </w:rPr>
                          <w:t>10.7</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轻症疾病</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1.3 投保年龄</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6.2 效力恢复</w:t>
                        </w:r>
                      </w:p>
                    </w:tc>
                    <w:tc>
                      <w:tcPr>
                        <w:tcW w:w="727" w:type="dxa"/>
                      </w:tcPr>
                      <w:p>
                        <w:pPr>
                          <w:pStyle w:val="TableParagraph"/>
                          <w:spacing w:line="246" w:lineRule="exact"/>
                          <w:ind w:left="152"/>
                          <w:rPr>
                            <w:rFonts w:ascii="仿宋"/>
                            <w:sz w:val="21"/>
                          </w:rPr>
                        </w:pPr>
                        <w:r>
                          <w:rPr>
                            <w:rFonts w:ascii="仿宋"/>
                            <w:sz w:val="21"/>
                          </w:rPr>
                          <w:t>10.8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毒品</w:t>
                        </w:r>
                      </w:p>
                    </w:tc>
                  </w:tr>
                  <w:tr>
                    <w:trPr>
                      <w:trHeight w:val="296"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1.4 犹豫期</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46" w:lineRule="exact"/>
                          <w:ind w:left="152"/>
                          <w:rPr>
                            <w:rFonts w:ascii="仿宋"/>
                            <w:sz w:val="21"/>
                          </w:rPr>
                        </w:pPr>
                        <w:r>
                          <w:rPr>
                            <w:rFonts w:ascii="仿宋"/>
                            <w:sz w:val="21"/>
                          </w:rPr>
                          <w:t>10.9</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酒后驾驶</w:t>
                        </w:r>
                      </w:p>
                    </w:tc>
                  </w:tr>
                  <w:tr>
                    <w:trPr>
                      <w:trHeight w:val="279" w:hRule="atLeast"/>
                    </w:trPr>
                    <w:tc>
                      <w:tcPr>
                        <w:tcW w:w="2359" w:type="dxa"/>
                        <w:tcBorders>
                          <w:left w:val="single" w:sz="4" w:space="0" w:color="000000"/>
                        </w:tcBorders>
                      </w:tcPr>
                      <w:p>
                        <w:pPr>
                          <w:pStyle w:val="TableParagraph"/>
                          <w:spacing w:line="252"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34" w:type="dxa"/>
                      </w:tcPr>
                      <w:p>
                        <w:pPr>
                          <w:pStyle w:val="TableParagraph"/>
                          <w:spacing w:line="228" w:lineRule="exact"/>
                          <w:ind w:right="140"/>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8" w:lineRule="exact"/>
                          <w:ind w:left="152"/>
                          <w:rPr>
                            <w:rFonts w:ascii="仿宋"/>
                            <w:sz w:val="21"/>
                          </w:rPr>
                        </w:pPr>
                        <w:r>
                          <w:rPr>
                            <w:rFonts w:ascii="仿宋"/>
                            <w:sz w:val="21"/>
                          </w:rPr>
                          <w:t>10.10</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无合法有效驾驶证驾驶</w:t>
                        </w:r>
                      </w:p>
                    </w:tc>
                  </w:tr>
                  <w:tr>
                    <w:trPr>
                      <w:trHeight w:val="280"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2.1 保险金额</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29" w:lineRule="exact"/>
                          <w:ind w:left="152"/>
                          <w:rPr>
                            <w:rFonts w:ascii="仿宋"/>
                            <w:sz w:val="21"/>
                          </w:rPr>
                        </w:pPr>
                        <w:r>
                          <w:rPr>
                            <w:rFonts w:ascii="仿宋"/>
                            <w:sz w:val="21"/>
                          </w:rPr>
                          <w:t>10.11</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无有效行驶证</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2.2 保险期间</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9" w:lineRule="exact"/>
                          <w:ind w:left="152"/>
                          <w:rPr>
                            <w:rFonts w:ascii="仿宋"/>
                            <w:sz w:val="21"/>
                          </w:rPr>
                        </w:pPr>
                        <w:r>
                          <w:rPr>
                            <w:rFonts w:ascii="仿宋"/>
                            <w:sz w:val="21"/>
                          </w:rPr>
                          <w:t>10.12</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机动车</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2.3 保险责任</w:t>
                        </w:r>
                      </w:p>
                    </w:tc>
                    <w:tc>
                      <w:tcPr>
                        <w:tcW w:w="3234" w:type="dxa"/>
                      </w:tcPr>
                      <w:p>
                        <w:pPr>
                          <w:pStyle w:val="TableParagraph"/>
                          <w:spacing w:line="245" w:lineRule="exact"/>
                          <w:ind w:right="144"/>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5" w:lineRule="exact"/>
                          <w:ind w:left="152"/>
                          <w:rPr>
                            <w:rFonts w:ascii="仿宋"/>
                            <w:sz w:val="21"/>
                          </w:rPr>
                        </w:pPr>
                        <w:r>
                          <w:rPr>
                            <w:rFonts w:ascii="仿宋"/>
                            <w:sz w:val="21"/>
                          </w:rPr>
                          <w:t>10.13</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先天性畸形、变形或染色体异常</w:t>
                        </w:r>
                      </w:p>
                    </w:tc>
                  </w:tr>
                  <w:tr>
                    <w:trPr>
                      <w:trHeight w:val="297"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2.4 责任免除</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46" w:lineRule="exact"/>
                          <w:ind w:left="152"/>
                          <w:rPr>
                            <w:rFonts w:ascii="仿宋"/>
                            <w:sz w:val="21"/>
                          </w:rPr>
                        </w:pPr>
                        <w:r>
                          <w:rPr>
                            <w:rFonts w:ascii="仿宋"/>
                            <w:sz w:val="21"/>
                          </w:rPr>
                          <w:t>10.14</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遗传性疾病</w:t>
                        </w:r>
                      </w:p>
                    </w:tc>
                  </w:tr>
                  <w:tr>
                    <w:trPr>
                      <w:trHeight w:val="279" w:hRule="atLeast"/>
                    </w:trPr>
                    <w:tc>
                      <w:tcPr>
                        <w:tcW w:w="2359"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9.1 年龄错误</w:t>
                        </w:r>
                      </w:p>
                    </w:tc>
                    <w:tc>
                      <w:tcPr>
                        <w:tcW w:w="727" w:type="dxa"/>
                      </w:tcPr>
                      <w:p>
                        <w:pPr>
                          <w:pStyle w:val="TableParagraph"/>
                          <w:spacing w:line="229" w:lineRule="exact"/>
                          <w:ind w:left="152"/>
                          <w:rPr>
                            <w:rFonts w:ascii="仿宋"/>
                            <w:sz w:val="21"/>
                          </w:rPr>
                        </w:pPr>
                        <w:r>
                          <w:rPr>
                            <w:rFonts w:ascii="仿宋"/>
                            <w:sz w:val="21"/>
                          </w:rPr>
                          <w:t>10.15</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现金价值</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3.1 受益人</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9.2 未还款项</w:t>
                        </w:r>
                      </w:p>
                    </w:tc>
                    <w:tc>
                      <w:tcPr>
                        <w:tcW w:w="727" w:type="dxa"/>
                      </w:tcPr>
                      <w:p>
                        <w:pPr>
                          <w:pStyle w:val="TableParagraph"/>
                          <w:spacing w:line="228" w:lineRule="exact"/>
                          <w:ind w:left="152"/>
                          <w:rPr>
                            <w:rFonts w:ascii="仿宋"/>
                            <w:sz w:val="21"/>
                          </w:rPr>
                        </w:pPr>
                        <w:r>
                          <w:rPr>
                            <w:rFonts w:ascii="仿宋"/>
                            <w:sz w:val="21"/>
                          </w:rPr>
                          <w:t>10.16</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利息</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3.2 保险事故通知</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9.3 合同内容变更</w:t>
                        </w:r>
                      </w:p>
                    </w:tc>
                    <w:tc>
                      <w:tcPr>
                        <w:tcW w:w="727" w:type="dxa"/>
                      </w:tcPr>
                      <w:p>
                        <w:pPr>
                          <w:pStyle w:val="TableParagraph"/>
                          <w:spacing w:line="246" w:lineRule="exact"/>
                          <w:ind w:left="152"/>
                          <w:rPr>
                            <w:rFonts w:ascii="仿宋"/>
                            <w:sz w:val="21"/>
                          </w:rPr>
                        </w:pPr>
                        <w:r>
                          <w:rPr>
                            <w:rFonts w:ascii="仿宋"/>
                            <w:sz w:val="21"/>
                          </w:rPr>
                          <w:t>10.17</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保单周年日</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3.3 保险金申请</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9.4 联系方式变更</w:t>
                        </w:r>
                      </w:p>
                    </w:tc>
                    <w:tc>
                      <w:tcPr>
                        <w:tcW w:w="727" w:type="dxa"/>
                      </w:tcPr>
                      <w:p>
                        <w:pPr>
                          <w:pStyle w:val="TableParagraph"/>
                          <w:spacing w:line="246" w:lineRule="exact"/>
                          <w:ind w:left="152"/>
                          <w:rPr>
                            <w:rFonts w:ascii="仿宋"/>
                            <w:sz w:val="21"/>
                          </w:rPr>
                        </w:pPr>
                        <w:r>
                          <w:rPr>
                            <w:rFonts w:ascii="仿宋"/>
                            <w:sz w:val="21"/>
                          </w:rPr>
                          <w:t>10.18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专科医生</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3.4 保险金给付</w:t>
                        </w:r>
                      </w:p>
                    </w:tc>
                    <w:tc>
                      <w:tcPr>
                        <w:tcW w:w="3234" w:type="dxa"/>
                      </w:tcPr>
                      <w:p>
                        <w:pPr>
                          <w:pStyle w:val="TableParagraph"/>
                          <w:spacing w:line="245" w:lineRule="exact"/>
                          <w:ind w:right="140"/>
                          <w:jc w:val="right"/>
                          <w:rPr>
                            <w:rFonts w:ascii="仿宋" w:eastAsia="仿宋" w:hint="eastAsia"/>
                            <w:sz w:val="21"/>
                          </w:rPr>
                        </w:pPr>
                        <w:r>
                          <w:rPr>
                            <w:rFonts w:ascii="仿宋" w:eastAsia="仿宋" w:hint="eastAsia"/>
                            <w:sz w:val="21"/>
                          </w:rPr>
                          <w:t>9.5 合同效力终止的其它情况</w:t>
                        </w:r>
                      </w:p>
                    </w:tc>
                    <w:tc>
                      <w:tcPr>
                        <w:tcW w:w="727" w:type="dxa"/>
                      </w:tcPr>
                      <w:p>
                        <w:pPr>
                          <w:pStyle w:val="TableParagraph"/>
                          <w:spacing w:line="245" w:lineRule="exact"/>
                          <w:ind w:left="152"/>
                          <w:rPr>
                            <w:rFonts w:ascii="仿宋"/>
                            <w:sz w:val="21"/>
                          </w:rPr>
                        </w:pPr>
                        <w:r>
                          <w:rPr>
                            <w:rFonts w:ascii="仿宋"/>
                            <w:sz w:val="21"/>
                          </w:rPr>
                          <w:t>10.19</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肢体机能完全丧失</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3.5 诉讼时效</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9.6 争议处理</w:t>
                        </w:r>
                      </w:p>
                    </w:tc>
                    <w:tc>
                      <w:tcPr>
                        <w:tcW w:w="727" w:type="dxa"/>
                      </w:tcPr>
                      <w:p>
                        <w:pPr>
                          <w:pStyle w:val="TableParagraph"/>
                          <w:spacing w:line="246" w:lineRule="exact"/>
                          <w:ind w:left="152"/>
                          <w:rPr>
                            <w:rFonts w:ascii="仿宋"/>
                            <w:sz w:val="21"/>
                          </w:rPr>
                        </w:pPr>
                        <w:r>
                          <w:rPr>
                            <w:rFonts w:ascii="仿宋"/>
                            <w:sz w:val="21"/>
                          </w:rPr>
                          <w:t>10.20</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语言能力或咀嚼吞咽能力完全丧失</w:t>
                        </w:r>
                      </w:p>
                    </w:tc>
                  </w:tr>
                  <w:tr>
                    <w:trPr>
                      <w:trHeight w:val="296"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Pr>
                      <w:p>
                        <w:pPr>
                          <w:pStyle w:val="TableParagraph"/>
                          <w:spacing w:line="246" w:lineRule="exact"/>
                          <w:ind w:left="152"/>
                          <w:rPr>
                            <w:rFonts w:ascii="仿宋"/>
                            <w:sz w:val="21"/>
                          </w:rPr>
                        </w:pPr>
                        <w:r>
                          <w:rPr>
                            <w:rFonts w:ascii="仿宋"/>
                            <w:sz w:val="21"/>
                          </w:rPr>
                          <w:t>10.21</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六项基本日常生活活动</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4.1 保险费的支付</w:t>
                        </w:r>
                      </w:p>
                    </w:tc>
                    <w:tc>
                      <w:tcPr>
                        <w:tcW w:w="3234" w:type="dxa"/>
                      </w:tcPr>
                      <w:p>
                        <w:pPr>
                          <w:pStyle w:val="TableParagraph"/>
                          <w:spacing w:line="228" w:lineRule="exact"/>
                          <w:ind w:left="360"/>
                          <w:rPr>
                            <w:rFonts w:ascii="仿宋" w:eastAsia="仿宋" w:hint="eastAsia"/>
                            <w:sz w:val="21"/>
                          </w:rPr>
                        </w:pPr>
                        <w:r>
                          <w:rPr>
                            <w:rFonts w:ascii="仿宋" w:eastAsia="仿宋" w:hint="eastAsia"/>
                            <w:sz w:val="21"/>
                          </w:rPr>
                          <w:t>10.1 保单年度</w:t>
                        </w:r>
                      </w:p>
                    </w:tc>
                    <w:tc>
                      <w:tcPr>
                        <w:tcW w:w="727" w:type="dxa"/>
                      </w:tcPr>
                      <w:p>
                        <w:pPr>
                          <w:pStyle w:val="TableParagraph"/>
                          <w:spacing w:line="228" w:lineRule="exact"/>
                          <w:ind w:left="152"/>
                          <w:rPr>
                            <w:rFonts w:ascii="仿宋"/>
                            <w:sz w:val="21"/>
                          </w:rPr>
                        </w:pPr>
                        <w:r>
                          <w:rPr>
                            <w:rFonts w:ascii="仿宋"/>
                            <w:sz w:val="21"/>
                          </w:rPr>
                          <w:t>10.22</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永久不可逆</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4.2 宽限期</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10.2 保险费约定支付日</w:t>
                        </w:r>
                      </w:p>
                    </w:tc>
                    <w:tc>
                      <w:tcPr>
                        <w:tcW w:w="727" w:type="dxa"/>
                      </w:tcPr>
                      <w:p>
                        <w:pPr>
                          <w:pStyle w:val="TableParagraph"/>
                          <w:rPr>
                            <w:rFonts w:ascii="Times New Roman"/>
                            <w:sz w:val="20"/>
                          </w:rPr>
                        </w:pPr>
                      </w:p>
                    </w:tc>
                    <w:tc>
                      <w:tcPr>
                        <w:tcW w:w="3272" w:type="dxa"/>
                        <w:tcBorders>
                          <w:right w:val="single" w:sz="4" w:space="0" w:color="000000"/>
                        </w:tcBorders>
                      </w:tcPr>
                      <w:p>
                        <w:pPr>
                          <w:pStyle w:val="TableParagraph"/>
                          <w:rPr>
                            <w:rFonts w:ascii="Times New Roman"/>
                            <w:sz w:val="20"/>
                          </w:rPr>
                        </w:pPr>
                      </w:p>
                    </w:tc>
                  </w:tr>
                  <w:tr>
                    <w:trPr>
                      <w:trHeight w:val="592" w:hRule="atLeast"/>
                    </w:trPr>
                    <w:tc>
                      <w:tcPr>
                        <w:tcW w:w="2359" w:type="dxa"/>
                        <w:tcBorders>
                          <w:left w:val="single" w:sz="4" w:space="0" w:color="000000"/>
                          <w:bottom w:val="single" w:sz="4" w:space="0" w:color="000000"/>
                        </w:tcBorders>
                      </w:tcPr>
                      <w:p>
                        <w:pPr>
                          <w:pStyle w:val="TableParagraph"/>
                          <w:spacing w:line="260"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TableParagraph"/>
                          <w:spacing w:line="265" w:lineRule="exact"/>
                          <w:ind w:left="316"/>
                          <w:rPr>
                            <w:rFonts w:ascii="仿宋" w:eastAsia="仿宋" w:hint="eastAsia"/>
                            <w:sz w:val="21"/>
                          </w:rPr>
                        </w:pPr>
                        <w:r>
                          <w:rPr>
                            <w:rFonts w:ascii="仿宋" w:eastAsia="仿宋" w:hint="eastAsia"/>
                            <w:sz w:val="21"/>
                          </w:rPr>
                          <w:t>5.1 现金价值</w:t>
                        </w:r>
                      </w:p>
                    </w:tc>
                    <w:tc>
                      <w:tcPr>
                        <w:tcW w:w="3234" w:type="dxa"/>
                        <w:tcBorders>
                          <w:bottom w:val="single" w:sz="4" w:space="0" w:color="000000"/>
                        </w:tcBorders>
                      </w:tcPr>
                      <w:p>
                        <w:pPr>
                          <w:pStyle w:val="TableParagraph"/>
                          <w:numPr>
                            <w:ilvl w:val="1"/>
                            <w:numId w:val="3"/>
                          </w:numPr>
                          <w:tabs>
                            <w:tab w:pos="884" w:val="left" w:leader="none"/>
                          </w:tabs>
                          <w:spacing w:line="246" w:lineRule="exact" w:before="0" w:after="0"/>
                          <w:ind w:left="883" w:right="0" w:hanging="526"/>
                          <w:jc w:val="left"/>
                          <w:rPr>
                            <w:rFonts w:ascii="仿宋" w:eastAsia="仿宋" w:hint="eastAsia"/>
                            <w:sz w:val="21"/>
                          </w:rPr>
                        </w:pPr>
                        <w:r>
                          <w:rPr>
                            <w:rFonts w:ascii="仿宋" w:eastAsia="仿宋" w:hint="eastAsia"/>
                            <w:sz w:val="21"/>
                          </w:rPr>
                          <w:t>周岁</w:t>
                        </w:r>
                      </w:p>
                      <w:p>
                        <w:pPr>
                          <w:pStyle w:val="TableParagraph"/>
                          <w:numPr>
                            <w:ilvl w:val="1"/>
                            <w:numId w:val="3"/>
                          </w:numPr>
                          <w:tabs>
                            <w:tab w:pos="884" w:val="left" w:leader="none"/>
                          </w:tabs>
                          <w:spacing w:line="240" w:lineRule="auto" w:before="3" w:after="0"/>
                          <w:ind w:left="883" w:right="0" w:hanging="526"/>
                          <w:jc w:val="left"/>
                          <w:rPr>
                            <w:rFonts w:ascii="仿宋" w:eastAsia="仿宋" w:hint="eastAsia"/>
                            <w:sz w:val="21"/>
                          </w:rPr>
                        </w:pPr>
                        <w:r>
                          <w:rPr>
                            <w:rFonts w:ascii="仿宋" w:eastAsia="仿宋" w:hint="eastAsia"/>
                            <w:spacing w:val="-3"/>
                            <w:sz w:val="21"/>
                          </w:rPr>
                          <w:t>有效身份证件</w:t>
                        </w:r>
                      </w:p>
                    </w:tc>
                    <w:tc>
                      <w:tcPr>
                        <w:tcW w:w="727" w:type="dxa"/>
                        <w:tcBorders>
                          <w:bottom w:val="single" w:sz="4" w:space="0" w:color="000000"/>
                        </w:tcBorders>
                      </w:tcPr>
                      <w:p>
                        <w:pPr>
                          <w:pStyle w:val="TableParagraph"/>
                          <w:rPr>
                            <w:rFonts w:ascii="Times New Roman"/>
                            <w:sz w:val="20"/>
                          </w:rPr>
                        </w:pPr>
                      </w:p>
                    </w:tc>
                    <w:tc>
                      <w:tcPr>
                        <w:tcW w:w="3272" w:type="dxa"/>
                        <w:tcBorders>
                          <w:bottom w:val="single" w:sz="4" w:space="0" w:color="000000"/>
                          <w:right w:val="single" w:sz="4" w:space="0" w:color="000000"/>
                        </w:tcBorders>
                      </w:tcPr>
                      <w:p>
                        <w:pPr>
                          <w:pStyle w:val="TableParagraph"/>
                          <w:rPr>
                            <w:rFonts w:ascii="Times New Roman"/>
                            <w:sz w:val="20"/>
                          </w:rPr>
                        </w:pPr>
                      </w:p>
                    </w:tc>
                  </w:tr>
                </w:tbl>
                <w:p>
                  <w:pPr>
                    <w:pStyle w:val="BodyText"/>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pStyle w:val="BodyText"/>
        <w:ind w:left="0"/>
        <w:rPr>
          <w:sz w:val="58"/>
        </w:rPr>
      </w:pPr>
    </w:p>
    <w:p>
      <w:pPr>
        <w:pStyle w:val="BodyText"/>
        <w:ind w:left="0"/>
        <w:rPr>
          <w:sz w:val="58"/>
        </w:rPr>
      </w:pPr>
    </w:p>
    <w:p>
      <w:pPr>
        <w:pStyle w:val="BodyText"/>
        <w:ind w:left="0"/>
        <w:rPr>
          <w:sz w:val="58"/>
        </w:rPr>
      </w:pPr>
    </w:p>
    <w:p>
      <w:pPr>
        <w:pStyle w:val="BodyText"/>
        <w:ind w:left="0"/>
        <w:rPr>
          <w:sz w:val="58"/>
        </w:rPr>
      </w:pPr>
    </w:p>
    <w:p>
      <w:pPr>
        <w:pStyle w:val="BodyText"/>
        <w:ind w:left="0"/>
        <w:rPr>
          <w:sz w:val="58"/>
        </w:rPr>
      </w:pPr>
    </w:p>
    <w:p>
      <w:pPr>
        <w:pStyle w:val="BodyText"/>
        <w:ind w:left="0"/>
        <w:rPr>
          <w:sz w:val="58"/>
        </w:rPr>
      </w:pPr>
    </w:p>
    <w:p>
      <w:pPr>
        <w:pStyle w:val="BodyText"/>
        <w:ind w:left="0"/>
        <w:rPr>
          <w:sz w:val="58"/>
        </w:rPr>
      </w:pPr>
    </w:p>
    <w:p>
      <w:pPr>
        <w:pStyle w:val="BodyText"/>
        <w:ind w:left="0"/>
        <w:rPr>
          <w:sz w:val="58"/>
        </w:rPr>
      </w:pPr>
    </w:p>
    <w:p>
      <w:pPr>
        <w:pStyle w:val="BodyText"/>
        <w:spacing w:before="5"/>
        <w:ind w:left="0"/>
        <w:rPr>
          <w:sz w:val="71"/>
        </w:rPr>
      </w:pPr>
    </w:p>
    <w:p>
      <w:pPr>
        <w:spacing w:before="0"/>
        <w:ind w:left="1900" w:right="1894" w:firstLine="0"/>
        <w:jc w:val="center"/>
        <w:rPr>
          <w:sz w:val="18"/>
        </w:rPr>
      </w:pPr>
      <w:r>
        <w:rPr>
          <w:sz w:val="18"/>
        </w:rPr>
        <w:t>第 1 页，共 15 页</w:t>
      </w:r>
    </w:p>
    <w:p>
      <w:pPr>
        <w:spacing w:after="0"/>
        <w:jc w:val="center"/>
        <w:rPr>
          <w:sz w:val="18"/>
        </w:rPr>
        <w:sectPr>
          <w:type w:val="continuous"/>
          <w:pgSz w:w="11900" w:h="16840"/>
          <w:pgMar w:top="360" w:bottom="280" w:left="740" w:right="740"/>
        </w:sectPr>
      </w:pPr>
    </w:p>
    <w:p>
      <w:pPr>
        <w:pStyle w:val="Heading1"/>
        <w:spacing w:line="485" w:lineRule="exact"/>
        <w:ind w:left="2910" w:right="0"/>
        <w:jc w:val="left"/>
      </w:pPr>
      <w:r>
        <w:rPr/>
        <w:t>农银健康人生重大疾病保险条款</w:t>
      </w:r>
    </w:p>
    <w:p>
      <w:pPr>
        <w:pStyle w:val="BodyText"/>
        <w:spacing w:line="273" w:lineRule="auto" w:before="107"/>
        <w:ind w:left="280" w:right="266" w:firstLine="420"/>
      </w:pPr>
      <w:r>
        <w:rPr>
          <w:spacing w:val="-8"/>
          <w:w w:val="100"/>
        </w:rPr>
        <w:t>在本条款中，“您”指投保人，“我们”指农银人寿保险股份有限公司，“本主险合同”指您与我们之</w:t>
      </w:r>
      <w:r>
        <w:rPr>
          <w:spacing w:val="-5"/>
        </w:rPr>
        <w:t>间订立的“农银健康人生重大疾病保险合同”。</w:t>
      </w:r>
      <w:r>
        <w:rPr/>
        <w:t> </w:t>
      </w:r>
    </w:p>
    <w:p>
      <w:pPr>
        <w:pStyle w:val="BodyText"/>
        <w:spacing w:line="184" w:lineRule="exact"/>
        <w:ind w:left="280"/>
      </w:pPr>
      <w:r>
        <w:rPr>
          <w:w w:val="100"/>
        </w:rPr>
        <w:t> </w:t>
      </w:r>
    </w:p>
    <w:p>
      <w:pPr>
        <w:tabs>
          <w:tab w:pos="975" w:val="left" w:leader="none"/>
        </w:tabs>
        <w:spacing w:line="420" w:lineRule="exact" w:before="0"/>
        <w:ind w:left="223" w:right="0" w:firstLine="0"/>
        <w:jc w:val="left"/>
        <w:rPr>
          <w:rFonts w:ascii="Microsoft JhengHei" w:eastAsia="Microsoft JhengHei" w:hint="eastAsia"/>
          <w:b/>
          <w:sz w:val="24"/>
        </w:rPr>
      </w:pPr>
      <w:r>
        <w:rPr>
          <w:rFonts w:ascii="Times New Roman" w:eastAsia="Times New Roman"/>
          <w:b/>
          <w:position w:val="-3"/>
          <w:sz w:val="40"/>
        </w:rPr>
        <w:t>u</w:t>
        <w:tab/>
      </w:r>
      <w:r>
        <w:rPr>
          <w:rFonts w:ascii="Microsoft JhengHei" w:eastAsia="Microsoft JhengHei" w:hint="eastAsia"/>
          <w:b/>
          <w:sz w:val="24"/>
        </w:rPr>
        <w:t>您与我们订立的合同</w:t>
      </w:r>
    </w:p>
    <w:p>
      <w:pPr>
        <w:pStyle w:val="BodyText"/>
        <w:tabs>
          <w:tab w:pos="975" w:val="left" w:leader="none"/>
          <w:tab w:pos="2934" w:val="left" w:leader="none"/>
        </w:tabs>
        <w:spacing w:line="193" w:lineRule="exact"/>
        <w:ind w:left="220"/>
      </w:pPr>
      <w:r>
        <w:rPr/>
        <w:pict>
          <v:group style="position:absolute;margin-left:45.599998pt;margin-top:1.888735pt;width:504.15pt;height:.5pt;mso-position-horizontal-relative:page;mso-position-vertical-relative:paragraph;z-index:-75088" coordorigin="912,38" coordsize="10083,10">
            <v:line style="position:absolute" from="912,43" to="1668,43" stroked="true" strokeweight=".48pt" strokecolor="#000000">
              <v:stroke dashstyle="solid"/>
            </v:line>
            <v:rect style="position:absolute;left:1668;top:37;width:10;height:10" filled="true" fillcolor="#000000" stroked="false">
              <v:fill type="solid"/>
            </v:rect>
            <v:line style="position:absolute" from="1678,43" to="3626,43" stroked="true" strokeweight=".48pt" strokecolor="#000000">
              <v:stroke dashstyle="solid"/>
            </v:line>
            <v:rect style="position:absolute;left:3626;top:37;width:10;height:10" filled="true" fillcolor="#000000" stroked="false">
              <v:fill type="solid"/>
            </v:rect>
            <v:line style="position:absolute" from="3636,43" to="10994,43"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18" w:lineRule="auto" w:before="0" w:after="0"/>
        <w:ind w:left="2934" w:right="101" w:hanging="2714"/>
        <w:jc w:val="left"/>
        <w:rPr>
          <w:sz w:val="21"/>
        </w:rPr>
      </w:pP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 </w:t>
      </w:r>
      <w:r>
        <w:rPr>
          <w:spacing w:val="-3"/>
          <w:sz w:val="21"/>
        </w:rPr>
        <w:t>款</w:t>
      </w:r>
      <w:r>
        <w:rPr>
          <w:sz w:val="21"/>
        </w:rPr>
        <w:t>、</w:t>
      </w:r>
      <w:r>
        <w:rPr>
          <w:spacing w:val="-3"/>
          <w:sz w:val="21"/>
        </w:rPr>
        <w:t>保险</w:t>
      </w:r>
      <w:r>
        <w:rPr>
          <w:sz w:val="21"/>
        </w:rPr>
        <w:t>单或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34"/>
          <w:sz w:val="21"/>
        </w:rPr>
        <w:t>、</w:t>
      </w:r>
      <w:r>
        <w:rPr>
          <w:sz w:val="21"/>
        </w:rPr>
        <w:t>投</w:t>
      </w:r>
      <w:r>
        <w:rPr>
          <w:spacing w:val="-3"/>
          <w:sz w:val="21"/>
        </w:rPr>
        <w:t>保</w:t>
      </w:r>
      <w:r>
        <w:rPr>
          <w:sz w:val="21"/>
        </w:rPr>
        <w:t>单</w:t>
      </w:r>
      <w:r>
        <w:rPr>
          <w:spacing w:val="-32"/>
          <w:sz w:val="21"/>
        </w:rPr>
        <w:t>、</w:t>
      </w:r>
      <w:r>
        <w:rPr>
          <w:spacing w:val="-3"/>
          <w:sz w:val="21"/>
        </w:rPr>
        <w:t>与</w:t>
      </w:r>
      <w:r>
        <w:rPr>
          <w:sz w:val="21"/>
        </w:rPr>
        <w:t>本</w:t>
      </w:r>
      <w:r>
        <w:rPr>
          <w:spacing w:val="-3"/>
          <w:sz w:val="21"/>
        </w:rPr>
        <w:t>主</w:t>
      </w:r>
      <w:r>
        <w:rPr>
          <w:sz w:val="21"/>
        </w:rPr>
        <w:t>险</w:t>
      </w:r>
      <w:r>
        <w:rPr>
          <w:spacing w:val="-3"/>
          <w:sz w:val="21"/>
        </w:rPr>
        <w:t>合</w:t>
      </w:r>
      <w:r>
        <w:rPr>
          <w:sz w:val="21"/>
        </w:rPr>
        <w:t>同</w:t>
      </w:r>
      <w:r>
        <w:rPr>
          <w:spacing w:val="-3"/>
          <w:sz w:val="21"/>
        </w:rPr>
        <w:t>有</w:t>
      </w:r>
      <w:r>
        <w:rPr>
          <w:sz w:val="21"/>
        </w:rPr>
        <w:t>关</w:t>
      </w:r>
      <w:r>
        <w:rPr>
          <w:spacing w:val="-3"/>
          <w:sz w:val="21"/>
        </w:rPr>
        <w:t>的</w:t>
      </w:r>
      <w:r>
        <w:rPr>
          <w:sz w:val="21"/>
        </w:rPr>
        <w:t>投保</w:t>
      </w:r>
      <w:r>
        <w:rPr>
          <w:spacing w:val="-3"/>
          <w:sz w:val="21"/>
        </w:rPr>
        <w:t>文</w:t>
      </w:r>
      <w:r>
        <w:rPr>
          <w:sz w:val="21"/>
        </w:rPr>
        <w:t>件</w:t>
      </w:r>
      <w:r>
        <w:rPr>
          <w:spacing w:val="-34"/>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p>
    <w:p>
      <w:pPr>
        <w:pStyle w:val="BodyText"/>
        <w:spacing w:line="245" w:lineRule="exact" w:before="11"/>
        <w:ind w:left="2934"/>
      </w:pPr>
      <w:r>
        <w:rPr/>
        <w:t>批注、批单及其他您与我们共同认可的书面协议。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主</w:t>
      </w:r>
      <w:r>
        <w:rPr>
          <w:spacing w:val="-3"/>
          <w:sz w:val="21"/>
        </w:rPr>
        <w:t>险</w:t>
      </w:r>
      <w:r>
        <w:rPr>
          <w:sz w:val="21"/>
        </w:rPr>
        <w:t>合</w:t>
      </w:r>
      <w:r>
        <w:rPr>
          <w:spacing w:val="-3"/>
          <w:sz w:val="21"/>
        </w:rPr>
        <w:t>同</w:t>
      </w:r>
      <w:r>
        <w:rPr>
          <w:sz w:val="21"/>
        </w:rPr>
        <w:t>成</w:t>
      </w:r>
      <w:r>
        <w:rPr>
          <w:spacing w:val="-3"/>
          <w:sz w:val="21"/>
        </w:rPr>
        <w:t>立</w:t>
      </w:r>
      <w:r>
        <w:rPr>
          <w:sz w:val="21"/>
        </w:rPr>
        <w:t>，本</w:t>
      </w:r>
      <w:r>
        <w:rPr>
          <w:spacing w:val="-3"/>
          <w:sz w:val="21"/>
        </w:rPr>
        <w:t>主</w:t>
      </w:r>
      <w:r>
        <w:rPr>
          <w:sz w:val="21"/>
        </w:rPr>
        <w:t>险</w:t>
      </w:r>
      <w:r>
        <w:rPr>
          <w:spacing w:val="-3"/>
          <w:sz w:val="21"/>
        </w:rPr>
        <w:t>合</w:t>
      </w:r>
      <w:r>
        <w:rPr>
          <w:sz w:val="21"/>
        </w:rPr>
        <w:t>同 </w:t>
      </w:r>
      <w:r>
        <w:rPr>
          <w:spacing w:val="-3"/>
          <w:sz w:val="21"/>
        </w:rPr>
        <w:t>的</w:t>
      </w:r>
      <w:r>
        <w:rPr>
          <w:sz w:val="21"/>
        </w:rPr>
        <w:t>成</w:t>
      </w:r>
      <w:r>
        <w:rPr>
          <w:spacing w:val="-3"/>
          <w:sz w:val="21"/>
        </w:rPr>
        <w:t>立</w:t>
      </w:r>
      <w:r>
        <w:rPr>
          <w:sz w:val="21"/>
        </w:rPr>
        <w:t>日</w:t>
      </w:r>
      <w:r>
        <w:rPr>
          <w:spacing w:val="-3"/>
          <w:sz w:val="21"/>
        </w:rPr>
        <w:t>以保</w:t>
      </w:r>
    </w:p>
    <w:p>
      <w:pPr>
        <w:pStyle w:val="BodyText"/>
        <w:spacing w:line="260" w:lineRule="exact"/>
        <w:ind w:left="2934"/>
      </w:pPr>
      <w:r>
        <w:rPr/>
        <w:t>险单上载明的为准。</w:t>
      </w:r>
    </w:p>
    <w:p>
      <w:pPr>
        <w:pStyle w:val="BodyText"/>
        <w:ind w:left="2934" w:right="221"/>
      </w:pPr>
      <w:r>
        <w:rPr/>
        <w:t>自本主险合同成立、我们收取首期保险费并签发保险单的次日零时起本主险合同生效，本主险合同的生效日以保险单上载明的为准。</w:t>
      </w:r>
    </w:p>
    <w:p>
      <w:pPr>
        <w:pStyle w:val="BodyText"/>
        <w:spacing w:line="192" w:lineRule="auto" w:before="53"/>
        <w:ind w:left="2934" w:right="103"/>
      </w:pPr>
      <w:r>
        <w:rPr>
          <w:spacing w:val="-3"/>
        </w:rPr>
        <w:t>除本主险合同另有约定外，我们自生效日零时起开始承担本主险合同约定的保</w:t>
      </w:r>
      <w:r>
        <w:rPr>
          <w:spacing w:val="-7"/>
          <w:w w:val="100"/>
        </w:rPr>
        <w:t>险责任。</w:t>
      </w:r>
      <w:r>
        <w:rPr>
          <w:rFonts w:ascii="Microsoft JhengHei" w:eastAsia="Microsoft JhengHei" w:hint="eastAsia"/>
          <w:b/>
          <w:spacing w:val="-5"/>
          <w:w w:val="100"/>
        </w:rPr>
        <w:t>保单年度</w:t>
      </w:r>
      <w:r>
        <w:rPr>
          <w:spacing w:val="-3"/>
          <w:w w:val="100"/>
        </w:rPr>
        <w:t>（</w:t>
      </w:r>
      <w:r>
        <w:rPr>
          <w:w w:val="100"/>
        </w:rPr>
        <w:t>见</w:t>
      </w:r>
      <w:r>
        <w:rPr>
          <w:spacing w:val="-53"/>
        </w:rPr>
        <w:t> </w:t>
      </w:r>
      <w:r>
        <w:rPr>
          <w:w w:val="100"/>
        </w:rPr>
        <w:t>1</w:t>
      </w:r>
      <w:r>
        <w:rPr>
          <w:spacing w:val="-3"/>
          <w:w w:val="100"/>
        </w:rPr>
        <w:t>0.</w:t>
      </w:r>
      <w:r>
        <w:rPr>
          <w:w w:val="100"/>
        </w:rPr>
        <w:t>1</w:t>
      </w:r>
      <w:r>
        <w:rPr>
          <w:spacing w:val="-106"/>
          <w:w w:val="100"/>
        </w:rPr>
        <w:t>）</w:t>
      </w:r>
      <w:r>
        <w:rPr>
          <w:spacing w:val="-24"/>
          <w:w w:val="100"/>
        </w:rPr>
        <w:t>、</w:t>
      </w:r>
      <w:r>
        <w:rPr>
          <w:rFonts w:ascii="Microsoft JhengHei" w:eastAsia="Microsoft JhengHei" w:hint="eastAsia"/>
          <w:b/>
          <w:spacing w:val="-3"/>
          <w:w w:val="100"/>
        </w:rPr>
        <w:t>保险费约定支付日</w:t>
      </w:r>
      <w:r>
        <w:rPr>
          <w:spacing w:val="-3"/>
          <w:w w:val="100"/>
        </w:rPr>
        <w:t>（</w:t>
      </w:r>
      <w:r>
        <w:rPr>
          <w:w w:val="100"/>
        </w:rPr>
        <w:t>见</w:t>
      </w:r>
      <w:r>
        <w:rPr>
          <w:spacing w:val="-53"/>
        </w:rPr>
        <w:t> </w:t>
      </w:r>
      <w:r>
        <w:rPr>
          <w:w w:val="100"/>
        </w:rPr>
        <w:t>10</w:t>
      </w:r>
      <w:r>
        <w:rPr>
          <w:spacing w:val="-3"/>
          <w:w w:val="100"/>
        </w:rPr>
        <w:t>.</w:t>
      </w:r>
      <w:r>
        <w:rPr>
          <w:w w:val="100"/>
        </w:rPr>
        <w:t>2</w:t>
      </w:r>
      <w:r>
        <w:rPr>
          <w:spacing w:val="-22"/>
          <w:w w:val="100"/>
        </w:rPr>
        <w:t>）</w:t>
      </w:r>
      <w:r>
        <w:rPr>
          <w:spacing w:val="-3"/>
          <w:w w:val="100"/>
        </w:rPr>
        <w:t>均以该日期计算。</w:t>
      </w:r>
    </w:p>
    <w:p>
      <w:pPr>
        <w:pStyle w:val="BodyText"/>
        <w:tabs>
          <w:tab w:pos="975" w:val="left" w:leader="none"/>
        </w:tabs>
        <w:spacing w:line="151"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10.3）</w:t>
      </w:r>
      <w:r>
        <w:rPr>
          <w:sz w:val="21"/>
        </w:rPr>
        <w:t>计</w:t>
      </w:r>
      <w:r>
        <w:rPr>
          <w:spacing w:val="-3"/>
          <w:sz w:val="21"/>
        </w:rPr>
        <w:t>算</w:t>
      </w:r>
      <w:r>
        <w:rPr>
          <w:spacing w:val="-10"/>
          <w:sz w:val="21"/>
        </w:rPr>
        <w:t>，</w:t>
      </w:r>
      <w:r>
        <w:rPr>
          <w:spacing w:val="-3"/>
          <w:sz w:val="21"/>
        </w:rPr>
        <w:t>本</w:t>
      </w:r>
      <w:r>
        <w:rPr>
          <w:sz w:val="21"/>
        </w:rPr>
        <w:t>主</w:t>
      </w:r>
      <w:r>
        <w:rPr>
          <w:spacing w:val="-3"/>
          <w:sz w:val="21"/>
        </w:rPr>
        <w:t>险</w:t>
      </w:r>
      <w:r>
        <w:rPr>
          <w:sz w:val="21"/>
        </w:rPr>
        <w:t>合</w:t>
      </w:r>
      <w:r>
        <w:rPr>
          <w:spacing w:val="-3"/>
          <w:sz w:val="21"/>
        </w:rPr>
        <w:t>同</w:t>
      </w:r>
      <w:r>
        <w:rPr>
          <w:sz w:val="21"/>
        </w:rPr>
        <w:t>接受</w:t>
      </w:r>
    </w:p>
    <w:p>
      <w:pPr>
        <w:pStyle w:val="BodyText"/>
        <w:spacing w:line="262" w:lineRule="exact"/>
        <w:ind w:left="2934"/>
      </w:pPr>
      <w:r>
        <w:rPr/>
        <w:t>的投保年龄为 0 周岁（指出生满 30 日的婴儿）至 60 周岁。 </w:t>
      </w:r>
    </w:p>
    <w:p>
      <w:pPr>
        <w:pStyle w:val="BodyText"/>
        <w:tabs>
          <w:tab w:pos="975" w:val="left" w:leader="none"/>
        </w:tabs>
        <w:spacing w:line="176"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18" w:lineRule="auto" w:before="0" w:after="0"/>
        <w:ind w:left="2934" w:right="107"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34"/>
          <w:sz w:val="21"/>
        </w:rPr>
        <w:t>，</w:t>
      </w:r>
      <w:r>
        <w:rPr>
          <w:sz w:val="21"/>
        </w:rPr>
        <w:t>有</w:t>
      </w:r>
      <w:r>
        <w:rPr>
          <w:spacing w:val="-33"/>
          <w:sz w:val="21"/>
        </w:rPr>
        <w:t> </w:t>
      </w:r>
      <w:r>
        <w:rPr>
          <w:sz w:val="21"/>
        </w:rPr>
        <w:t>10</w:t>
      </w:r>
      <w:r>
        <w:rPr>
          <w:spacing w:val="-35"/>
          <w:sz w:val="21"/>
        </w:rPr>
        <w:t> </w:t>
      </w:r>
      <w:r>
        <w:rPr>
          <w:sz w:val="21"/>
        </w:rPr>
        <w:t>日</w:t>
      </w:r>
      <w:r>
        <w:rPr>
          <w:spacing w:val="-3"/>
          <w:sz w:val="21"/>
        </w:rPr>
        <w:t>的</w:t>
      </w:r>
      <w:r>
        <w:rPr>
          <w:sz w:val="21"/>
        </w:rPr>
        <w:t>犹</w:t>
      </w:r>
      <w:r>
        <w:rPr>
          <w:spacing w:val="-3"/>
          <w:sz w:val="21"/>
        </w:rPr>
        <w:t>豫</w:t>
      </w:r>
      <w:r>
        <w:rPr>
          <w:sz w:val="21"/>
        </w:rPr>
        <w:t>期</w:t>
      </w:r>
      <w:r>
        <w:rPr>
          <w:spacing w:val="-34"/>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w:t>
      </w:r>
      <w:r>
        <w:rPr>
          <w:spacing w:val="-34"/>
          <w:sz w:val="21"/>
        </w:rPr>
        <w:t>，</w:t>
      </w:r>
      <w:r>
        <w:rPr>
          <w:sz w:val="21"/>
        </w:rPr>
        <w:t>如果您</w:t>
      </w:r>
      <w:r>
        <w:rPr>
          <w:spacing w:val="-3"/>
          <w:sz w:val="21"/>
        </w:rPr>
        <w:t>认</w:t>
      </w:r>
      <w:r>
        <w:rPr>
          <w:sz w:val="21"/>
        </w:rPr>
        <w:t>为</w:t>
      </w:r>
      <w:r>
        <w:rPr>
          <w:spacing w:val="-3"/>
          <w:sz w:val="21"/>
        </w:rPr>
        <w:t>本</w:t>
      </w:r>
      <w:r>
        <w:rPr>
          <w:sz w:val="21"/>
        </w:rPr>
        <w:t>主</w:t>
      </w:r>
      <w:r>
        <w:rPr>
          <w:spacing w:val="-3"/>
          <w:sz w:val="21"/>
        </w:rPr>
        <w:t>险</w:t>
      </w:r>
      <w:r>
        <w:rPr>
          <w:sz w:val="21"/>
        </w:rPr>
        <w:t>合</w:t>
      </w:r>
      <w:r>
        <w:rPr>
          <w:spacing w:val="-3"/>
          <w:sz w:val="21"/>
        </w:rPr>
        <w:t>同</w:t>
      </w:r>
      <w:r>
        <w:rPr>
          <w:sz w:val="21"/>
        </w:rPr>
        <w:t>与</w:t>
      </w:r>
      <w:r>
        <w:rPr>
          <w:spacing w:val="-3"/>
          <w:sz w:val="21"/>
        </w:rPr>
        <w:t>您</w:t>
      </w:r>
      <w:r>
        <w:rPr>
          <w:sz w:val="21"/>
        </w:rPr>
        <w:t>的需</w:t>
      </w:r>
      <w:r>
        <w:rPr>
          <w:spacing w:val="-3"/>
          <w:sz w:val="21"/>
        </w:rPr>
        <w:t>求</w:t>
      </w:r>
      <w:r>
        <w:rPr>
          <w:sz w:val="21"/>
        </w:rPr>
        <w:t>不</w:t>
      </w:r>
      <w:r>
        <w:rPr>
          <w:spacing w:val="-3"/>
          <w:sz w:val="21"/>
        </w:rPr>
        <w:t>相</w:t>
      </w:r>
      <w:r>
        <w:rPr>
          <w:sz w:val="21"/>
        </w:rPr>
        <w:t>符</w:t>
      </w:r>
      <w:r>
        <w:rPr>
          <w:spacing w:val="-96"/>
          <w:sz w:val="21"/>
        </w:rPr>
        <w:t>，</w:t>
      </w:r>
      <w:r>
        <w:rPr>
          <w:sz w:val="21"/>
        </w:rPr>
        <w:t>您</w:t>
      </w:r>
      <w:r>
        <w:rPr>
          <w:spacing w:val="-3"/>
          <w:sz w:val="21"/>
        </w:rPr>
        <w:t>可</w:t>
      </w:r>
      <w:r>
        <w:rPr>
          <w:sz w:val="21"/>
        </w:rPr>
        <w:t>以</w:t>
      </w:r>
      <w:r>
        <w:rPr>
          <w:spacing w:val="-3"/>
          <w:sz w:val="21"/>
        </w:rPr>
        <w:t>在此</w:t>
      </w:r>
      <w:r>
        <w:rPr>
          <w:sz w:val="21"/>
        </w:rPr>
        <w:t>期间</w:t>
      </w:r>
      <w:r>
        <w:rPr>
          <w:spacing w:val="-3"/>
          <w:sz w:val="21"/>
        </w:rPr>
        <w:t>提</w:t>
      </w:r>
      <w:r>
        <w:rPr>
          <w:sz w:val="21"/>
        </w:rPr>
        <w:t>出</w:t>
      </w:r>
      <w:r>
        <w:rPr>
          <w:spacing w:val="-3"/>
          <w:sz w:val="21"/>
        </w:rPr>
        <w:t>解</w:t>
      </w:r>
      <w:r>
        <w:rPr>
          <w:sz w:val="21"/>
        </w:rPr>
        <w:t>除</w:t>
      </w:r>
      <w:r>
        <w:rPr>
          <w:spacing w:val="-3"/>
          <w:sz w:val="21"/>
        </w:rPr>
        <w:t>本</w:t>
      </w:r>
      <w:r>
        <w:rPr>
          <w:sz w:val="21"/>
        </w:rPr>
        <w:t>主</w:t>
      </w:r>
      <w:r>
        <w:rPr>
          <w:spacing w:val="-3"/>
          <w:sz w:val="21"/>
        </w:rPr>
        <w:t>险</w:t>
      </w:r>
      <w:r>
        <w:rPr>
          <w:sz w:val="21"/>
        </w:rPr>
        <w:t>合</w:t>
      </w:r>
      <w:r>
        <w:rPr>
          <w:spacing w:val="-3"/>
          <w:sz w:val="21"/>
        </w:rPr>
        <w:t>同，</w:t>
      </w:r>
    </w:p>
    <w:p>
      <w:pPr>
        <w:pStyle w:val="BodyText"/>
        <w:spacing w:line="238" w:lineRule="exact" w:before="12"/>
        <w:ind w:left="2934"/>
      </w:pPr>
      <w:r>
        <w:rPr/>
        <w:t>我们将在扣除 10 元的工本费后退还您所支付的全部保险费。                </w:t>
      </w:r>
    </w:p>
    <w:p>
      <w:pPr>
        <w:pStyle w:val="BodyText"/>
        <w:spacing w:line="284" w:lineRule="exact"/>
        <w:ind w:left="2934"/>
        <w:rPr>
          <w:rFonts w:ascii="Microsoft JhengHei" w:eastAsia="Microsoft JhengHei" w:hint="eastAsia"/>
          <w:b/>
        </w:rPr>
      </w:pPr>
      <w:r>
        <w:rPr/>
        <w:t>解除本主险合同时，您需要填写申请书，并提供您的保险合同及</w:t>
      </w:r>
      <w:r>
        <w:rPr>
          <w:rFonts w:ascii="Microsoft JhengHei" w:eastAsia="Microsoft JhengHei" w:hint="eastAsia"/>
          <w:b/>
        </w:rPr>
        <w:t>有效身份证件</w:t>
      </w:r>
    </w:p>
    <w:p>
      <w:pPr>
        <w:pStyle w:val="Heading2"/>
        <w:spacing w:line="177" w:lineRule="auto" w:before="49"/>
        <w:ind w:left="2934" w:right="257"/>
      </w:pPr>
      <w:r>
        <w:rPr>
          <w:rFonts w:ascii="宋体" w:eastAsia="宋体" w:hint="eastAsia"/>
          <w:b w:val="0"/>
          <w:w w:val="100"/>
        </w:rPr>
        <w:t>（见</w:t>
      </w:r>
      <w:r>
        <w:rPr>
          <w:rFonts w:ascii="宋体" w:eastAsia="宋体" w:hint="eastAsia"/>
          <w:b w:val="0"/>
          <w:spacing w:val="-53"/>
        </w:rPr>
        <w:t> </w:t>
      </w:r>
      <w:r>
        <w:rPr>
          <w:rFonts w:ascii="宋体" w:eastAsia="宋体" w:hint="eastAsia"/>
          <w:b w:val="0"/>
          <w:spacing w:val="-3"/>
          <w:w w:val="100"/>
        </w:rPr>
        <w:t>1</w:t>
      </w:r>
      <w:r>
        <w:rPr>
          <w:rFonts w:ascii="宋体" w:eastAsia="宋体" w:hint="eastAsia"/>
          <w:b w:val="0"/>
          <w:w w:val="100"/>
        </w:rPr>
        <w:t>0.4</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自我们收到您解除合同的书面申请时起，本主险合同即被解除，</w:t>
      </w:r>
      <w:r>
        <w:rPr>
          <w:spacing w:val="-3"/>
        </w:rPr>
        <w:t>合同解除前发生的保险事故我们不承担保险责任。</w:t>
      </w:r>
    </w:p>
    <w:p>
      <w:pPr>
        <w:pStyle w:val="BodyText"/>
        <w:tabs>
          <w:tab w:pos="975" w:val="left" w:leader="none"/>
          <w:tab w:pos="2934" w:val="left" w:leader="none"/>
        </w:tabs>
        <w:spacing w:line="173" w:lineRule="exact"/>
        <w:ind w:left="220"/>
      </w:pPr>
      <w:r>
        <w:rPr>
          <w:w w:val="100"/>
        </w:rPr>
        <w:t> </w:t>
      </w:r>
      <w:r>
        <w:rPr/>
        <w:tab/>
      </w:r>
      <w:r>
        <w:rPr>
          <w:w w:val="100"/>
        </w:rPr>
        <w:t> </w:t>
      </w:r>
      <w:r>
        <w:rPr/>
        <w:tab/>
      </w:r>
      <w:r>
        <w:rPr>
          <w:w w:val="100"/>
        </w:rPr>
        <w:t> </w:t>
      </w:r>
    </w:p>
    <w:p>
      <w:pPr>
        <w:tabs>
          <w:tab w:pos="975" w:val="left" w:leader="none"/>
        </w:tabs>
        <w:spacing w:line="446" w:lineRule="exact" w:before="0" w:after="11"/>
        <w:ind w:left="223"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504.15pt;height:.5pt;mso-position-horizontal-relative:char;mso-position-vertical-relative:line" coordorigin="0,0" coordsize="10083,10">
            <v:line style="position:absolute" from="0,5" to="756,5" stroked="true" strokeweight=".48pt" strokecolor="#000000">
              <v:stroke dashstyle="solid"/>
            </v:line>
            <v:rect style="position:absolute;left:756;top:0;width:10;height:10" filled="true" fillcolor="#000000" stroked="false">
              <v:fill type="solid"/>
            </v:rect>
            <v:line style="position:absolute" from="766,5" to="2714,5" stroked="true" strokeweight=".48pt" strokecolor="#000000">
              <v:stroke dashstyle="solid"/>
            </v:line>
            <v:rect style="position:absolute;left:2714;top:0;width:10;height:10" filled="true" fillcolor="#000000" stroked="false">
              <v:fill type="solid"/>
            </v:rect>
            <v:line style="position:absolute" from="2724,5" to="10082,5" stroked="true" strokeweight=".48pt" strokecolor="#000000">
              <v:stroke dashstyle="solid"/>
            </v:line>
          </v:group>
        </w:pict>
      </w:r>
      <w:r>
        <w:rPr>
          <w:rFonts w:ascii="Microsoft JhengHei"/>
          <w:spacing w:val="5"/>
          <w:sz w:val="2"/>
        </w:rPr>
      </w:r>
    </w:p>
    <w:p>
      <w:pPr>
        <w:pStyle w:val="BodyText"/>
        <w:spacing w:line="165" w:lineRule="exact"/>
        <w:ind w:left="2934"/>
      </w:pPr>
      <w:r>
        <w:rPr>
          <w:w w:val="100"/>
        </w:rPr>
        <w:t> </w:t>
      </w:r>
    </w:p>
    <w:p>
      <w:pPr>
        <w:pStyle w:val="ListParagraph"/>
        <w:numPr>
          <w:ilvl w:val="1"/>
          <w:numId w:val="5"/>
        </w:numPr>
        <w:tabs>
          <w:tab w:pos="975" w:val="left" w:leader="none"/>
          <w:tab w:pos="976" w:val="left" w:leader="none"/>
          <w:tab w:pos="2934" w:val="left" w:leader="none"/>
        </w:tabs>
        <w:spacing w:line="307" w:lineRule="exact" w:before="0" w:after="0"/>
        <w:ind w:left="976" w:right="0" w:hanging="756"/>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4" w:right="221"/>
      </w:pPr>
      <w:r>
        <w:rPr/>
        <w:t>本主险合同的基本保险金额由您在投保时与我们约定并在保险单上载明。若该金额发生变更，则以变更后的金额为基本保险金额。 </w:t>
      </w:r>
    </w:p>
    <w:p>
      <w:pPr>
        <w:pStyle w:val="BodyText"/>
        <w:spacing w:line="272" w:lineRule="exact" w:before="10"/>
        <w:ind w:left="2934"/>
        <w:jc w:val="both"/>
      </w:pPr>
      <w:r>
        <w:rPr/>
        <w:t>（2）保险金额 </w:t>
      </w:r>
    </w:p>
    <w:p>
      <w:pPr>
        <w:pStyle w:val="BodyText"/>
        <w:spacing w:line="247" w:lineRule="exact"/>
        <w:ind w:left="2934"/>
        <w:jc w:val="both"/>
      </w:pPr>
      <w:r>
        <w:rPr/>
        <w:t>保险金额是指我们根据本主险合同承担赔偿或者给付保险金责任的最高限额。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306" w:lineRule="exact" w:before="0" w:after="0"/>
        <w:ind w:left="976" w:right="0" w:hanging="756"/>
        <w:jc w:val="left"/>
        <w:rPr>
          <w:sz w:val="21"/>
        </w:rPr>
      </w:pPr>
      <w:r>
        <w:rPr>
          <w:rFonts w:ascii="Microsoft JhengHei" w:eastAsia="Microsoft JhengHei" w:hint="eastAsia"/>
          <w:b/>
          <w:sz w:val="21"/>
        </w:rPr>
        <w:t>2</w:t>
        <w:tab/>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w:t>
      </w:r>
      <w:r>
        <w:rPr>
          <w:sz w:val="21"/>
        </w:rPr>
        <w:t>并在</w:t>
      </w:r>
      <w:r>
        <w:rPr>
          <w:spacing w:val="-3"/>
          <w:sz w:val="21"/>
        </w:rPr>
        <w:t>我</w:t>
      </w:r>
      <w:r>
        <w:rPr>
          <w:sz w:val="21"/>
        </w:rPr>
        <w:t>们</w:t>
      </w:r>
      <w:r>
        <w:rPr>
          <w:spacing w:val="-3"/>
          <w:sz w:val="21"/>
        </w:rPr>
        <w:t>签</w:t>
      </w:r>
      <w:r>
        <w:rPr>
          <w:sz w:val="21"/>
        </w:rPr>
        <w:t>发</w:t>
      </w:r>
      <w:r>
        <w:rPr>
          <w:spacing w:val="-3"/>
          <w:sz w:val="21"/>
        </w:rPr>
        <w:t>的</w:t>
      </w:r>
      <w:r>
        <w:rPr>
          <w:sz w:val="21"/>
        </w:rPr>
        <w:t>保</w:t>
      </w:r>
      <w:r>
        <w:rPr>
          <w:spacing w:val="-3"/>
          <w:sz w:val="21"/>
        </w:rPr>
        <w:t>险 </w:t>
      </w:r>
      <w:r>
        <w:rPr>
          <w:sz w:val="21"/>
        </w:rPr>
        <w:t>单</w:t>
      </w:r>
      <w:r>
        <w:rPr>
          <w:spacing w:val="-3"/>
          <w:sz w:val="21"/>
        </w:rPr>
        <w:t>上载</w:t>
      </w:r>
    </w:p>
    <w:p>
      <w:pPr>
        <w:pStyle w:val="BodyText"/>
        <w:spacing w:line="235" w:lineRule="exact"/>
        <w:ind w:left="2934"/>
        <w:jc w:val="both"/>
      </w:pPr>
      <w:r>
        <w:rPr/>
        <w:t>明。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320" w:lineRule="exact" w:before="0" w:after="0"/>
        <w:ind w:left="976" w:right="0" w:hanging="756"/>
        <w:jc w:val="left"/>
        <w:rPr>
          <w:sz w:val="21"/>
        </w:rPr>
      </w:pPr>
      <w:r>
        <w:rPr>
          <w:rFonts w:ascii="Microsoft JhengHei" w:eastAsia="Microsoft JhengHei" w:hint="eastAsia"/>
          <w:b/>
          <w:sz w:val="21"/>
        </w:rPr>
        <w:t>3</w:t>
        <w:tab/>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2934" w:val="left" w:leader="none"/>
        </w:tabs>
        <w:spacing w:line="330" w:lineRule="exact" w:before="56"/>
        <w:ind w:left="976"/>
      </w:pPr>
      <w:r>
        <w:rPr>
          <w:rFonts w:ascii="Microsoft JhengHei" w:eastAsia="Microsoft JhengHei" w:hint="eastAsia"/>
          <w:b/>
          <w:position w:val="2"/>
        </w:rPr>
        <w:t>重大</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3"/>
        </w:rPr>
        <w:t>的</w:t>
      </w:r>
      <w:r>
        <w:rPr/>
        <w:t>首</w:t>
      </w:r>
      <w:r>
        <w:rPr>
          <w:spacing w:val="-3"/>
        </w:rPr>
        <w:t>个</w:t>
      </w:r>
      <w:r>
        <w:rPr/>
        <w:t>保</w:t>
      </w:r>
      <w:r>
        <w:rPr>
          <w:spacing w:val="-3"/>
        </w:rPr>
        <w:t>单</w:t>
      </w:r>
      <w:r>
        <w:rPr/>
        <w:t>周</w:t>
      </w:r>
      <w:r>
        <w:rPr>
          <w:spacing w:val="-3"/>
        </w:rPr>
        <w:t>年</w:t>
      </w:r>
      <w:r>
        <w:rPr/>
        <w:t>日</w:t>
      </w:r>
      <w:r>
        <w:rPr>
          <w:spacing w:val="-3"/>
        </w:rPr>
        <w:t>之</w:t>
      </w:r>
      <w:r>
        <w:rPr/>
        <w:t>前</w:t>
      </w:r>
    </w:p>
    <w:p>
      <w:pPr>
        <w:pStyle w:val="BodyText"/>
        <w:spacing w:line="196" w:lineRule="auto" w:before="29"/>
        <w:ind w:left="2934" w:right="269"/>
        <w:jc w:val="both"/>
      </w:pPr>
      <w:r>
        <w:rPr>
          <w:w w:val="100"/>
        </w:rPr>
        <w:t>（含</w:t>
      </w:r>
      <w:r>
        <w:rPr>
          <w:spacing w:val="-108"/>
          <w:w w:val="100"/>
        </w:rPr>
        <w:t>）</w:t>
      </w:r>
      <w:r>
        <w:rPr>
          <w:spacing w:val="-3"/>
          <w:w w:val="100"/>
        </w:rPr>
        <w:t>，若被保险人经</w:t>
      </w:r>
      <w:r>
        <w:rPr>
          <w:rFonts w:ascii="Microsoft JhengHei" w:eastAsia="Microsoft JhengHei" w:hint="eastAsia"/>
          <w:b/>
          <w:w w:val="100"/>
        </w:rPr>
        <w:t>医疗机构</w:t>
      </w:r>
      <w:r>
        <w:rPr>
          <w:w w:val="100"/>
        </w:rPr>
        <w:t>（见</w:t>
      </w:r>
      <w:r>
        <w:rPr>
          <w:spacing w:val="-55"/>
        </w:rPr>
        <w:t> </w:t>
      </w:r>
      <w:r>
        <w:rPr>
          <w:w w:val="100"/>
        </w:rPr>
        <w:t>10.</w:t>
      </w:r>
      <w:r>
        <w:rPr>
          <w:spacing w:val="-3"/>
          <w:w w:val="100"/>
        </w:rPr>
        <w:t>5</w:t>
      </w:r>
      <w:r>
        <w:rPr>
          <w:w w:val="100"/>
        </w:rPr>
        <w:t>）</w:t>
      </w:r>
      <w:r>
        <w:rPr>
          <w:spacing w:val="-3"/>
          <w:w w:val="100"/>
        </w:rPr>
        <w:t>确诊，首次患上符合本条款定义的</w:t>
      </w:r>
      <w:r>
        <w:rPr>
          <w:rFonts w:ascii="Microsoft JhengHei" w:eastAsia="Microsoft JhengHei" w:hint="eastAsia"/>
          <w:b/>
          <w:spacing w:val="-3"/>
          <w:w w:val="100"/>
        </w:rPr>
        <w:t>重大疾病</w:t>
      </w:r>
      <w:r>
        <w:rPr>
          <w:spacing w:val="-3"/>
          <w:w w:val="100"/>
        </w:rPr>
        <w:t>（</w:t>
      </w:r>
      <w:r>
        <w:rPr>
          <w:w w:val="100"/>
        </w:rPr>
        <w:t>见</w:t>
      </w:r>
      <w:r>
        <w:rPr>
          <w:spacing w:val="-53"/>
        </w:rPr>
        <w:t> </w:t>
      </w:r>
      <w:r>
        <w:rPr>
          <w:w w:val="100"/>
        </w:rPr>
        <w:t>10</w:t>
      </w:r>
      <w:r>
        <w:rPr>
          <w:spacing w:val="-3"/>
          <w:w w:val="100"/>
        </w:rPr>
        <w:t>.</w:t>
      </w:r>
      <w:r>
        <w:rPr>
          <w:w w:val="100"/>
        </w:rPr>
        <w:t>6</w:t>
      </w:r>
      <w:r>
        <w:rPr>
          <w:spacing w:val="-106"/>
          <w:w w:val="100"/>
        </w:rPr>
        <w:t>）</w:t>
      </w:r>
      <w:r>
        <w:rPr>
          <w:spacing w:val="-3"/>
          <w:w w:val="100"/>
        </w:rPr>
        <w:t>，我们将无息返还本主险合同已交保险费，本主险合同终</w:t>
      </w:r>
      <w:r>
        <w:rPr>
          <w:spacing w:val="-3"/>
        </w:rPr>
        <w:t>止。</w:t>
      </w:r>
      <w:r>
        <w:rPr/>
        <w:t> </w:t>
      </w:r>
    </w:p>
    <w:p>
      <w:pPr>
        <w:pStyle w:val="BodyText"/>
        <w:spacing w:line="271" w:lineRule="exact"/>
        <w:ind w:left="2934"/>
      </w:pPr>
      <w:r>
        <w:rPr/>
        <w:t>自本主险合同生效日或最后复效日（以较迟者为准）起的首个保单周年日之后</w:t>
      </w:r>
    </w:p>
    <w:p>
      <w:pPr>
        <w:pStyle w:val="BodyText"/>
        <w:spacing w:line="237" w:lineRule="auto" w:before="2"/>
        <w:ind w:left="2934" w:right="215"/>
        <w:jc w:val="both"/>
      </w:pPr>
      <w:r>
        <w:rPr>
          <w:w w:val="100"/>
        </w:rPr>
        <w:t>（</w:t>
      </w:r>
      <w:r>
        <w:rPr>
          <w:spacing w:val="-2"/>
          <w:w w:val="100"/>
        </w:rPr>
        <w:t>不含</w:t>
      </w:r>
      <w:r>
        <w:rPr>
          <w:spacing w:val="-106"/>
          <w:w w:val="100"/>
        </w:rPr>
        <w:t>）</w:t>
      </w:r>
      <w:r>
        <w:rPr>
          <w:spacing w:val="-3"/>
          <w:w w:val="100"/>
        </w:rPr>
        <w:t>，第二个保单周年日之前</w:t>
      </w:r>
      <w:r>
        <w:rPr>
          <w:w w:val="100"/>
        </w:rPr>
        <w:t>（</w:t>
      </w:r>
      <w:r>
        <w:rPr>
          <w:spacing w:val="-3"/>
          <w:w w:val="100"/>
        </w:rPr>
        <w:t>含</w:t>
      </w:r>
      <w:r>
        <w:rPr>
          <w:spacing w:val="-106"/>
          <w:w w:val="100"/>
        </w:rPr>
        <w:t>）</w:t>
      </w:r>
      <w:r>
        <w:rPr>
          <w:spacing w:val="-3"/>
          <w:w w:val="100"/>
        </w:rPr>
        <w:t>，若被保险人经医疗机构确诊，首次患</w:t>
      </w:r>
      <w:r>
        <w:rPr>
          <w:spacing w:val="-5"/>
        </w:rPr>
        <w:t>上符合本条款定义的重大疾病，且自确诊之日起 </w:t>
      </w:r>
      <w:r>
        <w:rPr/>
        <w:t>30</w:t>
      </w:r>
      <w:r>
        <w:rPr>
          <w:spacing w:val="-16"/>
        </w:rPr>
        <w:t> 日后</w:t>
      </w:r>
      <w:r>
        <w:rPr>
          <w:spacing w:val="-3"/>
        </w:rPr>
        <w:t>（</w:t>
      </w:r>
      <w:r>
        <w:rPr>
          <w:spacing w:val="-13"/>
        </w:rPr>
        <w:t>不含第 </w:t>
      </w:r>
      <w:r>
        <w:rPr/>
        <w:t>30</w:t>
      </w:r>
      <w:r>
        <w:rPr>
          <w:spacing w:val="-25"/>
        </w:rPr>
        <w:t> 日</w:t>
      </w:r>
      <w:r>
        <w:rPr/>
        <w:t>）</w:t>
      </w:r>
      <w:r>
        <w:rPr>
          <w:spacing w:val="-2"/>
        </w:rPr>
        <w:t>仍生</w:t>
      </w:r>
      <w:r>
        <w:rPr>
          <w:spacing w:val="-8"/>
        </w:rPr>
        <w:t>存，我们将按本主险合同已交保险费的 </w:t>
      </w:r>
      <w:r>
        <w:rPr/>
        <w:t>150</w:t>
      </w:r>
      <w:r>
        <w:rPr>
          <w:spacing w:val="-5"/>
        </w:rPr>
        <w:t>%给付重大疾病保险金，本主险合同</w:t>
      </w:r>
      <w:r>
        <w:rPr>
          <w:spacing w:val="-1"/>
        </w:rPr>
        <w:t>终止。</w:t>
      </w:r>
      <w:r>
        <w:rPr/>
        <w:t> </w:t>
      </w:r>
    </w:p>
    <w:p>
      <w:pPr>
        <w:pStyle w:val="BodyText"/>
        <w:spacing w:line="237" w:lineRule="auto" w:before="1"/>
        <w:ind w:left="2934" w:right="107"/>
      </w:pPr>
      <w:r>
        <w:rPr>
          <w:spacing w:val="-3"/>
        </w:rPr>
        <w:t>自本主险合同生效日或最后复效日（以较迟者为准</w:t>
      </w:r>
      <w:r>
        <w:rPr/>
        <w:t>）</w:t>
      </w:r>
      <w:r>
        <w:rPr>
          <w:spacing w:val="-3"/>
        </w:rPr>
        <w:t>起的第二个保单周年日之 </w:t>
      </w:r>
      <w:r>
        <w:rPr>
          <w:spacing w:val="-68"/>
        </w:rPr>
        <w:t>后</w:t>
      </w:r>
      <w:r>
        <w:rPr/>
        <w:t>（</w:t>
      </w:r>
      <w:r>
        <w:rPr>
          <w:spacing w:val="-2"/>
        </w:rPr>
        <w:t>不含</w:t>
      </w:r>
      <w:r>
        <w:rPr>
          <w:spacing w:val="-87"/>
        </w:rPr>
        <w:t>）</w:t>
      </w:r>
      <w:r>
        <w:rPr>
          <w:spacing w:val="-15"/>
        </w:rPr>
        <w:t>，若被保险人经医疗机构确诊，首次患上符合本条款定义的重大疾病， </w:t>
      </w:r>
      <w:r>
        <w:rPr>
          <w:spacing w:val="-9"/>
        </w:rPr>
        <w:t>且自确诊之日起 </w:t>
      </w:r>
      <w:r>
        <w:rPr/>
        <w:t>30</w:t>
      </w:r>
      <w:r>
        <w:rPr>
          <w:spacing w:val="-18"/>
        </w:rPr>
        <w:t> 日后</w:t>
      </w:r>
      <w:r>
        <w:rPr>
          <w:spacing w:val="-3"/>
        </w:rPr>
        <w:t>（</w:t>
      </w:r>
      <w:r>
        <w:rPr>
          <w:spacing w:val="-14"/>
        </w:rPr>
        <w:t>不含第 </w:t>
      </w:r>
      <w:r>
        <w:rPr/>
        <w:t>30</w:t>
      </w:r>
      <w:r>
        <w:rPr>
          <w:spacing w:val="-25"/>
        </w:rPr>
        <w:t> 日</w:t>
      </w:r>
      <w:r>
        <w:rPr>
          <w:spacing w:val="-3"/>
        </w:rPr>
        <w:t>）仍生存，我们将按本主险合同的基本保险金额给付重大疾病保险金，本主险合同终止。</w:t>
      </w:r>
      <w:r>
        <w:rPr/>
        <w:t> </w:t>
      </w:r>
    </w:p>
    <w:p>
      <w:pPr>
        <w:spacing w:after="0" w:line="237" w:lineRule="auto"/>
        <w:sectPr>
          <w:footerReference w:type="default" r:id="rId8"/>
          <w:pgSz w:w="11900" w:h="16840"/>
          <w:pgMar w:footer="676" w:header="0" w:top="1220" w:bottom="860" w:left="800" w:right="800"/>
          <w:pgNumType w:start="2"/>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45"/>
        <w:gridCol w:w="7539"/>
      </w:tblGrid>
      <w:tr>
        <w:trPr>
          <w:trHeight w:val="488" w:hRule="atLeast"/>
        </w:trPr>
        <w:tc>
          <w:tcPr>
            <w:tcW w:w="2579" w:type="dxa"/>
            <w:gridSpan w:val="2"/>
          </w:tcPr>
          <w:p>
            <w:pPr>
              <w:pStyle w:val="TableParagraph"/>
              <w:rPr>
                <w:rFonts w:ascii="Times New Roman"/>
                <w:sz w:val="20"/>
              </w:rPr>
            </w:pPr>
          </w:p>
        </w:tc>
        <w:tc>
          <w:tcPr>
            <w:tcW w:w="7539" w:type="dxa"/>
          </w:tcPr>
          <w:p>
            <w:pPr>
              <w:pStyle w:val="TableParagraph"/>
              <w:spacing w:line="201" w:lineRule="exact"/>
              <w:ind w:left="243"/>
              <w:rPr>
                <w:sz w:val="21"/>
              </w:rPr>
            </w:pPr>
            <w:r>
              <w:rPr>
                <w:sz w:val="21"/>
              </w:rPr>
              <w:t>被保险人经医疗机构确诊首次患上符合本条款定义的多种重大疾病的，重大疾</w:t>
            </w:r>
          </w:p>
          <w:p>
            <w:pPr>
              <w:pStyle w:val="TableParagraph"/>
              <w:spacing w:line="268" w:lineRule="exact"/>
              <w:ind w:left="243"/>
              <w:rPr>
                <w:sz w:val="21"/>
              </w:rPr>
            </w:pPr>
            <w:r>
              <w:rPr>
                <w:sz w:val="21"/>
              </w:rPr>
              <w:t>病保险金的给付以本主险合同的基本保险金额为限。</w:t>
            </w:r>
          </w:p>
        </w:tc>
      </w:tr>
      <w:tr>
        <w:trPr>
          <w:trHeight w:val="233" w:hRule="atLeast"/>
        </w:trPr>
        <w:tc>
          <w:tcPr>
            <w:tcW w:w="634" w:type="dxa"/>
          </w:tcPr>
          <w:p>
            <w:pPr>
              <w:pStyle w:val="TableParagraph"/>
              <w:spacing w:line="208" w:lineRule="exact"/>
              <w:ind w:left="107"/>
              <w:rPr>
                <w:sz w:val="21"/>
              </w:rPr>
            </w:pPr>
            <w:r>
              <w:rPr>
                <w:w w:val="100"/>
                <w:sz w:val="21"/>
              </w:rPr>
              <w:t> </w:t>
            </w:r>
          </w:p>
        </w:tc>
        <w:tc>
          <w:tcPr>
            <w:tcW w:w="1945" w:type="dxa"/>
          </w:tcPr>
          <w:p>
            <w:pPr>
              <w:pStyle w:val="TableParagraph"/>
              <w:spacing w:line="208" w:lineRule="exact"/>
              <w:ind w:left="230"/>
              <w:rPr>
                <w:sz w:val="21"/>
              </w:rPr>
            </w:pPr>
            <w:r>
              <w:rPr>
                <w:w w:val="100"/>
                <w:sz w:val="21"/>
              </w:rPr>
              <w:t> </w:t>
            </w:r>
          </w:p>
        </w:tc>
        <w:tc>
          <w:tcPr>
            <w:tcW w:w="7539" w:type="dxa"/>
          </w:tcPr>
          <w:p>
            <w:pPr>
              <w:pStyle w:val="TableParagraph"/>
              <w:spacing w:line="208" w:lineRule="exact"/>
              <w:ind w:left="243"/>
              <w:rPr>
                <w:sz w:val="21"/>
              </w:rPr>
            </w:pPr>
            <w:r>
              <w:rPr>
                <w:w w:val="100"/>
                <w:sz w:val="21"/>
              </w:rPr>
              <w:t> </w:t>
            </w:r>
          </w:p>
        </w:tc>
      </w:tr>
      <w:tr>
        <w:trPr>
          <w:trHeight w:val="263" w:hRule="atLeast"/>
        </w:trPr>
        <w:tc>
          <w:tcPr>
            <w:tcW w:w="634" w:type="dxa"/>
          </w:tcPr>
          <w:p>
            <w:pPr>
              <w:pStyle w:val="TableParagraph"/>
              <w:rPr>
                <w:rFonts w:ascii="Times New Roman"/>
                <w:sz w:val="18"/>
              </w:rPr>
            </w:pPr>
          </w:p>
        </w:tc>
        <w:tc>
          <w:tcPr>
            <w:tcW w:w="1945" w:type="dxa"/>
          </w:tcPr>
          <w:p>
            <w:pPr>
              <w:pStyle w:val="TableParagraph"/>
              <w:spacing w:line="230" w:lineRule="exact"/>
              <w:ind w:left="230"/>
              <w:rPr>
                <w:rFonts w:ascii="Microsoft JhengHei" w:eastAsia="Microsoft JhengHei" w:hint="eastAsia"/>
                <w:b/>
                <w:sz w:val="21"/>
              </w:rPr>
            </w:pPr>
            <w:r>
              <w:rPr>
                <w:rFonts w:ascii="Microsoft JhengHei" w:eastAsia="Microsoft JhengHei" w:hint="eastAsia"/>
                <w:b/>
                <w:sz w:val="21"/>
              </w:rPr>
              <w:t>轻症疾病保险金</w:t>
            </w:r>
          </w:p>
        </w:tc>
        <w:tc>
          <w:tcPr>
            <w:tcW w:w="7539" w:type="dxa"/>
          </w:tcPr>
          <w:p>
            <w:pPr>
              <w:pStyle w:val="TableParagraph"/>
              <w:spacing w:line="225" w:lineRule="exact"/>
              <w:ind w:left="243"/>
              <w:rPr>
                <w:sz w:val="21"/>
              </w:rPr>
            </w:pPr>
            <w:r>
              <w:rPr>
                <w:sz w:val="21"/>
              </w:rPr>
              <w:t>自本主险合同生效日或最后复效日（以较迟者为准）起第二个保单周年日之前</w:t>
            </w:r>
          </w:p>
        </w:tc>
      </w:tr>
      <w:tr>
        <w:trPr>
          <w:trHeight w:val="274"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4" w:lineRule="exact"/>
              <w:ind w:left="243"/>
              <w:rPr>
                <w:sz w:val="21"/>
              </w:rPr>
            </w:pPr>
            <w:r>
              <w:rPr>
                <w:sz w:val="21"/>
              </w:rPr>
              <w:t>（含</w:t>
            </w:r>
            <w:r>
              <w:rPr>
                <w:spacing w:val="-71"/>
                <w:sz w:val="21"/>
              </w:rPr>
              <w:t>）</w:t>
            </w:r>
            <w:r>
              <w:rPr>
                <w:spacing w:val="-12"/>
                <w:sz w:val="21"/>
              </w:rPr>
              <w:t>，若被保险人经医疗机构确诊，首次患上符合本条款定义的</w:t>
            </w:r>
            <w:r>
              <w:rPr>
                <w:rFonts w:ascii="Microsoft JhengHei" w:eastAsia="Microsoft JhengHei" w:hint="eastAsia"/>
                <w:b/>
                <w:spacing w:val="-8"/>
                <w:sz w:val="21"/>
              </w:rPr>
              <w:t>轻症疾病</w:t>
            </w:r>
            <w:r>
              <w:rPr>
                <w:spacing w:val="-3"/>
                <w:sz w:val="21"/>
              </w:rPr>
              <w:t>（见</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w w:val="100"/>
                <w:sz w:val="21"/>
              </w:rPr>
              <w:t>10.7</w:t>
            </w:r>
            <w:r>
              <w:rPr>
                <w:spacing w:val="-108"/>
                <w:w w:val="100"/>
                <w:sz w:val="21"/>
              </w:rPr>
              <w:t>）</w:t>
            </w:r>
            <w:r>
              <w:rPr>
                <w:spacing w:val="-3"/>
                <w:w w:val="100"/>
                <w:sz w:val="21"/>
              </w:rPr>
              <w:t>，我们不承担给付轻症疾病保险金的责任，本主险合同继续有效。</w:t>
            </w:r>
            <w:r>
              <w:rPr>
                <w:w w:val="100"/>
                <w:sz w:val="21"/>
              </w:rPr>
              <w:t>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自本主险合同生效日或最后复效日（以较迟者为准）起第二个保单周年日之后</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w w:val="100"/>
                <w:sz w:val="21"/>
              </w:rPr>
              <w:t>（</w:t>
            </w:r>
            <w:r>
              <w:rPr>
                <w:spacing w:val="-2"/>
                <w:w w:val="100"/>
                <w:sz w:val="21"/>
              </w:rPr>
              <w:t>不含</w:t>
            </w:r>
            <w:r>
              <w:rPr>
                <w:spacing w:val="-106"/>
                <w:w w:val="100"/>
                <w:sz w:val="21"/>
              </w:rPr>
              <w:t>）</w:t>
            </w:r>
            <w:r>
              <w:rPr>
                <w:spacing w:val="-3"/>
                <w:w w:val="100"/>
                <w:sz w:val="21"/>
              </w:rPr>
              <w:t>，若被保险人经医疗机构确诊，首次患上符合本条款定义的轻症疾病，</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pacing w:val="-8"/>
                <w:sz w:val="21"/>
              </w:rPr>
              <w:t>且自确诊之日起 </w:t>
            </w:r>
            <w:r>
              <w:rPr>
                <w:sz w:val="21"/>
              </w:rPr>
              <w:t>30</w:t>
            </w:r>
            <w:r>
              <w:rPr>
                <w:spacing w:val="-17"/>
                <w:sz w:val="21"/>
              </w:rPr>
              <w:t> 日后</w:t>
            </w:r>
            <w:r>
              <w:rPr>
                <w:spacing w:val="-3"/>
                <w:sz w:val="21"/>
              </w:rPr>
              <w:t>（</w:t>
            </w:r>
            <w:r>
              <w:rPr>
                <w:spacing w:val="-13"/>
                <w:sz w:val="21"/>
              </w:rPr>
              <w:t>不含第 </w:t>
            </w:r>
            <w:r>
              <w:rPr>
                <w:sz w:val="21"/>
              </w:rPr>
              <w:t>30</w:t>
            </w:r>
            <w:r>
              <w:rPr>
                <w:spacing w:val="-23"/>
                <w:sz w:val="21"/>
              </w:rPr>
              <w:t> 日</w:t>
            </w:r>
            <w:r>
              <w:rPr>
                <w:spacing w:val="-3"/>
                <w:sz w:val="21"/>
              </w:rPr>
              <w:t>）仍生存，我们将按本主险合同的基本</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保险金额的 20%给付轻症疾病保险金，轻症疾病保险责任终止，其他责任继续</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有效，基本保险金额保持不变。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被保险人经医疗机构确诊首次患上符合本条款定义的多种轻症疾病的，轻症疾</w:t>
            </w:r>
          </w:p>
        </w:tc>
      </w:tr>
      <w:tr>
        <w:trPr>
          <w:trHeight w:val="247"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27" w:lineRule="exact"/>
              <w:ind w:left="243"/>
              <w:rPr>
                <w:sz w:val="21"/>
              </w:rPr>
            </w:pPr>
            <w:r>
              <w:rPr>
                <w:sz w:val="21"/>
              </w:rPr>
              <w:t>病保险金的给付以本主险合同的基本保险金额的 20%为限。 </w:t>
            </w:r>
          </w:p>
        </w:tc>
      </w:tr>
      <w:tr>
        <w:trPr>
          <w:trHeight w:val="230" w:hRule="atLeast"/>
        </w:trPr>
        <w:tc>
          <w:tcPr>
            <w:tcW w:w="634" w:type="dxa"/>
          </w:tcPr>
          <w:p>
            <w:pPr>
              <w:pStyle w:val="TableParagraph"/>
              <w:spacing w:line="207" w:lineRule="exact"/>
              <w:ind w:left="107"/>
              <w:rPr>
                <w:sz w:val="21"/>
              </w:rPr>
            </w:pPr>
            <w:r>
              <w:rPr>
                <w:w w:val="100"/>
                <w:sz w:val="21"/>
              </w:rPr>
              <w:t> </w:t>
            </w:r>
          </w:p>
        </w:tc>
        <w:tc>
          <w:tcPr>
            <w:tcW w:w="1945" w:type="dxa"/>
          </w:tcPr>
          <w:p>
            <w:pPr>
              <w:pStyle w:val="TableParagraph"/>
              <w:spacing w:line="207" w:lineRule="exact"/>
              <w:ind w:left="230"/>
              <w:rPr>
                <w:sz w:val="21"/>
              </w:rPr>
            </w:pPr>
            <w:r>
              <w:rPr>
                <w:w w:val="100"/>
                <w:sz w:val="21"/>
              </w:rPr>
              <w:t> </w:t>
            </w:r>
          </w:p>
        </w:tc>
        <w:tc>
          <w:tcPr>
            <w:tcW w:w="7539" w:type="dxa"/>
          </w:tcPr>
          <w:p>
            <w:pPr>
              <w:pStyle w:val="TableParagraph"/>
              <w:spacing w:line="207" w:lineRule="exact"/>
              <w:ind w:left="243"/>
              <w:rPr>
                <w:sz w:val="21"/>
              </w:rPr>
            </w:pPr>
            <w:r>
              <w:rPr>
                <w:w w:val="100"/>
                <w:sz w:val="21"/>
              </w:rPr>
              <w:t> </w:t>
            </w:r>
          </w:p>
        </w:tc>
      </w:tr>
      <w:tr>
        <w:trPr>
          <w:trHeight w:val="273" w:hRule="atLeast"/>
        </w:trPr>
        <w:tc>
          <w:tcPr>
            <w:tcW w:w="634" w:type="dxa"/>
          </w:tcPr>
          <w:p>
            <w:pPr>
              <w:pStyle w:val="TableParagraph"/>
              <w:spacing w:line="250" w:lineRule="exact"/>
              <w:ind w:left="107"/>
              <w:rPr>
                <w:rFonts w:ascii="Microsoft JhengHei"/>
                <w:b/>
                <w:sz w:val="21"/>
              </w:rPr>
            </w:pPr>
            <w:r>
              <w:rPr>
                <w:rFonts w:ascii="Microsoft JhengHei"/>
                <w:b/>
                <w:w w:val="90"/>
                <w:sz w:val="21"/>
              </w:rPr>
              <w:t>2. 4</w:t>
            </w:r>
          </w:p>
        </w:tc>
        <w:tc>
          <w:tcPr>
            <w:tcW w:w="1945" w:type="dxa"/>
          </w:tcPr>
          <w:p>
            <w:pPr>
              <w:pStyle w:val="TableParagraph"/>
              <w:spacing w:line="250" w:lineRule="exact"/>
              <w:ind w:left="230"/>
              <w:rPr>
                <w:sz w:val="21"/>
              </w:rPr>
            </w:pPr>
            <w:r>
              <w:rPr>
                <w:rFonts w:ascii="Microsoft JhengHei" w:eastAsia="Microsoft JhengHei" w:hint="eastAsia"/>
                <w:b/>
                <w:sz w:val="21"/>
              </w:rPr>
              <w:t>责任免除</w:t>
            </w:r>
            <w:r>
              <w:rPr>
                <w:sz w:val="21"/>
              </w:rPr>
              <w:t> </w:t>
            </w:r>
          </w:p>
        </w:tc>
        <w:tc>
          <w:tcPr>
            <w:tcW w:w="7539" w:type="dxa"/>
          </w:tcPr>
          <w:p>
            <w:pPr>
              <w:pStyle w:val="TableParagraph"/>
              <w:spacing w:line="250" w:lineRule="exact"/>
              <w:ind w:left="243"/>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w:t>
            </w:r>
          </w:p>
        </w:tc>
      </w:tr>
      <w:tr>
        <w:trPr>
          <w:trHeight w:val="260"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40" w:lineRule="exact"/>
              <w:ind w:left="243"/>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279"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60" w:lineRule="exact"/>
              <w:ind w:left="243"/>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8 </w:t>
            </w:r>
            <w:r>
              <w:rPr>
                <w:rFonts w:ascii="Microsoft JhengHei" w:eastAsia="Microsoft JhengHei" w:hint="eastAsia"/>
                <w:b/>
                <w:spacing w:val="-106"/>
                <w:sz w:val="21"/>
              </w:rPr>
              <w:t>）；</w:t>
            </w:r>
          </w:p>
        </w:tc>
      </w:tr>
      <w:tr>
        <w:trPr>
          <w:trHeight w:val="254"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35" w:lineRule="exact"/>
              <w:ind w:left="243"/>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，或</w:t>
            </w:r>
          </w:p>
        </w:tc>
      </w:tr>
      <w:tr>
        <w:trPr>
          <w:trHeight w:val="290"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70" w:lineRule="exact"/>
              <w:ind w:left="749"/>
              <w:rPr>
                <w:rFonts w:ascii="Microsoft JhengHei" w:eastAsia="Microsoft JhengHei" w:hint="eastAsia"/>
                <w:b/>
                <w:sz w:val="21"/>
              </w:rPr>
            </w:pPr>
            <w:r>
              <w:rPr>
                <w:rFonts w:ascii="Microsoft JhengHei" w:eastAsia="Microsoft JhengHei" w:hint="eastAsia"/>
                <w:b/>
                <w:sz w:val="21"/>
              </w:rPr>
              <w:t>驾驶无有效行驶证</w:t>
            </w:r>
            <w:r>
              <w:rPr>
                <w:rFonts w:ascii="Microsoft JhengHei" w:eastAsia="Microsoft JhengHei" w:hint="eastAsia"/>
                <w:b/>
                <w:spacing w:val="-3"/>
                <w:sz w:val="21"/>
              </w:rPr>
              <w:t>（</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11 ）的机动车（</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12 </w:t>
            </w:r>
            <w:r>
              <w:rPr>
                <w:rFonts w:ascii="Microsoft JhengHei" w:eastAsia="Microsoft JhengHei" w:hint="eastAsia"/>
                <w:b/>
                <w:spacing w:val="-106"/>
                <w:sz w:val="21"/>
              </w:rPr>
              <w:t>）；</w:t>
            </w:r>
          </w:p>
        </w:tc>
      </w:tr>
      <w:tr>
        <w:trPr>
          <w:trHeight w:val="272"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34" w:lineRule="exact"/>
              <w:ind w:left="243"/>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13</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14</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277"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5" w:lineRule="exact"/>
              <w:ind w:left="243"/>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260"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40" w:lineRule="exact"/>
              <w:ind w:left="243"/>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发生上述情形导致被保险人发生疾病、达到疾病状态或进行手术的，本主险合</w:t>
            </w:r>
          </w:p>
        </w:tc>
      </w:tr>
      <w:tr>
        <w:trPr>
          <w:trHeight w:val="461" w:hRule="atLeast"/>
        </w:trPr>
        <w:tc>
          <w:tcPr>
            <w:tcW w:w="634" w:type="dxa"/>
          </w:tcPr>
          <w:p>
            <w:pPr>
              <w:pStyle w:val="TableParagraph"/>
              <w:spacing w:before="1"/>
              <w:rPr>
                <w:sz w:val="14"/>
              </w:rPr>
            </w:pPr>
          </w:p>
          <w:p>
            <w:pPr>
              <w:pStyle w:val="TableParagraph"/>
              <w:spacing w:line="257" w:lineRule="exact"/>
              <w:ind w:left="107"/>
              <w:rPr>
                <w:sz w:val="21"/>
              </w:rPr>
            </w:pPr>
            <w:r>
              <w:rPr>
                <w:w w:val="100"/>
                <w:sz w:val="21"/>
              </w:rPr>
              <w:t> </w:t>
            </w:r>
          </w:p>
        </w:tc>
        <w:tc>
          <w:tcPr>
            <w:tcW w:w="1945" w:type="dxa"/>
          </w:tcPr>
          <w:p>
            <w:pPr>
              <w:pStyle w:val="TableParagraph"/>
              <w:spacing w:before="1"/>
              <w:rPr>
                <w:sz w:val="14"/>
              </w:rPr>
            </w:pPr>
          </w:p>
          <w:p>
            <w:pPr>
              <w:pStyle w:val="TableParagraph"/>
              <w:spacing w:line="257" w:lineRule="exact"/>
              <w:ind w:left="230"/>
              <w:rPr>
                <w:sz w:val="21"/>
              </w:rPr>
            </w:pPr>
            <w:r>
              <w:rPr>
                <w:w w:val="100"/>
                <w:sz w:val="21"/>
              </w:rPr>
              <w:t> </w:t>
            </w:r>
          </w:p>
        </w:tc>
        <w:tc>
          <w:tcPr>
            <w:tcW w:w="7539" w:type="dxa"/>
          </w:tcPr>
          <w:p>
            <w:pPr>
              <w:pStyle w:val="TableParagraph"/>
              <w:spacing w:line="223" w:lineRule="exact"/>
              <w:ind w:left="243"/>
              <w:rPr>
                <w:sz w:val="21"/>
              </w:rPr>
            </w:pPr>
            <w:r>
              <w:rPr>
                <w:rFonts w:ascii="Microsoft JhengHei" w:eastAsia="Microsoft JhengHei" w:hint="eastAsia"/>
                <w:b/>
                <w:spacing w:val="-2"/>
                <w:sz w:val="21"/>
              </w:rPr>
              <w:t>同终止，我们退还本主险合同的现金价值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15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TableParagraph"/>
              <w:spacing w:line="218" w:lineRule="exact"/>
              <w:ind w:left="243"/>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09"/>
              <w:rPr>
                <w:rFonts w:ascii="Times New Roman"/>
                <w:b/>
                <w:sz w:val="40"/>
              </w:rPr>
            </w:pPr>
            <w:r>
              <w:rPr>
                <w:rFonts w:ascii="Times New Roman"/>
                <w:b/>
                <w:w w:val="100"/>
                <w:sz w:val="40"/>
              </w:rPr>
              <w:t>w</w:t>
            </w:r>
          </w:p>
        </w:tc>
        <w:tc>
          <w:tcPr>
            <w:tcW w:w="1945" w:type="dxa"/>
            <w:tcBorders>
              <w:bottom w:val="single" w:sz="4" w:space="0" w:color="000000"/>
            </w:tcBorders>
          </w:tcPr>
          <w:p>
            <w:pPr>
              <w:pStyle w:val="TableParagraph"/>
              <w:spacing w:line="362" w:lineRule="exact"/>
              <w:ind w:left="230"/>
              <w:rPr>
                <w:rFonts w:ascii="Microsoft JhengHei" w:eastAsia="Microsoft JhengHei" w:hint="eastAsia"/>
                <w:b/>
                <w:sz w:val="24"/>
              </w:rPr>
            </w:pPr>
            <w:r>
              <w:rPr>
                <w:rFonts w:ascii="Microsoft JhengHei" w:eastAsia="Microsoft JhengHei" w:hint="eastAsia"/>
                <w:b/>
                <w:sz w:val="24"/>
              </w:rPr>
              <w:t>保险金的申请</w:t>
            </w:r>
          </w:p>
        </w:tc>
        <w:tc>
          <w:tcPr>
            <w:tcW w:w="7539" w:type="dxa"/>
            <w:tcBorders>
              <w:bottom w:val="single" w:sz="4" w:space="0" w:color="000000"/>
            </w:tcBorders>
          </w:tcPr>
          <w:p>
            <w:pPr>
              <w:pStyle w:val="TableParagraph"/>
              <w:spacing w:before="56"/>
              <w:ind w:right="472"/>
              <w:jc w:val="right"/>
              <w:rPr>
                <w:sz w:val="21"/>
              </w:rPr>
            </w:pPr>
            <w:r>
              <w:rPr>
                <w:w w:val="100"/>
                <w:sz w:val="21"/>
              </w:rPr>
              <w:t> </w:t>
            </w:r>
          </w:p>
        </w:tc>
      </w:tr>
      <w:tr>
        <w:trPr>
          <w:trHeight w:val="210"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1945" w:type="dxa"/>
            <w:tcBorders>
              <w:top w:val="single" w:sz="4" w:space="0" w:color="000000"/>
            </w:tcBorders>
          </w:tcPr>
          <w:p>
            <w:pPr>
              <w:pStyle w:val="TableParagraph"/>
              <w:spacing w:line="181" w:lineRule="exact"/>
              <w:ind w:left="230"/>
              <w:rPr>
                <w:sz w:val="21"/>
              </w:rPr>
            </w:pPr>
            <w:r>
              <w:rPr>
                <w:w w:val="100"/>
                <w:sz w:val="21"/>
              </w:rPr>
              <w:t> </w:t>
            </w:r>
          </w:p>
        </w:tc>
        <w:tc>
          <w:tcPr>
            <w:tcW w:w="7539" w:type="dxa"/>
            <w:tcBorders>
              <w:top w:val="single" w:sz="4" w:space="0" w:color="000000"/>
            </w:tcBorders>
          </w:tcPr>
          <w:p>
            <w:pPr>
              <w:pStyle w:val="TableParagraph"/>
              <w:spacing w:line="181" w:lineRule="exact"/>
              <w:ind w:left="243"/>
              <w:rPr>
                <w:sz w:val="21"/>
              </w:rPr>
            </w:pPr>
            <w:r>
              <w:rPr>
                <w:w w:val="100"/>
                <w:sz w:val="21"/>
              </w:rPr>
              <w:t> </w:t>
            </w:r>
          </w:p>
        </w:tc>
      </w:tr>
      <w:tr>
        <w:trPr>
          <w:trHeight w:val="273" w:hRule="atLeast"/>
        </w:trPr>
        <w:tc>
          <w:tcPr>
            <w:tcW w:w="634" w:type="dxa"/>
          </w:tcPr>
          <w:p>
            <w:pPr>
              <w:pStyle w:val="TableParagraph"/>
              <w:spacing w:line="251" w:lineRule="exact"/>
              <w:ind w:left="107"/>
              <w:rPr>
                <w:rFonts w:ascii="Microsoft JhengHei"/>
                <w:b/>
                <w:sz w:val="21"/>
              </w:rPr>
            </w:pPr>
            <w:r>
              <w:rPr>
                <w:rFonts w:ascii="Microsoft JhengHei"/>
                <w:b/>
                <w:w w:val="90"/>
                <w:sz w:val="21"/>
              </w:rPr>
              <w:t>3. 1</w:t>
            </w:r>
          </w:p>
        </w:tc>
        <w:tc>
          <w:tcPr>
            <w:tcW w:w="1945"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受益人</w:t>
            </w:r>
          </w:p>
        </w:tc>
        <w:tc>
          <w:tcPr>
            <w:tcW w:w="7539" w:type="dxa"/>
          </w:tcPr>
          <w:p>
            <w:pPr>
              <w:pStyle w:val="TableParagraph"/>
              <w:spacing w:line="228" w:lineRule="exact"/>
              <w:ind w:left="243"/>
              <w:rPr>
                <w:sz w:val="21"/>
              </w:rPr>
            </w:pPr>
            <w:r>
              <w:rPr>
                <w:sz w:val="21"/>
              </w:rPr>
              <w:t>除本主险合同另有指定外，轻症疾病保险金与重大疾病保险金的受益人为被保</w:t>
            </w:r>
          </w:p>
        </w:tc>
      </w:tr>
      <w:tr>
        <w:trPr>
          <w:trHeight w:val="264"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25" w:lineRule="exact"/>
              <w:ind w:left="243"/>
              <w:rPr>
                <w:sz w:val="21"/>
              </w:rPr>
            </w:pPr>
            <w:r>
              <w:rPr>
                <w:sz w:val="21"/>
              </w:rPr>
              <w:t>险人本人。</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被保险人为无民事行为能力人或限制民事行为能力人的，可以由其监护人指定</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受益人。</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受益人为数人的，被保险人或者投保人可以确定受益顺序和受益份额；未确定</w:t>
            </w:r>
          </w:p>
        </w:tc>
      </w:tr>
      <w:tr>
        <w:trPr>
          <w:trHeight w:val="271"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受益份额的，受益人按照相等份额享有受益权。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您或者被保险人可以变更受益人并书面通知我们。我们收到变更受益人的书面</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通知后，在保险单或者其他保险凭证上批注或者附贴批单。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您指定或变更受益人时须经被保险人同意。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被保险人身故后，遇有下列情形之一的，保险金作为被保险人的遗产，由我们</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依照《中华人民共和国继承法》的规定履行给付保险金的义务：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（1）没有指定受益人，或者受益人指定不明无法确定的；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（2）受益人先于被保险人身故，没有其他受益人的；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（3）受益人依法丧失受益权或者放弃受益权，没有其他受益人的。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受益人与被保险人在同一事件中身故，且不能确定身故顺序的，推定受益人身</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4" w:lineRule="exact"/>
              <w:ind w:left="243"/>
              <w:rPr>
                <w:sz w:val="21"/>
              </w:rPr>
            </w:pPr>
            <w:r>
              <w:rPr>
                <w:sz w:val="21"/>
              </w:rPr>
              <w:t>故在先。 </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47"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27" w:lineRule="exact"/>
              <w:ind w:left="243"/>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34" w:type="dxa"/>
          </w:tcPr>
          <w:p>
            <w:pPr>
              <w:pStyle w:val="TableParagraph"/>
              <w:spacing w:line="207" w:lineRule="exact"/>
              <w:ind w:left="107"/>
              <w:rPr>
                <w:sz w:val="21"/>
              </w:rPr>
            </w:pPr>
            <w:r>
              <w:rPr>
                <w:w w:val="100"/>
                <w:sz w:val="21"/>
              </w:rPr>
              <w:t> </w:t>
            </w:r>
          </w:p>
        </w:tc>
        <w:tc>
          <w:tcPr>
            <w:tcW w:w="1945" w:type="dxa"/>
          </w:tcPr>
          <w:p>
            <w:pPr>
              <w:pStyle w:val="TableParagraph"/>
              <w:spacing w:line="207" w:lineRule="exact"/>
              <w:ind w:left="230"/>
              <w:rPr>
                <w:sz w:val="21"/>
              </w:rPr>
            </w:pPr>
            <w:r>
              <w:rPr>
                <w:w w:val="100"/>
                <w:sz w:val="21"/>
              </w:rPr>
              <w:t> </w:t>
            </w:r>
          </w:p>
        </w:tc>
        <w:tc>
          <w:tcPr>
            <w:tcW w:w="7539" w:type="dxa"/>
          </w:tcPr>
          <w:p>
            <w:pPr>
              <w:pStyle w:val="TableParagraph"/>
              <w:spacing w:line="207" w:lineRule="exact"/>
              <w:ind w:left="243"/>
              <w:rPr>
                <w:sz w:val="21"/>
              </w:rPr>
            </w:pPr>
            <w:r>
              <w:rPr>
                <w:w w:val="100"/>
                <w:sz w:val="21"/>
              </w:rPr>
              <w:t> </w:t>
            </w:r>
          </w:p>
        </w:tc>
      </w:tr>
      <w:tr>
        <w:trPr>
          <w:trHeight w:val="273" w:hRule="atLeast"/>
        </w:trPr>
        <w:tc>
          <w:tcPr>
            <w:tcW w:w="634" w:type="dxa"/>
          </w:tcPr>
          <w:p>
            <w:pPr>
              <w:pStyle w:val="TableParagraph"/>
              <w:spacing w:line="251" w:lineRule="exact"/>
              <w:ind w:left="107"/>
              <w:rPr>
                <w:rFonts w:ascii="Microsoft JhengHei"/>
                <w:b/>
                <w:sz w:val="21"/>
              </w:rPr>
            </w:pPr>
            <w:r>
              <w:rPr>
                <w:rFonts w:ascii="Microsoft JhengHei"/>
                <w:b/>
                <w:w w:val="90"/>
                <w:sz w:val="21"/>
              </w:rPr>
              <w:t>3. 2</w:t>
            </w:r>
          </w:p>
        </w:tc>
        <w:tc>
          <w:tcPr>
            <w:tcW w:w="1945"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保险事故通知</w:t>
            </w:r>
          </w:p>
        </w:tc>
        <w:tc>
          <w:tcPr>
            <w:tcW w:w="7539" w:type="dxa"/>
          </w:tcPr>
          <w:p>
            <w:pPr>
              <w:pStyle w:val="TableParagraph"/>
              <w:spacing w:line="228" w:lineRule="exact"/>
              <w:ind w:left="243"/>
              <w:rPr>
                <w:sz w:val="21"/>
              </w:rPr>
            </w:pPr>
            <w:r>
              <w:rPr>
                <w:sz w:val="21"/>
              </w:rPr>
              <w:t>请您或受益人在知道保险事故发生后 10 日内通知我们。 </w:t>
            </w:r>
          </w:p>
        </w:tc>
      </w:tr>
      <w:tr>
        <w:trPr>
          <w:trHeight w:val="264"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45" w:lineRule="exact"/>
              <w:ind w:left="243"/>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71" w:hRule="atLeast"/>
        </w:trPr>
        <w:tc>
          <w:tcPr>
            <w:tcW w:w="634" w:type="dxa"/>
          </w:tcPr>
          <w:p>
            <w:pPr>
              <w:pStyle w:val="TableParagraph"/>
              <w:rPr>
                <w:rFonts w:ascii="Times New Roman"/>
                <w:sz w:val="20"/>
              </w:rPr>
            </w:pPr>
          </w:p>
        </w:tc>
        <w:tc>
          <w:tcPr>
            <w:tcW w:w="1945" w:type="dxa"/>
          </w:tcPr>
          <w:p>
            <w:pPr>
              <w:pStyle w:val="TableParagraph"/>
              <w:rPr>
                <w:rFonts w:ascii="Times New Roman"/>
                <w:sz w:val="20"/>
              </w:rPr>
            </w:pPr>
          </w:p>
        </w:tc>
        <w:tc>
          <w:tcPr>
            <w:tcW w:w="7539" w:type="dxa"/>
          </w:tcPr>
          <w:p>
            <w:pPr>
              <w:pStyle w:val="TableParagraph"/>
              <w:spacing w:line="232" w:lineRule="exact"/>
              <w:ind w:left="243"/>
              <w:rPr>
                <w:sz w:val="21"/>
              </w:rPr>
            </w:pPr>
            <w:r>
              <w:rPr>
                <w:sz w:val="21"/>
              </w:rPr>
              <w:t>但我们通过其他途径已经及时知道或者应当及时知道保险事故发生的或者虽未</w:t>
            </w:r>
          </w:p>
        </w:tc>
      </w:tr>
      <w:tr>
        <w:trPr>
          <w:trHeight w:val="247" w:hRule="atLeast"/>
        </w:trPr>
        <w:tc>
          <w:tcPr>
            <w:tcW w:w="634" w:type="dxa"/>
          </w:tcPr>
          <w:p>
            <w:pPr>
              <w:pStyle w:val="TableParagraph"/>
              <w:rPr>
                <w:rFonts w:ascii="Times New Roman"/>
                <w:sz w:val="18"/>
              </w:rPr>
            </w:pPr>
          </w:p>
        </w:tc>
        <w:tc>
          <w:tcPr>
            <w:tcW w:w="1945" w:type="dxa"/>
          </w:tcPr>
          <w:p>
            <w:pPr>
              <w:pStyle w:val="TableParagraph"/>
              <w:rPr>
                <w:rFonts w:ascii="Times New Roman"/>
                <w:sz w:val="18"/>
              </w:rPr>
            </w:pPr>
          </w:p>
        </w:tc>
        <w:tc>
          <w:tcPr>
            <w:tcW w:w="7539" w:type="dxa"/>
          </w:tcPr>
          <w:p>
            <w:pPr>
              <w:pStyle w:val="TableParagraph"/>
              <w:spacing w:line="227" w:lineRule="exact"/>
              <w:ind w:left="243"/>
              <w:rPr>
                <w:sz w:val="21"/>
              </w:rPr>
            </w:pPr>
            <w:r>
              <w:rPr>
                <w:sz w:val="21"/>
              </w:rPr>
              <w:t>及时通知但不影响我们确定保险事故的性质、原因、损失程度除外。 </w:t>
            </w:r>
          </w:p>
        </w:tc>
      </w:tr>
      <w:tr>
        <w:trPr>
          <w:trHeight w:val="217" w:hRule="atLeast"/>
        </w:trPr>
        <w:tc>
          <w:tcPr>
            <w:tcW w:w="634" w:type="dxa"/>
          </w:tcPr>
          <w:p>
            <w:pPr>
              <w:pStyle w:val="TableParagraph"/>
              <w:spacing w:line="197" w:lineRule="exact"/>
              <w:ind w:left="107"/>
              <w:rPr>
                <w:sz w:val="21"/>
              </w:rPr>
            </w:pPr>
            <w:r>
              <w:rPr>
                <w:w w:val="100"/>
                <w:sz w:val="21"/>
              </w:rPr>
              <w:t> </w:t>
            </w:r>
          </w:p>
        </w:tc>
        <w:tc>
          <w:tcPr>
            <w:tcW w:w="1945" w:type="dxa"/>
          </w:tcPr>
          <w:p>
            <w:pPr>
              <w:pStyle w:val="TableParagraph"/>
              <w:spacing w:line="197" w:lineRule="exact"/>
              <w:ind w:left="230"/>
              <w:rPr>
                <w:sz w:val="21"/>
              </w:rPr>
            </w:pPr>
            <w:r>
              <w:rPr>
                <w:w w:val="100"/>
                <w:sz w:val="21"/>
              </w:rPr>
              <w:t> </w:t>
            </w:r>
          </w:p>
        </w:tc>
        <w:tc>
          <w:tcPr>
            <w:tcW w:w="7539" w:type="dxa"/>
          </w:tcPr>
          <w:p>
            <w:pPr>
              <w:pStyle w:val="TableParagraph"/>
              <w:spacing w:line="197" w:lineRule="exact"/>
              <w:ind w:left="243"/>
              <w:rPr>
                <w:sz w:val="21"/>
              </w:rPr>
            </w:pPr>
            <w:r>
              <w:rPr>
                <w:w w:val="100"/>
                <w:sz w:val="21"/>
              </w:rPr>
              <w:t> </w:t>
            </w:r>
          </w:p>
        </w:tc>
      </w:tr>
    </w:tbl>
    <w:p>
      <w:pPr>
        <w:spacing w:after="0" w:line="197" w:lineRule="exact"/>
        <w:rPr>
          <w:sz w:val="21"/>
        </w:rPr>
        <w:sectPr>
          <w:pgSz w:w="11900" w:h="16840"/>
          <w:pgMar w:header="0" w:footer="676" w:top="1240" w:bottom="860" w:left="800" w:right="760"/>
        </w:sectPr>
      </w:pPr>
    </w:p>
    <w:p>
      <w:pPr>
        <w:tabs>
          <w:tab w:pos="975" w:val="left" w:leader="none"/>
          <w:tab w:pos="2948" w:val="left" w:leader="none"/>
        </w:tabs>
        <w:spacing w:line="312" w:lineRule="exact" w:before="0"/>
        <w:ind w:left="220" w:right="0" w:firstLine="0"/>
        <w:jc w:val="left"/>
        <w:rPr>
          <w:sz w:val="21"/>
        </w:rPr>
      </w:pPr>
      <w:r>
        <w:rPr>
          <w:rFonts w:ascii="Microsoft JhengHei" w:eastAsia="Microsoft JhengHei" w:hint="eastAsia"/>
          <w:b/>
          <w:sz w:val="21"/>
        </w:rPr>
        <w:t>3.</w:t>
      </w:r>
      <w:r>
        <w:rPr>
          <w:rFonts w:ascii="Microsoft JhengHei" w:eastAsia="Microsoft JhengHei" w:hint="eastAsia"/>
          <w:b/>
          <w:spacing w:val="-33"/>
          <w:sz w:val="21"/>
        </w:rPr>
        <w:t> </w:t>
      </w:r>
      <w:r>
        <w:rPr>
          <w:rFonts w:ascii="Microsoft JhengHei" w:eastAsia="Microsoft JhengHei" w:hint="eastAsia"/>
          <w:b/>
          <w:sz w:val="21"/>
        </w:rPr>
        <w:t>3</w:t>
        <w:tab/>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r>
        <w:rPr>
          <w:spacing w:val="-3"/>
          <w:sz w:val="21"/>
        </w:rPr>
        <w:t>：</w:t>
      </w:r>
      <w:r>
        <w:rPr>
          <w:sz w:val="21"/>
        </w:rPr>
        <w:t> </w:t>
      </w:r>
    </w:p>
    <w:p>
      <w:pPr>
        <w:pStyle w:val="BodyText"/>
        <w:spacing w:line="214" w:lineRule="exact"/>
        <w:ind w:left="2948"/>
      </w:pPr>
      <w:r>
        <w:rPr>
          <w:w w:val="100"/>
        </w:rPr>
        <w:t> </w:t>
      </w:r>
    </w:p>
    <w:p>
      <w:pPr>
        <w:spacing w:after="0" w:line="214" w:lineRule="exact"/>
        <w:sectPr>
          <w:pgSz w:w="11900" w:h="16840"/>
          <w:pgMar w:header="0" w:footer="676" w:top="1140" w:bottom="860" w:left="800" w:right="800"/>
        </w:sectPr>
      </w:pPr>
    </w:p>
    <w:p>
      <w:pPr>
        <w:pStyle w:val="Heading2"/>
        <w:spacing w:line="179" w:lineRule="exact"/>
      </w:pPr>
      <w:r>
        <w:rPr/>
        <w:t>重大疾病保险金申</w:t>
      </w:r>
    </w:p>
    <w:p>
      <w:pPr>
        <w:spacing w:line="322" w:lineRule="exact" w:before="0"/>
        <w:ind w:left="976" w:right="0" w:firstLine="0"/>
        <w:jc w:val="left"/>
        <w:rPr>
          <w:rFonts w:ascii="Microsoft JhengHei" w:eastAsia="Microsoft JhengHei" w:hint="eastAsia"/>
          <w:b/>
          <w:sz w:val="21"/>
        </w:rPr>
      </w:pPr>
      <w:r>
        <w:rPr>
          <w:rFonts w:ascii="Microsoft JhengHei" w:eastAsia="Microsoft JhengHei" w:hint="eastAsia"/>
          <w:b/>
          <w:w w:val="100"/>
          <w:sz w:val="21"/>
        </w:rPr>
        <w:t>请</w:t>
      </w: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spacing w:before="12"/>
        <w:ind w:left="0"/>
        <w:rPr>
          <w:rFonts w:ascii="Microsoft JhengHei"/>
          <w:b/>
          <w:sz w:val="16"/>
        </w:rPr>
      </w:pPr>
    </w:p>
    <w:p>
      <w:pPr>
        <w:spacing w:line="182" w:lineRule="auto" w:before="0"/>
        <w:ind w:left="976" w:right="0" w:firstLine="0"/>
        <w:jc w:val="left"/>
        <w:rPr>
          <w:rFonts w:ascii="Microsoft JhengHei" w:eastAsia="Microsoft JhengHei" w:hint="eastAsia"/>
          <w:b/>
          <w:sz w:val="21"/>
        </w:rPr>
      </w:pPr>
      <w:r>
        <w:rPr>
          <w:rFonts w:ascii="Microsoft JhengHei" w:eastAsia="Microsoft JhengHei" w:hint="eastAsia"/>
          <w:b/>
          <w:sz w:val="21"/>
        </w:rPr>
        <w:t>轻症疾病保险金申请</w:t>
      </w:r>
    </w:p>
    <w:p>
      <w:pPr>
        <w:pStyle w:val="BodyText"/>
        <w:spacing w:line="217" w:lineRule="exact"/>
        <w:ind w:left="233"/>
      </w:pPr>
      <w:r>
        <w:rPr/>
        <w:br w:type="column"/>
      </w:r>
      <w:r>
        <w:rPr/>
        <w:t>在申请重大疾病保险金时，申请人须填写保险金给付申请书，并提供下列证明</w:t>
      </w:r>
    </w:p>
    <w:p>
      <w:pPr>
        <w:pStyle w:val="BodyText"/>
        <w:spacing w:line="272" w:lineRule="exact"/>
        <w:ind w:left="233"/>
      </w:pPr>
      <w:r>
        <w:rPr/>
        <w:t>和资料： </w:t>
      </w:r>
    </w:p>
    <w:p>
      <w:pPr>
        <w:pStyle w:val="BodyText"/>
        <w:spacing w:line="272" w:lineRule="exact"/>
        <w:ind w:left="233"/>
      </w:pPr>
      <w:r>
        <w:rPr/>
        <w:t>（1）保险合同； </w:t>
      </w:r>
    </w:p>
    <w:p>
      <w:pPr>
        <w:pStyle w:val="BodyText"/>
        <w:spacing w:line="239" w:lineRule="exact"/>
        <w:ind w:left="233"/>
      </w:pPr>
      <w:r>
        <w:rPr/>
        <w:t>（2）申请人的有效身份证件； </w:t>
      </w:r>
    </w:p>
    <w:p>
      <w:pPr>
        <w:pStyle w:val="BodyText"/>
        <w:spacing w:line="220" w:lineRule="auto"/>
        <w:ind w:left="737" w:right="188" w:hanging="504"/>
      </w:pPr>
      <w:r>
        <w:rPr/>
        <w:t>（3）医疗机构根据本主险合同释义中“</w:t>
      </w:r>
      <w:r>
        <w:rPr>
          <w:rFonts w:ascii="Microsoft JhengHei" w:hAnsi="Microsoft JhengHei" w:eastAsia="Microsoft JhengHei" w:hint="eastAsia"/>
          <w:b/>
        </w:rPr>
        <w:t>10. 6 重大疾病</w:t>
      </w:r>
      <w:r>
        <w:rPr/>
        <w:t>”定义，出具的被保险人的病历、必要病理检验、血液检验及其他科学诊断报告或手术证明； </w:t>
      </w:r>
    </w:p>
    <w:p>
      <w:pPr>
        <w:pStyle w:val="BodyText"/>
        <w:spacing w:line="271" w:lineRule="exact" w:before="6"/>
        <w:ind w:left="247"/>
      </w:pPr>
      <w:r>
        <w:rPr/>
        <w:t>（4）所能够提供的与确认保险事故的性质、原因、伤害程度等有关的其他证明</w:t>
      </w:r>
    </w:p>
    <w:p>
      <w:pPr>
        <w:pStyle w:val="BodyText"/>
        <w:spacing w:line="247" w:lineRule="exact"/>
        <w:ind w:left="233"/>
      </w:pPr>
      <w:r>
        <w:rPr/>
        <w:t>和资料。 </w:t>
      </w:r>
    </w:p>
    <w:p>
      <w:pPr>
        <w:pStyle w:val="BodyText"/>
        <w:spacing w:line="235" w:lineRule="exact"/>
        <w:ind w:left="233"/>
      </w:pPr>
      <w:r>
        <w:rPr>
          <w:w w:val="100"/>
        </w:rPr>
        <w:t> </w:t>
      </w:r>
    </w:p>
    <w:p>
      <w:pPr>
        <w:pStyle w:val="BodyText"/>
        <w:spacing w:line="262" w:lineRule="exact"/>
        <w:ind w:left="233"/>
      </w:pPr>
      <w:r>
        <w:rPr/>
        <w:t>在申请轻症疾病保险金时，申请人须填写保险金给付申请书，并提供下列证明</w:t>
      </w:r>
    </w:p>
    <w:p>
      <w:pPr>
        <w:pStyle w:val="BodyText"/>
        <w:spacing w:line="272" w:lineRule="exact"/>
        <w:ind w:left="233"/>
      </w:pPr>
      <w:r>
        <w:rPr/>
        <w:t>和资料： </w:t>
      </w:r>
    </w:p>
    <w:p>
      <w:pPr>
        <w:pStyle w:val="BodyText"/>
        <w:spacing w:line="272" w:lineRule="exact"/>
        <w:ind w:left="233"/>
      </w:pPr>
      <w:r>
        <w:rPr/>
        <w:t>（1）保险合同； </w:t>
      </w:r>
    </w:p>
    <w:p>
      <w:pPr>
        <w:pStyle w:val="BodyText"/>
        <w:spacing w:line="239" w:lineRule="exact"/>
        <w:ind w:left="233"/>
      </w:pPr>
      <w:r>
        <w:rPr/>
        <w:t>（2）申请人的有效身份证件； </w:t>
      </w:r>
    </w:p>
    <w:p>
      <w:pPr>
        <w:pStyle w:val="BodyText"/>
        <w:spacing w:line="220" w:lineRule="auto"/>
        <w:ind w:left="737" w:right="188" w:hanging="504"/>
      </w:pPr>
      <w:r>
        <w:rPr/>
        <w:t>（3）医疗机构根据本主险合同释义中“</w:t>
      </w:r>
      <w:r>
        <w:rPr>
          <w:rFonts w:ascii="Microsoft JhengHei" w:hAnsi="Microsoft JhengHei" w:eastAsia="Microsoft JhengHei" w:hint="eastAsia"/>
          <w:b/>
        </w:rPr>
        <w:t>10. 7 轻症疾病</w:t>
      </w:r>
      <w:r>
        <w:rPr/>
        <w:t>”定义，出具的被保险人的病历、必要病理检验、血液检验及其他科学诊断报告或手术证明； </w:t>
      </w:r>
    </w:p>
    <w:p>
      <w:pPr>
        <w:pStyle w:val="BodyText"/>
        <w:spacing w:line="271" w:lineRule="exact" w:before="6"/>
        <w:ind w:left="233"/>
      </w:pPr>
      <w:r>
        <w:rPr/>
        <w:t>（4）所能够提供的与确认保险事故的性质、原因、伤害程度等有关的其他证明</w:t>
      </w:r>
    </w:p>
    <w:p>
      <w:pPr>
        <w:pStyle w:val="BodyText"/>
        <w:spacing w:line="274" w:lineRule="exact"/>
        <w:ind w:left="737"/>
      </w:pPr>
      <w:r>
        <w:rPr/>
        <w:t>和资料。 </w:t>
      </w:r>
    </w:p>
    <w:p>
      <w:pPr>
        <w:spacing w:after="0" w:line="274" w:lineRule="exact"/>
        <w:sectPr>
          <w:type w:val="continuous"/>
          <w:pgSz w:w="11900" w:h="16840"/>
          <w:pgMar w:top="360" w:bottom="280" w:left="800" w:right="800"/>
          <w:cols w:num="2" w:equalWidth="0">
            <w:col w:w="2661" w:space="40"/>
            <w:col w:w="7599"/>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1012" w:hRule="atLeast"/>
        </w:trPr>
        <w:tc>
          <w:tcPr>
            <w:tcW w:w="634" w:type="dxa"/>
          </w:tcPr>
          <w:p>
            <w:pPr>
              <w:pStyle w:val="TableParagraph"/>
              <w:spacing w:line="200" w:lineRule="exact"/>
              <w:ind w:left="107"/>
              <w:rPr>
                <w:sz w:val="21"/>
              </w:rPr>
            </w:pPr>
            <w:r>
              <w:rPr>
                <w:w w:val="100"/>
                <w:sz w:val="21"/>
              </w:rPr>
              <w:t> </w:t>
            </w:r>
          </w:p>
          <w:p>
            <w:pPr>
              <w:pStyle w:val="TableParagraph"/>
              <w:spacing w:line="263" w:lineRule="exact"/>
              <w:ind w:left="107"/>
              <w:rPr>
                <w:sz w:val="21"/>
              </w:rPr>
            </w:pPr>
            <w:r>
              <w:rPr>
                <w:w w:val="100"/>
                <w:sz w:val="21"/>
              </w:rPr>
              <w:t> </w:t>
            </w:r>
          </w:p>
        </w:tc>
        <w:tc>
          <w:tcPr>
            <w:tcW w:w="1932" w:type="dxa"/>
          </w:tcPr>
          <w:p>
            <w:pPr>
              <w:pStyle w:val="TableParagraph"/>
              <w:spacing w:before="102"/>
              <w:ind w:left="230"/>
              <w:rPr>
                <w:rFonts w:ascii="Microsoft JhengHei" w:eastAsia="Microsoft JhengHei" w:hint="eastAsia"/>
                <w:b/>
                <w:sz w:val="21"/>
              </w:rPr>
            </w:pPr>
            <w:r>
              <w:rPr>
                <w:rFonts w:ascii="Microsoft JhengHei" w:eastAsia="Microsoft JhengHei" w:hint="eastAsia"/>
                <w:b/>
                <w:sz w:val="21"/>
              </w:rPr>
              <w:t>特别注意事项</w:t>
            </w:r>
          </w:p>
        </w:tc>
        <w:tc>
          <w:tcPr>
            <w:tcW w:w="7517" w:type="dxa"/>
          </w:tcPr>
          <w:p>
            <w:pPr>
              <w:pStyle w:val="TableParagraph"/>
              <w:spacing w:line="200" w:lineRule="exact"/>
              <w:ind w:left="256"/>
              <w:rPr>
                <w:sz w:val="21"/>
              </w:rPr>
            </w:pPr>
            <w:r>
              <w:rPr>
                <w:w w:val="100"/>
                <w:sz w:val="21"/>
              </w:rPr>
              <w:t> </w:t>
            </w:r>
          </w:p>
          <w:p>
            <w:pPr>
              <w:pStyle w:val="TableParagraph"/>
              <w:spacing w:line="237" w:lineRule="auto"/>
              <w:ind w:left="256" w:right="113"/>
              <w:rPr>
                <w:sz w:val="21"/>
              </w:rPr>
            </w:pPr>
            <w:r>
              <w:rPr>
                <w:spacing w:val="-3"/>
                <w:sz w:val="21"/>
              </w:rPr>
              <w:t>保险金作为被保险人遗产时，必须提供可证明合法继承权的相关权利文件。 以上证明和资料不完整的，我们将及时一次性通知申请人补充提供有关证明和</w:t>
            </w:r>
          </w:p>
          <w:p>
            <w:pPr>
              <w:pStyle w:val="TableParagraph"/>
              <w:spacing w:line="259" w:lineRule="exact" w:before="8"/>
              <w:ind w:left="256"/>
              <w:rPr>
                <w:sz w:val="21"/>
              </w:rPr>
            </w:pPr>
            <w:r>
              <w:rPr>
                <w:sz w:val="21"/>
              </w:rPr>
              <w:t>资料。</w:t>
            </w:r>
          </w:p>
        </w:tc>
      </w:tr>
      <w:tr>
        <w:trPr>
          <w:trHeight w:val="230" w:hRule="atLeast"/>
        </w:trPr>
        <w:tc>
          <w:tcPr>
            <w:tcW w:w="634" w:type="dxa"/>
          </w:tcPr>
          <w:p>
            <w:pPr>
              <w:pStyle w:val="TableParagraph"/>
              <w:spacing w:line="210" w:lineRule="exact"/>
              <w:ind w:left="107"/>
              <w:rPr>
                <w:sz w:val="21"/>
              </w:rPr>
            </w:pPr>
            <w:r>
              <w:rPr>
                <w:w w:val="100"/>
                <w:sz w:val="21"/>
              </w:rPr>
              <w:t> </w:t>
            </w:r>
          </w:p>
        </w:tc>
        <w:tc>
          <w:tcPr>
            <w:tcW w:w="1932" w:type="dxa"/>
          </w:tcPr>
          <w:p>
            <w:pPr>
              <w:pStyle w:val="TableParagraph"/>
              <w:spacing w:line="210" w:lineRule="exact"/>
              <w:ind w:left="230"/>
              <w:rPr>
                <w:sz w:val="21"/>
              </w:rPr>
            </w:pPr>
            <w:r>
              <w:rPr>
                <w:w w:val="100"/>
                <w:sz w:val="21"/>
              </w:rPr>
              <w:t> </w:t>
            </w:r>
          </w:p>
        </w:tc>
        <w:tc>
          <w:tcPr>
            <w:tcW w:w="7517" w:type="dxa"/>
          </w:tcPr>
          <w:p>
            <w:pPr>
              <w:pStyle w:val="TableParagraph"/>
              <w:spacing w:line="210"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3. 4</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517" w:type="dxa"/>
          </w:tcPr>
          <w:p>
            <w:pPr>
              <w:pStyle w:val="TableParagraph"/>
              <w:spacing w:line="235" w:lineRule="exact"/>
              <w:ind w:left="256"/>
              <w:rPr>
                <w:sz w:val="21"/>
              </w:rPr>
            </w:pPr>
            <w:r>
              <w:rPr>
                <w:sz w:val="21"/>
              </w:rPr>
              <w:t>我们在收到保险金给付申请书及本主险合同约定的证明和资料后，将在 5 日内</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5" w:lineRule="exact"/>
              <w:ind w:left="256"/>
              <w:rPr>
                <w:sz w:val="21"/>
              </w:rPr>
            </w:pPr>
            <w:r>
              <w:rPr>
                <w:spacing w:val="-10"/>
                <w:sz w:val="21"/>
              </w:rPr>
              <w:t>作出核定；情形复杂的，在 </w:t>
            </w:r>
            <w:r>
              <w:rPr>
                <w:sz w:val="21"/>
              </w:rPr>
              <w:t>30</w:t>
            </w:r>
            <w:r>
              <w:rPr>
                <w:spacing w:val="-11"/>
                <w:sz w:val="21"/>
              </w:rPr>
              <w:t> 日内作出核定。对属于保险责任的，我们在与受</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益人达成给付保险金的协议后 10 日内，履行给付保险金义务。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我们未及时履行前款规定义务的，除支付保险金外，应当赔偿受益人因此受到</w:t>
            </w:r>
          </w:p>
        </w:tc>
      </w:tr>
      <w:tr>
        <w:trPr>
          <w:trHeight w:val="26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1" w:lineRule="exact"/>
              <w:ind w:left="256"/>
              <w:rPr>
                <w:sz w:val="21"/>
              </w:rPr>
            </w:pPr>
            <w:r>
              <w:rPr>
                <w:sz w:val="21"/>
              </w:rPr>
              <w:t>的损失。 </w:t>
            </w:r>
          </w:p>
        </w:tc>
      </w:tr>
      <w:tr>
        <w:trPr>
          <w:trHeight w:val="28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65" w:lineRule="exact"/>
              <w:ind w:left="256"/>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的数额不能确定的，根据已有证明和资料可以确定的数额先予支付；我们最终</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确定给付保险金的数额后，将支付相应的差额。</w:t>
            </w:r>
          </w:p>
        </w:tc>
      </w:tr>
      <w:tr>
        <w:trPr>
          <w:trHeight w:val="230" w:hRule="atLeast"/>
        </w:trPr>
        <w:tc>
          <w:tcPr>
            <w:tcW w:w="634" w:type="dxa"/>
          </w:tcPr>
          <w:p>
            <w:pPr>
              <w:pStyle w:val="TableParagraph"/>
              <w:spacing w:line="210" w:lineRule="exact"/>
              <w:ind w:left="107"/>
              <w:rPr>
                <w:sz w:val="21"/>
              </w:rPr>
            </w:pPr>
            <w:r>
              <w:rPr>
                <w:w w:val="100"/>
                <w:sz w:val="21"/>
              </w:rPr>
              <w:t> </w:t>
            </w:r>
          </w:p>
        </w:tc>
        <w:tc>
          <w:tcPr>
            <w:tcW w:w="1932" w:type="dxa"/>
          </w:tcPr>
          <w:p>
            <w:pPr>
              <w:pStyle w:val="TableParagraph"/>
              <w:spacing w:line="210" w:lineRule="exact"/>
              <w:ind w:left="230"/>
              <w:rPr>
                <w:sz w:val="21"/>
              </w:rPr>
            </w:pPr>
            <w:r>
              <w:rPr>
                <w:w w:val="100"/>
                <w:sz w:val="21"/>
              </w:rPr>
              <w:t> </w:t>
            </w:r>
          </w:p>
        </w:tc>
        <w:tc>
          <w:tcPr>
            <w:tcW w:w="7517" w:type="dxa"/>
          </w:tcPr>
          <w:p>
            <w:pPr>
              <w:pStyle w:val="TableParagraph"/>
              <w:spacing w:line="210" w:lineRule="exact"/>
              <w:ind w:left="256"/>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3. 5</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517" w:type="dxa"/>
          </w:tcPr>
          <w:p>
            <w:pPr>
              <w:pStyle w:val="TableParagraph"/>
              <w:spacing w:line="251" w:lineRule="exact"/>
              <w:ind w:left="256"/>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tc>
      </w:tr>
      <w:tr>
        <w:trPr>
          <w:trHeight w:val="239"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19" w:lineRule="exact"/>
              <w:ind w:left="256"/>
              <w:rPr>
                <w:sz w:val="21"/>
              </w:rPr>
            </w:pPr>
            <w:r>
              <w:rPr>
                <w:sz w:val="21"/>
              </w:rPr>
              <w:t>保险事故发生之日起计算。</w:t>
            </w:r>
          </w:p>
        </w:tc>
      </w:tr>
      <w:tr>
        <w:trPr>
          <w:trHeight w:val="644" w:hRule="atLeast"/>
        </w:trPr>
        <w:tc>
          <w:tcPr>
            <w:tcW w:w="634" w:type="dxa"/>
            <w:tcBorders>
              <w:bottom w:val="single" w:sz="4" w:space="0" w:color="000000"/>
            </w:tcBorders>
          </w:tcPr>
          <w:p>
            <w:pPr>
              <w:pStyle w:val="TableParagraph"/>
              <w:spacing w:line="203" w:lineRule="exact"/>
              <w:ind w:left="107"/>
              <w:rPr>
                <w:sz w:val="21"/>
              </w:rPr>
            </w:pPr>
            <w:r>
              <w:rPr>
                <w:w w:val="100"/>
                <w:sz w:val="21"/>
              </w:rPr>
              <w:t> </w:t>
            </w:r>
          </w:p>
          <w:p>
            <w:pPr>
              <w:pStyle w:val="TableParagraph"/>
              <w:spacing w:line="424" w:lineRule="exact"/>
              <w:ind w:left="111"/>
              <w:rPr>
                <w:rFonts w:ascii="Times New Roman"/>
                <w:b/>
                <w:sz w:val="40"/>
              </w:rPr>
            </w:pPr>
            <w:r>
              <w:rPr>
                <w:rFonts w:ascii="Times New Roman"/>
                <w:b/>
                <w:w w:val="100"/>
                <w:sz w:val="40"/>
              </w:rPr>
              <w:t>x</w:t>
            </w:r>
          </w:p>
        </w:tc>
        <w:tc>
          <w:tcPr>
            <w:tcW w:w="1932" w:type="dxa"/>
            <w:tcBorders>
              <w:bottom w:val="single" w:sz="4" w:space="0" w:color="000000"/>
            </w:tcBorders>
          </w:tcPr>
          <w:p>
            <w:pPr>
              <w:pStyle w:val="TableParagraph"/>
              <w:spacing w:line="191" w:lineRule="exact"/>
              <w:ind w:left="230"/>
              <w:rPr>
                <w:sz w:val="21"/>
              </w:rPr>
            </w:pPr>
            <w:r>
              <w:rPr>
                <w:w w:val="100"/>
                <w:sz w:val="21"/>
              </w:rPr>
              <w:t> </w:t>
            </w:r>
          </w:p>
          <w:p>
            <w:pPr>
              <w:pStyle w:val="TableParagraph"/>
              <w:spacing w:line="393"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517" w:type="dxa"/>
            <w:tcBorders>
              <w:bottom w:val="single" w:sz="4" w:space="0" w:color="000000"/>
            </w:tcBorders>
          </w:tcPr>
          <w:p>
            <w:pPr>
              <w:pStyle w:val="TableParagraph"/>
              <w:spacing w:line="216" w:lineRule="exact"/>
              <w:ind w:left="256"/>
              <w:rPr>
                <w:sz w:val="21"/>
              </w:rPr>
            </w:pPr>
            <w:r>
              <w:rPr>
                <w:w w:val="100"/>
                <w:sz w:val="21"/>
              </w:rPr>
              <w:t> </w:t>
            </w:r>
          </w:p>
        </w:tc>
      </w:tr>
      <w:tr>
        <w:trPr>
          <w:trHeight w:val="209" w:hRule="atLeast"/>
        </w:trPr>
        <w:tc>
          <w:tcPr>
            <w:tcW w:w="634" w:type="dxa"/>
            <w:tcBorders>
              <w:top w:val="single" w:sz="4" w:space="0" w:color="000000"/>
            </w:tcBorders>
          </w:tcPr>
          <w:p>
            <w:pPr>
              <w:pStyle w:val="TableParagraph"/>
              <w:spacing w:line="187" w:lineRule="exact"/>
              <w:ind w:left="107"/>
              <w:rPr>
                <w:sz w:val="21"/>
              </w:rPr>
            </w:pPr>
            <w:r>
              <w:rPr>
                <w:w w:val="100"/>
                <w:sz w:val="21"/>
              </w:rPr>
              <w:t> </w:t>
            </w:r>
          </w:p>
        </w:tc>
        <w:tc>
          <w:tcPr>
            <w:tcW w:w="1932" w:type="dxa"/>
            <w:tcBorders>
              <w:top w:val="single" w:sz="4" w:space="0" w:color="000000"/>
            </w:tcBorders>
          </w:tcPr>
          <w:p>
            <w:pPr>
              <w:pStyle w:val="TableParagraph"/>
              <w:spacing w:line="187" w:lineRule="exact"/>
              <w:ind w:left="230"/>
              <w:rPr>
                <w:sz w:val="21"/>
              </w:rPr>
            </w:pPr>
            <w:r>
              <w:rPr>
                <w:w w:val="100"/>
                <w:sz w:val="21"/>
              </w:rPr>
              <w:t> </w:t>
            </w:r>
          </w:p>
        </w:tc>
        <w:tc>
          <w:tcPr>
            <w:tcW w:w="7517" w:type="dxa"/>
            <w:tcBorders>
              <w:top w:val="single" w:sz="4" w:space="0" w:color="000000"/>
            </w:tcBorders>
          </w:tcPr>
          <w:p>
            <w:pPr>
              <w:pStyle w:val="TableParagraph"/>
              <w:spacing w:line="187" w:lineRule="exact"/>
              <w:ind w:left="256"/>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4. 1</w:t>
            </w:r>
          </w:p>
        </w:tc>
        <w:tc>
          <w:tcPr>
            <w:tcW w:w="1932"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17" w:type="dxa"/>
          </w:tcPr>
          <w:p>
            <w:pPr>
              <w:pStyle w:val="TableParagraph"/>
              <w:spacing w:line="235" w:lineRule="exact"/>
              <w:ind w:left="256"/>
              <w:rPr>
                <w:sz w:val="21"/>
              </w:rPr>
            </w:pPr>
            <w:r>
              <w:rPr>
                <w:sz w:val="21"/>
              </w:rPr>
              <w:t>本主险合同的交费方式和交费期间由您和我们约定并在保险单上载明。 </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4" w:lineRule="exact"/>
              <w:ind w:left="256"/>
              <w:rPr>
                <w:sz w:val="21"/>
              </w:rPr>
            </w:pPr>
            <w:r>
              <w:rPr>
                <w:sz w:val="21"/>
              </w:rPr>
              <w:t>分期支付保险费的，在支付首期保险费后，您应当按照约定，在保险费约定支</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付日支付其余各期的保险费。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知您。保险费率的调整针对所有被保险人或同一投保年龄的所有被保险人。我</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们进行保险费率调整后，请您按调整后的保险费交付以后各期保险费。 </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4. 2</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宽限期</w:t>
            </w:r>
          </w:p>
        </w:tc>
        <w:tc>
          <w:tcPr>
            <w:tcW w:w="7517" w:type="dxa"/>
          </w:tcPr>
          <w:p>
            <w:pPr>
              <w:pStyle w:val="TableParagraph"/>
              <w:spacing w:line="235" w:lineRule="exact"/>
              <w:ind w:left="256"/>
              <w:rPr>
                <w:sz w:val="21"/>
              </w:rPr>
            </w:pPr>
            <w:r>
              <w:rPr>
                <w:sz w:val="21"/>
              </w:rPr>
              <w:t>分期支付保险费的，您支付首期保险费后，除本主险合同另有约定外，如果您</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5" w:lineRule="exact"/>
              <w:ind w:left="256"/>
              <w:rPr>
                <w:sz w:val="21"/>
              </w:rPr>
            </w:pPr>
            <w:r>
              <w:rPr>
                <w:spacing w:val="-10"/>
                <w:sz w:val="21"/>
              </w:rPr>
              <w:t>到期未支付保险费，自保险费约定支付日的次日零时起 </w:t>
            </w:r>
            <w:r>
              <w:rPr>
                <w:sz w:val="21"/>
              </w:rPr>
              <w:t>60</w:t>
            </w:r>
            <w:r>
              <w:rPr>
                <w:spacing w:val="-11"/>
                <w:sz w:val="21"/>
              </w:rPr>
              <w:t> 日为宽限期。宽限期</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内发生的保险事故，我们仍会承担保险责任，但在给付保险金时会扣减您欠交</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的保险费。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rFonts w:ascii="Microsoft JhengHei" w:eastAsia="Microsoft JhengHei" w:hint="eastAsia"/>
                <w:b/>
                <w:sz w:val="21"/>
              </w:rPr>
            </w:pPr>
            <w:r>
              <w:rPr>
                <w:rFonts w:ascii="Microsoft JhengHei" w:eastAsia="Microsoft JhengHei" w:hint="eastAsia"/>
                <w:b/>
                <w:sz w:val="21"/>
              </w:rPr>
              <w:t>起效力中止。</w:t>
            </w:r>
          </w:p>
        </w:tc>
      </w:tr>
      <w:tr>
        <w:trPr>
          <w:trHeight w:val="215" w:hRule="atLeast"/>
        </w:trPr>
        <w:tc>
          <w:tcPr>
            <w:tcW w:w="634" w:type="dxa"/>
          </w:tcPr>
          <w:p>
            <w:pPr>
              <w:pStyle w:val="TableParagraph"/>
              <w:spacing w:line="196" w:lineRule="exact"/>
              <w:ind w:left="107"/>
              <w:rPr>
                <w:sz w:val="21"/>
              </w:rPr>
            </w:pPr>
            <w:r>
              <w:rPr>
                <w:w w:val="100"/>
                <w:sz w:val="21"/>
              </w:rPr>
              <w:t> </w:t>
            </w:r>
          </w:p>
        </w:tc>
        <w:tc>
          <w:tcPr>
            <w:tcW w:w="1932" w:type="dxa"/>
          </w:tcPr>
          <w:p>
            <w:pPr>
              <w:pStyle w:val="TableParagraph"/>
              <w:spacing w:line="196" w:lineRule="exact"/>
              <w:ind w:left="230"/>
              <w:rPr>
                <w:sz w:val="21"/>
              </w:rPr>
            </w:pPr>
            <w:r>
              <w:rPr>
                <w:w w:val="100"/>
                <w:sz w:val="21"/>
              </w:rPr>
              <w:t> </w:t>
            </w:r>
          </w:p>
        </w:tc>
        <w:tc>
          <w:tcPr>
            <w:tcW w:w="7517" w:type="dxa"/>
          </w:tcPr>
          <w:p>
            <w:pPr>
              <w:pStyle w:val="TableParagraph"/>
              <w:spacing w:line="196" w:lineRule="exact"/>
              <w:ind w:left="256"/>
              <w:rPr>
                <w:sz w:val="21"/>
              </w:rPr>
            </w:pPr>
            <w:r>
              <w:rPr>
                <w:w w:val="100"/>
                <w:sz w:val="21"/>
              </w:rPr>
              <w:t> </w:t>
            </w:r>
          </w:p>
        </w:tc>
      </w:tr>
    </w:tbl>
    <w:p>
      <w:pPr>
        <w:spacing w:after="0" w:line="196" w:lineRule="exact"/>
        <w:rPr>
          <w:sz w:val="21"/>
        </w:rPr>
        <w:sectPr>
          <w:type w:val="continuous"/>
          <w:pgSz w:w="11900" w:h="16840"/>
          <w:pgMar w:top="360" w:bottom="280" w:left="800" w:right="800"/>
        </w:sect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438" w:hRule="atLeast"/>
        </w:trPr>
        <w:tc>
          <w:tcPr>
            <w:tcW w:w="634" w:type="dxa"/>
            <w:tcBorders>
              <w:bottom w:val="single" w:sz="4" w:space="0" w:color="000000"/>
            </w:tcBorders>
          </w:tcPr>
          <w:p>
            <w:pPr>
              <w:pStyle w:val="TableParagraph"/>
              <w:spacing w:line="423" w:lineRule="exact"/>
              <w:ind w:left="111"/>
              <w:rPr>
                <w:rFonts w:ascii="Times New Roman"/>
                <w:b/>
                <w:sz w:val="40"/>
              </w:rPr>
            </w:pPr>
            <w:r>
              <w:rPr>
                <w:rFonts w:ascii="Times New Roman"/>
                <w:b/>
                <w:w w:val="100"/>
                <w:sz w:val="40"/>
              </w:rPr>
              <w:t>y</w:t>
            </w:r>
          </w:p>
        </w:tc>
        <w:tc>
          <w:tcPr>
            <w:tcW w:w="2054" w:type="dxa"/>
            <w:tcBorders>
              <w:bottom w:val="single" w:sz="4" w:space="0" w:color="000000"/>
            </w:tcBorders>
          </w:tcPr>
          <w:p>
            <w:pPr>
              <w:pStyle w:val="TableParagraph"/>
              <w:spacing w:line="377"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394" w:type="dxa"/>
            <w:tcBorders>
              <w:bottom w:val="single" w:sz="4" w:space="0" w:color="000000"/>
            </w:tcBorders>
          </w:tcPr>
          <w:p>
            <w:pPr>
              <w:pStyle w:val="TableParagraph"/>
              <w:rPr>
                <w:rFonts w:ascii="Times New Roman"/>
                <w:sz w:val="20"/>
              </w:rPr>
            </w:pPr>
          </w:p>
        </w:tc>
      </w:tr>
      <w:tr>
        <w:trPr>
          <w:trHeight w:val="209" w:hRule="atLeast"/>
        </w:trPr>
        <w:tc>
          <w:tcPr>
            <w:tcW w:w="634" w:type="dxa"/>
            <w:tcBorders>
              <w:top w:val="single" w:sz="4" w:space="0" w:color="000000"/>
            </w:tcBorders>
          </w:tcPr>
          <w:p>
            <w:pPr>
              <w:pStyle w:val="TableParagraph"/>
              <w:spacing w:line="185" w:lineRule="exact"/>
              <w:ind w:left="107"/>
              <w:rPr>
                <w:sz w:val="21"/>
              </w:rPr>
            </w:pPr>
            <w:r>
              <w:rPr>
                <w:w w:val="100"/>
                <w:sz w:val="21"/>
              </w:rPr>
              <w:t> </w:t>
            </w:r>
          </w:p>
        </w:tc>
        <w:tc>
          <w:tcPr>
            <w:tcW w:w="2054" w:type="dxa"/>
            <w:tcBorders>
              <w:top w:val="single" w:sz="4" w:space="0" w:color="000000"/>
            </w:tcBorders>
          </w:tcPr>
          <w:p>
            <w:pPr>
              <w:pStyle w:val="TableParagraph"/>
              <w:spacing w:line="185" w:lineRule="exact"/>
              <w:ind w:left="230"/>
              <w:rPr>
                <w:sz w:val="21"/>
              </w:rPr>
            </w:pPr>
            <w:r>
              <w:rPr>
                <w:w w:val="100"/>
                <w:sz w:val="21"/>
              </w:rPr>
              <w:t> </w:t>
            </w:r>
          </w:p>
        </w:tc>
        <w:tc>
          <w:tcPr>
            <w:tcW w:w="7394" w:type="dxa"/>
            <w:tcBorders>
              <w:top w:val="single" w:sz="4" w:space="0" w:color="000000"/>
            </w:tcBorders>
          </w:tcPr>
          <w:p>
            <w:pPr>
              <w:pStyle w:val="TableParagraph"/>
              <w:spacing w:line="185" w:lineRule="exact"/>
              <w:ind w:left="134"/>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5. 1</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394" w:type="dxa"/>
          </w:tcPr>
          <w:p>
            <w:pPr>
              <w:pStyle w:val="TableParagraph"/>
              <w:spacing w:line="235" w:lineRule="exact"/>
              <w:ind w:left="134" w:right="-15"/>
              <w:rPr>
                <w:sz w:val="21"/>
              </w:rPr>
            </w:pPr>
            <w:r>
              <w:rPr>
                <w:spacing w:val="-7"/>
                <w:sz w:val="21"/>
              </w:rPr>
              <w:t>本主险合同保单年度末的现金价值会在保险单上载明。保单年度内的现金价值，</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您可以向我们咨询。 </w:t>
            </w:r>
          </w:p>
        </w:tc>
      </w:tr>
      <w:tr>
        <w:trPr>
          <w:trHeight w:val="230"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0" w:lineRule="exact"/>
              <w:ind w:left="134"/>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5. 2</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394" w:type="dxa"/>
          </w:tcPr>
          <w:p>
            <w:pPr>
              <w:pStyle w:val="TableParagraph"/>
              <w:spacing w:line="235" w:lineRule="exact"/>
              <w:ind w:left="134"/>
              <w:rPr>
                <w:sz w:val="21"/>
              </w:rPr>
            </w:pPr>
            <w:r>
              <w:rPr>
                <w:sz w:val="21"/>
              </w:rPr>
              <w:t>您可选择使用现金价值的保险费自动垫交功能。 </w:t>
            </w:r>
          </w:p>
        </w:tc>
      </w:tr>
      <w:tr>
        <w:trPr>
          <w:trHeight w:val="260"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5" w:lineRule="exact"/>
              <w:ind w:left="134"/>
              <w:rPr>
                <w:sz w:val="21"/>
              </w:rPr>
            </w:pPr>
            <w:r>
              <w:rPr>
                <w:sz w:val="21"/>
              </w:rPr>
              <w:t>如果您在宽限期结束时仍未支付保险费，我们将以本主险合同的现金价值扣除</w:t>
            </w:r>
          </w:p>
        </w:tc>
      </w:tr>
      <w:tr>
        <w:trPr>
          <w:trHeight w:val="28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5" w:lineRule="exact"/>
              <w:ind w:left="134"/>
              <w:rPr>
                <w:sz w:val="21"/>
              </w:rPr>
            </w:pPr>
            <w:r>
              <w:rPr>
                <w:sz w:val="21"/>
              </w:rPr>
              <w:t>“</w:t>
            </w:r>
            <w:r>
              <w:rPr>
                <w:rFonts w:ascii="Microsoft JhengHei" w:hAnsi="Microsoft JhengHei" w:eastAsia="Microsoft JhengHei" w:hint="eastAsia"/>
                <w:b/>
                <w:sz w:val="21"/>
              </w:rPr>
              <w:t>9. 2 未还款项</w:t>
            </w:r>
            <w:r>
              <w:rPr>
                <w:sz w:val="21"/>
              </w:rPr>
              <w:t>”中规定的欠款之后的余额自动垫交到期应交的保险费，本主</w:t>
            </w:r>
          </w:p>
        </w:tc>
      </w:tr>
      <w:tr>
        <w:trPr>
          <w:trHeight w:val="264"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5" w:lineRule="exact"/>
              <w:ind w:left="134"/>
              <w:rPr>
                <w:sz w:val="21"/>
              </w:rPr>
            </w:pPr>
            <w:r>
              <w:rPr>
                <w:sz w:val="21"/>
              </w:rPr>
              <w:t>险合同继续有效。当现金价值的余额不足以垫交到期应交的保险费时，我们将</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根据现金价值的余额计算本主险合同可以继续有效的天数，本主险合同在此期</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间继续有效。当现金价值余额为零时，本主险合同效力中止。</w:t>
            </w:r>
            <w:r>
              <w:rPr>
                <w:color w:val="FF0000"/>
                <w:sz w:val="21"/>
              </w:rPr>
              <w:t> </w:t>
            </w:r>
          </w:p>
        </w:tc>
      </w:tr>
      <w:tr>
        <w:trPr>
          <w:trHeight w:val="216" w:hRule="atLeast"/>
        </w:trPr>
        <w:tc>
          <w:tcPr>
            <w:tcW w:w="634"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0"/>
              <w:rPr>
                <w:sz w:val="21"/>
              </w:rPr>
            </w:pPr>
            <w:r>
              <w:rPr>
                <w:w w:val="100"/>
                <w:sz w:val="21"/>
              </w:rPr>
              <w:t> </w:t>
            </w:r>
          </w:p>
        </w:tc>
        <w:tc>
          <w:tcPr>
            <w:tcW w:w="7394" w:type="dxa"/>
          </w:tcPr>
          <w:p>
            <w:pPr>
              <w:pStyle w:val="TableParagraph"/>
              <w:spacing w:line="196" w:lineRule="exact"/>
              <w:ind w:left="134"/>
              <w:rPr>
                <w:sz w:val="21"/>
              </w:rPr>
            </w:pPr>
            <w:r>
              <w:rPr>
                <w:w w:val="100"/>
                <w:sz w:val="21"/>
              </w:rPr>
              <w:t> </w:t>
            </w:r>
          </w:p>
        </w:tc>
      </w:tr>
      <w:tr>
        <w:trPr>
          <w:trHeight w:val="428" w:hRule="atLeast"/>
        </w:trPr>
        <w:tc>
          <w:tcPr>
            <w:tcW w:w="10082" w:type="dxa"/>
            <w:gridSpan w:val="3"/>
          </w:tcPr>
          <w:p>
            <w:pPr>
              <w:pStyle w:val="TableParagraph"/>
              <w:tabs>
                <w:tab w:pos="863" w:val="left" w:leader="none"/>
              </w:tabs>
              <w:spacing w:line="409" w:lineRule="exact"/>
              <w:ind w:left="112"/>
              <w:rPr>
                <w:rFonts w:ascii="Microsoft JhengHei" w:eastAsia="Microsoft JhengHei" w:hint="eastAsia"/>
                <w:b/>
                <w:sz w:val="24"/>
              </w:rPr>
            </w:pPr>
            <w:r>
              <w:rPr>
                <w:rFonts w:ascii="Times New Roman" w:eastAsia="Times New Roman"/>
                <w:b/>
                <w:position w:val="-3"/>
                <w:sz w:val="40"/>
              </w:rPr>
              <w:t>z</w:t>
              <w:tab/>
            </w:r>
            <w:r>
              <w:rPr>
                <w:rFonts w:ascii="Microsoft JhengHei" w:eastAsia="Microsoft JhengHei" w:hint="eastAsia"/>
                <w:b/>
                <w:sz w:val="24"/>
              </w:rPr>
              <w:t>合同效力的中止及恢复</w:t>
            </w:r>
          </w:p>
        </w:tc>
      </w:tr>
      <w:tr>
        <w:trPr>
          <w:trHeight w:val="209" w:hRule="atLeast"/>
        </w:trPr>
        <w:tc>
          <w:tcPr>
            <w:tcW w:w="634" w:type="dxa"/>
            <w:tcBorders>
              <w:top w:val="single" w:sz="4" w:space="0" w:color="000000"/>
            </w:tcBorders>
          </w:tcPr>
          <w:p>
            <w:pPr>
              <w:pStyle w:val="TableParagraph"/>
              <w:spacing w:line="187" w:lineRule="exact"/>
              <w:ind w:left="107"/>
              <w:rPr>
                <w:sz w:val="21"/>
              </w:rPr>
            </w:pPr>
            <w:r>
              <w:rPr>
                <w:w w:val="100"/>
                <w:sz w:val="21"/>
              </w:rPr>
              <w:t> </w:t>
            </w:r>
          </w:p>
        </w:tc>
        <w:tc>
          <w:tcPr>
            <w:tcW w:w="2054" w:type="dxa"/>
            <w:tcBorders>
              <w:top w:val="single" w:sz="4" w:space="0" w:color="000000"/>
            </w:tcBorders>
          </w:tcPr>
          <w:p>
            <w:pPr>
              <w:pStyle w:val="TableParagraph"/>
              <w:spacing w:line="187" w:lineRule="exact"/>
              <w:ind w:left="230"/>
              <w:rPr>
                <w:sz w:val="21"/>
              </w:rPr>
            </w:pPr>
            <w:r>
              <w:rPr>
                <w:w w:val="100"/>
                <w:sz w:val="21"/>
              </w:rPr>
              <w:t> </w:t>
            </w:r>
          </w:p>
        </w:tc>
        <w:tc>
          <w:tcPr>
            <w:tcW w:w="7394" w:type="dxa"/>
            <w:tcBorders>
              <w:top w:val="single" w:sz="4" w:space="0" w:color="000000"/>
            </w:tcBorders>
          </w:tcPr>
          <w:p>
            <w:pPr>
              <w:pStyle w:val="TableParagraph"/>
              <w:spacing w:line="187" w:lineRule="exact"/>
              <w:ind w:left="134"/>
              <w:rPr>
                <w:sz w:val="21"/>
              </w:rPr>
            </w:pPr>
            <w:r>
              <w:rPr>
                <w:w w:val="100"/>
                <w:sz w:val="21"/>
              </w:rPr>
              <w:t> </w:t>
            </w:r>
          </w:p>
        </w:tc>
      </w:tr>
      <w:tr>
        <w:trPr>
          <w:trHeight w:val="247" w:hRule="atLeast"/>
        </w:trPr>
        <w:tc>
          <w:tcPr>
            <w:tcW w:w="634" w:type="dxa"/>
          </w:tcPr>
          <w:p>
            <w:pPr>
              <w:pStyle w:val="TableParagraph"/>
              <w:spacing w:line="228" w:lineRule="exact"/>
              <w:ind w:left="107"/>
              <w:rPr>
                <w:rFonts w:ascii="Microsoft JhengHei"/>
                <w:b/>
                <w:sz w:val="21"/>
              </w:rPr>
            </w:pPr>
            <w:r>
              <w:rPr>
                <w:rFonts w:ascii="Microsoft JhengHei"/>
                <w:b/>
                <w:w w:val="90"/>
                <w:sz w:val="21"/>
              </w:rPr>
              <w:t>6. 1</w:t>
            </w:r>
          </w:p>
        </w:tc>
        <w:tc>
          <w:tcPr>
            <w:tcW w:w="2054" w:type="dxa"/>
          </w:tcPr>
          <w:p>
            <w:pPr>
              <w:pStyle w:val="TableParagraph"/>
              <w:spacing w:line="228"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394" w:type="dxa"/>
          </w:tcPr>
          <w:p>
            <w:pPr>
              <w:pStyle w:val="TableParagraph"/>
              <w:spacing w:line="228" w:lineRule="exact"/>
              <w:ind w:left="14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224" w:hRule="atLeast"/>
        </w:trPr>
        <w:tc>
          <w:tcPr>
            <w:tcW w:w="634" w:type="dxa"/>
          </w:tcPr>
          <w:p>
            <w:pPr>
              <w:pStyle w:val="TableParagraph"/>
              <w:spacing w:line="204" w:lineRule="exact"/>
              <w:ind w:left="107"/>
              <w:rPr>
                <w:sz w:val="21"/>
              </w:rPr>
            </w:pPr>
            <w:r>
              <w:rPr>
                <w:w w:val="100"/>
                <w:sz w:val="21"/>
              </w:rPr>
              <w:t> </w:t>
            </w:r>
          </w:p>
        </w:tc>
        <w:tc>
          <w:tcPr>
            <w:tcW w:w="2054" w:type="dxa"/>
          </w:tcPr>
          <w:p>
            <w:pPr>
              <w:pStyle w:val="TableParagraph"/>
              <w:spacing w:line="204" w:lineRule="exact"/>
              <w:ind w:left="230"/>
              <w:rPr>
                <w:sz w:val="21"/>
              </w:rPr>
            </w:pPr>
            <w:r>
              <w:rPr>
                <w:w w:val="100"/>
                <w:sz w:val="21"/>
              </w:rPr>
              <w:t> </w:t>
            </w:r>
          </w:p>
        </w:tc>
        <w:tc>
          <w:tcPr>
            <w:tcW w:w="7394" w:type="dxa"/>
          </w:tcPr>
          <w:p>
            <w:pPr>
              <w:pStyle w:val="TableParagraph"/>
              <w:spacing w:line="204" w:lineRule="exact"/>
              <w:ind w:left="134"/>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6. 2</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394" w:type="dxa"/>
          </w:tcPr>
          <w:p>
            <w:pPr>
              <w:pStyle w:val="TableParagraph"/>
              <w:spacing w:line="252" w:lineRule="exact"/>
              <w:ind w:left="134"/>
              <w:rPr>
                <w:sz w:val="21"/>
              </w:rPr>
            </w:pPr>
            <w:r>
              <w:rPr>
                <w:sz w:val="21"/>
              </w:rPr>
              <w:t>本主险合同效力中止后 </w:t>
            </w:r>
            <w:r>
              <w:rPr>
                <w:rFonts w:ascii="Times New Roman" w:eastAsia="Times New Roman"/>
                <w:sz w:val="21"/>
              </w:rPr>
              <w:t>2 </w:t>
            </w:r>
            <w:r>
              <w:rPr>
                <w:sz w:val="21"/>
              </w:rPr>
              <w:t>年内，您可以申请恢复本主险合同效力。经我们与您</w:t>
            </w:r>
          </w:p>
        </w:tc>
      </w:tr>
      <w:tr>
        <w:trPr>
          <w:trHeight w:val="261"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3" w:lineRule="exact"/>
              <w:ind w:left="134"/>
              <w:rPr>
                <w:sz w:val="21"/>
              </w:rPr>
            </w:pPr>
            <w:r>
              <w:rPr>
                <w:sz w:val="21"/>
              </w:rPr>
              <w:t>协商并达成协议，自您补交保险费之日起，本主险合同效力恢复。</w:t>
            </w:r>
          </w:p>
        </w:tc>
      </w:tr>
      <w:tr>
        <w:trPr>
          <w:trHeight w:val="283"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4" w:lineRule="exact"/>
              <w:ind w:left="134"/>
              <w:rPr>
                <w:rFonts w:ascii="Microsoft JhengHei" w:eastAsia="Microsoft JhengHei" w:hint="eastAsia"/>
                <w:b/>
                <w:sz w:val="21"/>
              </w:rPr>
            </w:pPr>
            <w:r>
              <w:rPr>
                <w:rFonts w:ascii="Microsoft JhengHei" w:eastAsia="Microsoft JhengHei" w:hint="eastAsia"/>
                <w:b/>
                <w:sz w:val="21"/>
              </w:rPr>
              <w:t>自本主险合同效力中止之日起满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年您和我们未达成协议的，我们有权解除本</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9" w:lineRule="exact"/>
              <w:ind w:left="134"/>
              <w:rPr>
                <w:rFonts w:ascii="Microsoft JhengHei" w:eastAsia="Microsoft JhengHei" w:hint="eastAsia"/>
                <w:b/>
                <w:sz w:val="21"/>
              </w:rPr>
            </w:pPr>
            <w:r>
              <w:rPr>
                <w:rFonts w:ascii="Microsoft JhengHei" w:eastAsia="Microsoft JhengHei" w:hint="eastAsia"/>
                <w:b/>
                <w:sz w:val="21"/>
              </w:rPr>
              <w:t>主险合同。我们解除合同的，向您退还本主险合同效力中止时的现金价值。</w:t>
            </w:r>
          </w:p>
        </w:tc>
      </w:tr>
      <w:tr>
        <w:trPr>
          <w:trHeight w:val="210" w:hRule="atLeast"/>
        </w:trPr>
        <w:tc>
          <w:tcPr>
            <w:tcW w:w="634" w:type="dxa"/>
          </w:tcPr>
          <w:p>
            <w:pPr>
              <w:pStyle w:val="TableParagraph"/>
              <w:rPr>
                <w:rFonts w:ascii="Times New Roman"/>
                <w:sz w:val="14"/>
              </w:rPr>
            </w:pPr>
          </w:p>
        </w:tc>
        <w:tc>
          <w:tcPr>
            <w:tcW w:w="2054" w:type="dxa"/>
          </w:tcPr>
          <w:p>
            <w:pPr>
              <w:pStyle w:val="TableParagraph"/>
              <w:rPr>
                <w:rFonts w:ascii="Times New Roman"/>
                <w:sz w:val="14"/>
              </w:rPr>
            </w:pPr>
          </w:p>
        </w:tc>
        <w:tc>
          <w:tcPr>
            <w:tcW w:w="7394" w:type="dxa"/>
          </w:tcPr>
          <w:p>
            <w:pPr>
              <w:pStyle w:val="TableParagraph"/>
              <w:spacing w:line="191" w:lineRule="exact"/>
              <w:ind w:left="134"/>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12"/>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1" w:lineRule="exact"/>
              <w:ind w:left="230"/>
              <w:rPr>
                <w:rFonts w:ascii="Microsoft JhengHei" w:eastAsia="Microsoft JhengHei" w:hint="eastAsia"/>
                <w:b/>
                <w:sz w:val="24"/>
              </w:rPr>
            </w:pPr>
            <w:r>
              <w:rPr>
                <w:rFonts w:ascii="Microsoft JhengHei" w:eastAsia="Microsoft JhengHei" w:hint="eastAsia"/>
                <w:b/>
                <w:sz w:val="24"/>
              </w:rPr>
              <w:t>合同解除</w:t>
            </w:r>
          </w:p>
        </w:tc>
        <w:tc>
          <w:tcPr>
            <w:tcW w:w="7394" w:type="dxa"/>
            <w:tcBorders>
              <w:bottom w:val="single" w:sz="4" w:space="0" w:color="000000"/>
            </w:tcBorders>
          </w:tcPr>
          <w:p>
            <w:pPr>
              <w:pStyle w:val="TableParagraph"/>
              <w:spacing w:before="65"/>
              <w:ind w:right="676"/>
              <w:jc w:val="right"/>
              <w:rPr>
                <w:sz w:val="21"/>
              </w:rPr>
            </w:pPr>
            <w:r>
              <w:rPr>
                <w:w w:val="100"/>
                <w:sz w:val="21"/>
              </w:rPr>
              <w:t> </w:t>
            </w:r>
          </w:p>
        </w:tc>
      </w:tr>
      <w:tr>
        <w:trPr>
          <w:trHeight w:val="214" w:hRule="atLeast"/>
        </w:trPr>
        <w:tc>
          <w:tcPr>
            <w:tcW w:w="634" w:type="dxa"/>
            <w:tcBorders>
              <w:top w:val="single" w:sz="4" w:space="0" w:color="000000"/>
            </w:tcBorders>
          </w:tcPr>
          <w:p>
            <w:pPr>
              <w:pStyle w:val="TableParagraph"/>
              <w:spacing w:line="190" w:lineRule="exact"/>
              <w:ind w:left="107"/>
              <w:rPr>
                <w:sz w:val="21"/>
              </w:rPr>
            </w:pPr>
            <w:r>
              <w:rPr>
                <w:w w:val="100"/>
                <w:sz w:val="21"/>
              </w:rPr>
              <w:t> </w:t>
            </w:r>
          </w:p>
        </w:tc>
        <w:tc>
          <w:tcPr>
            <w:tcW w:w="2054" w:type="dxa"/>
            <w:tcBorders>
              <w:top w:val="single" w:sz="4" w:space="0" w:color="000000"/>
            </w:tcBorders>
          </w:tcPr>
          <w:p>
            <w:pPr>
              <w:pStyle w:val="TableParagraph"/>
              <w:spacing w:line="190" w:lineRule="exact"/>
              <w:ind w:left="230"/>
              <w:rPr>
                <w:sz w:val="21"/>
              </w:rPr>
            </w:pPr>
            <w:r>
              <w:rPr>
                <w:w w:val="100"/>
                <w:sz w:val="21"/>
              </w:rPr>
              <w:t> </w:t>
            </w:r>
          </w:p>
        </w:tc>
        <w:tc>
          <w:tcPr>
            <w:tcW w:w="7394" w:type="dxa"/>
            <w:tcBorders>
              <w:top w:val="single" w:sz="4" w:space="0" w:color="000000"/>
            </w:tcBorders>
          </w:tcPr>
          <w:p>
            <w:pPr>
              <w:pStyle w:val="TableParagraph"/>
              <w:spacing w:line="190" w:lineRule="exact"/>
              <w:ind w:left="134"/>
              <w:rPr>
                <w:sz w:val="21"/>
              </w:rPr>
            </w:pPr>
            <w:r>
              <w:rPr>
                <w:w w:val="100"/>
                <w:sz w:val="21"/>
              </w:rPr>
              <w:t> </w:t>
            </w:r>
          </w:p>
        </w:tc>
      </w:tr>
      <w:tr>
        <w:trPr>
          <w:trHeight w:val="261" w:hRule="atLeast"/>
        </w:trPr>
        <w:tc>
          <w:tcPr>
            <w:tcW w:w="634" w:type="dxa"/>
          </w:tcPr>
          <w:p>
            <w:pPr>
              <w:pStyle w:val="TableParagraph"/>
              <w:rPr>
                <w:rFonts w:ascii="Times New Roman"/>
                <w:sz w:val="18"/>
              </w:rPr>
            </w:pPr>
          </w:p>
        </w:tc>
        <w:tc>
          <w:tcPr>
            <w:tcW w:w="2054" w:type="dxa"/>
          </w:tcPr>
          <w:p>
            <w:pPr>
              <w:pStyle w:val="TableParagraph"/>
              <w:spacing w:line="242" w:lineRule="exact"/>
              <w:ind w:left="230"/>
              <w:rPr>
                <w:rFonts w:ascii="Microsoft JhengHei" w:eastAsia="Microsoft JhengHei" w:hint="eastAsia"/>
                <w:b/>
                <w:sz w:val="21"/>
              </w:rPr>
            </w:pPr>
            <w:r>
              <w:rPr>
                <w:rFonts w:ascii="Microsoft JhengHei" w:eastAsia="Microsoft JhengHei" w:hint="eastAsia"/>
                <w:b/>
                <w:sz w:val="21"/>
              </w:rPr>
              <w:t>投保人解除合同的</w:t>
            </w:r>
          </w:p>
        </w:tc>
        <w:tc>
          <w:tcPr>
            <w:tcW w:w="7394" w:type="dxa"/>
          </w:tcPr>
          <w:p>
            <w:pPr>
              <w:pStyle w:val="TableParagraph"/>
              <w:spacing w:line="230" w:lineRule="exact"/>
              <w:ind w:left="134"/>
              <w:rPr>
                <w:sz w:val="21"/>
              </w:rPr>
            </w:pPr>
            <w:r>
              <w:rPr>
                <w:sz w:val="21"/>
              </w:rPr>
              <w:t>如您在犹豫期后申请解除本主险合同，请填写保险合同变更申请书并提供下列</w:t>
            </w:r>
          </w:p>
        </w:tc>
      </w:tr>
      <w:tr>
        <w:trPr>
          <w:trHeight w:val="272" w:hRule="atLeast"/>
        </w:trPr>
        <w:tc>
          <w:tcPr>
            <w:tcW w:w="634" w:type="dxa"/>
          </w:tcPr>
          <w:p>
            <w:pPr>
              <w:pStyle w:val="TableParagraph"/>
              <w:rPr>
                <w:rFonts w:ascii="Times New Roman"/>
                <w:sz w:val="20"/>
              </w:rPr>
            </w:pP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4" w:type="dxa"/>
          </w:tcPr>
          <w:p>
            <w:pPr>
              <w:pStyle w:val="TableParagraph"/>
              <w:spacing w:line="242" w:lineRule="exact"/>
              <w:ind w:left="134"/>
              <w:rPr>
                <w:sz w:val="21"/>
              </w:rPr>
            </w:pPr>
            <w:r>
              <w:rPr>
                <w:sz w:val="21"/>
              </w:rPr>
              <w:t>资料：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（1）保险合同；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（2）您的有效身份证件。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自我们收到保险合同变更申请书时起，本主险合同终止。我们自收到保险合同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变更申请书之日起 30 日内向您退还本主险合同的现金价值。 </w:t>
            </w:r>
          </w:p>
        </w:tc>
      </w:tr>
      <w:tr>
        <w:trPr>
          <w:trHeight w:val="246"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6"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10" w:hRule="atLeast"/>
        </w:trPr>
        <w:tc>
          <w:tcPr>
            <w:tcW w:w="634" w:type="dxa"/>
          </w:tcPr>
          <w:p>
            <w:pPr>
              <w:pStyle w:val="TableParagraph"/>
              <w:spacing w:line="191" w:lineRule="exact"/>
              <w:ind w:left="107"/>
              <w:rPr>
                <w:sz w:val="21"/>
              </w:rPr>
            </w:pPr>
            <w:r>
              <w:rPr>
                <w:w w:val="100"/>
                <w:sz w:val="21"/>
              </w:rPr>
              <w:t> </w:t>
            </w:r>
          </w:p>
        </w:tc>
        <w:tc>
          <w:tcPr>
            <w:tcW w:w="2054" w:type="dxa"/>
          </w:tcPr>
          <w:p>
            <w:pPr>
              <w:pStyle w:val="TableParagraph"/>
              <w:spacing w:line="191" w:lineRule="exact"/>
              <w:ind w:left="230"/>
              <w:rPr>
                <w:sz w:val="21"/>
              </w:rPr>
            </w:pPr>
            <w:r>
              <w:rPr>
                <w:w w:val="100"/>
                <w:sz w:val="21"/>
              </w:rPr>
              <w:t> </w:t>
            </w:r>
          </w:p>
        </w:tc>
        <w:tc>
          <w:tcPr>
            <w:tcW w:w="7394" w:type="dxa"/>
          </w:tcPr>
          <w:p>
            <w:pPr>
              <w:pStyle w:val="TableParagraph"/>
              <w:spacing w:line="191" w:lineRule="exact"/>
              <w:ind w:left="134"/>
              <w:rPr>
                <w:sz w:val="21"/>
              </w:rPr>
            </w:pPr>
            <w:r>
              <w:rPr>
                <w:w w:val="100"/>
                <w:sz w:val="21"/>
              </w:rPr>
              <w:t> </w:t>
            </w:r>
          </w:p>
        </w:tc>
      </w:tr>
      <w:tr>
        <w:trPr>
          <w:trHeight w:val="433" w:hRule="atLeast"/>
        </w:trPr>
        <w:tc>
          <w:tcPr>
            <w:tcW w:w="634" w:type="dxa"/>
            <w:tcBorders>
              <w:bottom w:val="single" w:sz="4" w:space="0" w:color="000000"/>
            </w:tcBorders>
          </w:tcPr>
          <w:p>
            <w:pPr>
              <w:pStyle w:val="TableParagraph"/>
              <w:spacing w:line="416" w:lineRule="exact"/>
              <w:ind w:left="114"/>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2"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4" w:type="dxa"/>
            <w:tcBorders>
              <w:bottom w:val="single" w:sz="4" w:space="0" w:color="000000"/>
            </w:tcBorders>
          </w:tcPr>
          <w:p>
            <w:pPr>
              <w:pStyle w:val="TableParagraph"/>
              <w:spacing w:before="66"/>
              <w:ind w:right="1039"/>
              <w:jc w:val="right"/>
              <w:rPr>
                <w:sz w:val="21"/>
              </w:rPr>
            </w:pPr>
            <w:r>
              <w:rPr>
                <w:w w:val="100"/>
                <w:sz w:val="21"/>
              </w:rPr>
              <w:t> </w:t>
            </w:r>
          </w:p>
        </w:tc>
      </w:tr>
      <w:tr>
        <w:trPr>
          <w:trHeight w:val="209" w:hRule="atLeast"/>
        </w:trPr>
        <w:tc>
          <w:tcPr>
            <w:tcW w:w="634" w:type="dxa"/>
            <w:tcBorders>
              <w:top w:val="single" w:sz="4" w:space="0" w:color="000000"/>
            </w:tcBorders>
          </w:tcPr>
          <w:p>
            <w:pPr>
              <w:pStyle w:val="TableParagraph"/>
              <w:spacing w:line="187" w:lineRule="exact"/>
              <w:ind w:left="107"/>
              <w:rPr>
                <w:sz w:val="21"/>
              </w:rPr>
            </w:pPr>
            <w:r>
              <w:rPr>
                <w:w w:val="100"/>
                <w:sz w:val="21"/>
              </w:rPr>
              <w:t> </w:t>
            </w:r>
          </w:p>
        </w:tc>
        <w:tc>
          <w:tcPr>
            <w:tcW w:w="2054" w:type="dxa"/>
            <w:tcBorders>
              <w:top w:val="single" w:sz="4" w:space="0" w:color="000000"/>
            </w:tcBorders>
          </w:tcPr>
          <w:p>
            <w:pPr>
              <w:pStyle w:val="TableParagraph"/>
              <w:spacing w:line="187" w:lineRule="exact"/>
              <w:ind w:left="230"/>
              <w:rPr>
                <w:sz w:val="21"/>
              </w:rPr>
            </w:pPr>
            <w:r>
              <w:rPr>
                <w:w w:val="100"/>
                <w:sz w:val="21"/>
              </w:rPr>
              <w:t> </w:t>
            </w:r>
          </w:p>
        </w:tc>
        <w:tc>
          <w:tcPr>
            <w:tcW w:w="7394" w:type="dxa"/>
            <w:tcBorders>
              <w:top w:val="single" w:sz="4" w:space="0" w:color="000000"/>
            </w:tcBorders>
          </w:tcPr>
          <w:p>
            <w:pPr>
              <w:pStyle w:val="TableParagraph"/>
              <w:spacing w:line="187" w:lineRule="exact"/>
              <w:ind w:left="134"/>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8. 1</w:t>
            </w:r>
          </w:p>
        </w:tc>
        <w:tc>
          <w:tcPr>
            <w:tcW w:w="2054"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4" w:type="dxa"/>
          </w:tcPr>
          <w:p>
            <w:pPr>
              <w:pStyle w:val="TableParagraph"/>
              <w:spacing w:line="235" w:lineRule="exact"/>
              <w:ind w:left="134"/>
              <w:rPr>
                <w:sz w:val="21"/>
              </w:rPr>
            </w:pPr>
            <w:r>
              <w:rPr>
                <w:sz w:val="21"/>
              </w:rPr>
              <w:t>订立本主险合同时，我们应向您说明本主险合同的内容。对保险条款中免除我</w:t>
            </w:r>
          </w:p>
        </w:tc>
      </w:tr>
      <w:tr>
        <w:trPr>
          <w:trHeight w:val="264" w:hRule="atLeast"/>
        </w:trPr>
        <w:tc>
          <w:tcPr>
            <w:tcW w:w="634" w:type="dxa"/>
          </w:tcPr>
          <w:p>
            <w:pPr>
              <w:pStyle w:val="TableParagraph"/>
              <w:rPr>
                <w:rFonts w:ascii="Times New Roman"/>
                <w:sz w:val="18"/>
              </w:rPr>
            </w:pPr>
          </w:p>
        </w:tc>
        <w:tc>
          <w:tcPr>
            <w:tcW w:w="2054" w:type="dxa"/>
          </w:tcPr>
          <w:p>
            <w:pPr>
              <w:pStyle w:val="TableParagraph"/>
              <w:spacing w:line="245"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4" w:type="dxa"/>
          </w:tcPr>
          <w:p>
            <w:pPr>
              <w:pStyle w:val="TableParagraph"/>
              <w:spacing w:line="234" w:lineRule="exact"/>
              <w:ind w:left="134"/>
              <w:rPr>
                <w:sz w:val="21"/>
              </w:rPr>
            </w:pPr>
            <w:r>
              <w:rPr>
                <w:sz w:val="21"/>
              </w:rPr>
              <w:t>们责任的条款，我们在订立合同时应当在投保单、保险单或者其他保险凭证上</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作出足以引起您注意的提示，并对该条款的内容以书面或者口头形式向您作出</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明确说明，未作提示或者明确说明的，该条款不产生效力。我们会就您和被保</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险人的有关情况提出询问，您应当如实告知。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保或者提高保险费率的，我们有权解除本主险合同。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们不承担给付保险金的责任，并不退还保险费。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于本主险合同解除前发生的保险事故，我们不承担给付保险金的责任，但退还</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我们在本主险合同订立时已经知道您未如实告知的情况的，我们不得解除本主</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险合同；发生保险事故的，我们承担给付保险金的责任。 </w:t>
            </w:r>
          </w:p>
        </w:tc>
      </w:tr>
      <w:tr>
        <w:trPr>
          <w:trHeight w:val="231"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67" w:hRule="atLeast"/>
        </w:trPr>
        <w:tc>
          <w:tcPr>
            <w:tcW w:w="634" w:type="dxa"/>
          </w:tcPr>
          <w:p>
            <w:pPr>
              <w:pStyle w:val="TableParagraph"/>
              <w:spacing w:line="248" w:lineRule="exact"/>
              <w:ind w:left="107"/>
              <w:rPr>
                <w:rFonts w:ascii="Microsoft JhengHei"/>
                <w:b/>
                <w:sz w:val="21"/>
              </w:rPr>
            </w:pPr>
            <w:r>
              <w:rPr>
                <w:rFonts w:ascii="Microsoft JhengHei"/>
                <w:b/>
                <w:w w:val="90"/>
                <w:sz w:val="21"/>
              </w:rPr>
              <w:t>8. 2</w:t>
            </w:r>
          </w:p>
        </w:tc>
        <w:tc>
          <w:tcPr>
            <w:tcW w:w="2054" w:type="dxa"/>
          </w:tcPr>
          <w:p>
            <w:pPr>
              <w:pStyle w:val="TableParagraph"/>
              <w:spacing w:line="248"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4" w:type="dxa"/>
          </w:tcPr>
          <w:p>
            <w:pPr>
              <w:pStyle w:val="TableParagraph"/>
              <w:spacing w:line="248"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77" w:hRule="atLeast"/>
        </w:trPr>
        <w:tc>
          <w:tcPr>
            <w:tcW w:w="634" w:type="dxa"/>
          </w:tcPr>
          <w:p>
            <w:pPr>
              <w:pStyle w:val="TableParagraph"/>
              <w:rPr>
                <w:rFonts w:ascii="Times New Roman"/>
                <w:sz w:val="20"/>
              </w:rPr>
            </w:pPr>
          </w:p>
        </w:tc>
        <w:tc>
          <w:tcPr>
            <w:tcW w:w="2054" w:type="dxa"/>
          </w:tcPr>
          <w:p>
            <w:pPr>
              <w:pStyle w:val="TableParagraph"/>
              <w:spacing w:line="257"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4"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起，超过 30 日不行使而消灭。自本主险合同成立之日起超过 2 年的，我们不</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0" w:lineRule="exact"/>
              <w:ind w:left="134"/>
              <w:rPr>
                <w:rFonts w:ascii="Microsoft JhengHei" w:eastAsia="Microsoft JhengHei" w:hint="eastAsia"/>
                <w:b/>
                <w:sz w:val="21"/>
              </w:rPr>
            </w:pPr>
            <w:r>
              <w:rPr>
                <w:rFonts w:ascii="Microsoft JhengHei" w:eastAsia="Microsoft JhengHei" w:hint="eastAsia"/>
                <w:b/>
                <w:sz w:val="21"/>
              </w:rPr>
              <w:t>得解除本主险合同；发生保险事故的，我们承担给付保险金的责任。</w:t>
            </w:r>
          </w:p>
        </w:tc>
      </w:tr>
      <w:tr>
        <w:trPr>
          <w:trHeight w:val="216" w:hRule="atLeast"/>
        </w:trPr>
        <w:tc>
          <w:tcPr>
            <w:tcW w:w="634"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0"/>
              <w:rPr>
                <w:sz w:val="21"/>
              </w:rPr>
            </w:pPr>
            <w:r>
              <w:rPr>
                <w:w w:val="100"/>
                <w:sz w:val="21"/>
              </w:rPr>
              <w:t> </w:t>
            </w:r>
          </w:p>
        </w:tc>
        <w:tc>
          <w:tcPr>
            <w:tcW w:w="7394" w:type="dxa"/>
          </w:tcPr>
          <w:p>
            <w:pPr>
              <w:pStyle w:val="TableParagraph"/>
              <w:spacing w:line="196" w:lineRule="exact"/>
              <w:ind w:left="134"/>
              <w:rPr>
                <w:sz w:val="21"/>
              </w:rPr>
            </w:pPr>
            <w:r>
              <w:rPr>
                <w:w w:val="100"/>
                <w:sz w:val="21"/>
              </w:rPr>
              <w:t> </w:t>
            </w:r>
          </w:p>
        </w:tc>
      </w:tr>
      <w:tr>
        <w:trPr>
          <w:trHeight w:val="433" w:hRule="atLeast"/>
        </w:trPr>
        <w:tc>
          <w:tcPr>
            <w:tcW w:w="10082" w:type="dxa"/>
            <w:gridSpan w:val="3"/>
          </w:tcPr>
          <w:p>
            <w:pPr>
              <w:pStyle w:val="TableParagraph"/>
              <w:tabs>
                <w:tab w:pos="863" w:val="left" w:leader="none"/>
              </w:tabs>
              <w:spacing w:line="414" w:lineRule="exact"/>
              <w:ind w:left="112"/>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其他需要关注的事项</w:t>
            </w:r>
          </w:p>
        </w:tc>
      </w:tr>
    </w:tbl>
    <w:p>
      <w:pPr>
        <w:rPr>
          <w:sz w:val="2"/>
          <w:szCs w:val="2"/>
        </w:rPr>
      </w:pPr>
      <w:r>
        <w:rPr/>
        <w:pict>
          <v:group style="position:absolute;margin-left:44.880001pt;margin-top:781.400024pt;width:504.85pt;height:.5pt;mso-position-horizontal-relative:page;mso-position-vertical-relative:page;z-index:-75064" coordorigin="898,15628" coordsize="10097,10">
            <v:line style="position:absolute" from="898,15633" to="1668,15633" stroked="true" strokeweight=".48pt" strokecolor="#000000">
              <v:stroke dashstyle="solid"/>
            </v:line>
            <v:rect style="position:absolute;left:1653;top:15628;width:10;height:10" filled="true" fillcolor="#000000" stroked="false">
              <v:fill type="solid"/>
            </v:rect>
            <v:line style="position:absolute" from="1663,15633" to="10994,15633" stroked="true" strokeweight=".48pt" strokecolor="#000000">
              <v:stroke dashstyle="solid"/>
            </v:line>
            <w10:wrap type="none"/>
          </v:group>
        </w:pict>
      </w:r>
    </w:p>
    <w:p>
      <w:pPr>
        <w:spacing w:after="0"/>
        <w:rPr>
          <w:sz w:val="2"/>
          <w:szCs w:val="2"/>
        </w:rPr>
        <w:sectPr>
          <w:pgSz w:w="11900" w:h="16840"/>
          <w:pgMar w:header="0" w:footer="676" w:top="1180" w:bottom="860" w:left="78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632"/>
        <w:gridCol w:w="7817"/>
      </w:tblGrid>
      <w:tr>
        <w:trPr>
          <w:trHeight w:val="205"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1632" w:type="dxa"/>
            <w:tcBorders>
              <w:top w:val="single" w:sz="4" w:space="0" w:color="000000"/>
            </w:tcBorders>
          </w:tcPr>
          <w:p>
            <w:pPr>
              <w:pStyle w:val="TableParagraph"/>
              <w:spacing w:line="186" w:lineRule="exact"/>
              <w:ind w:left="230"/>
              <w:rPr>
                <w:sz w:val="21"/>
              </w:rPr>
            </w:pPr>
            <w:r>
              <w:rPr>
                <w:w w:val="100"/>
                <w:sz w:val="21"/>
              </w:rPr>
              <w:t> </w:t>
            </w:r>
          </w:p>
        </w:tc>
        <w:tc>
          <w:tcPr>
            <w:tcW w:w="7817" w:type="dxa"/>
            <w:tcBorders>
              <w:top w:val="single" w:sz="4" w:space="0" w:color="000000"/>
            </w:tcBorders>
          </w:tcPr>
          <w:p>
            <w:pPr>
              <w:pStyle w:val="TableParagraph"/>
              <w:spacing w:line="186" w:lineRule="exact"/>
              <w:ind w:left="556"/>
              <w:rPr>
                <w:sz w:val="21"/>
              </w:rPr>
            </w:pPr>
            <w:r>
              <w:rPr>
                <w:w w:val="100"/>
                <w:sz w:val="21"/>
              </w:rPr>
              <w:t> </w:t>
            </w:r>
          </w:p>
        </w:tc>
      </w:tr>
      <w:tr>
        <w:trPr>
          <w:trHeight w:val="537" w:hRule="atLeast"/>
        </w:trPr>
        <w:tc>
          <w:tcPr>
            <w:tcW w:w="634" w:type="dxa"/>
          </w:tcPr>
          <w:p>
            <w:pPr>
              <w:pStyle w:val="TableParagraph"/>
              <w:spacing w:line="260" w:lineRule="exact"/>
              <w:ind w:left="107"/>
              <w:rPr>
                <w:rFonts w:ascii="Microsoft JhengHei"/>
                <w:b/>
                <w:sz w:val="21"/>
              </w:rPr>
            </w:pPr>
            <w:r>
              <w:rPr>
                <w:rFonts w:ascii="Microsoft JhengHei"/>
                <w:b/>
                <w:w w:val="90"/>
                <w:sz w:val="21"/>
              </w:rPr>
              <w:t>9. 1</w:t>
            </w:r>
          </w:p>
        </w:tc>
        <w:tc>
          <w:tcPr>
            <w:tcW w:w="1632" w:type="dxa"/>
          </w:tcPr>
          <w:p>
            <w:pPr>
              <w:pStyle w:val="TableParagraph"/>
              <w:spacing w:line="260"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817" w:type="dxa"/>
          </w:tcPr>
          <w:p>
            <w:pPr>
              <w:pStyle w:val="TableParagraph"/>
              <w:spacing w:line="234" w:lineRule="exact"/>
              <w:ind w:left="558"/>
              <w:rPr>
                <w:sz w:val="21"/>
              </w:rPr>
            </w:pPr>
            <w:r>
              <w:rPr>
                <w:sz w:val="21"/>
              </w:rPr>
              <w:t>您在申请投保时，应将与有效身份证件相符的被保险人的出生日期在投保单上</w:t>
            </w:r>
          </w:p>
          <w:p>
            <w:pPr>
              <w:pStyle w:val="TableParagraph"/>
              <w:spacing w:line="273" w:lineRule="exact"/>
              <w:ind w:left="556"/>
              <w:rPr>
                <w:sz w:val="21"/>
              </w:rPr>
            </w:pPr>
            <w:r>
              <w:rPr>
                <w:sz w:val="21"/>
              </w:rPr>
              <w:t>填明，如果发生错误按照下列方式办理： </w:t>
            </w:r>
          </w:p>
        </w:tc>
      </w:tr>
      <w:tr>
        <w:trPr>
          <w:trHeight w:val="241" w:hRule="atLeast"/>
        </w:trPr>
        <w:tc>
          <w:tcPr>
            <w:tcW w:w="634" w:type="dxa"/>
          </w:tcPr>
          <w:p>
            <w:pPr>
              <w:pStyle w:val="TableParagraph"/>
              <w:rPr>
                <w:rFonts w:ascii="Times New Roman"/>
                <w:sz w:val="16"/>
              </w:rPr>
            </w:pPr>
          </w:p>
        </w:tc>
        <w:tc>
          <w:tcPr>
            <w:tcW w:w="1632" w:type="dxa"/>
          </w:tcPr>
          <w:p>
            <w:pPr>
              <w:pStyle w:val="TableParagraph"/>
              <w:rPr>
                <w:rFonts w:ascii="Times New Roman"/>
                <w:sz w:val="16"/>
              </w:rPr>
            </w:pPr>
          </w:p>
        </w:tc>
        <w:tc>
          <w:tcPr>
            <w:tcW w:w="7817" w:type="dxa"/>
          </w:tcPr>
          <w:p>
            <w:pPr>
              <w:pStyle w:val="TableParagraph"/>
              <w:spacing w:line="221" w:lineRule="exact"/>
              <w:ind w:left="556"/>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您申报的被保险人年龄不真实，并且其真实年龄不符合本主险合同约定</w:t>
            </w:r>
          </w:p>
        </w:tc>
      </w:tr>
    </w:tbl>
    <w:p>
      <w:pPr>
        <w:pStyle w:val="Heading2"/>
        <w:spacing w:line="180" w:lineRule="auto" w:before="29"/>
        <w:ind w:left="3457" w:right="211"/>
        <w:jc w:val="both"/>
      </w:pPr>
      <w:r>
        <w:rPr>
          <w:spacing w:val="-3"/>
        </w:rPr>
        <w:t>投保年龄限制的，在保险事故发生之前我们有权解除本主险合同，并向</w:t>
      </w:r>
      <w:r>
        <w:rPr>
          <w:spacing w:val="-8"/>
        </w:rPr>
        <w:t>您退还本主险合同的现金价值。我们行使合同解除权适用“</w:t>
      </w:r>
      <w:r>
        <w:rPr/>
        <w:t>8</w:t>
      </w:r>
      <w:r>
        <w:rPr>
          <w:spacing w:val="-14"/>
        </w:rPr>
        <w:t>. </w:t>
      </w:r>
      <w:r>
        <w:rPr/>
        <w:t>2</w:t>
      </w:r>
      <w:r>
        <w:rPr>
          <w:spacing w:val="3"/>
        </w:rPr>
        <w:t> 本公司合</w:t>
      </w:r>
      <w:r>
        <w:rPr/>
        <w:t>同解除权的限制”的规定。</w:t>
      </w:r>
    </w:p>
    <w:p>
      <w:pPr>
        <w:spacing w:line="180" w:lineRule="auto" w:before="0"/>
        <w:ind w:left="3457" w:right="302"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2" w:lineRule="exact" w:before="6"/>
        <w:ind w:left="3460" w:right="242" w:hanging="526"/>
        <w:jc w:val="both"/>
      </w:pPr>
      <w:r>
        <w:rPr>
          <w:spacing w:val="-12"/>
        </w:rPr>
        <w:t>（3）</w:t>
      </w:r>
      <w:r>
        <w:rPr>
          <w:spacing w:val="-8"/>
        </w:rPr>
        <w:t>您申报的被保险人年龄不真实，致使您实付保险费多于应付保险费的，我</w:t>
      </w:r>
      <w:r>
        <w:rPr>
          <w:spacing w:val="-3"/>
        </w:rPr>
        <w:t>们会将多收的保险费退还给您。</w:t>
      </w:r>
      <w:r>
        <w:rPr/>
        <w:t>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89"/>
      </w:tblGrid>
      <w:tr>
        <w:trPr>
          <w:trHeight w:val="1011" w:hRule="atLeast"/>
        </w:trPr>
        <w:tc>
          <w:tcPr>
            <w:tcW w:w="576" w:type="dxa"/>
          </w:tcPr>
          <w:p>
            <w:pPr>
              <w:pStyle w:val="TableParagraph"/>
              <w:spacing w:line="152" w:lineRule="exact"/>
              <w:ind w:left="50"/>
              <w:rPr>
                <w:sz w:val="21"/>
              </w:rPr>
            </w:pPr>
            <w:r>
              <w:rPr>
                <w:w w:val="100"/>
                <w:sz w:val="21"/>
              </w:rPr>
              <w:t> </w:t>
            </w:r>
          </w:p>
          <w:p>
            <w:pPr>
              <w:pStyle w:val="TableParagraph"/>
              <w:spacing w:line="320" w:lineRule="exact"/>
              <w:ind w:left="50"/>
              <w:rPr>
                <w:rFonts w:ascii="Microsoft JhengHei"/>
                <w:b/>
                <w:sz w:val="21"/>
              </w:rPr>
            </w:pPr>
            <w:r>
              <w:rPr>
                <w:rFonts w:ascii="Microsoft JhengHei"/>
                <w:b/>
                <w:w w:val="90"/>
                <w:sz w:val="21"/>
              </w:rPr>
              <w:t>9. 2</w:t>
            </w:r>
          </w:p>
        </w:tc>
        <w:tc>
          <w:tcPr>
            <w:tcW w:w="2054" w:type="dxa"/>
          </w:tcPr>
          <w:p>
            <w:pPr>
              <w:pStyle w:val="TableParagraph"/>
              <w:spacing w:line="152" w:lineRule="exact"/>
              <w:ind w:left="230"/>
              <w:rPr>
                <w:sz w:val="21"/>
              </w:rPr>
            </w:pPr>
            <w:r>
              <w:rPr>
                <w:w w:val="100"/>
                <w:sz w:val="21"/>
              </w:rPr>
              <w:t> </w:t>
            </w:r>
          </w:p>
          <w:p>
            <w:pPr>
              <w:pStyle w:val="TableParagraph"/>
              <w:spacing w:line="320"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389" w:type="dxa"/>
          </w:tcPr>
          <w:p>
            <w:pPr>
              <w:pStyle w:val="TableParagraph"/>
              <w:spacing w:line="152" w:lineRule="exact"/>
              <w:ind w:left="134"/>
              <w:rPr>
                <w:sz w:val="21"/>
              </w:rPr>
            </w:pPr>
            <w:r>
              <w:rPr>
                <w:w w:val="100"/>
                <w:sz w:val="21"/>
              </w:rPr>
              <w:t> </w:t>
            </w:r>
          </w:p>
          <w:p>
            <w:pPr>
              <w:pStyle w:val="TableParagraph"/>
              <w:spacing w:line="307" w:lineRule="exact"/>
              <w:ind w:left="134"/>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16</w:t>
            </w:r>
            <w:r>
              <w:rPr>
                <w:spacing w:val="-106"/>
                <w:w w:val="100"/>
                <w:sz w:val="21"/>
              </w:rPr>
              <w:t>）</w:t>
            </w:r>
            <w:r>
              <w:rPr>
                <w:spacing w:val="-6"/>
                <w:w w:val="100"/>
                <w:sz w:val="21"/>
              </w:rPr>
              <w:t>、欠交的保险费及其它</w:t>
            </w:r>
          </w:p>
          <w:p>
            <w:pPr>
              <w:pStyle w:val="TableParagraph"/>
              <w:spacing w:line="237" w:lineRule="auto"/>
              <w:ind w:left="134" w:right="107"/>
              <w:rPr>
                <w:sz w:val="21"/>
              </w:rPr>
            </w:pPr>
            <w:r>
              <w:rPr>
                <w:sz w:val="21"/>
              </w:rPr>
              <w:t>欠款。我们在给付各项保险金、退还现金价值或返还保险费时，会在扣除上述各项欠款后给付。 </w:t>
            </w:r>
          </w:p>
        </w:tc>
      </w:tr>
      <w:tr>
        <w:trPr>
          <w:trHeight w:val="231" w:hRule="atLeast"/>
        </w:trPr>
        <w:tc>
          <w:tcPr>
            <w:tcW w:w="576" w:type="dxa"/>
          </w:tcPr>
          <w:p>
            <w:pPr>
              <w:pStyle w:val="TableParagraph"/>
              <w:spacing w:line="204" w:lineRule="exact"/>
              <w:ind w:left="50"/>
              <w:rPr>
                <w:sz w:val="21"/>
              </w:rPr>
            </w:pPr>
            <w:r>
              <w:rPr>
                <w:w w:val="100"/>
                <w:sz w:val="21"/>
              </w:rPr>
              <w:t> </w:t>
            </w:r>
          </w:p>
        </w:tc>
        <w:tc>
          <w:tcPr>
            <w:tcW w:w="2054" w:type="dxa"/>
          </w:tcPr>
          <w:p>
            <w:pPr>
              <w:pStyle w:val="TableParagraph"/>
              <w:spacing w:line="204" w:lineRule="exact"/>
              <w:ind w:left="230"/>
              <w:rPr>
                <w:sz w:val="21"/>
              </w:rPr>
            </w:pPr>
            <w:r>
              <w:rPr>
                <w:w w:val="100"/>
                <w:sz w:val="21"/>
              </w:rPr>
              <w:t> </w:t>
            </w:r>
          </w:p>
        </w:tc>
        <w:tc>
          <w:tcPr>
            <w:tcW w:w="7389" w:type="dxa"/>
          </w:tcPr>
          <w:p>
            <w:pPr>
              <w:pStyle w:val="TableParagraph"/>
              <w:spacing w:line="204" w:lineRule="exact"/>
              <w:ind w:left="134"/>
              <w:rPr>
                <w:sz w:val="21"/>
              </w:rPr>
            </w:pPr>
            <w:r>
              <w:rPr>
                <w:w w:val="100"/>
                <w:sz w:val="21"/>
              </w:rPr>
              <w:t> </w:t>
            </w:r>
          </w:p>
        </w:tc>
      </w:tr>
      <w:tr>
        <w:trPr>
          <w:trHeight w:val="272" w:hRule="atLeast"/>
        </w:trPr>
        <w:tc>
          <w:tcPr>
            <w:tcW w:w="576" w:type="dxa"/>
          </w:tcPr>
          <w:p>
            <w:pPr>
              <w:pStyle w:val="TableParagraph"/>
              <w:spacing w:line="246" w:lineRule="exact"/>
              <w:ind w:left="50"/>
              <w:rPr>
                <w:rFonts w:ascii="Microsoft JhengHei"/>
                <w:b/>
                <w:sz w:val="21"/>
              </w:rPr>
            </w:pPr>
            <w:r>
              <w:rPr>
                <w:rFonts w:ascii="Microsoft JhengHei"/>
                <w:b/>
                <w:w w:val="90"/>
                <w:sz w:val="21"/>
              </w:rPr>
              <w:t>9. 3</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389" w:type="dxa"/>
          </w:tcPr>
          <w:p>
            <w:pPr>
              <w:pStyle w:val="TableParagraph"/>
              <w:spacing w:line="222" w:lineRule="exact"/>
              <w:ind w:left="134"/>
              <w:rPr>
                <w:sz w:val="21"/>
              </w:rPr>
            </w:pPr>
            <w:r>
              <w:rPr>
                <w:sz w:val="21"/>
              </w:rPr>
              <w:t>在本主险合同有效期内，经您与我们协商一致，可以变更本主险合同的有关内</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21" w:lineRule="exact"/>
              <w:ind w:left="134"/>
              <w:rPr>
                <w:sz w:val="21"/>
              </w:rPr>
            </w:pPr>
            <w:r>
              <w:rPr>
                <w:sz w:val="21"/>
              </w:rPr>
              <w:t>容。变更本主险合同的，应当由我们在保险单或者其他保险凭证上批注或者附</w:t>
            </w:r>
          </w:p>
        </w:tc>
      </w:tr>
      <w:tr>
        <w:trPr>
          <w:trHeight w:val="478" w:hRule="atLeast"/>
        </w:trPr>
        <w:tc>
          <w:tcPr>
            <w:tcW w:w="576" w:type="dxa"/>
          </w:tcPr>
          <w:p>
            <w:pPr>
              <w:pStyle w:val="TableParagraph"/>
              <w:spacing w:before="175"/>
              <w:ind w:left="50"/>
              <w:rPr>
                <w:sz w:val="21"/>
              </w:rPr>
            </w:pPr>
            <w:r>
              <w:rPr>
                <w:w w:val="100"/>
                <w:sz w:val="21"/>
              </w:rPr>
              <w:t> </w:t>
            </w:r>
          </w:p>
        </w:tc>
        <w:tc>
          <w:tcPr>
            <w:tcW w:w="2054" w:type="dxa"/>
          </w:tcPr>
          <w:p>
            <w:pPr>
              <w:pStyle w:val="TableParagraph"/>
              <w:spacing w:before="175"/>
              <w:ind w:left="230"/>
              <w:rPr>
                <w:sz w:val="21"/>
              </w:rPr>
            </w:pPr>
            <w:r>
              <w:rPr>
                <w:w w:val="100"/>
                <w:sz w:val="21"/>
              </w:rPr>
              <w:t> </w:t>
            </w:r>
          </w:p>
        </w:tc>
        <w:tc>
          <w:tcPr>
            <w:tcW w:w="7389" w:type="dxa"/>
          </w:tcPr>
          <w:p>
            <w:pPr>
              <w:pStyle w:val="TableParagraph"/>
              <w:spacing w:line="202" w:lineRule="exact"/>
              <w:ind w:left="134"/>
              <w:rPr>
                <w:sz w:val="21"/>
              </w:rPr>
            </w:pPr>
            <w:r>
              <w:rPr>
                <w:sz w:val="21"/>
              </w:rPr>
              <w:t>贴批单，也可以由您与我们订立书面的变更协议。 </w:t>
            </w:r>
          </w:p>
          <w:p>
            <w:pPr>
              <w:pStyle w:val="TableParagraph"/>
              <w:spacing w:line="248" w:lineRule="exact"/>
              <w:ind w:left="134"/>
              <w:rPr>
                <w:sz w:val="21"/>
              </w:rPr>
            </w:pPr>
            <w:r>
              <w:rPr>
                <w:w w:val="100"/>
                <w:sz w:val="21"/>
              </w:rPr>
              <w:t> </w:t>
            </w:r>
          </w:p>
        </w:tc>
      </w:tr>
      <w:tr>
        <w:trPr>
          <w:trHeight w:val="273" w:hRule="atLeast"/>
        </w:trPr>
        <w:tc>
          <w:tcPr>
            <w:tcW w:w="576" w:type="dxa"/>
          </w:tcPr>
          <w:p>
            <w:pPr>
              <w:pStyle w:val="TableParagraph"/>
              <w:spacing w:line="247" w:lineRule="exact"/>
              <w:ind w:left="50"/>
              <w:rPr>
                <w:rFonts w:ascii="Microsoft JhengHei"/>
                <w:b/>
                <w:sz w:val="21"/>
              </w:rPr>
            </w:pPr>
            <w:r>
              <w:rPr>
                <w:rFonts w:ascii="Microsoft JhengHei"/>
                <w:b/>
                <w:w w:val="90"/>
                <w:sz w:val="21"/>
              </w:rPr>
              <w:t>9. 4</w:t>
            </w:r>
          </w:p>
        </w:tc>
        <w:tc>
          <w:tcPr>
            <w:tcW w:w="2054" w:type="dxa"/>
          </w:tcPr>
          <w:p>
            <w:pPr>
              <w:pStyle w:val="TableParagraph"/>
              <w:spacing w:line="247"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89" w:type="dxa"/>
          </w:tcPr>
          <w:p>
            <w:pPr>
              <w:pStyle w:val="TableParagraph"/>
              <w:spacing w:line="223" w:lineRule="exact"/>
              <w:ind w:left="134"/>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21" w:lineRule="exact"/>
              <w:ind w:left="134"/>
              <w:rPr>
                <w:sz w:val="21"/>
              </w:rPr>
            </w:pPr>
            <w:r>
              <w:rPr>
                <w:sz w:val="21"/>
              </w:rPr>
              <w:t>时以书面形式或双方认可的其他形式通知我们。若您未以书面形式或双方认可</w:t>
            </w:r>
          </w:p>
        </w:tc>
      </w:tr>
      <w:tr>
        <w:trPr>
          <w:trHeight w:val="27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29" w:lineRule="exact"/>
              <w:ind w:left="134"/>
              <w:rPr>
                <w:sz w:val="21"/>
              </w:rPr>
            </w:pPr>
            <w:r>
              <w:rPr>
                <w:sz w:val="21"/>
              </w:rPr>
              <w:t>的其他形式通知我们，我们按本主险合同载明的最后住所或通讯地址所发送的</w:t>
            </w:r>
          </w:p>
        </w:tc>
      </w:tr>
      <w:tr>
        <w:trPr>
          <w:trHeight w:val="478" w:hRule="atLeast"/>
        </w:trPr>
        <w:tc>
          <w:tcPr>
            <w:tcW w:w="576" w:type="dxa"/>
          </w:tcPr>
          <w:p>
            <w:pPr>
              <w:pStyle w:val="TableParagraph"/>
              <w:spacing w:before="176"/>
              <w:ind w:left="50"/>
              <w:rPr>
                <w:sz w:val="21"/>
              </w:rPr>
            </w:pPr>
            <w:r>
              <w:rPr>
                <w:w w:val="100"/>
                <w:sz w:val="21"/>
              </w:rPr>
              <w:t> </w:t>
            </w:r>
          </w:p>
        </w:tc>
        <w:tc>
          <w:tcPr>
            <w:tcW w:w="2054" w:type="dxa"/>
          </w:tcPr>
          <w:p>
            <w:pPr>
              <w:pStyle w:val="TableParagraph"/>
              <w:spacing w:before="176"/>
              <w:ind w:left="230"/>
              <w:rPr>
                <w:sz w:val="21"/>
              </w:rPr>
            </w:pPr>
            <w:r>
              <w:rPr>
                <w:w w:val="100"/>
                <w:sz w:val="21"/>
              </w:rPr>
              <w:t> </w:t>
            </w:r>
          </w:p>
        </w:tc>
        <w:tc>
          <w:tcPr>
            <w:tcW w:w="7389" w:type="dxa"/>
          </w:tcPr>
          <w:p>
            <w:pPr>
              <w:pStyle w:val="TableParagraph"/>
              <w:spacing w:line="202" w:lineRule="exact"/>
              <w:ind w:left="134"/>
              <w:rPr>
                <w:sz w:val="21"/>
              </w:rPr>
            </w:pPr>
            <w:r>
              <w:rPr>
                <w:sz w:val="21"/>
              </w:rPr>
              <w:t>有关通知，均视为已送达给您。 </w:t>
            </w:r>
          </w:p>
          <w:p>
            <w:pPr>
              <w:pStyle w:val="TableParagraph"/>
              <w:spacing w:line="249" w:lineRule="exact"/>
              <w:ind w:left="134"/>
              <w:rPr>
                <w:sz w:val="21"/>
              </w:rPr>
            </w:pPr>
            <w:r>
              <w:rPr>
                <w:w w:val="100"/>
                <w:sz w:val="21"/>
              </w:rPr>
              <w:t> </w:t>
            </w:r>
          </w:p>
        </w:tc>
      </w:tr>
      <w:tr>
        <w:trPr>
          <w:trHeight w:val="272" w:hRule="atLeast"/>
        </w:trPr>
        <w:tc>
          <w:tcPr>
            <w:tcW w:w="576" w:type="dxa"/>
          </w:tcPr>
          <w:p>
            <w:pPr>
              <w:pStyle w:val="TableParagraph"/>
              <w:spacing w:line="246" w:lineRule="exact"/>
              <w:ind w:left="50"/>
              <w:rPr>
                <w:rFonts w:ascii="Microsoft JhengHei"/>
                <w:b/>
                <w:sz w:val="21"/>
              </w:rPr>
            </w:pPr>
            <w:r>
              <w:rPr>
                <w:rFonts w:ascii="Microsoft JhengHei"/>
                <w:b/>
                <w:w w:val="90"/>
                <w:sz w:val="21"/>
              </w:rPr>
              <w:t>9. 5</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89" w:type="dxa"/>
          </w:tcPr>
          <w:p>
            <w:pPr>
              <w:pStyle w:val="TableParagraph"/>
              <w:spacing w:line="246"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保险责任”中约定的合同效力终止情况之外，发生下述情况的，本主</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89"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58" w:lineRule="exact"/>
              <w:ind w:left="134"/>
              <w:rPr>
                <w:rFonts w:ascii="Microsoft JhengHei" w:eastAsia="Microsoft JhengHei" w:hint="eastAsia"/>
                <w:b/>
                <w:sz w:val="21"/>
              </w:rPr>
            </w:pPr>
            <w:r>
              <w:rPr>
                <w:rFonts w:ascii="Microsoft JhengHei" w:eastAsia="Microsoft JhengHei" w:hint="eastAsia"/>
                <w:b/>
                <w:w w:val="95"/>
                <w:sz w:val="21"/>
              </w:rPr>
              <w:t>（1）被保险人身故；</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49"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45" w:lineRule="exact"/>
              <w:ind w:left="134"/>
              <w:rPr>
                <w:rFonts w:ascii="Microsoft JhengHei" w:eastAsia="Microsoft JhengHei" w:hint="eastAsia"/>
                <w:b/>
                <w:sz w:val="21"/>
              </w:rPr>
            </w:pPr>
            <w:r>
              <w:rPr>
                <w:rFonts w:ascii="Microsoft JhengHei" w:eastAsia="Microsoft JhengHei" w:hint="eastAsia"/>
                <w:b/>
                <w:sz w:val="21"/>
              </w:rPr>
              <w:t>本主险合同由于上述情况在保险期间届满前终止的，我们将向您退还本主险合</w:t>
            </w:r>
          </w:p>
        </w:tc>
      </w:tr>
      <w:tr>
        <w:trPr>
          <w:trHeight w:val="478" w:hRule="atLeast"/>
        </w:trPr>
        <w:tc>
          <w:tcPr>
            <w:tcW w:w="576" w:type="dxa"/>
          </w:tcPr>
          <w:p>
            <w:pPr>
              <w:pStyle w:val="TableParagraph"/>
              <w:spacing w:before="176"/>
              <w:ind w:left="50"/>
              <w:rPr>
                <w:sz w:val="21"/>
              </w:rPr>
            </w:pPr>
            <w:r>
              <w:rPr>
                <w:w w:val="100"/>
                <w:sz w:val="21"/>
              </w:rPr>
              <w:t> </w:t>
            </w:r>
          </w:p>
        </w:tc>
        <w:tc>
          <w:tcPr>
            <w:tcW w:w="2054" w:type="dxa"/>
          </w:tcPr>
          <w:p>
            <w:pPr>
              <w:pStyle w:val="TableParagraph"/>
              <w:spacing w:before="176"/>
              <w:ind w:left="230"/>
              <w:rPr>
                <w:sz w:val="21"/>
              </w:rPr>
            </w:pPr>
            <w:r>
              <w:rPr>
                <w:w w:val="100"/>
                <w:sz w:val="21"/>
              </w:rPr>
              <w:t> </w:t>
            </w:r>
          </w:p>
        </w:tc>
        <w:tc>
          <w:tcPr>
            <w:tcW w:w="7389" w:type="dxa"/>
          </w:tcPr>
          <w:p>
            <w:pPr>
              <w:pStyle w:val="TableParagraph"/>
              <w:spacing w:line="214" w:lineRule="exact"/>
              <w:ind w:left="134"/>
              <w:rPr>
                <w:sz w:val="21"/>
              </w:rPr>
            </w:pPr>
            <w:r>
              <w:rPr>
                <w:rFonts w:ascii="Microsoft JhengHei" w:eastAsia="Microsoft JhengHei" w:hint="eastAsia"/>
                <w:b/>
                <w:sz w:val="21"/>
              </w:rPr>
              <w:t>同的现金价值。</w:t>
            </w:r>
            <w:r>
              <w:rPr>
                <w:sz w:val="21"/>
              </w:rPr>
              <w:t> </w:t>
            </w:r>
          </w:p>
          <w:p>
            <w:pPr>
              <w:pStyle w:val="TableParagraph"/>
              <w:spacing w:line="237" w:lineRule="exact"/>
              <w:ind w:left="134"/>
              <w:rPr>
                <w:sz w:val="21"/>
              </w:rPr>
            </w:pPr>
            <w:r>
              <w:rPr>
                <w:w w:val="100"/>
                <w:sz w:val="21"/>
              </w:rPr>
              <w:t> </w:t>
            </w:r>
          </w:p>
        </w:tc>
      </w:tr>
      <w:tr>
        <w:trPr>
          <w:trHeight w:val="273" w:hRule="atLeast"/>
        </w:trPr>
        <w:tc>
          <w:tcPr>
            <w:tcW w:w="576" w:type="dxa"/>
          </w:tcPr>
          <w:p>
            <w:pPr>
              <w:pStyle w:val="TableParagraph"/>
              <w:spacing w:line="246" w:lineRule="exact"/>
              <w:ind w:left="50"/>
              <w:rPr>
                <w:rFonts w:ascii="Microsoft JhengHei"/>
                <w:b/>
                <w:sz w:val="21"/>
              </w:rPr>
            </w:pPr>
            <w:r>
              <w:rPr>
                <w:rFonts w:ascii="Microsoft JhengHei"/>
                <w:b/>
                <w:w w:val="90"/>
                <w:sz w:val="21"/>
              </w:rPr>
              <w:t>9. 6</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89" w:type="dxa"/>
          </w:tcPr>
          <w:p>
            <w:pPr>
              <w:pStyle w:val="TableParagraph"/>
              <w:spacing w:line="222" w:lineRule="exact"/>
              <w:ind w:left="134"/>
              <w:rPr>
                <w:sz w:val="21"/>
              </w:rPr>
            </w:pPr>
            <w:r>
              <w:rPr>
                <w:sz w:val="21"/>
              </w:rPr>
              <w:t>本主险合同争议解决方式由您在投保时与我们约定，从下列两种方式中选择一</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22" w:lineRule="exact"/>
              <w:ind w:left="134"/>
              <w:rPr>
                <w:sz w:val="21"/>
              </w:rPr>
            </w:pPr>
            <w:r>
              <w:rPr>
                <w:sz w:val="21"/>
              </w:rPr>
              <w:t>种： </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tabs>
                <w:tab w:pos="7338" w:val="left" w:leader="none"/>
              </w:tabs>
              <w:spacing w:line="232" w:lineRule="exact"/>
              <w:ind w:left="134"/>
              <w:rPr>
                <w:rFonts w:ascii="Times New Roman" w:eastAsia="Times New Roman"/>
                <w:sz w:val="21"/>
              </w:rPr>
            </w:pPr>
            <w:r>
              <w:rPr>
                <w:w w:val="100"/>
                <w:sz w:val="21"/>
              </w:rPr>
              <w:t>（1</w:t>
            </w:r>
            <w:r>
              <w:rPr>
                <w:spacing w:val="-104"/>
                <w:w w:val="100"/>
                <w:sz w:val="21"/>
              </w:rPr>
              <w:t>）</w:t>
            </w:r>
            <w:r>
              <w:rPr>
                <w:spacing w:val="-3"/>
                <w:w w:val="100"/>
                <w:sz w:val="21"/>
              </w:rPr>
              <w:t>因</w:t>
            </w:r>
            <w:r>
              <w:rPr>
                <w:w w:val="100"/>
                <w:sz w:val="21"/>
              </w:rPr>
              <w:t>履</w:t>
            </w:r>
            <w:r>
              <w:rPr>
                <w:spacing w:val="-3"/>
                <w:w w:val="100"/>
                <w:sz w:val="21"/>
              </w:rPr>
              <w:t>行</w:t>
            </w:r>
            <w:r>
              <w:rPr>
                <w:w w:val="100"/>
                <w:sz w:val="21"/>
              </w:rPr>
              <w:t>本</w:t>
            </w:r>
            <w:r>
              <w:rPr>
                <w:spacing w:val="-3"/>
                <w:w w:val="100"/>
                <w:sz w:val="21"/>
              </w:rPr>
              <w:t>主</w:t>
            </w:r>
            <w:r>
              <w:rPr>
                <w:w w:val="100"/>
                <w:sz w:val="21"/>
              </w:rPr>
              <w:t>险</w:t>
            </w:r>
            <w:r>
              <w:rPr>
                <w:spacing w:val="-3"/>
                <w:w w:val="100"/>
                <w:sz w:val="21"/>
              </w:rPr>
              <w:t>合</w:t>
            </w:r>
            <w:r>
              <w:rPr>
                <w:w w:val="100"/>
                <w:sz w:val="21"/>
              </w:rPr>
              <w:t>同</w:t>
            </w:r>
            <w:r>
              <w:rPr>
                <w:spacing w:val="-3"/>
                <w:w w:val="100"/>
                <w:sz w:val="21"/>
              </w:rPr>
              <w:t>发</w:t>
            </w:r>
            <w:r>
              <w:rPr>
                <w:w w:val="100"/>
                <w:sz w:val="21"/>
              </w:rPr>
              <w:t>生的</w:t>
            </w:r>
            <w:r>
              <w:rPr>
                <w:spacing w:val="-3"/>
                <w:w w:val="100"/>
                <w:sz w:val="21"/>
              </w:rPr>
              <w:t>争</w:t>
            </w:r>
            <w:r>
              <w:rPr>
                <w:w w:val="100"/>
                <w:sz w:val="21"/>
              </w:rPr>
              <w:t>议</w:t>
            </w:r>
            <w:r>
              <w:rPr>
                <w:spacing w:val="-104"/>
                <w:w w:val="100"/>
                <w:sz w:val="21"/>
              </w:rPr>
              <w:t>，</w:t>
            </w:r>
            <w:r>
              <w:rPr>
                <w:spacing w:val="-3"/>
                <w:w w:val="100"/>
                <w:sz w:val="21"/>
              </w:rPr>
              <w:t>由</w:t>
            </w:r>
            <w:r>
              <w:rPr>
                <w:w w:val="100"/>
                <w:sz w:val="21"/>
              </w:rPr>
              <w:t>双</w:t>
            </w:r>
            <w:r>
              <w:rPr>
                <w:spacing w:val="-3"/>
                <w:w w:val="100"/>
                <w:sz w:val="21"/>
              </w:rPr>
              <w:t>方</w:t>
            </w:r>
            <w:r>
              <w:rPr>
                <w:w w:val="100"/>
                <w:sz w:val="21"/>
              </w:rPr>
              <w:t>协</w:t>
            </w:r>
            <w:r>
              <w:rPr>
                <w:spacing w:val="-3"/>
                <w:w w:val="100"/>
                <w:sz w:val="21"/>
              </w:rPr>
              <w:t>商</w:t>
            </w:r>
            <w:r>
              <w:rPr>
                <w:w w:val="100"/>
                <w:sz w:val="21"/>
              </w:rPr>
              <w:t>解</w:t>
            </w:r>
            <w:r>
              <w:rPr>
                <w:spacing w:val="-3"/>
                <w:w w:val="100"/>
                <w:sz w:val="21"/>
              </w:rPr>
              <w:t>决</w:t>
            </w:r>
            <w:r>
              <w:rPr>
                <w:spacing w:val="-104"/>
                <w:w w:val="100"/>
                <w:sz w:val="21"/>
              </w:rPr>
              <w:t>，</w:t>
            </w:r>
            <w:r>
              <w:rPr>
                <w:w w:val="100"/>
                <w:sz w:val="21"/>
              </w:rPr>
              <w:t>协商</w:t>
            </w:r>
            <w:r>
              <w:rPr>
                <w:spacing w:val="-3"/>
                <w:w w:val="100"/>
                <w:sz w:val="21"/>
              </w:rPr>
              <w:t>不</w:t>
            </w:r>
            <w:r>
              <w:rPr>
                <w:w w:val="100"/>
                <w:sz w:val="21"/>
              </w:rPr>
              <w:t>成的</w:t>
            </w:r>
            <w:r>
              <w:rPr>
                <w:spacing w:val="-106"/>
                <w:w w:val="100"/>
                <w:sz w:val="21"/>
              </w:rPr>
              <w:t>，</w:t>
            </w:r>
            <w:r>
              <w:rPr>
                <w:w w:val="100"/>
                <w:sz w:val="21"/>
              </w:rPr>
              <w:t>提</w:t>
            </w:r>
            <w:r>
              <w:rPr>
                <w:spacing w:val="-3"/>
                <w:w w:val="100"/>
                <w:sz w:val="21"/>
              </w:rPr>
              <w:t>交</w:t>
            </w:r>
            <w:r>
              <w:rPr>
                <w:rFonts w:ascii="Times New Roman" w:eastAsia="Times New Roman"/>
                <w:w w:val="100"/>
                <w:sz w:val="21"/>
                <w:u w:val="single"/>
              </w:rPr>
              <w:t> </w:t>
            </w:r>
            <w:r>
              <w:rPr>
                <w:rFonts w:ascii="Times New Roman" w:eastAsia="Times New Roman"/>
                <w:sz w:val="21"/>
                <w:u w:val="single"/>
              </w:rPr>
              <w:tab/>
            </w:r>
          </w:p>
        </w:tc>
      </w:tr>
    </w:tbl>
    <w:p>
      <w:pPr>
        <w:pStyle w:val="BodyText"/>
        <w:spacing w:line="241" w:lineRule="exact"/>
        <w:ind w:left="3472" w:right="5107"/>
        <w:jc w:val="center"/>
      </w:pPr>
      <w:r>
        <w:rPr/>
        <w:t>仲裁委员会仲裁； </w:t>
      </w:r>
    </w:p>
    <w:p>
      <w:pPr>
        <w:pStyle w:val="BodyText"/>
        <w:spacing w:line="272" w:lineRule="exact"/>
        <w:ind w:left="2934"/>
      </w:pPr>
      <w:r>
        <w:rPr/>
        <w:t>（2）因履行本主险合同发生的争议，由双方协商解决，协商不成的，依法向人</w:t>
      </w:r>
    </w:p>
    <w:p>
      <w:pPr>
        <w:pStyle w:val="BodyText"/>
        <w:spacing w:line="273" w:lineRule="exact" w:after="12"/>
        <w:ind w:left="3052" w:right="5107"/>
        <w:jc w:val="center"/>
      </w:pPr>
      <w:r>
        <w:rPr/>
        <w:t>民法院起诉。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938"/>
        <w:gridCol w:w="7394"/>
      </w:tblGrid>
      <w:tr>
        <w:trPr>
          <w:trHeight w:val="637" w:hRule="atLeast"/>
        </w:trPr>
        <w:tc>
          <w:tcPr>
            <w:tcW w:w="750" w:type="dxa"/>
            <w:tcBorders>
              <w:bottom w:val="single" w:sz="4" w:space="0" w:color="000000"/>
            </w:tcBorders>
          </w:tcPr>
          <w:p>
            <w:pPr>
              <w:pStyle w:val="TableParagraph"/>
              <w:spacing w:line="197"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w:t>
            </w:r>
          </w:p>
        </w:tc>
        <w:tc>
          <w:tcPr>
            <w:tcW w:w="1938" w:type="dxa"/>
            <w:tcBorders>
              <w:bottom w:val="single" w:sz="4" w:space="0" w:color="000000"/>
            </w:tcBorders>
          </w:tcPr>
          <w:p>
            <w:pPr>
              <w:pStyle w:val="TableParagraph"/>
              <w:spacing w:line="185" w:lineRule="exact"/>
              <w:ind w:left="114"/>
              <w:rPr>
                <w:sz w:val="21"/>
              </w:rPr>
            </w:pPr>
            <w:r>
              <w:rPr>
                <w:w w:val="100"/>
                <w:sz w:val="21"/>
              </w:rPr>
              <w:t> </w:t>
            </w:r>
          </w:p>
          <w:p>
            <w:pPr>
              <w:pStyle w:val="TableParagraph"/>
              <w:spacing w:line="391" w:lineRule="exact"/>
              <w:ind w:left="114"/>
              <w:rPr>
                <w:rFonts w:ascii="Microsoft JhengHei" w:eastAsia="Microsoft JhengHei" w:hint="eastAsia"/>
                <w:b/>
                <w:sz w:val="24"/>
              </w:rPr>
            </w:pPr>
            <w:r>
              <w:rPr>
                <w:rFonts w:ascii="Microsoft JhengHei" w:eastAsia="Microsoft JhengHei" w:hint="eastAsia"/>
                <w:b/>
                <w:sz w:val="24"/>
              </w:rPr>
              <w:t>释义</w:t>
            </w:r>
          </w:p>
        </w:tc>
        <w:tc>
          <w:tcPr>
            <w:tcW w:w="7394" w:type="dxa"/>
            <w:tcBorders>
              <w:bottom w:val="single" w:sz="4" w:space="0" w:color="000000"/>
            </w:tcBorders>
          </w:tcPr>
          <w:p>
            <w:pPr>
              <w:pStyle w:val="TableParagraph"/>
              <w:spacing w:line="211" w:lineRule="exact"/>
              <w:ind w:left="134"/>
              <w:rPr>
                <w:sz w:val="21"/>
              </w:rPr>
            </w:pPr>
            <w:r>
              <w:rPr>
                <w:w w:val="100"/>
                <w:sz w:val="21"/>
              </w:rPr>
              <w:t> </w:t>
            </w:r>
          </w:p>
        </w:tc>
      </w:tr>
      <w:tr>
        <w:trPr>
          <w:trHeight w:val="209" w:hRule="atLeast"/>
        </w:trPr>
        <w:tc>
          <w:tcPr>
            <w:tcW w:w="750" w:type="dxa"/>
            <w:tcBorders>
              <w:top w:val="single" w:sz="4" w:space="0" w:color="000000"/>
            </w:tcBorders>
          </w:tcPr>
          <w:p>
            <w:pPr>
              <w:pStyle w:val="TableParagraph"/>
              <w:spacing w:line="185" w:lineRule="exact"/>
              <w:ind w:left="107"/>
              <w:rPr>
                <w:sz w:val="21"/>
              </w:rPr>
            </w:pPr>
            <w:r>
              <w:rPr>
                <w:w w:val="100"/>
                <w:sz w:val="21"/>
              </w:rPr>
              <w:t> </w:t>
            </w:r>
          </w:p>
        </w:tc>
        <w:tc>
          <w:tcPr>
            <w:tcW w:w="1938" w:type="dxa"/>
            <w:tcBorders>
              <w:top w:val="single" w:sz="4" w:space="0" w:color="000000"/>
            </w:tcBorders>
          </w:tcPr>
          <w:p>
            <w:pPr>
              <w:pStyle w:val="TableParagraph"/>
              <w:spacing w:line="185" w:lineRule="exact"/>
              <w:ind w:left="114"/>
              <w:rPr>
                <w:sz w:val="21"/>
              </w:rPr>
            </w:pPr>
            <w:r>
              <w:rPr>
                <w:w w:val="100"/>
                <w:sz w:val="21"/>
              </w:rPr>
              <w:t> </w:t>
            </w:r>
          </w:p>
        </w:tc>
        <w:tc>
          <w:tcPr>
            <w:tcW w:w="7394" w:type="dxa"/>
            <w:tcBorders>
              <w:top w:val="single" w:sz="4" w:space="0" w:color="000000"/>
            </w:tcBorders>
          </w:tcPr>
          <w:p>
            <w:pPr>
              <w:pStyle w:val="TableParagraph"/>
              <w:spacing w:line="185" w:lineRule="exact"/>
              <w:ind w:left="134"/>
              <w:rPr>
                <w:sz w:val="21"/>
              </w:rPr>
            </w:pPr>
            <w:r>
              <w:rPr>
                <w:w w:val="100"/>
                <w:sz w:val="21"/>
              </w:rPr>
              <w:t> </w:t>
            </w:r>
          </w:p>
        </w:tc>
      </w:tr>
      <w:tr>
        <w:trPr>
          <w:trHeight w:val="273" w:hRule="atLeast"/>
        </w:trPr>
        <w:tc>
          <w:tcPr>
            <w:tcW w:w="750" w:type="dxa"/>
          </w:tcPr>
          <w:p>
            <w:pPr>
              <w:pStyle w:val="TableParagraph"/>
              <w:spacing w:line="254" w:lineRule="exact"/>
              <w:ind w:left="107"/>
              <w:rPr>
                <w:rFonts w:ascii="Microsoft JhengHei"/>
                <w:b/>
                <w:sz w:val="21"/>
              </w:rPr>
            </w:pPr>
            <w:r>
              <w:rPr>
                <w:rFonts w:ascii="Microsoft JhengHei"/>
                <w:b/>
                <w:w w:val="90"/>
                <w:sz w:val="21"/>
              </w:rPr>
              <w:t>10. 1</w:t>
            </w:r>
          </w:p>
        </w:tc>
        <w:tc>
          <w:tcPr>
            <w:tcW w:w="1938" w:type="dxa"/>
          </w:tcPr>
          <w:p>
            <w:pPr>
              <w:pStyle w:val="TableParagraph"/>
              <w:spacing w:line="254" w:lineRule="exact"/>
              <w:ind w:left="114"/>
              <w:rPr>
                <w:rFonts w:ascii="Microsoft JhengHei" w:eastAsia="Microsoft JhengHei" w:hint="eastAsia"/>
                <w:b/>
                <w:sz w:val="21"/>
              </w:rPr>
            </w:pPr>
            <w:r>
              <w:rPr>
                <w:rFonts w:ascii="Microsoft JhengHei" w:eastAsia="Microsoft JhengHei" w:hint="eastAsia"/>
                <w:b/>
                <w:sz w:val="21"/>
              </w:rPr>
              <w:t>保单年度</w:t>
            </w:r>
          </w:p>
        </w:tc>
        <w:tc>
          <w:tcPr>
            <w:tcW w:w="7394" w:type="dxa"/>
          </w:tcPr>
          <w:p>
            <w:pPr>
              <w:pStyle w:val="TableParagraph"/>
              <w:spacing w:line="254" w:lineRule="exact"/>
              <w:ind w:left="134"/>
              <w:rPr>
                <w:sz w:val="21"/>
              </w:rPr>
            </w:pPr>
            <w:r>
              <w:rPr>
                <w:sz w:val="21"/>
              </w:rPr>
              <w:t>指从本主险合同生效日或</w:t>
            </w:r>
            <w:r>
              <w:rPr>
                <w:rFonts w:ascii="Microsoft JhengHei" w:eastAsia="Microsoft JhengHei" w:hint="eastAsia"/>
                <w:b/>
                <w:sz w:val="21"/>
              </w:rPr>
              <w:t>保单周年日</w:t>
            </w:r>
            <w:r>
              <w:rPr>
                <w:sz w:val="21"/>
              </w:rPr>
              <w:t>（见 10.17）零时起至下一个保单周年日</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零时止的期间为一个保单年度。 </w:t>
            </w:r>
          </w:p>
        </w:tc>
      </w:tr>
      <w:tr>
        <w:trPr>
          <w:trHeight w:val="475" w:hRule="atLeast"/>
        </w:trPr>
        <w:tc>
          <w:tcPr>
            <w:tcW w:w="750" w:type="dxa"/>
          </w:tcPr>
          <w:p>
            <w:pPr>
              <w:pStyle w:val="TableParagraph"/>
              <w:spacing w:line="361" w:lineRule="exact" w:before="95"/>
              <w:ind w:left="107"/>
              <w:rPr>
                <w:rFonts w:ascii="Microsoft JhengHei"/>
                <w:b/>
                <w:sz w:val="21"/>
              </w:rPr>
            </w:pPr>
            <w:r>
              <w:rPr>
                <w:rFonts w:ascii="Microsoft JhengHei"/>
                <w:b/>
                <w:w w:val="90"/>
                <w:sz w:val="21"/>
              </w:rPr>
              <w:t>10. 2</w:t>
            </w:r>
          </w:p>
        </w:tc>
        <w:tc>
          <w:tcPr>
            <w:tcW w:w="1938" w:type="dxa"/>
          </w:tcPr>
          <w:p>
            <w:pPr>
              <w:pStyle w:val="TableParagraph"/>
              <w:spacing w:line="361" w:lineRule="exact" w:before="95"/>
              <w:ind w:left="114"/>
              <w:rPr>
                <w:rFonts w:ascii="Microsoft JhengHei" w:eastAsia="Microsoft JhengHei" w:hint="eastAsia"/>
                <w:b/>
                <w:sz w:val="21"/>
              </w:rPr>
            </w:pPr>
            <w:r>
              <w:rPr>
                <w:rFonts w:ascii="Microsoft JhengHei" w:eastAsia="Microsoft JhengHei" w:hint="eastAsia"/>
                <w:b/>
                <w:sz w:val="21"/>
              </w:rPr>
              <w:t>保险费约定支付日</w:t>
            </w:r>
          </w:p>
        </w:tc>
        <w:tc>
          <w:tcPr>
            <w:tcW w:w="7394" w:type="dxa"/>
          </w:tcPr>
          <w:p>
            <w:pPr>
              <w:pStyle w:val="TableParagraph"/>
              <w:spacing w:line="189" w:lineRule="exact"/>
              <w:ind w:left="134"/>
              <w:rPr>
                <w:sz w:val="21"/>
              </w:rPr>
            </w:pPr>
            <w:r>
              <w:rPr>
                <w:w w:val="100"/>
                <w:sz w:val="21"/>
              </w:rPr>
              <w:t> </w:t>
            </w:r>
          </w:p>
          <w:p>
            <w:pPr>
              <w:pStyle w:val="TableParagraph"/>
              <w:spacing w:line="248" w:lineRule="exact"/>
              <w:ind w:left="134"/>
              <w:rPr>
                <w:sz w:val="21"/>
              </w:rPr>
            </w:pPr>
            <w:r>
              <w:rPr>
                <w:sz w:val="21"/>
              </w:rPr>
              <w:t>指本主险合同生效日在每月、每季、每半年或每年（根据交费方式确定）的对</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应日。如果当月无对应的同一日，则以该月最后一日为对应日。 </w:t>
            </w:r>
          </w:p>
        </w:tc>
      </w:tr>
      <w:tr>
        <w:trPr>
          <w:trHeight w:val="474" w:hRule="atLeast"/>
        </w:trPr>
        <w:tc>
          <w:tcPr>
            <w:tcW w:w="750" w:type="dxa"/>
          </w:tcPr>
          <w:p>
            <w:pPr>
              <w:pStyle w:val="TableParagraph"/>
              <w:spacing w:line="359" w:lineRule="exact" w:before="95"/>
              <w:ind w:left="107"/>
              <w:rPr>
                <w:rFonts w:ascii="Microsoft JhengHei"/>
                <w:b/>
                <w:sz w:val="21"/>
              </w:rPr>
            </w:pPr>
            <w:r>
              <w:rPr>
                <w:rFonts w:ascii="Microsoft JhengHei"/>
                <w:b/>
                <w:w w:val="90"/>
                <w:sz w:val="21"/>
              </w:rPr>
              <w:t>10. 3</w:t>
            </w:r>
          </w:p>
        </w:tc>
        <w:tc>
          <w:tcPr>
            <w:tcW w:w="1938" w:type="dxa"/>
          </w:tcPr>
          <w:p>
            <w:pPr>
              <w:pStyle w:val="TableParagraph"/>
              <w:spacing w:line="359" w:lineRule="exact" w:before="95"/>
              <w:ind w:left="114"/>
              <w:rPr>
                <w:sz w:val="21"/>
              </w:rPr>
            </w:pPr>
            <w:r>
              <w:rPr>
                <w:rFonts w:ascii="Microsoft JhengHei" w:eastAsia="Microsoft JhengHei" w:hint="eastAsia"/>
                <w:b/>
                <w:sz w:val="21"/>
              </w:rPr>
              <w:t>周岁</w:t>
            </w:r>
            <w:r>
              <w:rPr>
                <w:sz w:val="21"/>
              </w:rPr>
              <w:t>  </w:t>
            </w:r>
          </w:p>
        </w:tc>
        <w:tc>
          <w:tcPr>
            <w:tcW w:w="7394" w:type="dxa"/>
          </w:tcPr>
          <w:p>
            <w:pPr>
              <w:pStyle w:val="TableParagraph"/>
              <w:spacing w:line="189" w:lineRule="exact"/>
              <w:ind w:left="134"/>
              <w:rPr>
                <w:sz w:val="21"/>
              </w:rPr>
            </w:pPr>
            <w:r>
              <w:rPr>
                <w:w w:val="100"/>
                <w:sz w:val="21"/>
              </w:rPr>
              <w:t> </w:t>
            </w:r>
          </w:p>
          <w:p>
            <w:pPr>
              <w:pStyle w:val="TableParagraph"/>
              <w:spacing w:line="248" w:lineRule="exact"/>
              <w:ind w:left="134"/>
              <w:rPr>
                <w:sz w:val="21"/>
              </w:rPr>
            </w:pPr>
            <w:r>
              <w:rPr>
                <w:sz w:val="21"/>
              </w:rPr>
              <w:t>指按有效身份证件中记载的出生日期计算的年龄，自出生之日起为 0 周岁，每</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经过 1 年增加 1 岁，不足 1 年的不计。 </w:t>
            </w:r>
          </w:p>
        </w:tc>
      </w:tr>
      <w:tr>
        <w:trPr>
          <w:trHeight w:val="231"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73" w:hRule="atLeast"/>
        </w:trPr>
        <w:tc>
          <w:tcPr>
            <w:tcW w:w="750" w:type="dxa"/>
          </w:tcPr>
          <w:p>
            <w:pPr>
              <w:pStyle w:val="TableParagraph"/>
              <w:spacing w:line="254" w:lineRule="exact"/>
              <w:ind w:left="107"/>
              <w:rPr>
                <w:sz w:val="21"/>
              </w:rPr>
            </w:pPr>
            <w:r>
              <w:rPr>
                <w:rFonts w:ascii="Microsoft JhengHei"/>
                <w:b/>
                <w:w w:val="90"/>
                <w:sz w:val="21"/>
              </w:rPr>
              <w:t>10. 4</w:t>
            </w:r>
            <w:r>
              <w:rPr>
                <w:rFonts w:ascii="Microsoft JhengHei"/>
                <w:b/>
                <w:sz w:val="21"/>
              </w:rPr>
              <w:t> </w:t>
            </w:r>
            <w:r>
              <w:rPr>
                <w:w w:val="100"/>
                <w:sz w:val="21"/>
              </w:rPr>
              <w:t> </w:t>
            </w:r>
          </w:p>
        </w:tc>
        <w:tc>
          <w:tcPr>
            <w:tcW w:w="1938" w:type="dxa"/>
          </w:tcPr>
          <w:p>
            <w:pPr>
              <w:pStyle w:val="TableParagraph"/>
              <w:spacing w:line="254"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394" w:type="dxa"/>
          </w:tcPr>
          <w:p>
            <w:pPr>
              <w:pStyle w:val="TableParagraph"/>
              <w:spacing w:line="235" w:lineRule="exact"/>
              <w:ind w:left="134"/>
              <w:rPr>
                <w:sz w:val="21"/>
              </w:rPr>
            </w:pPr>
            <w:r>
              <w:rPr>
                <w:sz w:val="21"/>
              </w:rPr>
              <w:t>指由政府主管部门规定的证明其身份的证件，如：居民身份证、按规定可使用</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的有效护照、军官证、警官证、士兵证、户口簿等证件。 </w:t>
            </w:r>
          </w:p>
        </w:tc>
      </w:tr>
      <w:tr>
        <w:trPr>
          <w:trHeight w:val="231"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51" w:hRule="atLeast"/>
        </w:trPr>
        <w:tc>
          <w:tcPr>
            <w:tcW w:w="750" w:type="dxa"/>
          </w:tcPr>
          <w:p>
            <w:pPr>
              <w:pStyle w:val="TableParagraph"/>
              <w:spacing w:line="232" w:lineRule="exact"/>
              <w:ind w:left="107"/>
              <w:rPr>
                <w:sz w:val="21"/>
              </w:rPr>
            </w:pPr>
            <w:r>
              <w:rPr>
                <w:rFonts w:ascii="Microsoft JhengHei"/>
                <w:b/>
                <w:w w:val="90"/>
                <w:sz w:val="21"/>
              </w:rPr>
              <w:t>10. 5</w:t>
            </w:r>
            <w:r>
              <w:rPr>
                <w:rFonts w:ascii="Microsoft JhengHei"/>
                <w:b/>
                <w:sz w:val="21"/>
              </w:rPr>
              <w:t> </w:t>
            </w:r>
            <w:r>
              <w:rPr>
                <w:w w:val="100"/>
                <w:sz w:val="21"/>
              </w:rPr>
              <w:t> </w:t>
            </w:r>
          </w:p>
        </w:tc>
        <w:tc>
          <w:tcPr>
            <w:tcW w:w="1938" w:type="dxa"/>
          </w:tcPr>
          <w:p>
            <w:pPr>
              <w:pStyle w:val="TableParagraph"/>
              <w:spacing w:line="232" w:lineRule="exact"/>
              <w:ind w:left="114"/>
              <w:rPr>
                <w:sz w:val="21"/>
              </w:rPr>
            </w:pPr>
            <w:r>
              <w:rPr>
                <w:rFonts w:ascii="Microsoft JhengHei" w:eastAsia="Microsoft JhengHei" w:hint="eastAsia"/>
                <w:b/>
                <w:sz w:val="21"/>
              </w:rPr>
              <w:t>医疗机构</w:t>
            </w:r>
            <w:r>
              <w:rPr>
                <w:sz w:val="21"/>
              </w:rPr>
              <w:t> </w:t>
            </w:r>
          </w:p>
        </w:tc>
        <w:tc>
          <w:tcPr>
            <w:tcW w:w="7394" w:type="dxa"/>
          </w:tcPr>
          <w:p>
            <w:pPr>
              <w:pStyle w:val="TableParagraph"/>
              <w:spacing w:line="232" w:lineRule="exact"/>
              <w:ind w:left="134"/>
              <w:rPr>
                <w:sz w:val="21"/>
              </w:rPr>
            </w:pPr>
            <w:r>
              <w:rPr>
                <w:sz w:val="21"/>
              </w:rPr>
              <w:t>除本主险合同另有约定外，指符合下列所有条件的机构： </w:t>
            </w:r>
          </w:p>
        </w:tc>
      </w:tr>
    </w:tbl>
    <w:p>
      <w:pPr>
        <w:spacing w:after="0" w:line="232" w:lineRule="exact"/>
        <w:rPr>
          <w:sz w:val="21"/>
        </w:rPr>
        <w:sectPr>
          <w:pgSz w:w="11900" w:h="16840"/>
          <w:pgMar w:header="0" w:footer="676" w:top="1200" w:bottom="860" w:left="800" w:right="800"/>
        </w:sectPr>
      </w:pPr>
    </w:p>
    <w:p>
      <w:pPr>
        <w:pStyle w:val="BodyText"/>
        <w:spacing w:line="237" w:lineRule="auto" w:before="10"/>
        <w:ind w:left="3340" w:right="203" w:hanging="526"/>
        <w:jc w:val="both"/>
      </w:pPr>
      <w:r>
        <w:rPr/>
        <w:t>（1）</w:t>
      </w:r>
      <w:r>
        <w:rPr>
          <w:spacing w:val="-3"/>
        </w:rPr>
        <w:t>指经国家卫生行政部门评定的二级或二级以上综合医院或专科医院(前述</w:t>
      </w:r>
      <w:r>
        <w:rPr>
          <w:spacing w:val="-8"/>
        </w:rPr>
        <w:t>综合医院和专科医院中的观察室、联合病床、康复病房、家庭长期护理病</w:t>
      </w:r>
      <w:r>
        <w:rPr>
          <w:spacing w:val="-2"/>
        </w:rPr>
        <w:t>床除外)；</w:t>
      </w:r>
      <w:r>
        <w:rPr/>
        <w:t> </w:t>
      </w:r>
    </w:p>
    <w:p>
      <w:pPr>
        <w:pStyle w:val="BodyText"/>
        <w:spacing w:line="271" w:lineRule="exact"/>
        <w:ind w:left="2814"/>
      </w:pPr>
      <w:r>
        <w:rPr/>
        <w:t>（2）不包括精神病院、私人诊所，以及作为康复、疗养、护理、戒酒、戒毒或</w:t>
      </w:r>
    </w:p>
    <w:p>
      <w:pPr>
        <w:pStyle w:val="BodyText"/>
        <w:spacing w:line="274" w:lineRule="exact"/>
        <w:ind w:left="3340"/>
      </w:pPr>
      <w:r>
        <w:rPr/>
        <w:t>类似的医疗机构。 </w:t>
      </w:r>
    </w:p>
    <w:p>
      <w:pPr>
        <w:pStyle w:val="BodyText"/>
        <w:spacing w:line="176" w:lineRule="exact"/>
        <w:ind w:left="2814"/>
      </w:pPr>
      <w:r>
        <w:rPr>
          <w:w w:val="100"/>
        </w:rPr>
        <w:t> </w:t>
      </w:r>
    </w:p>
    <w:p>
      <w:pPr>
        <w:pStyle w:val="BodyText"/>
        <w:tabs>
          <w:tab w:pos="855" w:val="left" w:leader="none"/>
          <w:tab w:pos="2814" w:val="left" w:leader="none"/>
        </w:tabs>
        <w:spacing w:line="218" w:lineRule="auto"/>
        <w:ind w:left="2814" w:right="218" w:hanging="2715"/>
      </w:pPr>
      <w:r>
        <w:rPr>
          <w:rFonts w:ascii="Microsoft JhengHei" w:hAnsi="Microsoft JhengHei" w:eastAsia="Microsoft JhengHei" w:hint="eastAsia"/>
          <w:b/>
        </w:rPr>
        <w:t>10.</w:t>
      </w:r>
      <w:r>
        <w:rPr>
          <w:rFonts w:ascii="Microsoft JhengHei" w:hAnsi="Microsoft JhengHei" w:eastAsia="Microsoft JhengHei" w:hint="eastAsia"/>
          <w:b/>
          <w:spacing w:val="-35"/>
        </w:rPr>
        <w:t> </w:t>
      </w:r>
      <w:r>
        <w:rPr>
          <w:rFonts w:ascii="Microsoft JhengHei" w:hAnsi="Microsoft JhengHei" w:eastAsia="Microsoft JhengHei" w:hint="eastAsia"/>
          <w:b/>
        </w:rPr>
        <w:t>6</w:t>
        <w:tab/>
        <w:t>重大疾病</w:t>
        <w:tab/>
      </w:r>
      <w:r>
        <w:rPr/>
        <w:t>“一</w:t>
      </w:r>
      <w:r>
        <w:rPr>
          <w:spacing w:val="-3"/>
        </w:rPr>
        <w:t>”</w:t>
      </w:r>
      <w:r>
        <w:rPr/>
        <w:t>至</w:t>
      </w:r>
      <w:r>
        <w:rPr>
          <w:spacing w:val="-3"/>
        </w:rPr>
        <w:t>“</w:t>
      </w:r>
      <w:r>
        <w:rPr/>
        <w:t>二</w:t>
      </w:r>
      <w:r>
        <w:rPr>
          <w:spacing w:val="-3"/>
        </w:rPr>
        <w:t>十</w:t>
      </w:r>
      <w:r>
        <w:rPr/>
        <w:t>五</w:t>
      </w:r>
      <w:r>
        <w:rPr>
          <w:spacing w:val="-3"/>
        </w:rPr>
        <w:t>”</w:t>
      </w:r>
      <w:r>
        <w:rPr/>
        <w:t>项</w:t>
      </w:r>
      <w:r>
        <w:rPr>
          <w:spacing w:val="-3"/>
        </w:rPr>
        <w:t>所</w:t>
      </w:r>
      <w:r>
        <w:rPr/>
        <w:t>列重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w:t>
      </w:r>
      <w:r>
        <w:rPr/>
        <w:t>会</w:t>
      </w:r>
      <w:r>
        <w:rPr>
          <w:spacing w:val="-3"/>
        </w:rPr>
        <w:t>统</w:t>
      </w:r>
      <w:r>
        <w:rPr/>
        <w:t>一 制定</w:t>
      </w:r>
      <w:r>
        <w:rPr>
          <w:spacing w:val="-3"/>
        </w:rPr>
        <w:t>（</w:t>
      </w:r>
      <w:r>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spacing w:val="-3"/>
        </w:rPr>
        <w:t>。</w:t>
      </w:r>
      <w:r>
        <w:rPr/>
        <w:t>为了</w:t>
      </w:r>
      <w:r>
        <w:rPr>
          <w:spacing w:val="-3"/>
        </w:rPr>
        <w:t>扩</w:t>
      </w:r>
      <w:r>
        <w:rPr/>
        <w:t>大</w:t>
      </w:r>
      <w:r>
        <w:rPr>
          <w:spacing w:val="-3"/>
        </w:rPr>
        <w:t>本</w:t>
      </w:r>
      <w:r>
        <w:rPr/>
        <w:t>主</w:t>
      </w:r>
      <w:r>
        <w:rPr>
          <w:spacing w:val="-3"/>
        </w:rPr>
        <w:t>险</w:t>
      </w:r>
      <w:r>
        <w:rPr/>
        <w:t>合</w:t>
      </w:r>
      <w:r>
        <w:rPr>
          <w:spacing w:val="-3"/>
        </w:rPr>
        <w:t>同</w:t>
      </w:r>
      <w:r>
        <w:rPr/>
        <w:t>的</w:t>
      </w:r>
      <w:r>
        <w:rPr>
          <w:spacing w:val="-3"/>
        </w:rPr>
        <w:t>保</w:t>
      </w:r>
      <w:r>
        <w:rPr/>
        <w:t>障</w:t>
      </w:r>
    </w:p>
    <w:p>
      <w:pPr>
        <w:pStyle w:val="BodyText"/>
        <w:spacing w:line="272" w:lineRule="exact" w:before="12"/>
        <w:ind w:left="2814"/>
        <w:jc w:val="both"/>
      </w:pPr>
      <w:r>
        <w:rPr>
          <w:spacing w:val="-17"/>
          <w:w w:val="100"/>
        </w:rPr>
        <w:t>范围，“二十六”至“三十五”项所列重大疾病名称及疾病定义由我们自行制定</w:t>
      </w:r>
    </w:p>
    <w:p>
      <w:pPr>
        <w:pStyle w:val="BodyText"/>
        <w:spacing w:line="239" w:lineRule="exact"/>
        <w:ind w:left="2814"/>
        <w:jc w:val="both"/>
      </w:pPr>
      <w:r>
        <w:rPr/>
        <w:t>使用。</w:t>
      </w:r>
    </w:p>
    <w:p>
      <w:pPr>
        <w:pStyle w:val="BodyText"/>
        <w:spacing w:line="318" w:lineRule="exact"/>
        <w:ind w:left="2814"/>
        <w:jc w:val="both"/>
      </w:pPr>
      <w:r>
        <w:rPr/>
        <w:t>被保险人发生符合以下疾病定义所述条件的疾病，应当由</w:t>
      </w:r>
      <w:r>
        <w:rPr>
          <w:rFonts w:ascii="Microsoft JhengHei" w:eastAsia="Microsoft JhengHei" w:hint="eastAsia"/>
          <w:b/>
        </w:rPr>
        <w:t>专科医生</w:t>
      </w:r>
      <w:r>
        <w:rPr/>
        <w:t>（见 10.18）</w:t>
      </w:r>
    </w:p>
    <w:p>
      <w:pPr>
        <w:pStyle w:val="BodyText"/>
        <w:spacing w:line="260" w:lineRule="exact"/>
        <w:ind w:left="2814"/>
        <w:jc w:val="both"/>
      </w:pPr>
      <w:r>
        <w:rPr/>
        <w:t>明确诊断。</w:t>
      </w:r>
    </w:p>
    <w:p>
      <w:pPr>
        <w:pStyle w:val="BodyText"/>
        <w:spacing w:line="272" w:lineRule="exact"/>
        <w:ind w:left="2814"/>
        <w:jc w:val="both"/>
      </w:pPr>
      <w:r>
        <w:rPr/>
        <w:t>一、恶性肿瘤  </w:t>
      </w:r>
    </w:p>
    <w:p>
      <w:pPr>
        <w:pStyle w:val="BodyText"/>
        <w:spacing w:line="237" w:lineRule="auto" w:before="1"/>
        <w:ind w:left="281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1" w:lineRule="exact"/>
        <w:ind w:left="2814"/>
        <w:jc w:val="both"/>
      </w:pPr>
      <w:r>
        <w:rPr/>
        <w:t>（ICD-10）的恶性肿瘤范畴。  </w:t>
      </w:r>
    </w:p>
    <w:p>
      <w:pPr>
        <w:pStyle w:val="BodyText"/>
        <w:spacing w:line="272" w:lineRule="exact"/>
        <w:ind w:left="2814"/>
        <w:jc w:val="both"/>
      </w:pPr>
      <w:r>
        <w:rPr/>
        <w:t>下列疾病不在保障范围内：  </w:t>
      </w:r>
    </w:p>
    <w:p>
      <w:pPr>
        <w:pStyle w:val="BodyText"/>
        <w:spacing w:line="272" w:lineRule="exact"/>
        <w:ind w:left="2814"/>
        <w:jc w:val="both"/>
      </w:pPr>
      <w:r>
        <w:rPr/>
        <w:t>（1）原位癌；  </w:t>
      </w:r>
    </w:p>
    <w:p>
      <w:pPr>
        <w:pStyle w:val="BodyText"/>
        <w:spacing w:line="272" w:lineRule="exact"/>
        <w:ind w:left="2814"/>
        <w:jc w:val="both"/>
      </w:pPr>
      <w:r>
        <w:rPr/>
        <w:t>（2）相当于Binet分期方案A期程度的慢性淋巴细胞白血病；  </w:t>
      </w:r>
    </w:p>
    <w:p>
      <w:pPr>
        <w:pStyle w:val="BodyText"/>
        <w:spacing w:line="272" w:lineRule="exact"/>
        <w:ind w:left="2814"/>
        <w:jc w:val="both"/>
      </w:pPr>
      <w:r>
        <w:rPr/>
        <w:t>（3）相当于Ann Arbor分期方案I期程度的何杰金氏病；  </w:t>
      </w:r>
    </w:p>
    <w:p>
      <w:pPr>
        <w:pStyle w:val="BodyText"/>
        <w:spacing w:line="272" w:lineRule="exact"/>
        <w:ind w:left="2814"/>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line="272" w:lineRule="exact"/>
        <w:ind w:left="2814"/>
        <w:jc w:val="both"/>
      </w:pPr>
      <w:r>
        <w:rPr/>
        <w:t>（5）TNM分期为T1N0M0期或更轻分期的前列腺癌；  </w:t>
      </w:r>
    </w:p>
    <w:p>
      <w:pPr>
        <w:pStyle w:val="BodyText"/>
        <w:spacing w:line="272" w:lineRule="exact"/>
        <w:ind w:left="2814"/>
        <w:jc w:val="both"/>
      </w:pPr>
      <w:r>
        <w:rPr/>
        <w:t>（6）感染艾滋病病毒或患艾滋病期间所患恶性肿瘤。  </w:t>
      </w:r>
    </w:p>
    <w:p>
      <w:pPr>
        <w:pStyle w:val="BodyText"/>
        <w:spacing w:line="272" w:lineRule="exact"/>
        <w:ind w:left="2814"/>
        <w:jc w:val="both"/>
      </w:pPr>
      <w:r>
        <w:rPr/>
        <w:t>二、急性心肌梗塞  </w:t>
      </w:r>
    </w:p>
    <w:p>
      <w:pPr>
        <w:pStyle w:val="BodyText"/>
        <w:spacing w:line="272" w:lineRule="exact"/>
        <w:ind w:left="2814"/>
        <w:jc w:val="both"/>
      </w:pPr>
      <w:r>
        <w:rPr/>
        <w:t>指因冠状动脉阻塞导致的相应区域供血不足造成部分心肌坏死。须满足下列至</w:t>
      </w:r>
    </w:p>
    <w:p>
      <w:pPr>
        <w:pStyle w:val="BodyText"/>
        <w:spacing w:line="272" w:lineRule="exact"/>
        <w:ind w:left="2814"/>
        <w:jc w:val="both"/>
      </w:pPr>
      <w:r>
        <w:rPr/>
        <w:t>少三项条件：  </w:t>
      </w:r>
    </w:p>
    <w:p>
      <w:pPr>
        <w:pStyle w:val="BodyText"/>
        <w:spacing w:line="272" w:lineRule="exact"/>
        <w:ind w:left="2814"/>
        <w:jc w:val="both"/>
      </w:pPr>
      <w:r>
        <w:rPr/>
        <w:t>（1）典型临床表现，例如急性胸痛等；  </w:t>
      </w:r>
    </w:p>
    <w:p>
      <w:pPr>
        <w:pStyle w:val="BodyText"/>
        <w:spacing w:line="272" w:lineRule="exact"/>
        <w:ind w:left="2814"/>
        <w:jc w:val="both"/>
      </w:pPr>
      <w:r>
        <w:rPr/>
        <w:t>（2）新近的心电图改变提示急性心肌梗塞；  </w:t>
      </w:r>
    </w:p>
    <w:p>
      <w:pPr>
        <w:pStyle w:val="BodyText"/>
        <w:spacing w:line="272" w:lineRule="exact"/>
        <w:ind w:left="2814"/>
        <w:jc w:val="both"/>
      </w:pPr>
      <w:r>
        <w:rPr/>
        <w:t>（3）心肌酶或肌钙蛋白有诊断意义的升高，或呈符合急性心肌梗塞的动态性变</w:t>
      </w:r>
    </w:p>
    <w:p>
      <w:pPr>
        <w:pStyle w:val="BodyText"/>
        <w:spacing w:line="272" w:lineRule="exact"/>
        <w:ind w:left="3340"/>
      </w:pPr>
      <w:r>
        <w:rPr/>
        <w:t>化；  </w:t>
      </w:r>
    </w:p>
    <w:p>
      <w:pPr>
        <w:pStyle w:val="BodyText"/>
        <w:spacing w:line="272" w:lineRule="exact"/>
        <w:ind w:left="2814"/>
        <w:jc w:val="both"/>
      </w:pPr>
      <w:r>
        <w:rPr/>
        <w:t>（4）发病90天后，经检查证实左心室功能降低，如左心室射血分数低于50%。 </w:t>
      </w:r>
    </w:p>
    <w:p>
      <w:pPr>
        <w:pStyle w:val="BodyText"/>
        <w:spacing w:line="272" w:lineRule="exact"/>
        <w:ind w:left="2814"/>
        <w:jc w:val="both"/>
      </w:pPr>
      <w:r>
        <w:rPr/>
        <w:t>三、脑中风后遗症  </w:t>
      </w:r>
    </w:p>
    <w:p>
      <w:pPr>
        <w:pStyle w:val="BodyText"/>
        <w:spacing w:line="237" w:lineRule="auto" w:before="2"/>
        <w:ind w:left="2814" w:right="211"/>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248" w:lineRule="exact" w:before="0"/>
        <w:ind w:left="281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.19</w:t>
      </w:r>
      <w:r>
        <w:rPr>
          <w:spacing w:val="-108"/>
          <w:w w:val="100"/>
          <w:sz w:val="21"/>
        </w:rPr>
        <w:t>）</w:t>
      </w:r>
      <w:r>
        <w:rPr>
          <w:w w:val="100"/>
          <w:sz w:val="21"/>
        </w:rPr>
        <w:t>；</w:t>
      </w:r>
      <w:r>
        <w:rPr>
          <w:spacing w:val="-3"/>
          <w:w w:val="100"/>
          <w:sz w:val="21"/>
        </w:rPr>
        <w:t>  </w:t>
      </w:r>
    </w:p>
    <w:p>
      <w:pPr>
        <w:spacing w:line="272" w:lineRule="exact" w:before="0"/>
        <w:ind w:left="281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.20</w:t>
      </w:r>
      <w:r>
        <w:rPr>
          <w:spacing w:val="-108"/>
          <w:w w:val="100"/>
          <w:sz w:val="21"/>
        </w:rPr>
        <w:t>）</w:t>
      </w:r>
      <w:r>
        <w:rPr>
          <w:w w:val="100"/>
          <w:sz w:val="21"/>
        </w:rPr>
        <w:t>；</w:t>
      </w:r>
      <w:r>
        <w:rPr>
          <w:spacing w:val="-3"/>
          <w:w w:val="100"/>
          <w:sz w:val="21"/>
        </w:rPr>
        <w:t>  </w:t>
      </w:r>
    </w:p>
    <w:p>
      <w:pPr>
        <w:spacing w:line="306" w:lineRule="exact" w:before="0"/>
        <w:ind w:left="281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（见10.21）</w:t>
      </w:r>
    </w:p>
    <w:p>
      <w:pPr>
        <w:pStyle w:val="BodyText"/>
        <w:spacing w:line="260" w:lineRule="exact"/>
        <w:ind w:left="3339"/>
      </w:pPr>
      <w:r>
        <w:rPr/>
        <w:t>中的三项或三项以上。  </w:t>
      </w:r>
    </w:p>
    <w:p>
      <w:pPr>
        <w:pStyle w:val="BodyText"/>
        <w:spacing w:line="272" w:lineRule="exact"/>
        <w:ind w:left="2814"/>
        <w:jc w:val="both"/>
      </w:pPr>
      <w:r>
        <w:rPr/>
        <w:t>四、重大器官移植术或造血干细胞移植术  </w:t>
      </w:r>
    </w:p>
    <w:p>
      <w:pPr>
        <w:pStyle w:val="BodyText"/>
        <w:ind w:left="2814" w:right="218"/>
      </w:pPr>
      <w:r>
        <w:rPr/>
        <w:t>重大器官移植术，指因相应器官功能衰竭，已经实施了肾脏、肝脏、心脏或肺脏的异体移植手术。  </w:t>
      </w:r>
    </w:p>
    <w:p>
      <w:pPr>
        <w:pStyle w:val="BodyText"/>
        <w:spacing w:line="237" w:lineRule="auto"/>
        <w:ind w:left="2814"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2" w:lineRule="exact"/>
        <w:ind w:left="2814"/>
      </w:pPr>
      <w:r>
        <w:rPr/>
        <w:t>五、冠状动脉搭桥术（或称冠状动脉旁路移植术）  </w:t>
      </w:r>
    </w:p>
    <w:p>
      <w:pPr>
        <w:pStyle w:val="BodyText"/>
        <w:spacing w:line="237" w:lineRule="auto" w:before="1"/>
        <w:ind w:left="2814" w:right="107"/>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spacing w:line="272" w:lineRule="exact"/>
        <w:ind w:left="2814"/>
      </w:pPr>
      <w:r>
        <w:rPr/>
        <w:t>六、终末期肾病（或称慢性肾功能衰竭尿毒症期）  </w:t>
      </w:r>
    </w:p>
    <w:p>
      <w:pPr>
        <w:pStyle w:val="BodyText"/>
        <w:ind w:left="2814" w:right="218"/>
      </w:pPr>
      <w:r>
        <w:rPr/>
        <w:t>指双肾功能慢性不可逆性衰竭，达到尿毒症期，经诊断后已经进行了至少90天的规律性透析治疗或实施了肾脏移植手术。  </w:t>
      </w:r>
    </w:p>
    <w:p>
      <w:pPr>
        <w:spacing w:after="0"/>
        <w:sectPr>
          <w:pgSz w:w="11900" w:h="16840"/>
          <w:pgMar w:header="0" w:footer="676" w:top="1160" w:bottom="860" w:left="920" w:right="800"/>
        </w:sectPr>
      </w:pPr>
    </w:p>
    <w:p>
      <w:pPr>
        <w:pStyle w:val="BodyText"/>
        <w:spacing w:line="273" w:lineRule="exact" w:before="7"/>
      </w:pPr>
      <w:r>
        <w:rPr/>
        <w:t>七、多个肢体缺失  </w:t>
      </w:r>
    </w:p>
    <w:p>
      <w:pPr>
        <w:pStyle w:val="BodyText"/>
        <w:spacing w:line="272" w:lineRule="exact"/>
      </w:pPr>
      <w:r>
        <w:rPr/>
        <w:t>指因疾病或意外伤害导致两个或两个以上肢体自腕关节或踝关节近端（靠近躯</w:t>
      </w:r>
    </w:p>
    <w:p>
      <w:pPr>
        <w:pStyle w:val="BodyText"/>
        <w:spacing w:line="272" w:lineRule="exact"/>
      </w:pPr>
      <w:r>
        <w:rPr/>
        <w:t>干端）以上完全性断离。  </w:t>
      </w:r>
    </w:p>
    <w:p>
      <w:pPr>
        <w:pStyle w:val="BodyText"/>
        <w:spacing w:line="272" w:lineRule="exact"/>
      </w:pPr>
      <w:r>
        <w:rPr/>
        <w:t>八、急性或亚急性重症肝炎  </w:t>
      </w:r>
    </w:p>
    <w:p>
      <w:pPr>
        <w:pStyle w:val="BodyText"/>
        <w:spacing w:line="272" w:lineRule="exact"/>
      </w:pPr>
      <w:r>
        <w:rPr/>
        <w:t>指因肝炎病毒感染引起肝脏组织弥漫性坏死，导致急性肝功能衰竭，且经血清</w:t>
      </w:r>
    </w:p>
    <w:p>
      <w:pPr>
        <w:pStyle w:val="BodyText"/>
        <w:spacing w:line="272" w:lineRule="exact"/>
      </w:pPr>
      <w:r>
        <w:rPr/>
        <w:t>学或病毒学检查证实，并须满足下列全部条件：  </w:t>
      </w:r>
    </w:p>
    <w:p>
      <w:pPr>
        <w:pStyle w:val="BodyText"/>
        <w:spacing w:line="272" w:lineRule="exact"/>
      </w:pPr>
      <w:r>
        <w:rPr/>
        <w:t>（1）重度黄疸或黄疸迅速加重；  </w:t>
      </w:r>
    </w:p>
    <w:p>
      <w:pPr>
        <w:pStyle w:val="BodyText"/>
        <w:spacing w:line="272" w:lineRule="exact"/>
      </w:pPr>
      <w:r>
        <w:rPr/>
        <w:t>（2）肝性脑病；  </w:t>
      </w:r>
    </w:p>
    <w:p>
      <w:pPr>
        <w:pStyle w:val="BodyText"/>
        <w:spacing w:line="272" w:lineRule="exact"/>
      </w:pPr>
      <w:r>
        <w:rPr/>
        <w:t>（3）B超或其它影像学检查显示肝脏体积急速萎缩；  </w:t>
      </w:r>
    </w:p>
    <w:p>
      <w:pPr>
        <w:pStyle w:val="BodyText"/>
        <w:spacing w:line="272" w:lineRule="exact"/>
      </w:pPr>
      <w:r>
        <w:rPr/>
        <w:t>（4）肝功能指标进行性恶化。  </w:t>
      </w:r>
    </w:p>
    <w:p>
      <w:pPr>
        <w:pStyle w:val="BodyText"/>
        <w:spacing w:line="272" w:lineRule="exact"/>
      </w:pPr>
      <w:r>
        <w:rPr/>
        <w:t>九、良性脑肿瘤  </w:t>
      </w:r>
    </w:p>
    <w:p>
      <w:pPr>
        <w:pStyle w:val="BodyText"/>
        <w:spacing w:line="237" w:lineRule="auto"/>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line="271" w:lineRule="exact"/>
      </w:pPr>
      <w:r>
        <w:rPr/>
        <w:t>（1）实际实施了开颅进行的脑肿瘤完全切除或部分切除的手术；  </w:t>
      </w:r>
    </w:p>
    <w:p>
      <w:pPr>
        <w:pStyle w:val="BodyText"/>
        <w:spacing w:line="272" w:lineRule="exact"/>
      </w:pPr>
      <w:r>
        <w:rPr/>
        <w:t>（2）实际实施了对脑肿瘤进行的放射治疗。  </w:t>
      </w:r>
    </w:p>
    <w:p>
      <w:pPr>
        <w:pStyle w:val="BodyText"/>
        <w:spacing w:line="272" w:lineRule="exact"/>
      </w:pPr>
      <w:r>
        <w:rPr/>
        <w:t>脑垂体瘤、脑囊肿、脑血管性疾病不在保障范围内。  </w:t>
      </w:r>
    </w:p>
    <w:p>
      <w:pPr>
        <w:pStyle w:val="BodyText"/>
        <w:spacing w:line="272" w:lineRule="exact"/>
      </w:pPr>
      <w:r>
        <w:rPr/>
        <w:t>十、慢性肝功能衰竭失代偿期  </w:t>
      </w:r>
    </w:p>
    <w:p>
      <w:pPr>
        <w:pStyle w:val="BodyText"/>
        <w:spacing w:line="272" w:lineRule="exact"/>
      </w:pPr>
      <w:r>
        <w:rPr/>
        <w:t>指因慢性肝脏疾病导致肝功能衰竭。须满足下列全部条件：  </w:t>
      </w:r>
    </w:p>
    <w:p>
      <w:pPr>
        <w:pStyle w:val="BodyText"/>
        <w:spacing w:line="272" w:lineRule="exact"/>
      </w:pPr>
      <w:r>
        <w:rPr/>
        <w:t>（1）持续性黄疸；  </w:t>
      </w:r>
    </w:p>
    <w:p>
      <w:pPr>
        <w:pStyle w:val="BodyText"/>
        <w:spacing w:line="271" w:lineRule="exact"/>
      </w:pPr>
      <w:r>
        <w:rPr/>
        <w:t>（2）腹水；  </w:t>
      </w:r>
    </w:p>
    <w:p>
      <w:pPr>
        <w:pStyle w:val="BodyText"/>
        <w:spacing w:line="272" w:lineRule="exact"/>
      </w:pPr>
      <w:r>
        <w:rPr/>
        <w:t>（3）肝性脑病；  </w:t>
      </w:r>
    </w:p>
    <w:p>
      <w:pPr>
        <w:pStyle w:val="BodyText"/>
        <w:spacing w:line="237" w:lineRule="auto" w:before="1"/>
        <w:ind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1" w:lineRule="exact"/>
      </w:pPr>
      <w:r>
        <w:rPr/>
        <w:t>指因患脑炎或脑膜炎导致的神经系统永久性的功能障碍。神经系统永久性的功</w:t>
      </w:r>
    </w:p>
    <w:p>
      <w:pPr>
        <w:pStyle w:val="BodyText"/>
        <w:spacing w:line="272" w:lineRule="exact"/>
      </w:pPr>
      <w:r>
        <w:rPr/>
        <w:t>能障碍，指疾病确诊180天后，仍遗留下列一种或一种以上障碍：  </w:t>
      </w:r>
    </w:p>
    <w:p>
      <w:pPr>
        <w:pStyle w:val="BodyText"/>
        <w:spacing w:line="272" w:lineRule="exact"/>
      </w:pPr>
      <w:r>
        <w:rPr/>
        <w:t>（1）一肢或一肢以上肢体机能完全丧失；  </w:t>
      </w:r>
    </w:p>
    <w:p>
      <w:pPr>
        <w:pStyle w:val="BodyText"/>
        <w:spacing w:line="272" w:lineRule="exact"/>
      </w:pPr>
      <w:r>
        <w:rPr/>
        <w:t>（2）语言能力或咀嚼吞咽能力完全丧失；  </w:t>
      </w:r>
    </w:p>
    <w:p>
      <w:pPr>
        <w:pStyle w:val="BodyText"/>
        <w:spacing w:line="272" w:lineRule="exact"/>
      </w:pPr>
      <w:r>
        <w:rPr/>
        <w:t>（3）自主生活能力完全丧失，无法独立完成六项基本日常生活活动中的三项或</w:t>
      </w:r>
    </w:p>
    <w:p>
      <w:pPr>
        <w:pStyle w:val="BodyText"/>
        <w:spacing w:line="237" w:lineRule="auto" w:before="3"/>
        <w:ind w:right="5580" w:firstLine="525"/>
      </w:pPr>
      <w:r>
        <w:rPr>
          <w:spacing w:val="-2"/>
        </w:rPr>
        <w:t>三项以上。 </w:t>
      </w:r>
      <w:r>
        <w:rPr>
          <w:spacing w:val="-3"/>
        </w:rPr>
        <w:t>十二、深度昏迷  </w:t>
      </w:r>
    </w:p>
    <w:p>
      <w:pPr>
        <w:pStyle w:val="BodyText"/>
        <w:spacing w:line="237" w:lineRule="auto" w:before="1"/>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line="271" w:lineRule="exact"/>
      </w:pPr>
      <w:r>
        <w:rPr/>
        <w:t>因酗酒或药物滥用导致的深度昏迷不在保障范围内。  </w:t>
      </w:r>
    </w:p>
    <w:p>
      <w:pPr>
        <w:pStyle w:val="BodyText"/>
        <w:spacing w:line="239" w:lineRule="exact"/>
      </w:pPr>
      <w:r>
        <w:rPr/>
        <w:t>十三、双耳失聪  </w:t>
      </w:r>
    </w:p>
    <w:p>
      <w:pPr>
        <w:pStyle w:val="BodyText"/>
        <w:spacing w:line="318" w:lineRule="exact"/>
      </w:pPr>
      <w:r>
        <w:rPr/>
        <w:t>指因疾病或意外伤害导致双耳听力</w:t>
      </w:r>
      <w:r>
        <w:rPr>
          <w:rFonts w:ascii="Microsoft JhengHei" w:eastAsia="Microsoft JhengHei" w:hint="eastAsia"/>
          <w:b/>
        </w:rPr>
        <w:t>永久不可逆</w:t>
      </w:r>
      <w:r>
        <w:rPr/>
        <w:t>（见10.22）性丧失，在500赫兹、</w:t>
      </w:r>
    </w:p>
    <w:p>
      <w:pPr>
        <w:pStyle w:val="BodyText"/>
        <w:spacing w:line="237" w:lineRule="auto"/>
        <w:ind w:right="218"/>
      </w:pPr>
      <w:r>
        <w:rPr/>
        <w:t>1000赫兹和2000赫兹语音频率下，平均听阈大于90分贝，且经纯音听力测试、声导抗检测或听觉诱发电位检测等证实。  </w:t>
      </w:r>
    </w:p>
    <w:p>
      <w:pPr>
        <w:pStyle w:val="BodyText"/>
        <w:spacing w:line="272" w:lineRule="exact" w:before="9"/>
      </w:pPr>
      <w:r>
        <w:rPr/>
        <w:t>十四、双目失明  </w:t>
      </w:r>
    </w:p>
    <w:p>
      <w:pPr>
        <w:pStyle w:val="BodyText"/>
        <w:spacing w:line="237" w:lineRule="auto" w:before="1"/>
        <w:ind w:right="218"/>
      </w:pPr>
      <w:r>
        <w:rPr/>
        <w:t>指因疾病或意外伤害导致双眼视力永久不可逆性丧失，双眼中较好眼须满足下列至少一项条件：  </w:t>
      </w:r>
    </w:p>
    <w:p>
      <w:pPr>
        <w:pStyle w:val="BodyText"/>
        <w:spacing w:line="272" w:lineRule="exact"/>
      </w:pPr>
      <w:r>
        <w:rPr/>
        <w:t>（1）眼球缺失或摘除；  </w:t>
      </w:r>
    </w:p>
    <w:p>
      <w:pPr>
        <w:pStyle w:val="BodyText"/>
        <w:ind w:left="2580" w:right="209"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spacing w:line="271" w:lineRule="exact" w:before="2"/>
      </w:pPr>
      <w:r>
        <w:rPr/>
        <w:t>（3）视野半径小于5度。  </w:t>
      </w:r>
    </w:p>
    <w:p>
      <w:pPr>
        <w:pStyle w:val="BodyText"/>
        <w:spacing w:line="272" w:lineRule="exact"/>
      </w:pPr>
      <w:r>
        <w:rPr/>
        <w:t>十五、瘫痪  </w:t>
      </w:r>
    </w:p>
    <w:p>
      <w:pPr>
        <w:pStyle w:val="BodyText"/>
        <w:spacing w:line="237" w:lineRule="auto" w:before="1"/>
        <w:ind w:right="21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4" w:lineRule="exact"/>
      </w:pPr>
      <w:r>
        <w:rPr/>
        <w:t>十六、心脏瓣膜手术  </w:t>
      </w:r>
    </w:p>
    <w:p>
      <w:pPr>
        <w:spacing w:after="0" w:line="274" w:lineRule="exact"/>
        <w:sectPr>
          <w:pgSz w:w="11900" w:h="16840"/>
          <w:pgMar w:header="0" w:footer="676" w:top="1160" w:bottom="860" w:left="1680" w:right="800"/>
        </w:sectPr>
      </w:pPr>
    </w:p>
    <w:p>
      <w:pPr>
        <w:pStyle w:val="BodyText"/>
        <w:spacing w:line="273" w:lineRule="exact" w:before="7"/>
      </w:pPr>
      <w:r>
        <w:rPr/>
        <w:t>指为治疗心脏瓣膜疾病，实际实施了开胸进行的心脏瓣膜置换或修复的手术。 </w:t>
      </w:r>
    </w:p>
    <w:p>
      <w:pPr>
        <w:pStyle w:val="BodyText"/>
        <w:spacing w:line="272" w:lineRule="exact"/>
      </w:pPr>
      <w:r>
        <w:rPr/>
        <w:t>十七、严重阿尔茨海默病  </w:t>
      </w:r>
    </w:p>
    <w:p>
      <w:pPr>
        <w:pStyle w:val="BodyText"/>
        <w:spacing w:line="237" w:lineRule="auto" w:before="2"/>
        <w:ind w:right="103"/>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ind w:right="3269"/>
      </w:pPr>
      <w:r>
        <w:rPr>
          <w:spacing w:val="-3"/>
        </w:rPr>
        <w:t>神经官能症和精神疾病不在保障范围内。  十八、严重脑损伤  </w:t>
      </w:r>
    </w:p>
    <w:p>
      <w:pPr>
        <w:pStyle w:val="BodyText"/>
        <w:spacing w:line="271" w:lineRule="exact" w:before="4"/>
      </w:pPr>
      <w:r>
        <w:rPr/>
        <w:t>指因头部遭受机械性外力，引起脑重要部位损伤，导致神经系统永久性的功能</w:t>
      </w:r>
    </w:p>
    <w:p>
      <w:pPr>
        <w:pStyle w:val="BodyText"/>
        <w:spacing w:line="272" w:lineRule="exac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pPr>
      <w:r>
        <w:rPr/>
        <w:t>（PET）等影像学检查证实。神经系统永久性的功能障碍，指脑损伤180天后，</w:t>
      </w:r>
    </w:p>
    <w:p>
      <w:pPr>
        <w:pStyle w:val="BodyText"/>
        <w:spacing w:line="272" w:lineRule="exact"/>
      </w:pPr>
      <w:r>
        <w:rPr/>
        <w:t>仍遗留下列一种或一种以上障碍：  </w:t>
      </w:r>
    </w:p>
    <w:p>
      <w:pPr>
        <w:pStyle w:val="BodyText"/>
        <w:spacing w:line="272" w:lineRule="exact"/>
      </w:pPr>
      <w:r>
        <w:rPr/>
        <w:t>（1）一肢或一肢以上肢体机能完全丧失；  </w:t>
      </w:r>
    </w:p>
    <w:p>
      <w:pPr>
        <w:pStyle w:val="BodyText"/>
        <w:spacing w:line="272" w:lineRule="exact"/>
      </w:pPr>
      <w:r>
        <w:rPr/>
        <w:t>（2）语言能力或咀嚼吞咽能力完全丧失；  </w:t>
      </w:r>
    </w:p>
    <w:p>
      <w:pPr>
        <w:pStyle w:val="BodyText"/>
        <w:spacing w:line="272" w:lineRule="exact"/>
      </w:pPr>
      <w:r>
        <w:rPr/>
        <w:t>（3）自主生活能力完全丧失，无法独立完成六项基本日常生活活动中的三项或</w:t>
      </w:r>
    </w:p>
    <w:p>
      <w:pPr>
        <w:pStyle w:val="BodyText"/>
        <w:spacing w:line="272" w:lineRule="exact"/>
        <w:ind w:left="2580"/>
      </w:pPr>
      <w:r>
        <w:rPr/>
        <w:t>三项以上。  </w:t>
      </w:r>
    </w:p>
    <w:p>
      <w:pPr>
        <w:pStyle w:val="BodyText"/>
        <w:spacing w:line="272" w:lineRule="exact"/>
      </w:pPr>
      <w:r>
        <w:rPr/>
        <w:t>十九、严重帕金森病  </w:t>
      </w:r>
    </w:p>
    <w:p>
      <w:pPr>
        <w:pStyle w:val="BodyText"/>
        <w:spacing w:line="272" w:lineRule="exact"/>
      </w:pPr>
      <w:r>
        <w:rPr/>
        <w:t>是一种中枢神经系统的退行性疾病，临床表现为震颤麻痹、共济失调等。须满</w:t>
      </w:r>
    </w:p>
    <w:p>
      <w:pPr>
        <w:pStyle w:val="BodyText"/>
        <w:spacing w:line="272" w:lineRule="exact"/>
      </w:pPr>
      <w:r>
        <w:rPr/>
        <w:t>足下列全部条件：  </w:t>
      </w:r>
    </w:p>
    <w:p>
      <w:pPr>
        <w:pStyle w:val="BodyText"/>
        <w:spacing w:line="272" w:lineRule="exact"/>
      </w:pPr>
      <w:r>
        <w:rPr/>
        <w:t>（1）药物治疗无法控制病情；  </w:t>
      </w:r>
    </w:p>
    <w:p>
      <w:pPr>
        <w:pStyle w:val="BodyText"/>
        <w:spacing w:line="271" w:lineRule="exact"/>
      </w:pPr>
      <w:r>
        <w:rPr/>
        <w:t>（2）自主生活能力完全丧失，无法独立完成六项基本日常生活活动中的三项或</w:t>
      </w:r>
    </w:p>
    <w:p>
      <w:pPr>
        <w:pStyle w:val="BodyText"/>
        <w:spacing w:line="272" w:lineRule="exact"/>
        <w:ind w:left="2580"/>
      </w:pPr>
      <w:r>
        <w:rPr/>
        <w:t>三项以上。  </w:t>
      </w:r>
    </w:p>
    <w:p>
      <w:pPr>
        <w:pStyle w:val="BodyText"/>
        <w:spacing w:line="237" w:lineRule="auto" w:before="2"/>
        <w:ind w:right="3583"/>
      </w:pPr>
      <w:r>
        <w:rPr>
          <w:spacing w:val="-3"/>
        </w:rPr>
        <w:t>继发性帕金森综合征不在保障范围内。 二十、严重Ⅲ度烧伤  </w:t>
      </w:r>
    </w:p>
    <w:p>
      <w:pPr>
        <w:pStyle w:val="BodyText"/>
        <w:spacing w:line="272" w:lineRule="exact"/>
      </w:pPr>
      <w:r>
        <w:rPr/>
        <w:t>指烧伤程度为Ⅲ度，且Ⅲ度烧伤的面积达到全身体表面积的20％或20％以上。</w:t>
      </w:r>
    </w:p>
    <w:p>
      <w:pPr>
        <w:pStyle w:val="BodyText"/>
        <w:spacing w:line="272" w:lineRule="exact"/>
      </w:pPr>
      <w:r>
        <w:rPr/>
        <w:t>体表面积根据《中国新九分法》计算。  </w:t>
      </w:r>
    </w:p>
    <w:p>
      <w:pPr>
        <w:pStyle w:val="BodyText"/>
        <w:spacing w:line="272" w:lineRule="exact"/>
      </w:pPr>
      <w:r>
        <w:rPr/>
        <w:t>二十一、严重原发性肺动脉高压  </w:t>
      </w:r>
    </w:p>
    <w:p>
      <w:pPr>
        <w:pStyle w:val="BodyText"/>
        <w:spacing w:line="237" w:lineRule="auto" w:before="1"/>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line="272" w:lineRule="exact"/>
      </w:pPr>
      <w:r>
        <w:rPr/>
        <w:t>二十二、严重运动神经元病  </w:t>
      </w:r>
    </w:p>
    <w:p>
      <w:pPr>
        <w:pStyle w:val="BodyText"/>
        <w:spacing w:line="237" w:lineRule="auto" w:before="1"/>
        <w:ind w:right="21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line="271" w:lineRule="exact"/>
      </w:pPr>
      <w:r>
        <w:rPr/>
        <w:t>二十三、语言能力丧失  </w:t>
      </w:r>
    </w:p>
    <w:p>
      <w:pPr>
        <w:pStyle w:val="BodyText"/>
        <w:spacing w:line="272" w:lineRule="exact"/>
      </w:pPr>
      <w:r>
        <w:rPr/>
        <w:t>指因疾病或意外伤害导致完全丧失语言能力，经过积极治疗至少12个月（声带</w:t>
      </w:r>
    </w:p>
    <w:p>
      <w:pPr>
        <w:pStyle w:val="BodyText"/>
        <w:spacing w:line="272" w:lineRule="exact"/>
      </w:pPr>
      <w:r>
        <w:rPr>
          <w:spacing w:val="-3"/>
          <w:w w:val="100"/>
        </w:rPr>
        <w:t>完全切除不受此时间限制</w:t>
      </w:r>
      <w:r>
        <w:rPr>
          <w:spacing w:val="-108"/>
          <w:w w:val="100"/>
        </w:rPr>
        <w:t>）</w:t>
      </w:r>
      <w:r>
        <w:rPr>
          <w:spacing w:val="-3"/>
          <w:w w:val="100"/>
        </w:rPr>
        <w:t>，仍无法通过现有医疗手段恢复。  </w:t>
      </w:r>
    </w:p>
    <w:p>
      <w:pPr>
        <w:pStyle w:val="BodyText"/>
        <w:spacing w:line="272" w:lineRule="exact"/>
      </w:pPr>
      <w:r>
        <w:rPr/>
        <w:t>精神心理因素所致的语言能力丧失不在保障范围内。  </w:t>
      </w:r>
    </w:p>
    <w:p>
      <w:pPr>
        <w:pStyle w:val="BodyText"/>
        <w:spacing w:line="272" w:lineRule="exact"/>
      </w:pPr>
      <w:r>
        <w:rPr/>
        <w:t>二十四、重型再生障碍性贫血  </w:t>
      </w:r>
    </w:p>
    <w:p>
      <w:pPr>
        <w:pStyle w:val="BodyText"/>
        <w:spacing w:line="237" w:lineRule="auto" w:before="2"/>
        <w:ind w:right="103"/>
      </w:pPr>
      <w:r>
        <w:rPr>
          <w:spacing w:val="-8"/>
        </w:rPr>
        <w:t>指因骨髓造血功能慢性持续性衰竭导致的贫血、中性粒细胞减少及血小板减少。</w:t>
      </w:r>
      <w:r>
        <w:rPr>
          <w:spacing w:val="-5"/>
        </w:rPr>
        <w:t>须满足下列全部条件：</w:t>
      </w:r>
      <w:r>
        <w:rPr>
          <w:spacing w:val="-3"/>
        </w:rPr>
        <w:t>  </w:t>
      </w:r>
    </w:p>
    <w:p>
      <w:pPr>
        <w:pStyle w:val="BodyText"/>
        <w:spacing w:line="271" w:lineRule="exact"/>
      </w:pPr>
      <w:r>
        <w:rPr/>
        <w:t>（1）骨髓穿刺检查或骨髓活检结果支持诊断；  </w:t>
      </w:r>
    </w:p>
    <w:p>
      <w:pPr>
        <w:pStyle w:val="BodyText"/>
        <w:spacing w:line="272" w:lineRule="exact"/>
      </w:pPr>
      <w:r>
        <w:rPr/>
        <w:t>（2）外周血象须具备以下三项条件：  </w:t>
      </w:r>
    </w:p>
    <w:p>
      <w:pPr>
        <w:pStyle w:val="BodyText"/>
        <w:spacing w:line="272" w:lineRule="exact"/>
        <w:ind w:left="2580"/>
      </w:pPr>
      <w:r>
        <w:rPr/>
        <w:t>① 中性粒细胞绝对值≤0.5×109/L ；  </w:t>
      </w:r>
    </w:p>
    <w:p>
      <w:pPr>
        <w:pStyle w:val="BodyText"/>
        <w:spacing w:line="272" w:lineRule="exact"/>
        <w:ind w:left="2580"/>
      </w:pPr>
      <w:r>
        <w:rPr/>
        <w:t>② 网织红细胞＜1%；  </w:t>
      </w:r>
    </w:p>
    <w:p>
      <w:pPr>
        <w:pStyle w:val="BodyText"/>
        <w:spacing w:line="272" w:lineRule="exact"/>
        <w:ind w:left="2580"/>
      </w:pPr>
      <w:r>
        <w:rPr/>
        <w:t>③ 血小板绝对值≤20×109/L。  </w:t>
      </w:r>
    </w:p>
    <w:p>
      <w:pPr>
        <w:pStyle w:val="BodyText"/>
        <w:spacing w:line="272" w:lineRule="exact"/>
      </w:pPr>
      <w:r>
        <w:rPr/>
        <w:t>二十五、主动脉手术  </w:t>
      </w:r>
    </w:p>
    <w:p>
      <w:pPr>
        <w:pStyle w:val="BodyText"/>
        <w:spacing w:line="237" w:lineRule="auto"/>
        <w:ind w:right="218"/>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4" w:lineRule="exact"/>
      </w:pPr>
      <w:r>
        <w:rPr/>
        <w:t>动脉内血管成形术不在保障范围内。 </w:t>
      </w:r>
    </w:p>
    <w:p>
      <w:pPr>
        <w:spacing w:after="0" w:line="274" w:lineRule="exact"/>
        <w:sectPr>
          <w:pgSz w:w="11900" w:h="16840"/>
          <w:pgMar w:header="0" w:footer="676" w:top="1160" w:bottom="860" w:left="1680" w:right="800"/>
        </w:sectPr>
      </w:pPr>
    </w:p>
    <w:p>
      <w:pPr>
        <w:pStyle w:val="BodyText"/>
        <w:spacing w:before="7"/>
      </w:pPr>
      <w:r>
        <w:rPr/>
        <w:t>二十六、多发性硬化症 </w:t>
      </w:r>
    </w:p>
    <w:p>
      <w:pPr>
        <w:pStyle w:val="BodyText"/>
        <w:spacing w:line="273" w:lineRule="auto" w:before="17"/>
        <w:ind w:right="209"/>
        <w:jc w:val="both"/>
      </w:pPr>
      <w:r>
        <w:rPr>
          <w:spacing w:val="-3"/>
        </w:rPr>
        <w:t>指因中枢神经系统脱髓鞘而导致的不可逆的身体部位的功能障碍，需由神经专</w:t>
      </w:r>
      <w:r>
        <w:rPr>
          <w:spacing w:val="-7"/>
        </w:rPr>
        <w:t>科医生提供确诊，并有计算机断层扫描</w:t>
      </w:r>
      <w:r>
        <w:rPr>
          <w:spacing w:val="-6"/>
        </w:rPr>
        <w:t>（CT）或核磁共振</w:t>
      </w:r>
      <w:r>
        <w:rPr>
          <w:spacing w:val="-5"/>
        </w:rPr>
        <w:t>（MRI）</w:t>
      </w:r>
      <w:r>
        <w:rPr>
          <w:spacing w:val="-3"/>
        </w:rPr>
        <w:t>结果报告支持</w:t>
      </w:r>
      <w:r>
        <w:rPr>
          <w:spacing w:val="-5"/>
        </w:rPr>
        <w:t>本诊断。此不可逆的身体部位功能障碍需持续 </w:t>
      </w:r>
      <w:r>
        <w:rPr/>
        <w:t>180</w:t>
      </w:r>
      <w:r>
        <w:rPr>
          <w:spacing w:val="-11"/>
        </w:rPr>
        <w:t> 天以上。</w:t>
      </w:r>
      <w:r>
        <w:rPr/>
        <w:t> </w:t>
      </w:r>
    </w:p>
    <w:p>
      <w:pPr>
        <w:pStyle w:val="BodyText"/>
        <w:spacing w:before="7"/>
      </w:pPr>
      <w:r>
        <w:rPr/>
        <w:t>由神经专科医生提供确诊必须包含下列内容： </w:t>
      </w:r>
    </w:p>
    <w:p>
      <w:pPr>
        <w:pStyle w:val="BodyText"/>
        <w:spacing w:before="37"/>
      </w:pPr>
      <w:r>
        <w:rPr/>
        <w:t>（1）明确出现因视神经、脑干或脊髓损伤而导致的临床表现； </w:t>
      </w:r>
    </w:p>
    <w:p>
      <w:pPr>
        <w:pStyle w:val="BodyText"/>
        <w:spacing w:before="37"/>
      </w:pPr>
      <w:r>
        <w:rPr/>
        <w:t>（2）散在的身体损伤的多样性； </w:t>
      </w:r>
    </w:p>
    <w:p>
      <w:pPr>
        <w:pStyle w:val="BodyText"/>
        <w:spacing w:before="15"/>
      </w:pPr>
      <w:r>
        <w:rPr/>
        <w:t>（3）有明确的上述症状及神经损伤反复恶化与减轻的病史记录。 </w:t>
      </w:r>
    </w:p>
    <w:p>
      <w:pPr>
        <w:pStyle w:val="BodyText"/>
        <w:spacing w:before="20"/>
      </w:pPr>
      <w:r>
        <w:rPr/>
        <w:t>二十七、严重狼疮性肾炎 </w:t>
      </w:r>
    </w:p>
    <w:p>
      <w:pPr>
        <w:pStyle w:val="BodyText"/>
        <w:spacing w:line="273" w:lineRule="auto" w:before="37"/>
        <w:ind w:right="103"/>
      </w:pPr>
      <w:r>
        <w:rPr>
          <w:spacing w:val="-3"/>
        </w:rPr>
        <w:t>狼疮性肾炎是系统性红斑狼疮的一种并发症。系统性红斑狼疮是由多种因素引</w:t>
      </w:r>
      <w:r>
        <w:rPr>
          <w:spacing w:val="-12"/>
        </w:rPr>
        <w:t>起，累及多系统的自身免疫性疾病，其特点是生成自身抗体对抗多种自身抗原。</w:t>
      </w:r>
      <w:r>
        <w:rPr>
          <w:spacing w:val="-6"/>
        </w:rPr>
        <w:t>狼疮性肾炎是指系统性红斑狼疮患者并发狼疮性肾炎而影响和损害肾脏功能。</w:t>
      </w:r>
      <w:r>
        <w:rPr>
          <w:spacing w:val="-3"/>
        </w:rPr>
        <w:t>世界卫生组织</w:t>
      </w:r>
      <w:r>
        <w:rPr>
          <w:spacing w:val="-1"/>
        </w:rPr>
        <w:t>（WHO）</w:t>
      </w:r>
      <w:r>
        <w:rPr>
          <w:spacing w:val="-3"/>
        </w:rPr>
        <w:t>对狼疮性肾炎分型如下：</w:t>
      </w:r>
      <w:r>
        <w:rPr/>
        <w:t> </w:t>
      </w:r>
    </w:p>
    <w:p>
      <w:pPr>
        <w:pStyle w:val="ListParagraph"/>
        <w:numPr>
          <w:ilvl w:val="0"/>
          <w:numId w:val="6"/>
        </w:numPr>
        <w:tabs>
          <w:tab w:pos="2213" w:val="left" w:leader="none"/>
        </w:tabs>
        <w:spacing w:line="240" w:lineRule="auto" w:before="7" w:after="0"/>
        <w:ind w:left="2212" w:right="0" w:hanging="158"/>
        <w:jc w:val="left"/>
        <w:rPr>
          <w:sz w:val="21"/>
        </w:rPr>
      </w:pPr>
      <w:r>
        <w:rPr>
          <w:spacing w:val="-1"/>
          <w:sz w:val="21"/>
        </w:rPr>
        <w:t>型</w:t>
      </w:r>
      <w:r>
        <w:rPr>
          <w:spacing w:val="-3"/>
          <w:sz w:val="21"/>
        </w:rPr>
        <w:t>（微小病变型</w:t>
      </w:r>
      <w:r>
        <w:rPr>
          <w:sz w:val="21"/>
        </w:rPr>
        <w:t>）</w:t>
      </w:r>
      <w:r>
        <w:rPr>
          <w:spacing w:val="-3"/>
          <w:sz w:val="21"/>
        </w:rPr>
        <w:t>：镜下阴性，尿液正常</w:t>
      </w:r>
      <w:r>
        <w:rPr>
          <w:sz w:val="21"/>
        </w:rPr>
        <w:t> </w:t>
      </w:r>
    </w:p>
    <w:p>
      <w:pPr>
        <w:pStyle w:val="ListParagraph"/>
        <w:numPr>
          <w:ilvl w:val="0"/>
          <w:numId w:val="6"/>
        </w:numPr>
        <w:tabs>
          <w:tab w:pos="2319" w:val="left" w:leader="none"/>
        </w:tabs>
        <w:spacing w:line="240" w:lineRule="auto" w:before="36" w:after="0"/>
        <w:ind w:left="2318" w:right="0" w:hanging="264"/>
        <w:jc w:val="left"/>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r>
        <w:rPr>
          <w:sz w:val="21"/>
        </w:rPr>
        <w:t> </w:t>
      </w:r>
    </w:p>
    <w:p>
      <w:pPr>
        <w:pStyle w:val="ListParagraph"/>
        <w:numPr>
          <w:ilvl w:val="0"/>
          <w:numId w:val="6"/>
        </w:numPr>
        <w:tabs>
          <w:tab w:pos="2424" w:val="left" w:leader="none"/>
        </w:tabs>
        <w:spacing w:line="240" w:lineRule="auto" w:before="36" w:after="0"/>
        <w:ind w:left="2424" w:right="0" w:hanging="370"/>
        <w:jc w:val="left"/>
        <w:rPr>
          <w:sz w:val="21"/>
        </w:rPr>
      </w:pPr>
      <w:r>
        <w:rPr>
          <w:spacing w:val="-3"/>
          <w:sz w:val="21"/>
        </w:rPr>
        <w:t>型(局灶及节段增生型</w:t>
      </w:r>
      <w:r>
        <w:rPr>
          <w:sz w:val="21"/>
        </w:rPr>
        <w:t>）：</w:t>
      </w:r>
      <w:r>
        <w:rPr>
          <w:spacing w:val="-3"/>
          <w:sz w:val="21"/>
        </w:rPr>
        <w:t> 蛋白尿，尿沉渣改变</w:t>
      </w:r>
      <w:r>
        <w:rPr>
          <w:sz w:val="21"/>
        </w:rPr>
        <w:t> </w:t>
      </w:r>
    </w:p>
    <w:p>
      <w:pPr>
        <w:pStyle w:val="ListParagraph"/>
        <w:numPr>
          <w:ilvl w:val="0"/>
          <w:numId w:val="6"/>
        </w:numPr>
        <w:tabs>
          <w:tab w:pos="2319" w:val="left" w:leader="none"/>
        </w:tabs>
        <w:spacing w:line="240" w:lineRule="auto" w:before="36" w:after="0"/>
        <w:ind w:left="2318" w:right="0" w:hanging="264"/>
        <w:jc w:val="left"/>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r>
        <w:rPr>
          <w:sz w:val="21"/>
        </w:rPr>
        <w:t> </w:t>
      </w:r>
    </w:p>
    <w:p>
      <w:pPr>
        <w:pStyle w:val="ListParagraph"/>
        <w:numPr>
          <w:ilvl w:val="0"/>
          <w:numId w:val="6"/>
        </w:numPr>
        <w:tabs>
          <w:tab w:pos="2213" w:val="left" w:leader="none"/>
        </w:tabs>
        <w:spacing w:line="240" w:lineRule="auto" w:before="36" w:after="0"/>
        <w:ind w:left="2212" w:right="0" w:hanging="158"/>
        <w:jc w:val="left"/>
        <w:rPr>
          <w:sz w:val="21"/>
        </w:rPr>
      </w:pPr>
      <w:r>
        <w:rPr>
          <w:spacing w:val="-1"/>
          <w:sz w:val="21"/>
        </w:rPr>
        <w:t>型</w:t>
      </w:r>
      <w:r>
        <w:rPr>
          <w:spacing w:val="-3"/>
          <w:sz w:val="21"/>
        </w:rPr>
        <w:t>（</w:t>
      </w:r>
      <w:r>
        <w:rPr>
          <w:spacing w:val="-2"/>
          <w:sz w:val="21"/>
        </w:rPr>
        <w:t>膜型</w:t>
      </w:r>
      <w:r>
        <w:rPr>
          <w:spacing w:val="-1"/>
          <w:sz w:val="21"/>
        </w:rPr>
        <w:t>）</w:t>
      </w:r>
      <w:r>
        <w:rPr>
          <w:spacing w:val="-3"/>
          <w:sz w:val="21"/>
        </w:rPr>
        <w:t>：肾病综合征或重度蛋白尿</w:t>
      </w:r>
      <w:r>
        <w:rPr>
          <w:sz w:val="21"/>
        </w:rPr>
        <w:t> </w:t>
      </w:r>
    </w:p>
    <w:p>
      <w:pPr>
        <w:pStyle w:val="BodyText"/>
        <w:spacing w:before="36"/>
      </w:pPr>
      <w:r>
        <w:rPr/>
        <w:t>Ⅵ型（肾小球硬化型）：肾小球硬化成纤维团状，肾功能差，无法恢复 </w:t>
      </w:r>
    </w:p>
    <w:p>
      <w:pPr>
        <w:pStyle w:val="BodyText"/>
        <w:spacing w:line="237" w:lineRule="auto" w:before="18"/>
        <w:ind w:right="103"/>
      </w:pPr>
      <w:r>
        <w:rPr>
          <w:w w:val="100"/>
        </w:rPr>
        <w:t> </w:t>
      </w:r>
      <w:r>
        <w:rPr>
          <w:spacing w:val="-5"/>
        </w:rPr>
        <w:t>严重狼疮性肾炎是指经肾脏活检确认的，符合 </w:t>
      </w:r>
      <w:r>
        <w:rPr/>
        <w:t>WHO</w:t>
      </w:r>
      <w:r>
        <w:rPr>
          <w:spacing w:val="-12"/>
        </w:rPr>
        <w:t> 诊断标准定义 </w:t>
      </w:r>
      <w:r>
        <w:rPr/>
        <w:t>III</w:t>
      </w:r>
      <w:r>
        <w:rPr>
          <w:spacing w:val="-14"/>
        </w:rPr>
        <w:t> 型、</w:t>
      </w:r>
      <w:r>
        <w:rPr/>
        <w:t>IV 型、V</w:t>
      </w:r>
      <w:r>
        <w:rPr>
          <w:spacing w:val="-10"/>
        </w:rPr>
        <w:t> 型和Ⅵ型的狼疮性肾炎,且肌酐清除率持续低于 </w:t>
      </w:r>
      <w:r>
        <w:rPr/>
        <w:t>30ml/</w:t>
      </w:r>
      <w:r>
        <w:rPr>
          <w:spacing w:val="-3"/>
        </w:rPr>
        <w:t>分。其他类型的红</w:t>
      </w:r>
      <w:r>
        <w:rPr>
          <w:spacing w:val="-12"/>
        </w:rPr>
        <w:t>斑性狼疮，如盘状狼疮、仅累及血液及关节的狼疮不在本主险合同保障范围內。</w:t>
      </w:r>
      <w:r>
        <w:rPr>
          <w:spacing w:val="-6"/>
        </w:rPr>
        <w:t>本病必须由免疫和风湿科专科医生确诊。</w:t>
      </w:r>
      <w:r>
        <w:rPr/>
        <w:t> </w:t>
      </w:r>
    </w:p>
    <w:p>
      <w:pPr>
        <w:pStyle w:val="BodyText"/>
        <w:spacing w:line="274" w:lineRule="exact"/>
      </w:pPr>
      <w:r>
        <w:rPr/>
        <w:t>二十八、严重哮喘 </w:t>
      </w:r>
    </w:p>
    <w:p>
      <w:pPr>
        <w:pStyle w:val="BodyText"/>
        <w:spacing w:line="273" w:lineRule="auto" w:before="18"/>
        <w:ind w:right="215"/>
      </w:pPr>
      <w:r>
        <w:rPr/>
        <w:t>被保险人必须在过去两年内曾发生哮喘持续状态，并符合以下其中两项标准， 本公司才承担保险责任： </w:t>
      </w:r>
    </w:p>
    <w:p>
      <w:pPr>
        <w:pStyle w:val="BodyText"/>
        <w:spacing w:line="273" w:lineRule="auto" w:before="8"/>
        <w:ind w:right="1375"/>
      </w:pPr>
      <w:r>
        <w:rPr/>
        <w:t>(1) 运动耐受力永久并持续地减少并且轻微的运动能引起气促； (2) 长期胸腔过度膨胀而导致胸腔畸形； </w:t>
      </w:r>
    </w:p>
    <w:p>
      <w:pPr>
        <w:pStyle w:val="BodyText"/>
        <w:spacing w:before="8"/>
      </w:pPr>
      <w:r>
        <w:rPr/>
        <w:t>(3) 在家及在静息状态下需要吸氧； </w:t>
      </w:r>
    </w:p>
    <w:p>
      <w:pPr>
        <w:pStyle w:val="BodyText"/>
        <w:spacing w:line="274" w:lineRule="exact" w:before="15"/>
      </w:pPr>
      <w:r>
        <w:rPr/>
        <w:t>(4) 持续的每天服用类固醇药物(至少持续六个月以上)。 </w:t>
      </w:r>
    </w:p>
    <w:p>
      <w:pPr>
        <w:pStyle w:val="BodyText"/>
        <w:spacing w:line="272" w:lineRule="exact"/>
      </w:pPr>
      <w:r>
        <w:rPr/>
        <w:t>二十九、胰岛素依赖型糖尿病（Ⅰ型糖尿病） </w:t>
      </w:r>
    </w:p>
    <w:p>
      <w:pPr>
        <w:pStyle w:val="BodyText"/>
        <w:spacing w:line="237" w:lineRule="auto" w:before="1"/>
        <w:ind w:right="242"/>
        <w:jc w:val="both"/>
      </w:pPr>
      <w:r>
        <w:rPr>
          <w:spacing w:val="-4"/>
        </w:rPr>
        <w:t>是由于胰岛素分泌绝对不足引起的慢性血糖升高，并需持续性地依赖外源性胰</w:t>
      </w:r>
      <w:r>
        <w:rPr>
          <w:spacing w:val="-9"/>
        </w:rPr>
        <w:t>岛素维持 </w:t>
      </w:r>
      <w:r>
        <w:rPr/>
        <w:t>180</w:t>
      </w:r>
      <w:r>
        <w:rPr>
          <w:spacing w:val="-7"/>
        </w:rPr>
        <w:t> 天以上，须经血胰岛素测定和血</w:t>
      </w:r>
      <w:r>
        <w:rPr/>
        <w:t>（</w:t>
      </w:r>
      <w:r>
        <w:rPr>
          <w:spacing w:val="-3"/>
        </w:rPr>
        <w:t>尿</w:t>
      </w:r>
      <w:r>
        <w:rPr/>
        <w:t>）C</w:t>
      </w:r>
      <w:r>
        <w:rPr>
          <w:spacing w:val="-7"/>
        </w:rPr>
        <w:t> 肽测定，结果异常，由</w:t>
      </w:r>
      <w:r>
        <w:rPr>
          <w:spacing w:val="-5"/>
        </w:rPr>
        <w:t>内分泌专科医生确诊，并在本主险合同有效期内，满足下述至少一个条件：</w:t>
      </w:r>
      <w:r>
        <w:rPr/>
        <w:t> </w:t>
      </w:r>
    </w:p>
    <w:p>
      <w:pPr>
        <w:pStyle w:val="BodyText"/>
        <w:spacing w:before="19"/>
      </w:pPr>
      <w:r>
        <w:rPr/>
        <w:t>（1）已出现增殖性视网膜病变； </w:t>
      </w:r>
    </w:p>
    <w:p>
      <w:pPr>
        <w:pStyle w:val="BodyText"/>
        <w:spacing w:before="36"/>
      </w:pPr>
      <w:r>
        <w:rPr/>
        <w:t>（2）须植入心脏起搏器治疗心脏病； </w:t>
      </w:r>
    </w:p>
    <w:p>
      <w:pPr>
        <w:pStyle w:val="BodyText"/>
        <w:spacing w:before="15"/>
      </w:pPr>
      <w:r>
        <w:rPr/>
        <w:t>（3）因坏疽需切除一只或以上脚趾。 </w:t>
      </w:r>
    </w:p>
    <w:p>
      <w:pPr>
        <w:pStyle w:val="BodyText"/>
        <w:spacing w:before="18"/>
      </w:pPr>
      <w:r>
        <w:rPr/>
        <w:t>三十、植物人状态 </w:t>
      </w:r>
    </w:p>
    <w:p>
      <w:pPr>
        <w:pStyle w:val="BodyText"/>
        <w:spacing w:line="273" w:lineRule="auto" w:before="37"/>
        <w:ind w:right="103"/>
      </w:pPr>
      <w:r>
        <w:rPr>
          <w:spacing w:val="-3"/>
        </w:rPr>
        <w:t>一种丧失生理、意识和交流功能后的临床依赖状态。可以是由脑外伤、缺氧持</w:t>
      </w:r>
      <w:r>
        <w:rPr>
          <w:spacing w:val="-12"/>
        </w:rPr>
        <w:t>续状态、严重的脑炎或某种神经毒素造成。患者无法从事主动或有目的的活动， </w:t>
      </w:r>
      <w:r>
        <w:rPr>
          <w:spacing w:val="-7"/>
        </w:rPr>
        <w:t>而只能对疼痛刺激产生反应。被保险人需要在我们认可的医疗机构使用辅助机</w:t>
      </w:r>
      <w:r>
        <w:rPr>
          <w:spacing w:val="-14"/>
        </w:rPr>
        <w:t>器维持生命。申请理赔需被保险人因植物人状态住院 </w:t>
      </w:r>
      <w:r>
        <w:rPr/>
        <w:t>30</w:t>
      </w:r>
      <w:r>
        <w:rPr>
          <w:spacing w:val="-8"/>
        </w:rPr>
        <w:t> 天以上并且必须有神经</w:t>
      </w:r>
      <w:r>
        <w:rPr>
          <w:spacing w:val="-5"/>
        </w:rPr>
        <w:t>专科医生的医学诊断证明。 </w:t>
      </w:r>
    </w:p>
    <w:p>
      <w:pPr>
        <w:pStyle w:val="BodyText"/>
        <w:spacing w:line="260" w:lineRule="exact"/>
      </w:pPr>
      <w:r>
        <w:rPr/>
        <w:t>由于酗酒或滥用药物所致的植物人状态除外。 </w:t>
      </w:r>
    </w:p>
    <w:p>
      <w:pPr>
        <w:pStyle w:val="BodyText"/>
        <w:spacing w:line="272" w:lineRule="exact"/>
      </w:pPr>
      <w:r>
        <w:rPr/>
        <w:t>三十一、慢性呼吸功能衰竭 </w:t>
      </w:r>
    </w:p>
    <w:p>
      <w:pPr>
        <w:pStyle w:val="BodyText"/>
        <w:ind w:right="218"/>
      </w:pPr>
      <w:r>
        <w:rPr/>
        <w:t>指因慢性呼吸系统疾病导致呼吸功能衰竭，且诊断必须满足以下所有条件： (1) 第一秒末用力呼气量（FEV1）小于 1 升； </w:t>
      </w:r>
    </w:p>
    <w:p>
      <w:pPr>
        <w:pStyle w:val="BodyText"/>
        <w:spacing w:line="271" w:lineRule="exact" w:before="2"/>
      </w:pPr>
      <w:r>
        <w:rPr/>
        <w:t>(2) 气道内阻力增加，至少达到 0.5 kPa/l/s； </w:t>
      </w:r>
    </w:p>
    <w:p>
      <w:pPr>
        <w:spacing w:after="0" w:line="271" w:lineRule="exact"/>
        <w:sectPr>
          <w:footerReference w:type="default" r:id="rId9"/>
          <w:pgSz w:w="11900" w:h="16840"/>
          <w:pgMar w:footer="596" w:header="0" w:top="1160" w:bottom="780" w:left="1680" w:right="800"/>
          <w:pgNumType w:start="1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579"/>
        <w:gridCol w:w="7867"/>
      </w:tblGrid>
      <w:tr>
        <w:trPr>
          <w:trHeight w:val="241" w:hRule="atLeast"/>
        </w:trPr>
        <w:tc>
          <w:tcPr>
            <w:tcW w:w="2208" w:type="dxa"/>
            <w:gridSpan w:val="2"/>
            <w:vMerge w:val="restart"/>
          </w:tcPr>
          <w:p>
            <w:pPr>
              <w:pStyle w:val="TableParagraph"/>
              <w:rPr>
                <w:rFonts w:ascii="Times New Roman"/>
                <w:sz w:val="20"/>
              </w:rPr>
            </w:pPr>
          </w:p>
        </w:tc>
        <w:tc>
          <w:tcPr>
            <w:tcW w:w="7867" w:type="dxa"/>
          </w:tcPr>
          <w:p>
            <w:pPr>
              <w:pStyle w:val="TableParagraph"/>
              <w:spacing w:line="202" w:lineRule="exact"/>
              <w:ind w:left="556"/>
              <w:rPr>
                <w:sz w:val="21"/>
              </w:rPr>
            </w:pPr>
            <w:r>
              <w:rPr>
                <w:sz w:val="21"/>
              </w:rPr>
              <w:t>(3) 残气容积占肺总量(TLC)的 60%以上；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(4) 胸内气体容积升高，超过 170 (基值的百分比)；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(5) PaO2&lt;60mmHg，PaCO2&gt;50mmHg。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三十二、严重的原发性心肌病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68"/>
              <w:rPr>
                <w:sz w:val="21"/>
              </w:rPr>
            </w:pPr>
            <w:r>
              <w:rPr>
                <w:sz w:val="21"/>
              </w:rPr>
              <w:t>指不明原因引起的一类心肌病变，包括原发性扩张型心肌病、原发性肥厚型心</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肌病及原发性限制型心肌病三种，本病须经专科医生明确诊断，且病变必须已</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造成事实上心室功能障碍而出现明显的心功能衰竭（指按照美国纽约心脏协会</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pacing w:val="-3"/>
                <w:w w:val="100"/>
                <w:sz w:val="21"/>
              </w:rPr>
              <w:t>心功能分类标准心功能达四级</w:t>
            </w:r>
            <w:r>
              <w:rPr>
                <w:w w:val="100"/>
                <w:sz w:val="21"/>
              </w:rPr>
              <w:t>*</w:t>
            </w:r>
            <w:r>
              <w:rPr>
                <w:spacing w:val="-106"/>
                <w:w w:val="100"/>
                <w:sz w:val="21"/>
              </w:rPr>
              <w:t>）</w:t>
            </w:r>
            <w:r>
              <w:rPr>
                <w:spacing w:val="-3"/>
                <w:w w:val="100"/>
                <w:sz w:val="21"/>
              </w:rPr>
              <w:t>，且有相关住院医疗记录显示四级心功能衰竭</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状态持续至少 180 天。继发于全身性疾病或其它器官系统疾病造成的心肌病变</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不在保障范围内。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68"/>
              <w:rPr>
                <w:sz w:val="21"/>
              </w:rPr>
            </w:pPr>
            <w:r>
              <w:rPr>
                <w:sz w:val="21"/>
              </w:rPr>
              <w:t>*美国纽约心脏协会分类标准心功能四级是指有医院的医疗记录显示病人不能 </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68"/>
              <w:rPr>
                <w:sz w:val="21"/>
              </w:rPr>
            </w:pPr>
            <w:r>
              <w:rPr>
                <w:sz w:val="21"/>
              </w:rPr>
              <w:t>进行任何活动，休息时仍有心悸、呼吸困难等心力衰竭表现。 </w:t>
            </w:r>
          </w:p>
        </w:tc>
      </w:tr>
      <w:tr>
        <w:trPr>
          <w:trHeight w:val="303" w:hRule="atLeast"/>
        </w:trPr>
        <w:tc>
          <w:tcPr>
            <w:tcW w:w="2208" w:type="dxa"/>
            <w:gridSpan w:val="2"/>
            <w:vMerge/>
            <w:tcBorders>
              <w:top w:val="nil"/>
            </w:tcBorders>
          </w:tcPr>
          <w:p>
            <w:pPr>
              <w:rPr>
                <w:sz w:val="2"/>
                <w:szCs w:val="2"/>
              </w:rPr>
            </w:pPr>
          </w:p>
        </w:tc>
        <w:tc>
          <w:tcPr>
            <w:tcW w:w="7867" w:type="dxa"/>
          </w:tcPr>
          <w:p>
            <w:pPr>
              <w:pStyle w:val="TableParagraph"/>
              <w:spacing w:line="244" w:lineRule="exact"/>
              <w:ind w:left="556"/>
              <w:rPr>
                <w:sz w:val="21"/>
              </w:rPr>
            </w:pPr>
            <w:r>
              <w:rPr>
                <w:sz w:val="21"/>
              </w:rPr>
              <w:t>三十三、重症肌无力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是指一种神经与肌肉接头部位传递障碍的自身免疫性疾病，临床特征是局部或</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pacing w:val="-8"/>
                <w:sz w:val="21"/>
              </w:rPr>
              <w:t>全身横纹肌于活动时易于疲劳无力，颅神经眼外肌最易累及，也可涉及呼吸肌、</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下肢近端肌群乃至全身肌肉，须经神经专科医生确诊。其诊断必须同时具有下</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列情况：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（1）经药物、胸腺手术治疗一年以上无法控制病情，丧失正常工作能力；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（2）出现眼睑下垂，或延髓肌受累引起的构音困难、进食呛咳，或由于肌无力</w:t>
            </w:r>
          </w:p>
        </w:tc>
      </w:tr>
      <w:tr>
        <w:trPr>
          <w:trHeight w:val="301"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累及延髓肌、呼吸肌而致机体呼吸功能不正常的危急状态即肌无力危象； </w:t>
            </w:r>
          </w:p>
        </w:tc>
      </w:tr>
      <w:tr>
        <w:trPr>
          <w:trHeight w:val="280"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（3） 症状缓解、复发及恶化交替出现，临床接受新斯的明等抗胆碱酯酶药物</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治疗的病史。 </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三十四、经输血导致的人类免疫缺陷病毒（HIV）感染 </w:t>
            </w:r>
          </w:p>
        </w:tc>
      </w:tr>
      <w:tr>
        <w:trPr>
          <w:trHeight w:val="302" w:hRule="atLeast"/>
        </w:trPr>
        <w:tc>
          <w:tcPr>
            <w:tcW w:w="2208" w:type="dxa"/>
            <w:gridSpan w:val="2"/>
            <w:vMerge/>
            <w:tcBorders>
              <w:top w:val="nil"/>
            </w:tcBorders>
          </w:tcPr>
          <w:p>
            <w:pPr>
              <w:rPr>
                <w:sz w:val="2"/>
                <w:szCs w:val="2"/>
              </w:rPr>
            </w:pPr>
          </w:p>
        </w:tc>
        <w:tc>
          <w:tcPr>
            <w:tcW w:w="7867" w:type="dxa"/>
          </w:tcPr>
          <w:p>
            <w:pPr>
              <w:pStyle w:val="TableParagraph"/>
              <w:spacing w:line="243" w:lineRule="exact"/>
              <w:ind w:left="556"/>
              <w:rPr>
                <w:sz w:val="21"/>
              </w:rPr>
            </w:pPr>
            <w:r>
              <w:rPr>
                <w:sz w:val="21"/>
              </w:rPr>
              <w:t>是指被保险人感染上人类免疫缺陷病毒并且符合下列所有条件：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（1）在本主险合同生效或最后复效日（以较迟者为准）之后，被保险人因治疗</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必需而接受输血，并且因输血而感染人类免疫缺陷病毒；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（2）提供输血治疗的输血中心或医院出具该项输血感染属医疗责任事故的报</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告，或者法院终审裁定为医疗责任并且不准上诉；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（3）提供输血治疗的输血中心或医院必须拥有合法经营执照；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（4）受感染的被保险人不是血友病患者；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在任何治愈艾滋病或阻止人类免疫缺陷病毒病毒作用的疗法被发现以后，或能</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防止艾滋病发生的医疗方法被研究出来以后，本保障将不再予以赔付。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任何因其他传播方式（包括：性传播或静脉注射毒品）导致的人类免疫缺陷病</w:t>
            </w:r>
          </w:p>
        </w:tc>
      </w:tr>
      <w:tr>
        <w:trPr>
          <w:trHeight w:val="301"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毒感染不在本合同保障范围内。 </w:t>
            </w:r>
          </w:p>
        </w:tc>
      </w:tr>
      <w:tr>
        <w:trPr>
          <w:trHeight w:val="281"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保险公司必须拥有获得使用被保险人的血液样本的权利和能够对这些样本进行</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独立检验的权利。 </w:t>
            </w:r>
          </w:p>
        </w:tc>
      </w:tr>
      <w:tr>
        <w:trPr>
          <w:trHeight w:val="291" w:hRule="atLeast"/>
        </w:trPr>
        <w:tc>
          <w:tcPr>
            <w:tcW w:w="2208" w:type="dxa"/>
            <w:gridSpan w:val="2"/>
            <w:vMerge/>
            <w:tcBorders>
              <w:top w:val="nil"/>
            </w:tcBorders>
          </w:tcPr>
          <w:p>
            <w:pPr>
              <w:rPr>
                <w:sz w:val="2"/>
                <w:szCs w:val="2"/>
              </w:rPr>
            </w:pPr>
          </w:p>
        </w:tc>
        <w:tc>
          <w:tcPr>
            <w:tcW w:w="7867" w:type="dxa"/>
          </w:tcPr>
          <w:p>
            <w:pPr>
              <w:pStyle w:val="TableParagraph"/>
              <w:spacing w:line="243" w:lineRule="exact"/>
              <w:ind w:left="556"/>
              <w:rPr>
                <w:sz w:val="21"/>
              </w:rPr>
            </w:pPr>
            <w:r>
              <w:rPr>
                <w:sz w:val="21"/>
              </w:rPr>
              <w:t>三十五、严重类风湿性关节炎 </w:t>
            </w:r>
          </w:p>
        </w:tc>
      </w:tr>
      <w:tr>
        <w:trPr>
          <w:trHeight w:val="281"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指类风湿性关节炎患者必须符合以下三项标准: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(1)至少包括下列关节中的三组或以上有广泛受损和畸形改变:手指关节、腕关</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节、肘关节、膝关节、髋关节、踝关节、脊椎或脚趾关节；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(2)</w:t>
            </w:r>
            <w:r>
              <w:rPr>
                <w:spacing w:val="-7"/>
                <w:sz w:val="21"/>
              </w:rPr>
              <w:t>手和腕的后前位 </w:t>
            </w:r>
            <w:r>
              <w:rPr>
                <w:sz w:val="21"/>
              </w:rPr>
              <w:t>X</w:t>
            </w:r>
            <w:r>
              <w:rPr>
                <w:spacing w:val="-12"/>
                <w:sz w:val="21"/>
              </w:rPr>
              <w:t> 线拍片检查可见类风湿性关节炎的典型变化，包括骨质侵</w:t>
            </w:r>
          </w:p>
        </w:tc>
      </w:tr>
      <w:tr>
        <w:trPr>
          <w:trHeight w:val="271"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蚀或钙流失，位于受累关节及其邻近部位尤其明显；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(3)</w:t>
            </w:r>
            <w:r>
              <w:rPr>
                <w:spacing w:val="-6"/>
                <w:sz w:val="21"/>
              </w:rPr>
              <w:t>关节的畸形改变至少持续 </w:t>
            </w:r>
            <w:r>
              <w:rPr>
                <w:sz w:val="21"/>
              </w:rPr>
              <w:t>6</w:t>
            </w:r>
            <w:r>
              <w:rPr>
                <w:spacing w:val="-14"/>
                <w:sz w:val="21"/>
              </w:rPr>
              <w:t> 个月。必须经专科医生明确诊断，且首次已接受</w:t>
            </w:r>
          </w:p>
        </w:tc>
      </w:tr>
      <w:tr>
        <w:trPr>
          <w:trHeight w:val="478" w:hRule="atLeast"/>
        </w:trPr>
        <w:tc>
          <w:tcPr>
            <w:tcW w:w="629" w:type="dxa"/>
          </w:tcPr>
          <w:p>
            <w:pPr>
              <w:pStyle w:val="TableParagraph"/>
              <w:spacing w:before="179"/>
              <w:ind w:left="50"/>
              <w:rPr>
                <w:sz w:val="21"/>
              </w:rPr>
            </w:pPr>
            <w:r>
              <w:rPr>
                <w:w w:val="100"/>
                <w:sz w:val="21"/>
              </w:rPr>
              <w:t> </w:t>
            </w:r>
          </w:p>
        </w:tc>
        <w:tc>
          <w:tcPr>
            <w:tcW w:w="1579" w:type="dxa"/>
          </w:tcPr>
          <w:p>
            <w:pPr>
              <w:pStyle w:val="TableParagraph"/>
              <w:spacing w:before="179"/>
              <w:ind w:left="176"/>
              <w:rPr>
                <w:sz w:val="21"/>
              </w:rPr>
            </w:pPr>
            <w:r>
              <w:rPr>
                <w:w w:val="100"/>
                <w:sz w:val="21"/>
              </w:rPr>
              <w:t> </w:t>
            </w:r>
          </w:p>
        </w:tc>
        <w:tc>
          <w:tcPr>
            <w:tcW w:w="7867" w:type="dxa"/>
          </w:tcPr>
          <w:p>
            <w:pPr>
              <w:pStyle w:val="TableParagraph"/>
              <w:spacing w:line="207" w:lineRule="exact"/>
              <w:ind w:left="556"/>
              <w:rPr>
                <w:sz w:val="21"/>
              </w:rPr>
            </w:pPr>
            <w:r>
              <w:rPr>
                <w:sz w:val="21"/>
              </w:rPr>
              <w:t>膝关节或髋关节置换手术。 </w:t>
            </w:r>
          </w:p>
          <w:p>
            <w:pPr>
              <w:pStyle w:val="TableParagraph"/>
              <w:spacing w:line="248" w:lineRule="exact"/>
              <w:ind w:left="556"/>
              <w:rPr>
                <w:sz w:val="21"/>
              </w:rPr>
            </w:pPr>
            <w:r>
              <w:rPr>
                <w:w w:val="100"/>
                <w:sz w:val="21"/>
              </w:rPr>
              <w:t> </w:t>
            </w:r>
          </w:p>
        </w:tc>
      </w:tr>
      <w:tr>
        <w:trPr>
          <w:trHeight w:val="273" w:hRule="atLeast"/>
        </w:trPr>
        <w:tc>
          <w:tcPr>
            <w:tcW w:w="629" w:type="dxa"/>
          </w:tcPr>
          <w:p>
            <w:pPr>
              <w:pStyle w:val="TableParagraph"/>
              <w:spacing w:line="251" w:lineRule="exact"/>
              <w:ind w:left="50"/>
              <w:rPr>
                <w:rFonts w:ascii="Microsoft JhengHei"/>
                <w:b/>
                <w:sz w:val="21"/>
              </w:rPr>
            </w:pPr>
            <w:r>
              <w:rPr>
                <w:rFonts w:ascii="Microsoft JhengHei"/>
                <w:b/>
                <w:w w:val="90"/>
                <w:sz w:val="21"/>
              </w:rPr>
              <w:t>10. 7</w:t>
            </w:r>
          </w:p>
        </w:tc>
        <w:tc>
          <w:tcPr>
            <w:tcW w:w="1579" w:type="dxa"/>
          </w:tcPr>
          <w:p>
            <w:pPr>
              <w:pStyle w:val="TableParagraph"/>
              <w:spacing w:line="251" w:lineRule="exact"/>
              <w:ind w:left="176"/>
              <w:rPr>
                <w:rFonts w:ascii="Microsoft JhengHei" w:eastAsia="Microsoft JhengHei" w:hint="eastAsia"/>
                <w:b/>
                <w:sz w:val="21"/>
              </w:rPr>
            </w:pPr>
            <w:r>
              <w:rPr>
                <w:rFonts w:ascii="Microsoft JhengHei" w:eastAsia="Microsoft JhengHei" w:hint="eastAsia"/>
                <w:b/>
                <w:sz w:val="21"/>
              </w:rPr>
              <w:t>轻症疾病</w:t>
            </w:r>
          </w:p>
        </w:tc>
        <w:tc>
          <w:tcPr>
            <w:tcW w:w="7867" w:type="dxa"/>
          </w:tcPr>
          <w:p>
            <w:pPr>
              <w:pStyle w:val="TableParagraph"/>
              <w:spacing w:line="228" w:lineRule="exact"/>
              <w:ind w:left="556"/>
              <w:rPr>
                <w:sz w:val="21"/>
              </w:rPr>
            </w:pPr>
            <w:r>
              <w:rPr>
                <w:spacing w:val="-3"/>
                <w:w w:val="100"/>
                <w:sz w:val="21"/>
              </w:rPr>
              <w:t>为了扩大本主险合同的保障范围</w:t>
            </w:r>
            <w:r>
              <w:rPr>
                <w:spacing w:val="-17"/>
                <w:w w:val="100"/>
                <w:sz w:val="21"/>
              </w:rPr>
              <w:t>，“一”至“十八”项所列轻症疾病名称及疾病</w:t>
            </w:r>
          </w:p>
        </w:tc>
      </w:tr>
      <w:tr>
        <w:trPr>
          <w:trHeight w:val="264" w:hRule="atLeast"/>
        </w:trPr>
        <w:tc>
          <w:tcPr>
            <w:tcW w:w="629" w:type="dxa"/>
          </w:tcPr>
          <w:p>
            <w:pPr>
              <w:pStyle w:val="TableParagraph"/>
              <w:rPr>
                <w:rFonts w:ascii="Times New Roman"/>
                <w:sz w:val="18"/>
              </w:rPr>
            </w:pPr>
          </w:p>
        </w:tc>
        <w:tc>
          <w:tcPr>
            <w:tcW w:w="1579" w:type="dxa"/>
          </w:tcPr>
          <w:p>
            <w:pPr>
              <w:pStyle w:val="TableParagraph"/>
              <w:rPr>
                <w:rFonts w:ascii="Times New Roman"/>
                <w:sz w:val="18"/>
              </w:rPr>
            </w:pPr>
          </w:p>
        </w:tc>
        <w:tc>
          <w:tcPr>
            <w:tcW w:w="7867" w:type="dxa"/>
          </w:tcPr>
          <w:p>
            <w:pPr>
              <w:pStyle w:val="TableParagraph"/>
              <w:spacing w:line="225" w:lineRule="exact"/>
              <w:ind w:left="556"/>
              <w:rPr>
                <w:sz w:val="21"/>
              </w:rPr>
            </w:pPr>
            <w:r>
              <w:rPr>
                <w:sz w:val="21"/>
              </w:rPr>
              <w:t>定义由我们自行制定使用。</w:t>
            </w:r>
          </w:p>
        </w:tc>
      </w:tr>
      <w:tr>
        <w:trPr>
          <w:trHeight w:val="272"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34" w:lineRule="exact"/>
              <w:ind w:left="556"/>
              <w:rPr>
                <w:sz w:val="21"/>
              </w:rPr>
            </w:pPr>
            <w:r>
              <w:rPr>
                <w:sz w:val="21"/>
              </w:rPr>
              <w:t>被保险人发生符合以下疾病定义所述条件的疾病，应当由专科医生明确诊断。</w:t>
            </w:r>
          </w:p>
        </w:tc>
      </w:tr>
      <w:tr>
        <w:trPr>
          <w:trHeight w:val="283"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32" w:lineRule="exact"/>
              <w:ind w:left="556"/>
              <w:rPr>
                <w:sz w:val="21"/>
              </w:rPr>
            </w:pPr>
            <w:r>
              <w:rPr>
                <w:sz w:val="21"/>
              </w:rPr>
              <w:t>一、极早期的恶性肿瘤或恶性病变</w:t>
            </w:r>
          </w:p>
        </w:tc>
      </w:tr>
      <w:tr>
        <w:trPr>
          <w:trHeight w:val="253" w:hRule="atLeast"/>
        </w:trPr>
        <w:tc>
          <w:tcPr>
            <w:tcW w:w="629" w:type="dxa"/>
          </w:tcPr>
          <w:p>
            <w:pPr>
              <w:pStyle w:val="TableParagraph"/>
              <w:rPr>
                <w:rFonts w:ascii="Times New Roman"/>
                <w:sz w:val="18"/>
              </w:rPr>
            </w:pPr>
          </w:p>
        </w:tc>
        <w:tc>
          <w:tcPr>
            <w:tcW w:w="1579" w:type="dxa"/>
          </w:tcPr>
          <w:p>
            <w:pPr>
              <w:pStyle w:val="TableParagraph"/>
              <w:rPr>
                <w:rFonts w:ascii="Times New Roman"/>
                <w:sz w:val="18"/>
              </w:rPr>
            </w:pPr>
          </w:p>
        </w:tc>
        <w:tc>
          <w:tcPr>
            <w:tcW w:w="7867" w:type="dxa"/>
          </w:tcPr>
          <w:p>
            <w:pPr>
              <w:pStyle w:val="TableParagraph"/>
              <w:spacing w:line="233" w:lineRule="exact"/>
              <w:ind w:left="556"/>
              <w:rPr>
                <w:sz w:val="21"/>
              </w:rPr>
            </w:pPr>
            <w:r>
              <w:rPr>
                <w:sz w:val="21"/>
              </w:rPr>
              <w:t>指经组织病理学检查被明确诊断为下列恶性病变，并且接受了相应的治疗。 </w:t>
            </w:r>
          </w:p>
        </w:tc>
      </w:tr>
    </w:tbl>
    <w:p>
      <w:pPr>
        <w:spacing w:after="0" w:line="233" w:lineRule="exact"/>
        <w:rPr>
          <w:sz w:val="21"/>
        </w:rPr>
        <w:sectPr>
          <w:pgSz w:w="11900" w:h="16840"/>
          <w:pgMar w:header="0" w:footer="596" w:top="1240" w:bottom="860" w:left="860" w:right="740"/>
        </w:sectPr>
      </w:pPr>
    </w:p>
    <w:p>
      <w:pPr>
        <w:pStyle w:val="BodyText"/>
        <w:spacing w:before="9"/>
      </w:pPr>
      <w:r>
        <w:rPr/>
        <w:t>（1）原位癌 </w:t>
      </w:r>
    </w:p>
    <w:p>
      <w:pPr>
        <w:pStyle w:val="BodyText"/>
        <w:spacing w:before="37"/>
      </w:pPr>
      <w:r>
        <w:rPr/>
        <w:t>（2）相当于 Binet 分期方案 A 期程度的慢性淋巴细胞白血病； </w:t>
      </w:r>
    </w:p>
    <w:p>
      <w:pPr>
        <w:pStyle w:val="BodyText"/>
        <w:spacing w:before="37"/>
      </w:pPr>
      <w:r>
        <w:rPr/>
        <w:t>（3）相当于 Ann Arbor 分期方案 I 期程度的何杰金氏病； </w:t>
      </w:r>
    </w:p>
    <w:p>
      <w:pPr>
        <w:pStyle w:val="BodyText"/>
        <w:spacing w:before="37"/>
      </w:pPr>
      <w:r>
        <w:rPr/>
        <w:t>（4）皮肤癌； </w:t>
      </w:r>
    </w:p>
    <w:p>
      <w:pPr>
        <w:pStyle w:val="BodyText"/>
        <w:spacing w:line="273" w:lineRule="exact" w:before="15"/>
      </w:pPr>
      <w:r>
        <w:rPr/>
        <w:t>（5）TNM 分期为 T1N0M0 期或更轻分期的前列腺癌。 </w:t>
      </w:r>
    </w:p>
    <w:p>
      <w:pPr>
        <w:pStyle w:val="BodyText"/>
        <w:spacing w:line="273" w:lineRule="exact"/>
      </w:pPr>
      <w:r>
        <w:rPr/>
        <w:t>二、不典型的急性心肌梗塞 </w:t>
      </w:r>
    </w:p>
    <w:p>
      <w:pPr>
        <w:pStyle w:val="BodyText"/>
        <w:spacing w:line="273" w:lineRule="auto" w:before="21"/>
        <w:ind w:right="215"/>
      </w:pPr>
      <w:r>
        <w:rPr/>
        <w:t>指被临床诊断为急性心肌梗塞并接受了急性心肌梗塞治疗，虽然未达到重大疾病“急性心肌梗塞”的给付标准，但满足下列全部条件： </w:t>
      </w:r>
    </w:p>
    <w:p>
      <w:pPr>
        <w:pStyle w:val="BodyText"/>
        <w:spacing w:before="8"/>
      </w:pPr>
      <w:r>
        <w:rPr/>
        <w:t>（1）肌钙蛋白有诊断意义的升高； </w:t>
      </w:r>
    </w:p>
    <w:p>
      <w:pPr>
        <w:pStyle w:val="BodyText"/>
        <w:spacing w:before="37"/>
      </w:pPr>
      <w:r>
        <w:rPr/>
        <w:t>（2）心电图有损伤性的 ST 段改变但未出现病理 Q 波。 </w:t>
      </w:r>
    </w:p>
    <w:p>
      <w:pPr>
        <w:pStyle w:val="BodyText"/>
        <w:spacing w:line="273" w:lineRule="exact" w:before="15"/>
      </w:pPr>
      <w:r>
        <w:rPr/>
        <w:t>如果被保险人在出现不典型的急性心肌梗塞后接受冠状动脉介入手术治疗，该</w:t>
      </w:r>
    </w:p>
    <w:p>
      <w:pPr>
        <w:pStyle w:val="BodyText"/>
        <w:spacing w:line="272" w:lineRule="exact"/>
      </w:pPr>
      <w:r>
        <w:rPr/>
        <w:t>冠状动脉介入手术与不典型的急性心肌梗塞视为同一轻症疾病。 </w:t>
      </w:r>
    </w:p>
    <w:p>
      <w:pPr>
        <w:pStyle w:val="BodyText"/>
        <w:spacing w:line="274" w:lineRule="exact"/>
      </w:pPr>
      <w:r>
        <w:rPr/>
        <w:t>三、冠状动脉介入手术 </w:t>
      </w:r>
    </w:p>
    <w:p>
      <w:pPr>
        <w:pStyle w:val="BodyText"/>
        <w:spacing w:before="17"/>
      </w:pPr>
      <w:r>
        <w:rPr/>
        <w:t>为了治疗明显的冠状动脉狭窄性疾病，首次实际实施了冠状动脉球囊扩张成形</w:t>
      </w:r>
    </w:p>
    <w:p>
      <w:pPr>
        <w:pStyle w:val="BodyText"/>
        <w:spacing w:before="36"/>
      </w:pPr>
      <w:r>
        <w:rPr/>
        <w:t>术、冠状动脉支架植入术或激光冠状动脉成形术。 </w:t>
      </w:r>
    </w:p>
    <w:p>
      <w:pPr>
        <w:pStyle w:val="BodyText"/>
        <w:spacing w:before="36"/>
      </w:pPr>
      <w:r>
        <w:rPr/>
        <w:t>如果被保险人在出现不典型的急性心肌梗塞后接受冠状动脉介入手术治疗，该</w:t>
      </w:r>
    </w:p>
    <w:p>
      <w:pPr>
        <w:pStyle w:val="BodyText"/>
        <w:spacing w:line="254" w:lineRule="auto" w:before="36"/>
        <w:ind w:right="1375"/>
      </w:pPr>
      <w:r>
        <w:rPr/>
        <w:t>冠状动脉介入手术与不典型的急性心肌梗塞视为同一轻症疾病。四、轻微脑中风</w:t>
      </w:r>
    </w:p>
    <w:p>
      <w:pPr>
        <w:pStyle w:val="BodyText"/>
        <w:spacing w:before="7"/>
      </w:pPr>
      <w:r>
        <w:rPr/>
        <w:t>指实际发生了脑血管的突发病变出现神经系统功能障碍表现，头颅断层扫描</w:t>
      </w:r>
    </w:p>
    <w:p>
      <w:pPr>
        <w:pStyle w:val="BodyText"/>
        <w:spacing w:line="273" w:lineRule="auto" w:before="37"/>
        <w:ind w:right="209"/>
        <w:jc w:val="both"/>
      </w:pPr>
      <w:r>
        <w:rPr>
          <w:spacing w:val="-5"/>
        </w:rPr>
        <w:t>（CT）</w:t>
      </w:r>
      <w:r>
        <w:rPr>
          <w:spacing w:val="-9"/>
        </w:rPr>
        <w:t>、核磁共振</w:t>
      </w:r>
      <w:r>
        <w:rPr>
          <w:spacing w:val="-5"/>
        </w:rPr>
        <w:t>（MRI）等影像学检查证实存在对应病灶，确诊为脑出血、脑</w:t>
      </w:r>
      <w:r>
        <w:rPr>
          <w:spacing w:val="-13"/>
        </w:rPr>
        <w:t>栓塞或脑梗塞，在确诊 </w:t>
      </w:r>
      <w:r>
        <w:rPr/>
        <w:t>180</w:t>
      </w:r>
      <w:r>
        <w:rPr>
          <w:spacing w:val="-3"/>
        </w:rPr>
        <w:t> 天后未遗留神经系统功能障碍或后遗的神经系统功能障碍程度未达到重大疾病“脑中风后遗症”的给付标准。</w:t>
      </w:r>
      <w:r>
        <w:rPr/>
        <w:t> </w:t>
      </w:r>
    </w:p>
    <w:p>
      <w:pPr>
        <w:pStyle w:val="BodyText"/>
        <w:spacing w:line="259" w:lineRule="exact"/>
      </w:pPr>
      <w:r>
        <w:rPr/>
        <w:t>短暂性脑缺血发作(TIA) 和腔隙性脑梗塞不在保障范围内。 </w:t>
      </w:r>
    </w:p>
    <w:p>
      <w:pPr>
        <w:pStyle w:val="BodyText"/>
        <w:spacing w:line="273" w:lineRule="exact"/>
      </w:pPr>
      <w:r>
        <w:rPr/>
        <w:t>五、心脏瓣膜介入手术</w:t>
      </w:r>
    </w:p>
    <w:p>
      <w:pPr>
        <w:pStyle w:val="BodyText"/>
        <w:spacing w:before="20"/>
      </w:pPr>
      <w:r>
        <w:rPr/>
        <w:t>为了治疗心脏瓣膜疾病，实际实施了非开胸的经胸壁打孔内镜手术或经皮经导</w:t>
      </w:r>
    </w:p>
    <w:p>
      <w:pPr>
        <w:pStyle w:val="BodyText"/>
        <w:spacing w:line="254" w:lineRule="auto" w:before="36"/>
        <w:ind w:right="3055"/>
      </w:pPr>
      <w:r>
        <w:rPr/>
        <w:t>管介入手术进行的心脏瓣膜置换或修复手术。六、视力严重受损</w:t>
      </w:r>
    </w:p>
    <w:p>
      <w:pPr>
        <w:pStyle w:val="BodyText"/>
        <w:spacing w:before="4"/>
      </w:pPr>
      <w:r>
        <w:rPr/>
        <w:t>指因疾病或意外伤害导致双目视力永久不可逆性丧失，虽然未达到重大疾病</w:t>
      </w:r>
    </w:p>
    <w:p>
      <w:pPr>
        <w:pStyle w:val="BodyText"/>
        <w:spacing w:before="36"/>
      </w:pPr>
      <w:r>
        <w:rPr/>
        <w:t>“双目失明”的给付标准，但满足下列全部条件： </w:t>
      </w:r>
    </w:p>
    <w:p>
      <w:pPr>
        <w:pStyle w:val="BodyText"/>
        <w:spacing w:before="36"/>
      </w:pPr>
      <w:r>
        <w:rPr/>
        <w:t>（1）双眼中较好眼矫正视力低于 0.1（采用国际标准视力表，如果使用其他视</w:t>
      </w:r>
    </w:p>
    <w:p>
      <w:pPr>
        <w:pStyle w:val="BodyText"/>
        <w:spacing w:before="36"/>
      </w:pPr>
      <w:r>
        <w:rPr/>
        <w:t>力表应进行换算）； </w:t>
      </w:r>
    </w:p>
    <w:p>
      <w:pPr>
        <w:pStyle w:val="BodyText"/>
        <w:spacing w:before="36"/>
      </w:pPr>
      <w:r>
        <w:rPr/>
        <w:t>（2）视野半径小于 20 度。 </w:t>
      </w:r>
    </w:p>
    <w:p>
      <w:pPr>
        <w:pStyle w:val="BodyText"/>
        <w:spacing w:before="15"/>
        <w:ind w:right="221"/>
      </w:pPr>
      <w:r>
        <w:rPr>
          <w:spacing w:val="-5"/>
        </w:rPr>
        <w:t>申请理赔时，被保险人年龄必须在 </w:t>
      </w:r>
      <w:r>
        <w:rPr/>
        <w:t>3</w:t>
      </w:r>
      <w:r>
        <w:rPr>
          <w:spacing w:val="-8"/>
        </w:rPr>
        <w:t> 周岁以上，并且须提供理赔当时的视力丧</w:t>
      </w:r>
      <w:r>
        <w:rPr>
          <w:spacing w:val="-3"/>
        </w:rPr>
        <w:t>失诊断及检查证据。</w:t>
      </w:r>
      <w:r>
        <w:rPr/>
        <w:t> </w:t>
      </w:r>
    </w:p>
    <w:p>
      <w:pPr>
        <w:pStyle w:val="BodyText"/>
        <w:spacing w:line="271" w:lineRule="exact"/>
      </w:pPr>
      <w:r>
        <w:rPr/>
        <w:t>七、较小面积 III 度烧伤</w:t>
      </w:r>
    </w:p>
    <w:p>
      <w:pPr>
        <w:pStyle w:val="BodyText"/>
        <w:spacing w:before="20"/>
      </w:pPr>
      <w:r>
        <w:rPr/>
        <w:t>指烧伤程度为Ⅲ度，且Ⅲ度烧伤的面积达到全身体表面积的 15％或 15％以上。</w:t>
      </w:r>
    </w:p>
    <w:p>
      <w:pPr>
        <w:pStyle w:val="BodyText"/>
        <w:spacing w:before="37"/>
      </w:pPr>
      <w:r>
        <w:rPr/>
        <w:t>体表面积根据《中国新九分法》计算。 </w:t>
      </w:r>
    </w:p>
    <w:p>
      <w:pPr>
        <w:pStyle w:val="BodyText"/>
        <w:spacing w:before="15"/>
      </w:pPr>
      <w:r>
        <w:rPr/>
        <w:t>八、主动脉内手术 </w:t>
      </w:r>
    </w:p>
    <w:p>
      <w:pPr>
        <w:pStyle w:val="BodyText"/>
        <w:spacing w:before="17"/>
      </w:pPr>
      <w:r>
        <w:rPr/>
        <w:t>为了治疗主动脉疾病实际实施了经皮经导管进行的动脉内手术。 </w:t>
      </w:r>
    </w:p>
    <w:p>
      <w:pPr>
        <w:pStyle w:val="BodyText"/>
        <w:spacing w:line="274" w:lineRule="exact" w:before="15"/>
      </w:pPr>
      <w:r>
        <w:rPr/>
        <w:t>主动脉指胸主动脉和腹主动脉，不包括胸主动脉和腹主动脉的分支血管。 </w:t>
      </w:r>
    </w:p>
    <w:p>
      <w:pPr>
        <w:pStyle w:val="BodyText"/>
        <w:spacing w:line="274" w:lineRule="exact"/>
      </w:pPr>
      <w:r>
        <w:rPr/>
        <w:t>九、脑垂体瘤、脑囊肿、脑动脉瘤及脑血管瘤</w:t>
      </w:r>
    </w:p>
    <w:p>
      <w:pPr>
        <w:pStyle w:val="BodyText"/>
        <w:spacing w:before="18"/>
      </w:pPr>
      <w:r>
        <w:rPr/>
        <w:t>指经头颅断层扫描（CT）、核磁共振（MRI）或其他影像学检查被确诊为下列病</w:t>
      </w:r>
    </w:p>
    <w:p>
      <w:pPr>
        <w:pStyle w:val="BodyText"/>
        <w:spacing w:before="37"/>
      </w:pPr>
      <w:r>
        <w:rPr/>
        <w:t>变，并实际接受了手术或放射治疗。 </w:t>
      </w:r>
    </w:p>
    <w:p>
      <w:pPr>
        <w:pStyle w:val="BodyText"/>
        <w:spacing w:before="37"/>
      </w:pPr>
      <w:r>
        <w:rPr/>
        <w:t>（1）脑垂体瘤； </w:t>
      </w:r>
    </w:p>
    <w:p>
      <w:pPr>
        <w:pStyle w:val="BodyText"/>
        <w:spacing w:before="37"/>
      </w:pPr>
      <w:r>
        <w:rPr/>
        <w:t>（2）脑囊肿； </w:t>
      </w:r>
    </w:p>
    <w:p>
      <w:pPr>
        <w:pStyle w:val="BodyText"/>
        <w:spacing w:line="274" w:lineRule="exact" w:before="15"/>
      </w:pPr>
      <w:r>
        <w:rPr/>
        <w:t>（3）脑动脉瘤、脑血管瘤。 </w:t>
      </w:r>
    </w:p>
    <w:p>
      <w:pPr>
        <w:pStyle w:val="BodyText"/>
        <w:spacing w:line="274" w:lineRule="exact"/>
      </w:pPr>
      <w:r>
        <w:rPr/>
        <w:t>十、重度头部外伤</w:t>
      </w:r>
    </w:p>
    <w:p>
      <w:pPr>
        <w:pStyle w:val="BodyText"/>
        <w:spacing w:before="18"/>
      </w:pPr>
      <w:r>
        <w:rPr/>
        <w:t>指因头部遭受机械性外力，引起脑重要部位损伤，导致神经系统永久性的功能</w:t>
      </w:r>
    </w:p>
    <w:p>
      <w:pPr>
        <w:spacing w:after="0"/>
        <w:sectPr>
          <w:pgSz w:w="11900" w:h="16840"/>
          <w:pgMar w:header="0" w:footer="596" w:top="1180" w:bottom="860" w:left="1680" w:right="800"/>
        </w:sectPr>
      </w:pPr>
    </w:p>
    <w:p>
      <w:pPr>
        <w:pStyle w:val="BodyText"/>
        <w:spacing w:before="9"/>
        <w:ind w:left="2814"/>
      </w:pPr>
      <w:r>
        <w:rPr/>
        <w:t>障碍。须由头颅断层扫描（CT）、核磁共振检查（MRI）或正电子发射断层扫描</w:t>
      </w:r>
    </w:p>
    <w:p>
      <w:pPr>
        <w:pStyle w:val="BodyText"/>
        <w:spacing w:line="273" w:lineRule="auto" w:before="37"/>
        <w:ind w:left="2814" w:right="101"/>
      </w:pPr>
      <w:r>
        <w:rPr>
          <w:spacing w:val="-4"/>
        </w:rPr>
        <w:t>（PET）</w:t>
      </w:r>
      <w:r>
        <w:rPr>
          <w:spacing w:val="-8"/>
        </w:rPr>
        <w:t>等影像学检查证实。神经系统永久性的功能障碍，指脑损伤 </w:t>
      </w:r>
      <w:r>
        <w:rPr/>
        <w:t>180</w:t>
      </w:r>
      <w:r>
        <w:rPr>
          <w:spacing w:val="3"/>
        </w:rPr>
        <w:t> 天后， </w:t>
      </w:r>
      <w:r>
        <w:rPr>
          <w:spacing w:val="-3"/>
        </w:rPr>
        <w:t>仍完全丧失自主生活能力，无法独立完成六项基本日常生活活动中的二项或以</w:t>
      </w:r>
      <w:r>
        <w:rPr>
          <w:spacing w:val="-2"/>
        </w:rPr>
        <w:t>上。</w:t>
      </w:r>
      <w:r>
        <w:rPr/>
        <w:t> </w:t>
      </w:r>
    </w:p>
    <w:p>
      <w:pPr>
        <w:pStyle w:val="BodyText"/>
        <w:spacing w:line="261" w:lineRule="exact"/>
        <w:ind w:left="2814"/>
      </w:pPr>
      <w:r>
        <w:rPr/>
        <w:t>十一、Ⅲ度房室传导阻滞-已放置心脏起搏器 </w:t>
      </w:r>
    </w:p>
    <w:p>
      <w:pPr>
        <w:pStyle w:val="BodyText"/>
        <w:spacing w:line="273" w:lineRule="auto" w:before="18"/>
        <w:ind w:left="2814" w:right="211"/>
      </w:pPr>
      <w:r>
        <w:rPr/>
        <w:t>指心房激动在房室交界区、房室束及其分支内发生阻滞，不能正常地传到心室的心脏传导性疾病须满足下列所有条件： </w:t>
      </w:r>
    </w:p>
    <w:p>
      <w:pPr>
        <w:pStyle w:val="BodyText"/>
        <w:spacing w:before="7"/>
        <w:ind w:left="2814"/>
      </w:pPr>
      <w:r>
        <w:rPr/>
        <w:t>（1）心电图显示房室搏动彼此独立，心室率&lt;50 次/分钟； </w:t>
      </w:r>
    </w:p>
    <w:p>
      <w:pPr>
        <w:pStyle w:val="BodyText"/>
        <w:spacing w:before="36"/>
        <w:ind w:left="2814"/>
      </w:pPr>
      <w:r>
        <w:rPr/>
        <w:t>（2）出现阿-斯综合征或心力衰竭的表现；  </w:t>
      </w:r>
    </w:p>
    <w:p>
      <w:pPr>
        <w:pStyle w:val="BodyText"/>
        <w:spacing w:before="36"/>
        <w:ind w:left="2814"/>
      </w:pPr>
      <w:r>
        <w:rPr/>
        <w:t>（3）必须持续性依赖心脏起搏器维持心脏正常功能，且已经放置心脏起搏器。 </w:t>
      </w:r>
    </w:p>
    <w:p>
      <w:pPr>
        <w:pStyle w:val="BodyText"/>
        <w:spacing w:line="274" w:lineRule="exact" w:before="15"/>
        <w:ind w:left="2814"/>
      </w:pPr>
      <w:r>
        <w:rPr/>
        <w:t>十二、轻度原发性肺动脉高压</w:t>
      </w:r>
    </w:p>
    <w:p>
      <w:pPr>
        <w:pStyle w:val="BodyText"/>
        <w:spacing w:line="237" w:lineRule="auto" w:before="2"/>
        <w:ind w:left="2814" w:right="209"/>
        <w:jc w:val="both"/>
      </w:pPr>
      <w:r>
        <w:rPr>
          <w:spacing w:val="-3"/>
        </w:rPr>
        <w:t>指由于原发性肺动脉高压进行性发展而导致右心室肥厚，已经造成永久不可逆</w:t>
      </w:r>
      <w:r>
        <w:rPr>
          <w:spacing w:val="-7"/>
        </w:rPr>
        <w:t>性的体力活动能力受限，达到美国纽约心脏病学会心功能状态分级 </w:t>
      </w:r>
      <w:r>
        <w:rPr/>
        <w:t>III</w:t>
      </w:r>
      <w:r>
        <w:rPr>
          <w:spacing w:val="-1"/>
        </w:rPr>
        <w:t> 级，且</w:t>
      </w:r>
      <w:r>
        <w:rPr>
          <w:spacing w:val="-6"/>
        </w:rPr>
        <w:t>静息状态下肺动脉平均压超过 </w:t>
      </w:r>
      <w:r>
        <w:rPr/>
        <w:t>25mmHg</w:t>
      </w:r>
      <w:r>
        <w:rPr>
          <w:spacing w:val="-3"/>
        </w:rPr>
        <w:t>。</w:t>
      </w:r>
      <w:r>
        <w:rPr/>
        <w:t> </w:t>
      </w:r>
    </w:p>
    <w:p>
      <w:pPr>
        <w:pStyle w:val="BodyText"/>
        <w:spacing w:line="271" w:lineRule="exact"/>
        <w:ind w:left="2814"/>
      </w:pPr>
      <w:r>
        <w:rPr/>
        <w:t>十三、糖尿病及其并发症</w:t>
      </w:r>
    </w:p>
    <w:p>
      <w:pPr>
        <w:pStyle w:val="BodyText"/>
        <w:spacing w:before="20"/>
        <w:ind w:left="2814"/>
      </w:pPr>
      <w:r>
        <w:rPr/>
        <w:t>指被保险人被确诊为糖尿病，并且出现以下任意一项并发症： </w:t>
      </w:r>
    </w:p>
    <w:p>
      <w:pPr>
        <w:pStyle w:val="BodyText"/>
        <w:spacing w:before="36"/>
        <w:ind w:left="2814"/>
      </w:pPr>
      <w:r>
        <w:rPr/>
        <w:t>（1）糖尿病导致肢体坏疽，并实施了脚趾切除手术； </w:t>
      </w:r>
    </w:p>
    <w:p>
      <w:pPr>
        <w:pStyle w:val="BodyText"/>
        <w:spacing w:before="36"/>
        <w:ind w:left="2814"/>
      </w:pPr>
      <w:r>
        <w:rPr/>
        <w:t>（2）糖尿病导致糖尿病肾病，出现持续 180 天以上的血肌酐值大于 2.5mg/dl</w:t>
      </w:r>
    </w:p>
    <w:p>
      <w:pPr>
        <w:pStyle w:val="BodyText"/>
        <w:spacing w:before="36"/>
        <w:ind w:left="2814"/>
      </w:pPr>
      <w:r>
        <w:rPr/>
        <w:t>或肌酐清除率小于 25%。 </w:t>
      </w:r>
    </w:p>
    <w:p>
      <w:pPr>
        <w:pStyle w:val="BodyText"/>
        <w:spacing w:before="15"/>
        <w:ind w:left="2814"/>
      </w:pPr>
      <w:r>
        <w:rPr/>
        <w:t>十四、风湿热伴心脏瓣膜损害</w:t>
      </w:r>
    </w:p>
    <w:p>
      <w:pPr>
        <w:pStyle w:val="BodyText"/>
        <w:spacing w:line="273" w:lineRule="auto" w:before="18"/>
        <w:ind w:left="2814" w:right="209"/>
        <w:jc w:val="both"/>
      </w:pPr>
      <w:r>
        <w:rPr>
          <w:spacing w:val="-6"/>
        </w:rPr>
        <w:t>由专科医生依照经过修订的 </w:t>
      </w:r>
      <w:r>
        <w:rPr/>
        <w:t>Jones</w:t>
      </w:r>
      <w:r>
        <w:rPr>
          <w:spacing w:val="-7"/>
        </w:rPr>
        <w:t> 风湿热诊断标准确诊患有急性风湿热，并且</w:t>
      </w:r>
      <w:r>
        <w:rPr>
          <w:spacing w:val="-5"/>
        </w:rPr>
        <w:t>经心脏专科医生通过心脏瓣膜功能定量检查确认至少有一个或多个心脏瓣膜因</w:t>
      </w:r>
      <w:r>
        <w:rPr>
          <w:spacing w:val="-4"/>
        </w:rPr>
        <w:t>风湿热引起轻度瓣膜关闭不全。</w:t>
      </w:r>
      <w:r>
        <w:rPr/>
        <w:t> </w:t>
      </w:r>
    </w:p>
    <w:p>
      <w:pPr>
        <w:pStyle w:val="BodyText"/>
        <w:spacing w:before="8"/>
        <w:ind w:left="2814"/>
      </w:pPr>
      <w:r>
        <w:rPr/>
        <w:t>若被保险人已符合 “心脏瓣膜手术”给付标准的，则不在本主险合同保障范围</w:t>
      </w:r>
    </w:p>
    <w:p>
      <w:pPr>
        <w:pStyle w:val="BodyText"/>
        <w:spacing w:before="37"/>
        <w:ind w:left="2814"/>
      </w:pPr>
      <w:r>
        <w:rPr/>
        <w:t>内。 </w:t>
      </w:r>
    </w:p>
    <w:p>
      <w:pPr>
        <w:pStyle w:val="BodyText"/>
        <w:spacing w:before="37"/>
        <w:ind w:left="2814"/>
      </w:pPr>
      <w:r>
        <w:rPr/>
        <w:t>十五、因意外伤害毁容而施行的面部整形手术</w:t>
      </w:r>
    </w:p>
    <w:p>
      <w:pPr>
        <w:pStyle w:val="BodyText"/>
        <w:spacing w:line="273" w:lineRule="auto" w:before="37"/>
        <w:ind w:left="2814" w:right="211"/>
        <w:jc w:val="both"/>
      </w:pPr>
      <w:r>
        <w:rPr/>
        <w:t>实际接受了在全身麻醉的情況下，由整形外科医生实施的对严重缺陷、缺失、损害或变形的面部形态和结构进行修复或重建的面部整形手术，以矫正由于意外伤害或暴力袭击造成的面部毁损。 </w:t>
      </w:r>
    </w:p>
    <w:p>
      <w:pPr>
        <w:pStyle w:val="BodyText"/>
        <w:spacing w:before="7"/>
        <w:ind w:left="2814"/>
      </w:pPr>
      <w:r>
        <w:rPr/>
        <w:t>面部整形手术必须在意外伤害后的 180 天内实施。因面部外伤后遗留的线条状</w:t>
      </w:r>
    </w:p>
    <w:p>
      <w:pPr>
        <w:pStyle w:val="BodyText"/>
        <w:spacing w:before="36"/>
        <w:ind w:left="2814"/>
      </w:pPr>
      <w:r>
        <w:rPr/>
        <w:t>瘢痕及色素沉着而施行的手术不在保障范围内。 </w:t>
      </w:r>
    </w:p>
    <w:p>
      <w:pPr>
        <w:pStyle w:val="BodyText"/>
        <w:spacing w:before="36"/>
        <w:ind w:left="2814"/>
      </w:pPr>
      <w:r>
        <w:rPr/>
        <w:t>意外伤害必须满足下列全部条件： </w:t>
      </w:r>
    </w:p>
    <w:p>
      <w:pPr>
        <w:pStyle w:val="BodyText"/>
        <w:spacing w:line="273" w:lineRule="auto" w:before="36"/>
        <w:ind w:left="2814" w:right="209"/>
      </w:pPr>
      <w:r>
        <w:rPr>
          <w:spacing w:val="-17"/>
        </w:rPr>
        <w:t>（1）</w:t>
      </w:r>
      <w:r>
        <w:rPr>
          <w:spacing w:val="-5"/>
        </w:rPr>
        <w:t>由外在暴力引起并且造成表面可视性伤口和面部骨结构损害的，或面部皮</w:t>
      </w:r>
      <w:r>
        <w:rPr>
          <w:spacing w:val="-4"/>
        </w:rPr>
        <w:t>肤三度或全层意外烧伤；</w:t>
      </w:r>
      <w:r>
        <w:rPr/>
        <w:t> </w:t>
      </w:r>
    </w:p>
    <w:p>
      <w:pPr>
        <w:pStyle w:val="BodyText"/>
        <w:spacing w:line="260" w:lineRule="exact"/>
        <w:ind w:left="2814"/>
      </w:pPr>
      <w:r>
        <w:rPr/>
        <w:t>（2）是造成面部毁损的直接和独立的原因。 </w:t>
      </w:r>
    </w:p>
    <w:p>
      <w:pPr>
        <w:pStyle w:val="BodyText"/>
        <w:spacing w:line="272" w:lineRule="exact"/>
        <w:ind w:left="2814"/>
      </w:pPr>
      <w:r>
        <w:rPr/>
        <w:t>十六、双侧卵巢切除术 </w:t>
      </w:r>
    </w:p>
    <w:p>
      <w:pPr>
        <w:pStyle w:val="BodyText"/>
        <w:spacing w:line="272" w:lineRule="exact"/>
        <w:ind w:left="2814"/>
      </w:pPr>
      <w:r>
        <w:rPr/>
        <w:t>为了治疗疾病实际接受了经腹部切开或腹腔镜进行的双侧卵巢完全切除手术。</w:t>
      </w:r>
    </w:p>
    <w:p>
      <w:pPr>
        <w:pStyle w:val="BodyText"/>
        <w:spacing w:line="272" w:lineRule="exact"/>
        <w:ind w:left="2814"/>
      </w:pPr>
      <w:r>
        <w:rPr/>
        <w:t>部分卵巢切除不在保障范围。 </w:t>
      </w:r>
    </w:p>
    <w:p>
      <w:pPr>
        <w:pStyle w:val="BodyText"/>
        <w:spacing w:line="272" w:lineRule="exact"/>
        <w:ind w:left="2814"/>
      </w:pPr>
      <w:r>
        <w:rPr/>
        <w:t>十七、双侧睾丸切除手术</w:t>
      </w:r>
    </w:p>
    <w:p>
      <w:pPr>
        <w:pStyle w:val="BodyText"/>
        <w:spacing w:line="272" w:lineRule="exact"/>
        <w:ind w:left="2814"/>
      </w:pPr>
      <w:r>
        <w:rPr/>
        <w:t>为了治疗疾病实际接受了双侧睾丸完全切除手术。部分睾丸切除不在保障范围。 </w:t>
      </w:r>
    </w:p>
    <w:p>
      <w:pPr>
        <w:pStyle w:val="BodyText"/>
        <w:spacing w:line="273" w:lineRule="exact"/>
        <w:ind w:left="2814"/>
      </w:pPr>
      <w:r>
        <w:rPr/>
        <w:t>十八、脑外伤颅骨钻孔手术</w:t>
      </w:r>
    </w:p>
    <w:p>
      <w:pPr>
        <w:pStyle w:val="BodyText"/>
        <w:spacing w:before="21"/>
        <w:ind w:left="2814"/>
      </w:pPr>
      <w:r>
        <w:rPr/>
        <w:t>因头部遭受机械性外力，引起脑重要部位损伤，经神经外科专科医生确认有必</w:t>
      </w:r>
    </w:p>
    <w:p>
      <w:pPr>
        <w:pStyle w:val="BodyText"/>
        <w:spacing w:before="37"/>
        <w:ind w:left="2814"/>
      </w:pPr>
      <w:r>
        <w:rPr/>
        <w:t>要、并且实际接受了全麻下颅骨钻孔手术以引流硬膜下血肿。 </w:t>
      </w:r>
    </w:p>
    <w:p>
      <w:pPr>
        <w:pStyle w:val="ListParagraph"/>
        <w:numPr>
          <w:ilvl w:val="1"/>
          <w:numId w:val="7"/>
        </w:numPr>
        <w:tabs>
          <w:tab w:pos="855" w:val="left" w:leader="none"/>
          <w:tab w:pos="856" w:val="left" w:leader="none"/>
          <w:tab w:pos="2814" w:val="left" w:leader="none"/>
        </w:tabs>
        <w:spacing w:line="228" w:lineRule="auto" w:before="135" w:after="0"/>
        <w:ind w:left="2814" w:right="101" w:hanging="2714"/>
        <w:jc w:val="left"/>
        <w:rPr>
          <w:sz w:val="21"/>
        </w:rPr>
      </w:pPr>
      <w:r>
        <w:rPr>
          <w:rFonts w:ascii="Microsoft JhengHei" w:eastAsia="Microsoft JhengHei" w:hint="eastAsia"/>
          <w:b/>
          <w:sz w:val="21"/>
        </w:rPr>
        <w:t>8</w:t>
        <w:tab/>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41"/>
          <w:sz w:val="21"/>
        </w:rPr>
        <w:t>、</w:t>
      </w:r>
      <w:r>
        <w:rPr>
          <w:spacing w:val="-3"/>
          <w:sz w:val="21"/>
        </w:rPr>
        <w:t>海</w:t>
      </w:r>
      <w:r>
        <w:rPr>
          <w:sz w:val="21"/>
        </w:rPr>
        <w:t>洛因</w:t>
      </w:r>
      <w:r>
        <w:rPr>
          <w:spacing w:val="-44"/>
          <w:sz w:val="21"/>
        </w:rPr>
        <w:t>、</w:t>
      </w:r>
      <w:r>
        <w:rPr>
          <w:sz w:val="21"/>
        </w:rPr>
        <w:t>甲</w:t>
      </w:r>
      <w:r>
        <w:rPr>
          <w:spacing w:val="-3"/>
          <w:sz w:val="21"/>
        </w:rPr>
        <w:t>基苯</w:t>
      </w:r>
      <w:r>
        <w:rPr>
          <w:sz w:val="21"/>
        </w:rPr>
        <w:t>丙</w:t>
      </w:r>
      <w:r>
        <w:rPr>
          <w:spacing w:val="-41"/>
          <w:sz w:val="21"/>
        </w:rPr>
        <w:t>胺</w:t>
      </w:r>
      <w:r>
        <w:rPr>
          <w:sz w:val="21"/>
        </w:rPr>
        <w:t>（</w:t>
      </w:r>
      <w:r>
        <w:rPr>
          <w:spacing w:val="-3"/>
          <w:sz w:val="21"/>
        </w:rPr>
        <w:t>冰</w:t>
      </w:r>
      <w:r>
        <w:rPr>
          <w:sz w:val="21"/>
        </w:rPr>
        <w:t>毒</w:t>
      </w:r>
      <w:r>
        <w:rPr>
          <w:spacing w:val="-106"/>
          <w:sz w:val="21"/>
        </w:rPr>
        <w:t>）</w:t>
      </w:r>
      <w:r>
        <w:rPr>
          <w:spacing w:val="-44"/>
          <w:sz w:val="21"/>
        </w:rPr>
        <w:t>、</w:t>
      </w:r>
      <w:r>
        <w:rPr>
          <w:sz w:val="21"/>
        </w:rPr>
        <w:t>吗啡</w:t>
      </w:r>
      <w:r>
        <w:rPr>
          <w:spacing w:val="-44"/>
          <w:sz w:val="21"/>
        </w:rPr>
        <w:t>、</w:t>
      </w:r>
      <w:r>
        <w:rPr>
          <w:sz w:val="21"/>
        </w:rPr>
        <w:t>大 麻、可卡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3"/>
          <w:sz w:val="21"/>
        </w:rPr>
        <w:t>，</w:t>
      </w:r>
      <w:r>
        <w:rPr>
          <w:sz w:val="21"/>
        </w:rPr>
        <w:t>但不包</w:t>
      </w:r>
      <w:r>
        <w:rPr>
          <w:spacing w:val="-3"/>
          <w:sz w:val="21"/>
        </w:rPr>
        <w:t>括</w:t>
      </w:r>
      <w:r>
        <w:rPr>
          <w:sz w:val="21"/>
        </w:rPr>
        <w:t>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嘱使</w:t>
      </w:r>
      <w:r>
        <w:rPr>
          <w:spacing w:val="-3"/>
          <w:sz w:val="21"/>
        </w:rPr>
        <w:t>用</w:t>
      </w:r>
      <w:r>
        <w:rPr>
          <w:sz w:val="21"/>
        </w:rPr>
        <w:t>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含有</w:t>
      </w:r>
      <w:r>
        <w:rPr>
          <w:spacing w:val="-3"/>
          <w:sz w:val="21"/>
        </w:rPr>
        <w:t>毒</w:t>
      </w:r>
      <w:r>
        <w:rPr>
          <w:sz w:val="21"/>
        </w:rPr>
        <w:t>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line="177" w:lineRule="exact"/>
        <w:ind w:left="2814"/>
      </w:pPr>
      <w:r>
        <w:rPr>
          <w:w w:val="100"/>
        </w:rPr>
        <w:t> </w:t>
      </w:r>
    </w:p>
    <w:p>
      <w:pPr>
        <w:pStyle w:val="ListParagraph"/>
        <w:numPr>
          <w:ilvl w:val="1"/>
          <w:numId w:val="7"/>
        </w:numPr>
        <w:tabs>
          <w:tab w:pos="855" w:val="left" w:leader="none"/>
          <w:tab w:pos="856" w:val="left" w:leader="none"/>
          <w:tab w:pos="2814" w:val="left" w:leader="none"/>
        </w:tabs>
        <w:spacing w:line="320" w:lineRule="exact" w:before="0" w:after="0"/>
        <w:ind w:left="2814" w:right="0" w:hanging="2714"/>
        <w:jc w:val="left"/>
        <w:rPr>
          <w:sz w:val="21"/>
        </w:rPr>
      </w:pPr>
      <w:r>
        <w:rPr>
          <w:rFonts w:ascii="Microsoft JhengHei" w:eastAsia="Microsoft JhengHei" w:hint="eastAsia"/>
          <w:b/>
          <w:sz w:val="21"/>
        </w:rPr>
        <w:t>9</w:t>
        <w:tab/>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 </w:t>
      </w:r>
      <w:r>
        <w:rPr>
          <w:sz w:val="21"/>
        </w:rPr>
        <w:t>达</w:t>
      </w:r>
      <w:r>
        <w:rPr>
          <w:spacing w:val="-3"/>
          <w:sz w:val="21"/>
        </w:rPr>
        <w:t>到</w:t>
      </w:r>
      <w:r>
        <w:rPr>
          <w:sz w:val="21"/>
        </w:rPr>
        <w:t>或</w:t>
      </w:r>
    </w:p>
    <w:p>
      <w:pPr>
        <w:spacing w:after="0" w:line="320" w:lineRule="exact"/>
        <w:jc w:val="left"/>
        <w:rPr>
          <w:sz w:val="21"/>
        </w:rPr>
        <w:sectPr>
          <w:pgSz w:w="11900" w:h="16840"/>
          <w:pgMar w:header="0" w:footer="596" w:top="1180" w:bottom="860" w:left="92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488" w:hRule="atLeast"/>
        </w:trPr>
        <w:tc>
          <w:tcPr>
            <w:tcW w:w="2630" w:type="dxa"/>
            <w:gridSpan w:val="2"/>
            <w:vMerge w:val="restart"/>
          </w:tcPr>
          <w:p>
            <w:pPr>
              <w:pStyle w:val="TableParagraph"/>
              <w:rPr>
                <w:rFonts w:ascii="Times New Roman"/>
                <w:sz w:val="20"/>
              </w:rPr>
            </w:pPr>
          </w:p>
        </w:tc>
        <w:tc>
          <w:tcPr>
            <w:tcW w:w="7447" w:type="dxa"/>
          </w:tcPr>
          <w:p>
            <w:pPr>
              <w:pStyle w:val="TableParagraph"/>
              <w:spacing w:line="201" w:lineRule="exact"/>
              <w:ind w:left="134"/>
              <w:rPr>
                <w:sz w:val="21"/>
              </w:rPr>
            </w:pPr>
            <w:r>
              <w:rPr>
                <w:sz w:val="21"/>
              </w:rPr>
              <w:t>超过一定的标准，公安机关交通管理部门依据《道路交通安全法》的规定认定</w:t>
            </w:r>
          </w:p>
          <w:p>
            <w:pPr>
              <w:pStyle w:val="TableParagraph"/>
              <w:spacing w:line="268" w:lineRule="exact"/>
              <w:ind w:left="134"/>
              <w:rPr>
                <w:sz w:val="21"/>
              </w:rPr>
            </w:pPr>
            <w:r>
              <w:rPr>
                <w:sz w:val="21"/>
              </w:rPr>
              <w:t>为饮酒后驾驶或醉酒后驾驶。</w:t>
            </w:r>
          </w:p>
        </w:tc>
      </w:tr>
      <w:tr>
        <w:trPr>
          <w:trHeight w:val="231" w:hRule="atLeast"/>
        </w:trPr>
        <w:tc>
          <w:tcPr>
            <w:tcW w:w="2630" w:type="dxa"/>
            <w:gridSpan w:val="2"/>
            <w:vMerge/>
            <w:tcBorders>
              <w:top w:val="nil"/>
            </w:tcBorders>
          </w:tcPr>
          <w:p>
            <w:pPr>
              <w:rPr>
                <w:sz w:val="2"/>
                <w:szCs w:val="2"/>
              </w:rPr>
            </w:pPr>
          </w:p>
        </w:tc>
        <w:tc>
          <w:tcPr>
            <w:tcW w:w="7447" w:type="dxa"/>
          </w:tcPr>
          <w:p>
            <w:pPr>
              <w:pStyle w:val="TableParagraph"/>
              <w:spacing w:line="208"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10. 10</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26"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26" w:lineRule="exact"/>
              <w:ind w:left="134"/>
              <w:rPr>
                <w:sz w:val="21"/>
              </w:rPr>
            </w:pPr>
            <w:r>
              <w:rPr>
                <w:sz w:val="21"/>
              </w:rPr>
              <w:t>（1）没有取得驾驶资格；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2" w:lineRule="exact"/>
              <w:ind w:left="134"/>
              <w:rPr>
                <w:sz w:val="21"/>
              </w:rPr>
            </w:pPr>
            <w:r>
              <w:rPr>
                <w:sz w:val="21"/>
              </w:rPr>
              <w:t>（2）驾驶与驾驶证准驾车型不相符合的车辆；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4" w:lineRule="exact"/>
              <w:ind w:left="134"/>
              <w:rPr>
                <w:sz w:val="21"/>
              </w:rPr>
            </w:pPr>
            <w:r>
              <w:rPr>
                <w:sz w:val="21"/>
              </w:rPr>
              <w:t>（3）持审验不合格的驾驶证驾驶； </w:t>
            </w:r>
          </w:p>
        </w:tc>
      </w:tr>
      <w:tr>
        <w:trPr>
          <w:trHeight w:val="24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1" w:lineRule="exact"/>
              <w:ind w:left="134"/>
              <w:rPr>
                <w:sz w:val="21"/>
              </w:rPr>
            </w:pPr>
            <w:r>
              <w:rPr>
                <w:sz w:val="21"/>
              </w:rPr>
              <w:t>（4）持学习驾驶证学习驾车时，无教练员随车指导，或不按指定时间、路线学</w:t>
            </w:r>
          </w:p>
        </w:tc>
      </w:tr>
      <w:tr>
        <w:trPr>
          <w:trHeight w:val="50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8" w:lineRule="exact"/>
              <w:ind w:left="660"/>
              <w:rPr>
                <w:sz w:val="21"/>
              </w:rPr>
            </w:pPr>
            <w:r>
              <w:rPr>
                <w:sz w:val="21"/>
              </w:rPr>
              <w:t>习驾车。 </w:t>
            </w:r>
          </w:p>
          <w:p>
            <w:pPr>
              <w:pStyle w:val="TableParagraph"/>
              <w:spacing w:line="248"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10. 11</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26"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z w:val="21"/>
              </w:rPr>
              <w:t>（1）机动车被依法注销登记的；  </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（2）未依法按时进行或通过机动车安全技术检验。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8"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10. 12</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26" w:lineRule="exact"/>
              <w:ind w:left="134"/>
              <w:rPr>
                <w:sz w:val="21"/>
              </w:rPr>
            </w:pPr>
            <w:r>
              <w:rPr>
                <w:sz w:val="21"/>
              </w:rPr>
              <w:t>指以动力装置驱动或者牵引，上道路行驶的供人员乘用或者用于运送物品以及</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进行工程专项作业的轮式车辆。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7" w:lineRule="exact"/>
              <w:ind w:left="134"/>
              <w:rPr>
                <w:sz w:val="21"/>
              </w:rPr>
            </w:pPr>
            <w:r>
              <w:rPr>
                <w:w w:val="100"/>
                <w:sz w:val="21"/>
              </w:rPr>
              <w:t> </w:t>
            </w:r>
          </w:p>
        </w:tc>
      </w:tr>
      <w:tr>
        <w:trPr>
          <w:trHeight w:val="270" w:hRule="atLeast"/>
        </w:trPr>
        <w:tc>
          <w:tcPr>
            <w:tcW w:w="682" w:type="dxa"/>
          </w:tcPr>
          <w:p>
            <w:pPr>
              <w:pStyle w:val="TableParagraph"/>
              <w:spacing w:line="251" w:lineRule="exact"/>
              <w:ind w:left="50"/>
              <w:rPr>
                <w:rFonts w:ascii="Microsoft JhengHei"/>
                <w:b/>
                <w:sz w:val="21"/>
              </w:rPr>
            </w:pPr>
            <w:r>
              <w:rPr>
                <w:rFonts w:ascii="Microsoft JhengHei"/>
                <w:b/>
                <w:w w:val="90"/>
                <w:sz w:val="21"/>
              </w:rPr>
              <w:t>10. 13</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28" w:lineRule="exact"/>
              <w:ind w:left="134"/>
              <w:rPr>
                <w:sz w:val="21"/>
              </w:rPr>
            </w:pPr>
            <w:r>
              <w:rPr>
                <w:sz w:val="21"/>
              </w:rPr>
              <w:t>指被保险人出生时就具有的畸形、变形或染色体异常。先天性畸形、变形和染</w:t>
            </w:r>
          </w:p>
        </w:tc>
      </w:tr>
      <w:tr>
        <w:trPr>
          <w:trHeight w:val="275" w:hRule="atLeast"/>
        </w:trPr>
        <w:tc>
          <w:tcPr>
            <w:tcW w:w="682" w:type="dxa"/>
          </w:tcPr>
          <w:p>
            <w:pPr>
              <w:pStyle w:val="TableParagraph"/>
              <w:rPr>
                <w:rFonts w:ascii="Times New Roman"/>
                <w:sz w:val="20"/>
              </w:rPr>
            </w:pPr>
          </w:p>
        </w:tc>
        <w:tc>
          <w:tcPr>
            <w:tcW w:w="1948" w:type="dxa"/>
          </w:tcPr>
          <w:p>
            <w:pPr>
              <w:pStyle w:val="TableParagraph"/>
              <w:spacing w:line="252"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44"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9" w:lineRule="exact"/>
              <w:ind w:left="134"/>
              <w:rPr>
                <w:sz w:val="21"/>
              </w:rPr>
            </w:pPr>
            <w:r>
              <w:rPr>
                <w:sz w:val="21"/>
              </w:rPr>
              <w:t>确定。 </w:t>
            </w:r>
          </w:p>
        </w:tc>
      </w:tr>
      <w:tr>
        <w:trPr>
          <w:trHeight w:val="231" w:hRule="atLeast"/>
        </w:trPr>
        <w:tc>
          <w:tcPr>
            <w:tcW w:w="682" w:type="dxa"/>
          </w:tcPr>
          <w:p>
            <w:pPr>
              <w:pStyle w:val="TableParagraph"/>
              <w:rPr>
                <w:rFonts w:ascii="Times New Roman"/>
                <w:sz w:val="16"/>
              </w:rPr>
            </w:pPr>
          </w:p>
        </w:tc>
        <w:tc>
          <w:tcPr>
            <w:tcW w:w="1948" w:type="dxa"/>
          </w:tcPr>
          <w:p>
            <w:pPr>
              <w:pStyle w:val="TableParagraph"/>
              <w:spacing w:line="208" w:lineRule="exact"/>
              <w:ind w:left="124"/>
              <w:rPr>
                <w:sz w:val="21"/>
              </w:rPr>
            </w:pPr>
            <w:r>
              <w:rPr>
                <w:w w:val="100"/>
                <w:sz w:val="21"/>
              </w:rPr>
              <w:t> </w:t>
            </w:r>
          </w:p>
        </w:tc>
        <w:tc>
          <w:tcPr>
            <w:tcW w:w="7447" w:type="dxa"/>
          </w:tcPr>
          <w:p>
            <w:pPr>
              <w:pStyle w:val="TableParagraph"/>
              <w:spacing w:line="208"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10. 14</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26" w:lineRule="exact"/>
              <w:ind w:left="134"/>
              <w:rPr>
                <w:sz w:val="21"/>
              </w:rPr>
            </w:pPr>
            <w:r>
              <w:rPr>
                <w:sz w:val="21"/>
              </w:rPr>
              <w:t>指生殖细胞或受精卵的遗传物质（染色体和基因）发生突变或畸变所引起的疾</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病，通常具有由亲代传至后代的垂直传递的特征。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7" w:lineRule="exact"/>
              <w:ind w:left="134"/>
              <w:rPr>
                <w:sz w:val="21"/>
              </w:rPr>
            </w:pPr>
            <w:r>
              <w:rPr>
                <w:w w:val="100"/>
                <w:sz w:val="21"/>
              </w:rPr>
              <w:t> </w:t>
            </w:r>
          </w:p>
        </w:tc>
      </w:tr>
      <w:tr>
        <w:trPr>
          <w:trHeight w:val="273" w:hRule="atLeast"/>
        </w:trPr>
        <w:tc>
          <w:tcPr>
            <w:tcW w:w="682" w:type="dxa"/>
          </w:tcPr>
          <w:p>
            <w:pPr>
              <w:pStyle w:val="TableParagraph"/>
              <w:spacing w:line="251" w:lineRule="exact"/>
              <w:ind w:left="50"/>
              <w:rPr>
                <w:rFonts w:ascii="Microsoft JhengHei"/>
                <w:b/>
                <w:sz w:val="21"/>
              </w:rPr>
            </w:pPr>
            <w:r>
              <w:rPr>
                <w:rFonts w:ascii="Microsoft JhengHei"/>
                <w:b/>
                <w:w w:val="90"/>
                <w:sz w:val="21"/>
              </w:rPr>
              <w:t>10. 15</w:t>
            </w:r>
          </w:p>
        </w:tc>
        <w:tc>
          <w:tcPr>
            <w:tcW w:w="1948" w:type="dxa"/>
          </w:tcPr>
          <w:p>
            <w:pPr>
              <w:pStyle w:val="TableParagraph"/>
              <w:spacing w:line="251"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28" w:lineRule="exact"/>
              <w:ind w:left="134"/>
              <w:rPr>
                <w:sz w:val="21"/>
              </w:rPr>
            </w:pPr>
            <w:r>
              <w:rPr>
                <w:spacing w:val="-10"/>
                <w:sz w:val="21"/>
              </w:rPr>
              <w:t>指保险单所具有的价值，通常体现为解除本主险合同时，根据精算原理计算的，</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5" w:lineRule="exact"/>
              <w:ind w:left="134"/>
              <w:rPr>
                <w:sz w:val="21"/>
              </w:rPr>
            </w:pPr>
            <w:r>
              <w:rPr>
                <w:spacing w:val="-3"/>
                <w:sz w:val="21"/>
              </w:rPr>
              <w:t>由我们退还的那部分金额</w:t>
            </w:r>
            <w:r>
              <w:rPr>
                <w:spacing w:val="-154"/>
                <w:sz w:val="21"/>
              </w:rPr>
              <w:t>。</w:t>
            </w:r>
            <w:r>
              <w:rPr>
                <w:sz w:val="21"/>
              </w:rPr>
              <w:t>（</w:t>
            </w:r>
            <w:r>
              <w:rPr>
                <w:spacing w:val="-6"/>
                <w:sz w:val="21"/>
              </w:rPr>
              <w:t>若我们已给付过轻症疾病保险金，本主险合同现金</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pacing w:val="-5"/>
                <w:sz w:val="21"/>
              </w:rPr>
              <w:t>价值将减少为保险合同中载明的现金价值金额的 </w:t>
            </w:r>
            <w:r>
              <w:rPr>
                <w:sz w:val="21"/>
              </w:rPr>
              <w:t>93</w:t>
            </w:r>
            <w:r>
              <w:rPr>
                <w:spacing w:val="-53"/>
                <w:sz w:val="21"/>
              </w:rPr>
              <w:t>%。</w:t>
            </w:r>
            <w:r>
              <w:rPr>
                <w:spacing w:val="-3"/>
                <w:sz w:val="21"/>
              </w:rPr>
              <w:t>）</w:t>
            </w:r>
            <w:r>
              <w:rPr>
                <w:sz w:val="21"/>
              </w:rPr>
              <w:t>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7"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10. 16</w:t>
            </w:r>
          </w:p>
        </w:tc>
        <w:tc>
          <w:tcPr>
            <w:tcW w:w="1948" w:type="dxa"/>
          </w:tcPr>
          <w:p>
            <w:pPr>
              <w:pStyle w:val="TableParagraph"/>
              <w:spacing w:line="250"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line="226" w:lineRule="exact"/>
              <w:ind w:left="134"/>
              <w:rPr>
                <w:sz w:val="21"/>
              </w:rPr>
            </w:pPr>
            <w:r>
              <w:rPr>
                <w:sz w:val="21"/>
              </w:rPr>
              <w:t>欠款的利息将根据欠款的数额、经过的天数和当时的贷款利率按复利计算。贷</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对于补交的保险费，我们将不收取利息。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8"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10. 17</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保单周年日</w:t>
            </w:r>
          </w:p>
        </w:tc>
        <w:tc>
          <w:tcPr>
            <w:tcW w:w="7447" w:type="dxa"/>
          </w:tcPr>
          <w:p>
            <w:pPr>
              <w:pStyle w:val="TableParagraph"/>
              <w:spacing w:line="226" w:lineRule="exact"/>
              <w:ind w:left="134"/>
              <w:rPr>
                <w:sz w:val="21"/>
              </w:rPr>
            </w:pPr>
            <w:r>
              <w:rPr>
                <w:sz w:val="21"/>
              </w:rPr>
              <w:t>指在本主险合同有效期内，生效日在以后每年的对应日。若当月无对应的同一</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日，则以该月最后一日作为对应日。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7"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10. 18</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26" w:lineRule="exact"/>
              <w:ind w:left="134"/>
              <w:rPr>
                <w:sz w:val="21"/>
              </w:rPr>
            </w:pPr>
            <w:r>
              <w:rPr>
                <w:sz w:val="21"/>
              </w:rPr>
              <w:t>专科医生应当同时满足以下四项资格条件：①具有有效的中华人民共和国《医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2"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4" w:lineRule="exact"/>
              <w:ind w:left="134"/>
              <w:rPr>
                <w:sz w:val="21"/>
              </w:rPr>
            </w:pPr>
            <w:r>
              <w:rPr>
                <w:sz w:val="21"/>
              </w:rPr>
              <w:t>《医师职称证书》；④在二级或二级以上医院的相应科室从事临床工作三年以</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上。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8"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10. 19</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26" w:lineRule="exact"/>
              <w:ind w:left="134"/>
              <w:rPr>
                <w:sz w:val="21"/>
              </w:rPr>
            </w:pPr>
            <w:r>
              <w:rPr>
                <w:sz w:val="21"/>
              </w:rPr>
              <w:t>指肢体的三大关节中的两大关节僵硬，或不能随意识活动。肢体是指包括肩关</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节的整个上肢或包括髋关节的整个下肢。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7"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10. 20</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26"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26"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2" w:lineRule="exact"/>
              <w:ind w:left="134"/>
              <w:rPr>
                <w:sz w:val="21"/>
              </w:rPr>
            </w:pPr>
            <w:r>
              <w:rPr>
                <w:sz w:val="21"/>
              </w:rPr>
              <w:t>咀嚼吞咽能力完全丧失，指因牙齿以外的原因导致器质障碍或机能障碍，以致</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不能作咀嚼吞咽运动，除流质食物外不能摄取或吞咽的状态。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7" w:lineRule="exact"/>
              <w:ind w:left="134"/>
              <w:rPr>
                <w:sz w:val="21"/>
              </w:rPr>
            </w:pPr>
            <w:r>
              <w:rPr>
                <w:w w:val="100"/>
                <w:sz w:val="21"/>
              </w:rPr>
              <w:t> </w:t>
            </w:r>
          </w:p>
        </w:tc>
      </w:tr>
      <w:tr>
        <w:trPr>
          <w:trHeight w:val="273" w:hRule="atLeast"/>
        </w:trPr>
        <w:tc>
          <w:tcPr>
            <w:tcW w:w="682" w:type="dxa"/>
          </w:tcPr>
          <w:p>
            <w:pPr>
              <w:pStyle w:val="TableParagraph"/>
              <w:spacing w:line="251" w:lineRule="exact"/>
              <w:ind w:left="50"/>
              <w:rPr>
                <w:rFonts w:ascii="Microsoft JhengHei"/>
                <w:b/>
                <w:sz w:val="21"/>
              </w:rPr>
            </w:pPr>
            <w:r>
              <w:rPr>
                <w:rFonts w:ascii="Microsoft JhengHei"/>
                <w:b/>
                <w:w w:val="90"/>
                <w:sz w:val="21"/>
              </w:rPr>
              <w:t>10. 21</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line="228" w:lineRule="exact"/>
              <w:ind w:left="134"/>
              <w:rPr>
                <w:sz w:val="21"/>
              </w:rPr>
            </w:pPr>
            <w:r>
              <w:rPr>
                <w:sz w:val="21"/>
              </w:rPr>
              <w:t>六项基本日常生活活动是指：①穿衣：自己能够穿衣及脱衣；②移动：自己从</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25" w:lineRule="exact"/>
              <w:ind w:left="134"/>
              <w:rPr>
                <w:sz w:val="21"/>
              </w:rPr>
            </w:pPr>
            <w:r>
              <w:rPr>
                <w:sz w:val="21"/>
              </w:rPr>
              <w:t>一个房间到另一个房间；③行动：自己上下床或上下轮椅；④如厕：自己控制</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4" w:lineRule="exact"/>
              <w:ind w:left="134"/>
              <w:rPr>
                <w:sz w:val="21"/>
              </w:rPr>
            </w:pPr>
            <w:r>
              <w:rPr>
                <w:sz w:val="21"/>
              </w:rPr>
              <w:t>进行大小便；⑤进食：自己从已准备好的碗或碟中取食物放入口中；⑥洗澡：</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自己进行淋浴或盆浴。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08"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10. 22</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line="242" w:lineRule="exact"/>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233"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3" w:lineRule="exact"/>
              <w:ind w:left="134"/>
              <w:rPr>
                <w:sz w:val="21"/>
              </w:rPr>
            </w:pPr>
            <w:r>
              <w:rPr>
                <w:sz w:val="21"/>
              </w:rPr>
              <w:t>有医疗手段恢复。 </w:t>
            </w:r>
          </w:p>
        </w:tc>
      </w:tr>
    </w:tbl>
    <w:p>
      <w:pPr>
        <w:spacing w:after="0" w:line="213" w:lineRule="exact"/>
        <w:rPr>
          <w:sz w:val="21"/>
        </w:rPr>
        <w:sectPr>
          <w:pgSz w:w="11900" w:h="16840"/>
          <w:pgMar w:header="0" w:footer="596" w:top="1240" w:bottom="860" w:left="860" w:right="740"/>
        </w:sectPr>
      </w:pPr>
    </w:p>
    <w:p>
      <w:pPr>
        <w:pStyle w:val="BodyText"/>
        <w:spacing w:before="4"/>
        <w:ind w:left="0"/>
        <w:rPr>
          <w:rFonts w:ascii="Times New Roman"/>
          <w:sz w:val="17"/>
        </w:rPr>
      </w:pPr>
    </w:p>
    <w:sectPr>
      <w:pgSz w:w="11900" w:h="16840"/>
      <w:pgMar w:header="0" w:footer="596" w:top="1600" w:bottom="7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97.219971pt;width:78.7pt;height:12pt;mso-position-horizontal-relative:page;mso-position-vertical-relative:page;z-index:-7518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页，共 </w:t>
                </w:r>
                <w:r>
                  <w:rPr>
                    <w:rFonts w:ascii="Times New Roman" w:eastAsia="Times New Roman"/>
                    <w:sz w:val="18"/>
                  </w:rPr>
                  <w:t>15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256.160004pt;margin-top:797.219971pt;width:83.15pt;height:12pt;mso-position-horizontal-relative:page;mso-position-vertical-relative:page;z-index:-7516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15</w:t>
                </w:r>
                <w:r>
                  <w:rPr/>
                  <w:fldChar w:fldCharType="end"/>
                </w:r>
                <w:r>
                  <w:rPr>
                    <w:rFonts w:ascii="Times New Roman" w:eastAsia="Times New Roman"/>
                    <w:sz w:val="18"/>
                  </w:rPr>
                  <w:t>  </w:t>
                </w:r>
                <w:r>
                  <w:rPr>
                    <w:sz w:val="18"/>
                  </w:rPr>
                  <w:t>页，共 </w:t>
                </w:r>
                <w:r>
                  <w:rPr>
                    <w:rFonts w:ascii="Times New Roman" w:eastAsia="Times New Roman"/>
                    <w:sz w:val="18"/>
                  </w:rPr>
                  <w:t>15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0">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6">
    <w:multiLevelType w:val="hybridMultilevel"/>
    <w:lvl w:ilvl="0">
      <w:start w:val="10"/>
      <w:numFmt w:val="decimal"/>
      <w:lvlText w:val="%1"/>
      <w:lvlJc w:val="left"/>
      <w:pPr>
        <w:ind w:left="2814" w:hanging="756"/>
        <w:jc w:val="left"/>
      </w:pPr>
      <w:rPr>
        <w:rFonts w:hint="default"/>
      </w:rPr>
    </w:lvl>
    <w:lvl w:ilvl="1">
      <w:start w:val="8"/>
      <w:numFmt w:val="decimal"/>
      <w:lvlText w:val="%1.%2"/>
      <w:lvlJc w:val="left"/>
      <w:pPr>
        <w:ind w:left="281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292" w:hanging="756"/>
      </w:pPr>
      <w:rPr>
        <w:rFonts w:hint="default"/>
      </w:rPr>
    </w:lvl>
    <w:lvl w:ilvl="3">
      <w:start w:val="0"/>
      <w:numFmt w:val="bullet"/>
      <w:lvlText w:val="•"/>
      <w:lvlJc w:val="left"/>
      <w:pPr>
        <w:ind w:left="5028" w:hanging="756"/>
      </w:pPr>
      <w:rPr>
        <w:rFonts w:hint="default"/>
      </w:rPr>
    </w:lvl>
    <w:lvl w:ilvl="4">
      <w:start w:val="0"/>
      <w:numFmt w:val="bullet"/>
      <w:lvlText w:val="•"/>
      <w:lvlJc w:val="left"/>
      <w:pPr>
        <w:ind w:left="5764" w:hanging="756"/>
      </w:pPr>
      <w:rPr>
        <w:rFonts w:hint="default"/>
      </w:rPr>
    </w:lvl>
    <w:lvl w:ilvl="5">
      <w:start w:val="0"/>
      <w:numFmt w:val="bullet"/>
      <w:lvlText w:val="•"/>
      <w:lvlJc w:val="left"/>
      <w:pPr>
        <w:ind w:left="6500" w:hanging="756"/>
      </w:pPr>
      <w:rPr>
        <w:rFonts w:hint="default"/>
      </w:rPr>
    </w:lvl>
    <w:lvl w:ilvl="6">
      <w:start w:val="0"/>
      <w:numFmt w:val="bullet"/>
      <w:lvlText w:val="•"/>
      <w:lvlJc w:val="left"/>
      <w:pPr>
        <w:ind w:left="7236" w:hanging="756"/>
      </w:pPr>
      <w:rPr>
        <w:rFonts w:hint="default"/>
      </w:rPr>
    </w:lvl>
    <w:lvl w:ilvl="7">
      <w:start w:val="0"/>
      <w:numFmt w:val="bullet"/>
      <w:lvlText w:val="•"/>
      <w:lvlJc w:val="left"/>
      <w:pPr>
        <w:ind w:left="7972" w:hanging="756"/>
      </w:pPr>
      <w:rPr>
        <w:rFonts w:hint="default"/>
      </w:rPr>
    </w:lvl>
    <w:lvl w:ilvl="8">
      <w:start w:val="0"/>
      <w:numFmt w:val="bullet"/>
      <w:lvlText w:val="•"/>
      <w:lvlJc w:val="left"/>
      <w:pPr>
        <w:ind w:left="8708" w:hanging="756"/>
      </w:pPr>
      <w:rPr>
        <w:rFonts w:hint="default"/>
      </w:rPr>
    </w:lvl>
  </w:abstractNum>
  <w:abstractNum w:abstractNumId="5">
    <w:multiLevelType w:val="hybridMultilevel"/>
    <w:lvl w:ilvl="0">
      <w:start w:val="1"/>
      <w:numFmt w:val="upperRoman"/>
      <w:lvlText w:val="%1"/>
      <w:lvlJc w:val="left"/>
      <w:pPr>
        <w:ind w:left="2212" w:hanging="159"/>
        <w:jc w:val="left"/>
      </w:pPr>
      <w:rPr>
        <w:rFonts w:hint="default" w:ascii="宋体" w:hAnsi="宋体" w:eastAsia="宋体" w:cs="宋体"/>
        <w:w w:val="100"/>
        <w:sz w:val="21"/>
        <w:szCs w:val="21"/>
      </w:rPr>
    </w:lvl>
    <w:lvl w:ilvl="1">
      <w:start w:val="0"/>
      <w:numFmt w:val="bullet"/>
      <w:lvlText w:val="•"/>
      <w:lvlJc w:val="left"/>
      <w:pPr>
        <w:ind w:left="2940" w:hanging="159"/>
      </w:pPr>
      <w:rPr>
        <w:rFonts w:hint="default"/>
      </w:rPr>
    </w:lvl>
    <w:lvl w:ilvl="2">
      <w:start w:val="0"/>
      <w:numFmt w:val="bullet"/>
      <w:lvlText w:val="•"/>
      <w:lvlJc w:val="left"/>
      <w:pPr>
        <w:ind w:left="3660" w:hanging="159"/>
      </w:pPr>
      <w:rPr>
        <w:rFonts w:hint="default"/>
      </w:rPr>
    </w:lvl>
    <w:lvl w:ilvl="3">
      <w:start w:val="0"/>
      <w:numFmt w:val="bullet"/>
      <w:lvlText w:val="•"/>
      <w:lvlJc w:val="left"/>
      <w:pPr>
        <w:ind w:left="4380" w:hanging="159"/>
      </w:pPr>
      <w:rPr>
        <w:rFonts w:hint="default"/>
      </w:rPr>
    </w:lvl>
    <w:lvl w:ilvl="4">
      <w:start w:val="0"/>
      <w:numFmt w:val="bullet"/>
      <w:lvlText w:val="•"/>
      <w:lvlJc w:val="left"/>
      <w:pPr>
        <w:ind w:left="5100" w:hanging="159"/>
      </w:pPr>
      <w:rPr>
        <w:rFonts w:hint="default"/>
      </w:rPr>
    </w:lvl>
    <w:lvl w:ilvl="5">
      <w:start w:val="0"/>
      <w:numFmt w:val="bullet"/>
      <w:lvlText w:val="•"/>
      <w:lvlJc w:val="left"/>
      <w:pPr>
        <w:ind w:left="5820" w:hanging="159"/>
      </w:pPr>
      <w:rPr>
        <w:rFonts w:hint="default"/>
      </w:rPr>
    </w:lvl>
    <w:lvl w:ilvl="6">
      <w:start w:val="0"/>
      <w:numFmt w:val="bullet"/>
      <w:lvlText w:val="•"/>
      <w:lvlJc w:val="left"/>
      <w:pPr>
        <w:ind w:left="6540" w:hanging="159"/>
      </w:pPr>
      <w:rPr>
        <w:rFonts w:hint="default"/>
      </w:rPr>
    </w:lvl>
    <w:lvl w:ilvl="7">
      <w:start w:val="0"/>
      <w:numFmt w:val="bullet"/>
      <w:lvlText w:val="•"/>
      <w:lvlJc w:val="left"/>
      <w:pPr>
        <w:ind w:left="7260" w:hanging="159"/>
      </w:pPr>
      <w:rPr>
        <w:rFonts w:hint="default"/>
      </w:rPr>
    </w:lvl>
    <w:lvl w:ilvl="8">
      <w:start w:val="0"/>
      <w:numFmt w:val="bullet"/>
      <w:lvlText w:val="•"/>
      <w:lvlJc w:val="left"/>
      <w:pPr>
        <w:ind w:left="7980" w:hanging="159"/>
      </w:pPr>
      <w:rPr>
        <w:rFonts w:hint="default"/>
      </w:rPr>
    </w:lvl>
  </w:abstractNum>
  <w:abstractNum w:abstractNumId="4">
    <w:multiLevelType w:val="hybridMultilevel"/>
    <w:lvl w:ilvl="0">
      <w:start w:val="2"/>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3">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2">
    <w:multiLevelType w:val="hybridMultilevel"/>
    <w:lvl w:ilvl="0">
      <w:start w:val="10"/>
      <w:numFmt w:val="decimal"/>
      <w:lvlText w:val="%1"/>
      <w:lvlJc w:val="left"/>
      <w:pPr>
        <w:ind w:left="883" w:hanging="526"/>
        <w:jc w:val="left"/>
      </w:pPr>
      <w:rPr>
        <w:rFonts w:hint="default"/>
      </w:rPr>
    </w:lvl>
    <w:lvl w:ilvl="1">
      <w:start w:val="3"/>
      <w:numFmt w:val="decimal"/>
      <w:lvlText w:val="%1.%2"/>
      <w:lvlJc w:val="left"/>
      <w:pPr>
        <w:ind w:left="883" w:hanging="526"/>
        <w:jc w:val="left"/>
      </w:pPr>
      <w:rPr>
        <w:rFonts w:hint="default" w:ascii="仿宋" w:hAnsi="仿宋" w:eastAsia="仿宋" w:cs="仿宋"/>
        <w:w w:val="100"/>
        <w:sz w:val="21"/>
        <w:szCs w:val="21"/>
      </w:rPr>
    </w:lvl>
    <w:lvl w:ilvl="2">
      <w:start w:val="0"/>
      <w:numFmt w:val="bullet"/>
      <w:lvlText w:val="•"/>
      <w:lvlJc w:val="left"/>
      <w:pPr>
        <w:ind w:left="1350" w:hanging="526"/>
      </w:pPr>
      <w:rPr>
        <w:rFonts w:hint="default"/>
      </w:rPr>
    </w:lvl>
    <w:lvl w:ilvl="3">
      <w:start w:val="0"/>
      <w:numFmt w:val="bullet"/>
      <w:lvlText w:val="•"/>
      <w:lvlJc w:val="left"/>
      <w:pPr>
        <w:ind w:left="1586" w:hanging="526"/>
      </w:pPr>
      <w:rPr>
        <w:rFonts w:hint="default"/>
      </w:rPr>
    </w:lvl>
    <w:lvl w:ilvl="4">
      <w:start w:val="0"/>
      <w:numFmt w:val="bullet"/>
      <w:lvlText w:val="•"/>
      <w:lvlJc w:val="left"/>
      <w:pPr>
        <w:ind w:left="1821" w:hanging="526"/>
      </w:pPr>
      <w:rPr>
        <w:rFonts w:hint="default"/>
      </w:rPr>
    </w:lvl>
    <w:lvl w:ilvl="5">
      <w:start w:val="0"/>
      <w:numFmt w:val="bullet"/>
      <w:lvlText w:val="•"/>
      <w:lvlJc w:val="left"/>
      <w:pPr>
        <w:ind w:left="2057" w:hanging="526"/>
      </w:pPr>
      <w:rPr>
        <w:rFonts w:hint="default"/>
      </w:rPr>
    </w:lvl>
    <w:lvl w:ilvl="6">
      <w:start w:val="0"/>
      <w:numFmt w:val="bullet"/>
      <w:lvlText w:val="•"/>
      <w:lvlJc w:val="left"/>
      <w:pPr>
        <w:ind w:left="2292" w:hanging="526"/>
      </w:pPr>
      <w:rPr>
        <w:rFonts w:hint="default"/>
      </w:rPr>
    </w:lvl>
    <w:lvl w:ilvl="7">
      <w:start w:val="0"/>
      <w:numFmt w:val="bullet"/>
      <w:lvlText w:val="•"/>
      <w:lvlJc w:val="left"/>
      <w:pPr>
        <w:ind w:left="2527" w:hanging="526"/>
      </w:pPr>
      <w:rPr>
        <w:rFonts w:hint="default"/>
      </w:rPr>
    </w:lvl>
    <w:lvl w:ilvl="8">
      <w:start w:val="0"/>
      <w:numFmt w:val="bullet"/>
      <w:lvlText w:val="•"/>
      <w:lvlJc w:val="left"/>
      <w:pPr>
        <w:ind w:left="2763" w:hanging="526"/>
      </w:pPr>
      <w:rPr>
        <w:rFonts w:hint="default"/>
      </w:rPr>
    </w:lvl>
  </w:abstractNum>
  <w:num w:numId="2">
    <w:abstractNumId w:val="1"/>
  </w:num>
  <w:num w:numId="1">
    <w:abstractNumId w:val="0"/>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054"/>
    </w:pPr>
    <w:rPr>
      <w:rFonts w:ascii="宋体" w:hAnsi="宋体" w:eastAsia="宋体" w:cs="宋体"/>
      <w:sz w:val="21"/>
      <w:szCs w:val="21"/>
    </w:rPr>
  </w:style>
  <w:style w:styleId="Heading1" w:type="paragraph">
    <w:name w:val="Heading 1"/>
    <w:basedOn w:val="Normal"/>
    <w:uiPriority w:val="1"/>
    <w:qFormat/>
    <w:pPr>
      <w:ind w:left="1898" w:right="189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976"/>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5"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农银人寿发[2013]102号-3 农银健康人生重大疾病保险条款</dc:title>
  <dcterms:created xsi:type="dcterms:W3CDTF">2018-10-20T04:37:23Z</dcterms:created>
  <dcterms:modified xsi:type="dcterms:W3CDTF">2018-10-20T04:37:23Z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