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6"/>
        <w:rPr>
          <w:rFonts w:ascii="Times New Roman"/>
          <w:sz w:val="28"/>
        </w:rPr>
      </w:pPr>
    </w:p>
    <w:p>
      <w:pPr>
        <w:pStyle w:val="BodyText"/>
        <w:spacing w:before="37"/>
        <w:ind w:left="5218" w:right="237"/>
        <w:jc w:val="center"/>
      </w:pPr>
      <w:r>
        <w:rPr/>
        <w:drawing>
          <wp:anchor distT="0" distB="0" distL="0" distR="0" allowOverlap="1" layoutInCell="1" locked="0" behindDoc="0" simplePos="0" relativeHeight="0">
            <wp:simplePos x="0" y="0"/>
            <wp:positionH relativeFrom="page">
              <wp:posOffset>5035296</wp:posOffset>
            </wp:positionH>
            <wp:positionV relativeFrom="paragraph">
              <wp:posOffset>217343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瑞泰人寿[2009]疾病保险 043 号</w:t>
      </w:r>
    </w:p>
    <w:p>
      <w:pPr>
        <w:pStyle w:val="BodyText"/>
        <w:ind w:right="728"/>
        <w:jc w:val="right"/>
      </w:pPr>
      <w:r>
        <w:rPr/>
        <w:t>请扫描以查询验证条款</w:t>
      </w:r>
    </w:p>
    <w:p>
      <w:pPr>
        <w:pStyle w:val="BodyText"/>
        <w:rPr>
          <w:sz w:val="20"/>
        </w:rPr>
      </w:pPr>
    </w:p>
    <w:p>
      <w:pPr>
        <w:pStyle w:val="BodyText"/>
        <w:rPr>
          <w:sz w:val="17"/>
        </w:rPr>
      </w:pPr>
    </w:p>
    <w:p>
      <w:pPr>
        <w:pStyle w:val="Heading1"/>
        <w:ind w:left="1128"/>
      </w:pPr>
      <w:r>
        <w:rPr/>
        <w:t>瑞泰附加瑞麟少儿重大疾病保险合同条款</w:t>
      </w: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spacing w:before="7"/>
        <w:rPr>
          <w:sz w:val="37"/>
        </w:rPr>
      </w:pPr>
    </w:p>
    <w:p>
      <w:pPr>
        <w:spacing w:before="1"/>
        <w:ind w:left="621" w:right="916" w:firstLine="0"/>
        <w:jc w:val="center"/>
        <w:rPr>
          <w:sz w:val="25"/>
        </w:rPr>
      </w:pPr>
      <w:r>
        <w:rPr>
          <w:sz w:val="25"/>
        </w:rPr>
        <w:t>瑞泰人寿保险有限公司</w:t>
      </w:r>
    </w:p>
    <w:p>
      <w:pPr>
        <w:pStyle w:val="BodyText"/>
        <w:spacing w:before="9"/>
        <w:rPr>
          <w:sz w:val="22"/>
        </w:rPr>
      </w:pPr>
    </w:p>
    <w:p>
      <w:pPr>
        <w:spacing w:before="0"/>
        <w:ind w:left="269" w:right="237" w:firstLine="0"/>
        <w:jc w:val="center"/>
        <w:rPr>
          <w:sz w:val="25"/>
        </w:rPr>
      </w:pPr>
      <w:r>
        <w:rPr>
          <w:rFonts w:ascii="Times New Roman" w:eastAsia="Times New Roman"/>
          <w:sz w:val="25"/>
        </w:rPr>
        <w:t>2009  </w:t>
      </w:r>
      <w:r>
        <w:rPr>
          <w:sz w:val="25"/>
        </w:rPr>
        <w:t>年 </w:t>
      </w:r>
      <w:r>
        <w:rPr>
          <w:rFonts w:ascii="Times New Roman" w:eastAsia="Times New Roman"/>
          <w:sz w:val="25"/>
        </w:rPr>
        <w:t>1</w:t>
      </w:r>
      <w:r>
        <w:rPr>
          <w:rFonts w:ascii="Times New Roman" w:eastAsia="Times New Roman"/>
          <w:spacing w:val="56"/>
          <w:sz w:val="25"/>
        </w:rPr>
        <w:t> </w:t>
      </w:r>
      <w:r>
        <w:rPr>
          <w:sz w:val="25"/>
        </w:rPr>
        <w:t>月</w:t>
      </w:r>
    </w:p>
    <w:p>
      <w:pPr>
        <w:spacing w:after="0"/>
        <w:jc w:val="center"/>
        <w:rPr>
          <w:sz w:val="25"/>
        </w:rPr>
        <w:sectPr>
          <w:footerReference w:type="default" r:id="rId5"/>
          <w:type w:val="continuous"/>
          <w:pgSz w:w="11900" w:h="16840"/>
          <w:pgMar w:footer="968" w:top="1600" w:bottom="1160" w:left="1680" w:right="1680"/>
          <w:pgNumType w:start="1"/>
        </w:sectPr>
      </w:pPr>
    </w:p>
    <w:p>
      <w:pPr>
        <w:spacing w:line="479" w:lineRule="exact" w:before="0"/>
        <w:ind w:left="615" w:right="916" w:firstLine="0"/>
        <w:jc w:val="center"/>
        <w:rPr>
          <w:sz w:val="39"/>
        </w:rPr>
      </w:pPr>
      <w:r>
        <w:rPr>
          <w:sz w:val="39"/>
        </w:rPr>
        <w:t>目录</w:t>
      </w:r>
    </w:p>
    <w:sdt>
      <w:sdtPr>
        <w:docPartObj>
          <w:docPartGallery w:val="Table of Contents"/>
          <w:docPartUnique/>
        </w:docPartObj>
      </w:sdtPr>
      <w:sdtEndPr/>
      <w:sdtContent>
        <w:p>
          <w:pPr>
            <w:pStyle w:val="TOC1"/>
            <w:tabs>
              <w:tab w:pos="7293" w:val="left" w:leader="dot"/>
            </w:tabs>
            <w:spacing w:before="231"/>
            <w:ind w:right="916"/>
            <w:rPr>
              <w:rFonts w:ascii="Times New Roman" w:eastAsia="Times New Roman"/>
            </w:rPr>
          </w:pPr>
          <w:hyperlink w:history="true" w:anchor="_TOC_250019">
            <w:r>
              <w:rPr/>
              <w:t>一、总则</w:t>
              <w:tab/>
            </w:r>
            <w:r>
              <w:rPr>
                <w:rFonts w:ascii="Times New Roman" w:eastAsia="Times New Roman"/>
              </w:rPr>
              <w:t>3</w:t>
            </w:r>
          </w:hyperlink>
        </w:p>
        <w:p>
          <w:pPr>
            <w:pStyle w:val="TOC2"/>
            <w:spacing w:before="182"/>
            <w:ind w:left="331" w:firstLine="0"/>
          </w:pPr>
          <w:r>
            <w:rPr>
              <w:rFonts w:ascii="Times New Roman" w:hAnsi="Times New Roman" w:eastAsia="Times New Roman"/>
            </w:rPr>
            <w:t>1. </w:t>
          </w:r>
          <w:r>
            <w:rPr/>
            <w:t>关于瑞泰附加瑞麟少儿重大疾病保险合同（以下简称</w:t>
          </w:r>
          <w:r>
            <w:rPr>
              <w:rFonts w:ascii="Times New Roman" w:hAnsi="Times New Roman" w:eastAsia="Times New Roman"/>
            </w:rPr>
            <w:t>“</w:t>
          </w:r>
          <w:r>
            <w:rPr/>
            <w:t>本附加合同</w:t>
          </w:r>
          <w:r>
            <w:rPr>
              <w:rFonts w:ascii="Times New Roman" w:hAnsi="Times New Roman" w:eastAsia="Times New Roman"/>
            </w:rPr>
            <w:t>” ................................3</w:t>
          </w:r>
          <w:r>
            <w:rPr/>
            <w:t>）</w:t>
          </w:r>
        </w:p>
        <w:p>
          <w:pPr>
            <w:pStyle w:val="TOC2"/>
            <w:numPr>
              <w:ilvl w:val="0"/>
              <w:numId w:val="1"/>
            </w:numPr>
            <w:tabs>
              <w:tab w:pos="560" w:val="left" w:leader="none"/>
              <w:tab w:pos="7490" w:val="left" w:leader="dot"/>
            </w:tabs>
            <w:spacing w:line="240" w:lineRule="auto" w:before="62" w:after="0"/>
            <w:ind w:left="559" w:right="0" w:hanging="228"/>
            <w:jc w:val="left"/>
            <w:rPr>
              <w:rFonts w:ascii="Times New Roman" w:eastAsia="Times New Roman"/>
            </w:rPr>
          </w:pPr>
          <w:hyperlink w:history="true" w:anchor="_TOC_250018">
            <w:r>
              <w:rPr/>
              <w:t>本附加合同的构成</w:t>
              <w:tab/>
            </w:r>
            <w:r>
              <w:rPr>
                <w:rFonts w:ascii="Times New Roman" w:eastAsia="Times New Roman"/>
              </w:rPr>
              <w:t>3</w:t>
            </w:r>
          </w:hyperlink>
        </w:p>
        <w:p>
          <w:pPr>
            <w:pStyle w:val="TOC2"/>
            <w:numPr>
              <w:ilvl w:val="0"/>
              <w:numId w:val="1"/>
            </w:numPr>
            <w:tabs>
              <w:tab w:pos="560" w:val="left" w:leader="none"/>
              <w:tab w:pos="7490" w:val="left" w:leader="dot"/>
            </w:tabs>
            <w:spacing w:line="240" w:lineRule="auto" w:before="67" w:after="0"/>
            <w:ind w:left="559" w:right="0" w:hanging="228"/>
            <w:jc w:val="left"/>
            <w:rPr>
              <w:rFonts w:ascii="Times New Roman" w:eastAsia="Times New Roman"/>
            </w:rPr>
          </w:pPr>
          <w:hyperlink w:history="true" w:anchor="_TOC_250017">
            <w:r>
              <w:rPr/>
              <w:t>投保条件</w:t>
              <w:tab/>
            </w:r>
            <w:r>
              <w:rPr>
                <w:rFonts w:ascii="Times New Roman" w:eastAsia="Times New Roman"/>
              </w:rPr>
              <w:t>3</w:t>
            </w:r>
          </w:hyperlink>
        </w:p>
        <w:p>
          <w:pPr>
            <w:pStyle w:val="TOC2"/>
            <w:numPr>
              <w:ilvl w:val="0"/>
              <w:numId w:val="1"/>
            </w:numPr>
            <w:tabs>
              <w:tab w:pos="560" w:val="left" w:leader="none"/>
              <w:tab w:pos="7490" w:val="left" w:leader="dot"/>
            </w:tabs>
            <w:spacing w:line="240" w:lineRule="auto" w:before="63" w:after="0"/>
            <w:ind w:left="559" w:right="0" w:hanging="228"/>
            <w:jc w:val="left"/>
            <w:rPr>
              <w:rFonts w:ascii="Times New Roman" w:eastAsia="Times New Roman"/>
            </w:rPr>
          </w:pPr>
          <w:hyperlink w:history="true" w:anchor="_TOC_250016">
            <w:r>
              <w:rPr/>
              <w:t>本附加合同的生效及保险</w:t>
            </w:r>
            <w:r>
              <w:rPr>
                <w:spacing w:val="-3"/>
              </w:rPr>
              <w:t>期间</w:t>
              <w:tab/>
            </w:r>
            <w:r>
              <w:rPr>
                <w:rFonts w:ascii="Times New Roman" w:eastAsia="Times New Roman"/>
              </w:rPr>
              <w:t>4</w:t>
            </w:r>
          </w:hyperlink>
        </w:p>
        <w:p>
          <w:pPr>
            <w:pStyle w:val="TOC1"/>
            <w:tabs>
              <w:tab w:pos="7293" w:val="left" w:leader="dot"/>
            </w:tabs>
            <w:spacing w:before="183"/>
            <w:ind w:right="916"/>
            <w:rPr>
              <w:rFonts w:ascii="Times New Roman" w:eastAsia="Times New Roman"/>
            </w:rPr>
          </w:pPr>
          <w:hyperlink w:history="true" w:anchor="_TOC_250015">
            <w:r>
              <w:rPr/>
              <w:t>二、保障条款</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180" w:after="0"/>
            <w:ind w:left="559" w:right="0" w:hanging="228"/>
            <w:jc w:val="left"/>
            <w:rPr>
              <w:rFonts w:ascii="Times New Roman" w:eastAsia="Times New Roman"/>
            </w:rPr>
          </w:pPr>
          <w:hyperlink w:history="true" w:anchor="_TOC_250014">
            <w:r>
              <w:rPr/>
              <w:t>保险金额</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64" w:after="0"/>
            <w:ind w:left="559" w:right="0" w:hanging="228"/>
            <w:jc w:val="left"/>
            <w:rPr>
              <w:rFonts w:ascii="Times New Roman" w:eastAsia="Times New Roman"/>
            </w:rPr>
          </w:pPr>
          <w:hyperlink w:history="true" w:anchor="_TOC_250013">
            <w:r>
              <w:rPr/>
              <w:t>保险费</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62" w:after="0"/>
            <w:ind w:left="559" w:right="0" w:hanging="228"/>
            <w:jc w:val="left"/>
            <w:rPr>
              <w:rFonts w:ascii="Times New Roman" w:eastAsia="Times New Roman"/>
            </w:rPr>
          </w:pPr>
          <w:hyperlink w:history="true" w:anchor="_TOC_250012">
            <w:r>
              <w:rPr/>
              <w:t>保险责任</w:t>
              <w:tab/>
            </w:r>
            <w:r>
              <w:rPr>
                <w:rFonts w:ascii="Times New Roman" w:eastAsia="Times New Roman"/>
              </w:rPr>
              <w:t>5</w:t>
            </w:r>
          </w:hyperlink>
        </w:p>
        <w:p>
          <w:pPr>
            <w:pStyle w:val="TOC2"/>
            <w:numPr>
              <w:ilvl w:val="0"/>
              <w:numId w:val="1"/>
            </w:numPr>
            <w:tabs>
              <w:tab w:pos="560" w:val="left" w:leader="none"/>
              <w:tab w:pos="7490" w:val="left" w:leader="dot"/>
            </w:tabs>
            <w:spacing w:line="240" w:lineRule="auto" w:before="60" w:after="0"/>
            <w:ind w:left="559" w:right="0" w:hanging="228"/>
            <w:jc w:val="left"/>
            <w:rPr>
              <w:rFonts w:ascii="Times New Roman" w:eastAsia="Times New Roman"/>
            </w:rPr>
          </w:pPr>
          <w:hyperlink w:history="true" w:anchor="_TOC_250011">
            <w:r>
              <w:rPr/>
              <w:t>责任免除</w:t>
              <w:tab/>
            </w:r>
            <w:r>
              <w:rPr>
                <w:rFonts w:ascii="Times New Roman" w:eastAsia="Times New Roman"/>
              </w:rPr>
              <w:t>6</w:t>
            </w:r>
          </w:hyperlink>
        </w:p>
        <w:p>
          <w:pPr>
            <w:pStyle w:val="TOC2"/>
            <w:tabs>
              <w:tab w:pos="7490" w:val="left" w:leader="dot"/>
            </w:tabs>
            <w:ind w:left="331" w:firstLine="0"/>
            <w:rPr>
              <w:rFonts w:ascii="Times New Roman" w:eastAsia="Times New Roman"/>
            </w:rPr>
          </w:pPr>
          <w:hyperlink w:history="true" w:anchor="_TOC_250010">
            <w:r>
              <w:rPr>
                <w:rFonts w:ascii="Times New Roman" w:eastAsia="Times New Roman"/>
              </w:rPr>
              <w:t>9.</w:t>
            </w:r>
            <w:r>
              <w:rPr/>
              <w:t>受益人的指定和变更</w:t>
              <w:tab/>
            </w:r>
            <w:r>
              <w:rPr>
                <w:rFonts w:ascii="Times New Roman" w:eastAsia="Times New Roman"/>
              </w:rPr>
              <w:t>6</w:t>
            </w:r>
          </w:hyperlink>
        </w:p>
        <w:p>
          <w:pPr>
            <w:pStyle w:val="TOC2"/>
            <w:tabs>
              <w:tab w:pos="7490" w:val="left" w:leader="dot"/>
            </w:tabs>
            <w:ind w:left="331" w:firstLine="0"/>
            <w:rPr>
              <w:rFonts w:ascii="Times New Roman" w:eastAsia="Times New Roman"/>
            </w:rPr>
          </w:pPr>
          <w:hyperlink w:history="true" w:anchor="_TOC_250009">
            <w:r>
              <w:rPr>
                <w:rFonts w:ascii="Times New Roman" w:eastAsia="Times New Roman"/>
              </w:rPr>
              <w:t>10.</w:t>
            </w:r>
            <w:r>
              <w:rPr/>
              <w:t>保险事故通知及保险金的</w:t>
            </w:r>
            <w:r>
              <w:rPr>
                <w:spacing w:val="-3"/>
              </w:rPr>
              <w:t>申</w:t>
            </w:r>
            <w:r>
              <w:rPr/>
              <w:t>请时间</w:t>
              <w:tab/>
            </w:r>
            <w:r>
              <w:rPr>
                <w:rFonts w:ascii="Times New Roman" w:eastAsia="Times New Roman"/>
              </w:rPr>
              <w:t>6</w:t>
            </w:r>
          </w:hyperlink>
        </w:p>
        <w:p>
          <w:pPr>
            <w:pStyle w:val="TOC1"/>
            <w:tabs>
              <w:tab w:pos="7067" w:val="left" w:leader="dot"/>
            </w:tabs>
            <w:spacing w:before="67"/>
            <w:rPr>
              <w:rFonts w:ascii="Times New Roman" w:eastAsia="Times New Roman"/>
            </w:rPr>
          </w:pPr>
          <w:hyperlink w:history="true" w:anchor="_TOC_250008">
            <w:r>
              <w:rPr>
                <w:rFonts w:ascii="Times New Roman" w:eastAsia="Times New Roman"/>
              </w:rPr>
              <w:t>11.</w:t>
            </w:r>
            <w:r>
              <w:rPr/>
              <w:t>保险金的申请</w:t>
              <w:tab/>
            </w:r>
            <w:r>
              <w:rPr>
                <w:rFonts w:ascii="Times New Roman" w:eastAsia="Times New Roman"/>
              </w:rPr>
              <w:t>6</w:t>
            </w:r>
          </w:hyperlink>
        </w:p>
        <w:p>
          <w:pPr>
            <w:pStyle w:val="TOC1"/>
            <w:tabs>
              <w:tab w:pos="7293" w:val="left" w:leader="dot"/>
            </w:tabs>
            <w:ind w:right="916"/>
            <w:rPr>
              <w:rFonts w:ascii="Times New Roman" w:eastAsia="Times New Roman"/>
            </w:rPr>
          </w:pPr>
          <w:hyperlink w:history="true" w:anchor="_TOC_250007">
            <w:r>
              <w:rPr/>
              <w:t>三、其他</w:t>
              <w:tab/>
            </w:r>
            <w:r>
              <w:rPr>
                <w:rFonts w:ascii="Times New Roman" w:eastAsia="Times New Roman"/>
              </w:rPr>
              <w:t>7</w:t>
            </w:r>
          </w:hyperlink>
        </w:p>
        <w:p>
          <w:pPr>
            <w:pStyle w:val="TOC1"/>
            <w:tabs>
              <w:tab w:pos="7067" w:val="left" w:leader="dot"/>
            </w:tabs>
            <w:rPr>
              <w:rFonts w:ascii="Times New Roman" w:eastAsia="Times New Roman"/>
            </w:rPr>
          </w:pPr>
          <w:hyperlink w:history="true" w:anchor="_TOC_250006">
            <w:r>
              <w:rPr>
                <w:rFonts w:ascii="Times New Roman" w:eastAsia="Times New Roman"/>
              </w:rPr>
              <w:t>12.</w:t>
            </w:r>
            <w:r>
              <w:rPr/>
              <w:t>续保</w:t>
              <w:tab/>
            </w:r>
            <w:r>
              <w:rPr>
                <w:rFonts w:ascii="Times New Roman" w:eastAsia="Times New Roman"/>
              </w:rPr>
              <w:t>7</w:t>
            </w:r>
          </w:hyperlink>
        </w:p>
        <w:p>
          <w:pPr>
            <w:pStyle w:val="TOC2"/>
            <w:tabs>
              <w:tab w:pos="7490" w:val="left" w:leader="dot"/>
            </w:tabs>
            <w:spacing w:before="60"/>
            <w:ind w:left="331" w:firstLine="0"/>
            <w:rPr>
              <w:rFonts w:ascii="Times New Roman" w:eastAsia="Times New Roman"/>
            </w:rPr>
          </w:pPr>
          <w:hyperlink w:history="true" w:anchor="_TOC_250005">
            <w:r>
              <w:rPr>
                <w:rFonts w:ascii="Times New Roman" w:eastAsia="Times New Roman"/>
              </w:rPr>
              <w:t>13.</w:t>
            </w:r>
            <w:r>
              <w:rPr/>
              <w:t>年龄确定与错误的处理</w:t>
              <w:tab/>
            </w:r>
            <w:r>
              <w:rPr>
                <w:rFonts w:ascii="Times New Roman" w:eastAsia="Times New Roman"/>
              </w:rPr>
              <w:t>7</w:t>
            </w:r>
          </w:hyperlink>
        </w:p>
        <w:p>
          <w:pPr>
            <w:pStyle w:val="TOC1"/>
            <w:tabs>
              <w:tab w:pos="7067" w:val="left" w:leader="dot"/>
            </w:tabs>
            <w:spacing w:before="62"/>
            <w:rPr>
              <w:rFonts w:ascii="Times New Roman" w:eastAsia="Times New Roman"/>
            </w:rPr>
          </w:pPr>
          <w:hyperlink w:history="true" w:anchor="_TOC_250004">
            <w:r>
              <w:rPr>
                <w:rFonts w:ascii="Times New Roman" w:eastAsia="Times New Roman"/>
              </w:rPr>
              <w:t>14.</w:t>
            </w:r>
            <w:r>
              <w:rPr/>
              <w:t>宽限期</w:t>
              <w:tab/>
            </w:r>
            <w:r>
              <w:rPr>
                <w:rFonts w:ascii="Times New Roman" w:eastAsia="Times New Roman"/>
              </w:rPr>
              <w:t>8</w:t>
            </w:r>
          </w:hyperlink>
        </w:p>
        <w:p>
          <w:pPr>
            <w:pStyle w:val="TOC2"/>
            <w:tabs>
              <w:tab w:pos="7490" w:val="left" w:leader="dot"/>
            </w:tabs>
            <w:ind w:left="331" w:firstLine="0"/>
            <w:rPr>
              <w:rFonts w:ascii="Times New Roman" w:eastAsia="Times New Roman"/>
            </w:rPr>
          </w:pPr>
          <w:hyperlink w:history="true" w:anchor="_TOC_250003">
            <w:r>
              <w:rPr>
                <w:rFonts w:ascii="Times New Roman" w:eastAsia="Times New Roman"/>
              </w:rPr>
              <w:t>15.</w:t>
            </w:r>
            <w:r>
              <w:rPr/>
              <w:t>增加或减少保险金额</w:t>
              <w:tab/>
            </w:r>
            <w:r>
              <w:rPr>
                <w:rFonts w:ascii="Times New Roman" w:eastAsia="Times New Roman"/>
              </w:rPr>
              <w:t>9</w:t>
            </w:r>
          </w:hyperlink>
        </w:p>
        <w:p>
          <w:pPr>
            <w:pStyle w:val="TOC1"/>
            <w:tabs>
              <w:tab w:pos="7067" w:val="left" w:leader="dot"/>
            </w:tabs>
            <w:spacing w:before="67"/>
            <w:rPr>
              <w:rFonts w:ascii="Times New Roman" w:eastAsia="Times New Roman"/>
            </w:rPr>
          </w:pPr>
          <w:hyperlink w:history="true" w:anchor="_TOC_250002">
            <w:r>
              <w:rPr>
                <w:rFonts w:ascii="Times New Roman" w:eastAsia="Times New Roman"/>
              </w:rPr>
              <w:t>16.</w:t>
            </w:r>
            <w:r>
              <w:rPr/>
              <w:t>如实告知义务</w:t>
              <w:tab/>
            </w:r>
            <w:r>
              <w:rPr>
                <w:rFonts w:ascii="Times New Roman" w:eastAsia="Times New Roman"/>
              </w:rPr>
              <w:t>9</w:t>
            </w:r>
          </w:hyperlink>
        </w:p>
        <w:p>
          <w:pPr>
            <w:pStyle w:val="TOC2"/>
            <w:tabs>
              <w:tab w:pos="7490" w:val="left" w:leader="dot"/>
            </w:tabs>
            <w:ind w:left="331" w:firstLine="0"/>
            <w:rPr>
              <w:rFonts w:ascii="Times New Roman" w:eastAsia="Times New Roman"/>
            </w:rPr>
          </w:pPr>
          <w:hyperlink w:history="true" w:anchor="_TOC_250001">
            <w:r>
              <w:rPr>
                <w:rFonts w:ascii="Times New Roman" w:eastAsia="Times New Roman"/>
              </w:rPr>
              <w:t>17.</w:t>
            </w:r>
            <w:r>
              <w:rPr>
                <w:rFonts w:ascii="Times New Roman" w:eastAsia="Times New Roman"/>
                <w:spacing w:val="43"/>
              </w:rPr>
              <w:t> </w:t>
            </w:r>
            <w:r>
              <w:rPr/>
              <w:t>本附加合同的解除及终止</w:t>
              <w:tab/>
            </w:r>
            <w:r>
              <w:rPr>
                <w:rFonts w:ascii="Times New Roman" w:eastAsia="Times New Roman"/>
              </w:rPr>
              <w:t>9</w:t>
            </w:r>
          </w:hyperlink>
        </w:p>
        <w:p>
          <w:pPr>
            <w:pStyle w:val="TOC1"/>
            <w:tabs>
              <w:tab w:pos="7204" w:val="left" w:leader="dot"/>
            </w:tabs>
            <w:ind w:right="915"/>
            <w:rPr>
              <w:rFonts w:ascii="Times New Roman" w:eastAsia="Times New Roman"/>
            </w:rPr>
          </w:pPr>
          <w:hyperlink w:history="true" w:anchor="_TOC_250000">
            <w:r>
              <w:rPr/>
              <w:t>四、释义</w:t>
              <w:tab/>
            </w:r>
            <w:r>
              <w:rPr>
                <w:rFonts w:ascii="Times New Roman" w:eastAsia="Times New Roman"/>
              </w:rPr>
              <w:t>10</w:t>
            </w:r>
          </w:hyperlink>
        </w:p>
      </w:sdtContent>
    </w:sdt>
    <w:p>
      <w:pPr>
        <w:spacing w:after="0"/>
        <w:rPr>
          <w:rFonts w:ascii="Times New Roman" w:eastAsia="Times New Roman"/>
        </w:rPr>
        <w:sectPr>
          <w:pgSz w:w="11900" w:h="16840"/>
          <w:pgMar w:header="0" w:footer="968" w:top="1500" w:bottom="1160" w:left="1680" w:right="1680"/>
        </w:sectPr>
      </w:pPr>
    </w:p>
    <w:p>
      <w:pPr>
        <w:spacing w:before="12"/>
        <w:ind w:left="369" w:right="916" w:firstLine="0"/>
        <w:jc w:val="center"/>
        <w:rPr>
          <w:sz w:val="25"/>
        </w:rPr>
      </w:pPr>
      <w:r>
        <w:rPr>
          <w:sz w:val="25"/>
        </w:rPr>
        <w:t>瑞泰附加瑞麟少儿重大疾病保险合同条款</w:t>
      </w:r>
    </w:p>
    <w:p>
      <w:pPr>
        <w:spacing w:before="187"/>
        <w:ind w:left="549" w:right="916" w:firstLine="0"/>
        <w:jc w:val="center"/>
        <w:rPr>
          <w:sz w:val="19"/>
        </w:rPr>
      </w:pPr>
      <w:r>
        <w:rPr>
          <w:sz w:val="19"/>
        </w:rPr>
        <w:t>（本附加合同条款 </w:t>
      </w:r>
      <w:r>
        <w:rPr>
          <w:rFonts w:ascii="Times New Roman" w:eastAsia="Times New Roman"/>
          <w:sz w:val="19"/>
        </w:rPr>
        <w:t>2009  </w:t>
      </w:r>
      <w:r>
        <w:rPr>
          <w:sz w:val="19"/>
        </w:rPr>
        <w:t>年 </w:t>
      </w:r>
      <w:r>
        <w:rPr>
          <w:rFonts w:ascii="Times New Roman" w:eastAsia="Times New Roman"/>
          <w:sz w:val="19"/>
        </w:rPr>
        <w:t>1  </w:t>
      </w:r>
      <w:r>
        <w:rPr>
          <w:sz w:val="19"/>
        </w:rPr>
        <w:t>月经中国保险监督管理委员会备案）</w:t>
      </w:r>
    </w:p>
    <w:p>
      <w:pPr>
        <w:pStyle w:val="BodyText"/>
        <w:rPr>
          <w:sz w:val="28"/>
        </w:rPr>
      </w:pPr>
    </w:p>
    <w:p>
      <w:pPr>
        <w:pStyle w:val="BodyText"/>
        <w:spacing w:before="3"/>
        <w:rPr>
          <w:sz w:val="37"/>
        </w:rPr>
      </w:pPr>
    </w:p>
    <w:p>
      <w:pPr>
        <w:pStyle w:val="Heading2"/>
      </w:pPr>
      <w:bookmarkStart w:name="_TOC_250019" w:id="1"/>
      <w:bookmarkEnd w:id="1"/>
      <w:r>
        <w:rPr/>
        <w:t>一、总则</w:t>
      </w:r>
    </w:p>
    <w:p>
      <w:pPr>
        <w:pStyle w:val="BodyText"/>
        <w:rPr>
          <w:sz w:val="28"/>
        </w:rPr>
      </w:pPr>
    </w:p>
    <w:p>
      <w:pPr>
        <w:pStyle w:val="BodyText"/>
        <w:spacing w:before="7"/>
      </w:pPr>
    </w:p>
    <w:p>
      <w:pPr>
        <w:pStyle w:val="Heading3"/>
        <w:numPr>
          <w:ilvl w:val="0"/>
          <w:numId w:val="2"/>
        </w:numPr>
        <w:tabs>
          <w:tab w:pos="459" w:val="left" w:leader="none"/>
        </w:tabs>
        <w:spacing w:line="400" w:lineRule="auto" w:before="1" w:after="0"/>
        <w:ind w:left="120" w:right="1210" w:firstLine="0"/>
        <w:jc w:val="left"/>
      </w:pPr>
      <w:r>
        <w:rPr>
          <w:spacing w:val="-3"/>
        </w:rPr>
        <w:t>关于瑞泰附加瑞麟少儿重大疾病保险合同（</w:t>
      </w:r>
      <w:r>
        <w:rPr>
          <w:spacing w:val="-2"/>
        </w:rPr>
        <w:t>以下简称</w:t>
      </w:r>
      <w:r>
        <w:rPr>
          <w:rFonts w:ascii="Times New Roman" w:hAnsi="Times New Roman" w:eastAsia="Times New Roman"/>
          <w:spacing w:val="-3"/>
        </w:rPr>
        <w:t>“</w:t>
      </w:r>
      <w:r>
        <w:rPr>
          <w:spacing w:val="-3"/>
        </w:rPr>
        <w:t>本附</w:t>
      </w:r>
      <w:r>
        <w:rPr>
          <w:spacing w:val="-2"/>
        </w:rPr>
        <w:t>加合同</w:t>
      </w:r>
      <w:r>
        <w:rPr>
          <w:rFonts w:ascii="Times New Roman" w:hAnsi="Times New Roman" w:eastAsia="Times New Roman"/>
        </w:rPr>
        <w:t>”</w:t>
      </w:r>
      <w:r>
        <w:rPr/>
        <w:t>）</w:t>
      </w:r>
    </w:p>
    <w:p>
      <w:pPr>
        <w:pStyle w:val="BodyText"/>
        <w:spacing w:line="386" w:lineRule="auto" w:before="14"/>
        <w:ind w:left="120" w:right="1237" w:firstLine="482"/>
      </w:pPr>
      <w:r>
        <w:rPr/>
        <w:t>瑞泰附加瑞麟少儿重大疾病保险合同可附加在我们（</w:t>
      </w:r>
      <w:r>
        <w:rPr>
          <w:rFonts w:ascii="Times New Roman" w:hAnsi="Times New Roman" w:eastAsia="Times New Roman"/>
        </w:rPr>
        <w:t>“</w:t>
      </w:r>
      <w:r>
        <w:rPr/>
        <w:t>我们</w:t>
      </w:r>
      <w:r>
        <w:rPr>
          <w:rFonts w:ascii="Times New Roman" w:hAnsi="Times New Roman" w:eastAsia="Times New Roman"/>
        </w:rPr>
        <w:t>”</w:t>
      </w:r>
      <w:r>
        <w:rPr/>
        <w:t>在本附加合同中指</w:t>
      </w:r>
      <w:r>
        <w:rPr>
          <w:rFonts w:ascii="Times New Roman" w:hAnsi="Times New Roman" w:eastAsia="Times New Roman"/>
        </w:rPr>
        <w:t>“</w:t>
      </w:r>
      <w:r>
        <w:rPr/>
        <w:t>瑞泰人寿保险有限公司</w:t>
      </w:r>
      <w:r>
        <w:rPr>
          <w:rFonts w:ascii="Times New Roman" w:hAnsi="Times New Roman" w:eastAsia="Times New Roman"/>
        </w:rPr>
        <w:t>”</w:t>
      </w:r>
      <w:r>
        <w:rPr/>
        <w:t>）规定的主保险合同（以下简称</w:t>
      </w:r>
      <w:r>
        <w:rPr>
          <w:rFonts w:ascii="Times New Roman" w:hAnsi="Times New Roman" w:eastAsia="Times New Roman"/>
        </w:rPr>
        <w:t>“</w:t>
      </w:r>
      <w:r>
        <w:rPr/>
        <w:t>主合同</w:t>
      </w:r>
      <w:r>
        <w:rPr>
          <w:rFonts w:ascii="Times New Roman" w:hAnsi="Times New Roman" w:eastAsia="Times New Roman"/>
        </w:rPr>
        <w:t>”</w:t>
      </w:r>
      <w:r>
        <w:rPr/>
        <w:t>）上， 是您（</w:t>
      </w:r>
      <w:r>
        <w:rPr>
          <w:rFonts w:ascii="Times New Roman" w:hAnsi="Times New Roman" w:eastAsia="Times New Roman"/>
        </w:rPr>
        <w:t>“</w:t>
      </w:r>
      <w:r>
        <w:rPr/>
        <w:t>您</w:t>
      </w:r>
      <w:r>
        <w:rPr>
          <w:rFonts w:ascii="Times New Roman" w:hAnsi="Times New Roman" w:eastAsia="Times New Roman"/>
        </w:rPr>
        <w:t>”</w:t>
      </w:r>
      <w:r>
        <w:rPr/>
        <w:t>在本附加合同中指</w:t>
      </w:r>
      <w:r>
        <w:rPr>
          <w:rFonts w:ascii="Times New Roman" w:hAnsi="Times New Roman" w:eastAsia="Times New Roman"/>
        </w:rPr>
        <w:t>“</w:t>
      </w:r>
      <w:r>
        <w:rPr/>
        <w:t>投保人</w:t>
      </w:r>
      <w:r>
        <w:rPr>
          <w:rFonts w:ascii="Times New Roman" w:hAnsi="Times New Roman" w:eastAsia="Times New Roman"/>
        </w:rPr>
        <w:t>”</w:t>
      </w:r>
      <w:r>
        <w:rPr/>
        <w:t>）和我们之间签订的附加协议。本附加合同提供的是少儿重大疾病保险保障。</w:t>
      </w:r>
    </w:p>
    <w:p>
      <w:pPr>
        <w:pStyle w:val="BodyText"/>
        <w:spacing w:line="405" w:lineRule="auto" w:before="67"/>
        <w:ind w:left="120" w:right="999" w:firstLine="482"/>
      </w:pPr>
      <w:r>
        <w:rPr/>
        <w:t>本附加合同中有约定的，以本附加合同的约定为准；本附加合同中没有约定的，主合同的条款适用于本附加合同，但主合同中的投资相关条款除外。</w:t>
      </w:r>
    </w:p>
    <w:p>
      <w:pPr>
        <w:pStyle w:val="Heading3"/>
        <w:numPr>
          <w:ilvl w:val="0"/>
          <w:numId w:val="2"/>
        </w:numPr>
        <w:tabs>
          <w:tab w:pos="459" w:val="left" w:leader="none"/>
        </w:tabs>
        <w:spacing w:line="240" w:lineRule="auto" w:before="88" w:after="0"/>
        <w:ind w:left="120" w:right="0" w:firstLine="0"/>
        <w:jc w:val="left"/>
      </w:pPr>
      <w:bookmarkStart w:name="_TOC_250018" w:id="2"/>
      <w:bookmarkEnd w:id="2"/>
      <w:r>
        <w:rPr>
          <w:spacing w:val="-3"/>
        </w:rPr>
        <w:t>本附加合同的构成</w:t>
      </w:r>
    </w:p>
    <w:p>
      <w:pPr>
        <w:pStyle w:val="BodyText"/>
        <w:spacing w:line="408" w:lineRule="auto" w:before="211"/>
        <w:ind w:left="120" w:right="999" w:firstLine="482"/>
        <w:jc w:val="both"/>
      </w:pPr>
      <w:r>
        <w:rPr/>
        <w:t>本附加合同由保险单（指本附加合同的保险单，以下同）或其他保险凭证、附加保险合同条款、投保单、与本附加合同有关的其他投保文件、合法有效的声明、通知、批单、批注和其他书面协议构成。</w:t>
      </w:r>
    </w:p>
    <w:p>
      <w:pPr>
        <w:pStyle w:val="Heading3"/>
        <w:numPr>
          <w:ilvl w:val="0"/>
          <w:numId w:val="2"/>
        </w:numPr>
        <w:tabs>
          <w:tab w:pos="459" w:val="left" w:leader="none"/>
        </w:tabs>
        <w:spacing w:line="240" w:lineRule="auto" w:before="85" w:after="0"/>
        <w:ind w:left="120" w:right="0" w:firstLine="0"/>
        <w:jc w:val="left"/>
      </w:pPr>
      <w:bookmarkStart w:name="_TOC_250017" w:id="3"/>
      <w:bookmarkEnd w:id="3"/>
      <w:r>
        <w:rPr>
          <w:spacing w:val="-2"/>
        </w:rPr>
        <w:t>投保条件</w:t>
      </w:r>
    </w:p>
    <w:p>
      <w:pPr>
        <w:pStyle w:val="ListParagraph"/>
        <w:numPr>
          <w:ilvl w:val="1"/>
          <w:numId w:val="2"/>
        </w:numPr>
        <w:tabs>
          <w:tab w:pos="490" w:val="left" w:leader="none"/>
        </w:tabs>
        <w:spacing w:line="240" w:lineRule="auto" w:before="211" w:after="0"/>
        <w:ind w:left="489" w:right="0" w:hanging="369"/>
        <w:jc w:val="left"/>
        <w:rPr>
          <w:sz w:val="21"/>
        </w:rPr>
      </w:pPr>
      <w:r>
        <w:rPr>
          <w:spacing w:val="-2"/>
          <w:sz w:val="21"/>
        </w:rPr>
        <w:t>投保人</w:t>
      </w:r>
    </w:p>
    <w:p>
      <w:pPr>
        <w:pStyle w:val="BodyText"/>
        <w:spacing w:before="176"/>
        <w:ind w:left="602"/>
      </w:pPr>
      <w:r>
        <w:rPr/>
        <w:t>本附加合同的投保人与主合同的投保人为同一人。</w:t>
      </w:r>
    </w:p>
    <w:p>
      <w:pPr>
        <w:pStyle w:val="BodyText"/>
        <w:spacing w:before="9"/>
        <w:rPr>
          <w:sz w:val="14"/>
        </w:rPr>
      </w:pPr>
    </w:p>
    <w:p>
      <w:pPr>
        <w:pStyle w:val="ListParagraph"/>
        <w:numPr>
          <w:ilvl w:val="1"/>
          <w:numId w:val="2"/>
        </w:numPr>
        <w:tabs>
          <w:tab w:pos="490" w:val="left" w:leader="none"/>
        </w:tabs>
        <w:spacing w:line="240" w:lineRule="auto" w:before="0" w:after="0"/>
        <w:ind w:left="489" w:right="0" w:hanging="369"/>
        <w:jc w:val="left"/>
        <w:rPr>
          <w:sz w:val="21"/>
        </w:rPr>
      </w:pPr>
      <w:r>
        <w:rPr>
          <w:spacing w:val="-3"/>
          <w:sz w:val="21"/>
        </w:rPr>
        <w:t>被保险人</w:t>
      </w:r>
    </w:p>
    <w:p>
      <w:pPr>
        <w:pStyle w:val="BodyText"/>
        <w:spacing w:before="179"/>
        <w:ind w:left="602"/>
      </w:pPr>
      <w:r>
        <w:rPr/>
        <w:t>本附加合同的被保险人与主合同的被保险人为同一人</w:t>
      </w:r>
      <w:r>
        <w:rPr>
          <w:rFonts w:ascii="Times New Roman" w:eastAsia="Times New Roman"/>
        </w:rPr>
        <w:t>,  </w:t>
      </w:r>
      <w:r>
        <w:rPr/>
        <w:t>且在本附加合同生</w:t>
      </w:r>
    </w:p>
    <w:p>
      <w:pPr>
        <w:pStyle w:val="BodyText"/>
        <w:spacing w:line="386" w:lineRule="auto" w:before="177"/>
        <w:ind w:left="120" w:right="927"/>
      </w:pPr>
      <w:r>
        <w:rPr/>
        <w:t>效日</w:t>
      </w:r>
      <w:r>
        <w:rPr>
          <w:rFonts w:ascii="Times New Roman" w:eastAsia="Times New Roman"/>
        </w:rPr>
        <w:t>(</w:t>
      </w:r>
      <w:r>
        <w:rPr/>
        <w:t>含续保生效日</w:t>
      </w:r>
      <w:r>
        <w:rPr>
          <w:rFonts w:ascii="Times New Roman" w:eastAsia="Times New Roman"/>
        </w:rPr>
        <w:t>)</w:t>
      </w:r>
      <w:r>
        <w:rPr/>
        <w:t>被保险人的年龄应该在出生满 </w:t>
      </w:r>
      <w:r>
        <w:rPr>
          <w:rFonts w:ascii="Times New Roman" w:eastAsia="Times New Roman"/>
        </w:rPr>
        <w:t>30 </w:t>
      </w:r>
      <w:r>
        <w:rPr/>
        <w:t>天（含）至 </w:t>
      </w:r>
      <w:r>
        <w:rPr>
          <w:rFonts w:ascii="Times New Roman" w:eastAsia="Times New Roman"/>
        </w:rPr>
        <w:t>15 </w:t>
      </w:r>
      <w:r>
        <w:rPr/>
        <w:t>周岁（含） 之间。</w:t>
      </w:r>
    </w:p>
    <w:p>
      <w:pPr>
        <w:pStyle w:val="BodyText"/>
        <w:spacing w:line="408" w:lineRule="auto" w:before="65"/>
        <w:ind w:left="120" w:right="999" w:firstLine="482"/>
      </w:pPr>
      <w:r>
        <w:rPr/>
        <w:t>本附加合同所指周岁，均以法定身份证明文件中记载的被保险人出生日期为计算基础。</w:t>
      </w:r>
    </w:p>
    <w:p>
      <w:pPr>
        <w:spacing w:after="0" w:line="408" w:lineRule="auto"/>
        <w:sectPr>
          <w:pgSz w:w="11900" w:h="16840"/>
          <w:pgMar w:header="0" w:footer="968" w:top="1560" w:bottom="1160" w:left="1680" w:right="1680"/>
        </w:sectPr>
      </w:pPr>
    </w:p>
    <w:p>
      <w:pPr>
        <w:pStyle w:val="Heading3"/>
        <w:numPr>
          <w:ilvl w:val="0"/>
          <w:numId w:val="2"/>
        </w:numPr>
        <w:tabs>
          <w:tab w:pos="459" w:val="left" w:leader="none"/>
        </w:tabs>
        <w:spacing w:line="240" w:lineRule="auto" w:before="0" w:after="0"/>
        <w:ind w:left="120" w:right="0" w:firstLine="0"/>
        <w:jc w:val="left"/>
      </w:pPr>
      <w:bookmarkStart w:name="_TOC_250016" w:id="4"/>
      <w:bookmarkEnd w:id="4"/>
      <w:r>
        <w:rPr>
          <w:spacing w:val="-3"/>
        </w:rPr>
        <w:t>本附加合同的生效及保险期间</w:t>
      </w:r>
    </w:p>
    <w:p>
      <w:pPr>
        <w:pStyle w:val="ListParagraph"/>
        <w:numPr>
          <w:ilvl w:val="1"/>
          <w:numId w:val="2"/>
        </w:numPr>
        <w:tabs>
          <w:tab w:pos="490" w:val="left" w:leader="none"/>
        </w:tabs>
        <w:spacing w:line="240" w:lineRule="auto" w:before="211" w:after="0"/>
        <w:ind w:left="489" w:right="0" w:hanging="369"/>
        <w:jc w:val="left"/>
        <w:rPr>
          <w:sz w:val="21"/>
        </w:rPr>
      </w:pPr>
      <w:r>
        <w:rPr>
          <w:spacing w:val="-3"/>
          <w:sz w:val="21"/>
        </w:rPr>
        <w:t>本附加合同的生效</w:t>
      </w:r>
    </w:p>
    <w:p>
      <w:pPr>
        <w:pStyle w:val="BodyText"/>
        <w:spacing w:line="410" w:lineRule="auto" w:before="176"/>
        <w:ind w:left="120" w:right="999" w:firstLine="482"/>
        <w:jc w:val="both"/>
      </w:pPr>
      <w:r>
        <w:rPr/>
        <w:t>您向我们完整提交本附加合同的投保单等相关投保文件后，我们需要对您的投保申请进行核保。在我们同意承保并收取您应该交纳的保险费时，被保险人生存的，本附加合同生效，该生效日期在保险单中载明。我们将及时签发保险单作为保险凭证。</w:t>
      </w:r>
    </w:p>
    <w:p>
      <w:pPr>
        <w:pStyle w:val="BodyText"/>
        <w:spacing w:line="410" w:lineRule="auto" w:before="43"/>
        <w:ind w:left="120" w:right="999" w:firstLine="482"/>
      </w:pPr>
      <w:r>
        <w:rPr/>
        <w:t>保险单周年日、保险单年度、保险单月度和保险单期满日均以本附加合同保险单中载明的生效日期为准计算。</w:t>
      </w:r>
    </w:p>
    <w:p>
      <w:pPr>
        <w:pStyle w:val="ListParagraph"/>
        <w:numPr>
          <w:ilvl w:val="1"/>
          <w:numId w:val="2"/>
        </w:numPr>
        <w:tabs>
          <w:tab w:pos="490" w:val="left" w:leader="none"/>
        </w:tabs>
        <w:spacing w:line="240" w:lineRule="auto" w:before="43" w:after="0"/>
        <w:ind w:left="489" w:right="0" w:hanging="369"/>
        <w:jc w:val="left"/>
        <w:rPr>
          <w:sz w:val="21"/>
        </w:rPr>
      </w:pPr>
      <w:r>
        <w:rPr>
          <w:spacing w:val="-3"/>
          <w:sz w:val="21"/>
        </w:rPr>
        <w:t>保险期间</w:t>
      </w:r>
    </w:p>
    <w:p>
      <w:pPr>
        <w:pStyle w:val="BodyText"/>
        <w:spacing w:line="386" w:lineRule="auto" w:before="176"/>
        <w:ind w:left="120" w:right="896" w:firstLine="482"/>
      </w:pPr>
      <w:r>
        <w:rPr/>
        <w:t>本附加合同的保险期间为 </w:t>
      </w:r>
      <w:r>
        <w:rPr>
          <w:rFonts w:ascii="Times New Roman" w:eastAsia="Times New Roman"/>
        </w:rPr>
        <w:t>5 </w:t>
      </w:r>
      <w:r>
        <w:rPr/>
        <w:t>年，且本附加合同的保险单期满日应该不晚于主合同的保险单期满日。</w:t>
      </w:r>
    </w:p>
    <w:p>
      <w:pPr>
        <w:pStyle w:val="BodyText"/>
        <w:spacing w:line="408" w:lineRule="auto" w:before="64"/>
        <w:ind w:left="120" w:right="999" w:firstLine="482"/>
      </w:pPr>
      <w:r>
        <w:rPr/>
        <w:t>保险期间自本附加合同保险单中载明的生效日期的零时起开始计算。保险期间会在保险单中载明。</w:t>
      </w:r>
    </w:p>
    <w:p>
      <w:pPr>
        <w:pStyle w:val="BodyText"/>
        <w:rPr>
          <w:sz w:val="20"/>
        </w:rPr>
      </w:pPr>
    </w:p>
    <w:p>
      <w:pPr>
        <w:pStyle w:val="BodyText"/>
        <w:spacing w:before="6"/>
        <w:rPr>
          <w:sz w:val="16"/>
        </w:rPr>
      </w:pPr>
    </w:p>
    <w:p>
      <w:pPr>
        <w:pStyle w:val="Heading2"/>
        <w:spacing w:before="1"/>
      </w:pPr>
      <w:bookmarkStart w:name="_TOC_250015" w:id="5"/>
      <w:bookmarkEnd w:id="5"/>
      <w:r>
        <w:rPr/>
        <w:t>二、保障条款</w:t>
      </w:r>
    </w:p>
    <w:p>
      <w:pPr>
        <w:pStyle w:val="BodyText"/>
        <w:rPr>
          <w:sz w:val="28"/>
        </w:rPr>
      </w:pPr>
    </w:p>
    <w:p>
      <w:pPr>
        <w:pStyle w:val="BodyText"/>
        <w:spacing w:before="8"/>
      </w:pPr>
    </w:p>
    <w:p>
      <w:pPr>
        <w:pStyle w:val="Heading3"/>
        <w:numPr>
          <w:ilvl w:val="0"/>
          <w:numId w:val="2"/>
        </w:numPr>
        <w:tabs>
          <w:tab w:pos="459" w:val="left" w:leader="none"/>
        </w:tabs>
        <w:spacing w:line="240" w:lineRule="auto" w:before="0" w:after="0"/>
        <w:ind w:left="120" w:right="0" w:firstLine="0"/>
        <w:jc w:val="left"/>
      </w:pPr>
      <w:bookmarkStart w:name="_TOC_250014" w:id="6"/>
      <w:bookmarkEnd w:id="6"/>
      <w:r>
        <w:rPr>
          <w:spacing w:val="-2"/>
        </w:rPr>
        <w:t>保险金额</w:t>
      </w:r>
    </w:p>
    <w:p>
      <w:pPr>
        <w:pStyle w:val="BodyText"/>
        <w:spacing w:before="212"/>
        <w:ind w:left="602"/>
      </w:pPr>
      <w:r>
        <w:rPr/>
        <w:t>本附加合同的保险金额由您和我们约定并于保险单上载明。</w:t>
      </w:r>
    </w:p>
    <w:p>
      <w:pPr>
        <w:pStyle w:val="BodyText"/>
        <w:spacing w:before="12"/>
        <w:rPr>
          <w:sz w:val="14"/>
        </w:rPr>
      </w:pPr>
    </w:p>
    <w:p>
      <w:pPr>
        <w:pStyle w:val="BodyText"/>
        <w:spacing w:line="408" w:lineRule="auto"/>
        <w:ind w:left="120" w:right="999" w:firstLine="482"/>
      </w:pPr>
      <w:r>
        <w:rPr/>
        <w:t>本附加合同生效后，如果该保险金额经您和我们同意有所变更，则以变更后的保险金额为准。</w:t>
      </w:r>
    </w:p>
    <w:p>
      <w:pPr>
        <w:pStyle w:val="Heading3"/>
        <w:numPr>
          <w:ilvl w:val="0"/>
          <w:numId w:val="2"/>
        </w:numPr>
        <w:tabs>
          <w:tab w:pos="459" w:val="left" w:leader="none"/>
        </w:tabs>
        <w:spacing w:line="240" w:lineRule="auto" w:before="83" w:after="0"/>
        <w:ind w:left="120" w:right="0" w:firstLine="0"/>
        <w:jc w:val="left"/>
      </w:pPr>
      <w:bookmarkStart w:name="_TOC_250013" w:id="7"/>
      <w:bookmarkEnd w:id="7"/>
      <w:r>
        <w:rPr>
          <w:spacing w:val="-3"/>
        </w:rPr>
        <w:t>保险费</w:t>
      </w:r>
    </w:p>
    <w:p>
      <w:pPr>
        <w:pStyle w:val="BodyText"/>
        <w:spacing w:before="171"/>
        <w:ind w:left="602"/>
      </w:pPr>
      <w:r>
        <w:rPr/>
        <w:t>本附加合同的保险费按照保险金额和按被保险人的年龄、性别约定的费率标</w:t>
      </w:r>
    </w:p>
    <w:p>
      <w:pPr>
        <w:pStyle w:val="BodyText"/>
        <w:spacing w:before="116"/>
        <w:ind w:left="120"/>
      </w:pPr>
      <w:r>
        <w:rPr/>
        <w:t>准确定，以保险单月度为计算基础，详见附件</w:t>
      </w:r>
      <w:r>
        <w:rPr>
          <w:rFonts w:ascii="Times New Roman" w:hAnsi="Times New Roman" w:eastAsia="Times New Roman"/>
        </w:rPr>
        <w:t>“</w:t>
      </w:r>
      <w:r>
        <w:rPr/>
        <w:t>瑞泰附加瑞麟少儿重大疾病保险</w:t>
      </w:r>
    </w:p>
    <w:p>
      <w:pPr>
        <w:pStyle w:val="BodyText"/>
        <w:spacing w:before="100"/>
        <w:ind w:left="120"/>
      </w:pPr>
      <w:r>
        <w:rPr/>
        <w:t>产品费率表</w:t>
      </w:r>
      <w:r>
        <w:rPr>
          <w:rFonts w:ascii="Times New Roman" w:hAnsi="Times New Roman" w:eastAsia="Times New Roman"/>
        </w:rPr>
        <w:t>”  </w:t>
      </w:r>
      <w:r>
        <w:rPr/>
        <w:t>该费率在每个保险单年度初根据被保险人当时的年龄变化而调整。，</w:t>
      </w:r>
    </w:p>
    <w:p>
      <w:pPr>
        <w:pStyle w:val="BodyText"/>
        <w:spacing w:line="410" w:lineRule="auto" w:before="139"/>
        <w:ind w:left="120" w:right="999" w:firstLine="482"/>
      </w:pPr>
      <w:r>
        <w:rPr>
          <w:spacing w:val="-3"/>
        </w:rPr>
        <w:t>本附加合同的保险费将按月通过扣取主合同投保人账户价值的方式收取。在保险单生效日的当日及以后的每个保险单生效日的月度对应日，从您主合同的投保人账户中扣除。若您的主合同为投资连结保险产品，我们按照投资单位价格或投资单位卖出价计算出当月应收取的投资单位数，从您主合同的投资账户中扣  除。</w:t>
      </w:r>
    </w:p>
    <w:p>
      <w:pPr>
        <w:spacing w:after="0" w:line="410" w:lineRule="auto"/>
        <w:sectPr>
          <w:pgSz w:w="11900" w:h="16840"/>
          <w:pgMar w:header="0" w:footer="968" w:top="1560" w:bottom="1160" w:left="1680" w:right="1680"/>
        </w:sectPr>
      </w:pPr>
    </w:p>
    <w:p>
      <w:pPr>
        <w:pStyle w:val="BodyText"/>
        <w:spacing w:line="408" w:lineRule="auto" w:before="22"/>
        <w:ind w:left="120" w:right="999" w:firstLine="482"/>
      </w:pPr>
      <w:r>
        <w:rPr>
          <w:spacing w:val="-3"/>
        </w:rPr>
        <w:t>本附加合同中所有提及投资单位的扣除或退还的，均为按照投保人主合同当时的各投资账户实际价值占其投资账户实际价值总和的比例分别从投保人各投  资账户中扣除或返还至投保人各投资账户。</w:t>
      </w:r>
    </w:p>
    <w:p>
      <w:pPr>
        <w:pStyle w:val="BodyText"/>
        <w:spacing w:before="48"/>
        <w:ind w:left="602"/>
      </w:pPr>
      <w:r>
        <w:rPr/>
        <w:t>本附加合同无现金价值。</w:t>
      </w:r>
    </w:p>
    <w:p>
      <w:pPr>
        <w:pStyle w:val="BodyText"/>
        <w:rPr>
          <w:sz w:val="20"/>
        </w:rPr>
      </w:pPr>
    </w:p>
    <w:p>
      <w:pPr>
        <w:pStyle w:val="BodyText"/>
        <w:rPr>
          <w:sz w:val="20"/>
        </w:rPr>
      </w:pPr>
    </w:p>
    <w:p>
      <w:pPr>
        <w:pStyle w:val="Heading3"/>
        <w:numPr>
          <w:ilvl w:val="0"/>
          <w:numId w:val="2"/>
        </w:numPr>
        <w:tabs>
          <w:tab w:pos="459" w:val="left" w:leader="none"/>
        </w:tabs>
        <w:spacing w:line="240" w:lineRule="auto" w:before="176" w:after="0"/>
        <w:ind w:left="120" w:right="0" w:firstLine="0"/>
        <w:jc w:val="both"/>
      </w:pPr>
      <w:bookmarkStart w:name="_TOC_250012" w:id="8"/>
      <w:bookmarkEnd w:id="8"/>
      <w:r>
        <w:rPr>
          <w:spacing w:val="-2"/>
        </w:rPr>
        <w:t>保险责任</w:t>
      </w:r>
    </w:p>
    <w:p>
      <w:pPr>
        <w:pStyle w:val="BodyText"/>
        <w:spacing w:before="212"/>
        <w:ind w:left="602"/>
      </w:pPr>
      <w:r>
        <w:rPr/>
        <w:t>在本附加合同保险期间内，我们承担下列保险责任：</w:t>
      </w:r>
    </w:p>
    <w:p>
      <w:pPr>
        <w:pStyle w:val="BodyText"/>
        <w:spacing w:before="11"/>
        <w:rPr>
          <w:sz w:val="14"/>
        </w:rPr>
      </w:pPr>
    </w:p>
    <w:p>
      <w:pPr>
        <w:pStyle w:val="BodyText"/>
        <w:spacing w:before="1"/>
        <w:ind w:left="602"/>
      </w:pPr>
      <w:r>
        <w:rPr/>
        <w:t>一、重大疾病保险金</w:t>
      </w:r>
    </w:p>
    <w:p>
      <w:pPr>
        <w:pStyle w:val="BodyText"/>
        <w:spacing w:before="10"/>
        <w:rPr>
          <w:sz w:val="14"/>
        </w:rPr>
      </w:pPr>
    </w:p>
    <w:p>
      <w:pPr>
        <w:pStyle w:val="BodyText"/>
        <w:spacing w:line="393" w:lineRule="auto"/>
        <w:ind w:left="120" w:right="1004" w:firstLine="482"/>
        <w:jc w:val="both"/>
      </w:pPr>
      <w:r>
        <w:rPr/>
        <w:t>自本附加合同生效日起 </w:t>
      </w:r>
      <w:r>
        <w:rPr>
          <w:rFonts w:ascii="Times New Roman" w:eastAsia="Times New Roman"/>
        </w:rPr>
        <w:t>90 </w:t>
      </w:r>
      <w:r>
        <w:rPr/>
        <w:t>天后，若被保险人经诊断初次患有本附加合同所约定的一项或多项重大疾病（即发生本附加合同约定的保险事故）并且自确诊之日起生存 </w:t>
      </w:r>
      <w:r>
        <w:rPr>
          <w:rFonts w:ascii="Times New Roman" w:eastAsia="Times New Roman"/>
        </w:rPr>
        <w:t>30 </w:t>
      </w:r>
      <w:r>
        <w:rPr/>
        <w:t>天以上的，我们按照保险单上载明的保险金额向被保险人给付重大疾病保险金</w:t>
      </w:r>
      <w:r>
        <w:rPr>
          <w:rFonts w:ascii="Times New Roman" w:eastAsia="Times New Roman"/>
        </w:rPr>
        <w:t>(</w:t>
      </w:r>
      <w:r>
        <w:rPr/>
        <w:t>给付金额以保险单上载明的保险金额为限</w:t>
      </w:r>
      <w:r>
        <w:rPr>
          <w:rFonts w:ascii="Times New Roman" w:eastAsia="Times New Roman"/>
        </w:rPr>
        <w:t>)</w:t>
      </w:r>
      <w:r>
        <w:rPr/>
        <w:t>，本附加合同终止。</w:t>
      </w:r>
    </w:p>
    <w:p>
      <w:pPr>
        <w:pStyle w:val="BodyText"/>
        <w:spacing w:before="28"/>
        <w:ind w:left="602"/>
      </w:pPr>
      <w:r>
        <w:rPr/>
        <w:t>被保险人因遭受意外伤害事故导致患有本附加合同约定的一项或多项重大</w:t>
      </w:r>
    </w:p>
    <w:p>
      <w:pPr>
        <w:pStyle w:val="BodyText"/>
        <w:spacing w:before="9"/>
        <w:rPr>
          <w:sz w:val="14"/>
        </w:rPr>
      </w:pPr>
    </w:p>
    <w:p>
      <w:pPr>
        <w:pStyle w:val="BodyText"/>
        <w:ind w:left="120"/>
      </w:pPr>
      <w:r>
        <w:rPr/>
        <w:t>疾病的，不受上述本附加合同生效日起 </w:t>
      </w:r>
      <w:r>
        <w:rPr>
          <w:rFonts w:ascii="Times New Roman" w:eastAsia="Times New Roman"/>
        </w:rPr>
        <w:t>90  </w:t>
      </w:r>
      <w:r>
        <w:rPr/>
        <w:t>天后的限制（意外伤害指遭受外来的、</w:t>
      </w:r>
    </w:p>
    <w:p>
      <w:pPr>
        <w:pStyle w:val="BodyText"/>
        <w:spacing w:before="179"/>
        <w:ind w:left="120"/>
      </w:pPr>
      <w:r>
        <w:rPr/>
        <w:t>突发的、非本意的、非疾病的使身体受到伤害的客观事件）。</w:t>
      </w:r>
    </w:p>
    <w:p>
      <w:pPr>
        <w:pStyle w:val="BodyText"/>
        <w:spacing w:before="9"/>
        <w:rPr>
          <w:sz w:val="14"/>
        </w:rPr>
      </w:pPr>
    </w:p>
    <w:p>
      <w:pPr>
        <w:pStyle w:val="BodyText"/>
        <w:spacing w:line="403" w:lineRule="auto" w:before="1"/>
        <w:ind w:left="120" w:right="1006" w:firstLine="482"/>
      </w:pPr>
      <w:r>
        <w:rPr>
          <w:spacing w:val="-2"/>
        </w:rPr>
        <w:t>自本附加合同生效日起 </w:t>
      </w:r>
      <w:r>
        <w:rPr>
          <w:rFonts w:ascii="Times New Roman" w:eastAsia="Times New Roman"/>
        </w:rPr>
        <w:t>90</w:t>
      </w:r>
      <w:r>
        <w:rPr>
          <w:rFonts w:ascii="Times New Roman" w:eastAsia="Times New Roman"/>
          <w:spacing w:val="13"/>
        </w:rPr>
        <w:t> </w:t>
      </w:r>
      <w:r>
        <w:rPr/>
        <w:t>天</w:t>
      </w:r>
      <w:r>
        <w:rPr>
          <w:spacing w:val="-3"/>
        </w:rPr>
        <w:t>（</w:t>
      </w:r>
      <w:r>
        <w:rPr/>
        <w:t>含</w:t>
      </w:r>
      <w:r>
        <w:rPr>
          <w:spacing w:val="-3"/>
        </w:rPr>
        <w:t>）内，若被保险人经诊断初次患有本附加合同所约定的一项或多项重大疾病，我们在接到通知后将已收取的保险费返还至主合同投保人账户。若主合同为投资连结保险产品，我们按接到通知后下一个工作日的投资单位价格或投资单位卖出价将已收取的保险费以投资单位形式返还  至主合同投保人投资账户，本附加合同终止。</w:t>
      </w:r>
    </w:p>
    <w:p>
      <w:pPr>
        <w:pStyle w:val="BodyText"/>
        <w:spacing w:before="50"/>
        <w:ind w:left="602"/>
      </w:pPr>
      <w:r>
        <w:rPr/>
        <w:t>二、特定重大疾病保险金</w:t>
      </w:r>
    </w:p>
    <w:p>
      <w:pPr>
        <w:pStyle w:val="BodyText"/>
        <w:spacing w:before="9"/>
        <w:rPr>
          <w:sz w:val="14"/>
        </w:rPr>
      </w:pPr>
    </w:p>
    <w:p>
      <w:pPr>
        <w:pStyle w:val="BodyText"/>
        <w:ind w:left="602"/>
      </w:pPr>
      <w:r>
        <w:rPr/>
        <w:t>自本附加合同生效日起 </w:t>
      </w:r>
      <w:r>
        <w:rPr>
          <w:rFonts w:ascii="Times New Roman" w:eastAsia="Times New Roman"/>
        </w:rPr>
        <w:t>90  </w:t>
      </w:r>
      <w:r>
        <w:rPr/>
        <w:t>天后，若被保险人经诊断初次患有本附加合同所</w:t>
      </w:r>
    </w:p>
    <w:p>
      <w:pPr>
        <w:pStyle w:val="BodyText"/>
        <w:spacing w:line="398" w:lineRule="auto" w:before="176"/>
        <w:ind w:left="120" w:right="1063"/>
        <w:jc w:val="both"/>
      </w:pPr>
      <w:r>
        <w:rPr/>
        <w:t>约定的一项或多项特定重大疾病并且自确诊之日起生存 </w:t>
      </w:r>
      <w:r>
        <w:rPr>
          <w:rFonts w:ascii="Times New Roman" w:eastAsia="Times New Roman"/>
        </w:rPr>
        <w:t>30 </w:t>
      </w:r>
      <w:r>
        <w:rPr/>
        <w:t>天以上的，我们除按照保险单上载明的保险金额向被保险人给付重大疾病保险金外，一并额外给付保险单上载明保险金额的 </w:t>
      </w:r>
      <w:r>
        <w:rPr>
          <w:rFonts w:ascii="Times New Roman" w:eastAsia="Times New Roman"/>
        </w:rPr>
        <w:t>50%</w:t>
      </w:r>
      <w:r>
        <w:rPr/>
        <w:t>作为特定重大疾病保险金，本附加合同终止。</w:t>
      </w:r>
    </w:p>
    <w:p>
      <w:pPr>
        <w:pStyle w:val="BodyText"/>
        <w:spacing w:before="25"/>
        <w:ind w:left="602"/>
      </w:pPr>
      <w:r>
        <w:rPr/>
        <w:t>特定重大疾病指：重大器官移植术或造血干细胞移植术，白血病，</w:t>
      </w:r>
      <w:r>
        <w:rPr>
          <w:rFonts w:ascii="Times New Roman" w:eastAsia="Times New Roman"/>
        </w:rPr>
        <w:t>I  </w:t>
      </w:r>
      <w:r>
        <w:rPr/>
        <w:t>型糖尿</w:t>
      </w:r>
    </w:p>
    <w:p>
      <w:pPr>
        <w:pStyle w:val="BodyText"/>
        <w:spacing w:before="177"/>
        <w:ind w:left="120"/>
        <w:jc w:val="both"/>
      </w:pPr>
      <w:r>
        <w:rPr/>
        <w:t>病。</w:t>
      </w:r>
    </w:p>
    <w:p>
      <w:pPr>
        <w:spacing w:after="0"/>
        <w:jc w:val="both"/>
        <w:sectPr>
          <w:pgSz w:w="11900" w:h="16840"/>
          <w:pgMar w:header="0" w:footer="968" w:top="1500" w:bottom="1160" w:left="1680" w:right="1680"/>
        </w:sectPr>
      </w:pPr>
    </w:p>
    <w:p>
      <w:pPr>
        <w:pStyle w:val="Heading3"/>
        <w:numPr>
          <w:ilvl w:val="0"/>
          <w:numId w:val="2"/>
        </w:numPr>
        <w:tabs>
          <w:tab w:pos="459" w:val="left" w:leader="none"/>
        </w:tabs>
        <w:spacing w:line="240" w:lineRule="auto" w:before="0" w:after="0"/>
        <w:ind w:left="120" w:right="0" w:firstLine="0"/>
        <w:jc w:val="left"/>
      </w:pPr>
      <w:bookmarkStart w:name="_TOC_250011" w:id="9"/>
      <w:bookmarkEnd w:id="9"/>
      <w:r>
        <w:rPr>
          <w:spacing w:val="-2"/>
        </w:rPr>
        <w:t>责任免除</w:t>
      </w:r>
    </w:p>
    <w:p>
      <w:pPr>
        <w:pStyle w:val="BodyText"/>
        <w:rPr>
          <w:sz w:val="40"/>
        </w:rPr>
      </w:pPr>
    </w:p>
    <w:p>
      <w:pPr>
        <w:pStyle w:val="BodyText"/>
        <w:spacing w:line="410" w:lineRule="auto"/>
        <w:ind w:left="120" w:right="1208" w:firstLine="484"/>
        <w:rPr>
          <w:rFonts w:ascii="Times New Roman" w:eastAsia="Times New Roman"/>
        </w:rPr>
      </w:pPr>
      <w:r>
        <w:rPr/>
        <w:t>因下列情形之一，导致被保险人发生疾病、达到疾病状态或进行手术的， 我们不承担保险责任</w:t>
      </w:r>
      <w:r>
        <w:rPr>
          <w:rFonts w:ascii="Times New Roman" w:eastAsia="Times New Roman"/>
        </w:rPr>
        <w:t>,</w:t>
      </w:r>
      <w:r>
        <w:rPr/>
        <w:t>本附加合同终止</w:t>
      </w:r>
      <w:r>
        <w:rPr>
          <w:rFonts w:ascii="Times New Roman" w:eastAsia="Times New Roman"/>
        </w:rPr>
        <w:t>:</w:t>
      </w:r>
    </w:p>
    <w:p>
      <w:pPr>
        <w:pStyle w:val="ListParagraph"/>
        <w:numPr>
          <w:ilvl w:val="0"/>
          <w:numId w:val="3"/>
        </w:numPr>
        <w:tabs>
          <w:tab w:pos="332" w:val="left" w:leader="none"/>
        </w:tabs>
        <w:spacing w:line="240" w:lineRule="auto" w:before="12" w:after="0"/>
        <w:ind w:left="120" w:right="0" w:firstLine="0"/>
        <w:jc w:val="left"/>
        <w:rPr>
          <w:sz w:val="21"/>
        </w:rPr>
      </w:pPr>
      <w:r>
        <w:rPr>
          <w:spacing w:val="-3"/>
          <w:sz w:val="21"/>
        </w:rPr>
        <w:t>投保人、受益人对被保险人的故意杀害、故意伤害；</w:t>
      </w:r>
    </w:p>
    <w:p>
      <w:pPr>
        <w:pStyle w:val="ListParagraph"/>
        <w:numPr>
          <w:ilvl w:val="0"/>
          <w:numId w:val="3"/>
        </w:numPr>
        <w:tabs>
          <w:tab w:pos="332" w:val="left" w:leader="none"/>
        </w:tabs>
        <w:spacing w:line="240" w:lineRule="auto" w:before="177" w:after="0"/>
        <w:ind w:left="120" w:right="0" w:firstLine="0"/>
        <w:jc w:val="left"/>
        <w:rPr>
          <w:sz w:val="21"/>
        </w:rPr>
      </w:pPr>
      <w:r>
        <w:rPr>
          <w:spacing w:val="-3"/>
          <w:sz w:val="21"/>
        </w:rPr>
        <w:t>被保险人故意自伤、故意犯罪或拒捕；</w:t>
      </w:r>
    </w:p>
    <w:p>
      <w:pPr>
        <w:pStyle w:val="ListParagraph"/>
        <w:numPr>
          <w:ilvl w:val="0"/>
          <w:numId w:val="3"/>
        </w:numPr>
        <w:tabs>
          <w:tab w:pos="332" w:val="left" w:leader="none"/>
        </w:tabs>
        <w:spacing w:line="240" w:lineRule="auto" w:before="177" w:after="0"/>
        <w:ind w:left="120" w:right="0" w:firstLine="0"/>
        <w:jc w:val="left"/>
        <w:rPr>
          <w:sz w:val="21"/>
        </w:rPr>
      </w:pPr>
      <w:r>
        <w:rPr>
          <w:spacing w:val="-3"/>
          <w:sz w:val="21"/>
        </w:rPr>
        <w:t>被保险人服用、吸食或注射毒品；</w:t>
      </w:r>
    </w:p>
    <w:p>
      <w:pPr>
        <w:pStyle w:val="ListParagraph"/>
        <w:numPr>
          <w:ilvl w:val="0"/>
          <w:numId w:val="3"/>
        </w:numPr>
        <w:tabs>
          <w:tab w:pos="332" w:val="left" w:leader="none"/>
        </w:tabs>
        <w:spacing w:line="240" w:lineRule="auto" w:before="177" w:after="0"/>
        <w:ind w:left="120" w:right="0" w:firstLine="0"/>
        <w:jc w:val="left"/>
        <w:rPr>
          <w:sz w:val="21"/>
        </w:rPr>
      </w:pPr>
      <w:r>
        <w:rPr>
          <w:spacing w:val="-3"/>
          <w:sz w:val="21"/>
        </w:rPr>
        <w:t>被保险人酒后驾驶、无合法有效驾驶证驾驶，或驾驶无有效行驶证的机动车；</w:t>
      </w:r>
    </w:p>
    <w:p>
      <w:pPr>
        <w:pStyle w:val="ListParagraph"/>
        <w:numPr>
          <w:ilvl w:val="0"/>
          <w:numId w:val="3"/>
        </w:numPr>
        <w:tabs>
          <w:tab w:pos="332" w:val="left" w:leader="none"/>
        </w:tabs>
        <w:spacing w:line="386" w:lineRule="auto" w:before="179" w:after="0"/>
        <w:ind w:left="120" w:right="1275" w:firstLine="0"/>
        <w:jc w:val="left"/>
        <w:rPr>
          <w:sz w:val="21"/>
        </w:rPr>
      </w:pPr>
      <w:r>
        <w:rPr>
          <w:spacing w:val="-3"/>
          <w:sz w:val="21"/>
        </w:rPr>
        <w:t>被保险人感染艾滋病病毒或患艾滋病（本附加合同重大疾病释义第</w:t>
      </w:r>
      <w:r>
        <w:rPr>
          <w:rFonts w:ascii="Times New Roman" w:eastAsia="Times New Roman"/>
          <w:sz w:val="21"/>
        </w:rPr>
        <w:t>20</w:t>
      </w:r>
      <w:r>
        <w:rPr>
          <w:spacing w:val="-3"/>
          <w:sz w:val="21"/>
        </w:rPr>
        <w:t>种疾病</w:t>
      </w:r>
      <w:r>
        <w:rPr>
          <w:spacing w:val="-1"/>
          <w:sz w:val="21"/>
        </w:rPr>
        <w:t>除外）；</w:t>
      </w:r>
    </w:p>
    <w:p>
      <w:pPr>
        <w:pStyle w:val="ListParagraph"/>
        <w:numPr>
          <w:ilvl w:val="0"/>
          <w:numId w:val="3"/>
        </w:numPr>
        <w:tabs>
          <w:tab w:pos="332" w:val="left" w:leader="none"/>
        </w:tabs>
        <w:spacing w:line="240" w:lineRule="auto" w:before="64" w:after="0"/>
        <w:ind w:left="120" w:right="0" w:firstLine="0"/>
        <w:jc w:val="left"/>
        <w:rPr>
          <w:sz w:val="21"/>
        </w:rPr>
      </w:pPr>
      <w:r>
        <w:rPr>
          <w:spacing w:val="-3"/>
          <w:sz w:val="21"/>
        </w:rPr>
        <w:t>战争、军事冲突、暴乱或武装叛乱；</w:t>
      </w:r>
    </w:p>
    <w:p>
      <w:pPr>
        <w:pStyle w:val="ListParagraph"/>
        <w:numPr>
          <w:ilvl w:val="0"/>
          <w:numId w:val="3"/>
        </w:numPr>
        <w:tabs>
          <w:tab w:pos="332" w:val="left" w:leader="none"/>
        </w:tabs>
        <w:spacing w:line="240" w:lineRule="auto" w:before="176" w:after="0"/>
        <w:ind w:left="120" w:right="0" w:firstLine="0"/>
        <w:jc w:val="left"/>
        <w:rPr>
          <w:sz w:val="21"/>
        </w:rPr>
      </w:pPr>
      <w:r>
        <w:rPr>
          <w:spacing w:val="-3"/>
          <w:sz w:val="21"/>
        </w:rPr>
        <w:t>核爆炸、核辐射或核污染；</w:t>
      </w:r>
    </w:p>
    <w:p>
      <w:pPr>
        <w:pStyle w:val="ListParagraph"/>
        <w:numPr>
          <w:ilvl w:val="0"/>
          <w:numId w:val="3"/>
        </w:numPr>
        <w:tabs>
          <w:tab w:pos="332" w:val="left" w:leader="none"/>
        </w:tabs>
        <w:spacing w:line="240" w:lineRule="auto" w:before="176" w:after="0"/>
        <w:ind w:left="120" w:right="0" w:firstLine="0"/>
        <w:jc w:val="left"/>
        <w:rPr>
          <w:sz w:val="21"/>
        </w:rPr>
      </w:pPr>
      <w:r>
        <w:rPr>
          <w:spacing w:val="-3"/>
          <w:sz w:val="21"/>
        </w:rPr>
        <w:t>遗传性疾病，先天性畸形、变形或染色体异常。</w:t>
      </w:r>
    </w:p>
    <w:p>
      <w:pPr>
        <w:pStyle w:val="BodyText"/>
        <w:rPr>
          <w:sz w:val="22"/>
        </w:rPr>
      </w:pPr>
    </w:p>
    <w:p>
      <w:pPr>
        <w:pStyle w:val="BodyText"/>
        <w:spacing w:before="4"/>
        <w:rPr>
          <w:sz w:val="30"/>
        </w:rPr>
      </w:pPr>
    </w:p>
    <w:p>
      <w:pPr>
        <w:pStyle w:val="Heading3"/>
      </w:pPr>
      <w:bookmarkStart w:name="_TOC_250010" w:id="10"/>
      <w:r>
        <w:rPr>
          <w:rFonts w:ascii="Times New Roman" w:eastAsia="Times New Roman"/>
        </w:rPr>
        <w:t>9.</w:t>
      </w:r>
      <w:bookmarkEnd w:id="10"/>
      <w:r>
        <w:rPr/>
        <w:t>受益人的指定和变更</w:t>
      </w:r>
    </w:p>
    <w:p>
      <w:pPr>
        <w:pStyle w:val="BodyText"/>
        <w:spacing w:line="408" w:lineRule="auto" w:before="212"/>
        <w:ind w:left="120" w:right="999" w:firstLine="482"/>
      </w:pPr>
      <w:r>
        <w:rPr/>
        <w:t>本附加合同的重大疾病保险金受益人为被保险人本人，我们不受理其他指定或变更。</w:t>
      </w:r>
    </w:p>
    <w:p>
      <w:pPr>
        <w:pStyle w:val="Heading3"/>
        <w:spacing w:before="84"/>
      </w:pPr>
      <w:bookmarkStart w:name="_TOC_250009" w:id="11"/>
      <w:r>
        <w:rPr>
          <w:rFonts w:ascii="Times New Roman" w:eastAsia="Times New Roman"/>
        </w:rPr>
        <w:t>10.</w:t>
      </w:r>
      <w:bookmarkEnd w:id="11"/>
      <w:r>
        <w:rPr/>
        <w:t>保险事故通知及保险金的申请时间</w:t>
      </w:r>
    </w:p>
    <w:p>
      <w:pPr>
        <w:pStyle w:val="BodyText"/>
        <w:spacing w:line="398" w:lineRule="auto" w:before="214"/>
        <w:ind w:left="120" w:right="896" w:firstLine="482"/>
      </w:pPr>
      <w:r>
        <w:rPr>
          <w:spacing w:val="-2"/>
        </w:rPr>
        <w:t>被保险人应于知道保险事故发生之日起 </w:t>
      </w:r>
      <w:r>
        <w:rPr>
          <w:rFonts w:ascii="Times New Roman" w:eastAsia="Times New Roman"/>
        </w:rPr>
        <w:t>5</w:t>
      </w:r>
      <w:r>
        <w:rPr>
          <w:rFonts w:ascii="Times New Roman" w:eastAsia="Times New Roman"/>
          <w:spacing w:val="15"/>
        </w:rPr>
        <w:t> </w:t>
      </w:r>
      <w:r>
        <w:rPr>
          <w:spacing w:val="-3"/>
        </w:rPr>
        <w:t>日内通知我们，否则，被保险人应承担由于通知迟延致使我们增加的勘查、检验等费用，但因不可抗力导致的延迟 除外。被保险人可以委托他人代为通知。</w:t>
      </w:r>
    </w:p>
    <w:p>
      <w:pPr>
        <w:pStyle w:val="BodyText"/>
        <w:spacing w:before="54"/>
        <w:ind w:left="602"/>
      </w:pPr>
      <w:r>
        <w:rPr/>
        <w:t>被保险人申请保险金的权利，自其知道保险事故发生之日起 </w:t>
      </w:r>
      <w:r>
        <w:rPr>
          <w:rFonts w:ascii="Times New Roman" w:eastAsia="Times New Roman"/>
        </w:rPr>
        <w:t>2  </w:t>
      </w:r>
      <w:r>
        <w:rPr/>
        <w:t>年内不行使而</w:t>
      </w:r>
    </w:p>
    <w:p>
      <w:pPr>
        <w:pStyle w:val="BodyText"/>
        <w:spacing w:before="177"/>
        <w:ind w:left="120"/>
      </w:pPr>
      <w:r>
        <w:rPr/>
        <w:t>消灭。</w:t>
      </w:r>
    </w:p>
    <w:p>
      <w:pPr>
        <w:pStyle w:val="BodyText"/>
        <w:spacing w:before="10"/>
        <w:rPr>
          <w:sz w:val="17"/>
        </w:rPr>
      </w:pPr>
    </w:p>
    <w:p>
      <w:pPr>
        <w:pStyle w:val="Heading3"/>
        <w:spacing w:before="1"/>
      </w:pPr>
      <w:bookmarkStart w:name="_TOC_250008" w:id="12"/>
      <w:r>
        <w:rPr>
          <w:rFonts w:ascii="Times New Roman" w:eastAsia="Times New Roman"/>
        </w:rPr>
        <w:t>11.</w:t>
      </w:r>
      <w:bookmarkEnd w:id="12"/>
      <w:r>
        <w:rPr/>
        <w:t>保险金的申请</w:t>
      </w:r>
    </w:p>
    <w:p>
      <w:pPr>
        <w:pStyle w:val="BodyText"/>
        <w:spacing w:before="212"/>
        <w:ind w:left="602"/>
      </w:pPr>
      <w:r>
        <w:rPr/>
        <w:t>由被保险人作为申请人填写保险金给付申请书，并凭以下证明和资料向我们</w:t>
      </w:r>
    </w:p>
    <w:p>
      <w:pPr>
        <w:pStyle w:val="BodyText"/>
        <w:spacing w:before="9"/>
        <w:rPr>
          <w:sz w:val="14"/>
        </w:rPr>
      </w:pPr>
    </w:p>
    <w:p>
      <w:pPr>
        <w:pStyle w:val="BodyText"/>
        <w:ind w:left="120"/>
      </w:pPr>
      <w:r>
        <w:rPr/>
        <w:t>申请给付重大疾病保险金。</w:t>
      </w:r>
    </w:p>
    <w:p>
      <w:pPr>
        <w:pStyle w:val="BodyText"/>
        <w:spacing w:before="9"/>
        <w:rPr>
          <w:sz w:val="14"/>
        </w:rPr>
      </w:pPr>
    </w:p>
    <w:p>
      <w:pPr>
        <w:pStyle w:val="BodyText"/>
        <w:ind w:left="482"/>
      </w:pPr>
      <w:r>
        <w:rPr/>
        <w:t>（</w:t>
      </w:r>
      <w:r>
        <w:rPr>
          <w:rFonts w:ascii="Times New Roman" w:eastAsia="Times New Roman"/>
        </w:rPr>
        <w:t>1</w:t>
      </w:r>
      <w:r>
        <w:rPr/>
        <w:t>）保险合同；</w:t>
      </w:r>
    </w:p>
    <w:p>
      <w:pPr>
        <w:pStyle w:val="BodyText"/>
        <w:spacing w:before="177"/>
        <w:ind w:left="482"/>
      </w:pPr>
      <w:r>
        <w:rPr/>
        <w:t>（</w:t>
      </w:r>
      <w:r>
        <w:rPr>
          <w:rFonts w:ascii="Times New Roman" w:eastAsia="Times New Roman"/>
        </w:rPr>
        <w:t>2</w:t>
      </w:r>
      <w:r>
        <w:rPr/>
        <w:t>）被保险人的合法有效的身份证明；</w:t>
      </w:r>
    </w:p>
    <w:p>
      <w:pPr>
        <w:spacing w:after="0"/>
        <w:sectPr>
          <w:pgSz w:w="11900" w:h="16840"/>
          <w:pgMar w:header="0" w:footer="968" w:top="1560" w:bottom="1160" w:left="1680" w:right="1680"/>
        </w:sectPr>
      </w:pPr>
    </w:p>
    <w:p>
      <w:pPr>
        <w:pStyle w:val="BodyText"/>
        <w:spacing w:line="386" w:lineRule="auto" w:before="22"/>
        <w:ind w:left="120" w:right="1016" w:firstLine="362"/>
      </w:pPr>
      <w:r>
        <w:rPr/>
        <w:t>（</w:t>
      </w:r>
      <w:r>
        <w:rPr>
          <w:rFonts w:ascii="Times New Roman" w:eastAsia="Times New Roman"/>
        </w:rPr>
        <w:t>3</w:t>
      </w:r>
      <w:r>
        <w:rPr/>
        <w:t>）</w:t>
      </w:r>
      <w:r>
        <w:rPr>
          <w:spacing w:val="-3"/>
        </w:rPr>
        <w:t>由我们指定或认可的医疗机构出具的附有病历、病理显微镜检查、必需的血液检验及其他科学方法检验报告的被保险人疾病诊断证明</w:t>
      </w:r>
      <w:r>
        <w:rPr>
          <w:rFonts w:ascii="Times New Roman" w:eastAsia="Times New Roman"/>
        </w:rPr>
        <w:t>,</w:t>
      </w:r>
      <w:r>
        <w:rPr>
          <w:spacing w:val="-3"/>
        </w:rPr>
        <w:t>关于重大疾病的 释义中所提及的索赔时需要提供的有关证明。</w:t>
      </w:r>
    </w:p>
    <w:p>
      <w:pPr>
        <w:pStyle w:val="BodyText"/>
        <w:spacing w:line="408" w:lineRule="auto" w:before="66"/>
        <w:ind w:left="120" w:right="999" w:firstLine="482"/>
      </w:pPr>
      <w:r>
        <w:rPr/>
        <w:t>被保险人可以委托他人代为申请给付重大疾病保险金，应提供授权委托书、受托人身份证明等相关证明文件。</w:t>
      </w:r>
    </w:p>
    <w:p>
      <w:pPr>
        <w:pStyle w:val="BodyText"/>
        <w:spacing w:line="398" w:lineRule="auto" w:before="45"/>
        <w:ind w:left="120" w:right="783" w:firstLine="482"/>
      </w:pPr>
      <w:r>
        <w:rPr/>
        <w:t>我们收到申请人的保险金给付申请书及上述有关证明和资料后，对确定属于保险责任的，在与申请人达成有关给付保险金数额的协议后 </w:t>
      </w:r>
      <w:r>
        <w:rPr>
          <w:rFonts w:ascii="Times New Roman" w:eastAsia="Times New Roman"/>
        </w:rPr>
        <w:t>10  </w:t>
      </w:r>
      <w:r>
        <w:rPr/>
        <w:t>个工作日内，履行给付保险金责任。对不属于保险责任的，向申请人发出拒绝给付保险金通知书。</w:t>
      </w:r>
    </w:p>
    <w:p>
      <w:pPr>
        <w:pStyle w:val="BodyText"/>
        <w:rPr>
          <w:sz w:val="20"/>
        </w:rPr>
      </w:pPr>
    </w:p>
    <w:p>
      <w:pPr>
        <w:pStyle w:val="BodyText"/>
        <w:rPr>
          <w:sz w:val="20"/>
        </w:rPr>
      </w:pPr>
    </w:p>
    <w:p>
      <w:pPr>
        <w:pStyle w:val="BodyText"/>
        <w:rPr>
          <w:sz w:val="20"/>
        </w:rPr>
      </w:pPr>
    </w:p>
    <w:p>
      <w:pPr>
        <w:pStyle w:val="Heading2"/>
        <w:spacing w:before="169"/>
      </w:pPr>
      <w:bookmarkStart w:name="_TOC_250007" w:id="13"/>
      <w:bookmarkEnd w:id="13"/>
      <w:r>
        <w:rPr/>
        <w:t>三、其他</w:t>
      </w:r>
    </w:p>
    <w:p>
      <w:pPr>
        <w:pStyle w:val="BodyText"/>
        <w:rPr>
          <w:sz w:val="28"/>
        </w:rPr>
      </w:pPr>
    </w:p>
    <w:p>
      <w:pPr>
        <w:pStyle w:val="BodyText"/>
        <w:spacing w:before="10"/>
      </w:pPr>
    </w:p>
    <w:p>
      <w:pPr>
        <w:pStyle w:val="Heading3"/>
      </w:pPr>
      <w:bookmarkStart w:name="_TOC_250006" w:id="14"/>
      <w:r>
        <w:rPr>
          <w:rFonts w:ascii="Times New Roman" w:eastAsia="Times New Roman"/>
        </w:rPr>
        <w:t>12.</w:t>
      </w:r>
      <w:bookmarkEnd w:id="14"/>
      <w:r>
        <w:rPr/>
        <w:t>续保</w:t>
      </w:r>
    </w:p>
    <w:p>
      <w:pPr>
        <w:pStyle w:val="ListParagraph"/>
        <w:numPr>
          <w:ilvl w:val="1"/>
          <w:numId w:val="4"/>
        </w:numPr>
        <w:tabs>
          <w:tab w:pos="1076" w:val="left" w:leader="none"/>
        </w:tabs>
        <w:spacing w:line="398" w:lineRule="auto" w:before="209" w:after="0"/>
        <w:ind w:left="120" w:right="949" w:firstLine="482"/>
        <w:jc w:val="left"/>
        <w:rPr>
          <w:sz w:val="21"/>
        </w:rPr>
      </w:pPr>
      <w:r>
        <w:rPr>
          <w:spacing w:val="-2"/>
          <w:sz w:val="21"/>
        </w:rPr>
        <w:t>在本附加合同保险期间届满前 </w:t>
      </w:r>
      <w:r>
        <w:rPr>
          <w:rFonts w:ascii="Times New Roman" w:eastAsia="Times New Roman"/>
          <w:sz w:val="21"/>
        </w:rPr>
        <w:t>30</w:t>
      </w:r>
      <w:r>
        <w:rPr>
          <w:rFonts w:ascii="Times New Roman" w:eastAsia="Times New Roman"/>
          <w:spacing w:val="15"/>
          <w:sz w:val="21"/>
        </w:rPr>
        <w:t> </w:t>
      </w:r>
      <w:r>
        <w:rPr>
          <w:spacing w:val="-3"/>
          <w:sz w:val="21"/>
        </w:rPr>
        <w:t>日内，如果我们未收到您不再继续投保的书面通知，则视为您申请续保，且经我们审核同意并收取续保保险费后本附</w:t>
      </w:r>
      <w:r>
        <w:rPr>
          <w:spacing w:val="-2"/>
          <w:sz w:val="21"/>
        </w:rPr>
        <w:t>加合同将继续有效 </w:t>
      </w:r>
      <w:r>
        <w:rPr>
          <w:rFonts w:ascii="Times New Roman" w:eastAsia="Times New Roman"/>
          <w:sz w:val="21"/>
        </w:rPr>
        <w:t>5</w:t>
      </w:r>
      <w:r>
        <w:rPr>
          <w:rFonts w:ascii="Times New Roman" w:eastAsia="Times New Roman"/>
          <w:spacing w:val="5"/>
          <w:sz w:val="21"/>
        </w:rPr>
        <w:t>  </w:t>
      </w:r>
      <w:r>
        <w:rPr>
          <w:spacing w:val="-3"/>
          <w:sz w:val="21"/>
        </w:rPr>
        <w:t>年，我们应在保险单上批注。</w:t>
      </w:r>
    </w:p>
    <w:p>
      <w:pPr>
        <w:pStyle w:val="ListParagraph"/>
        <w:numPr>
          <w:ilvl w:val="1"/>
          <w:numId w:val="4"/>
        </w:numPr>
        <w:tabs>
          <w:tab w:pos="1076" w:val="left" w:leader="none"/>
        </w:tabs>
        <w:spacing w:line="386" w:lineRule="auto" w:before="23" w:after="0"/>
        <w:ind w:left="120" w:right="1107" w:firstLine="482"/>
        <w:jc w:val="left"/>
        <w:rPr>
          <w:sz w:val="21"/>
        </w:rPr>
      </w:pPr>
      <w:r>
        <w:rPr>
          <w:spacing w:val="-3"/>
          <w:sz w:val="21"/>
        </w:rPr>
        <w:t>每次续保生效日被保险人年龄仍应符合本附加合同第 </w:t>
      </w:r>
      <w:r>
        <w:rPr>
          <w:rFonts w:ascii="Times New Roman" w:eastAsia="Times New Roman"/>
          <w:sz w:val="21"/>
        </w:rPr>
        <w:t>3.2</w:t>
      </w:r>
      <w:r>
        <w:rPr>
          <w:rFonts w:ascii="Times New Roman" w:eastAsia="Times New Roman"/>
          <w:spacing w:val="13"/>
          <w:sz w:val="21"/>
        </w:rPr>
        <w:t> </w:t>
      </w:r>
      <w:r>
        <w:rPr>
          <w:spacing w:val="-3"/>
          <w:sz w:val="21"/>
        </w:rPr>
        <w:t>款的约定， 且在续保后本附加合同的保险单期满日应不晚于主合同的保险单期满日。</w:t>
      </w:r>
    </w:p>
    <w:p>
      <w:pPr>
        <w:pStyle w:val="ListParagraph"/>
        <w:numPr>
          <w:ilvl w:val="1"/>
          <w:numId w:val="4"/>
        </w:numPr>
        <w:tabs>
          <w:tab w:pos="1196" w:val="left" w:leader="none"/>
        </w:tabs>
        <w:spacing w:line="388" w:lineRule="auto" w:before="64" w:after="0"/>
        <w:ind w:left="120" w:right="937" w:firstLine="602"/>
        <w:jc w:val="left"/>
        <w:rPr>
          <w:sz w:val="21"/>
        </w:rPr>
      </w:pPr>
      <w:r>
        <w:rPr>
          <w:spacing w:val="-2"/>
          <w:sz w:val="21"/>
        </w:rPr>
        <w:t>续保保险费与本附加合同第 </w:t>
      </w:r>
      <w:r>
        <w:rPr>
          <w:rFonts w:ascii="Times New Roman" w:eastAsia="Times New Roman"/>
          <w:sz w:val="21"/>
        </w:rPr>
        <w:t>6</w:t>
      </w:r>
      <w:r>
        <w:rPr>
          <w:rFonts w:ascii="Times New Roman" w:eastAsia="Times New Roman"/>
          <w:spacing w:val="13"/>
          <w:sz w:val="21"/>
        </w:rPr>
        <w:t> </w:t>
      </w:r>
      <w:r>
        <w:rPr>
          <w:spacing w:val="-3"/>
          <w:sz w:val="21"/>
        </w:rPr>
        <w:t>条的有关规定相同。但我们保留调整续保保险费的权利。若我们调整了续保保险费，将及时通知您。</w:t>
      </w:r>
    </w:p>
    <w:p>
      <w:pPr>
        <w:pStyle w:val="BodyText"/>
        <w:rPr>
          <w:sz w:val="20"/>
        </w:rPr>
      </w:pPr>
    </w:p>
    <w:p>
      <w:pPr>
        <w:pStyle w:val="BodyText"/>
        <w:spacing w:before="5"/>
        <w:rPr>
          <w:sz w:val="23"/>
        </w:rPr>
      </w:pPr>
    </w:p>
    <w:p>
      <w:pPr>
        <w:pStyle w:val="Heading3"/>
        <w:ind w:left="268"/>
      </w:pPr>
      <w:bookmarkStart w:name="_TOC_250005" w:id="15"/>
      <w:r>
        <w:rPr>
          <w:rFonts w:ascii="Times New Roman" w:eastAsia="Times New Roman"/>
        </w:rPr>
        <w:t>13.</w:t>
      </w:r>
      <w:bookmarkEnd w:id="15"/>
      <w:r>
        <w:rPr/>
        <w:t>年龄确定与错误的处理</w:t>
      </w:r>
    </w:p>
    <w:p>
      <w:pPr>
        <w:pStyle w:val="ListParagraph"/>
        <w:numPr>
          <w:ilvl w:val="1"/>
          <w:numId w:val="5"/>
        </w:numPr>
        <w:tabs>
          <w:tab w:pos="1016" w:val="left" w:leader="none"/>
        </w:tabs>
        <w:spacing w:line="240" w:lineRule="auto" w:before="212" w:after="0"/>
        <w:ind w:left="120" w:right="0" w:firstLine="422"/>
        <w:jc w:val="left"/>
        <w:rPr>
          <w:sz w:val="21"/>
        </w:rPr>
      </w:pPr>
      <w:r>
        <w:rPr>
          <w:spacing w:val="-3"/>
          <w:sz w:val="21"/>
        </w:rPr>
        <w:t>被保险人的投保年龄，以其法定身份证件记载的出生日期为准。</w:t>
      </w:r>
    </w:p>
    <w:p>
      <w:pPr>
        <w:pStyle w:val="BodyText"/>
        <w:spacing w:before="11"/>
        <w:rPr>
          <w:sz w:val="22"/>
        </w:rPr>
      </w:pPr>
    </w:p>
    <w:p>
      <w:pPr>
        <w:pStyle w:val="ListParagraph"/>
        <w:numPr>
          <w:ilvl w:val="1"/>
          <w:numId w:val="5"/>
        </w:numPr>
        <w:tabs>
          <w:tab w:pos="1076" w:val="left" w:leader="none"/>
        </w:tabs>
        <w:spacing w:line="386" w:lineRule="auto" w:before="1" w:after="0"/>
        <w:ind w:left="120" w:right="949" w:firstLine="482"/>
        <w:jc w:val="left"/>
        <w:rPr>
          <w:sz w:val="21"/>
        </w:rPr>
      </w:pPr>
      <w:r>
        <w:rPr>
          <w:spacing w:val="-3"/>
          <w:sz w:val="21"/>
        </w:rPr>
        <w:t>投保人在申请投保时，应将被保险人的真实出生日期在投保单上写明。如果投保人申报的被保险人出生日期不真实，则按照下列规定处理：</w:t>
      </w:r>
    </w:p>
    <w:p>
      <w:pPr>
        <w:pStyle w:val="BodyText"/>
        <w:spacing w:before="1"/>
        <w:rPr>
          <w:sz w:val="14"/>
        </w:rPr>
      </w:pPr>
    </w:p>
    <w:p>
      <w:pPr>
        <w:pStyle w:val="BodyText"/>
        <w:spacing w:line="408" w:lineRule="auto" w:before="1"/>
        <w:ind w:left="120" w:right="994" w:firstLine="482"/>
        <w:jc w:val="both"/>
      </w:pPr>
      <w:r>
        <w:rPr/>
        <w:t>投保时被保险人的真实年龄超过本附加合同规定之投保年龄范围的，我们有权解除本附加合同，并将已收取的保险费在扣除手续费（手续费指我们的管理费用与佣金之和，比例为不超过我们已经收取的本附加合同的保险费之和的 </w:t>
      </w:r>
      <w:r>
        <w:rPr>
          <w:rFonts w:ascii="Times New Roman" w:eastAsia="Times New Roman"/>
        </w:rPr>
        <w:t>35%</w:t>
      </w:r>
      <w:r>
        <w:rPr/>
        <w:t>）</w:t>
      </w:r>
    </w:p>
    <w:p>
      <w:pPr>
        <w:spacing w:after="0" w:line="408" w:lineRule="auto"/>
        <w:jc w:val="both"/>
        <w:sectPr>
          <w:pgSz w:w="11900" w:h="16840"/>
          <w:pgMar w:header="0" w:footer="968" w:top="1500" w:bottom="1160" w:left="1680" w:right="1680"/>
        </w:sectPr>
      </w:pPr>
    </w:p>
    <w:p>
      <w:pPr>
        <w:pStyle w:val="BodyText"/>
        <w:spacing w:line="408" w:lineRule="auto" w:before="22"/>
        <w:ind w:left="120" w:right="1063"/>
        <w:jc w:val="both"/>
      </w:pPr>
      <w:r>
        <w:rPr/>
        <w:t>后，退还至主合同投保人账户中。若主合同为投资连结保险产品，我们以投资单位形式退还至主合同投保人的投资账户中，退还的投资单位数按照本附加合同解除之日的下一个工作日的投资单位价格或投资单位卖出价计算。</w:t>
      </w:r>
    </w:p>
    <w:p>
      <w:pPr>
        <w:pStyle w:val="ListParagraph"/>
        <w:numPr>
          <w:ilvl w:val="1"/>
          <w:numId w:val="5"/>
        </w:numPr>
        <w:tabs>
          <w:tab w:pos="1076" w:val="left" w:leader="none"/>
        </w:tabs>
        <w:spacing w:line="386" w:lineRule="auto" w:before="48" w:after="0"/>
        <w:ind w:left="120" w:right="1059" w:firstLine="482"/>
        <w:jc w:val="both"/>
        <w:rPr>
          <w:sz w:val="21"/>
        </w:rPr>
      </w:pPr>
      <w:r>
        <w:rPr>
          <w:spacing w:val="-2"/>
          <w:sz w:val="21"/>
        </w:rPr>
        <w:t>自本附加合同生效日起逾 </w:t>
      </w:r>
      <w:r>
        <w:rPr>
          <w:rFonts w:ascii="Times New Roman" w:eastAsia="Times New Roman"/>
          <w:sz w:val="21"/>
        </w:rPr>
        <w:t>2</w:t>
      </w:r>
      <w:r>
        <w:rPr>
          <w:rFonts w:ascii="Times New Roman" w:eastAsia="Times New Roman"/>
          <w:spacing w:val="13"/>
          <w:sz w:val="21"/>
        </w:rPr>
        <w:t> </w:t>
      </w:r>
      <w:r>
        <w:rPr>
          <w:spacing w:val="-3"/>
          <w:sz w:val="21"/>
        </w:rPr>
        <w:t>年，我们始发现投保时被保险人的真实年龄超过规定的投保年龄范围的，我们不解除本附加合同并按下列规定处理：</w:t>
      </w:r>
    </w:p>
    <w:p>
      <w:pPr>
        <w:pStyle w:val="BodyText"/>
        <w:spacing w:line="410" w:lineRule="auto" w:before="65"/>
        <w:ind w:left="120" w:right="999" w:firstLine="482"/>
        <w:jc w:val="both"/>
      </w:pPr>
      <w:r>
        <w:rPr/>
        <w:t>若被保险人申报的出生日期不真实，致使我们实收的保险费多于应收的保险费，我们应将已多收的保险费，退还至主合同投保人账户中。若主合同为投资连结保险产品，我们按照主合同投资单位价格或投资单位卖出价以投资单位的形式退还至主合同投保人投资账户中。</w:t>
      </w:r>
    </w:p>
    <w:p>
      <w:pPr>
        <w:pStyle w:val="BodyText"/>
        <w:spacing w:line="408" w:lineRule="auto" w:before="44"/>
        <w:ind w:left="120" w:right="999" w:firstLine="482"/>
        <w:jc w:val="both"/>
      </w:pPr>
      <w:r>
        <w:rPr/>
        <w:t>若被保险人申报的出生日期不真实，致使我们实收的保险费少于应收的保险费，我们有权从主合同投保人账户中收取少收的保险费。若主合同为投资连结保险产品，我们有权从主合同投保人的投资账户中按照投资单位价格或投资单位卖出价以扣除投资单位的形式，收取少收的保险费。</w:t>
      </w:r>
    </w:p>
    <w:p>
      <w:pPr>
        <w:pStyle w:val="BodyText"/>
        <w:spacing w:before="46"/>
        <w:ind w:left="602"/>
      </w:pPr>
      <w:r>
        <w:rPr/>
        <w:t>若在保险事故发生后始发现被保险人申报的出生日期不真实的，我们按照实</w:t>
      </w:r>
    </w:p>
    <w:p>
      <w:pPr>
        <w:pStyle w:val="BodyText"/>
        <w:spacing w:before="12"/>
        <w:rPr>
          <w:sz w:val="14"/>
        </w:rPr>
      </w:pPr>
    </w:p>
    <w:p>
      <w:pPr>
        <w:pStyle w:val="BodyText"/>
        <w:ind w:left="120"/>
        <w:jc w:val="both"/>
      </w:pPr>
      <w:r>
        <w:rPr/>
        <w:t>收保险费之和与按被保险人真实年龄计算的应收保险费之和的比例给付保险金</w:t>
      </w:r>
    </w:p>
    <w:p>
      <w:pPr>
        <w:pStyle w:val="BodyText"/>
        <w:spacing w:before="9"/>
        <w:rPr>
          <w:sz w:val="14"/>
        </w:rPr>
      </w:pPr>
    </w:p>
    <w:p>
      <w:pPr>
        <w:pStyle w:val="BodyText"/>
        <w:spacing w:before="1"/>
        <w:ind w:left="120"/>
        <w:jc w:val="both"/>
      </w:pPr>
      <w:r>
        <w:rPr/>
        <w:t>（该比例上限 </w:t>
      </w:r>
      <w:r>
        <w:rPr>
          <w:rFonts w:ascii="Times New Roman" w:eastAsia="Times New Roman"/>
        </w:rPr>
        <w:t>100%</w:t>
      </w:r>
      <w:r>
        <w:rPr/>
        <w:t>）。</w:t>
      </w:r>
    </w:p>
    <w:p>
      <w:pPr>
        <w:pStyle w:val="BodyText"/>
        <w:rPr>
          <w:sz w:val="22"/>
        </w:rPr>
      </w:pPr>
    </w:p>
    <w:p>
      <w:pPr>
        <w:pStyle w:val="BodyText"/>
        <w:spacing w:before="2"/>
        <w:rPr>
          <w:sz w:val="30"/>
        </w:rPr>
      </w:pPr>
    </w:p>
    <w:p>
      <w:pPr>
        <w:pStyle w:val="Heading3"/>
        <w:spacing w:before="1"/>
        <w:jc w:val="both"/>
      </w:pPr>
      <w:bookmarkStart w:name="_TOC_250004" w:id="16"/>
      <w:r>
        <w:rPr>
          <w:rFonts w:ascii="Times New Roman" w:eastAsia="Times New Roman"/>
        </w:rPr>
        <w:t>14.</w:t>
      </w:r>
      <w:bookmarkEnd w:id="16"/>
      <w:r>
        <w:rPr/>
        <w:t>宽限期</w:t>
      </w:r>
    </w:p>
    <w:p>
      <w:pPr>
        <w:pStyle w:val="BodyText"/>
        <w:spacing w:line="400" w:lineRule="auto" w:before="215"/>
        <w:ind w:left="120" w:right="995" w:firstLine="482"/>
      </w:pPr>
      <w:r>
        <w:rPr/>
        <w:t>本附加合同的保险费为按月在每个保险单月度初在主合同投保人账户价值中扣取，当投保人账户价值不足以支付当月应交保险费时，自当月保险费到期日起 </w:t>
      </w:r>
      <w:r>
        <w:rPr>
          <w:rFonts w:ascii="Times New Roman" w:eastAsia="Times New Roman"/>
        </w:rPr>
        <w:t>60 </w:t>
      </w:r>
      <w:r>
        <w:rPr/>
        <w:t>日内为本附加合同的宽限期。宽限期内发生保险事故，我们仍应承担保险责任，但给付保险金时需扣除欠交的保险费。</w:t>
      </w:r>
    </w:p>
    <w:p>
      <w:pPr>
        <w:pStyle w:val="BodyText"/>
        <w:spacing w:line="408" w:lineRule="auto" w:before="52"/>
        <w:ind w:left="120" w:right="999" w:firstLine="482"/>
        <w:jc w:val="both"/>
      </w:pPr>
      <w:r>
        <w:rPr/>
        <w:t>我们会在投保人账户价值不足以支付当月应交保险费时，及时向您发出交纳保险费的通知，您应该在宽限期内及时补交主合同的保险费，补交保险费的有关规定按照主合同中额外／追加保险费的相应规定执行。</w:t>
      </w:r>
    </w:p>
    <w:p>
      <w:pPr>
        <w:pStyle w:val="BodyText"/>
        <w:spacing w:before="48"/>
        <w:ind w:left="602"/>
      </w:pPr>
      <w:r>
        <w:rPr/>
        <w:t>您逾本附加合同的宽限期仍未交付保险费的，本附加合同的效力终止，我们</w:t>
      </w:r>
    </w:p>
    <w:p>
      <w:pPr>
        <w:pStyle w:val="BodyText"/>
        <w:spacing w:before="9"/>
        <w:rPr>
          <w:sz w:val="14"/>
        </w:rPr>
      </w:pPr>
    </w:p>
    <w:p>
      <w:pPr>
        <w:pStyle w:val="BodyText"/>
        <w:spacing w:before="1"/>
        <w:ind w:left="120"/>
        <w:jc w:val="both"/>
      </w:pPr>
      <w:r>
        <w:rPr/>
        <w:t>不再承担本附加合同的保险责任。</w:t>
      </w:r>
    </w:p>
    <w:p>
      <w:pPr>
        <w:spacing w:after="0"/>
        <w:jc w:val="both"/>
        <w:sectPr>
          <w:pgSz w:w="11900" w:h="16840"/>
          <w:pgMar w:header="0" w:footer="968" w:top="1500" w:bottom="1160" w:left="1680" w:right="1680"/>
        </w:sectPr>
      </w:pPr>
    </w:p>
    <w:p>
      <w:pPr>
        <w:pStyle w:val="Heading3"/>
      </w:pPr>
      <w:bookmarkStart w:name="_TOC_250003" w:id="17"/>
      <w:r>
        <w:rPr>
          <w:rFonts w:ascii="Times New Roman" w:eastAsia="Times New Roman"/>
        </w:rPr>
        <w:t>15.</w:t>
      </w:r>
      <w:bookmarkEnd w:id="17"/>
      <w:r>
        <w:rPr/>
        <w:t>增加或减少保险金额</w:t>
      </w:r>
    </w:p>
    <w:p>
      <w:pPr>
        <w:pStyle w:val="BodyText"/>
        <w:spacing w:line="410" w:lineRule="auto" w:before="211"/>
        <w:ind w:left="120" w:right="1063" w:firstLine="362"/>
        <w:jc w:val="both"/>
      </w:pPr>
      <w:r>
        <w:rPr/>
        <w:t>在本附加合同有效期内，您可以向我们申请增加或减少本附加合同的保险金额，经我们核保后在本附加合同的下一个保险单生效日的月度对应日生效，我们应在保险单上批注。</w:t>
      </w:r>
    </w:p>
    <w:p>
      <w:pPr>
        <w:pStyle w:val="BodyText"/>
        <w:spacing w:line="408" w:lineRule="auto" w:before="43"/>
        <w:ind w:left="120" w:right="1119" w:firstLine="362"/>
        <w:jc w:val="both"/>
      </w:pPr>
      <w:r>
        <w:rPr/>
        <w:t>自增加或减少保险金额生效之日起，我们按照增加或减少后的保险金额收取相应的保险费。</w:t>
      </w:r>
    </w:p>
    <w:p>
      <w:pPr>
        <w:pStyle w:val="Heading3"/>
        <w:spacing w:before="83"/>
      </w:pPr>
      <w:bookmarkStart w:name="_TOC_250002" w:id="18"/>
      <w:r>
        <w:rPr>
          <w:rFonts w:ascii="Times New Roman" w:eastAsia="Times New Roman"/>
        </w:rPr>
        <w:t>16.</w:t>
      </w:r>
      <w:bookmarkEnd w:id="18"/>
      <w:r>
        <w:rPr/>
        <w:t>如实告知义务</w:t>
      </w:r>
    </w:p>
    <w:p>
      <w:pPr>
        <w:pStyle w:val="BodyText"/>
        <w:spacing w:line="408" w:lineRule="auto" w:before="214"/>
        <w:ind w:left="120" w:right="1063" w:firstLine="362"/>
        <w:jc w:val="both"/>
      </w:pPr>
      <w:r>
        <w:rPr/>
        <w:t>订立本附加合同时，我们应向您明确说明本附加合同的条款内容，特别是责任免除条款，并可以就投保人、被保险人的有关情况提出书面询问，投保人、被保险人应当书面如实告知。</w:t>
      </w:r>
    </w:p>
    <w:p>
      <w:pPr>
        <w:pStyle w:val="BodyText"/>
        <w:spacing w:line="408" w:lineRule="auto" w:before="46"/>
        <w:ind w:left="120" w:right="1063" w:firstLine="362"/>
        <w:jc w:val="both"/>
      </w:pPr>
      <w:r>
        <w:rPr/>
        <w:t>投保人、被保险人故意不履行如实告知义务的，我们有权解除本附加合同； 对于本附加合同解除前发生的保险事故，我们不负给付保险金的责任，并不退还保险费。</w:t>
      </w:r>
    </w:p>
    <w:p>
      <w:pPr>
        <w:pStyle w:val="BodyText"/>
        <w:spacing w:line="405" w:lineRule="auto" w:before="46"/>
        <w:ind w:left="120" w:right="992" w:firstLine="482"/>
      </w:pPr>
      <w:r>
        <w:rPr>
          <w:spacing w:val="-3"/>
        </w:rPr>
        <w:t>投保人、被保险人因过失未履行如实告知义务，足以影响我们决定是否同意承保或者提高保险费率的，我们有权解除本附加合同；投保人、被保险人因过失未履行如实告知义务，对保险事故的发生有严重影响的，对于本附加合同解除前发生的保险事故，我们不负给付保险金的责任，但可以将已经收取的保险费，在扣除手续费</w:t>
      </w:r>
      <w:r>
        <w:rPr/>
        <w:t>（</w:t>
      </w:r>
      <w:r>
        <w:rPr>
          <w:spacing w:val="-3"/>
        </w:rPr>
        <w:t>手续费指我们的管理费用与佣金之和，比例为不超过我们已经收取</w:t>
      </w:r>
      <w:r>
        <w:rPr>
          <w:spacing w:val="-1"/>
        </w:rPr>
        <w:t>的本附加合同的保险费之和的 </w:t>
      </w:r>
      <w:r>
        <w:rPr>
          <w:rFonts w:ascii="Times New Roman" w:eastAsia="Times New Roman"/>
        </w:rPr>
        <w:t>35%</w:t>
      </w:r>
      <w:r>
        <w:rPr/>
        <w:t>）</w:t>
      </w:r>
      <w:r>
        <w:rPr>
          <w:spacing w:val="-3"/>
        </w:rPr>
        <w:t>后，退还至主合同投保人账户中。若主合同为投资连结保险产品，我们以投资单位形式退还至主合同投保人的投资账户中， 退还的投资单位数按照本附加合同解除之日的下一个工作日的投资单位价格或  投资单位卖出价计算。</w:t>
      </w:r>
    </w:p>
    <w:p>
      <w:pPr>
        <w:pStyle w:val="BodyText"/>
        <w:rPr>
          <w:sz w:val="20"/>
        </w:rPr>
      </w:pPr>
    </w:p>
    <w:p>
      <w:pPr>
        <w:pStyle w:val="BodyText"/>
        <w:spacing w:before="6"/>
        <w:rPr>
          <w:sz w:val="22"/>
        </w:rPr>
      </w:pPr>
    </w:p>
    <w:p>
      <w:pPr>
        <w:pStyle w:val="Heading3"/>
        <w:numPr>
          <w:ilvl w:val="0"/>
          <w:numId w:val="6"/>
        </w:numPr>
        <w:tabs>
          <w:tab w:pos="593" w:val="left" w:leader="none"/>
        </w:tabs>
        <w:spacing w:line="240" w:lineRule="auto" w:before="1" w:after="0"/>
        <w:ind w:left="592" w:right="0" w:hanging="472"/>
        <w:jc w:val="left"/>
      </w:pPr>
      <w:bookmarkStart w:name="_TOC_250001" w:id="19"/>
      <w:bookmarkEnd w:id="19"/>
      <w:r>
        <w:rPr>
          <w:spacing w:val="-3"/>
        </w:rPr>
        <w:t>本附加合同的解除及终止</w:t>
      </w:r>
    </w:p>
    <w:p>
      <w:pPr>
        <w:pStyle w:val="ListParagraph"/>
        <w:numPr>
          <w:ilvl w:val="1"/>
          <w:numId w:val="6"/>
        </w:numPr>
        <w:tabs>
          <w:tab w:pos="491" w:val="left" w:leader="none"/>
        </w:tabs>
        <w:spacing w:line="240" w:lineRule="auto" w:before="212" w:after="0"/>
        <w:ind w:left="490" w:right="0" w:hanging="370"/>
        <w:jc w:val="left"/>
        <w:rPr>
          <w:sz w:val="21"/>
        </w:rPr>
      </w:pPr>
      <w:r>
        <w:rPr>
          <w:spacing w:val="-3"/>
          <w:sz w:val="21"/>
        </w:rPr>
        <w:t>．本附加合同的解除</w:t>
      </w:r>
    </w:p>
    <w:p>
      <w:pPr>
        <w:pStyle w:val="ListParagraph"/>
        <w:numPr>
          <w:ilvl w:val="2"/>
          <w:numId w:val="6"/>
        </w:numPr>
        <w:tabs>
          <w:tab w:pos="752" w:val="left" w:leader="none"/>
        </w:tabs>
        <w:spacing w:line="386" w:lineRule="auto" w:before="177" w:after="0"/>
        <w:ind w:left="120" w:right="1273" w:firstLine="0"/>
        <w:jc w:val="left"/>
        <w:rPr>
          <w:sz w:val="21"/>
        </w:rPr>
      </w:pPr>
      <w:r>
        <w:rPr>
          <w:spacing w:val="-3"/>
          <w:sz w:val="21"/>
        </w:rPr>
        <w:t>本附加合同生效后，您可以书面形式通知我们要求解除本附加合同，即退保。我们收到您解除合同的书面通知当日，本附加合同解除。</w:t>
      </w:r>
    </w:p>
    <w:p>
      <w:pPr>
        <w:pStyle w:val="ListParagraph"/>
        <w:numPr>
          <w:ilvl w:val="2"/>
          <w:numId w:val="6"/>
        </w:numPr>
        <w:tabs>
          <w:tab w:pos="752" w:val="left" w:leader="none"/>
        </w:tabs>
        <w:spacing w:line="240" w:lineRule="auto" w:before="65" w:after="0"/>
        <w:ind w:left="120" w:right="0" w:firstLine="0"/>
        <w:jc w:val="left"/>
        <w:rPr>
          <w:sz w:val="21"/>
        </w:rPr>
      </w:pPr>
      <w:r>
        <w:rPr>
          <w:spacing w:val="-3"/>
          <w:sz w:val="21"/>
        </w:rPr>
        <w:t>出现本附加合同其他条款约定或保险相关法律规定可以解除合同的情形</w:t>
      </w:r>
    </w:p>
    <w:p>
      <w:pPr>
        <w:spacing w:after="0" w:line="240" w:lineRule="auto"/>
        <w:jc w:val="left"/>
        <w:rPr>
          <w:sz w:val="21"/>
        </w:rPr>
        <w:sectPr>
          <w:pgSz w:w="11900" w:h="16840"/>
          <w:pgMar w:header="0" w:footer="968" w:top="1560" w:bottom="1160" w:left="1680" w:right="1680"/>
        </w:sectPr>
      </w:pPr>
    </w:p>
    <w:p>
      <w:pPr>
        <w:pStyle w:val="BodyText"/>
        <w:spacing w:before="22"/>
        <w:ind w:left="120"/>
      </w:pPr>
      <w:r>
        <w:rPr/>
        <w:t>时，本附加合同可以解除。</w:t>
      </w:r>
    </w:p>
    <w:p>
      <w:pPr>
        <w:pStyle w:val="BodyText"/>
        <w:spacing w:before="9"/>
        <w:rPr>
          <w:sz w:val="14"/>
        </w:rPr>
      </w:pPr>
    </w:p>
    <w:p>
      <w:pPr>
        <w:pStyle w:val="ListParagraph"/>
        <w:numPr>
          <w:ilvl w:val="1"/>
          <w:numId w:val="7"/>
        </w:numPr>
        <w:tabs>
          <w:tab w:pos="491" w:val="left" w:leader="none"/>
        </w:tabs>
        <w:spacing w:line="240" w:lineRule="auto" w:before="0" w:after="0"/>
        <w:ind w:left="490" w:right="0" w:hanging="370"/>
        <w:jc w:val="left"/>
        <w:rPr>
          <w:sz w:val="21"/>
        </w:rPr>
      </w:pPr>
      <w:r>
        <w:rPr>
          <w:spacing w:val="-3"/>
          <w:sz w:val="21"/>
        </w:rPr>
        <w:t>．本附加合同的终止</w:t>
      </w:r>
    </w:p>
    <w:p>
      <w:pPr>
        <w:pStyle w:val="ListParagraph"/>
        <w:numPr>
          <w:ilvl w:val="2"/>
          <w:numId w:val="7"/>
        </w:numPr>
        <w:tabs>
          <w:tab w:pos="752" w:val="left" w:leader="none"/>
        </w:tabs>
        <w:spacing w:line="240" w:lineRule="auto" w:before="177" w:after="0"/>
        <w:ind w:left="120" w:right="0" w:firstLine="0"/>
        <w:jc w:val="left"/>
        <w:rPr>
          <w:sz w:val="21"/>
        </w:rPr>
      </w:pPr>
      <w:r>
        <w:rPr>
          <w:spacing w:val="-3"/>
          <w:sz w:val="21"/>
        </w:rPr>
        <w:t>主合同终止，本附加合同的效力即行终止；</w:t>
      </w:r>
    </w:p>
    <w:p>
      <w:pPr>
        <w:pStyle w:val="ListParagraph"/>
        <w:numPr>
          <w:ilvl w:val="2"/>
          <w:numId w:val="7"/>
        </w:numPr>
        <w:tabs>
          <w:tab w:pos="752" w:val="left" w:leader="none"/>
        </w:tabs>
        <w:spacing w:line="386" w:lineRule="auto" w:before="179" w:after="0"/>
        <w:ind w:left="120" w:right="1063" w:firstLine="0"/>
        <w:jc w:val="left"/>
        <w:rPr>
          <w:sz w:val="21"/>
        </w:rPr>
      </w:pPr>
      <w:r>
        <w:rPr>
          <w:spacing w:val="-3"/>
          <w:sz w:val="21"/>
        </w:rPr>
        <w:t>本附加合同在其保险期间届满时终止，但按照本附加合同的约定续保的， 则在续保后的保险期间届满时终止；</w:t>
      </w:r>
    </w:p>
    <w:p>
      <w:pPr>
        <w:pStyle w:val="ListParagraph"/>
        <w:numPr>
          <w:ilvl w:val="2"/>
          <w:numId w:val="7"/>
        </w:numPr>
        <w:tabs>
          <w:tab w:pos="752" w:val="left" w:leader="none"/>
        </w:tabs>
        <w:spacing w:line="240" w:lineRule="auto" w:before="64" w:after="0"/>
        <w:ind w:left="120" w:right="0" w:firstLine="0"/>
        <w:jc w:val="left"/>
        <w:rPr>
          <w:sz w:val="21"/>
        </w:rPr>
      </w:pPr>
      <w:r>
        <w:rPr>
          <w:spacing w:val="-3"/>
          <w:sz w:val="21"/>
        </w:rPr>
        <w:t>出现本附加合同其他条款约定或保险相关法律规定合同终止的情形时，</w:t>
      </w:r>
    </w:p>
    <w:p>
      <w:pPr>
        <w:pStyle w:val="BodyText"/>
        <w:spacing w:before="177"/>
        <w:ind w:left="120"/>
      </w:pPr>
      <w:r>
        <w:rPr/>
        <w:t>本附加合同终止。</w:t>
      </w:r>
    </w:p>
    <w:p>
      <w:pPr>
        <w:pStyle w:val="BodyText"/>
        <w:spacing w:before="10"/>
        <w:rPr>
          <w:sz w:val="14"/>
        </w:rPr>
      </w:pPr>
    </w:p>
    <w:p>
      <w:pPr>
        <w:pStyle w:val="BodyText"/>
        <w:ind w:left="602"/>
      </w:pPr>
      <w:r>
        <w:rPr/>
        <w:t>本附加合同解除或终止时，我们不向投保人退还保险费，但本附加合同另有</w:t>
      </w:r>
    </w:p>
    <w:p>
      <w:pPr>
        <w:pStyle w:val="BodyText"/>
        <w:spacing w:before="12"/>
        <w:rPr>
          <w:sz w:val="14"/>
        </w:rPr>
      </w:pPr>
    </w:p>
    <w:p>
      <w:pPr>
        <w:pStyle w:val="BodyText"/>
        <w:ind w:left="120"/>
      </w:pPr>
      <w:r>
        <w:rPr/>
        <w:t>约定的除外。</w:t>
      </w:r>
    </w:p>
    <w:p>
      <w:pPr>
        <w:pStyle w:val="BodyText"/>
        <w:spacing w:before="9"/>
        <w:rPr>
          <w:sz w:val="14"/>
        </w:rPr>
      </w:pPr>
    </w:p>
    <w:p>
      <w:pPr>
        <w:pStyle w:val="BodyText"/>
        <w:spacing w:line="408" w:lineRule="auto"/>
        <w:ind w:left="120" w:right="999" w:firstLine="482"/>
      </w:pPr>
      <w:r>
        <w:rPr/>
        <w:t>本附加合同解除或终止后，其规定的保险责任终止，您应该将本附加合同相关文件退还给我们。</w:t>
      </w:r>
    </w:p>
    <w:p>
      <w:pPr>
        <w:pStyle w:val="BodyText"/>
        <w:rPr>
          <w:sz w:val="20"/>
        </w:rPr>
      </w:pPr>
    </w:p>
    <w:p>
      <w:pPr>
        <w:pStyle w:val="BodyText"/>
        <w:rPr>
          <w:sz w:val="20"/>
        </w:rPr>
      </w:pPr>
    </w:p>
    <w:p>
      <w:pPr>
        <w:pStyle w:val="BodyText"/>
        <w:rPr>
          <w:sz w:val="20"/>
        </w:rPr>
      </w:pPr>
    </w:p>
    <w:p>
      <w:pPr>
        <w:pStyle w:val="Heading2"/>
        <w:spacing w:before="158"/>
      </w:pPr>
      <w:bookmarkStart w:name="_TOC_250000" w:id="20"/>
      <w:bookmarkEnd w:id="20"/>
      <w:r>
        <w:rPr/>
        <w:t>四、释义</w:t>
      </w:r>
    </w:p>
    <w:p>
      <w:pPr>
        <w:pStyle w:val="BodyText"/>
        <w:rPr>
          <w:sz w:val="28"/>
        </w:rPr>
      </w:pPr>
    </w:p>
    <w:p>
      <w:pPr>
        <w:pStyle w:val="BodyText"/>
        <w:spacing w:before="247"/>
        <w:ind w:left="120"/>
      </w:pPr>
      <w:r>
        <w:rPr/>
        <w:t>本附加合同所称重大疾病，仅指下列疾病之一：</w:t>
      </w:r>
    </w:p>
    <w:p>
      <w:pPr>
        <w:pStyle w:val="BodyText"/>
        <w:spacing w:before="9"/>
        <w:rPr>
          <w:sz w:val="14"/>
        </w:rPr>
      </w:pPr>
    </w:p>
    <w:p>
      <w:pPr>
        <w:pStyle w:val="ListParagraph"/>
        <w:numPr>
          <w:ilvl w:val="0"/>
          <w:numId w:val="8"/>
        </w:numPr>
        <w:tabs>
          <w:tab w:pos="332" w:val="left" w:leader="none"/>
        </w:tabs>
        <w:spacing w:line="240" w:lineRule="auto" w:before="0" w:after="0"/>
        <w:ind w:left="331" w:right="0" w:hanging="211"/>
        <w:jc w:val="left"/>
        <w:rPr>
          <w:sz w:val="21"/>
        </w:rPr>
      </w:pPr>
      <w:r>
        <w:rPr>
          <w:spacing w:val="-2"/>
          <w:sz w:val="21"/>
        </w:rPr>
        <w:t>恶性肿瘤</w:t>
      </w:r>
    </w:p>
    <w:p>
      <w:pPr>
        <w:pStyle w:val="BodyText"/>
        <w:spacing w:before="176"/>
        <w:ind w:left="120"/>
      </w:pPr>
      <w:r>
        <w:rPr/>
        <w:t>指恶性细胞不受控制的进行性增长和扩散，浸润和破坏周围正常组织，可以经血</w:t>
      </w:r>
    </w:p>
    <w:p>
      <w:pPr>
        <w:pStyle w:val="BodyText"/>
        <w:spacing w:before="9"/>
        <w:rPr>
          <w:sz w:val="14"/>
        </w:rPr>
      </w:pPr>
    </w:p>
    <w:p>
      <w:pPr>
        <w:pStyle w:val="BodyText"/>
        <w:ind w:left="120"/>
      </w:pPr>
      <w:r>
        <w:rPr/>
        <w:t>管、淋巴管和体腔扩散转移到身体其它部位的疾病。</w:t>
      </w:r>
    </w:p>
    <w:p>
      <w:pPr>
        <w:pStyle w:val="BodyText"/>
        <w:spacing w:before="12"/>
        <w:rPr>
          <w:sz w:val="14"/>
        </w:rPr>
      </w:pPr>
    </w:p>
    <w:p>
      <w:pPr>
        <w:pStyle w:val="BodyText"/>
        <w:ind w:left="120"/>
      </w:pPr>
      <w:r>
        <w:rPr/>
        <w:t>经病理学检查结果明确诊断，临床诊断属于世界卫生组织《疾病和有关健康问题</w:t>
      </w:r>
    </w:p>
    <w:p>
      <w:pPr>
        <w:pStyle w:val="BodyText"/>
        <w:spacing w:before="9"/>
        <w:rPr>
          <w:sz w:val="14"/>
        </w:rPr>
      </w:pPr>
    </w:p>
    <w:p>
      <w:pPr>
        <w:pStyle w:val="BodyText"/>
        <w:spacing w:line="386" w:lineRule="auto" w:before="1"/>
        <w:ind w:left="120" w:right="3994"/>
      </w:pPr>
      <w:r>
        <w:rPr/>
        <w:t>的国际统计分类》（</w:t>
      </w:r>
      <w:r>
        <w:rPr>
          <w:rFonts w:ascii="Times New Roman" w:eastAsia="Times New Roman"/>
        </w:rPr>
        <w:t>ICD-10</w:t>
      </w:r>
      <w:r>
        <w:rPr/>
        <w:t>）的恶性肿瘤范畴。下列疾病不在保障范围内：</w:t>
      </w:r>
    </w:p>
    <w:p>
      <w:pPr>
        <w:pStyle w:val="BodyText"/>
        <w:spacing w:before="65"/>
        <w:ind w:left="120"/>
      </w:pPr>
      <w:r>
        <w:rPr/>
        <w:t>（</w:t>
      </w:r>
      <w:r>
        <w:rPr>
          <w:rFonts w:ascii="Times New Roman" w:eastAsia="Times New Roman"/>
        </w:rPr>
        <w:t>1</w:t>
      </w:r>
      <w:r>
        <w:rPr/>
        <w:t>）原位癌；</w:t>
      </w:r>
    </w:p>
    <w:p>
      <w:pPr>
        <w:pStyle w:val="BodyText"/>
        <w:spacing w:before="179"/>
        <w:ind w:left="120"/>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before="177"/>
        <w:ind w:left="120"/>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before="177"/>
        <w:ind w:left="120"/>
      </w:pPr>
      <w:r>
        <w:rPr/>
        <w:t>（</w:t>
      </w:r>
      <w:r>
        <w:rPr>
          <w:rFonts w:ascii="Times New Roman" w:eastAsia="Times New Roman"/>
        </w:rPr>
        <w:t>4</w:t>
      </w:r>
      <w:r>
        <w:rPr/>
        <w:t>）皮肤癌（不包括恶性黑色素瘤及已发生转移的皮肤癌）；</w:t>
      </w:r>
    </w:p>
    <w:p>
      <w:pPr>
        <w:pStyle w:val="BodyText"/>
        <w:spacing w:before="177"/>
        <w:ind w:left="120"/>
      </w:pPr>
      <w:r>
        <w:rPr/>
        <w:t>（</w:t>
      </w:r>
      <w:r>
        <w:rPr>
          <w:rFonts w:ascii="Times New Roman" w:eastAsia="Times New Roman"/>
        </w:rPr>
        <w:t>5</w:t>
      </w:r>
      <w:r>
        <w:rPr/>
        <w:t>）</w:t>
      </w:r>
      <w:r>
        <w:rPr>
          <w:rFonts w:ascii="Times New Roman" w:eastAsia="Times New Roman"/>
        </w:rPr>
        <w:t>TNM</w:t>
      </w:r>
      <w:r>
        <w:rPr/>
        <w:t>分期为</w:t>
      </w:r>
      <w:r>
        <w:rPr>
          <w:rFonts w:ascii="Times New Roman" w:eastAsia="Times New Roman"/>
        </w:rPr>
        <w:t>T1N0M0</w:t>
      </w:r>
      <w:r>
        <w:rPr/>
        <w:t>期或更轻分期的前列腺癌；</w:t>
      </w:r>
    </w:p>
    <w:p>
      <w:pPr>
        <w:pStyle w:val="BodyText"/>
        <w:spacing w:before="177"/>
        <w:ind w:left="120"/>
      </w:pPr>
      <w:r>
        <w:rPr/>
        <w:t>（</w:t>
      </w:r>
      <w:r>
        <w:rPr>
          <w:rFonts w:ascii="Times New Roman" w:eastAsia="Times New Roman"/>
        </w:rPr>
        <w:t>6</w:t>
      </w:r>
      <w:r>
        <w:rPr/>
        <w:t>）感染艾滋病病毒或患艾滋病期间所患恶性肿瘤。</w:t>
      </w:r>
    </w:p>
    <w:p>
      <w:pPr>
        <w:pStyle w:val="BodyText"/>
        <w:rPr>
          <w:sz w:val="22"/>
        </w:rPr>
      </w:pPr>
    </w:p>
    <w:p>
      <w:pPr>
        <w:pStyle w:val="BodyText"/>
        <w:spacing w:before="4"/>
        <w:rPr>
          <w:sz w:val="15"/>
        </w:rPr>
      </w:pPr>
    </w:p>
    <w:p>
      <w:pPr>
        <w:pStyle w:val="ListParagraph"/>
        <w:numPr>
          <w:ilvl w:val="0"/>
          <w:numId w:val="8"/>
        </w:numPr>
        <w:tabs>
          <w:tab w:pos="332" w:val="left" w:leader="none"/>
        </w:tabs>
        <w:spacing w:line="240" w:lineRule="auto" w:before="0" w:after="0"/>
        <w:ind w:left="331" w:right="0" w:hanging="211"/>
        <w:jc w:val="left"/>
        <w:rPr>
          <w:sz w:val="21"/>
        </w:rPr>
      </w:pPr>
      <w:r>
        <w:rPr>
          <w:spacing w:val="-3"/>
          <w:sz w:val="21"/>
        </w:rPr>
        <w:t>重大器官移植术或造血干细胞移植术</w:t>
      </w:r>
    </w:p>
    <w:p>
      <w:pPr>
        <w:spacing w:after="0" w:line="240" w:lineRule="auto"/>
        <w:jc w:val="left"/>
        <w:rPr>
          <w:sz w:val="21"/>
        </w:rPr>
        <w:sectPr>
          <w:footerReference w:type="default" r:id="rId7"/>
          <w:pgSz w:w="11900" w:h="16840"/>
          <w:pgMar w:footer="968" w:header="0" w:top="1500" w:bottom="1160" w:left="1680" w:right="1680"/>
          <w:pgNumType w:start="10"/>
        </w:sectPr>
      </w:pPr>
    </w:p>
    <w:p>
      <w:pPr>
        <w:pStyle w:val="BodyText"/>
        <w:spacing w:line="408" w:lineRule="auto" w:before="22"/>
        <w:ind w:left="120" w:right="1063"/>
      </w:pPr>
      <w:r>
        <w:rPr/>
        <w:t>重大器官移植术，指因相应器官功能衰竭，已经实施了肾脏、肝脏、心脏或肺脏的异体移植手术。</w:t>
      </w:r>
    </w:p>
    <w:p>
      <w:pPr>
        <w:pStyle w:val="BodyText"/>
        <w:spacing w:line="410" w:lineRule="auto" w:before="45"/>
        <w:ind w:left="120" w:right="1063"/>
        <w:jc w:val="both"/>
      </w:pPr>
      <w:r>
        <w:rPr/>
        <w:t>造血干细胞移植术，指因造血功能损害或造血系统恶性肿瘤，已经实施了造血干细胞（包括骨髓造血干细胞、外周血造血干细胞和脐血造血干细胞）的异体移植手术。</w:t>
      </w:r>
    </w:p>
    <w:p>
      <w:pPr>
        <w:pStyle w:val="BodyText"/>
        <w:rPr>
          <w:sz w:val="20"/>
        </w:rPr>
      </w:pPr>
    </w:p>
    <w:p>
      <w:pPr>
        <w:pStyle w:val="BodyText"/>
        <w:spacing w:before="1"/>
        <w:rPr>
          <w:sz w:val="19"/>
        </w:rPr>
      </w:pPr>
    </w:p>
    <w:p>
      <w:pPr>
        <w:pStyle w:val="ListParagraph"/>
        <w:numPr>
          <w:ilvl w:val="0"/>
          <w:numId w:val="8"/>
        </w:numPr>
        <w:tabs>
          <w:tab w:pos="332" w:val="left" w:leader="none"/>
        </w:tabs>
        <w:spacing w:line="240" w:lineRule="auto" w:before="0" w:after="0"/>
        <w:ind w:left="331" w:right="0" w:hanging="211"/>
        <w:jc w:val="both"/>
        <w:rPr>
          <w:sz w:val="21"/>
        </w:rPr>
      </w:pPr>
      <w:r>
        <w:rPr>
          <w:spacing w:val="-3"/>
          <w:sz w:val="21"/>
        </w:rPr>
        <w:t>终末期肾病（或称慢性肾功能衰竭尿毒症期）</w:t>
      </w:r>
    </w:p>
    <w:p>
      <w:pPr>
        <w:pStyle w:val="BodyText"/>
        <w:spacing w:before="177"/>
        <w:ind w:left="120"/>
        <w:jc w:val="both"/>
      </w:pPr>
      <w:r>
        <w:rPr/>
        <w:t>指双肾功能慢性不可逆性衰竭，达到尿毒症期，经诊断后已经进行了至少</w:t>
      </w:r>
      <w:r>
        <w:rPr>
          <w:rFonts w:ascii="Times New Roman" w:eastAsia="Times New Roman"/>
        </w:rPr>
        <w:t>90  </w:t>
      </w:r>
      <w:r>
        <w:rPr/>
        <w:t>天</w:t>
      </w:r>
    </w:p>
    <w:p>
      <w:pPr>
        <w:pStyle w:val="BodyText"/>
        <w:spacing w:before="179"/>
        <w:ind w:left="120"/>
        <w:jc w:val="both"/>
      </w:pPr>
      <w:r>
        <w:rPr/>
        <w:t>的规律性透析治疗或实施了肾脏移植手术。</w:t>
      </w:r>
    </w:p>
    <w:p>
      <w:pPr>
        <w:pStyle w:val="BodyText"/>
        <w:rPr>
          <w:sz w:val="20"/>
        </w:rPr>
      </w:pPr>
    </w:p>
    <w:p>
      <w:pPr>
        <w:pStyle w:val="BodyText"/>
        <w:rPr>
          <w:sz w:val="20"/>
        </w:rPr>
      </w:pPr>
    </w:p>
    <w:p>
      <w:pPr>
        <w:pStyle w:val="ListParagraph"/>
        <w:numPr>
          <w:ilvl w:val="0"/>
          <w:numId w:val="8"/>
        </w:numPr>
        <w:tabs>
          <w:tab w:pos="332" w:val="left" w:leader="none"/>
        </w:tabs>
        <w:spacing w:line="240" w:lineRule="auto" w:before="137" w:after="0"/>
        <w:ind w:left="331" w:right="0" w:hanging="211"/>
        <w:jc w:val="both"/>
        <w:rPr>
          <w:sz w:val="21"/>
        </w:rPr>
      </w:pPr>
      <w:r>
        <w:rPr>
          <w:spacing w:val="-3"/>
          <w:sz w:val="21"/>
        </w:rPr>
        <w:t>多个肢体缺失</w:t>
      </w:r>
    </w:p>
    <w:p>
      <w:pPr>
        <w:pStyle w:val="BodyText"/>
        <w:spacing w:before="177"/>
        <w:ind w:left="120"/>
        <w:jc w:val="both"/>
      </w:pPr>
      <w:r>
        <w:rPr/>
        <w:t>指因疾病或意外伤害导致两个或两个以上肢体自腕关节或踝关节近端（靠近躯干</w:t>
      </w:r>
    </w:p>
    <w:p>
      <w:pPr>
        <w:pStyle w:val="BodyText"/>
        <w:spacing w:before="9"/>
        <w:rPr>
          <w:sz w:val="14"/>
        </w:rPr>
      </w:pPr>
    </w:p>
    <w:p>
      <w:pPr>
        <w:pStyle w:val="BodyText"/>
        <w:ind w:left="120"/>
        <w:jc w:val="both"/>
      </w:pPr>
      <w:r>
        <w:rPr/>
        <w:t>端）以上完全性断离。</w:t>
      </w:r>
    </w:p>
    <w:p>
      <w:pPr>
        <w:pStyle w:val="BodyText"/>
        <w:rPr>
          <w:sz w:val="20"/>
        </w:rPr>
      </w:pPr>
    </w:p>
    <w:p>
      <w:pPr>
        <w:pStyle w:val="BodyText"/>
        <w:rPr>
          <w:sz w:val="20"/>
        </w:rPr>
      </w:pPr>
    </w:p>
    <w:p>
      <w:pPr>
        <w:pStyle w:val="ListParagraph"/>
        <w:numPr>
          <w:ilvl w:val="0"/>
          <w:numId w:val="8"/>
        </w:numPr>
        <w:tabs>
          <w:tab w:pos="332" w:val="left" w:leader="none"/>
        </w:tabs>
        <w:spacing w:line="240" w:lineRule="auto" w:before="139" w:after="0"/>
        <w:ind w:left="331" w:right="0" w:hanging="211"/>
        <w:jc w:val="both"/>
        <w:rPr>
          <w:sz w:val="21"/>
        </w:rPr>
      </w:pPr>
      <w:r>
        <w:rPr>
          <w:spacing w:val="-3"/>
          <w:sz w:val="21"/>
        </w:rPr>
        <w:t>急性或亚急性重症肝炎</w:t>
      </w:r>
    </w:p>
    <w:p>
      <w:pPr>
        <w:pStyle w:val="BodyText"/>
        <w:spacing w:line="408" w:lineRule="auto" w:before="177"/>
        <w:ind w:left="120" w:right="1063"/>
      </w:pPr>
      <w:r>
        <w:rPr/>
        <w:t>指因肝炎病毒感染引起肝脏组织弥漫性坏死，导致急性肝功能衰竭，且经血清学或病毒学检查证实，并须满足下列全部条件：</w:t>
      </w:r>
    </w:p>
    <w:p>
      <w:pPr>
        <w:pStyle w:val="BodyText"/>
        <w:spacing w:before="46"/>
        <w:ind w:left="120"/>
        <w:jc w:val="both"/>
      </w:pPr>
      <w:r>
        <w:rPr/>
        <w:t>（</w:t>
      </w:r>
      <w:r>
        <w:rPr>
          <w:rFonts w:ascii="Times New Roman" w:eastAsia="Times New Roman"/>
        </w:rPr>
        <w:t>1</w:t>
      </w:r>
      <w:r>
        <w:rPr/>
        <w:t>）重度黄疸或黄疸迅速加重；</w:t>
      </w:r>
    </w:p>
    <w:p>
      <w:pPr>
        <w:pStyle w:val="BodyText"/>
        <w:spacing w:before="177"/>
        <w:ind w:left="120"/>
        <w:jc w:val="both"/>
      </w:pPr>
      <w:r>
        <w:rPr/>
        <w:t>（</w:t>
      </w:r>
      <w:r>
        <w:rPr>
          <w:rFonts w:ascii="Times New Roman" w:eastAsia="Times New Roman"/>
        </w:rPr>
        <w:t>2</w:t>
      </w:r>
      <w:r>
        <w:rPr/>
        <w:t>）肝性脑病；</w:t>
      </w:r>
    </w:p>
    <w:p>
      <w:pPr>
        <w:pStyle w:val="BodyText"/>
        <w:spacing w:before="179"/>
        <w:ind w:left="120"/>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176"/>
        <w:ind w:left="120"/>
        <w:jc w:val="both"/>
      </w:pPr>
      <w:r>
        <w:rPr/>
        <w:t>（</w:t>
      </w:r>
      <w:r>
        <w:rPr>
          <w:rFonts w:ascii="Times New Roman" w:eastAsia="Times New Roman"/>
        </w:rPr>
        <w:t>4</w:t>
      </w:r>
      <w:r>
        <w:rPr/>
        <w:t>）肝功能指标进行性恶化。</w:t>
      </w:r>
    </w:p>
    <w:p>
      <w:pPr>
        <w:pStyle w:val="BodyText"/>
        <w:rPr>
          <w:sz w:val="22"/>
        </w:rPr>
      </w:pPr>
    </w:p>
    <w:p>
      <w:pPr>
        <w:pStyle w:val="BodyText"/>
        <w:spacing w:before="3"/>
        <w:rPr>
          <w:sz w:val="27"/>
        </w:rPr>
      </w:pPr>
    </w:p>
    <w:p>
      <w:pPr>
        <w:pStyle w:val="ListParagraph"/>
        <w:numPr>
          <w:ilvl w:val="0"/>
          <w:numId w:val="8"/>
        </w:numPr>
        <w:tabs>
          <w:tab w:pos="332" w:val="left" w:leader="none"/>
        </w:tabs>
        <w:spacing w:line="240" w:lineRule="auto" w:before="0" w:after="0"/>
        <w:ind w:left="331" w:right="0" w:hanging="211"/>
        <w:jc w:val="both"/>
        <w:rPr>
          <w:sz w:val="21"/>
        </w:rPr>
      </w:pPr>
      <w:r>
        <w:rPr>
          <w:spacing w:val="-3"/>
          <w:sz w:val="21"/>
        </w:rPr>
        <w:t>良性脑肿瘤</w:t>
      </w:r>
    </w:p>
    <w:p>
      <w:pPr>
        <w:pStyle w:val="BodyText"/>
        <w:spacing w:before="179"/>
        <w:ind w:left="120"/>
        <w:jc w:val="both"/>
      </w:pPr>
      <w:r>
        <w:rPr/>
        <w:t>指脑的良性肿瘤，已经引起颅内压增高，临床表现为视神经乳头水肿、精神症状、</w:t>
      </w:r>
    </w:p>
    <w:p>
      <w:pPr>
        <w:pStyle w:val="BodyText"/>
        <w:spacing w:before="7"/>
        <w:rPr>
          <w:sz w:val="14"/>
        </w:rPr>
      </w:pPr>
    </w:p>
    <w:p>
      <w:pPr>
        <w:pStyle w:val="BodyText"/>
        <w:ind w:left="120"/>
        <w:jc w:val="both"/>
      </w:pPr>
      <w:r>
        <w:rPr/>
        <w:t>癫痫及运动感觉障碍等，并危及生命。须由头颅断层扫描（</w:t>
      </w:r>
      <w:r>
        <w:rPr>
          <w:rFonts w:ascii="Times New Roman" w:eastAsia="Times New Roman"/>
        </w:rPr>
        <w:t>CT</w:t>
      </w:r>
      <w:r>
        <w:rPr/>
        <w:t>）、核磁共振检查</w:t>
      </w:r>
    </w:p>
    <w:p>
      <w:pPr>
        <w:pStyle w:val="BodyText"/>
        <w:spacing w:before="179"/>
        <w:ind w:left="120"/>
        <w:jc w:val="both"/>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w:t>
      </w:r>
    </w:p>
    <w:p>
      <w:pPr>
        <w:pStyle w:val="BodyText"/>
        <w:spacing w:before="177"/>
        <w:ind w:left="120"/>
        <w:jc w:val="both"/>
      </w:pPr>
      <w:r>
        <w:rPr/>
        <w:t>项条件：</w:t>
      </w:r>
    </w:p>
    <w:p>
      <w:pPr>
        <w:pStyle w:val="BodyText"/>
        <w:spacing w:before="10"/>
        <w:rPr>
          <w:sz w:val="14"/>
        </w:rPr>
      </w:pPr>
    </w:p>
    <w:p>
      <w:pPr>
        <w:pStyle w:val="BodyText"/>
        <w:ind w:left="120"/>
        <w:jc w:val="both"/>
      </w:pPr>
      <w:r>
        <w:rPr/>
        <w:t>（</w:t>
      </w:r>
      <w:r>
        <w:rPr>
          <w:rFonts w:ascii="Times New Roman" w:eastAsia="Times New Roman"/>
        </w:rPr>
        <w:t>1</w:t>
      </w:r>
      <w:r>
        <w:rPr/>
        <w:t>）实际实施了开颅进行的脑肿瘤完全切除或部分切除的手术；</w:t>
      </w:r>
    </w:p>
    <w:p>
      <w:pPr>
        <w:pStyle w:val="BodyText"/>
        <w:spacing w:before="177"/>
        <w:ind w:left="120"/>
        <w:jc w:val="both"/>
      </w:pPr>
      <w:r>
        <w:rPr/>
        <w:t>（</w:t>
      </w:r>
      <w:r>
        <w:rPr>
          <w:rFonts w:ascii="Times New Roman" w:eastAsia="Times New Roman"/>
        </w:rPr>
        <w:t>2</w:t>
      </w:r>
      <w:r>
        <w:rPr/>
        <w:t>）实际实施了对脑肿瘤进行的放射治疗。</w:t>
      </w:r>
    </w:p>
    <w:p>
      <w:pPr>
        <w:spacing w:after="0"/>
        <w:jc w:val="both"/>
        <w:sectPr>
          <w:pgSz w:w="11900" w:h="16840"/>
          <w:pgMar w:header="0" w:footer="968" w:top="1500" w:bottom="1160" w:left="1680" w:right="1680"/>
        </w:sectPr>
      </w:pPr>
    </w:p>
    <w:p>
      <w:pPr>
        <w:pStyle w:val="BodyText"/>
        <w:spacing w:before="22"/>
        <w:ind w:left="120"/>
      </w:pPr>
      <w:r>
        <w:rPr/>
        <w:t>脑垂体瘤、脑囊肿、脑血管性疾病不在保障范围内。</w:t>
      </w:r>
    </w:p>
    <w:p>
      <w:pPr>
        <w:pStyle w:val="BodyText"/>
        <w:rPr>
          <w:sz w:val="20"/>
        </w:rPr>
      </w:pPr>
    </w:p>
    <w:p>
      <w:pPr>
        <w:pStyle w:val="BodyText"/>
        <w:rPr>
          <w:sz w:val="20"/>
        </w:rPr>
      </w:pPr>
    </w:p>
    <w:p>
      <w:pPr>
        <w:pStyle w:val="ListParagraph"/>
        <w:numPr>
          <w:ilvl w:val="0"/>
          <w:numId w:val="8"/>
        </w:numPr>
        <w:tabs>
          <w:tab w:pos="332" w:val="left" w:leader="none"/>
        </w:tabs>
        <w:spacing w:line="240" w:lineRule="auto" w:before="137" w:after="0"/>
        <w:ind w:left="331" w:right="0" w:hanging="211"/>
        <w:jc w:val="left"/>
        <w:rPr>
          <w:sz w:val="21"/>
        </w:rPr>
      </w:pPr>
      <w:r>
        <w:rPr>
          <w:spacing w:val="-3"/>
          <w:sz w:val="21"/>
        </w:rPr>
        <w:t>脑炎后遗症或脑膜炎后遗症</w:t>
      </w:r>
    </w:p>
    <w:p>
      <w:pPr>
        <w:pStyle w:val="BodyText"/>
        <w:spacing w:line="408" w:lineRule="auto" w:before="179"/>
        <w:ind w:left="120" w:right="1063"/>
      </w:pPr>
      <w:r>
        <w:rPr/>
        <w:t>指因患脑炎或脑膜炎导致的神经系统永久性的功能障碍。神经系统永久性的功能障碍，指疾病确诊</w:t>
      </w:r>
      <w:r>
        <w:rPr>
          <w:rFonts w:ascii="Times New Roman" w:eastAsia="Times New Roman"/>
        </w:rPr>
        <w:t>180  </w:t>
      </w:r>
      <w:r>
        <w:rPr/>
        <w:t>天后，仍遗留下列一种或一种以上障碍：</w:t>
      </w:r>
    </w:p>
    <w:p>
      <w:pPr>
        <w:pStyle w:val="BodyText"/>
        <w:spacing w:before="14"/>
        <w:ind w:left="120"/>
      </w:pPr>
      <w:r>
        <w:rPr/>
        <w:t>（</w:t>
      </w:r>
      <w:r>
        <w:rPr>
          <w:rFonts w:ascii="Times New Roman" w:eastAsia="Times New Roman"/>
        </w:rPr>
        <w:t>1</w:t>
      </w:r>
      <w:r>
        <w:rPr/>
        <w:t>）一肢或一肢以上肢体机能完全丧失；</w:t>
      </w:r>
    </w:p>
    <w:p>
      <w:pPr>
        <w:pStyle w:val="BodyText"/>
        <w:spacing w:before="177"/>
        <w:ind w:left="120"/>
      </w:pPr>
      <w:r>
        <w:rPr/>
        <w:t>（</w:t>
      </w:r>
      <w:r>
        <w:rPr>
          <w:rFonts w:ascii="Times New Roman" w:eastAsia="Times New Roman"/>
        </w:rPr>
        <w:t>2</w:t>
      </w:r>
      <w:r>
        <w:rPr/>
        <w:t>）语言能力或咀嚼吞咽能力完全丧失；</w:t>
      </w:r>
    </w:p>
    <w:p>
      <w:pPr>
        <w:pStyle w:val="BodyText"/>
        <w:spacing w:before="177"/>
        <w:ind w:left="120"/>
      </w:pPr>
      <w:r>
        <w:rPr/>
        <w:t>（</w:t>
      </w:r>
      <w:r>
        <w:rPr>
          <w:rFonts w:ascii="Times New Roman" w:eastAsia="Times New Roman"/>
        </w:rPr>
        <w:t>3</w:t>
      </w:r>
      <w:r>
        <w:rPr/>
        <w:t>）自主生活能力完全丧失，无法独立完成六项基本日常生活活动</w:t>
      </w:r>
    </w:p>
    <w:p>
      <w:pPr>
        <w:pStyle w:val="BodyText"/>
        <w:spacing w:before="180"/>
        <w:ind w:left="120"/>
      </w:pPr>
      <w:r>
        <w:rPr/>
        <w:t>中的三项或三项以上。</w:t>
      </w:r>
    </w:p>
    <w:p>
      <w:pPr>
        <w:pStyle w:val="BodyText"/>
        <w:rPr>
          <w:sz w:val="20"/>
        </w:rPr>
      </w:pPr>
    </w:p>
    <w:p>
      <w:pPr>
        <w:pStyle w:val="BodyText"/>
        <w:rPr>
          <w:sz w:val="20"/>
        </w:rPr>
      </w:pPr>
    </w:p>
    <w:p>
      <w:pPr>
        <w:pStyle w:val="ListParagraph"/>
        <w:numPr>
          <w:ilvl w:val="0"/>
          <w:numId w:val="8"/>
        </w:numPr>
        <w:tabs>
          <w:tab w:pos="332" w:val="left" w:leader="none"/>
        </w:tabs>
        <w:spacing w:line="240" w:lineRule="auto" w:before="138" w:after="0"/>
        <w:ind w:left="331" w:right="0" w:hanging="211"/>
        <w:jc w:val="left"/>
        <w:rPr>
          <w:sz w:val="21"/>
        </w:rPr>
      </w:pPr>
      <w:r>
        <w:rPr>
          <w:spacing w:val="-2"/>
          <w:sz w:val="21"/>
        </w:rPr>
        <w:t>深度昏迷</w:t>
      </w:r>
    </w:p>
    <w:p>
      <w:pPr>
        <w:pStyle w:val="BodyText"/>
        <w:spacing w:line="386" w:lineRule="auto" w:before="177"/>
        <w:ind w:left="120" w:right="1160"/>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）结果为</w:t>
      </w:r>
      <w:r>
        <w:rPr>
          <w:rFonts w:ascii="Times New Roman" w:eastAsia="Times New Roman"/>
        </w:rPr>
        <w:t>5</w:t>
      </w:r>
      <w:r>
        <w:rPr/>
        <w:t>分或</w:t>
      </w:r>
      <w:r>
        <w:rPr>
          <w:rFonts w:ascii="Times New Roman" w:eastAsia="Times New Roman"/>
        </w:rPr>
        <w:t>5</w:t>
      </w:r>
      <w:r>
        <w:rPr/>
        <w:t>分以下，且已经持续使用呼吸机及其它生命维持系统</w:t>
      </w:r>
      <w:r>
        <w:rPr>
          <w:rFonts w:ascii="Times New Roman" w:eastAsia="Times New Roman"/>
        </w:rPr>
        <w:t>96</w:t>
      </w:r>
      <w:r>
        <w:rPr/>
        <w:t>小时以上。</w:t>
      </w:r>
    </w:p>
    <w:p>
      <w:pPr>
        <w:pStyle w:val="BodyText"/>
        <w:spacing w:before="37"/>
        <w:ind w:left="120"/>
      </w:pPr>
      <w:r>
        <w:rPr/>
        <w:t>因酗酒或药物滥用导致的深度昏迷不在保障范围内。</w:t>
      </w:r>
    </w:p>
    <w:p>
      <w:pPr>
        <w:pStyle w:val="BodyText"/>
        <w:rPr>
          <w:sz w:val="20"/>
        </w:rPr>
      </w:pPr>
    </w:p>
    <w:p>
      <w:pPr>
        <w:pStyle w:val="BodyText"/>
        <w:rPr>
          <w:sz w:val="20"/>
        </w:rPr>
      </w:pPr>
    </w:p>
    <w:p>
      <w:pPr>
        <w:pStyle w:val="ListParagraph"/>
        <w:numPr>
          <w:ilvl w:val="0"/>
          <w:numId w:val="8"/>
        </w:numPr>
        <w:tabs>
          <w:tab w:pos="332" w:val="left" w:leader="none"/>
        </w:tabs>
        <w:spacing w:line="240" w:lineRule="auto" w:before="137" w:after="0"/>
        <w:ind w:left="331" w:right="0" w:hanging="211"/>
        <w:jc w:val="left"/>
        <w:rPr>
          <w:sz w:val="21"/>
        </w:rPr>
      </w:pPr>
      <w:r>
        <w:rPr>
          <w:spacing w:val="-3"/>
          <w:sz w:val="21"/>
        </w:rPr>
        <w:t>双耳失聪</w:t>
      </w:r>
      <w:r>
        <w:rPr>
          <w:rFonts w:ascii="Times New Roman" w:hAnsi="Times New Roman" w:eastAsia="Times New Roman"/>
          <w:spacing w:val="-1"/>
          <w:sz w:val="21"/>
        </w:rPr>
        <w:t>——</w:t>
      </w:r>
      <w:r>
        <w:rPr>
          <w:spacing w:val="-3"/>
          <w:sz w:val="21"/>
        </w:rPr>
        <w:t>三岁始理赔</w:t>
      </w:r>
    </w:p>
    <w:p>
      <w:pPr>
        <w:pStyle w:val="BodyText"/>
        <w:spacing w:line="386" w:lineRule="auto" w:before="177"/>
        <w:ind w:left="120" w:right="1069"/>
      </w:pPr>
      <w:r>
        <w:rPr>
          <w:spacing w:val="-3"/>
        </w:rPr>
        <w:t>指因疾病或意外伤害导致双耳听力永久不可逆性丧失，在</w:t>
      </w:r>
      <w:r>
        <w:rPr>
          <w:rFonts w:ascii="Times New Roman" w:eastAsia="Times New Roman"/>
        </w:rPr>
        <w:t>500 </w:t>
      </w:r>
      <w:r>
        <w:rPr>
          <w:spacing w:val="-2"/>
        </w:rPr>
        <w:t>赫兹、</w:t>
      </w:r>
      <w:r>
        <w:rPr>
          <w:rFonts w:ascii="Times New Roman" w:eastAsia="Times New Roman"/>
        </w:rPr>
        <w:t>1000</w:t>
      </w:r>
      <w:r>
        <w:rPr>
          <w:rFonts w:ascii="Times New Roman" w:eastAsia="Times New Roman"/>
          <w:spacing w:val="5"/>
        </w:rPr>
        <w:t>  </w:t>
      </w:r>
      <w:r>
        <w:rPr>
          <w:spacing w:val="-3"/>
        </w:rPr>
        <w:t>赫兹</w:t>
      </w:r>
      <w:r>
        <w:rPr/>
        <w:t>和</w:t>
      </w:r>
      <w:r>
        <w:rPr>
          <w:rFonts w:ascii="Times New Roman" w:eastAsia="Times New Roman"/>
        </w:rPr>
        <w:t>2000 </w:t>
      </w:r>
      <w:r>
        <w:rPr>
          <w:spacing w:val="-3"/>
        </w:rPr>
        <w:t>赫兹语音频率下，平均听阈大于</w:t>
      </w:r>
      <w:r>
        <w:rPr>
          <w:rFonts w:ascii="Times New Roman" w:eastAsia="Times New Roman"/>
        </w:rPr>
        <w:t>90 </w:t>
      </w:r>
      <w:r>
        <w:rPr>
          <w:spacing w:val="-3"/>
        </w:rPr>
        <w:t>分贝，且经纯音听力测试、声导抗检测或听觉诱发电位检测等证实。</w:t>
      </w:r>
    </w:p>
    <w:p>
      <w:pPr>
        <w:pStyle w:val="BodyText"/>
        <w:rPr>
          <w:sz w:val="20"/>
        </w:rPr>
      </w:pPr>
    </w:p>
    <w:p>
      <w:pPr>
        <w:pStyle w:val="BodyText"/>
        <w:spacing w:before="9"/>
        <w:rPr>
          <w:sz w:val="20"/>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双目失明</w:t>
      </w:r>
      <w:r>
        <w:rPr>
          <w:rFonts w:ascii="Times New Roman" w:hAnsi="Times New Roman" w:eastAsia="Times New Roman"/>
          <w:spacing w:val="-1"/>
          <w:sz w:val="21"/>
        </w:rPr>
        <w:t>——</w:t>
      </w:r>
      <w:r>
        <w:rPr>
          <w:spacing w:val="-3"/>
          <w:sz w:val="21"/>
        </w:rPr>
        <w:t>三岁始理赔</w:t>
      </w:r>
    </w:p>
    <w:p>
      <w:pPr>
        <w:pStyle w:val="BodyText"/>
        <w:spacing w:before="176"/>
        <w:ind w:left="120"/>
      </w:pPr>
      <w:r>
        <w:rPr/>
        <w:t>指因疾病或意外伤害导致双眼视力永久不可逆性丧失，双眼中较好眼须满足下列</w:t>
      </w:r>
    </w:p>
    <w:p>
      <w:pPr>
        <w:pStyle w:val="BodyText"/>
        <w:spacing w:before="11"/>
        <w:rPr>
          <w:sz w:val="14"/>
        </w:rPr>
      </w:pPr>
    </w:p>
    <w:p>
      <w:pPr>
        <w:pStyle w:val="BodyText"/>
        <w:ind w:left="120"/>
      </w:pPr>
      <w:r>
        <w:rPr/>
        <w:t>至少一项条件：</w:t>
      </w:r>
    </w:p>
    <w:p>
      <w:pPr>
        <w:pStyle w:val="BodyText"/>
        <w:spacing w:before="6"/>
        <w:rPr>
          <w:sz w:val="14"/>
        </w:rPr>
      </w:pPr>
    </w:p>
    <w:p>
      <w:pPr>
        <w:pStyle w:val="BodyText"/>
        <w:spacing w:before="1"/>
        <w:ind w:left="120"/>
      </w:pPr>
      <w:r>
        <w:rPr/>
        <w:t>（</w:t>
      </w:r>
      <w:r>
        <w:rPr>
          <w:rFonts w:ascii="Times New Roman" w:eastAsia="Times New Roman"/>
        </w:rPr>
        <w:t>1</w:t>
      </w:r>
      <w:r>
        <w:rPr/>
        <w:t>）眼球缺失或摘除；</w:t>
      </w:r>
    </w:p>
    <w:p>
      <w:pPr>
        <w:pStyle w:val="BodyText"/>
        <w:spacing w:before="180"/>
        <w:ind w:left="120"/>
      </w:pPr>
      <w:r>
        <w:rPr/>
        <w:t>（</w:t>
      </w:r>
      <w:r>
        <w:rPr>
          <w:rFonts w:ascii="Times New Roman" w:eastAsia="Times New Roman"/>
        </w:rPr>
        <w:t>2</w:t>
      </w:r>
      <w:r>
        <w:rPr/>
        <w:t>）矫正视力低于</w:t>
      </w:r>
      <w:r>
        <w:rPr>
          <w:rFonts w:ascii="Times New Roman" w:eastAsia="Times New Roman"/>
        </w:rPr>
        <w:t>0.02</w:t>
      </w:r>
      <w:r>
        <w:rPr/>
        <w:t>（采用国际标准视力表，如果使用其它视力表应进行换</w:t>
      </w:r>
    </w:p>
    <w:p>
      <w:pPr>
        <w:pStyle w:val="BodyText"/>
        <w:spacing w:before="177"/>
        <w:ind w:left="120"/>
      </w:pPr>
      <w:r>
        <w:rPr/>
        <w:t>算）；</w:t>
      </w:r>
    </w:p>
    <w:p>
      <w:pPr>
        <w:pStyle w:val="BodyText"/>
        <w:spacing w:before="9"/>
        <w:rPr>
          <w:sz w:val="14"/>
        </w:rPr>
      </w:pPr>
    </w:p>
    <w:p>
      <w:pPr>
        <w:pStyle w:val="BodyText"/>
        <w:ind w:left="120"/>
      </w:pPr>
      <w:r>
        <w:rPr/>
        <w:t>（</w:t>
      </w:r>
      <w:r>
        <w:rPr>
          <w:rFonts w:ascii="Times New Roman" w:eastAsia="Times New Roman"/>
        </w:rPr>
        <w:t>3</w:t>
      </w:r>
      <w:r>
        <w:rPr/>
        <w:t>）视野半径小于</w:t>
      </w:r>
      <w:r>
        <w:rPr>
          <w:rFonts w:ascii="Times New Roman" w:eastAsia="Times New Roman"/>
        </w:rPr>
        <w:t>5  </w:t>
      </w:r>
      <w:r>
        <w:rPr/>
        <w:t>度。</w:t>
      </w:r>
    </w:p>
    <w:p>
      <w:pPr>
        <w:spacing w:after="0"/>
        <w:sectPr>
          <w:pgSz w:w="11900" w:h="16840"/>
          <w:pgMar w:header="0" w:footer="968" w:top="1500" w:bottom="1160" w:left="1680" w:right="1680"/>
        </w:sectPr>
      </w:pPr>
    </w:p>
    <w:p>
      <w:pPr>
        <w:pStyle w:val="ListParagraph"/>
        <w:numPr>
          <w:ilvl w:val="0"/>
          <w:numId w:val="8"/>
        </w:numPr>
        <w:tabs>
          <w:tab w:pos="437" w:val="left" w:leader="none"/>
        </w:tabs>
        <w:spacing w:line="240" w:lineRule="auto" w:before="22" w:after="0"/>
        <w:ind w:left="436" w:right="0" w:hanging="316"/>
        <w:jc w:val="left"/>
        <w:rPr>
          <w:sz w:val="21"/>
        </w:rPr>
      </w:pPr>
      <w:r>
        <w:rPr>
          <w:spacing w:val="-3"/>
          <w:sz w:val="21"/>
        </w:rPr>
        <w:t>瘫痪</w:t>
      </w:r>
    </w:p>
    <w:p>
      <w:pPr>
        <w:pStyle w:val="BodyText"/>
        <w:spacing w:before="5"/>
        <w:rPr>
          <w:sz w:val="25"/>
        </w:rPr>
      </w:pPr>
    </w:p>
    <w:p>
      <w:pPr>
        <w:pStyle w:val="BodyText"/>
        <w:spacing w:line="398" w:lineRule="auto"/>
        <w:ind w:left="120" w:right="1063"/>
        <w:jc w:val="both"/>
      </w:pPr>
      <w:r>
        <w:rPr/>
        <w:t>指因疾病或意外伤害导致两肢或两肢以上肢体机能永久完全丧失。肢体机能永久完全丧失，指疾病确诊</w:t>
      </w:r>
      <w:r>
        <w:rPr>
          <w:rFonts w:ascii="Times New Roman" w:eastAsia="Times New Roman"/>
        </w:rPr>
        <w:t>180</w:t>
      </w:r>
      <w:r>
        <w:rPr/>
        <w:t>天后或意外伤害发生</w:t>
      </w:r>
      <w:r>
        <w:rPr>
          <w:rFonts w:ascii="Times New Roman" w:eastAsia="Times New Roman"/>
        </w:rPr>
        <w:t>180</w:t>
      </w:r>
      <w:r>
        <w:rPr/>
        <w:t>天后，每肢三大关节中的两大关节仍然完全僵硬，或不能随意识活动。</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54" w:after="0"/>
        <w:ind w:left="436" w:right="0" w:hanging="316"/>
        <w:jc w:val="left"/>
        <w:rPr>
          <w:sz w:val="21"/>
        </w:rPr>
      </w:pPr>
      <w:r>
        <w:rPr>
          <w:spacing w:val="-3"/>
          <w:sz w:val="21"/>
        </w:rPr>
        <w:t>严重脑损伤</w:t>
      </w:r>
    </w:p>
    <w:p>
      <w:pPr>
        <w:pStyle w:val="BodyText"/>
        <w:spacing w:before="5"/>
        <w:rPr>
          <w:sz w:val="25"/>
        </w:rPr>
      </w:pPr>
    </w:p>
    <w:p>
      <w:pPr>
        <w:pStyle w:val="BodyText"/>
        <w:spacing w:line="410" w:lineRule="auto"/>
        <w:ind w:left="151" w:right="925"/>
      </w:pPr>
      <w:r>
        <w:rPr/>
        <w:t>指因头部遭受机械性外力，引起脑重要部位损伤，导致神经系统永久性的功能 障碍。须由头颅断层扫描（</w:t>
      </w:r>
      <w:r>
        <w:rPr>
          <w:rFonts w:ascii="Times New Roman" w:eastAsia="Times New Roman"/>
        </w:rPr>
        <w:t>CT</w:t>
      </w:r>
      <w:r>
        <w:rPr/>
        <w:t>）、核磁共振检查（</w:t>
      </w:r>
      <w:r>
        <w:rPr>
          <w:rFonts w:ascii="Times New Roman" w:eastAsia="Times New Roman"/>
        </w:rPr>
        <w:t>MRI</w:t>
      </w:r>
      <w:r>
        <w:rPr/>
        <w:t>）或正电子发射断层扫描</w:t>
      </w:r>
    </w:p>
    <w:p>
      <w:pPr>
        <w:pStyle w:val="BodyText"/>
        <w:spacing w:before="11"/>
        <w:ind w:left="151"/>
        <w:jc w:val="both"/>
      </w:pPr>
      <w:r>
        <w:rPr/>
        <w:t>（</w:t>
      </w:r>
      <w:r>
        <w:rPr>
          <w:rFonts w:ascii="Times New Roman" w:eastAsia="Times New Roman"/>
        </w:rPr>
        <w:t>PET</w:t>
      </w:r>
      <w:r>
        <w:rPr/>
        <w:t>）等影像学检查证实。神经系统永久性的功能障碍，指脑损伤 </w:t>
      </w:r>
      <w:r>
        <w:rPr>
          <w:rFonts w:ascii="Times New Roman" w:eastAsia="Times New Roman"/>
        </w:rPr>
        <w:t>180  </w:t>
      </w:r>
      <w:r>
        <w:rPr/>
        <w:t>天后，</w:t>
      </w:r>
    </w:p>
    <w:p>
      <w:pPr>
        <w:pStyle w:val="BodyText"/>
        <w:spacing w:before="176"/>
        <w:ind w:left="151"/>
        <w:jc w:val="both"/>
      </w:pPr>
      <w:r>
        <w:rPr/>
        <w:t>仍遗留下列一种或一种以上障碍：</w:t>
      </w:r>
    </w:p>
    <w:p>
      <w:pPr>
        <w:pStyle w:val="BodyText"/>
        <w:spacing w:before="8"/>
        <w:rPr>
          <w:sz w:val="26"/>
        </w:rPr>
      </w:pPr>
    </w:p>
    <w:p>
      <w:pPr>
        <w:pStyle w:val="BodyText"/>
        <w:ind w:left="151"/>
        <w:jc w:val="both"/>
      </w:pPr>
      <w:r>
        <w:rPr/>
        <w:t>（</w:t>
      </w:r>
      <w:r>
        <w:rPr>
          <w:rFonts w:ascii="Times New Roman" w:eastAsia="Times New Roman"/>
        </w:rPr>
        <w:t>1</w:t>
      </w:r>
      <w:r>
        <w:rPr/>
        <w:t>）一肢或一肢以上肢体机能完全丧失；</w:t>
      </w:r>
    </w:p>
    <w:p>
      <w:pPr>
        <w:pStyle w:val="BodyText"/>
        <w:spacing w:before="5"/>
        <w:rPr>
          <w:sz w:val="25"/>
        </w:rPr>
      </w:pPr>
    </w:p>
    <w:p>
      <w:pPr>
        <w:pStyle w:val="BodyText"/>
        <w:ind w:left="151"/>
        <w:jc w:val="both"/>
      </w:pPr>
      <w:r>
        <w:rPr/>
        <w:t>（</w:t>
      </w:r>
      <w:r>
        <w:rPr>
          <w:rFonts w:ascii="Times New Roman" w:eastAsia="Times New Roman"/>
        </w:rPr>
        <w:t>2</w:t>
      </w:r>
      <w:r>
        <w:rPr/>
        <w:t>）语言能力或咀嚼吞咽能力完全丧失；</w:t>
      </w:r>
    </w:p>
    <w:p>
      <w:pPr>
        <w:pStyle w:val="BodyText"/>
        <w:spacing w:before="7"/>
        <w:rPr>
          <w:sz w:val="25"/>
        </w:rPr>
      </w:pPr>
    </w:p>
    <w:p>
      <w:pPr>
        <w:pStyle w:val="BodyText"/>
        <w:spacing w:line="386" w:lineRule="auto" w:before="1"/>
        <w:ind w:left="151" w:right="1138"/>
      </w:pPr>
      <w:r>
        <w:rPr/>
        <w:t>（</w:t>
      </w:r>
      <w:r>
        <w:rPr>
          <w:rFonts w:ascii="Times New Roman" w:eastAsia="Times New Roman"/>
        </w:rPr>
        <w:t>3</w:t>
      </w:r>
      <w:r>
        <w:rPr/>
        <w:t>）自主生活能力完全丧失，无法独立完成六项基本日常生活活动中的三项或三项以上。</w:t>
      </w:r>
    </w:p>
    <w:p>
      <w:pPr>
        <w:pStyle w:val="BodyText"/>
        <w:rPr>
          <w:sz w:val="20"/>
        </w:rPr>
      </w:pPr>
    </w:p>
    <w:p>
      <w:pPr>
        <w:pStyle w:val="BodyText"/>
        <w:rPr>
          <w:sz w:val="20"/>
        </w:rPr>
      </w:pPr>
    </w:p>
    <w:p>
      <w:pPr>
        <w:pStyle w:val="BodyText"/>
        <w:spacing w:before="7"/>
        <w:rPr>
          <w:sz w:val="24"/>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严重Ⅲ度烧伤</w:t>
      </w:r>
    </w:p>
    <w:p>
      <w:pPr>
        <w:pStyle w:val="BodyText"/>
        <w:spacing w:line="386" w:lineRule="auto" w:before="179"/>
        <w:ind w:left="120" w:right="1063"/>
      </w:pPr>
      <w:r>
        <w:rPr/>
        <w:t>指烧伤程度为Ⅲ度，且Ⅲ度烧伤的面积达到全身体表面积的</w:t>
      </w:r>
      <w:r>
        <w:rPr>
          <w:rFonts w:ascii="Times New Roman" w:hAnsi="Times New Roman" w:eastAsia="Times New Roman"/>
        </w:rPr>
        <w:t>20</w:t>
      </w:r>
      <w:r>
        <w:rPr/>
        <w:t>％或</w:t>
      </w:r>
      <w:r>
        <w:rPr>
          <w:rFonts w:ascii="Times New Roman" w:hAnsi="Times New Roman" w:eastAsia="Times New Roman"/>
        </w:rPr>
        <w:t>20</w:t>
      </w:r>
      <w:r>
        <w:rPr/>
        <w:t>％以上。体表面积根据《中国新九分法》计算。</w:t>
      </w:r>
    </w:p>
    <w:p>
      <w:pPr>
        <w:pStyle w:val="BodyText"/>
        <w:rPr>
          <w:sz w:val="20"/>
        </w:rPr>
      </w:pPr>
    </w:p>
    <w:p>
      <w:pPr>
        <w:pStyle w:val="BodyText"/>
        <w:spacing w:before="9"/>
        <w:rPr>
          <w:sz w:val="20"/>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严重原发性肺动脉高压</w:t>
      </w:r>
    </w:p>
    <w:p>
      <w:pPr>
        <w:pStyle w:val="BodyText"/>
        <w:spacing w:line="398" w:lineRule="auto" w:before="176"/>
        <w:ind w:left="120" w:right="1056"/>
        <w:jc w:val="both"/>
      </w:pPr>
      <w:r>
        <w:rPr/>
        <w:t>指不明原因的肺动脉压力持续性增高，进行性发展而导致的慢性疾病，已经造成永久不可逆性的体力活动能力受限，达到美国纽约心脏病学会心功能状态分级</w:t>
      </w:r>
      <w:r>
        <w:rPr>
          <w:rFonts w:ascii="Times New Roman" w:eastAsia="Times New Roman"/>
        </w:rPr>
        <w:t>IV </w:t>
      </w:r>
      <w:r>
        <w:rPr/>
        <w:t>级，且静息状态下肺动脉平均压超过</w:t>
      </w:r>
      <w:r>
        <w:rPr>
          <w:rFonts w:ascii="Times New Roman" w:eastAsia="Times New Roman"/>
        </w:rPr>
        <w:t>30mmHg</w:t>
      </w:r>
      <w:r>
        <w:rPr/>
        <w:t>。</w:t>
      </w:r>
    </w:p>
    <w:p>
      <w:pPr>
        <w:pStyle w:val="BodyText"/>
        <w:rPr>
          <w:sz w:val="22"/>
        </w:rPr>
      </w:pPr>
    </w:p>
    <w:p>
      <w:pPr>
        <w:pStyle w:val="BodyText"/>
        <w:spacing w:before="7"/>
        <w:rPr>
          <w:sz w:val="15"/>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严重运动神经元病</w:t>
      </w:r>
    </w:p>
    <w:p>
      <w:pPr>
        <w:pStyle w:val="BodyText"/>
        <w:spacing w:line="408" w:lineRule="auto" w:before="177"/>
        <w:ind w:left="120" w:right="1063"/>
      </w:pPr>
      <w:r>
        <w:rPr/>
        <w:t>是一组中枢神经系统运动神经元的进行性变性疾病，包括进行性脊肌萎缩症、进行性延髓麻痹症、原发性侧索硬化症、肌萎缩性侧索硬化症。须满足自主生活能</w:t>
      </w:r>
    </w:p>
    <w:p>
      <w:pPr>
        <w:spacing w:after="0" w:line="408" w:lineRule="auto"/>
        <w:sectPr>
          <w:pgSz w:w="11900" w:h="16840"/>
          <w:pgMar w:header="0" w:footer="968" w:top="1500" w:bottom="1160" w:left="1680" w:right="1680"/>
        </w:sectPr>
      </w:pPr>
    </w:p>
    <w:p>
      <w:pPr>
        <w:pStyle w:val="BodyText"/>
        <w:spacing w:before="22"/>
        <w:ind w:left="120"/>
      </w:pPr>
      <w:r>
        <w:rPr/>
        <w:t>力完全丧失，无法独立完成六项基本日常生活活动中的三项或三项以上的条件。</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37" w:after="0"/>
        <w:ind w:left="436" w:right="0" w:hanging="316"/>
        <w:jc w:val="left"/>
        <w:rPr>
          <w:sz w:val="21"/>
        </w:rPr>
      </w:pPr>
      <w:r>
        <w:rPr>
          <w:spacing w:val="-3"/>
          <w:sz w:val="21"/>
        </w:rPr>
        <w:t>语言能力丧失</w:t>
      </w:r>
      <w:r>
        <w:rPr>
          <w:rFonts w:ascii="Times New Roman" w:hAnsi="Times New Roman" w:eastAsia="Times New Roman"/>
          <w:sz w:val="21"/>
        </w:rPr>
        <w:t>——</w:t>
      </w:r>
      <w:r>
        <w:rPr>
          <w:spacing w:val="-2"/>
          <w:sz w:val="21"/>
        </w:rPr>
        <w:t>三岁始理赔</w:t>
      </w:r>
    </w:p>
    <w:p>
      <w:pPr>
        <w:pStyle w:val="BodyText"/>
        <w:spacing w:before="179"/>
        <w:ind w:left="120"/>
      </w:pPr>
      <w:r>
        <w:rPr/>
        <w:t>指因疾病或意外伤害导致完全丧失语言能力，经过积极治疗至少</w:t>
      </w:r>
      <w:r>
        <w:rPr>
          <w:rFonts w:ascii="Times New Roman" w:eastAsia="Times New Roman"/>
        </w:rPr>
        <w:t>12</w:t>
      </w:r>
      <w:r>
        <w:rPr/>
        <w:t>个月（声带完</w:t>
      </w:r>
    </w:p>
    <w:p>
      <w:pPr>
        <w:pStyle w:val="BodyText"/>
        <w:spacing w:line="408" w:lineRule="auto" w:before="176"/>
        <w:ind w:left="120" w:right="2953"/>
      </w:pPr>
      <w:r>
        <w:rPr/>
        <w:t>全切除不受此时间限制），仍无法通过现有医疗手段恢复。精神心理因素所致的语言能力丧失不在保障范围内。</w:t>
      </w:r>
    </w:p>
    <w:p>
      <w:pPr>
        <w:pStyle w:val="BodyText"/>
        <w:rPr>
          <w:sz w:val="20"/>
        </w:rPr>
      </w:pPr>
    </w:p>
    <w:p>
      <w:pPr>
        <w:pStyle w:val="BodyText"/>
        <w:spacing w:before="3"/>
        <w:rPr>
          <w:sz w:val="19"/>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重型再生障碍性贫血</w:t>
      </w:r>
    </w:p>
    <w:p>
      <w:pPr>
        <w:pStyle w:val="BodyText"/>
        <w:spacing w:before="179"/>
        <w:ind w:left="120"/>
      </w:pPr>
      <w:r>
        <w:rPr/>
        <w:t>指因骨髓造血功能慢性持续性衰竭导致的贫血、中性粒细胞减少及血小板减少。</w:t>
      </w:r>
    </w:p>
    <w:p>
      <w:pPr>
        <w:pStyle w:val="BodyText"/>
        <w:spacing w:before="9"/>
        <w:rPr>
          <w:sz w:val="14"/>
        </w:rPr>
      </w:pPr>
    </w:p>
    <w:p>
      <w:pPr>
        <w:pStyle w:val="BodyText"/>
        <w:ind w:left="120"/>
      </w:pPr>
      <w:r>
        <w:rPr/>
        <w:t>须满足下列全部条件：</w:t>
      </w:r>
    </w:p>
    <w:p>
      <w:pPr>
        <w:pStyle w:val="BodyText"/>
        <w:spacing w:before="9"/>
        <w:rPr>
          <w:sz w:val="14"/>
        </w:rPr>
      </w:pPr>
    </w:p>
    <w:p>
      <w:pPr>
        <w:pStyle w:val="BodyText"/>
        <w:ind w:left="120"/>
      </w:pPr>
      <w:r>
        <w:rPr/>
        <w:t>（</w:t>
      </w:r>
      <w:r>
        <w:rPr>
          <w:rFonts w:ascii="Times New Roman" w:eastAsia="Times New Roman"/>
        </w:rPr>
        <w:t>1</w:t>
      </w:r>
      <w:r>
        <w:rPr/>
        <w:t>）骨髓穿刺检查或骨髓活检结果支持诊断；</w:t>
      </w:r>
    </w:p>
    <w:p>
      <w:pPr>
        <w:pStyle w:val="BodyText"/>
        <w:spacing w:before="177"/>
        <w:ind w:left="120"/>
      </w:pPr>
      <w:r>
        <w:rPr/>
        <w:t>（</w:t>
      </w:r>
      <w:r>
        <w:rPr>
          <w:rFonts w:ascii="Times New Roman" w:eastAsia="Times New Roman"/>
        </w:rPr>
        <w:t>2</w:t>
      </w:r>
      <w:r>
        <w:rPr/>
        <w:t>）外周血象须具备以下三项条件：</w:t>
      </w:r>
    </w:p>
    <w:p>
      <w:pPr>
        <w:pStyle w:val="BodyText"/>
        <w:spacing w:before="177"/>
        <w:ind w:left="722"/>
      </w:pPr>
      <w:r>
        <w:rPr/>
        <w:t>① 中性粒细胞绝对值</w:t>
      </w:r>
      <w:r>
        <w:rPr>
          <w:rFonts w:ascii="Times New Roman" w:hAnsi="Times New Roman" w:eastAsia="Times New Roman"/>
        </w:rPr>
        <w:t>≤0.5×109/L  </w:t>
      </w:r>
      <w:r>
        <w:rPr/>
        <w:t>；</w:t>
      </w:r>
    </w:p>
    <w:p>
      <w:pPr>
        <w:pStyle w:val="BodyText"/>
        <w:spacing w:before="177"/>
        <w:ind w:left="722"/>
      </w:pPr>
      <w:r>
        <w:rPr/>
        <w:t>② 网织红细胞＜</w:t>
      </w:r>
      <w:r>
        <w:rPr>
          <w:rFonts w:ascii="Times New Roman" w:hAnsi="Times New Roman" w:eastAsia="Times New Roman"/>
        </w:rPr>
        <w:t>1%</w:t>
      </w:r>
      <w:r>
        <w:rPr/>
        <w:t>；</w:t>
      </w:r>
    </w:p>
    <w:p>
      <w:pPr>
        <w:pStyle w:val="BodyText"/>
        <w:spacing w:before="180"/>
        <w:ind w:left="722"/>
      </w:pPr>
      <w:r>
        <w:rPr/>
        <w:t>③ 血小板绝对值</w:t>
      </w:r>
      <w:r>
        <w:rPr>
          <w:rFonts w:ascii="Times New Roman" w:hAnsi="Times New Roman" w:eastAsia="Times New Roman"/>
        </w:rPr>
        <w:t>≤20×109/L</w:t>
      </w:r>
      <w:r>
        <w:rPr/>
        <w:t>。</w:t>
      </w:r>
    </w:p>
    <w:p>
      <w:pPr>
        <w:pStyle w:val="BodyText"/>
        <w:rPr>
          <w:sz w:val="22"/>
        </w:rPr>
      </w:pPr>
    </w:p>
    <w:p>
      <w:pPr>
        <w:pStyle w:val="BodyText"/>
        <w:spacing w:before="4"/>
        <w:rPr>
          <w:sz w:val="27"/>
        </w:rPr>
      </w:pPr>
    </w:p>
    <w:p>
      <w:pPr>
        <w:pStyle w:val="ListParagraph"/>
        <w:numPr>
          <w:ilvl w:val="0"/>
          <w:numId w:val="8"/>
        </w:numPr>
        <w:tabs>
          <w:tab w:pos="437" w:val="left" w:leader="none"/>
        </w:tabs>
        <w:spacing w:line="240" w:lineRule="auto" w:before="0" w:after="0"/>
        <w:ind w:left="436" w:right="0" w:hanging="316"/>
        <w:jc w:val="left"/>
        <w:rPr>
          <w:sz w:val="21"/>
        </w:rPr>
      </w:pPr>
      <w:r>
        <w:rPr>
          <w:spacing w:val="-2"/>
          <w:sz w:val="21"/>
        </w:rPr>
        <w:t>白血病</w:t>
      </w:r>
    </w:p>
    <w:p>
      <w:pPr>
        <w:pStyle w:val="BodyText"/>
        <w:spacing w:before="177"/>
        <w:ind w:left="120"/>
      </w:pPr>
      <w:r>
        <w:rPr/>
        <w:t>白血病是一种造血系统的恶性肿瘤，其主要表现为白血病细胞在骨髓或其他造血</w:t>
      </w:r>
    </w:p>
    <w:p>
      <w:pPr>
        <w:pStyle w:val="BodyText"/>
        <w:spacing w:before="9"/>
        <w:rPr>
          <w:sz w:val="14"/>
        </w:rPr>
      </w:pPr>
    </w:p>
    <w:p>
      <w:pPr>
        <w:pStyle w:val="BodyText"/>
        <w:spacing w:before="1"/>
        <w:ind w:left="120"/>
      </w:pPr>
      <w:r>
        <w:rPr/>
        <w:t>组织中进行性、失控制的异常增生，并浸润至其他组织与器官，</w:t>
      </w:r>
    </w:p>
    <w:p>
      <w:pPr>
        <w:pStyle w:val="BodyText"/>
        <w:spacing w:before="12"/>
        <w:rPr>
          <w:sz w:val="14"/>
        </w:rPr>
      </w:pPr>
    </w:p>
    <w:p>
      <w:pPr>
        <w:pStyle w:val="BodyText"/>
        <w:spacing w:line="408" w:lineRule="auto"/>
        <w:ind w:left="120" w:right="1063"/>
      </w:pPr>
      <w:r>
        <w:rPr/>
        <w:t>使正常血细胞生成减少，周围白细胞有质和量的变化，产生相应临床表现。被保险人所患白血病必须根据骨髓的活组织检查和周围血象由专科</w:t>
      </w:r>
    </w:p>
    <w:p>
      <w:pPr>
        <w:pStyle w:val="BodyText"/>
        <w:spacing w:before="45"/>
        <w:ind w:left="120"/>
      </w:pPr>
      <w:r>
        <w:rPr/>
        <w:t>（儿科、血液科或肿瘤科）医生确诊，并且至少已经接受了下列一项治疗：</w:t>
      </w:r>
    </w:p>
    <w:p>
      <w:pPr>
        <w:pStyle w:val="BodyText"/>
        <w:spacing w:before="9"/>
        <w:rPr>
          <w:sz w:val="14"/>
        </w:rPr>
      </w:pPr>
    </w:p>
    <w:p>
      <w:pPr>
        <w:pStyle w:val="ListParagraph"/>
        <w:numPr>
          <w:ilvl w:val="0"/>
          <w:numId w:val="9"/>
        </w:numPr>
        <w:tabs>
          <w:tab w:pos="401" w:val="left" w:leader="none"/>
        </w:tabs>
        <w:spacing w:line="240" w:lineRule="auto" w:before="0" w:after="0"/>
        <w:ind w:left="400" w:right="0" w:hanging="280"/>
        <w:jc w:val="left"/>
        <w:rPr>
          <w:sz w:val="21"/>
        </w:rPr>
      </w:pPr>
      <w:r>
        <w:rPr>
          <w:spacing w:val="-3"/>
          <w:sz w:val="21"/>
        </w:rPr>
        <w:t>化学治疗；</w:t>
      </w:r>
    </w:p>
    <w:p>
      <w:pPr>
        <w:pStyle w:val="ListParagraph"/>
        <w:numPr>
          <w:ilvl w:val="0"/>
          <w:numId w:val="9"/>
        </w:numPr>
        <w:tabs>
          <w:tab w:pos="401" w:val="left" w:leader="none"/>
        </w:tabs>
        <w:spacing w:line="240" w:lineRule="auto" w:before="179" w:after="0"/>
        <w:ind w:left="400" w:right="0" w:hanging="280"/>
        <w:jc w:val="left"/>
        <w:rPr>
          <w:sz w:val="21"/>
        </w:rPr>
      </w:pPr>
      <w:r>
        <w:rPr>
          <w:spacing w:val="-3"/>
          <w:sz w:val="21"/>
        </w:rPr>
        <w:t>骨髓移植。</w:t>
      </w:r>
    </w:p>
    <w:p>
      <w:pPr>
        <w:pStyle w:val="BodyText"/>
        <w:spacing w:before="174"/>
        <w:ind w:left="120"/>
      </w:pPr>
      <w:r>
        <w:rPr/>
        <w:t>下列白血病除外： 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rPr>
          <w:sz w:val="22"/>
        </w:rPr>
      </w:pPr>
    </w:p>
    <w:p>
      <w:pPr>
        <w:pStyle w:val="BodyText"/>
        <w:spacing w:before="5"/>
        <w:rPr>
          <w:sz w:val="27"/>
        </w:rPr>
      </w:pPr>
    </w:p>
    <w:p>
      <w:pPr>
        <w:pStyle w:val="ListParagraph"/>
        <w:numPr>
          <w:ilvl w:val="0"/>
          <w:numId w:val="8"/>
        </w:numPr>
        <w:tabs>
          <w:tab w:pos="437" w:val="left" w:leader="none"/>
        </w:tabs>
        <w:spacing w:line="240" w:lineRule="auto" w:before="1" w:after="0"/>
        <w:ind w:left="436" w:right="0" w:hanging="316"/>
        <w:jc w:val="left"/>
        <w:rPr>
          <w:sz w:val="21"/>
        </w:rPr>
      </w:pPr>
      <w:r>
        <w:rPr>
          <w:spacing w:val="-3"/>
          <w:sz w:val="21"/>
        </w:rPr>
        <w:t>严重的原发性心肌病</w:t>
      </w:r>
    </w:p>
    <w:p>
      <w:pPr>
        <w:pStyle w:val="BodyText"/>
        <w:spacing w:before="177"/>
        <w:ind w:left="120"/>
      </w:pPr>
      <w:r>
        <w:rPr/>
        <w:t>是指不明原因引起的一类心肌病变，包括原发性扩张型心肌病、原发性肥厚型心</w:t>
      </w:r>
    </w:p>
    <w:p>
      <w:pPr>
        <w:pStyle w:val="BodyText"/>
        <w:spacing w:before="9"/>
        <w:rPr>
          <w:sz w:val="14"/>
        </w:rPr>
      </w:pPr>
    </w:p>
    <w:p>
      <w:pPr>
        <w:pStyle w:val="BodyText"/>
        <w:ind w:left="120"/>
      </w:pPr>
      <w:r>
        <w:rPr/>
        <w:t>肌病及原发性限制型心肌病三种，病变必须已造成事实上心室功能障碍而出现明</w:t>
      </w:r>
    </w:p>
    <w:p>
      <w:pPr>
        <w:spacing w:after="0"/>
        <w:sectPr>
          <w:pgSz w:w="11900" w:h="16840"/>
          <w:pgMar w:header="0" w:footer="968" w:top="1500" w:bottom="1160" w:left="1680" w:right="1680"/>
        </w:sectPr>
      </w:pPr>
    </w:p>
    <w:p>
      <w:pPr>
        <w:pStyle w:val="BodyText"/>
        <w:spacing w:line="386" w:lineRule="auto" w:before="22"/>
        <w:ind w:left="120" w:right="1052"/>
      </w:pPr>
      <w:r>
        <w:rPr>
          <w:spacing w:val="-3"/>
        </w:rPr>
        <w:t>显的心功能衰竭，达到美国纽约心脏病协会心功能状态分级</w:t>
      </w:r>
      <w:r>
        <w:rPr>
          <w:rFonts w:ascii="Times New Roman" w:eastAsia="Times New Roman"/>
        </w:rPr>
        <w:t>IV</w:t>
      </w:r>
      <w:r>
        <w:rPr>
          <w:spacing w:val="-3"/>
        </w:rPr>
        <w:t>级，且有相关住院医疗记录显示</w:t>
      </w:r>
      <w:r>
        <w:rPr>
          <w:rFonts w:ascii="Times New Roman" w:eastAsia="Times New Roman"/>
        </w:rPr>
        <w:t>IV</w:t>
      </w:r>
      <w:r>
        <w:rPr>
          <w:spacing w:val="-3"/>
        </w:rPr>
        <w:t>级心功能状态持续至少</w:t>
      </w:r>
      <w:r>
        <w:rPr>
          <w:rFonts w:ascii="Times New Roman" w:eastAsia="Times New Roman"/>
        </w:rPr>
        <w:t>180</w:t>
      </w:r>
      <w:r>
        <w:rPr>
          <w:spacing w:val="-3"/>
        </w:rPr>
        <w:t>天。该疾病索赔时须要经专科医师做出明确诊断。继发于全身性疾病或其它器官系统疾病不属本保障范围。</w:t>
      </w:r>
    </w:p>
    <w:p>
      <w:pPr>
        <w:pStyle w:val="BodyText"/>
        <w:rPr>
          <w:sz w:val="20"/>
        </w:rPr>
      </w:pPr>
    </w:p>
    <w:p>
      <w:pPr>
        <w:pStyle w:val="BodyText"/>
        <w:spacing w:before="11"/>
        <w:rPr>
          <w:sz w:val="20"/>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严重肠胃炎</w:t>
      </w:r>
    </w:p>
    <w:p>
      <w:pPr>
        <w:pStyle w:val="BodyText"/>
        <w:spacing w:before="177"/>
        <w:ind w:left="120"/>
      </w:pPr>
      <w:r>
        <w:rPr/>
        <w:t>以严重的腹泻、便血和肠段坏死为特征的胃肠道严重感染。大肠或小肠的一处或</w:t>
      </w:r>
    </w:p>
    <w:p>
      <w:pPr>
        <w:pStyle w:val="BodyText"/>
        <w:spacing w:before="10"/>
        <w:rPr>
          <w:sz w:val="14"/>
        </w:rPr>
      </w:pPr>
    </w:p>
    <w:p>
      <w:pPr>
        <w:pStyle w:val="BodyText"/>
        <w:ind w:left="120"/>
      </w:pPr>
      <w:r>
        <w:rPr/>
        <w:t>多处需手术切除，且经病理检查证实存在严重感染和坏死。</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40" w:after="0"/>
        <w:ind w:left="436" w:right="0" w:hanging="316"/>
        <w:jc w:val="left"/>
        <w:rPr>
          <w:sz w:val="21"/>
        </w:rPr>
      </w:pPr>
      <w:r>
        <w:rPr>
          <w:spacing w:val="-3"/>
          <w:sz w:val="21"/>
        </w:rPr>
        <w:t>因输血感染艾滋病</w:t>
      </w:r>
    </w:p>
    <w:p>
      <w:pPr>
        <w:pStyle w:val="BodyText"/>
        <w:spacing w:before="177"/>
        <w:ind w:left="324"/>
      </w:pPr>
      <w:r>
        <w:rPr/>
        <w:t>被保险人感染上人类免疫缺陷病毒（</w:t>
      </w:r>
      <w:r>
        <w:rPr>
          <w:rFonts w:ascii="Times New Roman" w:eastAsia="Times New Roman"/>
        </w:rPr>
        <w:t>HIV</w:t>
      </w:r>
      <w:r>
        <w:rPr/>
        <w:t>）并且符合下列所有条件：</w:t>
      </w:r>
    </w:p>
    <w:p>
      <w:pPr>
        <w:pStyle w:val="BodyText"/>
        <w:spacing w:before="177"/>
        <w:ind w:left="120"/>
      </w:pPr>
      <w:r>
        <w:rPr/>
        <w:t>（</w:t>
      </w:r>
      <w:r>
        <w:rPr>
          <w:rFonts w:ascii="Times New Roman" w:eastAsia="Times New Roman"/>
        </w:rPr>
        <w:t>1</w:t>
      </w:r>
      <w:r>
        <w:rPr/>
        <w:t>）在保障起始日或复效日之后，被保险人因治疗必需而接受输血，并且因输</w:t>
      </w:r>
    </w:p>
    <w:p>
      <w:pPr>
        <w:pStyle w:val="BodyText"/>
        <w:spacing w:before="177"/>
        <w:ind w:left="120"/>
      </w:pPr>
      <w:r>
        <w:rPr/>
        <w:t>血而感染</w:t>
      </w:r>
      <w:r>
        <w:rPr>
          <w:rFonts w:ascii="Times New Roman" w:eastAsia="Times New Roman"/>
        </w:rPr>
        <w:t>HIV</w:t>
      </w:r>
      <w:r>
        <w:rPr/>
        <w:t>；</w:t>
      </w:r>
    </w:p>
    <w:p>
      <w:pPr>
        <w:pStyle w:val="BodyText"/>
        <w:spacing w:before="177"/>
        <w:ind w:left="120"/>
      </w:pPr>
      <w:r>
        <w:rPr/>
        <w:t>（</w:t>
      </w:r>
      <w:r>
        <w:rPr>
          <w:rFonts w:ascii="Times New Roman" w:eastAsia="Times New Roman"/>
        </w:rPr>
        <w:t>2</w:t>
      </w:r>
      <w:r>
        <w:rPr/>
        <w:t>） 提供输血治疗的输血中心或医院出具该项输血感染属医疗责任事故的报</w:t>
      </w:r>
    </w:p>
    <w:p>
      <w:pPr>
        <w:pStyle w:val="BodyText"/>
        <w:spacing w:before="177"/>
        <w:ind w:left="120"/>
      </w:pPr>
      <w:r>
        <w:rPr/>
        <w:t>告；</w:t>
      </w:r>
    </w:p>
    <w:p>
      <w:pPr>
        <w:pStyle w:val="BodyText"/>
        <w:spacing w:before="12"/>
        <w:rPr>
          <w:sz w:val="14"/>
        </w:rPr>
      </w:pPr>
    </w:p>
    <w:p>
      <w:pPr>
        <w:pStyle w:val="BodyText"/>
        <w:ind w:left="120"/>
      </w:pPr>
      <w:r>
        <w:rPr/>
        <w:t>（</w:t>
      </w:r>
      <w:r>
        <w:rPr>
          <w:rFonts w:ascii="Times New Roman" w:eastAsia="Times New Roman"/>
        </w:rPr>
        <w:t>3</w:t>
      </w:r>
      <w:r>
        <w:rPr/>
        <w:t>）提供输血治疗的输血中心或医院必须拥有合法经营执照；</w:t>
      </w:r>
    </w:p>
    <w:p>
      <w:pPr>
        <w:pStyle w:val="BodyText"/>
        <w:spacing w:before="177"/>
        <w:ind w:left="120"/>
      </w:pPr>
      <w:r>
        <w:rPr/>
        <w:t>（</w:t>
      </w:r>
      <w:r>
        <w:rPr>
          <w:rFonts w:ascii="Times New Roman" w:eastAsia="Times New Roman"/>
        </w:rPr>
        <w:t>4</w:t>
      </w:r>
      <w:r>
        <w:rPr/>
        <w:t>）受感染的被保险人不是血友病患者；</w:t>
      </w:r>
    </w:p>
    <w:p>
      <w:pPr>
        <w:pStyle w:val="BodyText"/>
        <w:spacing w:before="177"/>
        <w:ind w:left="120"/>
      </w:pPr>
      <w:r>
        <w:rPr/>
        <w:t>任何因其他传播方式（包括：性传播或静脉注射毒品）导致的</w:t>
      </w:r>
      <w:r>
        <w:rPr>
          <w:rFonts w:ascii="Times New Roman" w:eastAsia="Times New Roman"/>
        </w:rPr>
        <w:t>HIV</w:t>
      </w:r>
      <w:r>
        <w:rPr/>
        <w:t>感染不在本保</w:t>
      </w:r>
    </w:p>
    <w:p>
      <w:pPr>
        <w:pStyle w:val="BodyText"/>
        <w:spacing w:before="177"/>
        <w:ind w:left="120"/>
      </w:pPr>
      <w:r>
        <w:rPr/>
        <w:t>单保障范围内。</w:t>
      </w:r>
    </w:p>
    <w:p>
      <w:pPr>
        <w:pStyle w:val="BodyText"/>
        <w:rPr>
          <w:sz w:val="20"/>
        </w:rPr>
      </w:pPr>
    </w:p>
    <w:p>
      <w:pPr>
        <w:pStyle w:val="BodyText"/>
        <w:rPr>
          <w:sz w:val="20"/>
        </w:rPr>
      </w:pPr>
    </w:p>
    <w:p>
      <w:pPr>
        <w:pStyle w:val="ListParagraph"/>
        <w:numPr>
          <w:ilvl w:val="0"/>
          <w:numId w:val="8"/>
        </w:numPr>
        <w:tabs>
          <w:tab w:pos="437" w:val="left" w:leader="none"/>
        </w:tabs>
        <w:spacing w:line="240" w:lineRule="auto" w:before="140" w:after="0"/>
        <w:ind w:left="436" w:right="0" w:hanging="316"/>
        <w:jc w:val="left"/>
        <w:rPr>
          <w:sz w:val="21"/>
        </w:rPr>
      </w:pPr>
      <w:r>
        <w:rPr>
          <w:spacing w:val="-3"/>
          <w:sz w:val="21"/>
        </w:rPr>
        <w:t>急性脊髓灰质炎</w:t>
      </w:r>
    </w:p>
    <w:p>
      <w:pPr>
        <w:pStyle w:val="BodyText"/>
        <w:spacing w:line="408" w:lineRule="auto" w:before="177"/>
        <w:ind w:left="120" w:right="1063"/>
      </w:pPr>
      <w:r>
        <w:rPr>
          <w:spacing w:val="-3"/>
        </w:rPr>
        <w:t>是指由于脊髓灰质炎病毒感染所导致的运动功能障碍或呼吸功能减弱的瘫痪性 疾病。诊断必须由本公司认可的神经科专科主任医师确认并提供相关的脊髓灰质炎病毒感染的证据（例如：脑脊液检查或血清学抗体检查报告</w:t>
      </w:r>
      <w:r>
        <w:rPr/>
        <w:t>）</w:t>
      </w:r>
      <w:r>
        <w:rPr>
          <w:spacing w:val="-3"/>
        </w:rPr>
        <w:t>被保险人若无因此感染而导致的瘫痪，则不符合理赔条件。未导致肢体瘫痪及其它病因所致的瘫痪，例如格林一巴利综合症</w:t>
      </w:r>
      <w:r>
        <w:rPr>
          <w:rFonts w:ascii="Times New Roman" w:eastAsia="Times New Roman"/>
        </w:rPr>
        <w:t>(</w:t>
      </w:r>
      <w:r>
        <w:rPr>
          <w:spacing w:val="-3"/>
        </w:rPr>
        <w:t>急性感染性多神经炎</w:t>
      </w:r>
      <w:r>
        <w:rPr>
          <w:rFonts w:ascii="Times New Roman" w:eastAsia="Times New Roman"/>
        </w:rPr>
        <w:t>)</w:t>
      </w:r>
      <w:r>
        <w:rPr>
          <w:spacing w:val="-3"/>
        </w:rPr>
        <w:t>则不在此保障范围以内。</w:t>
      </w:r>
    </w:p>
    <w:p>
      <w:pPr>
        <w:pStyle w:val="BodyText"/>
        <w:rPr>
          <w:sz w:val="22"/>
        </w:rPr>
      </w:pPr>
    </w:p>
    <w:p>
      <w:pPr>
        <w:pStyle w:val="ListParagraph"/>
        <w:numPr>
          <w:ilvl w:val="0"/>
          <w:numId w:val="8"/>
        </w:numPr>
        <w:tabs>
          <w:tab w:pos="384" w:val="left" w:leader="none"/>
        </w:tabs>
        <w:spacing w:line="240" w:lineRule="auto" w:before="197" w:after="0"/>
        <w:ind w:left="384" w:right="0" w:hanging="264"/>
        <w:jc w:val="left"/>
        <w:rPr>
          <w:sz w:val="21"/>
        </w:rPr>
      </w:pPr>
      <w:r>
        <w:rPr>
          <w:rFonts w:ascii="Times New Roman" w:eastAsia="Times New Roman"/>
          <w:spacing w:val="-4"/>
          <w:sz w:val="21"/>
        </w:rPr>
        <w:t>I</w:t>
      </w:r>
      <w:r>
        <w:rPr>
          <w:sz w:val="21"/>
        </w:rPr>
        <w:t>型糖尿病</w:t>
      </w:r>
    </w:p>
    <w:p>
      <w:pPr>
        <w:pStyle w:val="BodyText"/>
        <w:spacing w:before="177"/>
        <w:ind w:left="120"/>
      </w:pPr>
      <w:r>
        <w:rPr/>
        <w:t>Ｉ型糖尿病为由于胰岛素分泌不足或胰岛素抵抗引起的慢性血糖升高，并需持续</w:t>
      </w:r>
    </w:p>
    <w:p>
      <w:pPr>
        <w:pStyle w:val="BodyText"/>
        <w:spacing w:before="9"/>
        <w:rPr>
          <w:sz w:val="14"/>
        </w:rPr>
      </w:pPr>
    </w:p>
    <w:p>
      <w:pPr>
        <w:pStyle w:val="BodyText"/>
        <w:ind w:left="120"/>
      </w:pPr>
      <w:r>
        <w:rPr/>
        <w:t>性地依赖外源性胰岛素维持生命６个月以上。</w:t>
      </w:r>
    </w:p>
    <w:p>
      <w:pPr>
        <w:spacing w:after="0"/>
        <w:sectPr>
          <w:pgSz w:w="11900" w:h="16840"/>
          <w:pgMar w:header="0" w:footer="968" w:top="1500" w:bottom="1160" w:left="1680" w:right="1680"/>
        </w:sectPr>
      </w:pPr>
    </w:p>
    <w:p>
      <w:pPr>
        <w:pStyle w:val="BodyText"/>
        <w:spacing w:before="7"/>
        <w:rPr>
          <w:sz w:val="26"/>
        </w:rPr>
      </w:pPr>
    </w:p>
    <w:p>
      <w:pPr>
        <w:pStyle w:val="ListParagraph"/>
        <w:numPr>
          <w:ilvl w:val="0"/>
          <w:numId w:val="8"/>
        </w:numPr>
        <w:tabs>
          <w:tab w:pos="437" w:val="left" w:leader="none"/>
        </w:tabs>
        <w:spacing w:line="240" w:lineRule="auto" w:before="43" w:after="0"/>
        <w:ind w:left="436" w:right="0" w:hanging="316"/>
        <w:jc w:val="left"/>
        <w:rPr>
          <w:sz w:val="21"/>
        </w:rPr>
      </w:pPr>
      <w:r>
        <w:rPr>
          <w:spacing w:val="-3"/>
          <w:sz w:val="21"/>
        </w:rPr>
        <w:t>严重川崎病</w:t>
      </w:r>
    </w:p>
    <w:p>
      <w:pPr>
        <w:pStyle w:val="BodyText"/>
        <w:spacing w:before="177"/>
        <w:ind w:left="120"/>
      </w:pPr>
      <w:r>
        <w:rPr/>
        <w:t>川崎病为一种病因不明的系统性血管炎。</w:t>
      </w:r>
    </w:p>
    <w:p>
      <w:pPr>
        <w:pStyle w:val="BodyText"/>
        <w:spacing w:before="12"/>
        <w:rPr>
          <w:sz w:val="14"/>
        </w:rPr>
      </w:pPr>
    </w:p>
    <w:p>
      <w:pPr>
        <w:pStyle w:val="BodyText"/>
        <w:ind w:left="120"/>
      </w:pPr>
      <w:r>
        <w:rPr/>
        <w:t>本保单仅对诊断性检查证实川崎病并发动脉瘤或其他心血管异常并且实际接受</w:t>
      </w:r>
    </w:p>
    <w:p>
      <w:pPr>
        <w:pStyle w:val="BodyText"/>
        <w:spacing w:before="9"/>
        <w:rPr>
          <w:sz w:val="14"/>
        </w:rPr>
      </w:pPr>
    </w:p>
    <w:p>
      <w:pPr>
        <w:pStyle w:val="BodyText"/>
        <w:ind w:left="120"/>
      </w:pPr>
      <w:r>
        <w:rPr/>
        <w:t>了手术治疗的情况予以理赔。</w:t>
      </w:r>
    </w:p>
    <w:p>
      <w:pPr>
        <w:pStyle w:val="BodyText"/>
        <w:rPr>
          <w:sz w:val="20"/>
        </w:rPr>
      </w:pPr>
    </w:p>
    <w:p>
      <w:pPr>
        <w:pStyle w:val="BodyText"/>
        <w:rPr>
          <w:sz w:val="20"/>
        </w:rPr>
      </w:pPr>
    </w:p>
    <w:p>
      <w:pPr>
        <w:pStyle w:val="BodyText"/>
        <w:spacing w:line="398" w:lineRule="auto" w:before="137"/>
        <w:ind w:left="120" w:right="1172" w:firstLine="484"/>
        <w:jc w:val="both"/>
      </w:pPr>
      <w:r>
        <w:rPr/>
        <w:t>被保险人发生符合以上疾病定义所述条件的疾病，应当由专科医生明确诊断。第</w:t>
      </w:r>
      <w:r>
        <w:rPr>
          <w:rFonts w:ascii="Times New Roman" w:eastAsia="Times New Roman"/>
        </w:rPr>
        <w:t>1</w:t>
      </w:r>
      <w:r>
        <w:rPr/>
        <w:t>至第</w:t>
      </w:r>
      <w:r>
        <w:rPr>
          <w:rFonts w:ascii="Times New Roman" w:eastAsia="Times New Roman"/>
        </w:rPr>
        <w:t>17</w:t>
      </w:r>
      <w:r>
        <w:rPr/>
        <w:t>项为中国保险行业协会与中国医师协会共同制定的重大疾病保险的疾病定义，第</w:t>
      </w:r>
      <w:r>
        <w:rPr>
          <w:rFonts w:ascii="Times New Roman" w:eastAsia="Times New Roman"/>
        </w:rPr>
        <w:t>18</w:t>
      </w:r>
      <w:r>
        <w:rPr/>
        <w:t>至第</w:t>
      </w:r>
      <w:r>
        <w:rPr>
          <w:rFonts w:ascii="Times New Roman" w:eastAsia="Times New Roman"/>
        </w:rPr>
        <w:t>24</w:t>
      </w:r>
      <w:r>
        <w:rPr/>
        <w:t>项为我公司增加的疾病种类并自行制定的疾病定义。</w:t>
      </w:r>
    </w:p>
    <w:p>
      <w:pPr>
        <w:pStyle w:val="BodyText"/>
        <w:rPr>
          <w:sz w:val="22"/>
        </w:rPr>
      </w:pPr>
    </w:p>
    <w:p>
      <w:pPr>
        <w:pStyle w:val="BodyText"/>
        <w:spacing w:before="6"/>
        <w:rPr>
          <w:sz w:val="27"/>
        </w:rPr>
      </w:pPr>
    </w:p>
    <w:p>
      <w:pPr>
        <w:pStyle w:val="BodyText"/>
        <w:ind w:left="120"/>
      </w:pPr>
      <w:r>
        <w:rPr/>
        <w:t>※ 本释义中所提及的术语，其解释如下：</w:t>
      </w:r>
    </w:p>
    <w:p>
      <w:pPr>
        <w:pStyle w:val="BodyText"/>
        <w:spacing w:before="8"/>
        <w:rPr>
          <w:sz w:val="26"/>
        </w:rPr>
      </w:pPr>
    </w:p>
    <w:p>
      <w:pPr>
        <w:pStyle w:val="ListParagraph"/>
        <w:numPr>
          <w:ilvl w:val="0"/>
          <w:numId w:val="10"/>
        </w:numPr>
        <w:tabs>
          <w:tab w:pos="279" w:val="left" w:leader="none"/>
        </w:tabs>
        <w:spacing w:line="240" w:lineRule="auto" w:before="0" w:after="0"/>
        <w:ind w:left="278" w:right="0" w:hanging="158"/>
        <w:jc w:val="left"/>
        <w:rPr>
          <w:sz w:val="21"/>
        </w:rPr>
      </w:pPr>
      <w:r>
        <w:rPr>
          <w:rFonts w:ascii="Times New Roman" w:eastAsia="Times New Roman"/>
          <w:sz w:val="21"/>
        </w:rPr>
        <w:t>.</w:t>
      </w:r>
      <w:r>
        <w:rPr>
          <w:spacing w:val="-3"/>
          <w:sz w:val="21"/>
        </w:rPr>
        <w:t>六项基本日常生活活动</w:t>
      </w:r>
    </w:p>
    <w:p>
      <w:pPr>
        <w:pStyle w:val="BodyText"/>
        <w:spacing w:line="386" w:lineRule="auto" w:before="176"/>
        <w:ind w:left="120" w:right="958"/>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35"/>
        <w:ind w:left="120"/>
      </w:pPr>
      <w:r>
        <w:rPr/>
        <w:t>（</w:t>
      </w:r>
      <w:r>
        <w:rPr>
          <w:rFonts w:ascii="Times New Roman" w:eastAsia="Times New Roman"/>
        </w:rPr>
        <w:t>6</w:t>
      </w:r>
      <w:r>
        <w:rPr/>
        <w:t>）洗澡：自己进行淋浴或盆浴。</w:t>
      </w:r>
    </w:p>
    <w:p>
      <w:pPr>
        <w:pStyle w:val="ListParagraph"/>
        <w:numPr>
          <w:ilvl w:val="0"/>
          <w:numId w:val="10"/>
        </w:numPr>
        <w:tabs>
          <w:tab w:pos="279" w:val="left" w:leader="none"/>
        </w:tabs>
        <w:spacing w:line="240" w:lineRule="auto" w:before="177" w:after="0"/>
        <w:ind w:left="278" w:right="0" w:hanging="158"/>
        <w:jc w:val="left"/>
        <w:rPr>
          <w:sz w:val="21"/>
        </w:rPr>
      </w:pPr>
      <w:r>
        <w:rPr>
          <w:rFonts w:ascii="Times New Roman" w:eastAsia="Times New Roman"/>
          <w:sz w:val="21"/>
        </w:rPr>
        <w:t>.</w:t>
      </w:r>
      <w:r>
        <w:rPr>
          <w:spacing w:val="-3"/>
          <w:sz w:val="21"/>
        </w:rPr>
        <w:t>肢体机能完全丧失</w:t>
      </w:r>
    </w:p>
    <w:p>
      <w:pPr>
        <w:pStyle w:val="BodyText"/>
        <w:spacing w:line="410" w:lineRule="auto" w:before="177"/>
        <w:ind w:left="120" w:right="1063"/>
      </w:pPr>
      <w:r>
        <w:rPr/>
        <w:t>指肢体的三大关节中的两大关节僵硬，或不能随意识活动。肢体是指包括肩关节的整个上肢或包括髋关节的整个下肢。</w:t>
      </w:r>
    </w:p>
    <w:p>
      <w:pPr>
        <w:pStyle w:val="ListParagraph"/>
        <w:numPr>
          <w:ilvl w:val="0"/>
          <w:numId w:val="11"/>
        </w:numPr>
        <w:tabs>
          <w:tab w:pos="384" w:val="left" w:leader="none"/>
        </w:tabs>
        <w:spacing w:line="240" w:lineRule="auto" w:before="44" w:after="0"/>
        <w:ind w:left="384" w:right="0" w:hanging="264"/>
        <w:jc w:val="left"/>
        <w:rPr>
          <w:sz w:val="21"/>
        </w:rPr>
      </w:pPr>
      <w:r>
        <w:rPr>
          <w:spacing w:val="-3"/>
          <w:sz w:val="21"/>
        </w:rPr>
        <w:t>语言能力或咀嚼吞咽能力完全丧失</w:t>
      </w:r>
    </w:p>
    <w:p>
      <w:pPr>
        <w:pStyle w:val="BodyText"/>
        <w:spacing w:line="410" w:lineRule="auto" w:before="177"/>
        <w:ind w:left="120" w:right="1063"/>
      </w:pPr>
      <w:r>
        <w:rPr>
          <w:spacing w:val="-3"/>
        </w:rPr>
        <w:t>语言能力完全丧失，指无法发出四种语音</w:t>
      </w:r>
      <w:r>
        <w:rPr/>
        <w:t>（</w:t>
      </w:r>
      <w:r>
        <w:rPr>
          <w:spacing w:val="-3"/>
        </w:rPr>
        <w:t>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ListParagraph"/>
        <w:numPr>
          <w:ilvl w:val="0"/>
          <w:numId w:val="11"/>
        </w:numPr>
        <w:tabs>
          <w:tab w:pos="384" w:val="left" w:leader="none"/>
        </w:tabs>
        <w:spacing w:line="240" w:lineRule="auto" w:before="44" w:after="0"/>
        <w:ind w:left="384" w:right="0" w:hanging="264"/>
        <w:jc w:val="left"/>
        <w:rPr>
          <w:sz w:val="21"/>
        </w:rPr>
      </w:pPr>
      <w:r>
        <w:rPr>
          <w:spacing w:val="-3"/>
          <w:sz w:val="21"/>
        </w:rPr>
        <w:t>永久不可逆</w:t>
      </w:r>
    </w:p>
    <w:p>
      <w:pPr>
        <w:pStyle w:val="BodyText"/>
        <w:spacing w:before="177"/>
        <w:ind w:left="120"/>
      </w:pPr>
      <w:r>
        <w:rPr/>
        <w:t>指自疾病确诊或意外伤害发生之日起，经过积极治疗</w:t>
      </w:r>
      <w:r>
        <w:rPr>
          <w:rFonts w:ascii="Times New Roman" w:eastAsia="Times New Roman"/>
        </w:rPr>
        <w:t>180  </w:t>
      </w:r>
      <w:r>
        <w:rPr/>
        <w:t>天后，仍无法通过现有</w:t>
      </w:r>
    </w:p>
    <w:p>
      <w:pPr>
        <w:pStyle w:val="BodyText"/>
        <w:spacing w:before="177"/>
        <w:ind w:left="120"/>
      </w:pPr>
      <w:r>
        <w:rPr/>
        <w:t>医疗手段恢复。</w:t>
      </w:r>
    </w:p>
    <w:p>
      <w:pPr>
        <w:pStyle w:val="BodyText"/>
        <w:spacing w:before="9"/>
        <w:rPr>
          <w:sz w:val="14"/>
        </w:rPr>
      </w:pPr>
    </w:p>
    <w:p>
      <w:pPr>
        <w:pStyle w:val="BodyText"/>
        <w:spacing w:before="1"/>
        <w:ind w:left="120"/>
      </w:pPr>
      <w:r>
        <w:rPr>
          <w:rFonts w:ascii="Times New Roman" w:eastAsia="Times New Roman"/>
        </w:rPr>
        <w:t>5.</w:t>
      </w:r>
      <w:r>
        <w:rPr/>
        <w:t>专科医生</w:t>
      </w:r>
    </w:p>
    <w:p>
      <w:pPr>
        <w:pStyle w:val="BodyText"/>
        <w:spacing w:before="177"/>
        <w:ind w:left="120"/>
      </w:pPr>
      <w:r>
        <w:rPr/>
        <w:t>专科医生应当同时满足以下四项资格条件：（</w:t>
      </w:r>
      <w:r>
        <w:rPr>
          <w:rFonts w:ascii="Times New Roman" w:eastAsia="Times New Roman"/>
        </w:rPr>
        <w:t>1</w:t>
      </w:r>
      <w:r>
        <w:rPr/>
        <w:t>）具有有效的中华人民共和国《医</w:t>
      </w:r>
    </w:p>
    <w:p>
      <w:pPr>
        <w:spacing w:after="0"/>
        <w:sectPr>
          <w:pgSz w:w="11900" w:h="16840"/>
          <w:pgMar w:header="0" w:footer="968" w:top="1600" w:bottom="1160" w:left="1680" w:right="1680"/>
        </w:sectPr>
      </w:pPr>
    </w:p>
    <w:p>
      <w:pPr>
        <w:pStyle w:val="BodyText"/>
        <w:spacing w:line="386" w:lineRule="auto" w:before="22"/>
        <w:ind w:left="120" w:right="1171"/>
        <w:jc w:val="both"/>
      </w:pPr>
      <w:r>
        <w:rPr/>
        <w:t>师资格证书》；（</w:t>
      </w:r>
      <w:r>
        <w:rPr>
          <w:rFonts w:ascii="Times New Roman" w:eastAsia="Times New Roman"/>
        </w:rPr>
        <w:t>2</w:t>
      </w:r>
      <w:r>
        <w:rPr/>
        <w:t>）具有有效的中华人民共和国《医师执业证书》，并按期到相关部门登记注册；（</w:t>
      </w:r>
      <w:r>
        <w:rPr>
          <w:rFonts w:ascii="Times New Roman" w:eastAsia="Times New Roman"/>
        </w:rPr>
        <w:t>3</w:t>
      </w:r>
      <w:r>
        <w:rPr/>
        <w:t>）具有有效的中华人民共和国主治医师或主治医师以上职称的《医师职称证书》；（</w:t>
      </w:r>
      <w:r>
        <w:rPr>
          <w:rFonts w:ascii="Times New Roman" w:eastAsia="Times New Roman"/>
        </w:rPr>
        <w:t>4</w:t>
      </w:r>
      <w:r>
        <w:rPr/>
        <w:t>）在二级或二级以上医院的相应科室从事临床工作三年以上。</w:t>
      </w:r>
    </w:p>
    <w:p>
      <w:pPr>
        <w:pStyle w:val="ListParagraph"/>
        <w:numPr>
          <w:ilvl w:val="0"/>
          <w:numId w:val="12"/>
        </w:numPr>
        <w:tabs>
          <w:tab w:pos="384" w:val="left" w:leader="none"/>
        </w:tabs>
        <w:spacing w:line="240" w:lineRule="auto" w:before="64" w:after="0"/>
        <w:ind w:left="384" w:right="0" w:hanging="264"/>
        <w:jc w:val="left"/>
        <w:rPr>
          <w:sz w:val="21"/>
        </w:rPr>
      </w:pPr>
      <w:r>
        <w:rPr>
          <w:spacing w:val="-3"/>
          <w:sz w:val="21"/>
        </w:rPr>
        <w:t>感染艾滋病病毒或患艾滋病</w:t>
      </w:r>
    </w:p>
    <w:p>
      <w:pPr>
        <w:pStyle w:val="BodyText"/>
        <w:spacing w:line="393" w:lineRule="auto" w:before="177"/>
        <w:ind w:left="120" w:right="850"/>
      </w:pPr>
      <w:r>
        <w:rPr>
          <w:spacing w:val="-3"/>
        </w:rPr>
        <w:t>艾滋病病毒指人类免疫缺陷病毒，英文缩写为</w:t>
      </w:r>
      <w:r>
        <w:rPr>
          <w:rFonts w:ascii="Times New Roman" w:eastAsia="Times New Roman"/>
          <w:spacing w:val="-2"/>
        </w:rPr>
        <w:t>HIV</w:t>
      </w:r>
      <w:r>
        <w:rPr>
          <w:spacing w:val="-3"/>
        </w:rPr>
        <w:t>。艾滋病指人类免疫缺陷病毒 引起的获得性免疫缺陷综合征，英文缩写为</w:t>
      </w:r>
      <w:r>
        <w:rPr>
          <w:rFonts w:ascii="Times New Roman" w:eastAsia="Times New Roman"/>
        </w:rPr>
        <w:t>AIDS</w:t>
      </w:r>
      <w:r>
        <w:rPr>
          <w:spacing w:val="-3"/>
        </w:rPr>
        <w:t>。在人体血液或其它样本中检测到艾滋病病毒或其抗体呈阳性，没有出现临床症状或体征的，为感染艾滋病病毒； 如果同时出现了明显临床症状或体征的，为患艾滋病。</w:t>
      </w:r>
    </w:p>
    <w:p>
      <w:pPr>
        <w:pStyle w:val="ListParagraph"/>
        <w:numPr>
          <w:ilvl w:val="0"/>
          <w:numId w:val="12"/>
        </w:numPr>
        <w:tabs>
          <w:tab w:pos="384" w:val="left" w:leader="none"/>
        </w:tabs>
        <w:spacing w:line="240" w:lineRule="auto" w:before="59" w:after="0"/>
        <w:ind w:left="384" w:right="0" w:hanging="264"/>
        <w:jc w:val="left"/>
        <w:rPr>
          <w:sz w:val="21"/>
        </w:rPr>
      </w:pPr>
      <w:r>
        <w:rPr>
          <w:spacing w:val="-3"/>
          <w:sz w:val="21"/>
        </w:rPr>
        <w:t>遗传性疾病</w:t>
      </w:r>
    </w:p>
    <w:p>
      <w:pPr>
        <w:pStyle w:val="BodyText"/>
        <w:spacing w:line="408" w:lineRule="auto" w:before="177"/>
        <w:ind w:left="120" w:right="850"/>
      </w:pPr>
      <w:r>
        <w:rPr/>
        <w:t>指生殖细胞或受精卵的遗传物质（染色体和基因）发生突变或畸变所引起的疾病， 通常具有由亲代传至后代的垂直传递的特征。</w:t>
      </w:r>
    </w:p>
    <w:p>
      <w:pPr>
        <w:pStyle w:val="ListParagraph"/>
        <w:numPr>
          <w:ilvl w:val="0"/>
          <w:numId w:val="12"/>
        </w:numPr>
        <w:tabs>
          <w:tab w:pos="384" w:val="left" w:leader="none"/>
        </w:tabs>
        <w:spacing w:line="240" w:lineRule="auto" w:before="45" w:after="0"/>
        <w:ind w:left="384" w:right="0" w:hanging="264"/>
        <w:jc w:val="left"/>
        <w:rPr>
          <w:sz w:val="21"/>
        </w:rPr>
      </w:pPr>
      <w:r>
        <w:rPr>
          <w:spacing w:val="-3"/>
          <w:sz w:val="21"/>
        </w:rPr>
        <w:t>先天性畸形、变形或染色体异常</w:t>
      </w:r>
    </w:p>
    <w:p>
      <w:pPr>
        <w:pStyle w:val="BodyText"/>
        <w:spacing w:line="398" w:lineRule="auto" w:before="176"/>
        <w:ind w:left="120" w:right="1052"/>
        <w:jc w:val="both"/>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398" w:lineRule="auto"/>
        <w:jc w:val="both"/>
        <w:sectPr>
          <w:pgSz w:w="11900" w:h="16840"/>
          <w:pgMar w:header="0" w:footer="968" w:top="1500" w:bottom="1160" w:left="1680" w:right="1680"/>
        </w:sectPr>
      </w:pPr>
    </w:p>
    <w:p>
      <w:pPr>
        <w:pStyle w:val="Heading3"/>
      </w:pPr>
      <w:r>
        <w:rPr/>
        <w:t>附件</w:t>
      </w:r>
    </w:p>
    <w:p>
      <w:pPr>
        <w:pStyle w:val="BodyText"/>
        <w:spacing w:before="3"/>
        <w:rPr>
          <w:sz w:val="19"/>
        </w:rPr>
      </w:pPr>
    </w:p>
    <w:p>
      <w:pPr>
        <w:spacing w:before="18"/>
        <w:ind w:left="1413" w:right="0" w:firstLine="0"/>
        <w:jc w:val="left"/>
        <w:rPr>
          <w:sz w:val="27"/>
        </w:rPr>
      </w:pPr>
      <w:r>
        <w:rPr>
          <w:sz w:val="27"/>
        </w:rPr>
        <w:t>瑞泰附加瑞麟少儿重大疾病保险产品费率表</w:t>
      </w:r>
    </w:p>
    <w:p>
      <w:pPr>
        <w:pStyle w:val="BodyText"/>
        <w:spacing w:before="8"/>
        <w:rPr>
          <w:sz w:val="11"/>
        </w:rPr>
      </w:pPr>
    </w:p>
    <w:p>
      <w:pPr>
        <w:spacing w:after="0"/>
        <w:rPr>
          <w:sz w:val="11"/>
        </w:rPr>
        <w:sectPr>
          <w:footerReference w:type="default" r:id="rId8"/>
          <w:pgSz w:w="11900" w:h="16840"/>
          <w:pgMar w:footer="0" w:header="0" w:top="1560" w:bottom="280" w:left="1680" w:right="1680"/>
        </w:sectPr>
      </w:pPr>
    </w:p>
    <w:p>
      <w:pPr>
        <w:pStyle w:val="BodyText"/>
        <w:spacing w:before="10"/>
        <w:rPr>
          <w:sz w:val="28"/>
        </w:rPr>
      </w:pPr>
    </w:p>
    <w:p>
      <w:pPr>
        <w:spacing w:before="1"/>
        <w:ind w:left="1058" w:right="0" w:firstLine="0"/>
        <w:jc w:val="left"/>
        <w:rPr>
          <w:sz w:val="19"/>
        </w:rPr>
      </w:pPr>
      <w:r>
        <w:rPr>
          <w:sz w:val="19"/>
        </w:rPr>
        <w:t>（单位</w:t>
      </w:r>
      <w:r>
        <w:rPr>
          <w:rFonts w:ascii="Times New Roman" w:eastAsia="Times New Roman"/>
          <w:sz w:val="19"/>
        </w:rPr>
        <w:t>: </w:t>
      </w:r>
      <w:r>
        <w:rPr>
          <w:sz w:val="19"/>
        </w:rPr>
        <w:t>人民币）</w:t>
      </w:r>
    </w:p>
    <w:p>
      <w:pPr>
        <w:spacing w:before="41"/>
        <w:ind w:left="1058" w:right="0" w:firstLine="0"/>
        <w:jc w:val="left"/>
        <w:rPr>
          <w:sz w:val="19"/>
        </w:rPr>
      </w:pPr>
      <w:r>
        <w:rPr/>
        <w:br w:type="column"/>
      </w:r>
      <w:r>
        <w:rPr>
          <w:w w:val="95"/>
          <w:sz w:val="19"/>
        </w:rPr>
        <w:t>月度保险费</w:t>
      </w:r>
    </w:p>
    <w:p>
      <w:pPr>
        <w:pStyle w:val="BodyText"/>
        <w:spacing w:before="10"/>
        <w:rPr>
          <w:sz w:val="28"/>
        </w:rPr>
      </w:pPr>
      <w:r>
        <w:rPr/>
        <w:br w:type="column"/>
      </w:r>
      <w:r>
        <w:rPr>
          <w:sz w:val="28"/>
        </w:rPr>
      </w:r>
    </w:p>
    <w:p>
      <w:pPr>
        <w:spacing w:before="1"/>
        <w:ind w:left="857" w:right="0" w:firstLine="0"/>
        <w:jc w:val="left"/>
        <w:rPr>
          <w:sz w:val="19"/>
        </w:rPr>
      </w:pPr>
      <w:r>
        <w:rPr>
          <w:sz w:val="19"/>
        </w:rPr>
        <w:t>每 </w:t>
      </w:r>
      <w:r>
        <w:rPr>
          <w:rFonts w:ascii="Times New Roman" w:eastAsia="Times New Roman"/>
          <w:sz w:val="19"/>
        </w:rPr>
        <w:t>1,000 </w:t>
      </w:r>
      <w:r>
        <w:rPr>
          <w:sz w:val="19"/>
        </w:rPr>
        <w:t>元保险金额</w:t>
      </w:r>
    </w:p>
    <w:p>
      <w:pPr>
        <w:spacing w:after="0"/>
        <w:jc w:val="left"/>
        <w:rPr>
          <w:sz w:val="19"/>
        </w:rPr>
        <w:sectPr>
          <w:type w:val="continuous"/>
          <w:pgSz w:w="11900" w:h="16840"/>
          <w:pgMar w:top="1600" w:bottom="1160" w:left="1680" w:right="1680"/>
          <w:cols w:num="3" w:equalWidth="0">
            <w:col w:w="2535" w:space="158"/>
            <w:col w:w="2007" w:space="39"/>
            <w:col w:w="3801"/>
          </w:cols>
        </w:sectPr>
      </w:pPr>
    </w:p>
    <w:p>
      <w:pPr>
        <w:pStyle w:val="BodyText"/>
        <w:spacing w:before="11" w:after="1"/>
        <w:rPr>
          <w:sz w:val="9"/>
        </w:rPr>
      </w:pPr>
      <w:r>
        <w:rPr/>
        <w:drawing>
          <wp:anchor distT="0" distB="0" distL="0" distR="0" allowOverlap="1" layoutInCell="1" locked="0" behindDoc="1" simplePos="0" relativeHeight="268414655">
            <wp:simplePos x="0" y="0"/>
            <wp:positionH relativeFrom="page">
              <wp:posOffset>228600</wp:posOffset>
            </wp:positionH>
            <wp:positionV relativeFrom="page">
              <wp:posOffset>229615</wp:posOffset>
            </wp:positionV>
            <wp:extent cx="7103364" cy="1023518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7103364" cy="10235184"/>
                    </a:xfrm>
                    <a:prstGeom prst="rect">
                      <a:avLst/>
                    </a:prstGeom>
                  </pic:spPr>
                </pic:pic>
              </a:graphicData>
            </a:graphic>
          </wp:anchor>
        </w:drawing>
      </w:r>
    </w:p>
    <w:tbl>
      <w:tblPr>
        <w:tblW w:w="0" w:type="auto"/>
        <w:jc w:val="left"/>
        <w:tblInd w:w="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189"/>
        <w:gridCol w:w="1309"/>
        <w:gridCol w:w="1242"/>
        <w:gridCol w:w="1188"/>
        <w:gridCol w:w="866"/>
      </w:tblGrid>
      <w:tr>
        <w:trPr>
          <w:trHeight w:val="268" w:hRule="atLeast"/>
        </w:trPr>
        <w:tc>
          <w:tcPr>
            <w:tcW w:w="800" w:type="dxa"/>
          </w:tcPr>
          <w:p>
            <w:pPr>
              <w:pStyle w:val="TableParagraph"/>
              <w:spacing w:line="190" w:lineRule="exact" w:before="0"/>
              <w:ind w:left="40" w:right="358"/>
              <w:rPr>
                <w:rFonts w:ascii="宋体" w:eastAsia="宋体" w:hint="eastAsia"/>
                <w:sz w:val="19"/>
              </w:rPr>
            </w:pPr>
            <w:r>
              <w:rPr>
                <w:rFonts w:ascii="宋体" w:eastAsia="宋体" w:hint="eastAsia"/>
                <w:w w:val="95"/>
                <w:sz w:val="19"/>
              </w:rPr>
              <w:t>年龄</w:t>
            </w:r>
          </w:p>
        </w:tc>
        <w:tc>
          <w:tcPr>
            <w:tcW w:w="1189" w:type="dxa"/>
          </w:tcPr>
          <w:p>
            <w:pPr>
              <w:pStyle w:val="TableParagraph"/>
              <w:spacing w:line="190" w:lineRule="exact" w:before="0"/>
              <w:ind w:left="1" w:right="0"/>
              <w:rPr>
                <w:rFonts w:ascii="宋体" w:eastAsia="宋体" w:hint="eastAsia"/>
                <w:sz w:val="19"/>
              </w:rPr>
            </w:pPr>
            <w:r>
              <w:rPr>
                <w:rFonts w:ascii="宋体" w:eastAsia="宋体" w:hint="eastAsia"/>
                <w:w w:val="99"/>
                <w:sz w:val="19"/>
              </w:rPr>
              <w:t>男</w:t>
            </w:r>
          </w:p>
        </w:tc>
        <w:tc>
          <w:tcPr>
            <w:tcW w:w="1309" w:type="dxa"/>
          </w:tcPr>
          <w:p>
            <w:pPr>
              <w:pStyle w:val="TableParagraph"/>
              <w:spacing w:line="190" w:lineRule="exact" w:before="0"/>
              <w:ind w:right="75"/>
              <w:rPr>
                <w:rFonts w:ascii="宋体" w:eastAsia="宋体" w:hint="eastAsia"/>
                <w:sz w:val="19"/>
              </w:rPr>
            </w:pPr>
            <w:r>
              <w:rPr>
                <w:rFonts w:ascii="宋体" w:eastAsia="宋体" w:hint="eastAsia"/>
                <w:w w:val="99"/>
                <w:sz w:val="19"/>
              </w:rPr>
              <w:t>女</w:t>
            </w:r>
          </w:p>
        </w:tc>
        <w:tc>
          <w:tcPr>
            <w:tcW w:w="1242" w:type="dxa"/>
          </w:tcPr>
          <w:p>
            <w:pPr>
              <w:pStyle w:val="TableParagraph"/>
              <w:spacing w:line="190" w:lineRule="exact" w:before="0"/>
              <w:ind w:left="480" w:right="361"/>
              <w:rPr>
                <w:rFonts w:ascii="宋体" w:eastAsia="宋体" w:hint="eastAsia"/>
                <w:sz w:val="19"/>
              </w:rPr>
            </w:pPr>
            <w:r>
              <w:rPr>
                <w:rFonts w:ascii="宋体" w:eastAsia="宋体" w:hint="eastAsia"/>
                <w:w w:val="95"/>
                <w:sz w:val="19"/>
              </w:rPr>
              <w:t>年龄</w:t>
            </w:r>
          </w:p>
        </w:tc>
        <w:tc>
          <w:tcPr>
            <w:tcW w:w="1188" w:type="dxa"/>
          </w:tcPr>
          <w:p>
            <w:pPr>
              <w:pStyle w:val="TableParagraph"/>
              <w:spacing w:line="190" w:lineRule="exact" w:before="0"/>
              <w:ind w:right="0"/>
              <w:rPr>
                <w:rFonts w:ascii="宋体" w:eastAsia="宋体" w:hint="eastAsia"/>
                <w:sz w:val="19"/>
              </w:rPr>
            </w:pPr>
            <w:r>
              <w:rPr>
                <w:rFonts w:ascii="宋体" w:eastAsia="宋体" w:hint="eastAsia"/>
                <w:w w:val="99"/>
                <w:sz w:val="19"/>
              </w:rPr>
              <w:t>男</w:t>
            </w:r>
          </w:p>
        </w:tc>
        <w:tc>
          <w:tcPr>
            <w:tcW w:w="866" w:type="dxa"/>
          </w:tcPr>
          <w:p>
            <w:pPr>
              <w:pStyle w:val="TableParagraph"/>
              <w:spacing w:line="190" w:lineRule="exact" w:before="0"/>
              <w:ind w:left="366" w:right="0"/>
              <w:rPr>
                <w:rFonts w:ascii="宋体" w:eastAsia="宋体" w:hint="eastAsia"/>
                <w:sz w:val="19"/>
              </w:rPr>
            </w:pPr>
            <w:r>
              <w:rPr>
                <w:rFonts w:ascii="宋体" w:eastAsia="宋体" w:hint="eastAsia"/>
                <w:w w:val="99"/>
                <w:sz w:val="19"/>
              </w:rPr>
              <w:t>女</w:t>
            </w:r>
          </w:p>
        </w:tc>
      </w:tr>
      <w:tr>
        <w:trPr>
          <w:trHeight w:val="352" w:hRule="atLeast"/>
        </w:trPr>
        <w:tc>
          <w:tcPr>
            <w:tcW w:w="800" w:type="dxa"/>
          </w:tcPr>
          <w:p>
            <w:pPr>
              <w:pStyle w:val="TableParagraph"/>
              <w:spacing w:before="70"/>
              <w:ind w:right="286"/>
              <w:rPr>
                <w:sz w:val="19"/>
              </w:rPr>
            </w:pPr>
            <w:r>
              <w:rPr>
                <w:w w:val="99"/>
                <w:sz w:val="19"/>
              </w:rPr>
              <w:t>0</w:t>
            </w:r>
          </w:p>
        </w:tc>
        <w:tc>
          <w:tcPr>
            <w:tcW w:w="1189" w:type="dxa"/>
          </w:tcPr>
          <w:p>
            <w:pPr>
              <w:pStyle w:val="TableParagraph"/>
              <w:spacing w:before="70"/>
              <w:ind w:left="351"/>
              <w:rPr>
                <w:sz w:val="19"/>
              </w:rPr>
            </w:pPr>
            <w:r>
              <w:rPr>
                <w:sz w:val="19"/>
              </w:rPr>
              <w:t>0.290</w:t>
            </w:r>
          </w:p>
        </w:tc>
        <w:tc>
          <w:tcPr>
            <w:tcW w:w="1309" w:type="dxa"/>
          </w:tcPr>
          <w:p>
            <w:pPr>
              <w:pStyle w:val="TableParagraph"/>
              <w:spacing w:before="70"/>
              <w:ind w:left="371" w:right="469"/>
              <w:rPr>
                <w:sz w:val="19"/>
              </w:rPr>
            </w:pPr>
            <w:r>
              <w:rPr>
                <w:sz w:val="19"/>
              </w:rPr>
              <w:t>0.243</w:t>
            </w:r>
          </w:p>
        </w:tc>
        <w:tc>
          <w:tcPr>
            <w:tcW w:w="1242" w:type="dxa"/>
          </w:tcPr>
          <w:p>
            <w:pPr>
              <w:pStyle w:val="TableParagraph"/>
              <w:spacing w:before="70"/>
              <w:ind w:left="480" w:right="342"/>
              <w:rPr>
                <w:sz w:val="19"/>
              </w:rPr>
            </w:pPr>
            <w:r>
              <w:rPr>
                <w:sz w:val="19"/>
              </w:rPr>
              <w:t>11</w:t>
            </w:r>
          </w:p>
        </w:tc>
        <w:tc>
          <w:tcPr>
            <w:tcW w:w="1188" w:type="dxa"/>
          </w:tcPr>
          <w:p>
            <w:pPr>
              <w:pStyle w:val="TableParagraph"/>
              <w:spacing w:before="70"/>
              <w:ind w:left="352" w:right="367"/>
              <w:rPr>
                <w:sz w:val="19"/>
              </w:rPr>
            </w:pPr>
            <w:r>
              <w:rPr>
                <w:sz w:val="19"/>
              </w:rPr>
              <w:t>0.067</w:t>
            </w:r>
          </w:p>
        </w:tc>
        <w:tc>
          <w:tcPr>
            <w:tcW w:w="866" w:type="dxa"/>
          </w:tcPr>
          <w:p>
            <w:pPr>
              <w:pStyle w:val="TableParagraph"/>
              <w:spacing w:before="70"/>
              <w:ind w:left="368" w:right="29"/>
              <w:rPr>
                <w:sz w:val="19"/>
              </w:rPr>
            </w:pPr>
            <w:r>
              <w:rPr>
                <w:sz w:val="19"/>
              </w:rPr>
              <w:t>0.053</w:t>
            </w:r>
          </w:p>
        </w:tc>
      </w:tr>
      <w:tr>
        <w:trPr>
          <w:trHeight w:val="336" w:hRule="atLeast"/>
        </w:trPr>
        <w:tc>
          <w:tcPr>
            <w:tcW w:w="800" w:type="dxa"/>
          </w:tcPr>
          <w:p>
            <w:pPr>
              <w:pStyle w:val="TableParagraph"/>
              <w:spacing w:before="55"/>
              <w:ind w:right="286"/>
              <w:rPr>
                <w:sz w:val="19"/>
              </w:rPr>
            </w:pPr>
            <w:r>
              <w:rPr>
                <w:w w:val="99"/>
                <w:sz w:val="19"/>
              </w:rPr>
              <w:t>1</w:t>
            </w:r>
          </w:p>
        </w:tc>
        <w:tc>
          <w:tcPr>
            <w:tcW w:w="1189" w:type="dxa"/>
          </w:tcPr>
          <w:p>
            <w:pPr>
              <w:pStyle w:val="TableParagraph"/>
              <w:spacing w:before="55"/>
              <w:ind w:left="351"/>
              <w:rPr>
                <w:sz w:val="19"/>
              </w:rPr>
            </w:pPr>
            <w:r>
              <w:rPr>
                <w:sz w:val="19"/>
              </w:rPr>
              <w:t>0.202</w:t>
            </w:r>
          </w:p>
        </w:tc>
        <w:tc>
          <w:tcPr>
            <w:tcW w:w="1309" w:type="dxa"/>
          </w:tcPr>
          <w:p>
            <w:pPr>
              <w:pStyle w:val="TableParagraph"/>
              <w:spacing w:before="55"/>
              <w:ind w:left="371" w:right="469"/>
              <w:rPr>
                <w:sz w:val="19"/>
              </w:rPr>
            </w:pPr>
            <w:r>
              <w:rPr>
                <w:sz w:val="19"/>
              </w:rPr>
              <w:t>0.164</w:t>
            </w:r>
          </w:p>
        </w:tc>
        <w:tc>
          <w:tcPr>
            <w:tcW w:w="1242" w:type="dxa"/>
          </w:tcPr>
          <w:p>
            <w:pPr>
              <w:pStyle w:val="TableParagraph"/>
              <w:spacing w:before="55"/>
              <w:ind w:left="480" w:right="342"/>
              <w:rPr>
                <w:sz w:val="19"/>
              </w:rPr>
            </w:pPr>
            <w:r>
              <w:rPr>
                <w:sz w:val="19"/>
              </w:rPr>
              <w:t>12</w:t>
            </w:r>
          </w:p>
        </w:tc>
        <w:tc>
          <w:tcPr>
            <w:tcW w:w="1188" w:type="dxa"/>
          </w:tcPr>
          <w:p>
            <w:pPr>
              <w:pStyle w:val="TableParagraph"/>
              <w:spacing w:before="55"/>
              <w:ind w:left="352" w:right="367"/>
              <w:rPr>
                <w:sz w:val="19"/>
              </w:rPr>
            </w:pPr>
            <w:r>
              <w:rPr>
                <w:sz w:val="19"/>
              </w:rPr>
              <w:t>0.069</w:t>
            </w:r>
          </w:p>
        </w:tc>
        <w:tc>
          <w:tcPr>
            <w:tcW w:w="866" w:type="dxa"/>
          </w:tcPr>
          <w:p>
            <w:pPr>
              <w:pStyle w:val="TableParagraph"/>
              <w:spacing w:before="55"/>
              <w:ind w:left="368" w:right="29"/>
              <w:rPr>
                <w:sz w:val="19"/>
              </w:rPr>
            </w:pPr>
            <w:r>
              <w:rPr>
                <w:sz w:val="19"/>
              </w:rPr>
              <w:t>0.058</w:t>
            </w:r>
          </w:p>
        </w:tc>
      </w:tr>
      <w:tr>
        <w:trPr>
          <w:trHeight w:val="334" w:hRule="atLeast"/>
        </w:trPr>
        <w:tc>
          <w:tcPr>
            <w:tcW w:w="800" w:type="dxa"/>
          </w:tcPr>
          <w:p>
            <w:pPr>
              <w:pStyle w:val="TableParagraph"/>
              <w:spacing w:before="53"/>
              <w:ind w:right="286"/>
              <w:rPr>
                <w:sz w:val="19"/>
              </w:rPr>
            </w:pPr>
            <w:r>
              <w:rPr>
                <w:w w:val="99"/>
                <w:sz w:val="19"/>
              </w:rPr>
              <w:t>2</w:t>
            </w:r>
          </w:p>
        </w:tc>
        <w:tc>
          <w:tcPr>
            <w:tcW w:w="1189" w:type="dxa"/>
          </w:tcPr>
          <w:p>
            <w:pPr>
              <w:pStyle w:val="TableParagraph"/>
              <w:spacing w:before="53"/>
              <w:ind w:left="351"/>
              <w:rPr>
                <w:sz w:val="19"/>
              </w:rPr>
            </w:pPr>
            <w:r>
              <w:rPr>
                <w:sz w:val="19"/>
              </w:rPr>
              <w:t>0.168</w:t>
            </w:r>
          </w:p>
        </w:tc>
        <w:tc>
          <w:tcPr>
            <w:tcW w:w="1309" w:type="dxa"/>
          </w:tcPr>
          <w:p>
            <w:pPr>
              <w:pStyle w:val="TableParagraph"/>
              <w:spacing w:before="53"/>
              <w:ind w:left="371" w:right="469"/>
              <w:rPr>
                <w:sz w:val="19"/>
              </w:rPr>
            </w:pPr>
            <w:r>
              <w:rPr>
                <w:sz w:val="19"/>
              </w:rPr>
              <w:t>0.134</w:t>
            </w:r>
          </w:p>
        </w:tc>
        <w:tc>
          <w:tcPr>
            <w:tcW w:w="1242" w:type="dxa"/>
          </w:tcPr>
          <w:p>
            <w:pPr>
              <w:pStyle w:val="TableParagraph"/>
              <w:spacing w:before="53"/>
              <w:ind w:left="480" w:right="342"/>
              <w:rPr>
                <w:sz w:val="19"/>
              </w:rPr>
            </w:pPr>
            <w:r>
              <w:rPr>
                <w:sz w:val="19"/>
              </w:rPr>
              <w:t>13</w:t>
            </w:r>
          </w:p>
        </w:tc>
        <w:tc>
          <w:tcPr>
            <w:tcW w:w="1188" w:type="dxa"/>
          </w:tcPr>
          <w:p>
            <w:pPr>
              <w:pStyle w:val="TableParagraph"/>
              <w:spacing w:before="53"/>
              <w:ind w:left="352" w:right="367"/>
              <w:rPr>
                <w:sz w:val="19"/>
              </w:rPr>
            </w:pPr>
            <w:r>
              <w:rPr>
                <w:sz w:val="19"/>
              </w:rPr>
              <w:t>0.072</w:t>
            </w:r>
          </w:p>
        </w:tc>
        <w:tc>
          <w:tcPr>
            <w:tcW w:w="866" w:type="dxa"/>
          </w:tcPr>
          <w:p>
            <w:pPr>
              <w:pStyle w:val="TableParagraph"/>
              <w:spacing w:before="53"/>
              <w:ind w:left="368" w:right="29"/>
              <w:rPr>
                <w:sz w:val="19"/>
              </w:rPr>
            </w:pPr>
            <w:r>
              <w:rPr>
                <w:sz w:val="19"/>
              </w:rPr>
              <w:t>0.062</w:t>
            </w:r>
          </w:p>
        </w:tc>
      </w:tr>
      <w:tr>
        <w:trPr>
          <w:trHeight w:val="336" w:hRule="atLeast"/>
        </w:trPr>
        <w:tc>
          <w:tcPr>
            <w:tcW w:w="800" w:type="dxa"/>
          </w:tcPr>
          <w:p>
            <w:pPr>
              <w:pStyle w:val="TableParagraph"/>
              <w:ind w:right="286"/>
              <w:rPr>
                <w:sz w:val="19"/>
              </w:rPr>
            </w:pPr>
            <w:r>
              <w:rPr>
                <w:w w:val="99"/>
                <w:sz w:val="19"/>
              </w:rPr>
              <w:t>3</w:t>
            </w:r>
          </w:p>
        </w:tc>
        <w:tc>
          <w:tcPr>
            <w:tcW w:w="1189" w:type="dxa"/>
          </w:tcPr>
          <w:p>
            <w:pPr>
              <w:pStyle w:val="TableParagraph"/>
              <w:ind w:left="351"/>
              <w:rPr>
                <w:sz w:val="19"/>
              </w:rPr>
            </w:pPr>
            <w:r>
              <w:rPr>
                <w:sz w:val="19"/>
              </w:rPr>
              <w:t>0.139</w:t>
            </w:r>
          </w:p>
        </w:tc>
        <w:tc>
          <w:tcPr>
            <w:tcW w:w="1309" w:type="dxa"/>
          </w:tcPr>
          <w:p>
            <w:pPr>
              <w:pStyle w:val="TableParagraph"/>
              <w:ind w:left="371" w:right="469"/>
              <w:rPr>
                <w:sz w:val="19"/>
              </w:rPr>
            </w:pPr>
            <w:r>
              <w:rPr>
                <w:sz w:val="19"/>
              </w:rPr>
              <w:t>0.108</w:t>
            </w:r>
          </w:p>
        </w:tc>
        <w:tc>
          <w:tcPr>
            <w:tcW w:w="1242" w:type="dxa"/>
          </w:tcPr>
          <w:p>
            <w:pPr>
              <w:pStyle w:val="TableParagraph"/>
              <w:ind w:left="480" w:right="342"/>
              <w:rPr>
                <w:sz w:val="19"/>
              </w:rPr>
            </w:pPr>
            <w:r>
              <w:rPr>
                <w:sz w:val="19"/>
              </w:rPr>
              <w:t>14</w:t>
            </w:r>
          </w:p>
        </w:tc>
        <w:tc>
          <w:tcPr>
            <w:tcW w:w="1188" w:type="dxa"/>
          </w:tcPr>
          <w:p>
            <w:pPr>
              <w:pStyle w:val="TableParagraph"/>
              <w:ind w:left="352" w:right="367"/>
              <w:rPr>
                <w:sz w:val="19"/>
              </w:rPr>
            </w:pPr>
            <w:r>
              <w:rPr>
                <w:sz w:val="19"/>
              </w:rPr>
              <w:t>0.075</w:t>
            </w:r>
          </w:p>
        </w:tc>
        <w:tc>
          <w:tcPr>
            <w:tcW w:w="866" w:type="dxa"/>
          </w:tcPr>
          <w:p>
            <w:pPr>
              <w:pStyle w:val="TableParagraph"/>
              <w:ind w:left="368" w:right="29"/>
              <w:rPr>
                <w:sz w:val="19"/>
              </w:rPr>
            </w:pPr>
            <w:r>
              <w:rPr>
                <w:sz w:val="19"/>
              </w:rPr>
              <w:t>0.067</w:t>
            </w:r>
          </w:p>
        </w:tc>
      </w:tr>
      <w:tr>
        <w:trPr>
          <w:trHeight w:val="334" w:hRule="atLeast"/>
        </w:trPr>
        <w:tc>
          <w:tcPr>
            <w:tcW w:w="800" w:type="dxa"/>
          </w:tcPr>
          <w:p>
            <w:pPr>
              <w:pStyle w:val="TableParagraph"/>
              <w:ind w:right="286"/>
              <w:rPr>
                <w:sz w:val="19"/>
              </w:rPr>
            </w:pPr>
            <w:r>
              <w:rPr>
                <w:w w:val="99"/>
                <w:sz w:val="19"/>
              </w:rPr>
              <w:t>4</w:t>
            </w:r>
          </w:p>
        </w:tc>
        <w:tc>
          <w:tcPr>
            <w:tcW w:w="1189" w:type="dxa"/>
          </w:tcPr>
          <w:p>
            <w:pPr>
              <w:pStyle w:val="TableParagraph"/>
              <w:ind w:left="351"/>
              <w:rPr>
                <w:sz w:val="19"/>
              </w:rPr>
            </w:pPr>
            <w:r>
              <w:rPr>
                <w:sz w:val="19"/>
              </w:rPr>
              <w:t>0.118</w:t>
            </w:r>
          </w:p>
        </w:tc>
        <w:tc>
          <w:tcPr>
            <w:tcW w:w="1309" w:type="dxa"/>
          </w:tcPr>
          <w:p>
            <w:pPr>
              <w:pStyle w:val="TableParagraph"/>
              <w:ind w:left="371" w:right="469"/>
              <w:rPr>
                <w:sz w:val="19"/>
              </w:rPr>
            </w:pPr>
            <w:r>
              <w:rPr>
                <w:sz w:val="19"/>
              </w:rPr>
              <w:t>0.087</w:t>
            </w:r>
          </w:p>
        </w:tc>
        <w:tc>
          <w:tcPr>
            <w:tcW w:w="1242" w:type="dxa"/>
          </w:tcPr>
          <w:p>
            <w:pPr>
              <w:pStyle w:val="TableParagraph"/>
              <w:ind w:left="480" w:right="342"/>
              <w:rPr>
                <w:sz w:val="19"/>
              </w:rPr>
            </w:pPr>
            <w:r>
              <w:rPr>
                <w:sz w:val="19"/>
              </w:rPr>
              <w:t>15</w:t>
            </w:r>
          </w:p>
        </w:tc>
        <w:tc>
          <w:tcPr>
            <w:tcW w:w="1188" w:type="dxa"/>
          </w:tcPr>
          <w:p>
            <w:pPr>
              <w:pStyle w:val="TableParagraph"/>
              <w:ind w:left="352" w:right="367"/>
              <w:rPr>
                <w:sz w:val="19"/>
              </w:rPr>
            </w:pPr>
            <w:r>
              <w:rPr>
                <w:sz w:val="19"/>
              </w:rPr>
              <w:t>0.075</w:t>
            </w:r>
          </w:p>
        </w:tc>
        <w:tc>
          <w:tcPr>
            <w:tcW w:w="866" w:type="dxa"/>
          </w:tcPr>
          <w:p>
            <w:pPr>
              <w:pStyle w:val="TableParagraph"/>
              <w:ind w:left="368" w:right="29"/>
              <w:rPr>
                <w:sz w:val="19"/>
              </w:rPr>
            </w:pPr>
            <w:r>
              <w:rPr>
                <w:sz w:val="19"/>
              </w:rPr>
              <w:t>0.070</w:t>
            </w:r>
          </w:p>
        </w:tc>
      </w:tr>
      <w:tr>
        <w:trPr>
          <w:trHeight w:val="334" w:hRule="atLeast"/>
        </w:trPr>
        <w:tc>
          <w:tcPr>
            <w:tcW w:w="800" w:type="dxa"/>
          </w:tcPr>
          <w:p>
            <w:pPr>
              <w:pStyle w:val="TableParagraph"/>
              <w:spacing w:before="53"/>
              <w:ind w:right="286"/>
              <w:rPr>
                <w:sz w:val="19"/>
              </w:rPr>
            </w:pPr>
            <w:r>
              <w:rPr>
                <w:w w:val="99"/>
                <w:sz w:val="19"/>
              </w:rPr>
              <w:t>5</w:t>
            </w:r>
          </w:p>
        </w:tc>
        <w:tc>
          <w:tcPr>
            <w:tcW w:w="1189" w:type="dxa"/>
          </w:tcPr>
          <w:p>
            <w:pPr>
              <w:pStyle w:val="TableParagraph"/>
              <w:spacing w:before="53"/>
              <w:ind w:left="351"/>
              <w:rPr>
                <w:sz w:val="19"/>
              </w:rPr>
            </w:pPr>
            <w:r>
              <w:rPr>
                <w:sz w:val="19"/>
              </w:rPr>
              <w:t>0.095</w:t>
            </w:r>
          </w:p>
        </w:tc>
        <w:tc>
          <w:tcPr>
            <w:tcW w:w="1309" w:type="dxa"/>
          </w:tcPr>
          <w:p>
            <w:pPr>
              <w:pStyle w:val="TableParagraph"/>
              <w:spacing w:before="53"/>
              <w:ind w:left="371" w:right="469"/>
              <w:rPr>
                <w:sz w:val="19"/>
              </w:rPr>
            </w:pPr>
            <w:r>
              <w:rPr>
                <w:sz w:val="19"/>
              </w:rPr>
              <w:t>0.069</w:t>
            </w:r>
          </w:p>
        </w:tc>
        <w:tc>
          <w:tcPr>
            <w:tcW w:w="1242" w:type="dxa"/>
          </w:tcPr>
          <w:p>
            <w:pPr>
              <w:pStyle w:val="TableParagraph"/>
              <w:spacing w:before="53"/>
              <w:ind w:left="480" w:right="342"/>
              <w:rPr>
                <w:sz w:val="19"/>
              </w:rPr>
            </w:pPr>
            <w:r>
              <w:rPr>
                <w:sz w:val="19"/>
              </w:rPr>
              <w:t>16</w:t>
            </w:r>
          </w:p>
        </w:tc>
        <w:tc>
          <w:tcPr>
            <w:tcW w:w="1188" w:type="dxa"/>
          </w:tcPr>
          <w:p>
            <w:pPr>
              <w:pStyle w:val="TableParagraph"/>
              <w:spacing w:before="53"/>
              <w:ind w:left="352" w:right="367"/>
              <w:rPr>
                <w:sz w:val="19"/>
              </w:rPr>
            </w:pPr>
            <w:r>
              <w:rPr>
                <w:sz w:val="19"/>
              </w:rPr>
              <w:t>0.078</w:t>
            </w:r>
          </w:p>
        </w:tc>
        <w:tc>
          <w:tcPr>
            <w:tcW w:w="866" w:type="dxa"/>
          </w:tcPr>
          <w:p>
            <w:pPr>
              <w:pStyle w:val="TableParagraph"/>
              <w:spacing w:before="53"/>
              <w:ind w:left="368" w:right="29"/>
              <w:rPr>
                <w:sz w:val="19"/>
              </w:rPr>
            </w:pPr>
            <w:r>
              <w:rPr>
                <w:sz w:val="19"/>
              </w:rPr>
              <w:t>0.074</w:t>
            </w:r>
          </w:p>
        </w:tc>
      </w:tr>
      <w:tr>
        <w:trPr>
          <w:trHeight w:val="336" w:hRule="atLeast"/>
        </w:trPr>
        <w:tc>
          <w:tcPr>
            <w:tcW w:w="800" w:type="dxa"/>
          </w:tcPr>
          <w:p>
            <w:pPr>
              <w:pStyle w:val="TableParagraph"/>
              <w:ind w:right="286"/>
              <w:rPr>
                <w:sz w:val="19"/>
              </w:rPr>
            </w:pPr>
            <w:r>
              <w:rPr>
                <w:w w:val="99"/>
                <w:sz w:val="19"/>
              </w:rPr>
              <w:t>6</w:t>
            </w:r>
          </w:p>
        </w:tc>
        <w:tc>
          <w:tcPr>
            <w:tcW w:w="1189" w:type="dxa"/>
          </w:tcPr>
          <w:p>
            <w:pPr>
              <w:pStyle w:val="TableParagraph"/>
              <w:ind w:left="351"/>
              <w:rPr>
                <w:sz w:val="19"/>
              </w:rPr>
            </w:pPr>
            <w:r>
              <w:rPr>
                <w:sz w:val="19"/>
              </w:rPr>
              <w:t>0.082</w:t>
            </w:r>
          </w:p>
        </w:tc>
        <w:tc>
          <w:tcPr>
            <w:tcW w:w="1309" w:type="dxa"/>
          </w:tcPr>
          <w:p>
            <w:pPr>
              <w:pStyle w:val="TableParagraph"/>
              <w:ind w:left="371" w:right="469"/>
              <w:rPr>
                <w:sz w:val="19"/>
              </w:rPr>
            </w:pPr>
            <w:r>
              <w:rPr>
                <w:sz w:val="19"/>
              </w:rPr>
              <w:t>0.054</w:t>
            </w:r>
          </w:p>
        </w:tc>
        <w:tc>
          <w:tcPr>
            <w:tcW w:w="1242" w:type="dxa"/>
          </w:tcPr>
          <w:p>
            <w:pPr>
              <w:pStyle w:val="TableParagraph"/>
              <w:ind w:left="480" w:right="342"/>
              <w:rPr>
                <w:sz w:val="19"/>
              </w:rPr>
            </w:pPr>
            <w:r>
              <w:rPr>
                <w:sz w:val="19"/>
              </w:rPr>
              <w:t>17</w:t>
            </w:r>
          </w:p>
        </w:tc>
        <w:tc>
          <w:tcPr>
            <w:tcW w:w="1188" w:type="dxa"/>
          </w:tcPr>
          <w:p>
            <w:pPr>
              <w:pStyle w:val="TableParagraph"/>
              <w:ind w:left="352" w:right="367"/>
              <w:rPr>
                <w:sz w:val="19"/>
              </w:rPr>
            </w:pPr>
            <w:r>
              <w:rPr>
                <w:sz w:val="19"/>
              </w:rPr>
              <w:t>0.075</w:t>
            </w:r>
          </w:p>
        </w:tc>
        <w:tc>
          <w:tcPr>
            <w:tcW w:w="866" w:type="dxa"/>
          </w:tcPr>
          <w:p>
            <w:pPr>
              <w:pStyle w:val="TableParagraph"/>
              <w:ind w:left="368" w:right="29"/>
              <w:rPr>
                <w:sz w:val="19"/>
              </w:rPr>
            </w:pPr>
            <w:r>
              <w:rPr>
                <w:sz w:val="19"/>
              </w:rPr>
              <w:t>0.075</w:t>
            </w:r>
          </w:p>
        </w:tc>
      </w:tr>
      <w:tr>
        <w:trPr>
          <w:trHeight w:val="335" w:hRule="atLeast"/>
        </w:trPr>
        <w:tc>
          <w:tcPr>
            <w:tcW w:w="800" w:type="dxa"/>
          </w:tcPr>
          <w:p>
            <w:pPr>
              <w:pStyle w:val="TableParagraph"/>
              <w:ind w:right="286"/>
              <w:rPr>
                <w:sz w:val="19"/>
              </w:rPr>
            </w:pPr>
            <w:r>
              <w:rPr>
                <w:w w:val="99"/>
                <w:sz w:val="19"/>
              </w:rPr>
              <w:t>7</w:t>
            </w:r>
          </w:p>
        </w:tc>
        <w:tc>
          <w:tcPr>
            <w:tcW w:w="1189" w:type="dxa"/>
          </w:tcPr>
          <w:p>
            <w:pPr>
              <w:pStyle w:val="TableParagraph"/>
              <w:ind w:left="351"/>
              <w:rPr>
                <w:sz w:val="19"/>
              </w:rPr>
            </w:pPr>
            <w:r>
              <w:rPr>
                <w:sz w:val="19"/>
              </w:rPr>
              <w:t>0.073</w:t>
            </w:r>
          </w:p>
        </w:tc>
        <w:tc>
          <w:tcPr>
            <w:tcW w:w="1309" w:type="dxa"/>
          </w:tcPr>
          <w:p>
            <w:pPr>
              <w:pStyle w:val="TableParagraph"/>
              <w:ind w:left="371" w:right="469"/>
              <w:rPr>
                <w:sz w:val="19"/>
              </w:rPr>
            </w:pPr>
            <w:r>
              <w:rPr>
                <w:sz w:val="19"/>
              </w:rPr>
              <w:t>0.053</w:t>
            </w:r>
          </w:p>
        </w:tc>
        <w:tc>
          <w:tcPr>
            <w:tcW w:w="1242" w:type="dxa"/>
          </w:tcPr>
          <w:p>
            <w:pPr>
              <w:pStyle w:val="TableParagraph"/>
              <w:ind w:left="480" w:right="342"/>
              <w:rPr>
                <w:sz w:val="19"/>
              </w:rPr>
            </w:pPr>
            <w:r>
              <w:rPr>
                <w:sz w:val="19"/>
              </w:rPr>
              <w:t>18</w:t>
            </w:r>
          </w:p>
        </w:tc>
        <w:tc>
          <w:tcPr>
            <w:tcW w:w="1188" w:type="dxa"/>
          </w:tcPr>
          <w:p>
            <w:pPr>
              <w:pStyle w:val="TableParagraph"/>
              <w:ind w:left="352" w:right="367"/>
              <w:rPr>
                <w:sz w:val="19"/>
              </w:rPr>
            </w:pPr>
            <w:r>
              <w:rPr>
                <w:sz w:val="19"/>
              </w:rPr>
              <w:t>0.069</w:t>
            </w:r>
          </w:p>
        </w:tc>
        <w:tc>
          <w:tcPr>
            <w:tcW w:w="866" w:type="dxa"/>
          </w:tcPr>
          <w:p>
            <w:pPr>
              <w:pStyle w:val="TableParagraph"/>
              <w:ind w:left="368" w:right="29"/>
              <w:rPr>
                <w:sz w:val="19"/>
              </w:rPr>
            </w:pPr>
            <w:r>
              <w:rPr>
                <w:sz w:val="19"/>
              </w:rPr>
              <w:t>0.068</w:t>
            </w:r>
          </w:p>
        </w:tc>
      </w:tr>
      <w:tr>
        <w:trPr>
          <w:trHeight w:val="334" w:hRule="atLeast"/>
        </w:trPr>
        <w:tc>
          <w:tcPr>
            <w:tcW w:w="800" w:type="dxa"/>
          </w:tcPr>
          <w:p>
            <w:pPr>
              <w:pStyle w:val="TableParagraph"/>
              <w:ind w:right="286"/>
              <w:rPr>
                <w:sz w:val="19"/>
              </w:rPr>
            </w:pPr>
            <w:r>
              <w:rPr>
                <w:w w:val="99"/>
                <w:sz w:val="19"/>
              </w:rPr>
              <w:t>8</w:t>
            </w:r>
          </w:p>
        </w:tc>
        <w:tc>
          <w:tcPr>
            <w:tcW w:w="1189" w:type="dxa"/>
          </w:tcPr>
          <w:p>
            <w:pPr>
              <w:pStyle w:val="TableParagraph"/>
              <w:ind w:left="351"/>
              <w:rPr>
                <w:sz w:val="19"/>
              </w:rPr>
            </w:pPr>
            <w:r>
              <w:rPr>
                <w:sz w:val="19"/>
              </w:rPr>
              <w:t>0.073</w:t>
            </w:r>
          </w:p>
        </w:tc>
        <w:tc>
          <w:tcPr>
            <w:tcW w:w="1309" w:type="dxa"/>
          </w:tcPr>
          <w:p>
            <w:pPr>
              <w:pStyle w:val="TableParagraph"/>
              <w:ind w:left="371" w:right="469"/>
              <w:rPr>
                <w:sz w:val="19"/>
              </w:rPr>
            </w:pPr>
            <w:r>
              <w:rPr>
                <w:sz w:val="19"/>
              </w:rPr>
              <w:t>0.053</w:t>
            </w:r>
          </w:p>
        </w:tc>
        <w:tc>
          <w:tcPr>
            <w:tcW w:w="1242" w:type="dxa"/>
          </w:tcPr>
          <w:p>
            <w:pPr>
              <w:pStyle w:val="TableParagraph"/>
              <w:ind w:left="480" w:right="342"/>
              <w:rPr>
                <w:sz w:val="19"/>
              </w:rPr>
            </w:pPr>
            <w:r>
              <w:rPr>
                <w:sz w:val="19"/>
              </w:rPr>
              <w:t>19</w:t>
            </w:r>
          </w:p>
        </w:tc>
        <w:tc>
          <w:tcPr>
            <w:tcW w:w="1188" w:type="dxa"/>
          </w:tcPr>
          <w:p>
            <w:pPr>
              <w:pStyle w:val="TableParagraph"/>
              <w:ind w:left="352" w:right="367"/>
              <w:rPr>
                <w:sz w:val="19"/>
              </w:rPr>
            </w:pPr>
            <w:r>
              <w:rPr>
                <w:sz w:val="19"/>
              </w:rPr>
              <w:t>0.069</w:t>
            </w:r>
          </w:p>
        </w:tc>
        <w:tc>
          <w:tcPr>
            <w:tcW w:w="866" w:type="dxa"/>
          </w:tcPr>
          <w:p>
            <w:pPr>
              <w:pStyle w:val="TableParagraph"/>
              <w:ind w:left="368" w:right="29"/>
              <w:rPr>
                <w:sz w:val="19"/>
              </w:rPr>
            </w:pPr>
            <w:r>
              <w:rPr>
                <w:sz w:val="19"/>
              </w:rPr>
              <w:t>0.068</w:t>
            </w:r>
          </w:p>
        </w:tc>
      </w:tr>
      <w:tr>
        <w:trPr>
          <w:trHeight w:val="334" w:hRule="atLeast"/>
        </w:trPr>
        <w:tc>
          <w:tcPr>
            <w:tcW w:w="800" w:type="dxa"/>
          </w:tcPr>
          <w:p>
            <w:pPr>
              <w:pStyle w:val="TableParagraph"/>
              <w:spacing w:before="53"/>
              <w:ind w:right="286"/>
              <w:rPr>
                <w:sz w:val="19"/>
              </w:rPr>
            </w:pPr>
            <w:r>
              <w:rPr>
                <w:w w:val="99"/>
                <w:sz w:val="19"/>
              </w:rPr>
              <w:t>9</w:t>
            </w:r>
          </w:p>
        </w:tc>
        <w:tc>
          <w:tcPr>
            <w:tcW w:w="1189" w:type="dxa"/>
          </w:tcPr>
          <w:p>
            <w:pPr>
              <w:pStyle w:val="TableParagraph"/>
              <w:spacing w:before="53"/>
              <w:ind w:left="351"/>
              <w:rPr>
                <w:sz w:val="19"/>
              </w:rPr>
            </w:pPr>
            <w:r>
              <w:rPr>
                <w:sz w:val="19"/>
              </w:rPr>
              <w:t>0.070</w:t>
            </w:r>
          </w:p>
        </w:tc>
        <w:tc>
          <w:tcPr>
            <w:tcW w:w="1309" w:type="dxa"/>
          </w:tcPr>
          <w:p>
            <w:pPr>
              <w:pStyle w:val="TableParagraph"/>
              <w:spacing w:before="53"/>
              <w:ind w:left="371" w:right="469"/>
              <w:rPr>
                <w:sz w:val="19"/>
              </w:rPr>
            </w:pPr>
            <w:r>
              <w:rPr>
                <w:sz w:val="19"/>
              </w:rPr>
              <w:t>0.053</w:t>
            </w:r>
          </w:p>
        </w:tc>
        <w:tc>
          <w:tcPr>
            <w:tcW w:w="1242" w:type="dxa"/>
          </w:tcPr>
          <w:p>
            <w:pPr>
              <w:pStyle w:val="TableParagraph"/>
              <w:spacing w:before="53"/>
              <w:ind w:left="480" w:right="342"/>
              <w:rPr>
                <w:sz w:val="19"/>
              </w:rPr>
            </w:pPr>
            <w:r>
              <w:rPr>
                <w:sz w:val="19"/>
              </w:rPr>
              <w:t>20</w:t>
            </w:r>
          </w:p>
        </w:tc>
        <w:tc>
          <w:tcPr>
            <w:tcW w:w="1188" w:type="dxa"/>
          </w:tcPr>
          <w:p>
            <w:pPr>
              <w:pStyle w:val="TableParagraph"/>
              <w:spacing w:before="53"/>
              <w:ind w:left="352" w:right="367"/>
              <w:rPr>
                <w:sz w:val="19"/>
              </w:rPr>
            </w:pPr>
            <w:r>
              <w:rPr>
                <w:sz w:val="19"/>
              </w:rPr>
              <w:t>0.073</w:t>
            </w:r>
          </w:p>
        </w:tc>
        <w:tc>
          <w:tcPr>
            <w:tcW w:w="866" w:type="dxa"/>
          </w:tcPr>
          <w:p>
            <w:pPr>
              <w:pStyle w:val="TableParagraph"/>
              <w:spacing w:before="53"/>
              <w:ind w:left="368" w:right="29"/>
              <w:rPr>
                <w:sz w:val="19"/>
              </w:rPr>
            </w:pPr>
            <w:r>
              <w:rPr>
                <w:sz w:val="19"/>
              </w:rPr>
              <w:t>0.072</w:t>
            </w:r>
          </w:p>
        </w:tc>
      </w:tr>
      <w:tr>
        <w:trPr>
          <w:trHeight w:val="272" w:hRule="atLeast"/>
        </w:trPr>
        <w:tc>
          <w:tcPr>
            <w:tcW w:w="800" w:type="dxa"/>
          </w:tcPr>
          <w:p>
            <w:pPr>
              <w:pStyle w:val="TableParagraph"/>
              <w:spacing w:line="198" w:lineRule="exact"/>
              <w:ind w:left="40" w:right="334"/>
              <w:rPr>
                <w:sz w:val="19"/>
              </w:rPr>
            </w:pPr>
            <w:r>
              <w:rPr>
                <w:sz w:val="19"/>
              </w:rPr>
              <w:t>10</w:t>
            </w:r>
          </w:p>
        </w:tc>
        <w:tc>
          <w:tcPr>
            <w:tcW w:w="1189" w:type="dxa"/>
          </w:tcPr>
          <w:p>
            <w:pPr>
              <w:pStyle w:val="TableParagraph"/>
              <w:spacing w:line="198" w:lineRule="exact"/>
              <w:ind w:left="351"/>
              <w:rPr>
                <w:sz w:val="19"/>
              </w:rPr>
            </w:pPr>
            <w:r>
              <w:rPr>
                <w:sz w:val="19"/>
              </w:rPr>
              <w:t>0.070</w:t>
            </w:r>
          </w:p>
        </w:tc>
        <w:tc>
          <w:tcPr>
            <w:tcW w:w="1309" w:type="dxa"/>
          </w:tcPr>
          <w:p>
            <w:pPr>
              <w:pStyle w:val="TableParagraph"/>
              <w:spacing w:line="198" w:lineRule="exact"/>
              <w:ind w:left="371" w:right="469"/>
              <w:rPr>
                <w:sz w:val="19"/>
              </w:rPr>
            </w:pPr>
            <w:r>
              <w:rPr>
                <w:sz w:val="19"/>
              </w:rPr>
              <w:t>0.054</w:t>
            </w:r>
          </w:p>
        </w:tc>
        <w:tc>
          <w:tcPr>
            <w:tcW w:w="1242" w:type="dxa"/>
          </w:tcPr>
          <w:p>
            <w:pPr>
              <w:pStyle w:val="TableParagraph"/>
              <w:spacing w:before="0"/>
              <w:ind w:right="0"/>
              <w:jc w:val="left"/>
              <w:rPr>
                <w:sz w:val="18"/>
              </w:rPr>
            </w:pPr>
          </w:p>
        </w:tc>
        <w:tc>
          <w:tcPr>
            <w:tcW w:w="1188" w:type="dxa"/>
          </w:tcPr>
          <w:p>
            <w:pPr>
              <w:pStyle w:val="TableParagraph"/>
              <w:spacing w:before="0"/>
              <w:ind w:right="0"/>
              <w:jc w:val="left"/>
              <w:rPr>
                <w:sz w:val="18"/>
              </w:rPr>
            </w:pPr>
          </w:p>
        </w:tc>
        <w:tc>
          <w:tcPr>
            <w:tcW w:w="866" w:type="dxa"/>
          </w:tcPr>
          <w:p>
            <w:pPr>
              <w:pStyle w:val="TableParagraph"/>
              <w:spacing w:before="0"/>
              <w:ind w:right="0"/>
              <w:jc w:val="left"/>
              <w:rPr>
                <w:sz w:val="18"/>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spacing w:before="57"/>
        <w:ind w:left="85" w:right="237" w:firstLine="0"/>
        <w:jc w:val="center"/>
        <w:rPr>
          <w:sz w:val="16"/>
        </w:rPr>
      </w:pPr>
      <w:r>
        <w:rPr>
          <w:sz w:val="16"/>
        </w:rPr>
        <w:t>第 </w:t>
      </w:r>
      <w:r>
        <w:rPr>
          <w:rFonts w:ascii="Times New Roman" w:eastAsia="Times New Roman"/>
          <w:sz w:val="16"/>
        </w:rPr>
        <w:t>18  </w:t>
      </w:r>
      <w:r>
        <w:rPr>
          <w:sz w:val="16"/>
        </w:rPr>
        <w:t>页 共 </w:t>
      </w:r>
      <w:r>
        <w:rPr>
          <w:rFonts w:ascii="Times New Roman" w:eastAsia="Times New Roman"/>
          <w:sz w:val="16"/>
        </w:rPr>
        <w:t>18  </w:t>
      </w:r>
      <w:r>
        <w:rPr>
          <w:sz w:val="16"/>
        </w:rPr>
        <w:t>页</w:t>
      </w:r>
    </w:p>
    <w:sectPr>
      <w:type w:val="continuous"/>
      <w:pgSz w:w="11900" w:h="16840"/>
      <w:pgMar w:top="1600" w:bottom="11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839996pt;margin-top:782.595459pt;width:66.1pt;height:10.95pt;mso-position-horizontal-relative:page;mso-position-vertical-relative:page;z-index:-20824" type="#_x0000_t202" filled="false" stroked="false">
          <v:textbox inset="0,0,0,0">
            <w:txbxContent>
              <w:p>
                <w:pPr>
                  <w:spacing w:line="198" w:lineRule="exact" w:before="0"/>
                  <w:ind w:left="20" w:right="0" w:firstLine="0"/>
                  <w:jc w:val="left"/>
                  <w:rPr>
                    <w:sz w:val="16"/>
                  </w:rPr>
                </w:pPr>
                <w:r>
                  <w:rPr>
                    <w:sz w:val="16"/>
                  </w:rPr>
                  <w:t>第 </w:t>
                </w:r>
                <w:r>
                  <w:rPr/>
                  <w:fldChar w:fldCharType="begin"/>
                </w:r>
                <w:r>
                  <w:rPr>
                    <w:rFonts w:ascii="Times New Roman" w:eastAsia="Times New Roman"/>
                    <w:sz w:val="16"/>
                  </w:rPr>
                  <w:instrText> PAGE </w:instrText>
                </w:r>
                <w:r>
                  <w:rPr/>
                  <w:fldChar w:fldCharType="separate"/>
                </w:r>
                <w:r>
                  <w:rPr/>
                  <w:t>1</w:t>
                </w:r>
                <w:r>
                  <w:rPr/>
                  <w:fldChar w:fldCharType="end"/>
                </w:r>
                <w:r>
                  <w:rPr>
                    <w:rFonts w:ascii="Times New Roman" w:eastAsia="Times New Roman"/>
                    <w:sz w:val="16"/>
                  </w:rPr>
                  <w:t>  </w:t>
                </w:r>
                <w:r>
                  <w:rPr>
                    <w:sz w:val="16"/>
                  </w:rPr>
                  <w:t>页 共 </w:t>
                </w:r>
                <w:r>
                  <w:rPr>
                    <w:rFonts w:ascii="Times New Roman" w:eastAsia="Times New Roman"/>
                    <w:sz w:val="16"/>
                  </w:rPr>
                  <w:t>18 </w:t>
                </w:r>
                <w:r>
                  <w:rPr>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559998pt;margin-top:782.595459pt;width:70.2pt;height:10.95pt;mso-position-horizontal-relative:page;mso-position-vertical-relative:page;z-index:-20800" type="#_x0000_t202" filled="false" stroked="false">
          <v:textbox inset="0,0,0,0">
            <w:txbxContent>
              <w:p>
                <w:pPr>
                  <w:spacing w:line="198" w:lineRule="exact" w:before="0"/>
                  <w:ind w:left="20" w:right="0" w:firstLine="0"/>
                  <w:jc w:val="left"/>
                  <w:rPr>
                    <w:sz w:val="16"/>
                  </w:rPr>
                </w:pPr>
                <w:r>
                  <w:rPr>
                    <w:sz w:val="16"/>
                  </w:rPr>
                  <w:t>第 </w:t>
                </w:r>
                <w:r>
                  <w:rPr/>
                  <w:fldChar w:fldCharType="begin"/>
                </w:r>
                <w:r>
                  <w:rPr>
                    <w:rFonts w:ascii="Times New Roman" w:eastAsia="Times New Roman"/>
                    <w:sz w:val="16"/>
                  </w:rPr>
                  <w:instrText> PAGE </w:instrText>
                </w:r>
                <w:r>
                  <w:rPr/>
                  <w:fldChar w:fldCharType="separate"/>
                </w:r>
                <w:r>
                  <w:rPr/>
                  <w:t>10</w:t>
                </w:r>
                <w:r>
                  <w:rPr/>
                  <w:fldChar w:fldCharType="end"/>
                </w:r>
                <w:r>
                  <w:rPr>
                    <w:rFonts w:ascii="Times New Roman" w:eastAsia="Times New Roman"/>
                    <w:sz w:val="16"/>
                  </w:rPr>
                  <w:t>  </w:t>
                </w:r>
                <w:r>
                  <w:rPr>
                    <w:sz w:val="16"/>
                  </w:rPr>
                  <w:t>页 共 </w:t>
                </w:r>
                <w:r>
                  <w:rPr>
                    <w:rFonts w:ascii="Times New Roman" w:eastAsia="Times New Roman"/>
                    <w:sz w:val="16"/>
                  </w:rPr>
                  <w:t>18 </w:t>
                </w:r>
                <w:r>
                  <w:rPr>
                    <w:sz w:val="16"/>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6"/>
      <w:numFmt w:val="decimal"/>
      <w:lvlText w:val="%1."/>
      <w:lvlJc w:val="left"/>
      <w:pPr>
        <w:ind w:left="38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2" w:hanging="264"/>
      </w:pPr>
      <w:rPr>
        <w:rFonts w:hint="default"/>
      </w:rPr>
    </w:lvl>
    <w:lvl w:ilvl="3">
      <w:start w:val="0"/>
      <w:numFmt w:val="bullet"/>
      <w:lvlText w:val="•"/>
      <w:lvlJc w:val="left"/>
      <w:pPr>
        <w:ind w:left="2828" w:hanging="264"/>
      </w:pPr>
      <w:rPr>
        <w:rFonts w:hint="default"/>
      </w:rPr>
    </w:lvl>
    <w:lvl w:ilvl="4">
      <w:start w:val="0"/>
      <w:numFmt w:val="bullet"/>
      <w:lvlText w:val="•"/>
      <w:lvlJc w:val="left"/>
      <w:pPr>
        <w:ind w:left="3644" w:hanging="264"/>
      </w:pPr>
      <w:rPr>
        <w:rFonts w:hint="default"/>
      </w:rPr>
    </w:lvl>
    <w:lvl w:ilvl="5">
      <w:start w:val="0"/>
      <w:numFmt w:val="bullet"/>
      <w:lvlText w:val="•"/>
      <w:lvlJc w:val="left"/>
      <w:pPr>
        <w:ind w:left="4460" w:hanging="264"/>
      </w:pPr>
      <w:rPr>
        <w:rFonts w:hint="default"/>
      </w:rPr>
    </w:lvl>
    <w:lvl w:ilvl="6">
      <w:start w:val="0"/>
      <w:numFmt w:val="bullet"/>
      <w:lvlText w:val="•"/>
      <w:lvlJc w:val="left"/>
      <w:pPr>
        <w:ind w:left="5276" w:hanging="264"/>
      </w:pPr>
      <w:rPr>
        <w:rFonts w:hint="default"/>
      </w:rPr>
    </w:lvl>
    <w:lvl w:ilvl="7">
      <w:start w:val="0"/>
      <w:numFmt w:val="bullet"/>
      <w:lvlText w:val="•"/>
      <w:lvlJc w:val="left"/>
      <w:pPr>
        <w:ind w:left="6092" w:hanging="264"/>
      </w:pPr>
      <w:rPr>
        <w:rFonts w:hint="default"/>
      </w:rPr>
    </w:lvl>
    <w:lvl w:ilvl="8">
      <w:start w:val="0"/>
      <w:numFmt w:val="bullet"/>
      <w:lvlText w:val="•"/>
      <w:lvlJc w:val="left"/>
      <w:pPr>
        <w:ind w:left="6908" w:hanging="264"/>
      </w:pPr>
      <w:rPr>
        <w:rFonts w:hint="default"/>
      </w:rPr>
    </w:lvl>
  </w:abstractNum>
  <w:abstractNum w:abstractNumId="10">
    <w:multiLevelType w:val="hybridMultilevel"/>
    <w:lvl w:ilvl="0">
      <w:start w:val="3"/>
      <w:numFmt w:val="decimal"/>
      <w:lvlText w:val="%1."/>
      <w:lvlJc w:val="left"/>
      <w:pPr>
        <w:ind w:left="38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2" w:hanging="264"/>
      </w:pPr>
      <w:rPr>
        <w:rFonts w:hint="default"/>
      </w:rPr>
    </w:lvl>
    <w:lvl w:ilvl="3">
      <w:start w:val="0"/>
      <w:numFmt w:val="bullet"/>
      <w:lvlText w:val="•"/>
      <w:lvlJc w:val="left"/>
      <w:pPr>
        <w:ind w:left="2828" w:hanging="264"/>
      </w:pPr>
      <w:rPr>
        <w:rFonts w:hint="default"/>
      </w:rPr>
    </w:lvl>
    <w:lvl w:ilvl="4">
      <w:start w:val="0"/>
      <w:numFmt w:val="bullet"/>
      <w:lvlText w:val="•"/>
      <w:lvlJc w:val="left"/>
      <w:pPr>
        <w:ind w:left="3644" w:hanging="264"/>
      </w:pPr>
      <w:rPr>
        <w:rFonts w:hint="default"/>
      </w:rPr>
    </w:lvl>
    <w:lvl w:ilvl="5">
      <w:start w:val="0"/>
      <w:numFmt w:val="bullet"/>
      <w:lvlText w:val="•"/>
      <w:lvlJc w:val="left"/>
      <w:pPr>
        <w:ind w:left="4460" w:hanging="264"/>
      </w:pPr>
      <w:rPr>
        <w:rFonts w:hint="default"/>
      </w:rPr>
    </w:lvl>
    <w:lvl w:ilvl="6">
      <w:start w:val="0"/>
      <w:numFmt w:val="bullet"/>
      <w:lvlText w:val="•"/>
      <w:lvlJc w:val="left"/>
      <w:pPr>
        <w:ind w:left="5276" w:hanging="264"/>
      </w:pPr>
      <w:rPr>
        <w:rFonts w:hint="default"/>
      </w:rPr>
    </w:lvl>
    <w:lvl w:ilvl="7">
      <w:start w:val="0"/>
      <w:numFmt w:val="bullet"/>
      <w:lvlText w:val="•"/>
      <w:lvlJc w:val="left"/>
      <w:pPr>
        <w:ind w:left="6092" w:hanging="264"/>
      </w:pPr>
      <w:rPr>
        <w:rFonts w:hint="default"/>
      </w:rPr>
    </w:lvl>
    <w:lvl w:ilvl="8">
      <w:start w:val="0"/>
      <w:numFmt w:val="bullet"/>
      <w:lvlText w:val="•"/>
      <w:lvlJc w:val="left"/>
      <w:pPr>
        <w:ind w:left="6908" w:hanging="264"/>
      </w:pPr>
      <w:rPr>
        <w:rFonts w:hint="default"/>
      </w:rPr>
    </w:lvl>
  </w:abstractNum>
  <w:abstractNum w:abstractNumId="9">
    <w:multiLevelType w:val="hybridMultilevel"/>
    <w:lvl w:ilvl="0">
      <w:start w:val="1"/>
      <w:numFmt w:val="decimal"/>
      <w:lvlText w:val="%1"/>
      <w:lvlJc w:val="left"/>
      <w:pPr>
        <w:ind w:left="278" w:hanging="159"/>
        <w:jc w:val="left"/>
      </w:pPr>
      <w:rPr>
        <w:rFonts w:hint="default" w:ascii="Times New Roman" w:hAnsi="Times New Roman" w:eastAsia="Times New Roman" w:cs="Times New Roman"/>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2" w:hanging="159"/>
      </w:pPr>
      <w:rPr>
        <w:rFonts w:hint="default"/>
      </w:rPr>
    </w:lvl>
    <w:lvl w:ilvl="3">
      <w:start w:val="0"/>
      <w:numFmt w:val="bullet"/>
      <w:lvlText w:val="•"/>
      <w:lvlJc w:val="left"/>
      <w:pPr>
        <w:ind w:left="2758" w:hanging="159"/>
      </w:pPr>
      <w:rPr>
        <w:rFonts w:hint="default"/>
      </w:rPr>
    </w:lvl>
    <w:lvl w:ilvl="4">
      <w:start w:val="0"/>
      <w:numFmt w:val="bullet"/>
      <w:lvlText w:val="•"/>
      <w:lvlJc w:val="left"/>
      <w:pPr>
        <w:ind w:left="3584" w:hanging="159"/>
      </w:pPr>
      <w:rPr>
        <w:rFonts w:hint="default"/>
      </w:rPr>
    </w:lvl>
    <w:lvl w:ilvl="5">
      <w:start w:val="0"/>
      <w:numFmt w:val="bullet"/>
      <w:lvlText w:val="•"/>
      <w:lvlJc w:val="left"/>
      <w:pPr>
        <w:ind w:left="4410" w:hanging="159"/>
      </w:pPr>
      <w:rPr>
        <w:rFonts w:hint="default"/>
      </w:rPr>
    </w:lvl>
    <w:lvl w:ilvl="6">
      <w:start w:val="0"/>
      <w:numFmt w:val="bullet"/>
      <w:lvlText w:val="•"/>
      <w:lvlJc w:val="left"/>
      <w:pPr>
        <w:ind w:left="5236" w:hanging="159"/>
      </w:pPr>
      <w:rPr>
        <w:rFonts w:hint="default"/>
      </w:rPr>
    </w:lvl>
    <w:lvl w:ilvl="7">
      <w:start w:val="0"/>
      <w:numFmt w:val="bullet"/>
      <w:lvlText w:val="•"/>
      <w:lvlJc w:val="left"/>
      <w:pPr>
        <w:ind w:left="6062" w:hanging="159"/>
      </w:pPr>
      <w:rPr>
        <w:rFonts w:hint="default"/>
      </w:rPr>
    </w:lvl>
    <w:lvl w:ilvl="8">
      <w:start w:val="0"/>
      <w:numFmt w:val="bullet"/>
      <w:lvlText w:val="•"/>
      <w:lvlJc w:val="left"/>
      <w:pPr>
        <w:ind w:left="6888" w:hanging="159"/>
      </w:pPr>
      <w:rPr>
        <w:rFonts w:hint="default"/>
      </w:rPr>
    </w:lvl>
  </w:abstractNum>
  <w:abstractNum w:abstractNumId="8">
    <w:multiLevelType w:val="hybridMultilevel"/>
    <w:lvl w:ilvl="0">
      <w:start w:val="1"/>
      <w:numFmt w:val="decimal"/>
      <w:lvlText w:val="%1)"/>
      <w:lvlJc w:val="left"/>
      <w:pPr>
        <w:ind w:left="400" w:hanging="281"/>
        <w:jc w:val="left"/>
      </w:pPr>
      <w:rPr>
        <w:rFonts w:hint="default" w:ascii="Times New Roman" w:hAnsi="Times New Roman" w:eastAsia="Times New Roman" w:cs="Times New Roman"/>
        <w:w w:val="100"/>
        <w:sz w:val="21"/>
        <w:szCs w:val="21"/>
      </w:rPr>
    </w:lvl>
    <w:lvl w:ilvl="1">
      <w:start w:val="0"/>
      <w:numFmt w:val="bullet"/>
      <w:lvlText w:val="•"/>
      <w:lvlJc w:val="left"/>
      <w:pPr>
        <w:ind w:left="1214" w:hanging="281"/>
      </w:pPr>
      <w:rPr>
        <w:rFonts w:hint="default"/>
      </w:rPr>
    </w:lvl>
    <w:lvl w:ilvl="2">
      <w:start w:val="0"/>
      <w:numFmt w:val="bullet"/>
      <w:lvlText w:val="•"/>
      <w:lvlJc w:val="left"/>
      <w:pPr>
        <w:ind w:left="2028" w:hanging="281"/>
      </w:pPr>
      <w:rPr>
        <w:rFonts w:hint="default"/>
      </w:rPr>
    </w:lvl>
    <w:lvl w:ilvl="3">
      <w:start w:val="0"/>
      <w:numFmt w:val="bullet"/>
      <w:lvlText w:val="•"/>
      <w:lvlJc w:val="left"/>
      <w:pPr>
        <w:ind w:left="2842" w:hanging="281"/>
      </w:pPr>
      <w:rPr>
        <w:rFonts w:hint="default"/>
      </w:rPr>
    </w:lvl>
    <w:lvl w:ilvl="4">
      <w:start w:val="0"/>
      <w:numFmt w:val="bullet"/>
      <w:lvlText w:val="•"/>
      <w:lvlJc w:val="left"/>
      <w:pPr>
        <w:ind w:left="3656" w:hanging="281"/>
      </w:pPr>
      <w:rPr>
        <w:rFonts w:hint="default"/>
      </w:rPr>
    </w:lvl>
    <w:lvl w:ilvl="5">
      <w:start w:val="0"/>
      <w:numFmt w:val="bullet"/>
      <w:lvlText w:val="•"/>
      <w:lvlJc w:val="left"/>
      <w:pPr>
        <w:ind w:left="4470" w:hanging="281"/>
      </w:pPr>
      <w:rPr>
        <w:rFonts w:hint="default"/>
      </w:rPr>
    </w:lvl>
    <w:lvl w:ilvl="6">
      <w:start w:val="0"/>
      <w:numFmt w:val="bullet"/>
      <w:lvlText w:val="•"/>
      <w:lvlJc w:val="left"/>
      <w:pPr>
        <w:ind w:left="5284" w:hanging="281"/>
      </w:pPr>
      <w:rPr>
        <w:rFonts w:hint="default"/>
      </w:rPr>
    </w:lvl>
    <w:lvl w:ilvl="7">
      <w:start w:val="0"/>
      <w:numFmt w:val="bullet"/>
      <w:lvlText w:val="•"/>
      <w:lvlJc w:val="left"/>
      <w:pPr>
        <w:ind w:left="6098" w:hanging="281"/>
      </w:pPr>
      <w:rPr>
        <w:rFonts w:hint="default"/>
      </w:rPr>
    </w:lvl>
    <w:lvl w:ilvl="8">
      <w:start w:val="0"/>
      <w:numFmt w:val="bullet"/>
      <w:lvlText w:val="•"/>
      <w:lvlJc w:val="left"/>
      <w:pPr>
        <w:ind w:left="6912" w:hanging="281"/>
      </w:pPr>
      <w:rPr>
        <w:rFonts w:hint="default"/>
      </w:rPr>
    </w:lvl>
  </w:abstractNum>
  <w:abstractNum w:abstractNumId="7">
    <w:multiLevelType w:val="hybridMultilevel"/>
    <w:lvl w:ilvl="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160" w:hanging="212"/>
      </w:pPr>
      <w:rPr>
        <w:rFonts w:hint="default"/>
      </w:rPr>
    </w:lvl>
    <w:lvl w:ilvl="2">
      <w:start w:val="0"/>
      <w:numFmt w:val="bullet"/>
      <w:lvlText w:val="•"/>
      <w:lvlJc w:val="left"/>
      <w:pPr>
        <w:ind w:left="1980" w:hanging="212"/>
      </w:pPr>
      <w:rPr>
        <w:rFonts w:hint="default"/>
      </w:rPr>
    </w:lvl>
    <w:lvl w:ilvl="3">
      <w:start w:val="0"/>
      <w:numFmt w:val="bullet"/>
      <w:lvlText w:val="•"/>
      <w:lvlJc w:val="left"/>
      <w:pPr>
        <w:ind w:left="2800" w:hanging="212"/>
      </w:pPr>
      <w:rPr>
        <w:rFonts w:hint="default"/>
      </w:rPr>
    </w:lvl>
    <w:lvl w:ilvl="4">
      <w:start w:val="0"/>
      <w:numFmt w:val="bullet"/>
      <w:lvlText w:val="•"/>
      <w:lvlJc w:val="left"/>
      <w:pPr>
        <w:ind w:left="3620" w:hanging="212"/>
      </w:pPr>
      <w:rPr>
        <w:rFonts w:hint="default"/>
      </w:rPr>
    </w:lvl>
    <w:lvl w:ilvl="5">
      <w:start w:val="0"/>
      <w:numFmt w:val="bullet"/>
      <w:lvlText w:val="•"/>
      <w:lvlJc w:val="left"/>
      <w:pPr>
        <w:ind w:left="4440" w:hanging="212"/>
      </w:pPr>
      <w:rPr>
        <w:rFonts w:hint="default"/>
      </w:rPr>
    </w:lvl>
    <w:lvl w:ilvl="6">
      <w:start w:val="0"/>
      <w:numFmt w:val="bullet"/>
      <w:lvlText w:val="•"/>
      <w:lvlJc w:val="left"/>
      <w:pPr>
        <w:ind w:left="5260" w:hanging="212"/>
      </w:pPr>
      <w:rPr>
        <w:rFonts w:hint="default"/>
      </w:rPr>
    </w:lvl>
    <w:lvl w:ilvl="7">
      <w:start w:val="0"/>
      <w:numFmt w:val="bullet"/>
      <w:lvlText w:val="•"/>
      <w:lvlJc w:val="left"/>
      <w:pPr>
        <w:ind w:left="6080" w:hanging="212"/>
      </w:pPr>
      <w:rPr>
        <w:rFonts w:hint="default"/>
      </w:rPr>
    </w:lvl>
    <w:lvl w:ilvl="8">
      <w:start w:val="0"/>
      <w:numFmt w:val="bullet"/>
      <w:lvlText w:val="•"/>
      <w:lvlJc w:val="left"/>
      <w:pPr>
        <w:ind w:left="6900" w:hanging="212"/>
      </w:pPr>
      <w:rPr>
        <w:rFonts w:hint="default"/>
      </w:rPr>
    </w:lvl>
  </w:abstractNum>
  <w:abstractNum w:abstractNumId="6">
    <w:multiLevelType w:val="hybridMultilevel"/>
    <w:lvl w:ilvl="0">
      <w:start w:val="17"/>
      <w:numFmt w:val="decimal"/>
      <w:lvlText w:val="%1"/>
      <w:lvlJc w:val="left"/>
      <w:pPr>
        <w:ind w:left="490" w:hanging="371"/>
        <w:jc w:val="left"/>
      </w:pPr>
      <w:rPr>
        <w:rFonts w:hint="default"/>
      </w:rPr>
    </w:lvl>
    <w:lvl w:ilvl="1">
      <w:start w:val="2"/>
      <w:numFmt w:val="decimal"/>
      <w:lvlText w:val="%1.%2"/>
      <w:lvlJc w:val="left"/>
      <w:pPr>
        <w:ind w:left="490" w:hanging="371"/>
        <w:jc w:val="left"/>
      </w:pPr>
      <w:rPr>
        <w:rFonts w:hint="default" w:ascii="Times New Roman" w:hAnsi="Times New Roman" w:eastAsia="Times New Roman" w:cs="Times New Roman"/>
        <w:w w:val="100"/>
        <w:sz w:val="19"/>
        <w:szCs w:val="19"/>
      </w:rPr>
    </w:lvl>
    <w:lvl w:ilvl="2">
      <w:start w:val="1"/>
      <w:numFmt w:val="decimal"/>
      <w:lvlText w:val="%1.%2.%3"/>
      <w:lvlJc w:val="left"/>
      <w:pPr>
        <w:ind w:left="120" w:hanging="632"/>
        <w:jc w:val="left"/>
      </w:pPr>
      <w:rPr>
        <w:rFonts w:hint="default" w:ascii="Times New Roman" w:hAnsi="Times New Roman" w:eastAsia="Times New Roman" w:cs="Times New Roman"/>
        <w:w w:val="100"/>
        <w:sz w:val="21"/>
        <w:szCs w:val="21"/>
      </w:rPr>
    </w:lvl>
    <w:lvl w:ilvl="3">
      <w:start w:val="0"/>
      <w:numFmt w:val="bullet"/>
      <w:lvlText w:val="•"/>
      <w:lvlJc w:val="left"/>
      <w:pPr>
        <w:ind w:left="2286" w:hanging="632"/>
      </w:pPr>
      <w:rPr>
        <w:rFonts w:hint="default"/>
      </w:rPr>
    </w:lvl>
    <w:lvl w:ilvl="4">
      <w:start w:val="0"/>
      <w:numFmt w:val="bullet"/>
      <w:lvlText w:val="•"/>
      <w:lvlJc w:val="left"/>
      <w:pPr>
        <w:ind w:left="3180" w:hanging="632"/>
      </w:pPr>
      <w:rPr>
        <w:rFonts w:hint="default"/>
      </w:rPr>
    </w:lvl>
    <w:lvl w:ilvl="5">
      <w:start w:val="0"/>
      <w:numFmt w:val="bullet"/>
      <w:lvlText w:val="•"/>
      <w:lvlJc w:val="left"/>
      <w:pPr>
        <w:ind w:left="4073" w:hanging="632"/>
      </w:pPr>
      <w:rPr>
        <w:rFonts w:hint="default"/>
      </w:rPr>
    </w:lvl>
    <w:lvl w:ilvl="6">
      <w:start w:val="0"/>
      <w:numFmt w:val="bullet"/>
      <w:lvlText w:val="•"/>
      <w:lvlJc w:val="left"/>
      <w:pPr>
        <w:ind w:left="4966" w:hanging="632"/>
      </w:pPr>
      <w:rPr>
        <w:rFonts w:hint="default"/>
      </w:rPr>
    </w:lvl>
    <w:lvl w:ilvl="7">
      <w:start w:val="0"/>
      <w:numFmt w:val="bullet"/>
      <w:lvlText w:val="•"/>
      <w:lvlJc w:val="left"/>
      <w:pPr>
        <w:ind w:left="5860" w:hanging="632"/>
      </w:pPr>
      <w:rPr>
        <w:rFonts w:hint="default"/>
      </w:rPr>
    </w:lvl>
    <w:lvl w:ilvl="8">
      <w:start w:val="0"/>
      <w:numFmt w:val="bullet"/>
      <w:lvlText w:val="•"/>
      <w:lvlJc w:val="left"/>
      <w:pPr>
        <w:ind w:left="6753" w:hanging="632"/>
      </w:pPr>
      <w:rPr>
        <w:rFonts w:hint="default"/>
      </w:rPr>
    </w:lvl>
  </w:abstractNum>
  <w:abstractNum w:abstractNumId="5">
    <w:multiLevelType w:val="hybridMultilevel"/>
    <w:lvl w:ilvl="0">
      <w:start w:val="17"/>
      <w:numFmt w:val="decimal"/>
      <w:lvlText w:val="%1."/>
      <w:lvlJc w:val="left"/>
      <w:pPr>
        <w:ind w:left="592" w:hanging="473"/>
        <w:jc w:val="left"/>
      </w:pPr>
      <w:rPr>
        <w:rFonts w:hint="default" w:ascii="Times New Roman" w:hAnsi="Times New Roman" w:eastAsia="Times New Roman" w:cs="Times New Roman"/>
        <w:spacing w:val="0"/>
        <w:w w:val="100"/>
        <w:sz w:val="27"/>
        <w:szCs w:val="27"/>
      </w:rPr>
    </w:lvl>
    <w:lvl w:ilvl="1">
      <w:start w:val="1"/>
      <w:numFmt w:val="decimal"/>
      <w:lvlText w:val="%1.%2"/>
      <w:lvlJc w:val="left"/>
      <w:pPr>
        <w:ind w:left="490" w:hanging="371"/>
        <w:jc w:val="left"/>
      </w:pPr>
      <w:rPr>
        <w:rFonts w:hint="default" w:ascii="Times New Roman" w:hAnsi="Times New Roman" w:eastAsia="Times New Roman" w:cs="Times New Roman"/>
        <w:w w:val="100"/>
        <w:sz w:val="19"/>
        <w:szCs w:val="19"/>
      </w:rPr>
    </w:lvl>
    <w:lvl w:ilvl="2">
      <w:start w:val="1"/>
      <w:numFmt w:val="decimal"/>
      <w:lvlText w:val="%1.%2.%3"/>
      <w:lvlJc w:val="left"/>
      <w:pPr>
        <w:ind w:left="120" w:hanging="632"/>
        <w:jc w:val="left"/>
      </w:pPr>
      <w:rPr>
        <w:rFonts w:hint="default" w:ascii="Times New Roman" w:hAnsi="Times New Roman" w:eastAsia="Times New Roman" w:cs="Times New Roman"/>
        <w:w w:val="100"/>
        <w:sz w:val="21"/>
        <w:szCs w:val="21"/>
      </w:rPr>
    </w:lvl>
    <w:lvl w:ilvl="3">
      <w:start w:val="0"/>
      <w:numFmt w:val="bullet"/>
      <w:lvlText w:val="•"/>
      <w:lvlJc w:val="left"/>
      <w:pPr>
        <w:ind w:left="1592" w:hanging="632"/>
      </w:pPr>
      <w:rPr>
        <w:rFonts w:hint="default"/>
      </w:rPr>
    </w:lvl>
    <w:lvl w:ilvl="4">
      <w:start w:val="0"/>
      <w:numFmt w:val="bullet"/>
      <w:lvlText w:val="•"/>
      <w:lvlJc w:val="left"/>
      <w:pPr>
        <w:ind w:left="2585" w:hanging="632"/>
      </w:pPr>
      <w:rPr>
        <w:rFonts w:hint="default"/>
      </w:rPr>
    </w:lvl>
    <w:lvl w:ilvl="5">
      <w:start w:val="0"/>
      <w:numFmt w:val="bullet"/>
      <w:lvlText w:val="•"/>
      <w:lvlJc w:val="left"/>
      <w:pPr>
        <w:ind w:left="3577" w:hanging="632"/>
      </w:pPr>
      <w:rPr>
        <w:rFonts w:hint="default"/>
      </w:rPr>
    </w:lvl>
    <w:lvl w:ilvl="6">
      <w:start w:val="0"/>
      <w:numFmt w:val="bullet"/>
      <w:lvlText w:val="•"/>
      <w:lvlJc w:val="left"/>
      <w:pPr>
        <w:ind w:left="4570" w:hanging="632"/>
      </w:pPr>
      <w:rPr>
        <w:rFonts w:hint="default"/>
      </w:rPr>
    </w:lvl>
    <w:lvl w:ilvl="7">
      <w:start w:val="0"/>
      <w:numFmt w:val="bullet"/>
      <w:lvlText w:val="•"/>
      <w:lvlJc w:val="left"/>
      <w:pPr>
        <w:ind w:left="5562" w:hanging="632"/>
      </w:pPr>
      <w:rPr>
        <w:rFonts w:hint="default"/>
      </w:rPr>
    </w:lvl>
    <w:lvl w:ilvl="8">
      <w:start w:val="0"/>
      <w:numFmt w:val="bullet"/>
      <w:lvlText w:val="•"/>
      <w:lvlJc w:val="left"/>
      <w:pPr>
        <w:ind w:left="6555" w:hanging="632"/>
      </w:pPr>
      <w:rPr>
        <w:rFonts w:hint="default"/>
      </w:rPr>
    </w:lvl>
  </w:abstractNum>
  <w:abstractNum w:abstractNumId="4">
    <w:multiLevelType w:val="hybridMultilevel"/>
    <w:lvl w:ilvl="0">
      <w:start w:val="13"/>
      <w:numFmt w:val="decimal"/>
      <w:lvlText w:val="%1"/>
      <w:lvlJc w:val="left"/>
      <w:pPr>
        <w:ind w:left="120" w:hanging="473"/>
        <w:jc w:val="left"/>
      </w:pPr>
      <w:rPr>
        <w:rFonts w:hint="default"/>
      </w:rPr>
    </w:lvl>
    <w:lvl w:ilvl="1">
      <w:start w:val="1"/>
      <w:numFmt w:val="decimal"/>
      <w:lvlText w:val="%1.%2"/>
      <w:lvlJc w:val="left"/>
      <w:pPr>
        <w:ind w:left="120" w:hanging="473"/>
        <w:jc w:val="left"/>
      </w:pPr>
      <w:rPr>
        <w:rFonts w:hint="default" w:ascii="Times New Roman" w:hAnsi="Times New Roman" w:eastAsia="Times New Roman" w:cs="Times New Roman"/>
        <w:w w:val="100"/>
        <w:sz w:val="21"/>
        <w:szCs w:val="21"/>
      </w:rPr>
    </w:lvl>
    <w:lvl w:ilvl="2">
      <w:start w:val="0"/>
      <w:numFmt w:val="bullet"/>
      <w:lvlText w:val="•"/>
      <w:lvlJc w:val="left"/>
      <w:pPr>
        <w:ind w:left="1804" w:hanging="473"/>
      </w:pPr>
      <w:rPr>
        <w:rFonts w:hint="default"/>
      </w:rPr>
    </w:lvl>
    <w:lvl w:ilvl="3">
      <w:start w:val="0"/>
      <w:numFmt w:val="bullet"/>
      <w:lvlText w:val="•"/>
      <w:lvlJc w:val="left"/>
      <w:pPr>
        <w:ind w:left="2646" w:hanging="473"/>
      </w:pPr>
      <w:rPr>
        <w:rFonts w:hint="default"/>
      </w:rPr>
    </w:lvl>
    <w:lvl w:ilvl="4">
      <w:start w:val="0"/>
      <w:numFmt w:val="bullet"/>
      <w:lvlText w:val="•"/>
      <w:lvlJc w:val="left"/>
      <w:pPr>
        <w:ind w:left="3488" w:hanging="473"/>
      </w:pPr>
      <w:rPr>
        <w:rFonts w:hint="default"/>
      </w:rPr>
    </w:lvl>
    <w:lvl w:ilvl="5">
      <w:start w:val="0"/>
      <w:numFmt w:val="bullet"/>
      <w:lvlText w:val="•"/>
      <w:lvlJc w:val="left"/>
      <w:pPr>
        <w:ind w:left="4330" w:hanging="473"/>
      </w:pPr>
      <w:rPr>
        <w:rFonts w:hint="default"/>
      </w:rPr>
    </w:lvl>
    <w:lvl w:ilvl="6">
      <w:start w:val="0"/>
      <w:numFmt w:val="bullet"/>
      <w:lvlText w:val="•"/>
      <w:lvlJc w:val="left"/>
      <w:pPr>
        <w:ind w:left="5172" w:hanging="473"/>
      </w:pPr>
      <w:rPr>
        <w:rFonts w:hint="default"/>
      </w:rPr>
    </w:lvl>
    <w:lvl w:ilvl="7">
      <w:start w:val="0"/>
      <w:numFmt w:val="bullet"/>
      <w:lvlText w:val="•"/>
      <w:lvlJc w:val="left"/>
      <w:pPr>
        <w:ind w:left="6014" w:hanging="473"/>
      </w:pPr>
      <w:rPr>
        <w:rFonts w:hint="default"/>
      </w:rPr>
    </w:lvl>
    <w:lvl w:ilvl="8">
      <w:start w:val="0"/>
      <w:numFmt w:val="bullet"/>
      <w:lvlText w:val="•"/>
      <w:lvlJc w:val="left"/>
      <w:pPr>
        <w:ind w:left="6856" w:hanging="473"/>
      </w:pPr>
      <w:rPr>
        <w:rFonts w:hint="default"/>
      </w:rPr>
    </w:lvl>
  </w:abstractNum>
  <w:abstractNum w:abstractNumId="3">
    <w:multiLevelType w:val="hybridMultilevel"/>
    <w:lvl w:ilvl="0">
      <w:start w:val="12"/>
      <w:numFmt w:val="decimal"/>
      <w:lvlText w:val="%1"/>
      <w:lvlJc w:val="left"/>
      <w:pPr>
        <w:ind w:left="120" w:hanging="473"/>
        <w:jc w:val="left"/>
      </w:pPr>
      <w:rPr>
        <w:rFonts w:hint="default"/>
      </w:rPr>
    </w:lvl>
    <w:lvl w:ilvl="1">
      <w:start w:val="1"/>
      <w:numFmt w:val="decimal"/>
      <w:lvlText w:val="%1.%2"/>
      <w:lvlJc w:val="left"/>
      <w:pPr>
        <w:ind w:left="120" w:hanging="473"/>
        <w:jc w:val="right"/>
      </w:pPr>
      <w:rPr>
        <w:rFonts w:hint="default" w:ascii="Times New Roman" w:hAnsi="Times New Roman" w:eastAsia="Times New Roman" w:cs="Times New Roman"/>
        <w:w w:val="100"/>
        <w:sz w:val="21"/>
        <w:szCs w:val="21"/>
      </w:rPr>
    </w:lvl>
    <w:lvl w:ilvl="2">
      <w:start w:val="0"/>
      <w:numFmt w:val="bullet"/>
      <w:lvlText w:val="•"/>
      <w:lvlJc w:val="left"/>
      <w:pPr>
        <w:ind w:left="1804" w:hanging="473"/>
      </w:pPr>
      <w:rPr>
        <w:rFonts w:hint="default"/>
      </w:rPr>
    </w:lvl>
    <w:lvl w:ilvl="3">
      <w:start w:val="0"/>
      <w:numFmt w:val="bullet"/>
      <w:lvlText w:val="•"/>
      <w:lvlJc w:val="left"/>
      <w:pPr>
        <w:ind w:left="2646" w:hanging="473"/>
      </w:pPr>
      <w:rPr>
        <w:rFonts w:hint="default"/>
      </w:rPr>
    </w:lvl>
    <w:lvl w:ilvl="4">
      <w:start w:val="0"/>
      <w:numFmt w:val="bullet"/>
      <w:lvlText w:val="•"/>
      <w:lvlJc w:val="left"/>
      <w:pPr>
        <w:ind w:left="3488" w:hanging="473"/>
      </w:pPr>
      <w:rPr>
        <w:rFonts w:hint="default"/>
      </w:rPr>
    </w:lvl>
    <w:lvl w:ilvl="5">
      <w:start w:val="0"/>
      <w:numFmt w:val="bullet"/>
      <w:lvlText w:val="•"/>
      <w:lvlJc w:val="left"/>
      <w:pPr>
        <w:ind w:left="4330" w:hanging="473"/>
      </w:pPr>
      <w:rPr>
        <w:rFonts w:hint="default"/>
      </w:rPr>
    </w:lvl>
    <w:lvl w:ilvl="6">
      <w:start w:val="0"/>
      <w:numFmt w:val="bullet"/>
      <w:lvlText w:val="•"/>
      <w:lvlJc w:val="left"/>
      <w:pPr>
        <w:ind w:left="5172" w:hanging="473"/>
      </w:pPr>
      <w:rPr>
        <w:rFonts w:hint="default"/>
      </w:rPr>
    </w:lvl>
    <w:lvl w:ilvl="7">
      <w:start w:val="0"/>
      <w:numFmt w:val="bullet"/>
      <w:lvlText w:val="•"/>
      <w:lvlJc w:val="left"/>
      <w:pPr>
        <w:ind w:left="6014" w:hanging="473"/>
      </w:pPr>
      <w:rPr>
        <w:rFonts w:hint="default"/>
      </w:rPr>
    </w:lvl>
    <w:lvl w:ilvl="8">
      <w:start w:val="0"/>
      <w:numFmt w:val="bullet"/>
      <w:lvlText w:val="•"/>
      <w:lvlJc w:val="left"/>
      <w:pPr>
        <w:ind w:left="6856" w:hanging="473"/>
      </w:pPr>
      <w:rPr>
        <w:rFonts w:hint="default"/>
      </w:rPr>
    </w:lvl>
  </w:abstractNum>
  <w:abstractNum w:abstractNumId="2">
    <w:multiLevelType w:val="hybridMultilevel"/>
    <w:lvl w:ilvl="0">
      <w:start w:val="1"/>
      <w:numFmt w:val="decimal"/>
      <w:lvlText w:val="%1"/>
      <w:lvlJc w:val="left"/>
      <w:pPr>
        <w:ind w:left="120" w:hanging="212"/>
        <w:jc w:val="left"/>
      </w:pPr>
      <w:rPr>
        <w:rFonts w:hint="default" w:ascii="Times New Roman" w:hAnsi="Times New Roman" w:eastAsia="Times New Roman" w:cs="Times New Roman"/>
        <w:w w:val="100"/>
        <w:sz w:val="21"/>
        <w:szCs w:val="21"/>
      </w:rPr>
    </w:lvl>
    <w:lvl w:ilvl="1">
      <w:start w:val="0"/>
      <w:numFmt w:val="bullet"/>
      <w:lvlText w:val="•"/>
      <w:lvlJc w:val="left"/>
      <w:pPr>
        <w:ind w:left="962" w:hanging="212"/>
      </w:pPr>
      <w:rPr>
        <w:rFonts w:hint="default"/>
      </w:rPr>
    </w:lvl>
    <w:lvl w:ilvl="2">
      <w:start w:val="0"/>
      <w:numFmt w:val="bullet"/>
      <w:lvlText w:val="•"/>
      <w:lvlJc w:val="left"/>
      <w:pPr>
        <w:ind w:left="1804" w:hanging="212"/>
      </w:pPr>
      <w:rPr>
        <w:rFonts w:hint="default"/>
      </w:rPr>
    </w:lvl>
    <w:lvl w:ilvl="3">
      <w:start w:val="0"/>
      <w:numFmt w:val="bullet"/>
      <w:lvlText w:val="•"/>
      <w:lvlJc w:val="left"/>
      <w:pPr>
        <w:ind w:left="2646" w:hanging="212"/>
      </w:pPr>
      <w:rPr>
        <w:rFonts w:hint="default"/>
      </w:rPr>
    </w:lvl>
    <w:lvl w:ilvl="4">
      <w:start w:val="0"/>
      <w:numFmt w:val="bullet"/>
      <w:lvlText w:val="•"/>
      <w:lvlJc w:val="left"/>
      <w:pPr>
        <w:ind w:left="3488" w:hanging="212"/>
      </w:pPr>
      <w:rPr>
        <w:rFonts w:hint="default"/>
      </w:rPr>
    </w:lvl>
    <w:lvl w:ilvl="5">
      <w:start w:val="0"/>
      <w:numFmt w:val="bullet"/>
      <w:lvlText w:val="•"/>
      <w:lvlJc w:val="left"/>
      <w:pPr>
        <w:ind w:left="4330" w:hanging="212"/>
      </w:pPr>
      <w:rPr>
        <w:rFonts w:hint="default"/>
      </w:rPr>
    </w:lvl>
    <w:lvl w:ilvl="6">
      <w:start w:val="0"/>
      <w:numFmt w:val="bullet"/>
      <w:lvlText w:val="•"/>
      <w:lvlJc w:val="left"/>
      <w:pPr>
        <w:ind w:left="5172" w:hanging="212"/>
      </w:pPr>
      <w:rPr>
        <w:rFonts w:hint="default"/>
      </w:rPr>
    </w:lvl>
    <w:lvl w:ilvl="7">
      <w:start w:val="0"/>
      <w:numFmt w:val="bullet"/>
      <w:lvlText w:val="•"/>
      <w:lvlJc w:val="left"/>
      <w:pPr>
        <w:ind w:left="6014" w:hanging="212"/>
      </w:pPr>
      <w:rPr>
        <w:rFonts w:hint="default"/>
      </w:rPr>
    </w:lvl>
    <w:lvl w:ilvl="8">
      <w:start w:val="0"/>
      <w:numFmt w:val="bullet"/>
      <w:lvlText w:val="•"/>
      <w:lvlJc w:val="left"/>
      <w:pPr>
        <w:ind w:left="6856" w:hanging="212"/>
      </w:pPr>
      <w:rPr>
        <w:rFonts w:hint="default"/>
      </w:rPr>
    </w:lvl>
  </w:abstractNum>
  <w:abstractNum w:abstractNumId="1">
    <w:multiLevelType w:val="hybridMultilevel"/>
    <w:lvl w:ilvl="0">
      <w:start w:val="1"/>
      <w:numFmt w:val="decimal"/>
      <w:lvlText w:val="%1."/>
      <w:lvlJc w:val="left"/>
      <w:pPr>
        <w:ind w:left="120" w:hanging="339"/>
        <w:jc w:val="left"/>
      </w:pPr>
      <w:rPr>
        <w:rFonts w:hint="default" w:ascii="Times New Roman" w:hAnsi="Times New Roman" w:eastAsia="Times New Roman" w:cs="Times New Roman"/>
        <w:spacing w:val="0"/>
        <w:w w:val="100"/>
        <w:sz w:val="27"/>
        <w:szCs w:val="27"/>
      </w:rPr>
    </w:lvl>
    <w:lvl w:ilvl="1">
      <w:start w:val="1"/>
      <w:numFmt w:val="decimal"/>
      <w:lvlText w:val="%1.%2"/>
      <w:lvlJc w:val="left"/>
      <w:pPr>
        <w:ind w:left="489"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375" w:hanging="370"/>
      </w:pPr>
      <w:rPr>
        <w:rFonts w:hint="default"/>
      </w:rPr>
    </w:lvl>
    <w:lvl w:ilvl="3">
      <w:start w:val="0"/>
      <w:numFmt w:val="bullet"/>
      <w:lvlText w:val="•"/>
      <w:lvlJc w:val="left"/>
      <w:pPr>
        <w:ind w:left="2271" w:hanging="370"/>
      </w:pPr>
      <w:rPr>
        <w:rFonts w:hint="default"/>
      </w:rPr>
    </w:lvl>
    <w:lvl w:ilvl="4">
      <w:start w:val="0"/>
      <w:numFmt w:val="bullet"/>
      <w:lvlText w:val="•"/>
      <w:lvlJc w:val="left"/>
      <w:pPr>
        <w:ind w:left="3166" w:hanging="370"/>
      </w:pPr>
      <w:rPr>
        <w:rFonts w:hint="default"/>
      </w:rPr>
    </w:lvl>
    <w:lvl w:ilvl="5">
      <w:start w:val="0"/>
      <w:numFmt w:val="bullet"/>
      <w:lvlText w:val="•"/>
      <w:lvlJc w:val="left"/>
      <w:pPr>
        <w:ind w:left="4062" w:hanging="370"/>
      </w:pPr>
      <w:rPr>
        <w:rFonts w:hint="default"/>
      </w:rPr>
    </w:lvl>
    <w:lvl w:ilvl="6">
      <w:start w:val="0"/>
      <w:numFmt w:val="bullet"/>
      <w:lvlText w:val="•"/>
      <w:lvlJc w:val="left"/>
      <w:pPr>
        <w:ind w:left="4957" w:hanging="370"/>
      </w:pPr>
      <w:rPr>
        <w:rFonts w:hint="default"/>
      </w:rPr>
    </w:lvl>
    <w:lvl w:ilvl="7">
      <w:start w:val="0"/>
      <w:numFmt w:val="bullet"/>
      <w:lvlText w:val="•"/>
      <w:lvlJc w:val="left"/>
      <w:pPr>
        <w:ind w:left="5853" w:hanging="370"/>
      </w:pPr>
      <w:rPr>
        <w:rFonts w:hint="default"/>
      </w:rPr>
    </w:lvl>
    <w:lvl w:ilvl="8">
      <w:start w:val="0"/>
      <w:numFmt w:val="bullet"/>
      <w:lvlText w:val="•"/>
      <w:lvlJc w:val="left"/>
      <w:pPr>
        <w:ind w:left="6748" w:hanging="370"/>
      </w:pPr>
      <w:rPr>
        <w:rFonts w:hint="default"/>
      </w:rPr>
    </w:lvl>
  </w:abstractNum>
  <w:abstractNum w:abstractNumId="0">
    <w:multiLevelType w:val="hybridMultilevel"/>
    <w:lvl w:ilvl="0">
      <w:start w:val="2"/>
      <w:numFmt w:val="decimal"/>
      <w:lvlText w:val="%1."/>
      <w:lvlJc w:val="left"/>
      <w:pPr>
        <w:ind w:left="559" w:hanging="228"/>
        <w:jc w:val="left"/>
      </w:pPr>
      <w:rPr>
        <w:rFonts w:hint="default" w:ascii="Times New Roman" w:hAnsi="Times New Roman" w:eastAsia="Times New Roman" w:cs="Times New Roman"/>
        <w:spacing w:val="0"/>
        <w:w w:val="100"/>
        <w:sz w:val="18"/>
        <w:szCs w:val="18"/>
      </w:rPr>
    </w:lvl>
    <w:lvl w:ilvl="1">
      <w:start w:val="0"/>
      <w:numFmt w:val="bullet"/>
      <w:lvlText w:val="•"/>
      <w:lvlJc w:val="left"/>
      <w:pPr>
        <w:ind w:left="1358" w:hanging="228"/>
      </w:pPr>
      <w:rPr>
        <w:rFonts w:hint="default"/>
      </w:rPr>
    </w:lvl>
    <w:lvl w:ilvl="2">
      <w:start w:val="0"/>
      <w:numFmt w:val="bullet"/>
      <w:lvlText w:val="•"/>
      <w:lvlJc w:val="left"/>
      <w:pPr>
        <w:ind w:left="2156" w:hanging="228"/>
      </w:pPr>
      <w:rPr>
        <w:rFonts w:hint="default"/>
      </w:rPr>
    </w:lvl>
    <w:lvl w:ilvl="3">
      <w:start w:val="0"/>
      <w:numFmt w:val="bullet"/>
      <w:lvlText w:val="•"/>
      <w:lvlJc w:val="left"/>
      <w:pPr>
        <w:ind w:left="2954" w:hanging="228"/>
      </w:pPr>
      <w:rPr>
        <w:rFonts w:hint="default"/>
      </w:rPr>
    </w:lvl>
    <w:lvl w:ilvl="4">
      <w:start w:val="0"/>
      <w:numFmt w:val="bullet"/>
      <w:lvlText w:val="•"/>
      <w:lvlJc w:val="left"/>
      <w:pPr>
        <w:ind w:left="3752" w:hanging="228"/>
      </w:pPr>
      <w:rPr>
        <w:rFonts w:hint="default"/>
      </w:rPr>
    </w:lvl>
    <w:lvl w:ilvl="5">
      <w:start w:val="0"/>
      <w:numFmt w:val="bullet"/>
      <w:lvlText w:val="•"/>
      <w:lvlJc w:val="left"/>
      <w:pPr>
        <w:ind w:left="4550" w:hanging="228"/>
      </w:pPr>
      <w:rPr>
        <w:rFonts w:hint="default"/>
      </w:rPr>
    </w:lvl>
    <w:lvl w:ilvl="6">
      <w:start w:val="0"/>
      <w:numFmt w:val="bullet"/>
      <w:lvlText w:val="•"/>
      <w:lvlJc w:val="left"/>
      <w:pPr>
        <w:ind w:left="5348" w:hanging="228"/>
      </w:pPr>
      <w:rPr>
        <w:rFonts w:hint="default"/>
      </w:rPr>
    </w:lvl>
    <w:lvl w:ilvl="7">
      <w:start w:val="0"/>
      <w:numFmt w:val="bullet"/>
      <w:lvlText w:val="•"/>
      <w:lvlJc w:val="left"/>
      <w:pPr>
        <w:ind w:left="6146" w:hanging="228"/>
      </w:pPr>
      <w:rPr>
        <w:rFonts w:hint="default"/>
      </w:rPr>
    </w:lvl>
    <w:lvl w:ilvl="8">
      <w:start w:val="0"/>
      <w:numFmt w:val="bullet"/>
      <w:lvlText w:val="•"/>
      <w:lvlJc w:val="left"/>
      <w:pPr>
        <w:ind w:left="6944" w:hanging="228"/>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2"/>
      <w:ind w:right="719"/>
      <w:jc w:val="center"/>
    </w:pPr>
    <w:rPr>
      <w:rFonts w:ascii="宋体" w:hAnsi="宋体" w:eastAsia="宋体" w:cs="宋体"/>
      <w:sz w:val="18"/>
      <w:szCs w:val="18"/>
    </w:rPr>
  </w:style>
  <w:style w:styleId="TOC2" w:type="paragraph">
    <w:name w:val="TOC 2"/>
    <w:basedOn w:val="Normal"/>
    <w:uiPriority w:val="1"/>
    <w:qFormat/>
    <w:pPr>
      <w:spacing w:before="62"/>
      <w:ind w:left="559" w:hanging="22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15"/>
      <w:outlineLvl w:val="1"/>
    </w:pPr>
    <w:rPr>
      <w:rFonts w:ascii="宋体" w:hAnsi="宋体" w:eastAsia="宋体" w:cs="宋体"/>
      <w:sz w:val="39"/>
      <w:szCs w:val="39"/>
    </w:rPr>
  </w:style>
  <w:style w:styleId="Heading2" w:type="paragraph">
    <w:name w:val="Heading 2"/>
    <w:basedOn w:val="Normal"/>
    <w:uiPriority w:val="1"/>
    <w:qFormat/>
    <w:pPr>
      <w:ind w:left="120"/>
      <w:outlineLvl w:val="2"/>
    </w:pPr>
    <w:rPr>
      <w:rFonts w:ascii="宋体" w:hAnsi="宋体" w:eastAsia="宋体" w:cs="宋体"/>
      <w:sz w:val="29"/>
      <w:szCs w:val="29"/>
    </w:rPr>
  </w:style>
  <w:style w:styleId="Heading3" w:type="paragraph">
    <w:name w:val="Heading 3"/>
    <w:basedOn w:val="Normal"/>
    <w:uiPriority w:val="1"/>
    <w:qFormat/>
    <w:pPr>
      <w:ind w:left="120"/>
      <w:outlineLvl w:val="3"/>
    </w:pPr>
    <w:rPr>
      <w:rFonts w:ascii="宋体" w:hAnsi="宋体" w:eastAsia="宋体" w:cs="宋体"/>
      <w:sz w:val="27"/>
      <w:szCs w:val="27"/>
    </w:rPr>
  </w:style>
  <w:style w:styleId="ListParagraph" w:type="paragraph">
    <w:name w:val="List Paragraph"/>
    <w:basedOn w:val="Normal"/>
    <w:uiPriority w:val="1"/>
    <w:qFormat/>
    <w:pPr>
      <w:ind w:left="120"/>
    </w:pPr>
    <w:rPr>
      <w:rFonts w:ascii="宋体" w:hAnsi="宋体" w:eastAsia="宋体" w:cs="宋体"/>
    </w:rPr>
  </w:style>
  <w:style w:styleId="TableParagraph" w:type="paragraph">
    <w:name w:val="Table Paragraph"/>
    <w:basedOn w:val="Normal"/>
    <w:uiPriority w:val="1"/>
    <w:qFormat/>
    <w:pPr>
      <w:spacing w:before="54"/>
      <w:ind w:right="369"/>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69.瑞泰附加瑞麟少儿重大疾病保险合同条款</dc:title>
  <dcterms:created xsi:type="dcterms:W3CDTF">2018-10-20T04:26:25Z</dcterms:created>
  <dcterms:modified xsi:type="dcterms:W3CDTF">2018-10-20T04:26:25Z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pdfFactory Pro www.fineprint.cn</vt:lpwstr>
  </property>
  <property fmtid="{D5CDD505-2E9C-101B-9397-08002B2CF9AE}" pid="4" name="LastSaved">
    <vt:filetime>2014-05-31T00:00:00Z</vt:filetime>
  </property>
</Properties>
</file>