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4"/>
        <w:ind w:left="0" w:right="0" w:firstLine="0"/>
        <w:jc w:val="right"/>
        <w:rPr>
          <w:rFonts w:ascii="微软雅黑" w:eastAsia="微软雅黑" w:hint="eastAsia"/>
          <w:b/>
          <w:sz w:val="32"/>
        </w:rPr>
      </w:pPr>
      <w:r>
        <w:rPr>
          <w:rFonts w:ascii="微软雅黑" w:eastAsia="微软雅黑" w:hint="eastAsia"/>
          <w:b/>
          <w:sz w:val="32"/>
        </w:rPr>
        <w:t>阅  读  指 引</w:t>
      </w:r>
    </w:p>
    <w:p>
      <w:pPr>
        <w:spacing w:before="65"/>
        <w:ind w:left="1736" w:right="0" w:firstLine="0"/>
        <w:jc w:val="left"/>
        <w:rPr>
          <w:sz w:val="16"/>
        </w:rPr>
      </w:pPr>
      <w:r>
        <w:rPr/>
        <w:br w:type="column"/>
      </w:r>
      <w:r>
        <w:rPr>
          <w:w w:val="95"/>
          <w:sz w:val="16"/>
        </w:rPr>
        <w:t>民生保险[2009]疾病保险069号</w:t>
      </w:r>
    </w:p>
    <w:p>
      <w:pPr>
        <w:spacing w:after="0"/>
        <w:jc w:val="left"/>
        <w:rPr>
          <w:sz w:val="16"/>
        </w:rPr>
        <w:sectPr>
          <w:headerReference w:type="default" r:id="rId5"/>
          <w:footerReference w:type="default" r:id="rId6"/>
          <w:type w:val="continuous"/>
          <w:pgSz w:w="11910" w:h="16840"/>
          <w:pgMar w:header="857" w:footer="981" w:top="1040" w:bottom="1180" w:left="1140" w:right="900"/>
          <w:pgNumType w:start="1"/>
          <w:cols w:num="2" w:equalWidth="0">
            <w:col w:w="5807" w:space="40"/>
            <w:col w:w="4023"/>
          </w:cols>
        </w:sectPr>
      </w:pPr>
    </w:p>
    <w:p>
      <w:pPr>
        <w:spacing w:line="349" w:lineRule="exact" w:before="102"/>
        <w:ind w:left="1660" w:right="0" w:firstLine="0"/>
        <w:jc w:val="left"/>
        <w:rPr>
          <w:b/>
          <w:sz w:val="21"/>
        </w:rPr>
      </w:pPr>
      <w:r>
        <w:rPr/>
        <w:drawing>
          <wp:anchor distT="0" distB="0" distL="0" distR="0" allowOverlap="1" layoutInCell="1" locked="0" behindDoc="0" simplePos="0" relativeHeight="1072">
            <wp:simplePos x="0" y="0"/>
            <wp:positionH relativeFrom="page">
              <wp:posOffset>6252826</wp:posOffset>
            </wp:positionH>
            <wp:positionV relativeFrom="paragraph">
              <wp:posOffset>-348365</wp:posOffset>
            </wp:positionV>
            <wp:extent cx="631824"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4"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投</w:t>
      </w:r>
      <w:r>
        <w:rPr>
          <w:spacing w:val="-63"/>
          <w:w w:val="95"/>
          <w:position w:val="-7"/>
          <w:sz w:val="21"/>
        </w:rPr>
        <w:t>．</w:t>
      </w:r>
      <w:r>
        <w:rPr>
          <w:b/>
          <w:spacing w:val="-148"/>
          <w:w w:val="95"/>
          <w:sz w:val="21"/>
        </w:rPr>
        <w:t>保</w:t>
      </w:r>
      <w:r>
        <w:rPr>
          <w:spacing w:val="-63"/>
          <w:w w:val="95"/>
          <w:position w:val="-7"/>
          <w:sz w:val="21"/>
        </w:rPr>
        <w:t>．</w:t>
      </w:r>
      <w:r>
        <w:rPr>
          <w:b/>
          <w:spacing w:val="-147"/>
          <w:w w:val="95"/>
          <w:sz w:val="21"/>
        </w:rPr>
        <w:t>人</w:t>
      </w:r>
      <w:r>
        <w:rPr>
          <w:spacing w:val="-63"/>
          <w:w w:val="95"/>
          <w:position w:val="-7"/>
          <w:sz w:val="21"/>
        </w:rPr>
        <w:t>．</w:t>
      </w:r>
      <w:r>
        <w:rPr>
          <w:b/>
          <w:spacing w:val="-147"/>
          <w:w w:val="95"/>
          <w:sz w:val="21"/>
        </w:rPr>
        <w:t>理</w:t>
      </w:r>
      <w:r>
        <w:rPr>
          <w:spacing w:val="-63"/>
          <w:w w:val="95"/>
          <w:position w:val="-7"/>
          <w:sz w:val="21"/>
        </w:rPr>
        <w:t>．</w:t>
      </w:r>
      <w:r>
        <w:rPr>
          <w:b/>
          <w:spacing w:val="-147"/>
          <w:w w:val="95"/>
          <w:sz w:val="21"/>
        </w:rPr>
        <w:t>解</w:t>
      </w:r>
      <w:r>
        <w:rPr>
          <w:spacing w:val="-63"/>
          <w:w w:val="95"/>
          <w:position w:val="-7"/>
          <w:sz w:val="21"/>
        </w:rPr>
        <w:t>．</w:t>
      </w:r>
      <w:r>
        <w:rPr>
          <w:b/>
          <w:spacing w:val="-148"/>
          <w:w w:val="95"/>
          <w:sz w:val="21"/>
        </w:rPr>
        <w:t>条</w:t>
      </w:r>
      <w:r>
        <w:rPr>
          <w:spacing w:val="-63"/>
          <w:w w:val="95"/>
          <w:position w:val="-7"/>
          <w:sz w:val="21"/>
        </w:rPr>
        <w:t>．</w:t>
      </w:r>
      <w:r>
        <w:rPr>
          <w:b/>
          <w:spacing w:val="-148"/>
          <w:w w:val="95"/>
          <w:sz w:val="21"/>
        </w:rPr>
        <w:t>款</w:t>
      </w:r>
      <w:r>
        <w:rPr>
          <w:spacing w:val="-31"/>
          <w:w w:val="95"/>
          <w:position w:val="-7"/>
          <w:sz w:val="21"/>
        </w:rPr>
        <w:t>．</w:t>
      </w:r>
      <w:r>
        <w:rPr>
          <w:b/>
          <w:spacing w:val="-89"/>
          <w:w w:val="95"/>
          <w:sz w:val="21"/>
        </w:rPr>
        <w:t>，对</w:t>
      </w:r>
      <w:r>
        <w:rPr>
          <w:spacing w:val="-63"/>
          <w:w w:val="95"/>
          <w:position w:val="-7"/>
          <w:sz w:val="21"/>
        </w:rPr>
        <w:t>．</w:t>
      </w:r>
      <w:r>
        <w:rPr>
          <w:b/>
          <w:spacing w:val="-147"/>
          <w:w w:val="95"/>
          <w:sz w:val="21"/>
        </w:rPr>
        <w:t>本</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2"/>
          <w:w w:val="95"/>
          <w:position w:val="-7"/>
          <w:sz w:val="21"/>
        </w:rPr>
        <w:t>．</w:t>
      </w:r>
      <w:r>
        <w:rPr>
          <w:b/>
          <w:w w:val="95"/>
          <w:sz w:val="21"/>
        </w:rPr>
        <w:t>。</w:t>
      </w:r>
    </w:p>
    <w:p>
      <w:pPr>
        <w:spacing w:line="203" w:lineRule="exact" w:before="0"/>
        <w:ind w:left="0" w:right="189" w:firstLine="0"/>
        <w:jc w:val="right"/>
        <w:rPr>
          <w:sz w:val="16"/>
        </w:rPr>
      </w:pPr>
      <w:r>
        <w:rPr>
          <w:sz w:val="16"/>
        </w:rPr>
        <w:t>请扫描以查询验证条款</w:t>
      </w:r>
    </w:p>
    <w:p>
      <w:pPr>
        <w:pStyle w:val="BodyText"/>
        <w:spacing w:before="3"/>
        <w:rPr>
          <w:sz w:val="19"/>
        </w:rPr>
      </w:pPr>
    </w:p>
    <w:p>
      <w:pPr>
        <w:pStyle w:val="Heading1"/>
        <w:tabs>
          <w:tab w:pos="1367" w:val="left" w:leader="none"/>
        </w:tabs>
        <w:spacing w:before="51"/>
        <w:ind w:left="357"/>
      </w:pPr>
      <w:r>
        <w:rPr/>
        <w:drawing>
          <wp:anchor distT="0" distB="0" distL="0" distR="0" allowOverlap="1" layoutInCell="1" locked="0" behindDoc="1" simplePos="0" relativeHeight="268406951">
            <wp:simplePos x="0" y="0"/>
            <wp:positionH relativeFrom="page">
              <wp:posOffset>788452</wp:posOffset>
            </wp:positionH>
            <wp:positionV relativeFrom="paragraph">
              <wp:posOffset>-72636</wp:posOffset>
            </wp:positionV>
            <wp:extent cx="6132248" cy="788180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248" cy="7881801"/>
                    </a:xfrm>
                    <a:prstGeom prst="rect">
                      <a:avLst/>
                    </a:prstGeom>
                  </pic:spPr>
                </pic:pic>
              </a:graphicData>
            </a:graphic>
          </wp:anchor>
        </w:drawing>
      </w:r>
      <w:r>
        <w:rPr>
          <w:rFonts w:ascii="Arial" w:hAnsi="Arial" w:eastAsia="Arial"/>
          <w:w w:val="150"/>
          <w:position w:val="-11"/>
          <w:sz w:val="52"/>
        </w:rPr>
        <w:t>¤</w:t>
        <w:tab/>
      </w:r>
      <w:r>
        <w:rPr>
          <w:w w:val="95"/>
        </w:rPr>
        <w:t>投保人拥有的重要权益</w:t>
      </w:r>
    </w:p>
    <w:p>
      <w:pPr>
        <w:pStyle w:val="ListParagraph"/>
        <w:numPr>
          <w:ilvl w:val="0"/>
          <w:numId w:val="1"/>
        </w:numPr>
        <w:tabs>
          <w:tab w:pos="1768" w:val="left" w:leader="none"/>
          <w:tab w:pos="1769" w:val="left" w:leader="none"/>
        </w:tabs>
        <w:spacing w:line="240" w:lineRule="auto" w:before="22" w:after="0"/>
        <w:ind w:left="1768" w:right="0" w:hanging="549"/>
        <w:jc w:val="left"/>
        <w:rPr>
          <w:b/>
          <w:sz w:val="21"/>
        </w:rPr>
      </w:pPr>
      <w:r>
        <w:rPr>
          <w:b/>
          <w:w w:val="95"/>
          <w:sz w:val="21"/>
        </w:rPr>
        <w:t>被保险人享受本保险合同提供的保障……………………………………………第2.2条</w:t>
      </w:r>
    </w:p>
    <w:p>
      <w:pPr>
        <w:pStyle w:val="ListParagraph"/>
        <w:numPr>
          <w:ilvl w:val="0"/>
          <w:numId w:val="1"/>
        </w:numPr>
        <w:tabs>
          <w:tab w:pos="1768" w:val="left" w:leader="none"/>
          <w:tab w:pos="1769" w:val="left" w:leader="none"/>
        </w:tabs>
        <w:spacing w:line="240" w:lineRule="auto" w:before="37" w:after="0"/>
        <w:ind w:left="1768" w:right="0" w:hanging="549"/>
        <w:jc w:val="left"/>
        <w:rPr>
          <w:b/>
          <w:sz w:val="21"/>
        </w:rPr>
      </w:pPr>
      <w:r>
        <w:rPr>
          <w:b/>
          <w:w w:val="95"/>
          <w:sz w:val="21"/>
        </w:rPr>
        <w:t>签收本合同次日起10日内投保人可以要求退还扣除工本费外的全部保险费…第1.3条</w:t>
      </w:r>
    </w:p>
    <w:p>
      <w:pPr>
        <w:pStyle w:val="BodyText"/>
        <w:spacing w:before="9"/>
        <w:rPr>
          <w:b/>
          <w:sz w:val="16"/>
        </w:rPr>
      </w:pPr>
    </w:p>
    <w:p>
      <w:pPr>
        <w:tabs>
          <w:tab w:pos="1369" w:val="left" w:leader="none"/>
        </w:tabs>
        <w:spacing w:before="0"/>
        <w:ind w:left="357" w:right="0" w:firstLine="0"/>
        <w:jc w:val="left"/>
        <w:rPr>
          <w:b/>
          <w:sz w:val="21"/>
        </w:rPr>
      </w:pPr>
      <w:r>
        <w:rPr>
          <w:rFonts w:ascii="Arial" w:hAnsi="Arial" w:eastAsia="Arial"/>
          <w:b/>
          <w:w w:val="150"/>
          <w:position w:val="-11"/>
          <w:sz w:val="52"/>
        </w:rPr>
        <w:t>¤</w:t>
        <w:tab/>
      </w:r>
      <w:r>
        <w:rPr>
          <w:b/>
          <w:w w:val="95"/>
          <w:sz w:val="21"/>
        </w:rPr>
        <w:t>投保人应当特别注意的事项</w:t>
      </w:r>
    </w:p>
    <w:p>
      <w:pPr>
        <w:pStyle w:val="ListParagraph"/>
        <w:numPr>
          <w:ilvl w:val="0"/>
          <w:numId w:val="1"/>
        </w:numPr>
        <w:tabs>
          <w:tab w:pos="1768" w:val="left" w:leader="none"/>
          <w:tab w:pos="1769" w:val="left" w:leader="none"/>
        </w:tabs>
        <w:spacing w:line="240" w:lineRule="auto" w:before="156" w:after="0"/>
        <w:ind w:left="1769" w:right="0" w:hanging="550"/>
        <w:jc w:val="left"/>
        <w:rPr>
          <w:b/>
          <w:sz w:val="21"/>
        </w:rPr>
      </w:pPr>
      <w:r>
        <w:rPr>
          <w:b/>
          <w:w w:val="95"/>
          <w:sz w:val="21"/>
        </w:rPr>
        <w:t>投保人或被保险人有及时向我们通知保险事故的责任…………………………第3.2条</w:t>
      </w:r>
    </w:p>
    <w:p>
      <w:pPr>
        <w:pStyle w:val="ListParagraph"/>
        <w:numPr>
          <w:ilvl w:val="0"/>
          <w:numId w:val="1"/>
        </w:numPr>
        <w:tabs>
          <w:tab w:pos="1768" w:val="left" w:leader="none"/>
          <w:tab w:pos="1769" w:val="left" w:leader="none"/>
        </w:tabs>
        <w:spacing w:line="240" w:lineRule="auto" w:before="36" w:after="0"/>
        <w:ind w:left="1769" w:right="0" w:hanging="550"/>
        <w:jc w:val="left"/>
        <w:rPr>
          <w:b/>
          <w:sz w:val="21"/>
        </w:rPr>
      </w:pPr>
      <w:r>
        <w:rPr>
          <w:b/>
          <w:w w:val="95"/>
          <w:sz w:val="21"/>
        </w:rPr>
        <w:t>在某些情况下，本公司不承担保险责任…………………………………………第2.3条</w:t>
      </w:r>
    </w:p>
    <w:p>
      <w:pPr>
        <w:pStyle w:val="ListParagraph"/>
        <w:numPr>
          <w:ilvl w:val="0"/>
          <w:numId w:val="1"/>
        </w:numPr>
        <w:tabs>
          <w:tab w:pos="1768" w:val="left" w:leader="none"/>
          <w:tab w:pos="1769" w:val="left" w:leader="none"/>
        </w:tabs>
        <w:spacing w:line="240" w:lineRule="auto" w:before="36" w:after="0"/>
        <w:ind w:left="1769" w:right="0" w:hanging="550"/>
        <w:jc w:val="left"/>
        <w:rPr>
          <w:b/>
          <w:sz w:val="21"/>
        </w:rPr>
      </w:pPr>
      <w:r>
        <w:rPr>
          <w:b/>
          <w:w w:val="95"/>
          <w:sz w:val="21"/>
        </w:rPr>
        <w:t>投保人和被保险人有如实告知的义务……………………………………………第6.2条</w:t>
      </w:r>
    </w:p>
    <w:p>
      <w:pPr>
        <w:pStyle w:val="ListParagraph"/>
        <w:numPr>
          <w:ilvl w:val="0"/>
          <w:numId w:val="1"/>
        </w:numPr>
        <w:tabs>
          <w:tab w:pos="1768" w:val="left" w:leader="none"/>
          <w:tab w:pos="1769" w:val="left" w:leader="none"/>
        </w:tabs>
        <w:spacing w:line="240" w:lineRule="auto" w:before="36" w:after="0"/>
        <w:ind w:left="1769" w:right="0" w:hanging="550"/>
        <w:jc w:val="left"/>
        <w:rPr>
          <w:b/>
          <w:sz w:val="21"/>
        </w:rPr>
      </w:pPr>
      <w:r>
        <w:rPr>
          <w:b/>
          <w:spacing w:val="-1"/>
          <w:sz w:val="21"/>
        </w:rPr>
        <w:t>本公司对一些重要术语进行了解释，请投保人注意……………………………第 </w:t>
      </w:r>
      <w:r>
        <w:rPr>
          <w:b/>
          <w:sz w:val="21"/>
        </w:rPr>
        <w:t>7</w:t>
      </w:r>
      <w:r>
        <w:rPr>
          <w:b/>
          <w:spacing w:val="-8"/>
          <w:sz w:val="21"/>
        </w:rPr>
        <w:t> 条</w:t>
      </w:r>
    </w:p>
    <w:p>
      <w:pPr>
        <w:pStyle w:val="BodyText"/>
        <w:spacing w:before="8"/>
        <w:rPr>
          <w:b/>
          <w:sz w:val="16"/>
        </w:rPr>
      </w:pPr>
    </w:p>
    <w:p>
      <w:pPr>
        <w:tabs>
          <w:tab w:pos="1369" w:val="left" w:leader="none"/>
        </w:tabs>
        <w:spacing w:before="0"/>
        <w:ind w:left="357" w:right="0" w:firstLine="0"/>
        <w:jc w:val="left"/>
        <w:rPr>
          <w:b/>
          <w:sz w:val="21"/>
        </w:rPr>
      </w:pPr>
      <w:r>
        <w:rPr>
          <w:rFonts w:ascii="Arial" w:hAnsi="Arial" w:eastAsia="Arial"/>
          <w:b/>
          <w:w w:val="150"/>
          <w:position w:val="-11"/>
          <w:sz w:val="52"/>
        </w:rPr>
        <w:t>¤</w:t>
        <w:tab/>
      </w:r>
      <w:r>
        <w:rPr>
          <w:b/>
          <w:w w:val="95"/>
          <w:sz w:val="21"/>
        </w:rPr>
        <w:t>条款是保险合同的重要内容，为充分保障投保人的权益，请投保人仔细阅读本条款。</w:t>
      </w:r>
    </w:p>
    <w:p>
      <w:pPr>
        <w:tabs>
          <w:tab w:pos="1367" w:val="left" w:leader="none"/>
        </w:tabs>
        <w:spacing w:before="160"/>
        <w:ind w:left="357" w:right="0" w:firstLine="0"/>
        <w:jc w:val="left"/>
        <w:rPr>
          <w:b/>
          <w:sz w:val="21"/>
        </w:rPr>
      </w:pPr>
      <w:r>
        <w:rPr>
          <w:rFonts w:ascii="Arial" w:hAnsi="Arial" w:eastAsia="Arial"/>
          <w:b/>
          <w:w w:val="150"/>
          <w:position w:val="-11"/>
          <w:sz w:val="52"/>
        </w:rPr>
        <w:t>¤</w:t>
        <w:tab/>
      </w:r>
      <w:r>
        <w:rPr>
          <w:b/>
          <w:w w:val="95"/>
          <w:sz w:val="21"/>
        </w:rPr>
        <w:t>条款目录</w:t>
      </w:r>
    </w:p>
    <w:p>
      <w:pPr>
        <w:spacing w:after="0"/>
        <w:jc w:val="left"/>
        <w:rPr>
          <w:sz w:val="21"/>
        </w:rPr>
        <w:sectPr>
          <w:type w:val="continuous"/>
          <w:pgSz w:w="11910" w:h="16840"/>
          <w:pgMar w:top="1040" w:bottom="1180" w:left="1140" w:right="900"/>
        </w:sectPr>
      </w:pPr>
    </w:p>
    <w:p>
      <w:pPr>
        <w:pStyle w:val="Heading1"/>
        <w:spacing w:line="240" w:lineRule="exact"/>
        <w:ind w:left="590"/>
      </w:pPr>
      <w:r>
        <w:rPr/>
        <w:pict>
          <v:line style="position:absolute;mso-position-horizontal-relative:page;mso-position-vertical-relative:page;z-index:0" from="63.720001pt,55.619999pt" to="543.000001pt,55.619999pt" stroked="true" strokeweight=".72pt" strokecolor="#000000">
            <v:stroke dashstyle="solid"/>
            <w10:wrap type="none"/>
          </v:line>
        </w:pict>
      </w:r>
      <w:r>
        <w:rPr>
          <w:w w:val="95"/>
        </w:rPr>
        <w:t>1.保险合同</w:t>
      </w:r>
    </w:p>
    <w:p>
      <w:pPr>
        <w:pStyle w:val="ListParagraph"/>
        <w:numPr>
          <w:ilvl w:val="1"/>
          <w:numId w:val="2"/>
        </w:numPr>
        <w:tabs>
          <w:tab w:pos="1221" w:val="left" w:leader="none"/>
        </w:tabs>
        <w:spacing w:line="240" w:lineRule="auto" w:before="37" w:after="0"/>
        <w:ind w:left="1220" w:right="0" w:hanging="420"/>
        <w:jc w:val="left"/>
        <w:rPr>
          <w:sz w:val="21"/>
        </w:rPr>
      </w:pPr>
      <w:r>
        <w:rPr>
          <w:spacing w:val="-1"/>
          <w:sz w:val="21"/>
        </w:rPr>
        <w:t>合同构成</w:t>
      </w:r>
    </w:p>
    <w:p>
      <w:pPr>
        <w:pStyle w:val="ListParagraph"/>
        <w:numPr>
          <w:ilvl w:val="1"/>
          <w:numId w:val="2"/>
        </w:numPr>
        <w:tabs>
          <w:tab w:pos="1221" w:val="left" w:leader="none"/>
        </w:tabs>
        <w:spacing w:line="240" w:lineRule="auto" w:before="37" w:after="0"/>
        <w:ind w:left="1220" w:right="0" w:hanging="420"/>
        <w:jc w:val="left"/>
        <w:rPr>
          <w:sz w:val="21"/>
        </w:rPr>
      </w:pPr>
      <w:r>
        <w:rPr>
          <w:spacing w:val="-1"/>
          <w:sz w:val="21"/>
        </w:rPr>
        <w:t>合同成立与生效</w:t>
      </w:r>
    </w:p>
    <w:p>
      <w:pPr>
        <w:pStyle w:val="ListParagraph"/>
        <w:numPr>
          <w:ilvl w:val="1"/>
          <w:numId w:val="2"/>
        </w:numPr>
        <w:tabs>
          <w:tab w:pos="1221" w:val="left" w:leader="none"/>
        </w:tabs>
        <w:spacing w:line="240" w:lineRule="auto" w:before="37" w:after="0"/>
        <w:ind w:left="1220" w:right="0" w:hanging="420"/>
        <w:jc w:val="left"/>
        <w:rPr>
          <w:sz w:val="21"/>
        </w:rPr>
      </w:pPr>
      <w:r>
        <w:rPr>
          <w:sz w:val="21"/>
        </w:rPr>
        <w:t>犹豫期</w:t>
      </w:r>
    </w:p>
    <w:p>
      <w:pPr>
        <w:pStyle w:val="ListParagraph"/>
        <w:numPr>
          <w:ilvl w:val="1"/>
          <w:numId w:val="2"/>
        </w:numPr>
        <w:tabs>
          <w:tab w:pos="1221" w:val="left" w:leader="none"/>
        </w:tabs>
        <w:spacing w:line="240" w:lineRule="auto" w:before="37" w:after="0"/>
        <w:ind w:left="1220" w:right="0" w:hanging="420"/>
        <w:jc w:val="left"/>
        <w:rPr>
          <w:sz w:val="21"/>
        </w:rPr>
      </w:pPr>
      <w:r>
        <w:rPr>
          <w:spacing w:val="-1"/>
          <w:sz w:val="21"/>
        </w:rPr>
        <w:t>保险期间</w:t>
      </w:r>
    </w:p>
    <w:p>
      <w:pPr>
        <w:pStyle w:val="BodyText"/>
        <w:spacing w:before="10"/>
        <w:rPr>
          <w:sz w:val="14"/>
        </w:rPr>
      </w:pPr>
    </w:p>
    <w:p>
      <w:pPr>
        <w:spacing w:before="0"/>
        <w:ind w:left="590" w:right="0" w:firstLine="0"/>
        <w:jc w:val="left"/>
        <w:rPr>
          <w:b/>
          <w:sz w:val="21"/>
        </w:rPr>
      </w:pPr>
      <w:r>
        <w:rPr>
          <w:b/>
          <w:w w:val="95"/>
          <w:sz w:val="21"/>
        </w:rPr>
        <w:t>2.我们提供的保障</w:t>
      </w:r>
    </w:p>
    <w:p>
      <w:pPr>
        <w:pStyle w:val="ListParagraph"/>
        <w:numPr>
          <w:ilvl w:val="1"/>
          <w:numId w:val="3"/>
        </w:numPr>
        <w:tabs>
          <w:tab w:pos="1221" w:val="left" w:leader="none"/>
        </w:tabs>
        <w:spacing w:line="240" w:lineRule="auto" w:before="37" w:after="0"/>
        <w:ind w:left="1220" w:right="0" w:hanging="420"/>
        <w:jc w:val="left"/>
        <w:rPr>
          <w:sz w:val="21"/>
        </w:rPr>
      </w:pPr>
      <w:r>
        <w:rPr>
          <w:spacing w:val="-1"/>
          <w:sz w:val="21"/>
        </w:rPr>
        <w:t>保险金额和保险费</w:t>
      </w:r>
    </w:p>
    <w:p>
      <w:pPr>
        <w:pStyle w:val="ListParagraph"/>
        <w:numPr>
          <w:ilvl w:val="1"/>
          <w:numId w:val="3"/>
        </w:numPr>
        <w:tabs>
          <w:tab w:pos="1221" w:val="left" w:leader="none"/>
        </w:tabs>
        <w:spacing w:line="240" w:lineRule="auto" w:before="37" w:after="0"/>
        <w:ind w:left="1220" w:right="0" w:hanging="420"/>
        <w:jc w:val="left"/>
        <w:rPr>
          <w:sz w:val="21"/>
        </w:rPr>
      </w:pPr>
      <w:r>
        <w:rPr>
          <w:spacing w:val="-1"/>
          <w:sz w:val="21"/>
        </w:rPr>
        <w:t>保险责任</w:t>
      </w:r>
    </w:p>
    <w:p>
      <w:pPr>
        <w:pStyle w:val="ListParagraph"/>
        <w:numPr>
          <w:ilvl w:val="1"/>
          <w:numId w:val="3"/>
        </w:numPr>
        <w:tabs>
          <w:tab w:pos="1221" w:val="left" w:leader="none"/>
        </w:tabs>
        <w:spacing w:line="240" w:lineRule="auto" w:before="37" w:after="0"/>
        <w:ind w:left="1220" w:right="0" w:hanging="420"/>
        <w:jc w:val="left"/>
        <w:rPr>
          <w:sz w:val="21"/>
        </w:rPr>
      </w:pPr>
      <w:r>
        <w:rPr>
          <w:spacing w:val="-1"/>
          <w:sz w:val="21"/>
        </w:rPr>
        <w:t>责任免除</w:t>
      </w:r>
    </w:p>
    <w:p>
      <w:pPr>
        <w:pStyle w:val="BodyText"/>
        <w:spacing w:before="9"/>
        <w:rPr>
          <w:sz w:val="14"/>
        </w:rPr>
      </w:pPr>
    </w:p>
    <w:p>
      <w:pPr>
        <w:spacing w:before="1"/>
        <w:ind w:left="590" w:right="0" w:firstLine="0"/>
        <w:jc w:val="left"/>
        <w:rPr>
          <w:b/>
          <w:sz w:val="21"/>
        </w:rPr>
      </w:pPr>
      <w:r>
        <w:rPr>
          <w:b/>
          <w:w w:val="95"/>
          <w:sz w:val="21"/>
        </w:rPr>
        <w:t>3.如何申请领取保险金</w:t>
      </w:r>
    </w:p>
    <w:p>
      <w:pPr>
        <w:pStyle w:val="ListParagraph"/>
        <w:numPr>
          <w:ilvl w:val="1"/>
          <w:numId w:val="4"/>
        </w:numPr>
        <w:tabs>
          <w:tab w:pos="1221" w:val="left" w:leader="none"/>
        </w:tabs>
        <w:spacing w:line="240" w:lineRule="auto" w:before="37" w:after="0"/>
        <w:ind w:left="1220" w:right="0" w:hanging="420"/>
        <w:jc w:val="left"/>
        <w:rPr>
          <w:sz w:val="21"/>
        </w:rPr>
      </w:pPr>
      <w:r>
        <w:rPr>
          <w:spacing w:val="-1"/>
          <w:sz w:val="21"/>
        </w:rPr>
        <w:t>受益人的指定和变更</w:t>
      </w:r>
    </w:p>
    <w:p>
      <w:pPr>
        <w:pStyle w:val="ListParagraph"/>
        <w:numPr>
          <w:ilvl w:val="1"/>
          <w:numId w:val="4"/>
        </w:numPr>
        <w:tabs>
          <w:tab w:pos="1221" w:val="left" w:leader="none"/>
        </w:tabs>
        <w:spacing w:line="240" w:lineRule="auto" w:before="37" w:after="0"/>
        <w:ind w:left="1220" w:right="0" w:hanging="420"/>
        <w:jc w:val="left"/>
        <w:rPr>
          <w:sz w:val="21"/>
        </w:rPr>
      </w:pPr>
      <w:r>
        <w:rPr>
          <w:spacing w:val="-1"/>
          <w:sz w:val="21"/>
        </w:rPr>
        <w:t>保险事故通知</w:t>
      </w:r>
    </w:p>
    <w:p>
      <w:pPr>
        <w:pStyle w:val="ListParagraph"/>
        <w:numPr>
          <w:ilvl w:val="1"/>
          <w:numId w:val="4"/>
        </w:numPr>
        <w:tabs>
          <w:tab w:pos="1221" w:val="left" w:leader="none"/>
        </w:tabs>
        <w:spacing w:line="240" w:lineRule="auto" w:before="37" w:after="0"/>
        <w:ind w:left="1220" w:right="0" w:hanging="420"/>
        <w:jc w:val="left"/>
        <w:rPr>
          <w:sz w:val="21"/>
        </w:rPr>
      </w:pPr>
      <w:r>
        <w:rPr>
          <w:spacing w:val="-1"/>
          <w:sz w:val="21"/>
        </w:rPr>
        <w:t>保险金的申请</w:t>
      </w:r>
    </w:p>
    <w:p>
      <w:pPr>
        <w:pStyle w:val="ListParagraph"/>
        <w:numPr>
          <w:ilvl w:val="1"/>
          <w:numId w:val="4"/>
        </w:numPr>
        <w:tabs>
          <w:tab w:pos="1221" w:val="left" w:leader="none"/>
        </w:tabs>
        <w:spacing w:line="240" w:lineRule="auto" w:before="37" w:after="0"/>
        <w:ind w:left="1220" w:right="0" w:hanging="420"/>
        <w:jc w:val="left"/>
        <w:rPr>
          <w:sz w:val="21"/>
        </w:rPr>
      </w:pPr>
      <w:r>
        <w:rPr>
          <w:spacing w:val="-1"/>
          <w:sz w:val="21"/>
        </w:rPr>
        <w:t>保险金的给付</w:t>
      </w:r>
    </w:p>
    <w:p>
      <w:pPr>
        <w:pStyle w:val="ListParagraph"/>
        <w:numPr>
          <w:ilvl w:val="1"/>
          <w:numId w:val="4"/>
        </w:numPr>
        <w:tabs>
          <w:tab w:pos="1221" w:val="left" w:leader="none"/>
        </w:tabs>
        <w:spacing w:line="240" w:lineRule="auto" w:before="37" w:after="0"/>
        <w:ind w:left="1220" w:right="0" w:hanging="420"/>
        <w:jc w:val="left"/>
        <w:rPr>
          <w:sz w:val="21"/>
        </w:rPr>
      </w:pPr>
      <w:r>
        <w:rPr>
          <w:spacing w:val="-1"/>
          <w:sz w:val="21"/>
        </w:rPr>
        <w:t>诉讼时效</w:t>
      </w:r>
    </w:p>
    <w:p>
      <w:pPr>
        <w:spacing w:line="240" w:lineRule="exact" w:before="0"/>
        <w:ind w:left="170" w:right="0" w:firstLine="0"/>
        <w:jc w:val="left"/>
        <w:rPr>
          <w:b/>
          <w:sz w:val="21"/>
        </w:rPr>
      </w:pPr>
      <w:r>
        <w:rPr/>
        <w:br w:type="column"/>
      </w:r>
      <w:r>
        <w:rPr>
          <w:b/>
          <w:w w:val="95"/>
          <w:sz w:val="21"/>
        </w:rPr>
        <w:t>4.现金价值权益</w:t>
      </w:r>
    </w:p>
    <w:p>
      <w:pPr>
        <w:spacing w:before="37"/>
        <w:ind w:left="381" w:right="0" w:firstLine="0"/>
        <w:jc w:val="left"/>
        <w:rPr>
          <w:sz w:val="21"/>
        </w:rPr>
      </w:pPr>
      <w:r>
        <w:rPr>
          <w:sz w:val="21"/>
        </w:rPr>
        <w:t>4.1 现金价值</w:t>
      </w:r>
    </w:p>
    <w:p>
      <w:pPr>
        <w:pStyle w:val="BodyText"/>
        <w:spacing w:before="9"/>
        <w:rPr>
          <w:sz w:val="14"/>
        </w:rPr>
      </w:pPr>
    </w:p>
    <w:p>
      <w:pPr>
        <w:spacing w:before="1"/>
        <w:ind w:left="170" w:right="0" w:firstLine="0"/>
        <w:jc w:val="left"/>
        <w:rPr>
          <w:b/>
          <w:sz w:val="21"/>
        </w:rPr>
      </w:pPr>
      <w:r>
        <w:rPr>
          <w:b/>
          <w:w w:val="95"/>
          <w:sz w:val="21"/>
        </w:rPr>
        <w:t>5．如何解除保险合同</w:t>
      </w:r>
    </w:p>
    <w:p>
      <w:pPr>
        <w:spacing w:line="273" w:lineRule="auto" w:before="37"/>
        <w:ind w:left="800" w:right="626" w:hanging="419"/>
        <w:jc w:val="left"/>
        <w:rPr>
          <w:sz w:val="21"/>
        </w:rPr>
      </w:pPr>
      <w:r>
        <w:rPr>
          <w:sz w:val="21"/>
        </w:rPr>
        <w:t>5.1 投保人解除合同的手续及风险</w:t>
      </w:r>
    </w:p>
    <w:p>
      <w:pPr>
        <w:pStyle w:val="BodyText"/>
        <w:spacing w:before="5"/>
        <w:rPr>
          <w:sz w:val="24"/>
        </w:rPr>
      </w:pPr>
    </w:p>
    <w:p>
      <w:pPr>
        <w:spacing w:before="0"/>
        <w:ind w:left="170" w:right="0" w:firstLine="0"/>
        <w:jc w:val="left"/>
        <w:rPr>
          <w:b/>
          <w:sz w:val="21"/>
        </w:rPr>
      </w:pPr>
      <w:r>
        <w:rPr>
          <w:b/>
          <w:w w:val="95"/>
          <w:sz w:val="21"/>
        </w:rPr>
        <w:t>6.其他需要关注的事项</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投保范围</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明确说明与如实告知</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本公司合同解除权的限制</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年龄计算与错误处理</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住所或通讯地址变更</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合同内容变更</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争议处理</w:t>
      </w:r>
    </w:p>
    <w:p>
      <w:pPr>
        <w:spacing w:line="254" w:lineRule="exact" w:before="0"/>
        <w:ind w:left="269" w:right="0" w:firstLine="0"/>
        <w:jc w:val="left"/>
        <w:rPr>
          <w:b/>
          <w:sz w:val="21"/>
        </w:rPr>
      </w:pPr>
      <w:r>
        <w:rPr/>
        <w:br w:type="column"/>
      </w:r>
      <w:r>
        <w:rPr>
          <w:b/>
          <w:sz w:val="21"/>
        </w:rPr>
        <w:t>7.释义</w:t>
      </w:r>
    </w:p>
    <w:p>
      <w:pPr>
        <w:pStyle w:val="ListParagraph"/>
        <w:numPr>
          <w:ilvl w:val="1"/>
          <w:numId w:val="6"/>
        </w:numPr>
        <w:tabs>
          <w:tab w:pos="900" w:val="left" w:leader="none"/>
        </w:tabs>
        <w:spacing w:line="240" w:lineRule="auto" w:before="37" w:after="0"/>
        <w:ind w:left="1005" w:right="0" w:hanging="526"/>
        <w:jc w:val="left"/>
        <w:rPr>
          <w:sz w:val="21"/>
        </w:rPr>
      </w:pPr>
      <w:r>
        <w:rPr>
          <w:spacing w:val="-1"/>
          <w:sz w:val="21"/>
        </w:rPr>
        <w:t>指定或认可的医疗机构</w:t>
      </w:r>
    </w:p>
    <w:p>
      <w:pPr>
        <w:pStyle w:val="ListParagraph"/>
        <w:numPr>
          <w:ilvl w:val="1"/>
          <w:numId w:val="6"/>
        </w:numPr>
        <w:tabs>
          <w:tab w:pos="900" w:val="left" w:leader="none"/>
        </w:tabs>
        <w:spacing w:line="240" w:lineRule="auto" w:before="37" w:after="0"/>
        <w:ind w:left="899" w:right="0" w:hanging="420"/>
        <w:jc w:val="left"/>
        <w:rPr>
          <w:sz w:val="21"/>
        </w:rPr>
      </w:pPr>
      <w:r>
        <w:rPr>
          <w:spacing w:val="-1"/>
          <w:sz w:val="21"/>
        </w:rPr>
        <w:t>重大疾病</w:t>
      </w:r>
    </w:p>
    <w:p>
      <w:pPr>
        <w:pStyle w:val="ListParagraph"/>
        <w:numPr>
          <w:ilvl w:val="1"/>
          <w:numId w:val="6"/>
        </w:numPr>
        <w:tabs>
          <w:tab w:pos="901" w:val="left" w:leader="none"/>
        </w:tabs>
        <w:spacing w:line="240" w:lineRule="auto" w:before="37" w:after="0"/>
        <w:ind w:left="900" w:right="0" w:hanging="421"/>
        <w:jc w:val="left"/>
        <w:rPr>
          <w:sz w:val="21"/>
        </w:rPr>
      </w:pPr>
      <w:r>
        <w:rPr>
          <w:sz w:val="21"/>
        </w:rPr>
        <w:t>发病</w:t>
      </w:r>
    </w:p>
    <w:p>
      <w:pPr>
        <w:pStyle w:val="ListParagraph"/>
        <w:numPr>
          <w:ilvl w:val="1"/>
          <w:numId w:val="6"/>
        </w:numPr>
        <w:tabs>
          <w:tab w:pos="901" w:val="left" w:leader="none"/>
        </w:tabs>
        <w:spacing w:line="240" w:lineRule="auto" w:before="37" w:after="0"/>
        <w:ind w:left="900" w:right="0" w:hanging="421"/>
        <w:jc w:val="left"/>
        <w:rPr>
          <w:sz w:val="21"/>
        </w:rPr>
      </w:pPr>
      <w:r>
        <w:rPr>
          <w:sz w:val="21"/>
        </w:rPr>
        <w:t>毒品</w:t>
      </w:r>
    </w:p>
    <w:p>
      <w:pPr>
        <w:pStyle w:val="ListParagraph"/>
        <w:numPr>
          <w:ilvl w:val="1"/>
          <w:numId w:val="6"/>
        </w:numPr>
        <w:tabs>
          <w:tab w:pos="900" w:val="left" w:leader="none"/>
        </w:tabs>
        <w:spacing w:line="240" w:lineRule="auto" w:before="37" w:after="0"/>
        <w:ind w:left="899" w:right="0" w:hanging="420"/>
        <w:jc w:val="left"/>
        <w:rPr>
          <w:sz w:val="21"/>
        </w:rPr>
      </w:pPr>
      <w:r>
        <w:rPr>
          <w:spacing w:val="-1"/>
          <w:sz w:val="21"/>
        </w:rPr>
        <w:t>酒后驾驶</w:t>
      </w:r>
    </w:p>
    <w:p>
      <w:pPr>
        <w:pStyle w:val="ListParagraph"/>
        <w:numPr>
          <w:ilvl w:val="1"/>
          <w:numId w:val="6"/>
        </w:numPr>
        <w:tabs>
          <w:tab w:pos="900" w:val="left" w:leader="none"/>
        </w:tabs>
        <w:spacing w:line="240" w:lineRule="auto" w:before="37" w:after="0"/>
        <w:ind w:left="1005" w:right="0" w:hanging="526"/>
        <w:jc w:val="left"/>
        <w:rPr>
          <w:sz w:val="21"/>
        </w:rPr>
      </w:pPr>
      <w:r>
        <w:rPr>
          <w:spacing w:val="-1"/>
          <w:sz w:val="21"/>
        </w:rPr>
        <w:t>无合法有效驾驶证驾驶</w:t>
      </w:r>
    </w:p>
    <w:p>
      <w:pPr>
        <w:pStyle w:val="ListParagraph"/>
        <w:numPr>
          <w:ilvl w:val="1"/>
          <w:numId w:val="6"/>
        </w:numPr>
        <w:tabs>
          <w:tab w:pos="901" w:val="left" w:leader="none"/>
        </w:tabs>
        <w:spacing w:line="240" w:lineRule="auto" w:before="37" w:after="0"/>
        <w:ind w:left="900" w:right="0" w:hanging="421"/>
        <w:jc w:val="left"/>
        <w:rPr>
          <w:sz w:val="21"/>
        </w:rPr>
      </w:pPr>
      <w:r>
        <w:rPr>
          <w:spacing w:val="-1"/>
          <w:sz w:val="21"/>
        </w:rPr>
        <w:t>无有效行驶证</w:t>
      </w:r>
    </w:p>
    <w:p>
      <w:pPr>
        <w:pStyle w:val="ListParagraph"/>
        <w:numPr>
          <w:ilvl w:val="1"/>
          <w:numId w:val="6"/>
        </w:numPr>
        <w:tabs>
          <w:tab w:pos="900" w:val="left" w:leader="none"/>
        </w:tabs>
        <w:spacing w:line="240" w:lineRule="auto" w:before="37" w:after="0"/>
        <w:ind w:left="899" w:right="0" w:hanging="420"/>
        <w:jc w:val="left"/>
        <w:rPr>
          <w:sz w:val="21"/>
        </w:rPr>
      </w:pPr>
      <w:r>
        <w:rPr>
          <w:sz w:val="21"/>
        </w:rPr>
        <w:t>艾滋病</w:t>
      </w:r>
    </w:p>
    <w:p>
      <w:pPr>
        <w:pStyle w:val="ListParagraph"/>
        <w:numPr>
          <w:ilvl w:val="1"/>
          <w:numId w:val="6"/>
        </w:numPr>
        <w:tabs>
          <w:tab w:pos="901" w:val="left" w:leader="none"/>
        </w:tabs>
        <w:spacing w:line="240" w:lineRule="auto" w:before="37" w:after="0"/>
        <w:ind w:left="900" w:right="0" w:hanging="421"/>
        <w:jc w:val="left"/>
        <w:rPr>
          <w:sz w:val="21"/>
        </w:rPr>
      </w:pPr>
      <w:r>
        <w:rPr>
          <w:spacing w:val="-1"/>
          <w:sz w:val="21"/>
        </w:rPr>
        <w:t>艾滋病病毒</w:t>
      </w:r>
    </w:p>
    <w:p>
      <w:pPr>
        <w:pStyle w:val="ListParagraph"/>
        <w:numPr>
          <w:ilvl w:val="1"/>
          <w:numId w:val="6"/>
        </w:numPr>
        <w:tabs>
          <w:tab w:pos="1005" w:val="left" w:leader="none"/>
        </w:tabs>
        <w:spacing w:line="240" w:lineRule="auto" w:before="37" w:after="0"/>
        <w:ind w:left="1004" w:right="0" w:hanging="525"/>
        <w:jc w:val="left"/>
        <w:rPr>
          <w:sz w:val="21"/>
        </w:rPr>
      </w:pPr>
      <w:r>
        <w:rPr>
          <w:spacing w:val="-1"/>
          <w:sz w:val="21"/>
        </w:rPr>
        <w:t>遗传性疾病</w:t>
      </w:r>
    </w:p>
    <w:p>
      <w:pPr>
        <w:pStyle w:val="ListParagraph"/>
        <w:numPr>
          <w:ilvl w:val="1"/>
          <w:numId w:val="6"/>
        </w:numPr>
        <w:tabs>
          <w:tab w:pos="1005" w:val="left" w:leader="none"/>
        </w:tabs>
        <w:spacing w:line="273" w:lineRule="auto" w:before="37" w:after="0"/>
        <w:ind w:left="1005" w:right="878" w:hanging="526"/>
        <w:jc w:val="left"/>
        <w:rPr>
          <w:sz w:val="21"/>
        </w:rPr>
      </w:pPr>
      <w:r>
        <w:rPr>
          <w:sz w:val="21"/>
        </w:rPr>
        <w:t>先天性畸形、变形或染色体异常</w:t>
      </w:r>
    </w:p>
    <w:p>
      <w:pPr>
        <w:pStyle w:val="ListParagraph"/>
        <w:numPr>
          <w:ilvl w:val="1"/>
          <w:numId w:val="6"/>
        </w:numPr>
        <w:tabs>
          <w:tab w:pos="1004" w:val="left" w:leader="none"/>
        </w:tabs>
        <w:spacing w:line="240" w:lineRule="auto" w:before="7" w:after="0"/>
        <w:ind w:left="1003" w:right="0" w:hanging="524"/>
        <w:jc w:val="left"/>
        <w:rPr>
          <w:sz w:val="21"/>
        </w:rPr>
      </w:pPr>
      <w:r>
        <w:rPr>
          <w:spacing w:val="-1"/>
          <w:sz w:val="21"/>
        </w:rPr>
        <w:t>现金价值</w:t>
      </w:r>
    </w:p>
    <w:p>
      <w:pPr>
        <w:pStyle w:val="ListParagraph"/>
        <w:numPr>
          <w:ilvl w:val="1"/>
          <w:numId w:val="6"/>
        </w:numPr>
        <w:tabs>
          <w:tab w:pos="1005" w:val="left" w:leader="none"/>
        </w:tabs>
        <w:spacing w:line="240" w:lineRule="auto" w:before="36" w:after="0"/>
        <w:ind w:left="1004" w:right="0" w:hanging="525"/>
        <w:jc w:val="left"/>
        <w:rPr>
          <w:sz w:val="21"/>
        </w:rPr>
      </w:pPr>
      <w:r>
        <w:rPr>
          <w:spacing w:val="-1"/>
          <w:sz w:val="21"/>
        </w:rPr>
        <w:t>有效身份证件</w:t>
      </w:r>
    </w:p>
    <w:p>
      <w:pPr>
        <w:pStyle w:val="ListParagraph"/>
        <w:numPr>
          <w:ilvl w:val="1"/>
          <w:numId w:val="6"/>
        </w:numPr>
        <w:tabs>
          <w:tab w:pos="1005" w:val="left" w:leader="none"/>
        </w:tabs>
        <w:spacing w:line="240" w:lineRule="auto" w:before="36" w:after="0"/>
        <w:ind w:left="1004" w:right="0" w:hanging="525"/>
        <w:jc w:val="left"/>
        <w:rPr>
          <w:sz w:val="21"/>
        </w:rPr>
      </w:pPr>
      <w:r>
        <w:rPr>
          <w:spacing w:val="-1"/>
          <w:sz w:val="21"/>
        </w:rPr>
        <w:t>专科医生</w:t>
      </w:r>
    </w:p>
    <w:p>
      <w:pPr>
        <w:pStyle w:val="ListParagraph"/>
        <w:numPr>
          <w:ilvl w:val="1"/>
          <w:numId w:val="6"/>
        </w:numPr>
        <w:tabs>
          <w:tab w:pos="953" w:val="left" w:leader="none"/>
        </w:tabs>
        <w:spacing w:line="240" w:lineRule="auto" w:before="36" w:after="0"/>
        <w:ind w:left="952" w:right="0" w:hanging="474"/>
        <w:jc w:val="left"/>
        <w:rPr>
          <w:sz w:val="21"/>
        </w:rPr>
      </w:pPr>
      <w:r>
        <w:rPr>
          <w:spacing w:val="-1"/>
          <w:sz w:val="21"/>
        </w:rPr>
        <w:t>意外伤害</w:t>
      </w:r>
    </w:p>
    <w:p>
      <w:pPr>
        <w:pStyle w:val="ListParagraph"/>
        <w:numPr>
          <w:ilvl w:val="1"/>
          <w:numId w:val="6"/>
        </w:numPr>
        <w:tabs>
          <w:tab w:pos="954" w:val="left" w:leader="none"/>
        </w:tabs>
        <w:spacing w:line="240" w:lineRule="auto" w:before="35" w:after="0"/>
        <w:ind w:left="953" w:right="0" w:hanging="474"/>
        <w:jc w:val="left"/>
        <w:rPr>
          <w:sz w:val="21"/>
        </w:rPr>
      </w:pPr>
      <w:r>
        <w:rPr>
          <w:spacing w:val="-1"/>
          <w:sz w:val="21"/>
        </w:rPr>
        <w:t>意外事故</w:t>
      </w:r>
    </w:p>
    <w:p>
      <w:pPr>
        <w:spacing w:after="0" w:line="240" w:lineRule="auto"/>
        <w:jc w:val="left"/>
        <w:rPr>
          <w:sz w:val="21"/>
        </w:rPr>
        <w:sectPr>
          <w:type w:val="continuous"/>
          <w:pgSz w:w="11910" w:h="16840"/>
          <w:pgMar w:top="1040" w:bottom="1180" w:left="1140" w:right="900"/>
          <w:cols w:num="3" w:equalWidth="0">
            <w:col w:w="3111" w:space="40"/>
            <w:col w:w="3111" w:space="39"/>
            <w:col w:w="3569"/>
          </w:cols>
        </w:sectPr>
      </w:pPr>
    </w:p>
    <w:p>
      <w:pPr>
        <w:pStyle w:val="BodyText"/>
        <w:rPr>
          <w:rFonts w:ascii="Times New Roman"/>
          <w:sz w:val="20"/>
        </w:rPr>
      </w:pPr>
    </w:p>
    <w:p>
      <w:pPr>
        <w:pStyle w:val="BodyText"/>
        <w:spacing w:before="10"/>
        <w:rPr>
          <w:rFonts w:ascii="Times New Roman"/>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65"/>
        <w:gridCol w:w="7551"/>
      </w:tblGrid>
      <w:tr>
        <w:trPr>
          <w:trHeight w:val="1015"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line="280" w:lineRule="exact"/>
              <w:ind w:left="575" w:right="2929"/>
              <w:jc w:val="center"/>
              <w:rPr>
                <w:b/>
                <w:sz w:val="28"/>
              </w:rPr>
            </w:pPr>
            <w:r>
              <w:rPr>
                <w:b/>
                <w:w w:val="95"/>
                <w:sz w:val="28"/>
              </w:rPr>
              <w:t>民生人寿保险股份有限公司</w:t>
            </w:r>
          </w:p>
          <w:p>
            <w:pPr>
              <w:pStyle w:val="TableParagraph"/>
              <w:spacing w:before="4"/>
              <w:rPr>
                <w:rFonts w:ascii="Times New Roman"/>
                <w:sz w:val="22"/>
              </w:rPr>
            </w:pPr>
          </w:p>
          <w:p>
            <w:pPr>
              <w:pStyle w:val="TableParagraph"/>
              <w:ind w:left="575" w:right="2930"/>
              <w:jc w:val="center"/>
              <w:rPr>
                <w:b/>
                <w:sz w:val="28"/>
              </w:rPr>
            </w:pPr>
            <w:r>
              <w:rPr>
                <w:b/>
                <w:w w:val="95"/>
                <w:sz w:val="28"/>
              </w:rPr>
              <w:t>关爱小公民团体重大疾病保险条款</w:t>
            </w:r>
          </w:p>
        </w:tc>
      </w:tr>
      <w:tr>
        <w:trPr>
          <w:trHeight w:val="1255" w:hRule="atLeast"/>
        </w:trPr>
        <w:tc>
          <w:tcPr>
            <w:tcW w:w="9943" w:type="dxa"/>
            <w:gridSpan w:val="3"/>
          </w:tcPr>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18"/>
              </w:rPr>
            </w:pPr>
          </w:p>
          <w:p>
            <w:pPr>
              <w:pStyle w:val="TableParagraph"/>
              <w:ind w:left="107"/>
              <w:rPr>
                <w:sz w:val="21"/>
              </w:rPr>
            </w:pPr>
            <w:r>
              <w:rPr>
                <w:spacing w:val="-20"/>
                <w:sz w:val="21"/>
              </w:rPr>
              <w:t>在本条款中，“我们”、“本公司”均指民生人寿保险股份有限公司</w:t>
            </w:r>
          </w:p>
        </w:tc>
      </w:tr>
      <w:tr>
        <w:trPr>
          <w:trHeight w:val="832" w:hRule="atLeast"/>
        </w:trPr>
        <w:tc>
          <w:tcPr>
            <w:tcW w:w="627" w:type="dxa"/>
            <w:tcBorders>
              <w:bottom w:val="single" w:sz="4" w:space="0" w:color="000000"/>
            </w:tcBorders>
          </w:tcPr>
          <w:p>
            <w:pPr>
              <w:pStyle w:val="TableParagraph"/>
              <w:spacing w:before="271"/>
              <w:ind w:right="52"/>
              <w:jc w:val="center"/>
              <w:rPr>
                <w:rFonts w:ascii="Arial"/>
                <w:b/>
                <w:sz w:val="40"/>
              </w:rPr>
            </w:pPr>
            <w:r>
              <w:rPr>
                <w:rFonts w:ascii="Arial"/>
                <w:b/>
                <w:w w:val="160"/>
                <w:sz w:val="40"/>
              </w:rPr>
              <w:t>0</w:t>
            </w:r>
          </w:p>
        </w:tc>
        <w:tc>
          <w:tcPr>
            <w:tcW w:w="1765" w:type="dxa"/>
            <w:tcBorders>
              <w:bottom w:val="single" w:sz="4" w:space="0" w:color="000000"/>
            </w:tcBorders>
          </w:tcPr>
          <w:p>
            <w:pPr>
              <w:pStyle w:val="TableParagraph"/>
              <w:spacing w:before="3"/>
              <w:rPr>
                <w:rFonts w:ascii="Times New Roman"/>
                <w:sz w:val="28"/>
              </w:rPr>
            </w:pPr>
          </w:p>
          <w:p>
            <w:pPr>
              <w:pStyle w:val="TableParagraph"/>
              <w:spacing w:before="1"/>
              <w:ind w:left="162"/>
              <w:rPr>
                <w:b/>
                <w:sz w:val="24"/>
              </w:rPr>
            </w:pPr>
            <w:r>
              <w:rPr>
                <w:b/>
                <w:w w:val="95"/>
                <w:sz w:val="24"/>
              </w:rPr>
              <w:t>保险合同</w:t>
            </w:r>
          </w:p>
        </w:tc>
        <w:tc>
          <w:tcPr>
            <w:tcW w:w="7551" w:type="dxa"/>
            <w:tcBorders>
              <w:bottom w:val="single" w:sz="4" w:space="0" w:color="000000"/>
            </w:tcBorders>
          </w:tcPr>
          <w:p>
            <w:pPr>
              <w:pStyle w:val="TableParagraph"/>
              <w:rPr>
                <w:rFonts w:ascii="Times New Roman"/>
                <w:sz w:val="18"/>
              </w:rPr>
            </w:pPr>
          </w:p>
        </w:tc>
      </w:tr>
      <w:tr>
        <w:trPr>
          <w:trHeight w:val="988" w:hRule="atLeast"/>
        </w:trPr>
        <w:tc>
          <w:tcPr>
            <w:tcW w:w="627" w:type="dxa"/>
            <w:tcBorders>
              <w:top w:val="single" w:sz="4" w:space="0" w:color="000000"/>
            </w:tcBorders>
          </w:tcPr>
          <w:p>
            <w:pPr>
              <w:pStyle w:val="TableParagraph"/>
              <w:spacing w:before="6"/>
              <w:rPr>
                <w:rFonts w:ascii="Times New Roman"/>
                <w:sz w:val="17"/>
              </w:rPr>
            </w:pPr>
          </w:p>
          <w:p>
            <w:pPr>
              <w:pStyle w:val="TableParagraph"/>
              <w:ind w:left="88" w:right="179"/>
              <w:jc w:val="center"/>
              <w:rPr>
                <w:b/>
                <w:sz w:val="21"/>
              </w:rPr>
            </w:pPr>
            <w:r>
              <w:rPr>
                <w:b/>
                <w:sz w:val="21"/>
              </w:rPr>
              <w:t>1.1</w:t>
            </w:r>
          </w:p>
        </w:tc>
        <w:tc>
          <w:tcPr>
            <w:tcW w:w="1765" w:type="dxa"/>
            <w:tcBorders>
              <w:top w:val="single" w:sz="4" w:space="0" w:color="000000"/>
            </w:tcBorders>
          </w:tcPr>
          <w:p>
            <w:pPr>
              <w:pStyle w:val="TableParagraph"/>
              <w:spacing w:before="6"/>
              <w:rPr>
                <w:rFonts w:ascii="Times New Roman"/>
                <w:sz w:val="17"/>
              </w:rPr>
            </w:pPr>
          </w:p>
          <w:p>
            <w:pPr>
              <w:pStyle w:val="TableParagraph"/>
              <w:ind w:left="162"/>
              <w:rPr>
                <w:b/>
                <w:sz w:val="21"/>
              </w:rPr>
            </w:pPr>
            <w:r>
              <w:rPr>
                <w:b/>
                <w:w w:val="95"/>
                <w:sz w:val="21"/>
              </w:rPr>
              <w:t>合同构成</w:t>
            </w:r>
          </w:p>
        </w:tc>
        <w:tc>
          <w:tcPr>
            <w:tcW w:w="7551" w:type="dxa"/>
            <w:tcBorders>
              <w:top w:val="single" w:sz="4" w:space="0" w:color="000000"/>
            </w:tcBorders>
          </w:tcPr>
          <w:p>
            <w:pPr>
              <w:pStyle w:val="TableParagraph"/>
              <w:spacing w:before="9"/>
              <w:rPr>
                <w:rFonts w:ascii="Times New Roman"/>
                <w:sz w:val="19"/>
              </w:rPr>
            </w:pPr>
          </w:p>
          <w:p>
            <w:pPr>
              <w:pStyle w:val="TableParagraph"/>
              <w:spacing w:line="316" w:lineRule="auto"/>
              <w:ind w:left="106" w:right="37"/>
              <w:rPr>
                <w:sz w:val="18"/>
              </w:rPr>
            </w:pPr>
            <w:r>
              <w:rPr>
                <w:sz w:val="18"/>
              </w:rPr>
              <w:t>本保险合同（以下简称“本合同”）由保险单、保险条款、投保单，以及与本合同有关的投保文件、合法有效的声明、批注和其他书面协议共同构成。</w:t>
            </w:r>
          </w:p>
        </w:tc>
      </w:tr>
      <w:tr>
        <w:trPr>
          <w:trHeight w:val="795" w:hRule="atLeast"/>
        </w:trPr>
        <w:tc>
          <w:tcPr>
            <w:tcW w:w="9943" w:type="dxa"/>
            <w:gridSpan w:val="3"/>
          </w:tcPr>
          <w:p>
            <w:pPr>
              <w:pStyle w:val="TableParagraph"/>
              <w:tabs>
                <w:tab w:pos="789" w:val="left" w:leader="none"/>
                <w:tab w:pos="2498" w:val="left" w:leader="none"/>
              </w:tabs>
              <w:spacing w:before="149"/>
              <w:ind w:left="107"/>
              <w:rPr>
                <w:sz w:val="18"/>
              </w:rPr>
            </w:pPr>
            <w:r>
              <w:rPr>
                <w:b/>
                <w:sz w:val="21"/>
              </w:rPr>
              <w:t>1.2</w:t>
              <w:tab/>
              <w:t>合同成立与生效</w:t>
              <w:tab/>
            </w:r>
            <w:r>
              <w:rPr>
                <w:position w:val="1"/>
                <w:sz w:val="18"/>
              </w:rPr>
              <w:t>自投保人提出保险申请，本公司同意承保，本合同成立。合同成立日期在保险单上载明。</w:t>
            </w:r>
          </w:p>
          <w:p>
            <w:pPr>
              <w:pStyle w:val="TableParagraph"/>
              <w:spacing w:before="62"/>
              <w:ind w:left="2498"/>
              <w:rPr>
                <w:sz w:val="18"/>
              </w:rPr>
            </w:pPr>
            <w:r>
              <w:rPr>
                <w:sz w:val="18"/>
              </w:rPr>
              <w:t>本合同自本公司同意承保、收取保险费并签发保险单开始生效，具体生效日以保险单载明的日</w:t>
            </w:r>
          </w:p>
        </w:tc>
      </w:tr>
      <w:tr>
        <w:trPr>
          <w:trHeight w:val="929"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before="3"/>
              <w:ind w:left="106"/>
              <w:rPr>
                <w:sz w:val="18"/>
              </w:rPr>
            </w:pPr>
            <w:r>
              <w:rPr>
                <w:sz w:val="18"/>
              </w:rPr>
              <w:t>期为准。我们自生效日零时起开始承担本合同约定的保险责任。</w:t>
            </w:r>
          </w:p>
          <w:p>
            <w:pPr>
              <w:pStyle w:val="TableParagraph"/>
              <w:spacing w:line="310" w:lineRule="atLeast" w:before="1"/>
              <w:ind w:left="106" w:right="41"/>
              <w:rPr>
                <w:sz w:val="18"/>
              </w:rPr>
            </w:pPr>
            <w:r>
              <w:rPr>
                <w:sz w:val="18"/>
              </w:rPr>
              <w:t>本合同生效日以后每年的对应日是保险单周年日。保险单年度、保险单月份、保险费到期日和保险单满期日均以该日期计算。</w:t>
            </w:r>
          </w:p>
        </w:tc>
      </w:tr>
      <w:tr>
        <w:trPr>
          <w:trHeight w:val="461"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before="10"/>
              <w:ind w:left="106"/>
              <w:rPr>
                <w:sz w:val="18"/>
              </w:rPr>
            </w:pPr>
            <w:r>
              <w:rPr>
                <w:sz w:val="18"/>
              </w:rPr>
              <w:t>如果当月无对应的同一天，则以该月最后一日作为对应日。</w:t>
            </w:r>
          </w:p>
        </w:tc>
      </w:tr>
      <w:tr>
        <w:trPr>
          <w:trHeight w:val="1101" w:hRule="atLeast"/>
        </w:trPr>
        <w:tc>
          <w:tcPr>
            <w:tcW w:w="627" w:type="dxa"/>
          </w:tcPr>
          <w:p>
            <w:pPr>
              <w:pStyle w:val="TableParagraph"/>
              <w:spacing w:before="151"/>
              <w:ind w:left="88" w:right="177"/>
              <w:jc w:val="center"/>
              <w:rPr>
                <w:b/>
                <w:sz w:val="21"/>
              </w:rPr>
            </w:pPr>
            <w:r>
              <w:rPr>
                <w:b/>
                <w:sz w:val="21"/>
              </w:rPr>
              <w:t>1.3</w:t>
            </w:r>
          </w:p>
        </w:tc>
        <w:tc>
          <w:tcPr>
            <w:tcW w:w="1765" w:type="dxa"/>
          </w:tcPr>
          <w:p>
            <w:pPr>
              <w:pStyle w:val="TableParagraph"/>
              <w:spacing w:before="151"/>
              <w:ind w:left="162"/>
              <w:rPr>
                <w:b/>
                <w:sz w:val="21"/>
              </w:rPr>
            </w:pPr>
            <w:r>
              <w:rPr>
                <w:b/>
                <w:sz w:val="21"/>
              </w:rPr>
              <w:t>犹豫期</w:t>
            </w:r>
          </w:p>
        </w:tc>
        <w:tc>
          <w:tcPr>
            <w:tcW w:w="7551" w:type="dxa"/>
          </w:tcPr>
          <w:p>
            <w:pPr>
              <w:pStyle w:val="TableParagraph"/>
              <w:spacing w:line="310" w:lineRule="atLeast" w:before="102"/>
              <w:ind w:left="106" w:right="98"/>
              <w:jc w:val="both"/>
              <w:rPr>
                <w:sz w:val="18"/>
              </w:rPr>
            </w:pPr>
            <w:r>
              <w:rPr>
                <w:spacing w:val="-3"/>
                <w:sz w:val="18"/>
              </w:rPr>
              <w:t>自投保人签收本合同次日起，有十天的犹豫期。在此期间请投保人认真审视本合同，如果投保</w:t>
            </w:r>
            <w:r>
              <w:rPr>
                <w:spacing w:val="-5"/>
                <w:sz w:val="18"/>
              </w:rPr>
              <w:t>人认为本合同与投保人的需求不相符，投保人可以在此期间提出解除本合同，我们将在扣除十元工本费后无息退还投保人所交的全部保险费。</w:t>
            </w:r>
          </w:p>
        </w:tc>
      </w:tr>
      <w:tr>
        <w:trPr>
          <w:trHeight w:val="1095"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line="316" w:lineRule="auto" w:before="10"/>
              <w:ind w:left="106" w:right="98"/>
              <w:jc w:val="both"/>
              <w:rPr>
                <w:sz w:val="18"/>
              </w:rPr>
            </w:pPr>
            <w:r>
              <w:rPr>
                <w:spacing w:val="-5"/>
                <w:sz w:val="18"/>
              </w:rPr>
              <w:t>解除合同时，投保人需要填写书面申请书，并提供保险合同及投保人证明。自投保人书面申请</w:t>
            </w:r>
            <w:r>
              <w:rPr>
                <w:spacing w:val="-8"/>
                <w:sz w:val="18"/>
              </w:rPr>
              <w:t>解除合同之日起，本合同效力即行终止，对合同解除前发生的保险事故，我们不承担给付保险金的责任。</w:t>
            </w:r>
          </w:p>
        </w:tc>
      </w:tr>
      <w:tr>
        <w:trPr>
          <w:trHeight w:val="678" w:hRule="atLeast"/>
        </w:trPr>
        <w:tc>
          <w:tcPr>
            <w:tcW w:w="627" w:type="dxa"/>
          </w:tcPr>
          <w:p>
            <w:pPr>
              <w:pStyle w:val="TableParagraph"/>
              <w:spacing w:before="160"/>
              <w:ind w:left="88" w:right="177"/>
              <w:jc w:val="center"/>
              <w:rPr>
                <w:b/>
                <w:sz w:val="21"/>
              </w:rPr>
            </w:pPr>
            <w:r>
              <w:rPr>
                <w:b/>
                <w:sz w:val="21"/>
              </w:rPr>
              <w:t>1.4</w:t>
            </w:r>
          </w:p>
        </w:tc>
        <w:tc>
          <w:tcPr>
            <w:tcW w:w="1765" w:type="dxa"/>
          </w:tcPr>
          <w:p>
            <w:pPr>
              <w:pStyle w:val="TableParagraph"/>
              <w:spacing w:before="160"/>
              <w:ind w:left="162"/>
              <w:rPr>
                <w:b/>
                <w:sz w:val="21"/>
              </w:rPr>
            </w:pPr>
            <w:r>
              <w:rPr>
                <w:b/>
                <w:sz w:val="21"/>
              </w:rPr>
              <w:t>保险期间</w:t>
            </w:r>
          </w:p>
        </w:tc>
        <w:tc>
          <w:tcPr>
            <w:tcW w:w="7551" w:type="dxa"/>
          </w:tcPr>
          <w:p>
            <w:pPr>
              <w:pStyle w:val="TableParagraph"/>
              <w:spacing w:before="2"/>
              <w:rPr>
                <w:rFonts w:ascii="Times New Roman"/>
                <w:sz w:val="16"/>
              </w:rPr>
            </w:pPr>
          </w:p>
          <w:p>
            <w:pPr>
              <w:pStyle w:val="TableParagraph"/>
              <w:ind w:left="106"/>
              <w:rPr>
                <w:sz w:val="18"/>
              </w:rPr>
            </w:pPr>
            <w:r>
              <w:rPr>
                <w:sz w:val="18"/>
              </w:rPr>
              <w:t>本合同保险期间至被保险人十六周岁保险单周年日。</w:t>
            </w:r>
          </w:p>
        </w:tc>
      </w:tr>
      <w:tr>
        <w:trPr>
          <w:trHeight w:val="766" w:hRule="atLeast"/>
        </w:trPr>
        <w:tc>
          <w:tcPr>
            <w:tcW w:w="627" w:type="dxa"/>
            <w:tcBorders>
              <w:bottom w:val="single" w:sz="4" w:space="0" w:color="000000"/>
            </w:tcBorders>
          </w:tcPr>
          <w:p>
            <w:pPr>
              <w:pStyle w:val="TableParagraph"/>
              <w:spacing w:before="205"/>
              <w:ind w:right="52"/>
              <w:jc w:val="center"/>
              <w:rPr>
                <w:rFonts w:ascii="Arial"/>
                <w:b/>
                <w:sz w:val="40"/>
              </w:rPr>
            </w:pPr>
            <w:r>
              <w:rPr>
                <w:rFonts w:ascii="Arial"/>
                <w:b/>
                <w:w w:val="160"/>
                <w:sz w:val="40"/>
              </w:rPr>
              <w:t>4</w:t>
            </w:r>
          </w:p>
        </w:tc>
        <w:tc>
          <w:tcPr>
            <w:tcW w:w="9316" w:type="dxa"/>
            <w:gridSpan w:val="2"/>
            <w:tcBorders>
              <w:bottom w:val="single" w:sz="4" w:space="0" w:color="000000"/>
            </w:tcBorders>
          </w:tcPr>
          <w:p>
            <w:pPr>
              <w:pStyle w:val="TableParagraph"/>
              <w:spacing w:before="6"/>
              <w:rPr>
                <w:rFonts w:ascii="Times New Roman"/>
                <w:sz w:val="22"/>
              </w:rPr>
            </w:pPr>
          </w:p>
          <w:p>
            <w:pPr>
              <w:pStyle w:val="TableParagraph"/>
              <w:ind w:left="162"/>
              <w:rPr>
                <w:b/>
                <w:sz w:val="24"/>
              </w:rPr>
            </w:pPr>
            <w:r>
              <w:rPr>
                <w:b/>
                <w:w w:val="95"/>
                <w:sz w:val="24"/>
              </w:rPr>
              <w:t>我们提供的保障</w:t>
            </w:r>
          </w:p>
        </w:tc>
      </w:tr>
      <w:tr>
        <w:trPr>
          <w:trHeight w:val="848" w:hRule="atLeast"/>
        </w:trPr>
        <w:tc>
          <w:tcPr>
            <w:tcW w:w="2392" w:type="dxa"/>
            <w:gridSpan w:val="2"/>
            <w:tcBorders>
              <w:top w:val="single" w:sz="4" w:space="0" w:color="000000"/>
            </w:tcBorders>
          </w:tcPr>
          <w:p>
            <w:pPr>
              <w:pStyle w:val="TableParagraph"/>
              <w:spacing w:before="6"/>
              <w:rPr>
                <w:rFonts w:ascii="Times New Roman"/>
                <w:sz w:val="17"/>
              </w:rPr>
            </w:pPr>
          </w:p>
          <w:p>
            <w:pPr>
              <w:pStyle w:val="TableParagraph"/>
              <w:tabs>
                <w:tab w:pos="789" w:val="left" w:leader="none"/>
              </w:tabs>
              <w:ind w:left="107"/>
              <w:rPr>
                <w:b/>
                <w:sz w:val="21"/>
              </w:rPr>
            </w:pPr>
            <w:r>
              <w:rPr>
                <w:b/>
                <w:sz w:val="21"/>
              </w:rPr>
              <w:t>2.1</w:t>
              <w:tab/>
              <w:t>保险金额和保险</w:t>
            </w:r>
          </w:p>
          <w:p>
            <w:pPr>
              <w:pStyle w:val="TableParagraph"/>
              <w:spacing w:before="36"/>
              <w:ind w:left="789"/>
              <w:rPr>
                <w:b/>
                <w:sz w:val="21"/>
              </w:rPr>
            </w:pPr>
            <w:r>
              <w:rPr>
                <w:b/>
                <w:w w:val="99"/>
                <w:sz w:val="21"/>
              </w:rPr>
              <w:t>费</w:t>
            </w:r>
          </w:p>
        </w:tc>
        <w:tc>
          <w:tcPr>
            <w:tcW w:w="7551" w:type="dxa"/>
            <w:tcBorders>
              <w:top w:val="single" w:sz="4" w:space="0" w:color="000000"/>
            </w:tcBorders>
          </w:tcPr>
          <w:p>
            <w:pPr>
              <w:pStyle w:val="TableParagraph"/>
              <w:spacing w:before="9"/>
              <w:rPr>
                <w:rFonts w:ascii="Times New Roman"/>
                <w:sz w:val="19"/>
              </w:rPr>
            </w:pPr>
          </w:p>
          <w:p>
            <w:pPr>
              <w:pStyle w:val="TableParagraph"/>
              <w:ind w:left="106"/>
              <w:rPr>
                <w:sz w:val="18"/>
              </w:rPr>
            </w:pPr>
            <w:r>
              <w:rPr>
                <w:sz w:val="18"/>
              </w:rPr>
              <w:t>本合同保险金额由投保人和本公司约定，并在保险单上载明。</w:t>
            </w:r>
          </w:p>
          <w:p>
            <w:pPr>
              <w:pStyle w:val="TableParagraph"/>
              <w:spacing w:before="76"/>
              <w:ind w:left="106"/>
              <w:rPr>
                <w:sz w:val="18"/>
              </w:rPr>
            </w:pPr>
            <w:r>
              <w:rPr>
                <w:sz w:val="18"/>
              </w:rPr>
              <w:t>本保险的保险费为保险金额乘以保险费率。保险费率取决于投保时被保险人的年龄。</w:t>
            </w:r>
          </w:p>
        </w:tc>
      </w:tr>
      <w:tr>
        <w:trPr>
          <w:trHeight w:val="469"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before="3"/>
              <w:ind w:left="106"/>
              <w:rPr>
                <w:sz w:val="18"/>
              </w:rPr>
            </w:pPr>
            <w:r>
              <w:rPr>
                <w:sz w:val="18"/>
              </w:rPr>
              <w:t>本合同保险费的交费方式为一次交清。</w:t>
            </w:r>
          </w:p>
        </w:tc>
      </w:tr>
      <w:tr>
        <w:trPr>
          <w:trHeight w:val="655" w:hRule="atLeast"/>
        </w:trPr>
        <w:tc>
          <w:tcPr>
            <w:tcW w:w="627" w:type="dxa"/>
          </w:tcPr>
          <w:p>
            <w:pPr>
              <w:pStyle w:val="TableParagraph"/>
              <w:spacing w:before="165"/>
              <w:ind w:left="88" w:right="179"/>
              <w:jc w:val="center"/>
              <w:rPr>
                <w:b/>
                <w:sz w:val="21"/>
              </w:rPr>
            </w:pPr>
            <w:r>
              <w:rPr>
                <w:b/>
                <w:sz w:val="21"/>
              </w:rPr>
              <w:t>2.2</w:t>
            </w:r>
          </w:p>
        </w:tc>
        <w:tc>
          <w:tcPr>
            <w:tcW w:w="1765" w:type="dxa"/>
          </w:tcPr>
          <w:p>
            <w:pPr>
              <w:pStyle w:val="TableParagraph"/>
              <w:spacing w:before="165"/>
              <w:ind w:left="162"/>
              <w:rPr>
                <w:b/>
                <w:sz w:val="21"/>
              </w:rPr>
            </w:pPr>
            <w:r>
              <w:rPr>
                <w:b/>
                <w:w w:val="95"/>
                <w:sz w:val="21"/>
              </w:rPr>
              <w:t>保险责任</w:t>
            </w:r>
          </w:p>
        </w:tc>
        <w:tc>
          <w:tcPr>
            <w:tcW w:w="7551" w:type="dxa"/>
          </w:tcPr>
          <w:p>
            <w:pPr>
              <w:pStyle w:val="TableParagraph"/>
              <w:spacing w:before="6"/>
              <w:rPr>
                <w:rFonts w:ascii="Times New Roman"/>
                <w:sz w:val="16"/>
              </w:rPr>
            </w:pPr>
          </w:p>
          <w:p>
            <w:pPr>
              <w:pStyle w:val="TableParagraph"/>
              <w:ind w:left="106"/>
              <w:rPr>
                <w:sz w:val="18"/>
              </w:rPr>
            </w:pPr>
            <w:r>
              <w:rPr>
                <w:sz w:val="18"/>
              </w:rPr>
              <w:t>在本合同有效期内，本公司对被保险人承担下列保险责任：</w:t>
            </w:r>
          </w:p>
        </w:tc>
      </w:tr>
      <w:tr>
        <w:trPr>
          <w:trHeight w:val="1085" w:hRule="atLeast"/>
        </w:trPr>
        <w:tc>
          <w:tcPr>
            <w:tcW w:w="627" w:type="dxa"/>
          </w:tcPr>
          <w:p>
            <w:pPr>
              <w:pStyle w:val="TableParagraph"/>
              <w:rPr>
                <w:rFonts w:ascii="Times New Roman"/>
                <w:sz w:val="18"/>
              </w:rPr>
            </w:pPr>
          </w:p>
        </w:tc>
        <w:tc>
          <w:tcPr>
            <w:tcW w:w="1765" w:type="dxa"/>
          </w:tcPr>
          <w:p>
            <w:pPr>
              <w:pStyle w:val="TableParagraph"/>
              <w:spacing w:before="134"/>
              <w:ind w:left="162"/>
              <w:rPr>
                <w:b/>
                <w:sz w:val="21"/>
              </w:rPr>
            </w:pPr>
            <w:r>
              <w:rPr>
                <w:b/>
                <w:w w:val="95"/>
                <w:sz w:val="21"/>
              </w:rPr>
              <w:t>重大疾病保险金</w:t>
            </w:r>
          </w:p>
        </w:tc>
        <w:tc>
          <w:tcPr>
            <w:tcW w:w="7551" w:type="dxa"/>
          </w:tcPr>
          <w:p>
            <w:pPr>
              <w:pStyle w:val="TableParagraph"/>
              <w:spacing w:line="310" w:lineRule="atLeast" w:before="85"/>
              <w:ind w:left="106" w:right="12"/>
              <w:rPr>
                <w:sz w:val="18"/>
              </w:rPr>
            </w:pPr>
            <w:r>
              <w:rPr>
                <w:spacing w:val="-4"/>
                <w:sz w:val="18"/>
              </w:rPr>
              <w:t>被保险人于本合同生效之日起 </w:t>
            </w:r>
            <w:r>
              <w:rPr>
                <w:sz w:val="18"/>
              </w:rPr>
              <w:t>90</w:t>
            </w:r>
            <w:r>
              <w:rPr>
                <w:spacing w:val="-27"/>
                <w:sz w:val="18"/>
              </w:rPr>
              <w:t> 天内</w:t>
            </w:r>
            <w:r>
              <w:rPr>
                <w:sz w:val="18"/>
              </w:rPr>
              <w:t>（</w:t>
            </w:r>
            <w:r>
              <w:rPr>
                <w:spacing w:val="-16"/>
                <w:sz w:val="18"/>
              </w:rPr>
              <w:t>含第 </w:t>
            </w:r>
            <w:r>
              <w:rPr>
                <w:sz w:val="18"/>
              </w:rPr>
              <w:t>90</w:t>
            </w:r>
            <w:r>
              <w:rPr>
                <w:spacing w:val="-24"/>
                <w:sz w:val="18"/>
              </w:rPr>
              <w:t> 天</w:t>
            </w:r>
            <w:r>
              <w:rPr>
                <w:spacing w:val="-31"/>
                <w:sz w:val="18"/>
              </w:rPr>
              <w:t>）</w:t>
            </w:r>
            <w:r>
              <w:rPr>
                <w:sz w:val="18"/>
              </w:rPr>
              <w:t>被本公司</w:t>
            </w:r>
            <w:r>
              <w:rPr>
                <w:b/>
                <w:spacing w:val="-4"/>
                <w:sz w:val="18"/>
              </w:rPr>
              <w:t>指定或认可的医疗机构</w:t>
            </w:r>
            <w:r>
              <w:rPr>
                <w:sz w:val="18"/>
              </w:rPr>
              <w:t>（</w:t>
            </w:r>
            <w:r>
              <w:rPr>
                <w:spacing w:val="-24"/>
                <w:sz w:val="18"/>
              </w:rPr>
              <w:t>见 </w:t>
            </w:r>
            <w:r>
              <w:rPr>
                <w:sz w:val="18"/>
              </w:rPr>
              <w:t>7.1） 确诊初次患有本合同约定的</w:t>
            </w:r>
            <w:r>
              <w:rPr>
                <w:b/>
                <w:sz w:val="18"/>
              </w:rPr>
              <w:t>重大疾病</w:t>
            </w:r>
            <w:r>
              <w:rPr>
                <w:sz w:val="18"/>
              </w:rPr>
              <w:t>（</w:t>
            </w:r>
            <w:r>
              <w:rPr>
                <w:spacing w:val="-21"/>
                <w:sz w:val="18"/>
              </w:rPr>
              <w:t>见 </w:t>
            </w:r>
            <w:r>
              <w:rPr>
                <w:sz w:val="18"/>
              </w:rPr>
              <w:t>7.2）之一，本公司无息返还保险费，对该被保险人的保险责任终止。</w:t>
            </w:r>
          </w:p>
        </w:tc>
      </w:tr>
      <w:tr>
        <w:trPr>
          <w:trHeight w:val="869"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line="316" w:lineRule="auto" w:before="10"/>
              <w:ind w:left="106" w:right="99"/>
              <w:rPr>
                <w:sz w:val="18"/>
              </w:rPr>
            </w:pPr>
            <w:r>
              <w:rPr>
                <w:spacing w:val="-4"/>
                <w:sz w:val="18"/>
              </w:rPr>
              <w:t>被保险人于本合同生效之日起 </w:t>
            </w:r>
            <w:r>
              <w:rPr>
                <w:sz w:val="18"/>
              </w:rPr>
              <w:t>90</w:t>
            </w:r>
            <w:r>
              <w:rPr>
                <w:spacing w:val="-10"/>
                <w:sz w:val="18"/>
              </w:rPr>
              <w:t> 天后首次</w:t>
            </w:r>
            <w:r>
              <w:rPr>
                <w:b/>
                <w:spacing w:val="-21"/>
                <w:sz w:val="18"/>
              </w:rPr>
              <w:t>发病</w:t>
            </w:r>
            <w:r>
              <w:rPr>
                <w:sz w:val="18"/>
              </w:rPr>
              <w:t>（</w:t>
            </w:r>
            <w:r>
              <w:rPr>
                <w:spacing w:val="-23"/>
                <w:sz w:val="18"/>
              </w:rPr>
              <w:t>见 </w:t>
            </w:r>
            <w:r>
              <w:rPr>
                <w:spacing w:val="-11"/>
                <w:sz w:val="18"/>
              </w:rPr>
              <w:t>7.3）</w:t>
            </w:r>
            <w:r>
              <w:rPr>
                <w:sz w:val="18"/>
              </w:rPr>
              <w:t>并被本公司指定或认可的医疗机构确</w:t>
            </w:r>
            <w:r>
              <w:rPr>
                <w:spacing w:val="-2"/>
                <w:sz w:val="18"/>
              </w:rPr>
              <w:t>诊初次患有本合同约定的一项或多项重大疾病，本公司按保险单所载明的保险金额给付重大疾</w:t>
            </w:r>
          </w:p>
          <w:p>
            <w:pPr>
              <w:pStyle w:val="TableParagraph"/>
              <w:spacing w:line="216" w:lineRule="exact" w:before="18"/>
              <w:ind w:left="106"/>
              <w:rPr>
                <w:sz w:val="18"/>
              </w:rPr>
            </w:pPr>
            <w:r>
              <w:rPr>
                <w:sz w:val="18"/>
              </w:rPr>
              <w:t>病保险金，对该被保险人的保险责任终止。</w:t>
            </w:r>
          </w:p>
        </w:tc>
      </w:tr>
    </w:tbl>
    <w:p>
      <w:pPr>
        <w:spacing w:after="0" w:line="216" w:lineRule="exact"/>
        <w:rPr>
          <w:sz w:val="18"/>
        </w:rPr>
        <w:sectPr>
          <w:headerReference w:type="default" r:id="rId9"/>
          <w:pgSz w:w="11910" w:h="16840"/>
          <w:pgMar w:header="877" w:footer="981" w:top="1100" w:bottom="1180" w:left="960" w:right="780"/>
        </w:sectPr>
      </w:pPr>
    </w:p>
    <w:p>
      <w:pPr>
        <w:pStyle w:val="BodyText"/>
        <w:rPr>
          <w:rFonts w:ascii="Times New Roman"/>
          <w:sz w:val="20"/>
        </w:rPr>
      </w:pPr>
      <w:r>
        <w:rPr/>
        <w:pict>
          <v:shape style="position:absolute;margin-left:53.880001pt;margin-top:89.016266pt;width:497.1pt;height:680.7pt;mso-position-horizontal-relative:page;mso-position-vertical-relative:page;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65"/>
                    <w:gridCol w:w="7551"/>
                  </w:tblGrid>
                  <w:tr>
                    <w:trPr>
                      <w:trHeight w:val="4006" w:hRule="atLeast"/>
                    </w:trPr>
                    <w:tc>
                      <w:tcPr>
                        <w:tcW w:w="9943" w:type="dxa"/>
                        <w:gridSpan w:val="3"/>
                      </w:tcPr>
                      <w:p>
                        <w:pPr>
                          <w:pStyle w:val="TableParagraph"/>
                          <w:tabs>
                            <w:tab w:pos="788" w:val="left" w:leader="none"/>
                            <w:tab w:pos="2498" w:val="left" w:leader="none"/>
                          </w:tabs>
                          <w:spacing w:line="210" w:lineRule="exact"/>
                          <w:ind w:left="107"/>
                          <w:rPr>
                            <w:sz w:val="18"/>
                          </w:rPr>
                        </w:pPr>
                        <w:r>
                          <w:rPr>
                            <w:b/>
                            <w:sz w:val="21"/>
                          </w:rPr>
                          <w:t>2.3</w:t>
                          <w:tab/>
                          <w:t>责任免除</w:t>
                          <w:tab/>
                        </w:r>
                        <w:r>
                          <w:rPr>
                            <w:position w:val="1"/>
                            <w:sz w:val="18"/>
                          </w:rPr>
                          <w:t>被保险人因下列情形之一导致患本合同约定的一项或多项重大疾病的，本公司不承担保</w:t>
                        </w:r>
                        <w:r>
                          <w:rPr>
                            <w:spacing w:val="2"/>
                            <w:position w:val="1"/>
                            <w:sz w:val="18"/>
                          </w:rPr>
                          <w:t>险</w:t>
                        </w:r>
                        <w:r>
                          <w:rPr>
                            <w:position w:val="1"/>
                            <w:sz w:val="18"/>
                          </w:rPr>
                          <w:t>责</w:t>
                        </w:r>
                      </w:p>
                      <w:p>
                        <w:pPr>
                          <w:pStyle w:val="TableParagraph"/>
                          <w:spacing w:before="62"/>
                          <w:ind w:left="2498"/>
                          <w:rPr>
                            <w:sz w:val="18"/>
                          </w:rPr>
                        </w:pPr>
                        <w:r>
                          <w:rPr>
                            <w:sz w:val="18"/>
                          </w:rPr>
                          <w:t>任：</w:t>
                        </w:r>
                      </w:p>
                      <w:p>
                        <w:pPr>
                          <w:pStyle w:val="TableParagraph"/>
                          <w:spacing w:before="76"/>
                          <w:ind w:left="2498"/>
                          <w:rPr>
                            <w:b/>
                            <w:sz w:val="18"/>
                          </w:rPr>
                        </w:pPr>
                        <w:r>
                          <w:rPr>
                            <w:b/>
                            <w:sz w:val="18"/>
                          </w:rPr>
                          <w:t>1、 投保人对被保险人的故意杀害、故意伤害；</w:t>
                        </w:r>
                      </w:p>
                      <w:p>
                        <w:pPr>
                          <w:pStyle w:val="TableParagraph"/>
                          <w:spacing w:before="76"/>
                          <w:ind w:left="2498"/>
                          <w:rPr>
                            <w:b/>
                            <w:sz w:val="18"/>
                          </w:rPr>
                        </w:pPr>
                        <w:r>
                          <w:rPr>
                            <w:b/>
                            <w:sz w:val="18"/>
                          </w:rPr>
                          <w:t>2、 被保险人故意自伤、故意犯罪或抗拒依法采取的刑事强制措施；</w:t>
                        </w:r>
                      </w:p>
                      <w:p>
                        <w:pPr>
                          <w:pStyle w:val="TableParagraph"/>
                          <w:spacing w:before="76"/>
                          <w:ind w:left="2498"/>
                          <w:rPr>
                            <w:b/>
                            <w:sz w:val="18"/>
                          </w:rPr>
                        </w:pPr>
                        <w:r>
                          <w:rPr>
                            <w:b/>
                            <w:spacing w:val="0"/>
                            <w:w w:val="99"/>
                            <w:sz w:val="18"/>
                          </w:rPr>
                          <w:t>3</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7.4</w:t>
                        </w:r>
                        <w:r>
                          <w:rPr>
                            <w:spacing w:val="-90"/>
                            <w:sz w:val="18"/>
                          </w:rPr>
                          <w:t>）</w:t>
                        </w:r>
                        <w:r>
                          <w:rPr>
                            <w:b/>
                            <w:w w:val="99"/>
                            <w:sz w:val="18"/>
                          </w:rPr>
                          <w:t>；</w:t>
                        </w:r>
                      </w:p>
                      <w:p>
                        <w:pPr>
                          <w:pStyle w:val="TableParagraph"/>
                          <w:spacing w:before="76"/>
                          <w:ind w:left="2498"/>
                          <w:rPr>
                            <w:sz w:val="18"/>
                          </w:rPr>
                        </w:pPr>
                        <w:r>
                          <w:rPr>
                            <w:b/>
                            <w:spacing w:val="0"/>
                            <w:w w:val="99"/>
                            <w:sz w:val="18"/>
                          </w:rPr>
                          <w:t>4</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7.5</w:t>
                        </w:r>
                        <w:r>
                          <w:rPr>
                            <w:spacing w:val="-90"/>
                            <w:sz w:val="18"/>
                          </w:rPr>
                          <w:t>）</w:t>
                        </w:r>
                        <w:r>
                          <w:rPr>
                            <w:b/>
                            <w:spacing w:val="-6"/>
                            <w:w w:val="99"/>
                            <w:sz w:val="18"/>
                          </w:rPr>
                          <w:t>、无合法有效驾驶证驾驶</w:t>
                        </w:r>
                        <w:r>
                          <w:rPr>
                            <w:spacing w:val="-2"/>
                            <w:sz w:val="18"/>
                          </w:rPr>
                          <w:t>（</w:t>
                        </w:r>
                        <w:r>
                          <w:rPr>
                            <w:spacing w:val="-23"/>
                            <w:sz w:val="18"/>
                          </w:rPr>
                          <w:t>见 </w:t>
                        </w:r>
                        <w:r>
                          <w:rPr>
                            <w:sz w:val="18"/>
                          </w:rPr>
                          <w:t>7.6</w:t>
                        </w:r>
                        <w:r>
                          <w:rPr>
                            <w:spacing w:val="-20"/>
                            <w:sz w:val="18"/>
                          </w:rPr>
                          <w:t>）</w:t>
                        </w:r>
                        <w:r>
                          <w:rPr>
                            <w:b/>
                            <w:spacing w:val="-4"/>
                            <w:w w:val="99"/>
                            <w:sz w:val="18"/>
                          </w:rPr>
                          <w:t>或驾驶无有效行驶证</w:t>
                        </w:r>
                        <w:r>
                          <w:rPr>
                            <w:sz w:val="18"/>
                          </w:rPr>
                          <w:t>（见</w:t>
                        </w:r>
                      </w:p>
                      <w:p>
                        <w:pPr>
                          <w:pStyle w:val="TableParagraph"/>
                          <w:spacing w:before="76"/>
                          <w:ind w:left="2895"/>
                          <w:rPr>
                            <w:b/>
                            <w:sz w:val="18"/>
                          </w:rPr>
                        </w:pPr>
                        <w:r>
                          <w:rPr>
                            <w:w w:val="95"/>
                            <w:sz w:val="18"/>
                          </w:rPr>
                          <w:t>7.7）</w:t>
                        </w:r>
                        <w:r>
                          <w:rPr>
                            <w:b/>
                            <w:w w:val="95"/>
                            <w:sz w:val="18"/>
                          </w:rPr>
                          <w:t>的机动交通工具；</w:t>
                        </w:r>
                      </w:p>
                      <w:p>
                        <w:pPr>
                          <w:pStyle w:val="TableParagraph"/>
                          <w:spacing w:before="76"/>
                          <w:ind w:left="2498"/>
                          <w:rPr>
                            <w:sz w:val="18"/>
                          </w:rPr>
                        </w:pPr>
                        <w:r>
                          <w:rPr>
                            <w:b/>
                            <w:spacing w:val="0"/>
                            <w:w w:val="99"/>
                            <w:sz w:val="18"/>
                          </w:rPr>
                          <w:t>5</w:t>
                        </w:r>
                        <w:r>
                          <w:rPr>
                            <w:b/>
                            <w:w w:val="99"/>
                            <w:sz w:val="18"/>
                          </w:rPr>
                          <w:t>、</w:t>
                        </w:r>
                        <w:r>
                          <w:rPr>
                            <w:b/>
                            <w:spacing w:val="35"/>
                            <w:sz w:val="18"/>
                          </w:rPr>
                          <w:t> </w:t>
                        </w:r>
                        <w:r>
                          <w:rPr>
                            <w:b/>
                            <w:spacing w:val="-4"/>
                            <w:w w:val="99"/>
                            <w:sz w:val="18"/>
                          </w:rPr>
                          <w:t>被保险人在本合同生效日起二年内患艾滋病</w:t>
                        </w:r>
                        <w:r>
                          <w:rPr>
                            <w:sz w:val="18"/>
                          </w:rPr>
                          <w:t>（</w:t>
                        </w:r>
                        <w:r>
                          <w:rPr>
                            <w:spacing w:val="-23"/>
                            <w:sz w:val="18"/>
                          </w:rPr>
                          <w:t>见 </w:t>
                        </w:r>
                        <w:r>
                          <w:rPr>
                            <w:sz w:val="18"/>
                          </w:rPr>
                          <w:t>7.8</w:t>
                        </w:r>
                        <w:r>
                          <w:rPr>
                            <w:spacing w:val="-137"/>
                            <w:sz w:val="18"/>
                          </w:rPr>
                          <w:t>）</w:t>
                        </w:r>
                        <w:r>
                          <w:rPr>
                            <w:b/>
                            <w:spacing w:val="0"/>
                            <w:w w:val="99"/>
                            <w:sz w:val="18"/>
                          </w:rPr>
                          <w:t>（A</w:t>
                        </w:r>
                        <w:r>
                          <w:rPr>
                            <w:b/>
                            <w:spacing w:val="-1"/>
                            <w:w w:val="99"/>
                            <w:sz w:val="18"/>
                          </w:rPr>
                          <w:t>I</w:t>
                        </w:r>
                        <w:r>
                          <w:rPr>
                            <w:b/>
                            <w:spacing w:val="0"/>
                            <w:w w:val="99"/>
                            <w:sz w:val="18"/>
                          </w:rPr>
                          <w:t>DS</w:t>
                        </w:r>
                        <w:r>
                          <w:rPr>
                            <w:b/>
                            <w:spacing w:val="-47"/>
                            <w:w w:val="99"/>
                            <w:sz w:val="18"/>
                          </w:rPr>
                          <w:t>）</w:t>
                        </w:r>
                        <w:r>
                          <w:rPr>
                            <w:b/>
                            <w:spacing w:val="-7"/>
                            <w:w w:val="99"/>
                            <w:sz w:val="18"/>
                          </w:rPr>
                          <w:t>或感染艾滋病病毒</w:t>
                        </w:r>
                        <w:r>
                          <w:rPr>
                            <w:sz w:val="18"/>
                          </w:rPr>
                          <w:t>（</w:t>
                        </w:r>
                        <w:r>
                          <w:rPr>
                            <w:spacing w:val="-23"/>
                            <w:sz w:val="18"/>
                          </w:rPr>
                          <w:t>见 </w:t>
                        </w:r>
                        <w:r>
                          <w:rPr>
                            <w:sz w:val="18"/>
                          </w:rPr>
                          <w:t>7.9）</w:t>
                        </w:r>
                      </w:p>
                      <w:p>
                        <w:pPr>
                          <w:pStyle w:val="TableParagraph"/>
                          <w:spacing w:before="75"/>
                          <w:ind w:left="2895"/>
                          <w:rPr>
                            <w:b/>
                            <w:sz w:val="18"/>
                          </w:rPr>
                        </w:pPr>
                        <w:r>
                          <w:rPr>
                            <w:b/>
                            <w:spacing w:val="0"/>
                            <w:w w:val="99"/>
                            <w:sz w:val="18"/>
                          </w:rPr>
                          <w:t>（H</w:t>
                        </w:r>
                        <w:r>
                          <w:rPr>
                            <w:b/>
                            <w:spacing w:val="-1"/>
                            <w:w w:val="99"/>
                            <w:sz w:val="18"/>
                          </w:rPr>
                          <w:t>I</w:t>
                        </w:r>
                        <w:r>
                          <w:rPr>
                            <w:b/>
                            <w:w w:val="99"/>
                            <w:sz w:val="18"/>
                          </w:rPr>
                          <w:t>V</w:t>
                        </w:r>
                        <w:r>
                          <w:rPr>
                            <w:b/>
                            <w:sz w:val="18"/>
                          </w:rPr>
                          <w:t> </w:t>
                        </w:r>
                        <w:r>
                          <w:rPr>
                            <w:b/>
                            <w:w w:val="99"/>
                            <w:sz w:val="18"/>
                          </w:rPr>
                          <w:t>呈阳性</w:t>
                        </w:r>
                        <w:r>
                          <w:rPr>
                            <w:b/>
                            <w:spacing w:val="-91"/>
                            <w:w w:val="99"/>
                            <w:sz w:val="18"/>
                          </w:rPr>
                          <w:t>）</w:t>
                        </w:r>
                        <w:r>
                          <w:rPr>
                            <w:b/>
                            <w:w w:val="99"/>
                            <w:sz w:val="18"/>
                          </w:rPr>
                          <w:t>；</w:t>
                        </w:r>
                      </w:p>
                      <w:p>
                        <w:pPr>
                          <w:pStyle w:val="TableParagraph"/>
                          <w:spacing w:before="75"/>
                          <w:ind w:left="2498"/>
                          <w:rPr>
                            <w:b/>
                            <w:sz w:val="18"/>
                          </w:rPr>
                        </w:pPr>
                        <w:r>
                          <w:rPr>
                            <w:b/>
                            <w:sz w:val="18"/>
                          </w:rPr>
                          <w:t>6、 战争、军事冲突、暴乱或武装叛乱；</w:t>
                        </w:r>
                      </w:p>
                      <w:p>
                        <w:pPr>
                          <w:pStyle w:val="TableParagraph"/>
                          <w:spacing w:before="75"/>
                          <w:ind w:left="2498"/>
                          <w:rPr>
                            <w:b/>
                            <w:sz w:val="18"/>
                          </w:rPr>
                        </w:pPr>
                        <w:r>
                          <w:rPr>
                            <w:b/>
                            <w:sz w:val="18"/>
                          </w:rPr>
                          <w:t>7、 核爆炸、核辐射或核污染；</w:t>
                        </w:r>
                      </w:p>
                      <w:p>
                        <w:pPr>
                          <w:pStyle w:val="TableParagraph"/>
                          <w:spacing w:before="75"/>
                          <w:ind w:left="2498"/>
                          <w:rPr>
                            <w:b/>
                            <w:sz w:val="18"/>
                          </w:rPr>
                        </w:pPr>
                        <w:r>
                          <w:rPr>
                            <w:b/>
                            <w:spacing w:val="0"/>
                            <w:w w:val="99"/>
                            <w:sz w:val="18"/>
                          </w:rPr>
                          <w:t>8</w:t>
                        </w:r>
                        <w:r>
                          <w:rPr>
                            <w:b/>
                            <w:w w:val="99"/>
                            <w:sz w:val="18"/>
                          </w:rPr>
                          <w:t>、</w:t>
                        </w:r>
                        <w:r>
                          <w:rPr>
                            <w:b/>
                            <w:spacing w:val="35"/>
                            <w:sz w:val="18"/>
                          </w:rPr>
                          <w:t> </w:t>
                        </w:r>
                        <w:r>
                          <w:rPr>
                            <w:b/>
                            <w:w w:val="99"/>
                            <w:sz w:val="18"/>
                          </w:rPr>
                          <w:t>遗传性疾病</w:t>
                        </w:r>
                        <w:r>
                          <w:rPr>
                            <w:spacing w:val="-2"/>
                            <w:sz w:val="18"/>
                          </w:rPr>
                          <w:t>（</w:t>
                        </w:r>
                        <w:r>
                          <w:rPr>
                            <w:spacing w:val="-23"/>
                            <w:sz w:val="18"/>
                          </w:rPr>
                          <w:t>见 </w:t>
                        </w:r>
                        <w:r>
                          <w:rPr>
                            <w:sz w:val="18"/>
                          </w:rPr>
                          <w:t>7.10</w:t>
                        </w:r>
                        <w:r>
                          <w:rPr>
                            <w:spacing w:val="-90"/>
                            <w:sz w:val="18"/>
                          </w:rPr>
                          <w:t>）</w:t>
                        </w:r>
                        <w:r>
                          <w:rPr>
                            <w:b/>
                            <w:spacing w:val="-1"/>
                            <w:w w:val="99"/>
                            <w:sz w:val="18"/>
                          </w:rPr>
                          <w:t>，先天性畸形、变形或染色体异常</w:t>
                        </w:r>
                        <w:r>
                          <w:rPr>
                            <w:sz w:val="18"/>
                          </w:rPr>
                          <w:t>（</w:t>
                        </w:r>
                        <w:r>
                          <w:rPr>
                            <w:spacing w:val="-23"/>
                            <w:sz w:val="18"/>
                          </w:rPr>
                          <w:t>见 </w:t>
                        </w:r>
                        <w:r>
                          <w:rPr>
                            <w:sz w:val="18"/>
                          </w:rPr>
                          <w:t>7.11</w:t>
                        </w:r>
                        <w:r>
                          <w:rPr>
                            <w:spacing w:val="-90"/>
                            <w:sz w:val="18"/>
                          </w:rPr>
                          <w:t>）</w:t>
                        </w:r>
                        <w:r>
                          <w:rPr>
                            <w:b/>
                            <w:w w:val="99"/>
                            <w:sz w:val="18"/>
                          </w:rPr>
                          <w:t>；</w:t>
                        </w:r>
                      </w:p>
                      <w:p>
                        <w:pPr>
                          <w:pStyle w:val="TableParagraph"/>
                          <w:spacing w:before="75"/>
                          <w:ind w:left="2498"/>
                          <w:rPr>
                            <w:b/>
                            <w:sz w:val="18"/>
                          </w:rPr>
                        </w:pPr>
                        <w:r>
                          <w:rPr>
                            <w:b/>
                            <w:sz w:val="18"/>
                          </w:rPr>
                          <w:t>9、 被保险人在本合同生效日前，曾患有、或患告知患有、或接受治疗的本合同中约定的重大</w:t>
                        </w:r>
                      </w:p>
                    </w:tc>
                  </w:tr>
                  <w:tr>
                    <w:trPr>
                      <w:trHeight w:val="1247"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before="10"/>
                          <w:ind w:left="467"/>
                          <w:rPr>
                            <w:b/>
                            <w:sz w:val="18"/>
                          </w:rPr>
                        </w:pPr>
                        <w:r>
                          <w:rPr>
                            <w:b/>
                            <w:sz w:val="18"/>
                          </w:rPr>
                          <w:t>疾病。</w:t>
                        </w:r>
                      </w:p>
                      <w:p>
                        <w:pPr>
                          <w:pStyle w:val="TableParagraph"/>
                          <w:spacing w:line="310" w:lineRule="atLeast" w:before="1"/>
                          <w:ind w:left="106" w:right="98"/>
                          <w:jc w:val="both"/>
                          <w:rPr>
                            <w:sz w:val="18"/>
                          </w:rPr>
                        </w:pPr>
                        <w:r>
                          <w:rPr>
                            <w:spacing w:val="-8"/>
                            <w:sz w:val="18"/>
                          </w:rPr>
                          <w:t>发生上述第 </w:t>
                        </w:r>
                        <w:r>
                          <w:rPr>
                            <w:sz w:val="18"/>
                          </w:rPr>
                          <w:t>1</w:t>
                        </w:r>
                        <w:r>
                          <w:rPr>
                            <w:spacing w:val="-9"/>
                            <w:sz w:val="18"/>
                          </w:rPr>
                          <w:t> 项情形导致被保险人患本合同约定的一项或多项重大疾病的，本公司对该被保险</w:t>
                        </w:r>
                        <w:r>
                          <w:rPr>
                            <w:spacing w:val="-10"/>
                            <w:sz w:val="18"/>
                          </w:rPr>
                          <w:t>人的保险责任终止，投保人已交足两年以上保险费的，本公司向其他权利人退还该被保险人的</w:t>
                        </w:r>
                        <w:r>
                          <w:rPr>
                            <w:b/>
                            <w:w w:val="99"/>
                            <w:sz w:val="18"/>
                          </w:rPr>
                          <w:t>现金价值</w:t>
                        </w:r>
                        <w:r>
                          <w:rPr>
                            <w:sz w:val="18"/>
                          </w:rPr>
                          <w:t>（</w:t>
                        </w:r>
                        <w:r>
                          <w:rPr>
                            <w:spacing w:val="-23"/>
                            <w:sz w:val="18"/>
                          </w:rPr>
                          <w:t>见 </w:t>
                        </w:r>
                        <w:r>
                          <w:rPr>
                            <w:sz w:val="18"/>
                          </w:rPr>
                          <w:t>7.12</w:t>
                        </w:r>
                        <w:r>
                          <w:rPr>
                            <w:spacing w:val="-90"/>
                            <w:sz w:val="18"/>
                          </w:rPr>
                          <w:t>）</w:t>
                        </w:r>
                        <w:r>
                          <w:rPr>
                            <w:sz w:val="18"/>
                          </w:rPr>
                          <w:t>。</w:t>
                        </w:r>
                      </w:p>
                    </w:tc>
                  </w:tr>
                  <w:tr>
                    <w:trPr>
                      <w:trHeight w:val="797"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line="316" w:lineRule="auto" w:before="10"/>
                          <w:ind w:left="106" w:right="41"/>
                          <w:rPr>
                            <w:sz w:val="18"/>
                          </w:rPr>
                        </w:pPr>
                        <w:r>
                          <w:rPr>
                            <w:sz w:val="18"/>
                          </w:rPr>
                          <w:t>发生上述其它情形导致被保险人患本合同约定的一项或多项重大疾病的，本公司对该被保险人的保险责任终止，本公司向投保人或其他权利人退还该被保险人的现金价值。</w:t>
                        </w:r>
                      </w:p>
                    </w:tc>
                  </w:tr>
                  <w:tr>
                    <w:trPr>
                      <w:trHeight w:val="762" w:hRule="atLeast"/>
                    </w:trPr>
                    <w:tc>
                      <w:tcPr>
                        <w:tcW w:w="627" w:type="dxa"/>
                        <w:tcBorders>
                          <w:bottom w:val="single" w:sz="4" w:space="0" w:color="000000"/>
                        </w:tcBorders>
                      </w:tcPr>
                      <w:p>
                        <w:pPr>
                          <w:pStyle w:val="TableParagraph"/>
                          <w:spacing w:before="201"/>
                          <w:ind w:right="52"/>
                          <w:jc w:val="center"/>
                          <w:rPr>
                            <w:rFonts w:ascii="Arial"/>
                            <w:b/>
                            <w:sz w:val="40"/>
                          </w:rPr>
                        </w:pPr>
                        <w:r>
                          <w:rPr>
                            <w:rFonts w:ascii="Arial"/>
                            <w:b/>
                            <w:w w:val="114"/>
                            <w:sz w:val="40"/>
                          </w:rPr>
                          <w:t>O</w:t>
                        </w:r>
                      </w:p>
                    </w:tc>
                    <w:tc>
                      <w:tcPr>
                        <w:tcW w:w="9316" w:type="dxa"/>
                        <w:gridSpan w:val="2"/>
                        <w:tcBorders>
                          <w:bottom w:val="single" w:sz="4" w:space="0" w:color="000000"/>
                        </w:tcBorders>
                      </w:tcPr>
                      <w:p>
                        <w:pPr>
                          <w:pStyle w:val="TableParagraph"/>
                          <w:spacing w:before="6"/>
                          <w:rPr>
                            <w:sz w:val="19"/>
                          </w:rPr>
                        </w:pPr>
                      </w:p>
                      <w:p>
                        <w:pPr>
                          <w:pStyle w:val="TableParagraph"/>
                          <w:ind w:left="162"/>
                          <w:rPr>
                            <w:b/>
                            <w:sz w:val="24"/>
                          </w:rPr>
                        </w:pPr>
                        <w:r>
                          <w:rPr>
                            <w:b/>
                            <w:w w:val="95"/>
                            <w:sz w:val="24"/>
                          </w:rPr>
                          <w:t>如何申请领取保险金</w:t>
                        </w:r>
                      </w:p>
                    </w:tc>
                  </w:tr>
                  <w:tr>
                    <w:trPr>
                      <w:trHeight w:val="1032" w:hRule="atLeast"/>
                    </w:trPr>
                    <w:tc>
                      <w:tcPr>
                        <w:tcW w:w="2392" w:type="dxa"/>
                        <w:gridSpan w:val="2"/>
                        <w:tcBorders>
                          <w:top w:val="single" w:sz="4" w:space="0" w:color="000000"/>
                        </w:tcBorders>
                      </w:tcPr>
                      <w:p>
                        <w:pPr>
                          <w:pStyle w:val="TableParagraph"/>
                          <w:spacing w:before="5"/>
                          <w:rPr>
                            <w:sz w:val="15"/>
                          </w:rPr>
                        </w:pPr>
                      </w:p>
                      <w:p>
                        <w:pPr>
                          <w:pStyle w:val="TableParagraph"/>
                          <w:tabs>
                            <w:tab w:pos="789" w:val="left" w:leader="none"/>
                          </w:tabs>
                          <w:spacing w:before="1"/>
                          <w:ind w:left="107"/>
                          <w:rPr>
                            <w:b/>
                            <w:sz w:val="21"/>
                          </w:rPr>
                        </w:pPr>
                        <w:r>
                          <w:rPr>
                            <w:b/>
                            <w:sz w:val="21"/>
                          </w:rPr>
                          <w:t>3.1</w:t>
                          <w:tab/>
                          <w:t>受益人的指定和</w:t>
                        </w:r>
                      </w:p>
                      <w:p>
                        <w:pPr>
                          <w:pStyle w:val="TableParagraph"/>
                          <w:spacing w:before="37"/>
                          <w:ind w:left="789"/>
                          <w:rPr>
                            <w:b/>
                            <w:sz w:val="21"/>
                          </w:rPr>
                        </w:pPr>
                        <w:r>
                          <w:rPr>
                            <w:b/>
                            <w:sz w:val="21"/>
                          </w:rPr>
                          <w:t>变更</w:t>
                        </w:r>
                      </w:p>
                    </w:tc>
                    <w:tc>
                      <w:tcPr>
                        <w:tcW w:w="7551" w:type="dxa"/>
                        <w:tcBorders>
                          <w:top w:val="single" w:sz="4" w:space="0" w:color="000000"/>
                        </w:tcBorders>
                      </w:tcPr>
                      <w:p>
                        <w:pPr>
                          <w:pStyle w:val="TableParagraph"/>
                          <w:spacing w:before="5"/>
                          <w:rPr>
                            <w:sz w:val="17"/>
                          </w:rPr>
                        </w:pPr>
                      </w:p>
                      <w:p>
                        <w:pPr>
                          <w:pStyle w:val="TableParagraph"/>
                          <w:ind w:left="106"/>
                          <w:rPr>
                            <w:sz w:val="18"/>
                          </w:rPr>
                        </w:pPr>
                        <w:r>
                          <w:rPr>
                            <w:sz w:val="18"/>
                          </w:rPr>
                          <w:t>重大疾病保险金的受益人为被保险人本人，本公司不接受其他指定或变更。</w:t>
                        </w:r>
                      </w:p>
                    </w:tc>
                  </w:tr>
                  <w:tr>
                    <w:trPr>
                      <w:trHeight w:val="1589" w:hRule="atLeast"/>
                    </w:trPr>
                    <w:tc>
                      <w:tcPr>
                        <w:tcW w:w="627" w:type="dxa"/>
                      </w:tcPr>
                      <w:p>
                        <w:pPr>
                          <w:pStyle w:val="TableParagraph"/>
                          <w:spacing w:before="178"/>
                          <w:ind w:left="88" w:right="179"/>
                          <w:jc w:val="center"/>
                          <w:rPr>
                            <w:b/>
                            <w:sz w:val="21"/>
                          </w:rPr>
                        </w:pPr>
                        <w:r>
                          <w:rPr>
                            <w:b/>
                            <w:sz w:val="21"/>
                          </w:rPr>
                          <w:t>3.2</w:t>
                        </w:r>
                      </w:p>
                    </w:tc>
                    <w:tc>
                      <w:tcPr>
                        <w:tcW w:w="1765" w:type="dxa"/>
                      </w:tcPr>
                      <w:p>
                        <w:pPr>
                          <w:pStyle w:val="TableParagraph"/>
                          <w:spacing w:before="178"/>
                          <w:ind w:left="162"/>
                          <w:rPr>
                            <w:b/>
                            <w:sz w:val="21"/>
                          </w:rPr>
                        </w:pPr>
                        <w:r>
                          <w:rPr>
                            <w:b/>
                            <w:w w:val="95"/>
                            <w:sz w:val="21"/>
                          </w:rPr>
                          <w:t>保险事故通知</w:t>
                        </w:r>
                      </w:p>
                    </w:tc>
                    <w:tc>
                      <w:tcPr>
                        <w:tcW w:w="7551" w:type="dxa"/>
                      </w:tcPr>
                      <w:p>
                        <w:pPr>
                          <w:pStyle w:val="TableParagraph"/>
                          <w:spacing w:before="7"/>
                          <w:rPr>
                            <w:sz w:val="15"/>
                          </w:rPr>
                        </w:pPr>
                      </w:p>
                      <w:p>
                        <w:pPr>
                          <w:pStyle w:val="TableParagraph"/>
                          <w:spacing w:line="316" w:lineRule="auto" w:before="1"/>
                          <w:ind w:left="106" w:right="9"/>
                          <w:rPr>
                            <w:sz w:val="18"/>
                          </w:rPr>
                        </w:pPr>
                        <w:r>
                          <w:rPr>
                            <w:spacing w:val="-2"/>
                            <w:sz w:val="18"/>
                          </w:rPr>
                          <w:t>投保人或被保险人或受益人知道保险事故发生后应当在十日内通知本公司。故意或者因重大过</w:t>
                        </w:r>
                        <w:r>
                          <w:rPr>
                            <w:spacing w:val="-12"/>
                            <w:sz w:val="18"/>
                          </w:rPr>
                          <w:t>失未及时通知，致使保险事故的性质、原因、损失程度等难以确定的，我们对无法确定的部分， </w:t>
                        </w:r>
                        <w:r>
                          <w:rPr>
                            <w:spacing w:val="-13"/>
                            <w:sz w:val="18"/>
                          </w:rPr>
                          <w:t>不承担给付保险金的责任，但我们通过其他途径已经及时知道或者应当及时知道保险事故发生或者虽未及时通知但不影响本公司确定保险事故的性质、原因、损失程度的除外。</w:t>
                        </w:r>
                      </w:p>
                    </w:tc>
                  </w:tr>
                  <w:tr>
                    <w:trPr>
                      <w:trHeight w:val="2816" w:hRule="atLeast"/>
                    </w:trPr>
                    <w:tc>
                      <w:tcPr>
                        <w:tcW w:w="9943" w:type="dxa"/>
                        <w:gridSpan w:val="3"/>
                      </w:tcPr>
                      <w:p>
                        <w:pPr>
                          <w:pStyle w:val="TableParagraph"/>
                          <w:tabs>
                            <w:tab w:pos="789" w:val="left" w:leader="none"/>
                            <w:tab w:pos="2498" w:val="left" w:leader="none"/>
                          </w:tabs>
                          <w:spacing w:line="295" w:lineRule="auto" w:before="149"/>
                          <w:ind w:left="2498" w:right="962" w:hanging="2391"/>
                          <w:rPr>
                            <w:sz w:val="18"/>
                          </w:rPr>
                        </w:pPr>
                        <w:r>
                          <w:rPr>
                            <w:b/>
                            <w:sz w:val="21"/>
                          </w:rPr>
                          <w:t>3.3</w:t>
                          <w:tab/>
                          <w:t>保险金的申请</w:t>
                          <w:tab/>
                        </w:r>
                        <w:r>
                          <w:rPr>
                            <w:position w:val="1"/>
                            <w:sz w:val="18"/>
                          </w:rPr>
                          <w:t>受益人申请重大疾病保险金时，须填写保险金给付申请书，并提交下列证明材料： </w:t>
                        </w:r>
                        <w:r>
                          <w:rPr>
                            <w:sz w:val="18"/>
                          </w:rPr>
                          <w:t>1、保险合同；</w:t>
                        </w:r>
                      </w:p>
                      <w:p>
                        <w:pPr>
                          <w:pStyle w:val="TableParagraph"/>
                          <w:spacing w:before="35"/>
                          <w:ind w:left="2498"/>
                          <w:rPr>
                            <w:sz w:val="18"/>
                          </w:rPr>
                        </w:pPr>
                        <w:r>
                          <w:rPr>
                            <w:sz w:val="18"/>
                          </w:rPr>
                          <w:t>2、被保险人的</w:t>
                        </w:r>
                        <w:r>
                          <w:rPr>
                            <w:b/>
                            <w:spacing w:val="-1"/>
                            <w:w w:val="99"/>
                            <w:sz w:val="18"/>
                          </w:rPr>
                          <w:t>有效身份证件</w:t>
                        </w:r>
                        <w:r>
                          <w:rPr>
                            <w:sz w:val="18"/>
                          </w:rPr>
                          <w:t>（</w:t>
                        </w:r>
                        <w:r>
                          <w:rPr>
                            <w:spacing w:val="-23"/>
                            <w:sz w:val="18"/>
                          </w:rPr>
                          <w:t>见 </w:t>
                        </w:r>
                        <w:r>
                          <w:rPr>
                            <w:sz w:val="18"/>
                          </w:rPr>
                          <w:t>7.13</w:t>
                        </w:r>
                        <w:r>
                          <w:rPr>
                            <w:spacing w:val="-90"/>
                            <w:sz w:val="18"/>
                          </w:rPr>
                          <w:t>）</w:t>
                        </w:r>
                        <w:r>
                          <w:rPr>
                            <w:sz w:val="18"/>
                          </w:rPr>
                          <w:t>；</w:t>
                        </w:r>
                      </w:p>
                      <w:p>
                        <w:pPr>
                          <w:pStyle w:val="TableParagraph"/>
                          <w:spacing w:line="316" w:lineRule="auto" w:before="76"/>
                          <w:ind w:left="2498" w:right="152"/>
                          <w:rPr>
                            <w:sz w:val="18"/>
                          </w:rPr>
                        </w:pPr>
                        <w:r>
                          <w:rPr>
                            <w:sz w:val="18"/>
                          </w:rPr>
                          <w:t>3、本公司指定或认可的医疗机构出具的附有病理检验、血液检验及其它与确诊疾病必须的科学方法检验报告的疾病诊断证明书；                                                 4、投保人、被保险人或受益人所能提供的与确认保险事故的性质、原因等有关的其它证明文件和资料。</w:t>
                        </w:r>
                      </w:p>
                      <w:p>
                        <w:pPr>
                          <w:pStyle w:val="TableParagraph"/>
                          <w:spacing w:before="18"/>
                          <w:ind w:left="2498"/>
                          <w:rPr>
                            <w:sz w:val="18"/>
                          </w:rPr>
                        </w:pPr>
                        <w:r>
                          <w:rPr>
                            <w:sz w:val="18"/>
                          </w:rPr>
                          <w:t>本公司如认为必要，可以对被保险人进行检查或鉴定。</w:t>
                        </w:r>
                      </w:p>
                    </w:tc>
                  </w:tr>
                  <w:tr>
                    <w:trPr>
                      <w:trHeight w:val="467"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before="9"/>
                          <w:rPr>
                            <w:sz w:val="12"/>
                          </w:rPr>
                        </w:pPr>
                      </w:p>
                      <w:p>
                        <w:pPr>
                          <w:pStyle w:val="TableParagraph"/>
                          <w:ind w:left="106"/>
                          <w:rPr>
                            <w:sz w:val="18"/>
                          </w:rPr>
                        </w:pPr>
                        <w:r>
                          <w:rPr>
                            <w:sz w:val="18"/>
                          </w:rPr>
                          <w:t>如委托他人代为申领，还应提供授权委托书及受托人有效身份证件。</w:t>
                        </w:r>
                      </w:p>
                    </w:tc>
                  </w:tr>
                  <w:tr>
                    <w:trPr>
                      <w:trHeight w:val="459"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51" w:type="dxa"/>
                      </w:tcPr>
                      <w:p>
                        <w:pPr>
                          <w:pStyle w:val="TableParagraph"/>
                          <w:spacing w:before="10"/>
                          <w:ind w:left="106"/>
                          <w:rPr>
                            <w:sz w:val="18"/>
                          </w:rPr>
                        </w:pPr>
                        <w:r>
                          <w:rPr>
                            <w:sz w:val="18"/>
                          </w:rPr>
                          <w:t>以上证明和资料不完整的，本公司将及时一次性通知申请人补充提供有关证明和资料。</w:t>
                        </w:r>
                      </w:p>
                    </w:tc>
                  </w:tr>
                  <w:tr>
                    <w:trPr>
                      <w:trHeight w:val="423" w:hRule="atLeast"/>
                    </w:trPr>
                    <w:tc>
                      <w:tcPr>
                        <w:tcW w:w="9943" w:type="dxa"/>
                        <w:gridSpan w:val="3"/>
                      </w:tcPr>
                      <w:p>
                        <w:pPr>
                          <w:pStyle w:val="TableParagraph"/>
                          <w:tabs>
                            <w:tab w:pos="789" w:val="left" w:leader="none"/>
                            <w:tab w:pos="2498" w:val="left" w:leader="none"/>
                          </w:tabs>
                          <w:spacing w:line="255" w:lineRule="exact" w:before="149"/>
                          <w:ind w:left="107"/>
                          <w:rPr>
                            <w:sz w:val="18"/>
                          </w:rPr>
                        </w:pPr>
                        <w:r>
                          <w:rPr>
                            <w:b/>
                            <w:sz w:val="21"/>
                          </w:rPr>
                          <w:t>3.4</w:t>
                          <w:tab/>
                          <w:t>保险金的给付</w:t>
                          <w:tab/>
                        </w:r>
                        <w:r>
                          <w:rPr>
                            <w:position w:val="1"/>
                            <w:sz w:val="18"/>
                          </w:rPr>
                          <w:t>本公司在收到保险金给付申请书及合同约定的证明和资料后</w:t>
                        </w:r>
                        <w:r>
                          <w:rPr>
                            <w:spacing w:val="-18"/>
                            <w:position w:val="1"/>
                            <w:sz w:val="18"/>
                          </w:rPr>
                          <w:t>，</w:t>
                        </w:r>
                        <w:r>
                          <w:rPr>
                            <w:position w:val="1"/>
                            <w:sz w:val="18"/>
                          </w:rPr>
                          <w:t>将在五日内作出核定</w:t>
                        </w:r>
                        <w:r>
                          <w:rPr>
                            <w:spacing w:val="-18"/>
                            <w:position w:val="1"/>
                            <w:sz w:val="18"/>
                          </w:rPr>
                          <w:t>；</w:t>
                        </w:r>
                        <w:r>
                          <w:rPr>
                            <w:position w:val="1"/>
                            <w:sz w:val="18"/>
                          </w:rPr>
                          <w:t>情形复杂</w:t>
                        </w:r>
                      </w:p>
                    </w:tc>
                  </w:tr>
                </w:tbl>
                <w:p>
                  <w:pPr>
                    <w:pStyle w:val="BodyText"/>
                  </w:pP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7"/>
        </w:rPr>
      </w:pPr>
    </w:p>
    <w:p>
      <w:pPr>
        <w:pStyle w:val="BodyText"/>
        <w:spacing w:before="45"/>
        <w:ind w:left="2616"/>
      </w:pPr>
      <w:r>
        <w:rPr/>
        <w:t>保险金作为被保险人遗产时，必须提供可证明合法继承权的相关权利文件。</w:t>
      </w:r>
    </w:p>
    <w:p>
      <w:pPr>
        <w:spacing w:after="0"/>
        <w:sectPr>
          <w:pgSz w:w="11910" w:h="16840"/>
          <w:pgMar w:header="877" w:footer="981" w:top="1100" w:bottom="1180" w:left="960" w:right="780"/>
        </w:sectPr>
      </w:pPr>
    </w:p>
    <w:p>
      <w:pPr>
        <w:pStyle w:val="BodyText"/>
        <w:spacing w:before="3"/>
        <w:rPr>
          <w:sz w:val="20"/>
        </w:rPr>
      </w:pPr>
      <w:r>
        <w:rPr/>
        <w:pict>
          <v:shape style="position:absolute;margin-left:53.880001pt;margin-top:89.824623pt;width:497.1pt;height:655.45pt;mso-position-horizontal-relative:page;mso-position-vertical-relative:page;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440"/>
                    <w:gridCol w:w="7876"/>
                  </w:tblGrid>
                  <w:tr>
                    <w:trPr>
                      <w:trHeight w:val="401" w:hRule="atLeast"/>
                    </w:trPr>
                    <w:tc>
                      <w:tcPr>
                        <w:tcW w:w="627" w:type="dxa"/>
                      </w:tcPr>
                      <w:p>
                        <w:pPr>
                          <w:pStyle w:val="TableParagraph"/>
                          <w:rPr>
                            <w:rFonts w:ascii="Times New Roman"/>
                            <w:sz w:val="18"/>
                          </w:rPr>
                        </w:pPr>
                      </w:p>
                    </w:tc>
                    <w:tc>
                      <w:tcPr>
                        <w:tcW w:w="1440" w:type="dxa"/>
                      </w:tcPr>
                      <w:p>
                        <w:pPr>
                          <w:pStyle w:val="TableParagraph"/>
                          <w:rPr>
                            <w:rFonts w:ascii="Times New Roman"/>
                            <w:sz w:val="18"/>
                          </w:rPr>
                        </w:pPr>
                      </w:p>
                    </w:tc>
                    <w:tc>
                      <w:tcPr>
                        <w:tcW w:w="7876" w:type="dxa"/>
                      </w:tcPr>
                      <w:p>
                        <w:pPr>
                          <w:pStyle w:val="TableParagraph"/>
                          <w:spacing w:line="180" w:lineRule="exact"/>
                          <w:ind w:left="431"/>
                          <w:rPr>
                            <w:sz w:val="18"/>
                          </w:rPr>
                        </w:pPr>
                        <w:r>
                          <w:rPr>
                            <w:spacing w:val="-10"/>
                            <w:sz w:val="18"/>
                          </w:rPr>
                          <w:t>对属于保险责任的，本公司在与受益人达成给付保险金的协议后十日内，履行给付保险金义务。</w:t>
                        </w:r>
                      </w:p>
                    </w:tc>
                  </w:tr>
                  <w:tr>
                    <w:trPr>
                      <w:trHeight w:val="779" w:hRule="atLeast"/>
                    </w:trPr>
                    <w:tc>
                      <w:tcPr>
                        <w:tcW w:w="627" w:type="dxa"/>
                      </w:tcPr>
                      <w:p>
                        <w:pPr>
                          <w:pStyle w:val="TableParagraph"/>
                          <w:rPr>
                            <w:rFonts w:ascii="Times New Roman"/>
                            <w:sz w:val="18"/>
                          </w:rPr>
                        </w:pPr>
                      </w:p>
                    </w:tc>
                    <w:tc>
                      <w:tcPr>
                        <w:tcW w:w="1440" w:type="dxa"/>
                      </w:tcPr>
                      <w:p>
                        <w:pPr>
                          <w:pStyle w:val="TableParagraph"/>
                          <w:rPr>
                            <w:rFonts w:ascii="Times New Roman"/>
                            <w:sz w:val="18"/>
                          </w:rPr>
                        </w:pPr>
                      </w:p>
                    </w:tc>
                    <w:tc>
                      <w:tcPr>
                        <w:tcW w:w="7876" w:type="dxa"/>
                      </w:tcPr>
                      <w:p>
                        <w:pPr>
                          <w:pStyle w:val="TableParagraph"/>
                          <w:spacing w:line="310" w:lineRule="atLeast" w:before="92"/>
                          <w:ind w:left="431" w:right="58"/>
                          <w:rPr>
                            <w:sz w:val="18"/>
                          </w:rPr>
                        </w:pPr>
                        <w:r>
                          <w:rPr>
                            <w:sz w:val="18"/>
                          </w:rPr>
                          <w:t>对不属于保险责任的，本公司自作出核定之日起三日内向受益人发出拒绝给付保险金通知书并说明理由。</w:t>
                        </w:r>
                      </w:p>
                    </w:tc>
                  </w:tr>
                  <w:tr>
                    <w:trPr>
                      <w:trHeight w:val="1083" w:hRule="atLeast"/>
                    </w:trPr>
                    <w:tc>
                      <w:tcPr>
                        <w:tcW w:w="627" w:type="dxa"/>
                      </w:tcPr>
                      <w:p>
                        <w:pPr>
                          <w:pStyle w:val="TableParagraph"/>
                          <w:rPr>
                            <w:rFonts w:ascii="Times New Roman"/>
                            <w:sz w:val="18"/>
                          </w:rPr>
                        </w:pPr>
                      </w:p>
                    </w:tc>
                    <w:tc>
                      <w:tcPr>
                        <w:tcW w:w="1440" w:type="dxa"/>
                      </w:tcPr>
                      <w:p>
                        <w:pPr>
                          <w:pStyle w:val="TableParagraph"/>
                          <w:rPr>
                            <w:rFonts w:ascii="Times New Roman"/>
                            <w:sz w:val="18"/>
                          </w:rPr>
                        </w:pPr>
                      </w:p>
                    </w:tc>
                    <w:tc>
                      <w:tcPr>
                        <w:tcW w:w="7876" w:type="dxa"/>
                      </w:tcPr>
                      <w:p>
                        <w:pPr>
                          <w:pStyle w:val="TableParagraph"/>
                          <w:spacing w:line="316" w:lineRule="auto" w:before="10"/>
                          <w:ind w:left="431" w:right="9"/>
                          <w:rPr>
                            <w:sz w:val="18"/>
                          </w:rPr>
                        </w:pPr>
                        <w:r>
                          <w:rPr>
                            <w:spacing w:val="-2"/>
                            <w:sz w:val="18"/>
                          </w:rPr>
                          <w:t>本公司在收到保险金给付申请书及有关证明和资料之日起六十日内，对给付保险金的数额不能</w:t>
                        </w:r>
                        <w:r>
                          <w:rPr>
                            <w:spacing w:val="-12"/>
                            <w:sz w:val="18"/>
                          </w:rPr>
                          <w:t>确定的，根据已有证明和资料可以确定的数额先予支付；本公司最终确定给付保险金的数额后， 将支付相应的差额。</w:t>
                        </w:r>
                      </w:p>
                    </w:tc>
                  </w:tr>
                  <w:tr>
                    <w:trPr>
                      <w:trHeight w:val="955" w:hRule="atLeast"/>
                    </w:trPr>
                    <w:tc>
                      <w:tcPr>
                        <w:tcW w:w="627" w:type="dxa"/>
                      </w:tcPr>
                      <w:p>
                        <w:pPr>
                          <w:pStyle w:val="TableParagraph"/>
                          <w:spacing w:before="149"/>
                          <w:ind w:left="88" w:right="177"/>
                          <w:jc w:val="center"/>
                          <w:rPr>
                            <w:b/>
                            <w:sz w:val="21"/>
                          </w:rPr>
                        </w:pPr>
                        <w:r>
                          <w:rPr>
                            <w:b/>
                            <w:sz w:val="21"/>
                          </w:rPr>
                          <w:t>3.5</w:t>
                        </w:r>
                      </w:p>
                    </w:tc>
                    <w:tc>
                      <w:tcPr>
                        <w:tcW w:w="1440" w:type="dxa"/>
                      </w:tcPr>
                      <w:p>
                        <w:pPr>
                          <w:pStyle w:val="TableParagraph"/>
                          <w:spacing w:before="149"/>
                          <w:ind w:left="162"/>
                          <w:rPr>
                            <w:b/>
                            <w:sz w:val="21"/>
                          </w:rPr>
                        </w:pPr>
                        <w:r>
                          <w:rPr>
                            <w:b/>
                            <w:sz w:val="21"/>
                          </w:rPr>
                          <w:t>诉讼时效</w:t>
                        </w:r>
                      </w:p>
                    </w:tc>
                    <w:tc>
                      <w:tcPr>
                        <w:tcW w:w="7876" w:type="dxa"/>
                      </w:tcPr>
                      <w:p>
                        <w:pPr>
                          <w:pStyle w:val="TableParagraph"/>
                          <w:spacing w:before="4"/>
                          <w:rPr>
                            <w:sz w:val="13"/>
                          </w:rPr>
                        </w:pPr>
                      </w:p>
                      <w:p>
                        <w:pPr>
                          <w:pStyle w:val="TableParagraph"/>
                          <w:spacing w:line="316" w:lineRule="auto"/>
                          <w:ind w:left="431" w:right="41"/>
                          <w:rPr>
                            <w:sz w:val="18"/>
                          </w:rPr>
                        </w:pPr>
                        <w:r>
                          <w:rPr>
                            <w:sz w:val="18"/>
                          </w:rPr>
                          <w:t>本合同的被保险人或受益人向本公司请求给付保险金的诉讼时效期间为两年，自其知道或者应当知道保险事故发生之日起计算。</w:t>
                        </w:r>
                      </w:p>
                    </w:tc>
                  </w:tr>
                  <w:tr>
                    <w:trPr>
                      <w:trHeight w:val="767" w:hRule="atLeast"/>
                    </w:trPr>
                    <w:tc>
                      <w:tcPr>
                        <w:tcW w:w="627" w:type="dxa"/>
                        <w:tcBorders>
                          <w:bottom w:val="single" w:sz="4" w:space="0" w:color="000000"/>
                        </w:tcBorders>
                      </w:tcPr>
                      <w:p>
                        <w:pPr>
                          <w:pStyle w:val="TableParagraph"/>
                          <w:spacing w:before="125"/>
                          <w:ind w:right="52"/>
                          <w:jc w:val="center"/>
                          <w:rPr>
                            <w:rFonts w:ascii="MS UI Gothic" w:hAnsi="MS UI Gothic"/>
                            <w:sz w:val="40"/>
                          </w:rPr>
                        </w:pPr>
                        <w:r>
                          <w:rPr>
                            <w:rFonts w:ascii="MS UI Gothic" w:hAnsi="MS UI Gothic"/>
                            <w:w w:val="250"/>
                            <w:sz w:val="40"/>
                          </w:rPr>
                          <w:t>º</w:t>
                        </w:r>
                      </w:p>
                    </w:tc>
                    <w:tc>
                      <w:tcPr>
                        <w:tcW w:w="9316" w:type="dxa"/>
                        <w:gridSpan w:val="2"/>
                        <w:tcBorders>
                          <w:bottom w:val="single" w:sz="4" w:space="0" w:color="000000"/>
                        </w:tcBorders>
                      </w:tcPr>
                      <w:p>
                        <w:pPr>
                          <w:pStyle w:val="TableParagraph"/>
                          <w:spacing w:before="12"/>
                          <w:rPr>
                            <w:sz w:val="19"/>
                          </w:rPr>
                        </w:pPr>
                      </w:p>
                      <w:p>
                        <w:pPr>
                          <w:pStyle w:val="TableParagraph"/>
                          <w:ind w:left="162"/>
                          <w:rPr>
                            <w:b/>
                            <w:sz w:val="24"/>
                          </w:rPr>
                        </w:pPr>
                        <w:r>
                          <w:rPr>
                            <w:b/>
                            <w:w w:val="95"/>
                            <w:sz w:val="24"/>
                          </w:rPr>
                          <w:t>现金价值权益</w:t>
                        </w:r>
                      </w:p>
                    </w:tc>
                  </w:tr>
                  <w:tr>
                    <w:trPr>
                      <w:trHeight w:val="1008" w:hRule="atLeast"/>
                    </w:trPr>
                    <w:tc>
                      <w:tcPr>
                        <w:tcW w:w="627" w:type="dxa"/>
                        <w:tcBorders>
                          <w:top w:val="single" w:sz="4" w:space="0" w:color="000000"/>
                        </w:tcBorders>
                      </w:tcPr>
                      <w:p>
                        <w:pPr>
                          <w:pStyle w:val="TableParagraph"/>
                          <w:spacing w:before="5"/>
                          <w:rPr>
                            <w:sz w:val="15"/>
                          </w:rPr>
                        </w:pPr>
                      </w:p>
                      <w:p>
                        <w:pPr>
                          <w:pStyle w:val="TableParagraph"/>
                          <w:spacing w:before="1"/>
                          <w:ind w:left="88" w:right="177"/>
                          <w:jc w:val="center"/>
                          <w:rPr>
                            <w:b/>
                            <w:sz w:val="21"/>
                          </w:rPr>
                        </w:pPr>
                        <w:r>
                          <w:rPr>
                            <w:b/>
                            <w:sz w:val="21"/>
                          </w:rPr>
                          <w:t>4.1</w:t>
                        </w:r>
                      </w:p>
                    </w:tc>
                    <w:tc>
                      <w:tcPr>
                        <w:tcW w:w="1440"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现金价值</w:t>
                        </w:r>
                      </w:p>
                    </w:tc>
                    <w:tc>
                      <w:tcPr>
                        <w:tcW w:w="7876" w:type="dxa"/>
                        <w:tcBorders>
                          <w:top w:val="single" w:sz="4" w:space="0" w:color="000000"/>
                        </w:tcBorders>
                      </w:tcPr>
                      <w:p>
                        <w:pPr>
                          <w:pStyle w:val="TableParagraph"/>
                          <w:spacing w:before="5"/>
                          <w:rPr>
                            <w:sz w:val="17"/>
                          </w:rPr>
                        </w:pPr>
                      </w:p>
                      <w:p>
                        <w:pPr>
                          <w:pStyle w:val="TableParagraph"/>
                          <w:spacing w:line="316" w:lineRule="auto"/>
                          <w:ind w:left="431" w:right="41"/>
                          <w:rPr>
                            <w:sz w:val="18"/>
                          </w:rPr>
                        </w:pPr>
                        <w:r>
                          <w:rPr>
                            <w:sz w:val="18"/>
                          </w:rPr>
                          <w:t>本合同年度末的现金价值会在保险单上载明，保单年度内的现金价值，投保人可以向本公司咨询。</w:t>
                        </w:r>
                      </w:p>
                    </w:tc>
                  </w:tr>
                  <w:tr>
                    <w:trPr>
                      <w:trHeight w:val="767" w:hRule="atLeast"/>
                    </w:trPr>
                    <w:tc>
                      <w:tcPr>
                        <w:tcW w:w="627" w:type="dxa"/>
                        <w:tcBorders>
                          <w:bottom w:val="single" w:sz="4" w:space="0" w:color="000000"/>
                        </w:tcBorders>
                      </w:tcPr>
                      <w:p>
                        <w:pPr>
                          <w:pStyle w:val="TableParagraph"/>
                          <w:spacing w:before="125"/>
                          <w:ind w:right="52"/>
                          <w:jc w:val="center"/>
                          <w:rPr>
                            <w:rFonts w:ascii="MS UI Gothic"/>
                            <w:sz w:val="40"/>
                          </w:rPr>
                        </w:pPr>
                        <w:r>
                          <w:rPr>
                            <w:rFonts w:ascii="MS UI Gothic"/>
                            <w:w w:val="178"/>
                            <w:sz w:val="40"/>
                          </w:rPr>
                          <w:t>6</w:t>
                        </w:r>
                      </w:p>
                    </w:tc>
                    <w:tc>
                      <w:tcPr>
                        <w:tcW w:w="9316" w:type="dxa"/>
                        <w:gridSpan w:val="2"/>
                        <w:tcBorders>
                          <w:bottom w:val="single" w:sz="4" w:space="0" w:color="000000"/>
                        </w:tcBorders>
                      </w:tcPr>
                      <w:p>
                        <w:pPr>
                          <w:pStyle w:val="TableParagraph"/>
                          <w:spacing w:before="12"/>
                          <w:rPr>
                            <w:sz w:val="19"/>
                          </w:rPr>
                        </w:pPr>
                      </w:p>
                      <w:p>
                        <w:pPr>
                          <w:pStyle w:val="TableParagraph"/>
                          <w:ind w:left="162"/>
                          <w:rPr>
                            <w:b/>
                            <w:sz w:val="24"/>
                          </w:rPr>
                        </w:pPr>
                        <w:r>
                          <w:rPr>
                            <w:b/>
                            <w:sz w:val="24"/>
                          </w:rPr>
                          <w:t>如何解除保险合同</w:t>
                        </w:r>
                      </w:p>
                    </w:tc>
                  </w:tr>
                  <w:tr>
                    <w:trPr>
                      <w:trHeight w:val="1933" w:hRule="atLeast"/>
                    </w:trPr>
                    <w:tc>
                      <w:tcPr>
                        <w:tcW w:w="9943" w:type="dxa"/>
                        <w:gridSpan w:val="3"/>
                        <w:tcBorders>
                          <w:top w:val="single" w:sz="4" w:space="0" w:color="000000"/>
                        </w:tcBorders>
                      </w:tcPr>
                      <w:p>
                        <w:pPr>
                          <w:pStyle w:val="TableParagraph"/>
                          <w:spacing w:before="5"/>
                          <w:rPr>
                            <w:sz w:val="15"/>
                          </w:rPr>
                        </w:pPr>
                      </w:p>
                      <w:p>
                        <w:pPr>
                          <w:pStyle w:val="TableParagraph"/>
                          <w:tabs>
                            <w:tab w:pos="789" w:val="left" w:leader="none"/>
                            <w:tab w:pos="2498" w:val="left" w:leader="none"/>
                          </w:tabs>
                          <w:spacing w:before="1"/>
                          <w:ind w:left="107"/>
                          <w:rPr>
                            <w:sz w:val="18"/>
                          </w:rPr>
                        </w:pPr>
                        <w:r>
                          <w:rPr>
                            <w:b/>
                            <w:sz w:val="21"/>
                          </w:rPr>
                          <w:t>5.1</w:t>
                          <w:tab/>
                          <w:t>投保人解除合同</w:t>
                          <w:tab/>
                        </w:r>
                        <w:r>
                          <w:rPr>
                            <w:position w:val="1"/>
                            <w:sz w:val="18"/>
                          </w:rPr>
                          <w:t>在本合同有效期内</w:t>
                        </w:r>
                        <w:r>
                          <w:rPr>
                            <w:spacing w:val="-18"/>
                            <w:position w:val="1"/>
                            <w:sz w:val="18"/>
                          </w:rPr>
                          <w:t>，</w:t>
                        </w:r>
                        <w:r>
                          <w:rPr>
                            <w:position w:val="1"/>
                            <w:sz w:val="18"/>
                          </w:rPr>
                          <w:t>如未发生保险金给付</w:t>
                        </w:r>
                        <w:r>
                          <w:rPr>
                            <w:spacing w:val="-18"/>
                            <w:position w:val="1"/>
                            <w:sz w:val="18"/>
                          </w:rPr>
                          <w:t>，</w:t>
                        </w:r>
                        <w:r>
                          <w:rPr>
                            <w:position w:val="1"/>
                            <w:sz w:val="18"/>
                          </w:rPr>
                          <w:t>投保人可以在犹豫期后书面通知我们要求解除本合</w:t>
                        </w:r>
                      </w:p>
                      <w:p>
                        <w:pPr>
                          <w:pStyle w:val="TableParagraph"/>
                          <w:tabs>
                            <w:tab w:pos="2498" w:val="left" w:leader="none"/>
                          </w:tabs>
                          <w:spacing w:before="37"/>
                          <w:ind w:left="789"/>
                          <w:rPr>
                            <w:sz w:val="18"/>
                          </w:rPr>
                        </w:pPr>
                        <w:r>
                          <w:rPr>
                            <w:b/>
                            <w:sz w:val="21"/>
                          </w:rPr>
                          <w:t>的手续及风险</w:t>
                          <w:tab/>
                        </w:r>
                        <w:r>
                          <w:rPr>
                            <w:position w:val="1"/>
                            <w:sz w:val="18"/>
                          </w:rPr>
                          <w:t>同，自本公司收到合同解除申请书之日起，本合同效力即行终止。</w:t>
                        </w:r>
                      </w:p>
                      <w:p>
                        <w:pPr>
                          <w:pStyle w:val="TableParagraph"/>
                          <w:spacing w:line="316" w:lineRule="auto" w:before="62"/>
                          <w:ind w:left="2498" w:right="1665"/>
                          <w:rPr>
                            <w:sz w:val="18"/>
                          </w:rPr>
                        </w:pPr>
                        <w:r>
                          <w:rPr>
                            <w:sz w:val="18"/>
                          </w:rPr>
                          <w:t>投保人解除本合同时，应填写合同解除申请书，并提供下列证明和资料： 1、保险合同；</w:t>
                        </w:r>
                      </w:p>
                      <w:p>
                        <w:pPr>
                          <w:pStyle w:val="TableParagraph"/>
                          <w:spacing w:before="18"/>
                          <w:ind w:left="2498"/>
                          <w:rPr>
                            <w:sz w:val="18"/>
                          </w:rPr>
                        </w:pPr>
                        <w:r>
                          <w:rPr>
                            <w:sz w:val="18"/>
                          </w:rPr>
                          <w:t>2、投保人证明。</w:t>
                        </w:r>
                      </w:p>
                    </w:tc>
                  </w:tr>
                  <w:tr>
                    <w:trPr>
                      <w:trHeight w:val="468" w:hRule="atLeast"/>
                    </w:trPr>
                    <w:tc>
                      <w:tcPr>
                        <w:tcW w:w="627" w:type="dxa"/>
                      </w:tcPr>
                      <w:p>
                        <w:pPr>
                          <w:pStyle w:val="TableParagraph"/>
                          <w:rPr>
                            <w:rFonts w:ascii="Times New Roman"/>
                            <w:sz w:val="18"/>
                          </w:rPr>
                        </w:pPr>
                      </w:p>
                    </w:tc>
                    <w:tc>
                      <w:tcPr>
                        <w:tcW w:w="1440" w:type="dxa"/>
                      </w:tcPr>
                      <w:p>
                        <w:pPr>
                          <w:pStyle w:val="TableParagraph"/>
                          <w:rPr>
                            <w:rFonts w:ascii="Times New Roman"/>
                            <w:sz w:val="18"/>
                          </w:rPr>
                        </w:pPr>
                      </w:p>
                    </w:tc>
                    <w:tc>
                      <w:tcPr>
                        <w:tcW w:w="7876" w:type="dxa"/>
                      </w:tcPr>
                      <w:p>
                        <w:pPr>
                          <w:pStyle w:val="TableParagraph"/>
                          <w:spacing w:before="9"/>
                          <w:rPr>
                            <w:sz w:val="12"/>
                          </w:rPr>
                        </w:pPr>
                      </w:p>
                      <w:p>
                        <w:pPr>
                          <w:pStyle w:val="TableParagraph"/>
                          <w:ind w:left="431"/>
                          <w:rPr>
                            <w:sz w:val="18"/>
                          </w:rPr>
                        </w:pPr>
                        <w:r>
                          <w:rPr>
                            <w:sz w:val="18"/>
                          </w:rPr>
                          <w:t>投保人解除合同会遭受一定损失。</w:t>
                        </w:r>
                      </w:p>
                    </w:tc>
                  </w:tr>
                  <w:tr>
                    <w:trPr>
                      <w:trHeight w:val="479" w:hRule="atLeast"/>
                    </w:trPr>
                    <w:tc>
                      <w:tcPr>
                        <w:tcW w:w="627" w:type="dxa"/>
                      </w:tcPr>
                      <w:p>
                        <w:pPr>
                          <w:pStyle w:val="TableParagraph"/>
                          <w:rPr>
                            <w:rFonts w:ascii="Times New Roman"/>
                            <w:sz w:val="18"/>
                          </w:rPr>
                        </w:pPr>
                      </w:p>
                    </w:tc>
                    <w:tc>
                      <w:tcPr>
                        <w:tcW w:w="1440" w:type="dxa"/>
                      </w:tcPr>
                      <w:p>
                        <w:pPr>
                          <w:pStyle w:val="TableParagraph"/>
                          <w:rPr>
                            <w:rFonts w:ascii="Times New Roman"/>
                            <w:sz w:val="18"/>
                          </w:rPr>
                        </w:pPr>
                      </w:p>
                    </w:tc>
                    <w:tc>
                      <w:tcPr>
                        <w:tcW w:w="7876" w:type="dxa"/>
                      </w:tcPr>
                      <w:p>
                        <w:pPr>
                          <w:pStyle w:val="TableParagraph"/>
                          <w:spacing w:before="10"/>
                          <w:ind w:left="431"/>
                          <w:rPr>
                            <w:sz w:val="18"/>
                          </w:rPr>
                        </w:pPr>
                        <w:r>
                          <w:rPr>
                            <w:sz w:val="18"/>
                          </w:rPr>
                          <w:t>解除合同后，受益人不能对合同解除前发生的保险事故申请给付保险金。</w:t>
                        </w:r>
                      </w:p>
                    </w:tc>
                  </w:tr>
                  <w:tr>
                    <w:trPr>
                      <w:trHeight w:val="767" w:hRule="atLeast"/>
                    </w:trPr>
                    <w:tc>
                      <w:tcPr>
                        <w:tcW w:w="627" w:type="dxa"/>
                        <w:tcBorders>
                          <w:bottom w:val="single" w:sz="4" w:space="0" w:color="000000"/>
                        </w:tcBorders>
                      </w:tcPr>
                      <w:p>
                        <w:pPr>
                          <w:pStyle w:val="TableParagraph"/>
                          <w:spacing w:before="125"/>
                          <w:ind w:right="52"/>
                          <w:jc w:val="center"/>
                          <w:rPr>
                            <w:rFonts w:ascii="MS UI Gothic" w:hAnsi="MS UI Gothic"/>
                            <w:sz w:val="40"/>
                          </w:rPr>
                        </w:pPr>
                        <w:r>
                          <w:rPr>
                            <w:rFonts w:ascii="MS UI Gothic" w:hAnsi="MS UI Gothic"/>
                            <w:w w:val="178"/>
                            <w:sz w:val="40"/>
                          </w:rPr>
                          <w:t>◉</w:t>
                        </w:r>
                      </w:p>
                    </w:tc>
                    <w:tc>
                      <w:tcPr>
                        <w:tcW w:w="9316" w:type="dxa"/>
                        <w:gridSpan w:val="2"/>
                        <w:tcBorders>
                          <w:bottom w:val="single" w:sz="4" w:space="0" w:color="000000"/>
                        </w:tcBorders>
                      </w:tcPr>
                      <w:p>
                        <w:pPr>
                          <w:pStyle w:val="TableParagraph"/>
                          <w:spacing w:before="12"/>
                          <w:rPr>
                            <w:sz w:val="19"/>
                          </w:rPr>
                        </w:pPr>
                      </w:p>
                      <w:p>
                        <w:pPr>
                          <w:pStyle w:val="TableParagraph"/>
                          <w:ind w:left="162"/>
                          <w:rPr>
                            <w:b/>
                            <w:sz w:val="24"/>
                          </w:rPr>
                        </w:pPr>
                        <w:r>
                          <w:rPr>
                            <w:b/>
                            <w:sz w:val="24"/>
                          </w:rPr>
                          <w:t>其他需要关注的事项</w:t>
                        </w:r>
                      </w:p>
                    </w:tc>
                  </w:tr>
                  <w:tr>
                    <w:trPr>
                      <w:trHeight w:val="841" w:hRule="atLeast"/>
                    </w:trPr>
                    <w:tc>
                      <w:tcPr>
                        <w:tcW w:w="627" w:type="dxa"/>
                        <w:tcBorders>
                          <w:top w:val="single" w:sz="4" w:space="0" w:color="000000"/>
                        </w:tcBorders>
                      </w:tcPr>
                      <w:p>
                        <w:pPr>
                          <w:pStyle w:val="TableParagraph"/>
                          <w:spacing w:before="5"/>
                          <w:rPr>
                            <w:sz w:val="15"/>
                          </w:rPr>
                        </w:pPr>
                      </w:p>
                      <w:p>
                        <w:pPr>
                          <w:pStyle w:val="TableParagraph"/>
                          <w:spacing w:before="1"/>
                          <w:ind w:left="88" w:right="177"/>
                          <w:jc w:val="center"/>
                          <w:rPr>
                            <w:b/>
                            <w:sz w:val="21"/>
                          </w:rPr>
                        </w:pPr>
                        <w:r>
                          <w:rPr>
                            <w:b/>
                            <w:sz w:val="21"/>
                          </w:rPr>
                          <w:t>6.1</w:t>
                        </w:r>
                      </w:p>
                    </w:tc>
                    <w:tc>
                      <w:tcPr>
                        <w:tcW w:w="1440"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投保范围</w:t>
                        </w:r>
                      </w:p>
                    </w:tc>
                    <w:tc>
                      <w:tcPr>
                        <w:tcW w:w="7876" w:type="dxa"/>
                        <w:tcBorders>
                          <w:top w:val="single" w:sz="4" w:space="0" w:color="000000"/>
                        </w:tcBorders>
                      </w:tcPr>
                      <w:p>
                        <w:pPr>
                          <w:pStyle w:val="TableParagraph"/>
                          <w:spacing w:line="310" w:lineRule="atLeast" w:before="153"/>
                          <w:ind w:left="431" w:right="41"/>
                          <w:rPr>
                            <w:sz w:val="18"/>
                          </w:rPr>
                        </w:pPr>
                        <w:r>
                          <w:rPr>
                            <w:sz w:val="18"/>
                          </w:rPr>
                          <w:t>被保险人投保时年龄不超过六周岁且身体健康。投保的被保险人人数必须在五人（含五人）以上。</w:t>
                        </w:r>
                      </w:p>
                    </w:tc>
                  </w:tr>
                  <w:tr>
                    <w:trPr>
                      <w:trHeight w:val="500" w:hRule="atLeast"/>
                    </w:trPr>
                    <w:tc>
                      <w:tcPr>
                        <w:tcW w:w="627" w:type="dxa"/>
                      </w:tcPr>
                      <w:p>
                        <w:pPr>
                          <w:pStyle w:val="TableParagraph"/>
                          <w:rPr>
                            <w:rFonts w:ascii="Times New Roman"/>
                            <w:sz w:val="18"/>
                          </w:rPr>
                        </w:pPr>
                      </w:p>
                    </w:tc>
                    <w:tc>
                      <w:tcPr>
                        <w:tcW w:w="1440" w:type="dxa"/>
                      </w:tcPr>
                      <w:p>
                        <w:pPr>
                          <w:pStyle w:val="TableParagraph"/>
                          <w:rPr>
                            <w:rFonts w:ascii="Times New Roman"/>
                            <w:sz w:val="18"/>
                          </w:rPr>
                        </w:pPr>
                      </w:p>
                    </w:tc>
                    <w:tc>
                      <w:tcPr>
                        <w:tcW w:w="7876" w:type="dxa"/>
                      </w:tcPr>
                      <w:p>
                        <w:pPr>
                          <w:pStyle w:val="TableParagraph"/>
                          <w:spacing w:before="10"/>
                          <w:ind w:left="431"/>
                          <w:rPr>
                            <w:sz w:val="18"/>
                          </w:rPr>
                        </w:pPr>
                        <w:r>
                          <w:rPr>
                            <w:sz w:val="18"/>
                          </w:rPr>
                          <w:t>投保人必须对被保险人具有可保利益。</w:t>
                        </w:r>
                      </w:p>
                    </w:tc>
                  </w:tr>
                  <w:tr>
                    <w:trPr>
                      <w:trHeight w:val="2322" w:hRule="atLeast"/>
                    </w:trPr>
                    <w:tc>
                      <w:tcPr>
                        <w:tcW w:w="9943" w:type="dxa"/>
                        <w:gridSpan w:val="3"/>
                      </w:tcPr>
                      <w:p>
                        <w:pPr>
                          <w:pStyle w:val="TableParagraph"/>
                          <w:spacing w:before="6"/>
                          <w:rPr>
                            <w:sz w:val="14"/>
                          </w:rPr>
                        </w:pPr>
                      </w:p>
                      <w:p>
                        <w:pPr>
                          <w:pStyle w:val="TableParagraph"/>
                          <w:tabs>
                            <w:tab w:pos="789" w:val="left" w:leader="none"/>
                            <w:tab w:pos="2498" w:val="left" w:leader="none"/>
                          </w:tabs>
                          <w:ind w:left="107"/>
                          <w:rPr>
                            <w:sz w:val="18"/>
                          </w:rPr>
                        </w:pPr>
                        <w:r>
                          <w:rPr>
                            <w:b/>
                            <w:sz w:val="21"/>
                          </w:rPr>
                          <w:t>6.2</w:t>
                          <w:tab/>
                          <w:t>明确说明与如实</w:t>
                          <w:tab/>
                        </w:r>
                        <w:r>
                          <w:rPr>
                            <w:position w:val="1"/>
                            <w:sz w:val="18"/>
                          </w:rPr>
                          <w:t>订立本合同时，本公司应向投保人说明本合同的内容。</w:t>
                        </w:r>
                      </w:p>
                      <w:p>
                        <w:pPr>
                          <w:pStyle w:val="TableParagraph"/>
                          <w:tabs>
                            <w:tab w:pos="2498" w:val="left" w:leader="none"/>
                          </w:tabs>
                          <w:spacing w:line="304" w:lineRule="auto" w:before="37"/>
                          <w:ind w:left="2498" w:right="98" w:hanging="1709"/>
                          <w:jc w:val="both"/>
                          <w:rPr>
                            <w:sz w:val="18"/>
                          </w:rPr>
                        </w:pPr>
                        <w:r>
                          <w:rPr>
                            <w:b/>
                            <w:sz w:val="21"/>
                          </w:rPr>
                          <w:t>告知</w:t>
                          <w:tab/>
                        </w:r>
                        <w:r>
                          <w:rPr>
                            <w:position w:val="1"/>
                            <w:sz w:val="18"/>
                          </w:rPr>
                          <w:t>对保险条款中免除本公司责任的条款</w:t>
                        </w:r>
                        <w:r>
                          <w:rPr>
                            <w:spacing w:val="-18"/>
                            <w:position w:val="1"/>
                            <w:sz w:val="18"/>
                          </w:rPr>
                          <w:t>，</w:t>
                        </w:r>
                        <w:r>
                          <w:rPr>
                            <w:position w:val="1"/>
                            <w:sz w:val="18"/>
                          </w:rPr>
                          <w:t>本公司在订立合同时应当在投保单</w:t>
                        </w:r>
                        <w:r>
                          <w:rPr>
                            <w:spacing w:val="-18"/>
                            <w:position w:val="1"/>
                            <w:sz w:val="18"/>
                          </w:rPr>
                          <w:t>、</w:t>
                        </w:r>
                        <w:r>
                          <w:rPr>
                            <w:position w:val="1"/>
                            <w:sz w:val="18"/>
                          </w:rPr>
                          <w:t>保险单或者其他保</w:t>
                        </w:r>
                        <w:r>
                          <w:rPr>
                            <w:sz w:val="18"/>
                          </w:rPr>
                          <w:t>险凭证上作出足以引起投保人注意的提示</w:t>
                        </w:r>
                        <w:r>
                          <w:rPr>
                            <w:spacing w:val="-38"/>
                            <w:sz w:val="18"/>
                          </w:rPr>
                          <w:t>，</w:t>
                        </w:r>
                        <w:r>
                          <w:rPr>
                            <w:sz w:val="18"/>
                          </w:rPr>
                          <w:t>并对该条款的内容以书面或者口头形式向投保人作出明确说明，未做提示或者明确说明的，该条款不产生效力。</w:t>
                        </w:r>
                      </w:p>
                      <w:p>
                        <w:pPr>
                          <w:pStyle w:val="TableParagraph"/>
                          <w:spacing w:before="28"/>
                          <w:ind w:left="2498"/>
                          <w:rPr>
                            <w:sz w:val="18"/>
                          </w:rPr>
                        </w:pPr>
                        <w:r>
                          <w:rPr>
                            <w:sz w:val="18"/>
                          </w:rPr>
                          <w:t>本公司就投保人和被保险人的有关情况提出询问，投保人应当如实告知。</w:t>
                        </w:r>
                      </w:p>
                      <w:p>
                        <w:pPr>
                          <w:pStyle w:val="TableParagraph"/>
                          <w:spacing w:line="310" w:lineRule="atLeast" w:before="2"/>
                          <w:ind w:left="2498" w:right="41"/>
                          <w:rPr>
                            <w:sz w:val="18"/>
                          </w:rPr>
                        </w:pPr>
                        <w:r>
                          <w:rPr>
                            <w:sz w:val="18"/>
                          </w:rPr>
                          <w:t>如果投保人故意或者因重大过失未履行前款规定的如实告知义务，足以影响我们决定是否同意承保或者提高保险费率的，我们有权解除合同。</w:t>
                        </w:r>
                      </w:p>
                    </w:tc>
                  </w:tr>
                </w:tbl>
                <w:p>
                  <w:pPr>
                    <w:pStyle w:val="BodyText"/>
                  </w:pPr>
                </w:p>
              </w:txbxContent>
            </v:textbox>
            <w10:wrap type="none"/>
          </v:shape>
        </w:pict>
      </w:r>
    </w:p>
    <w:p>
      <w:pPr>
        <w:pStyle w:val="BodyText"/>
        <w:spacing w:before="44"/>
        <w:ind w:left="2616"/>
      </w:pPr>
      <w:r>
        <w:rPr/>
        <w:t>的，在三十日内作出核定。</w:t>
      </w:r>
    </w:p>
    <w:p>
      <w:pPr>
        <w:pStyle w:val="BodyText"/>
      </w:pPr>
    </w:p>
    <w:p>
      <w:pPr>
        <w:pStyle w:val="BodyText"/>
        <w:spacing w:before="152"/>
        <w:ind w:left="2616"/>
      </w:pPr>
      <w:r>
        <w:rPr/>
        <w:t>本公司未及时履行前款规定义务的，除支付保险金外，应当赔偿受益人因此受到的损失。</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p>
    <w:p>
      <w:pPr>
        <w:pStyle w:val="BodyText"/>
        <w:ind w:left="2616"/>
      </w:pPr>
      <w:r>
        <w:rPr/>
        <w:t>本公司自收到上述证明和材料之日起三十日内，返还本合同的现金价值。</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4"/>
        </w:rPr>
      </w:pPr>
    </w:p>
    <w:p>
      <w:pPr>
        <w:pStyle w:val="BodyText"/>
        <w:spacing w:line="316" w:lineRule="auto"/>
        <w:ind w:left="2616" w:right="147"/>
      </w:pPr>
      <w:r>
        <w:rPr/>
        <w:t>投保人故意不履行如实告知义务的，我们对于合同解除前发生的保险事故，不承担给付保险金的责任，并不返还保险费。</w:t>
      </w:r>
    </w:p>
    <w:p>
      <w:pPr>
        <w:spacing w:after="0" w:line="316" w:lineRule="auto"/>
        <w:sectPr>
          <w:pgSz w:w="11910" w:h="16840"/>
          <w:pgMar w:header="877" w:footer="981" w:top="1100" w:bottom="1180" w:left="960" w:right="780"/>
        </w:sectPr>
      </w:pPr>
    </w:p>
    <w:p>
      <w:pPr>
        <w:pStyle w:val="BodyText"/>
        <w:rPr>
          <w:sz w:val="20"/>
        </w:rPr>
      </w:pPr>
      <w:r>
        <w:rPr/>
        <w:pict>
          <v:shape style="position:absolute;margin-left:53.880001pt;margin-top:55.259998pt;width:498.55pt;height:714.2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65"/>
                    <w:gridCol w:w="7580"/>
                  </w:tblGrid>
                  <w:tr>
                    <w:trPr>
                      <w:trHeight w:val="922" w:hRule="atLeast"/>
                    </w:trPr>
                    <w:tc>
                      <w:tcPr>
                        <w:tcW w:w="627" w:type="dxa"/>
                        <w:tcBorders>
                          <w:top w:val="single" w:sz="6" w:space="0" w:color="000000"/>
                        </w:tcBorders>
                      </w:tcPr>
                      <w:p>
                        <w:pPr>
                          <w:pStyle w:val="TableParagraph"/>
                          <w:rPr>
                            <w:rFonts w:ascii="Times New Roman"/>
                            <w:sz w:val="18"/>
                          </w:rPr>
                        </w:pPr>
                      </w:p>
                    </w:tc>
                    <w:tc>
                      <w:tcPr>
                        <w:tcW w:w="1765" w:type="dxa"/>
                        <w:tcBorders>
                          <w:top w:val="single" w:sz="6" w:space="0" w:color="000000"/>
                        </w:tcBorders>
                      </w:tcPr>
                      <w:p>
                        <w:pPr>
                          <w:pStyle w:val="TableParagraph"/>
                          <w:rPr>
                            <w:rFonts w:ascii="Times New Roman"/>
                            <w:sz w:val="18"/>
                          </w:rPr>
                        </w:pPr>
                      </w:p>
                    </w:tc>
                    <w:tc>
                      <w:tcPr>
                        <w:tcW w:w="7580" w:type="dxa"/>
                        <w:tcBorders>
                          <w:top w:val="single" w:sz="6" w:space="0" w:color="000000"/>
                        </w:tcBorders>
                      </w:tcPr>
                      <w:p>
                        <w:pPr>
                          <w:pStyle w:val="TableParagraph"/>
                          <w:spacing w:before="12"/>
                          <w:rPr>
                            <w:sz w:val="17"/>
                          </w:rPr>
                        </w:pPr>
                      </w:p>
                      <w:p>
                        <w:pPr>
                          <w:pStyle w:val="TableParagraph"/>
                          <w:spacing w:line="310" w:lineRule="atLeast"/>
                          <w:ind w:left="106" w:right="70"/>
                          <w:rPr>
                            <w:sz w:val="18"/>
                          </w:rPr>
                        </w:pPr>
                        <w:r>
                          <w:rPr>
                            <w:sz w:val="18"/>
                          </w:rPr>
                          <w:t>投保人因重大过失未履行如实告知义务，对保险事故的发生有严重影响的，我们对于合同解除前发生的保险事故，不承担给付保险金的责任，但应当返还保险费。</w:t>
                        </w:r>
                      </w:p>
                    </w:tc>
                  </w:tr>
                  <w:tr>
                    <w:trPr>
                      <w:trHeight w:val="788"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80" w:type="dxa"/>
                      </w:tcPr>
                      <w:p>
                        <w:pPr>
                          <w:pStyle w:val="TableParagraph"/>
                          <w:spacing w:line="316" w:lineRule="auto" w:before="10"/>
                          <w:ind w:left="106" w:right="70"/>
                          <w:rPr>
                            <w:sz w:val="18"/>
                          </w:rPr>
                        </w:pPr>
                        <w:r>
                          <w:rPr>
                            <w:sz w:val="18"/>
                          </w:rPr>
                          <w:t>本公司在合同订立时已经知道投保人未如实告知的情况的，本公司不得解除合同；发生保险事故的，本公司承担给付保险金的责任。</w:t>
                        </w:r>
                      </w:p>
                    </w:tc>
                  </w:tr>
                  <w:tr>
                    <w:trPr>
                      <w:trHeight w:val="1113" w:hRule="atLeast"/>
                    </w:trPr>
                    <w:tc>
                      <w:tcPr>
                        <w:tcW w:w="627" w:type="dxa"/>
                      </w:tcPr>
                      <w:p>
                        <w:pPr>
                          <w:pStyle w:val="TableParagraph"/>
                          <w:spacing w:before="165"/>
                          <w:ind w:left="88" w:right="179"/>
                          <w:jc w:val="center"/>
                          <w:rPr>
                            <w:b/>
                            <w:sz w:val="21"/>
                          </w:rPr>
                        </w:pPr>
                        <w:r>
                          <w:rPr>
                            <w:b/>
                            <w:sz w:val="21"/>
                          </w:rPr>
                          <w:t>6.3</w:t>
                        </w:r>
                      </w:p>
                    </w:tc>
                    <w:tc>
                      <w:tcPr>
                        <w:tcW w:w="1765" w:type="dxa"/>
                      </w:tcPr>
                      <w:p>
                        <w:pPr>
                          <w:pStyle w:val="TableParagraph"/>
                          <w:spacing w:line="273" w:lineRule="auto" w:before="165"/>
                          <w:ind w:left="162" w:right="105"/>
                          <w:rPr>
                            <w:b/>
                            <w:sz w:val="21"/>
                          </w:rPr>
                        </w:pPr>
                        <w:r>
                          <w:rPr>
                            <w:b/>
                            <w:sz w:val="21"/>
                          </w:rPr>
                          <w:t>本公司合同解除权的限制</w:t>
                        </w:r>
                      </w:p>
                    </w:tc>
                    <w:tc>
                      <w:tcPr>
                        <w:tcW w:w="7580" w:type="dxa"/>
                      </w:tcPr>
                      <w:p>
                        <w:pPr>
                          <w:pStyle w:val="TableParagraph"/>
                          <w:spacing w:before="7"/>
                          <w:rPr>
                            <w:sz w:val="14"/>
                          </w:rPr>
                        </w:pPr>
                      </w:p>
                      <w:p>
                        <w:pPr>
                          <w:pStyle w:val="TableParagraph"/>
                          <w:spacing w:line="316" w:lineRule="auto"/>
                          <w:ind w:left="106" w:right="37"/>
                          <w:rPr>
                            <w:sz w:val="18"/>
                          </w:rPr>
                        </w:pPr>
                        <w:r>
                          <w:rPr>
                            <w:spacing w:val="-4"/>
                            <w:sz w:val="18"/>
                          </w:rPr>
                          <w:t>前条规定的合同解除权，自我们知道有解除事由之日起，超过三十日不行使而消灭。自本合同</w:t>
                        </w:r>
                        <w:r>
                          <w:rPr>
                            <w:spacing w:val="-12"/>
                            <w:sz w:val="18"/>
                          </w:rPr>
                          <w:t>成立之日起超过二年的，我们不得解除合同；发生保险事故的，我们将承担给付保险金的责任。</w:t>
                        </w:r>
                      </w:p>
                    </w:tc>
                  </w:tr>
                  <w:tr>
                    <w:trPr>
                      <w:trHeight w:val="1715" w:hRule="atLeast"/>
                    </w:trPr>
                    <w:tc>
                      <w:tcPr>
                        <w:tcW w:w="9972" w:type="dxa"/>
                        <w:gridSpan w:val="3"/>
                      </w:tcPr>
                      <w:p>
                        <w:pPr>
                          <w:pStyle w:val="TableParagraph"/>
                          <w:spacing w:before="9"/>
                          <w:rPr>
                            <w:sz w:val="22"/>
                          </w:rPr>
                        </w:pPr>
                      </w:p>
                      <w:p>
                        <w:pPr>
                          <w:pStyle w:val="TableParagraph"/>
                          <w:tabs>
                            <w:tab w:pos="789" w:val="left" w:leader="none"/>
                            <w:tab w:pos="2498" w:val="left" w:leader="none"/>
                          </w:tabs>
                          <w:ind w:left="107"/>
                          <w:rPr>
                            <w:sz w:val="18"/>
                          </w:rPr>
                        </w:pPr>
                        <w:r>
                          <w:rPr>
                            <w:b/>
                            <w:sz w:val="21"/>
                          </w:rPr>
                          <w:t>6.4</w:t>
                          <w:tab/>
                          <w:t>年龄计算与错误</w:t>
                          <w:tab/>
                        </w:r>
                        <w:r>
                          <w:rPr>
                            <w:position w:val="1"/>
                            <w:sz w:val="18"/>
                          </w:rPr>
                          <w:t>投保人在申请投保时</w:t>
                        </w:r>
                        <w:r>
                          <w:rPr>
                            <w:spacing w:val="-18"/>
                            <w:position w:val="1"/>
                            <w:sz w:val="18"/>
                          </w:rPr>
                          <w:t>，</w:t>
                        </w:r>
                        <w:r>
                          <w:rPr>
                            <w:position w:val="1"/>
                            <w:sz w:val="18"/>
                          </w:rPr>
                          <w:t>应将与有效身份证件相符的被保险人的出生日期在投保单上填明</w:t>
                        </w:r>
                        <w:r>
                          <w:rPr>
                            <w:spacing w:val="-18"/>
                            <w:position w:val="1"/>
                            <w:sz w:val="18"/>
                          </w:rPr>
                          <w:t>，</w:t>
                        </w:r>
                        <w:r>
                          <w:rPr>
                            <w:position w:val="1"/>
                            <w:sz w:val="18"/>
                          </w:rPr>
                          <w:t>若发</w:t>
                        </w:r>
                      </w:p>
                      <w:p>
                        <w:pPr>
                          <w:pStyle w:val="TableParagraph"/>
                          <w:tabs>
                            <w:tab w:pos="2498" w:val="left" w:leader="none"/>
                          </w:tabs>
                          <w:spacing w:before="37"/>
                          <w:ind w:left="789"/>
                          <w:rPr>
                            <w:sz w:val="18"/>
                          </w:rPr>
                        </w:pPr>
                        <w:r>
                          <w:rPr>
                            <w:b/>
                            <w:sz w:val="21"/>
                          </w:rPr>
                          <w:t>处理</w:t>
                          <w:tab/>
                        </w:r>
                        <w:r>
                          <w:rPr>
                            <w:position w:val="1"/>
                            <w:sz w:val="18"/>
                          </w:rPr>
                          <w:t>生错误按下列规定办理：</w:t>
                        </w:r>
                      </w:p>
                      <w:p>
                        <w:pPr>
                          <w:pStyle w:val="TableParagraph"/>
                          <w:spacing w:line="316" w:lineRule="auto" w:before="62"/>
                          <w:ind w:left="2498" w:right="127"/>
                          <w:rPr>
                            <w:sz w:val="18"/>
                          </w:rPr>
                        </w:pPr>
                        <w:r>
                          <w:rPr>
                            <w:sz w:val="18"/>
                          </w:rPr>
                          <w:t>1、真实投保年龄不符合本合同约定的投保年龄范围的，在保险事故发生之前本公司有权终止本合同对该被保险人的保险责任，并向投保人返还该被保险人的现金价值。</w:t>
                        </w:r>
                      </w:p>
                    </w:tc>
                  </w:tr>
                  <w:tr>
                    <w:trPr>
                      <w:trHeight w:val="1091"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80" w:type="dxa"/>
                      </w:tcPr>
                      <w:p>
                        <w:pPr>
                          <w:pStyle w:val="TableParagraph"/>
                          <w:spacing w:line="310" w:lineRule="atLeast" w:before="92"/>
                          <w:ind w:left="106" w:right="127"/>
                          <w:jc w:val="both"/>
                          <w:rPr>
                            <w:sz w:val="18"/>
                          </w:rPr>
                        </w:pPr>
                        <w:r>
                          <w:rPr>
                            <w:sz w:val="18"/>
                          </w:rPr>
                          <w:t>2、投保人申报的被保险人年龄不真实，致使投保人实交保险费少于应交保险费的，本公司有</w:t>
                        </w:r>
                        <w:r>
                          <w:rPr>
                            <w:spacing w:val="-3"/>
                            <w:sz w:val="18"/>
                          </w:rPr>
                          <w:t>权审核更正并要求投保人补交保险费；若补交保险费前已发生保险事故，本公司按照实交保险费与应交保险费的比例给付保险金。</w:t>
                        </w:r>
                      </w:p>
                    </w:tc>
                  </w:tr>
                  <w:tr>
                    <w:trPr>
                      <w:trHeight w:val="773"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80" w:type="dxa"/>
                      </w:tcPr>
                      <w:p>
                        <w:pPr>
                          <w:pStyle w:val="TableParagraph"/>
                          <w:spacing w:line="316" w:lineRule="auto" w:before="10"/>
                          <w:ind w:left="106" w:right="127"/>
                          <w:rPr>
                            <w:sz w:val="18"/>
                          </w:rPr>
                        </w:pPr>
                        <w:r>
                          <w:rPr>
                            <w:sz w:val="18"/>
                          </w:rPr>
                          <w:t>3、投保人申报的被保险人年龄不真实，致使投保人实交保险费多于应交保险费的，本公司将多收的保险费无息返还投保人。</w:t>
                        </w:r>
                      </w:p>
                    </w:tc>
                  </w:tr>
                  <w:tr>
                    <w:trPr>
                      <w:trHeight w:val="1413" w:hRule="atLeast"/>
                    </w:trPr>
                    <w:tc>
                      <w:tcPr>
                        <w:tcW w:w="627" w:type="dxa"/>
                      </w:tcPr>
                      <w:p>
                        <w:pPr>
                          <w:pStyle w:val="TableParagraph"/>
                          <w:spacing w:before="151"/>
                          <w:ind w:left="87" w:right="179"/>
                          <w:jc w:val="center"/>
                          <w:rPr>
                            <w:b/>
                            <w:sz w:val="21"/>
                          </w:rPr>
                        </w:pPr>
                        <w:r>
                          <w:rPr>
                            <w:b/>
                            <w:sz w:val="21"/>
                          </w:rPr>
                          <w:t>6.5</w:t>
                        </w:r>
                      </w:p>
                    </w:tc>
                    <w:tc>
                      <w:tcPr>
                        <w:tcW w:w="1765" w:type="dxa"/>
                      </w:tcPr>
                      <w:p>
                        <w:pPr>
                          <w:pStyle w:val="TableParagraph"/>
                          <w:spacing w:before="151"/>
                          <w:ind w:left="162"/>
                          <w:rPr>
                            <w:b/>
                            <w:sz w:val="21"/>
                          </w:rPr>
                        </w:pPr>
                        <w:r>
                          <w:rPr>
                            <w:b/>
                            <w:w w:val="95"/>
                            <w:sz w:val="21"/>
                          </w:rPr>
                          <w:t>联系方式变更</w:t>
                        </w:r>
                      </w:p>
                    </w:tc>
                    <w:tc>
                      <w:tcPr>
                        <w:tcW w:w="7580" w:type="dxa"/>
                      </w:tcPr>
                      <w:p>
                        <w:pPr>
                          <w:pStyle w:val="TableParagraph"/>
                          <w:spacing w:line="310" w:lineRule="atLeast" w:before="102"/>
                          <w:ind w:left="106" w:right="98"/>
                          <w:jc w:val="both"/>
                          <w:rPr>
                            <w:sz w:val="18"/>
                          </w:rPr>
                        </w:pPr>
                        <w:r>
                          <w:rPr>
                            <w:spacing w:val="-2"/>
                            <w:sz w:val="18"/>
                          </w:rPr>
                          <w:t>为了保障投保人及被保险人的合法权益，投保人或被保险人的住所、通讯地址或电话等联系方</w:t>
                        </w:r>
                        <w:r>
                          <w:rPr>
                            <w:spacing w:val="-4"/>
                            <w:sz w:val="18"/>
                          </w:rPr>
                          <w:t>式变更时，请及时以书面形式或双方认可的其他形式通知本公司。若投保人或被保险人未作前述通知的，本公司按本合同载明的最后住所或通讯地址发送有关通知，视为已通知投保人或被保险人。</w:t>
                        </w:r>
                      </w:p>
                    </w:tc>
                  </w:tr>
                  <w:tr>
                    <w:trPr>
                      <w:trHeight w:val="1083"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80" w:type="dxa"/>
                      </w:tcPr>
                      <w:p>
                        <w:pPr>
                          <w:pStyle w:val="TableParagraph"/>
                          <w:spacing w:line="316" w:lineRule="auto" w:before="10"/>
                          <w:ind w:left="106" w:right="98"/>
                          <w:jc w:val="both"/>
                          <w:rPr>
                            <w:sz w:val="18"/>
                          </w:rPr>
                        </w:pPr>
                        <w:r>
                          <w:rPr>
                            <w:spacing w:val="-3"/>
                            <w:sz w:val="18"/>
                          </w:rPr>
                          <w:t>投保人或被保险人的住所、通讯地址或电话等联系方式变更时，未及时通知本公司，可能导致</w:t>
                        </w:r>
                        <w:r>
                          <w:rPr>
                            <w:spacing w:val="-4"/>
                            <w:sz w:val="18"/>
                          </w:rPr>
                          <w:t>本公司有关通知无法送达投保人或被保险人，由此而导致的保险单失效及投保人或者被保险人其它保险利益的延误和丧失由投保人或被保险人来承担。</w:t>
                        </w:r>
                      </w:p>
                    </w:tc>
                  </w:tr>
                  <w:tr>
                    <w:trPr>
                      <w:trHeight w:val="1248" w:hRule="atLeast"/>
                    </w:trPr>
                    <w:tc>
                      <w:tcPr>
                        <w:tcW w:w="627" w:type="dxa"/>
                      </w:tcPr>
                      <w:p>
                        <w:pPr>
                          <w:pStyle w:val="TableParagraph"/>
                          <w:spacing w:before="149"/>
                          <w:ind w:left="87" w:right="179"/>
                          <w:jc w:val="center"/>
                          <w:rPr>
                            <w:b/>
                            <w:sz w:val="21"/>
                          </w:rPr>
                        </w:pPr>
                        <w:r>
                          <w:rPr>
                            <w:b/>
                            <w:sz w:val="21"/>
                          </w:rPr>
                          <w:t>6.6</w:t>
                        </w:r>
                      </w:p>
                    </w:tc>
                    <w:tc>
                      <w:tcPr>
                        <w:tcW w:w="1765" w:type="dxa"/>
                      </w:tcPr>
                      <w:p>
                        <w:pPr>
                          <w:pStyle w:val="TableParagraph"/>
                          <w:spacing w:before="149"/>
                          <w:ind w:left="162"/>
                          <w:rPr>
                            <w:b/>
                            <w:sz w:val="21"/>
                          </w:rPr>
                        </w:pPr>
                        <w:r>
                          <w:rPr>
                            <w:b/>
                            <w:w w:val="95"/>
                            <w:sz w:val="21"/>
                          </w:rPr>
                          <w:t>合同内容变更</w:t>
                        </w:r>
                      </w:p>
                    </w:tc>
                    <w:tc>
                      <w:tcPr>
                        <w:tcW w:w="7580" w:type="dxa"/>
                      </w:tcPr>
                      <w:p>
                        <w:pPr>
                          <w:pStyle w:val="TableParagraph"/>
                          <w:spacing w:before="4"/>
                          <w:rPr>
                            <w:sz w:val="13"/>
                          </w:rPr>
                        </w:pPr>
                      </w:p>
                      <w:p>
                        <w:pPr>
                          <w:pStyle w:val="TableParagraph"/>
                          <w:spacing w:line="316" w:lineRule="auto"/>
                          <w:ind w:left="106" w:right="100"/>
                          <w:jc w:val="both"/>
                          <w:rPr>
                            <w:sz w:val="18"/>
                          </w:rPr>
                        </w:pPr>
                        <w:r>
                          <w:rPr>
                            <w:spacing w:val="-3"/>
                            <w:sz w:val="18"/>
                          </w:rPr>
                          <w:t>投保人在本合同有效期内，符合本公司的规定，可申请变更本合同内容，变更本合同的，应当</w:t>
                        </w:r>
                        <w:r>
                          <w:rPr>
                            <w:spacing w:val="-4"/>
                            <w:sz w:val="18"/>
                          </w:rPr>
                          <w:t>由我们在保险单或者其他保险凭证上批注或者附贴批单，或者由投保人和我们订立变更的书面协议。</w:t>
                        </w:r>
                      </w:p>
                    </w:tc>
                  </w:tr>
                  <w:tr>
                    <w:trPr>
                      <w:trHeight w:val="955" w:hRule="atLeast"/>
                    </w:trPr>
                    <w:tc>
                      <w:tcPr>
                        <w:tcW w:w="627" w:type="dxa"/>
                      </w:tcPr>
                      <w:p>
                        <w:pPr>
                          <w:pStyle w:val="TableParagraph"/>
                          <w:spacing w:before="149"/>
                          <w:ind w:left="88" w:right="177"/>
                          <w:jc w:val="center"/>
                          <w:rPr>
                            <w:b/>
                            <w:sz w:val="21"/>
                          </w:rPr>
                        </w:pPr>
                        <w:r>
                          <w:rPr>
                            <w:b/>
                            <w:sz w:val="21"/>
                          </w:rPr>
                          <w:t>6.7</w:t>
                        </w:r>
                      </w:p>
                    </w:tc>
                    <w:tc>
                      <w:tcPr>
                        <w:tcW w:w="1765" w:type="dxa"/>
                      </w:tcPr>
                      <w:p>
                        <w:pPr>
                          <w:pStyle w:val="TableParagraph"/>
                          <w:spacing w:before="149"/>
                          <w:ind w:left="162"/>
                          <w:rPr>
                            <w:b/>
                            <w:sz w:val="21"/>
                          </w:rPr>
                        </w:pPr>
                        <w:r>
                          <w:rPr>
                            <w:b/>
                            <w:sz w:val="21"/>
                          </w:rPr>
                          <w:t>争议处理</w:t>
                        </w:r>
                      </w:p>
                    </w:tc>
                    <w:tc>
                      <w:tcPr>
                        <w:tcW w:w="7580" w:type="dxa"/>
                      </w:tcPr>
                      <w:p>
                        <w:pPr>
                          <w:pStyle w:val="TableParagraph"/>
                          <w:spacing w:before="4"/>
                          <w:rPr>
                            <w:sz w:val="13"/>
                          </w:rPr>
                        </w:pPr>
                      </w:p>
                      <w:p>
                        <w:pPr>
                          <w:pStyle w:val="TableParagraph"/>
                          <w:spacing w:line="316" w:lineRule="auto"/>
                          <w:ind w:left="106" w:right="66"/>
                          <w:rPr>
                            <w:sz w:val="18"/>
                          </w:rPr>
                        </w:pPr>
                        <w:r>
                          <w:rPr>
                            <w:sz w:val="18"/>
                          </w:rPr>
                          <w:t>本合同履行过程中，双方发生任何争议，应首先协商解决。经协商未达成协议的，任何一方可向人民法院提起诉讼。</w:t>
                        </w:r>
                      </w:p>
                    </w:tc>
                  </w:tr>
                  <w:tr>
                    <w:trPr>
                      <w:trHeight w:val="767" w:hRule="atLeast"/>
                    </w:trPr>
                    <w:tc>
                      <w:tcPr>
                        <w:tcW w:w="627" w:type="dxa"/>
                        <w:tcBorders>
                          <w:bottom w:val="single" w:sz="4" w:space="0" w:color="000000"/>
                        </w:tcBorders>
                      </w:tcPr>
                      <w:p>
                        <w:pPr>
                          <w:pStyle w:val="TableParagraph"/>
                          <w:spacing w:before="125"/>
                          <w:ind w:right="52"/>
                          <w:jc w:val="center"/>
                          <w:rPr>
                            <w:rFonts w:ascii="MS UI Gothic"/>
                            <w:sz w:val="40"/>
                          </w:rPr>
                        </w:pPr>
                        <w:r>
                          <w:rPr>
                            <w:rFonts w:ascii="MS UI Gothic"/>
                            <w:w w:val="178"/>
                            <w:sz w:val="40"/>
                          </w:rPr>
                          <w:t>0</w:t>
                        </w:r>
                      </w:p>
                    </w:tc>
                    <w:tc>
                      <w:tcPr>
                        <w:tcW w:w="1765" w:type="dxa"/>
                        <w:tcBorders>
                          <w:bottom w:val="single" w:sz="4" w:space="0" w:color="000000"/>
                        </w:tcBorders>
                      </w:tcPr>
                      <w:p>
                        <w:pPr>
                          <w:pStyle w:val="TableParagraph"/>
                          <w:spacing w:before="12"/>
                          <w:rPr>
                            <w:sz w:val="19"/>
                          </w:rPr>
                        </w:pPr>
                      </w:p>
                      <w:p>
                        <w:pPr>
                          <w:pStyle w:val="TableParagraph"/>
                          <w:ind w:left="162"/>
                          <w:rPr>
                            <w:b/>
                            <w:sz w:val="24"/>
                          </w:rPr>
                        </w:pPr>
                        <w:r>
                          <w:rPr>
                            <w:b/>
                            <w:sz w:val="24"/>
                          </w:rPr>
                          <w:t>释义</w:t>
                        </w:r>
                      </w:p>
                    </w:tc>
                    <w:tc>
                      <w:tcPr>
                        <w:tcW w:w="7580" w:type="dxa"/>
                        <w:tcBorders>
                          <w:bottom w:val="single" w:sz="4" w:space="0" w:color="000000"/>
                        </w:tcBorders>
                      </w:tcPr>
                      <w:p>
                        <w:pPr>
                          <w:pStyle w:val="TableParagraph"/>
                          <w:rPr>
                            <w:rFonts w:ascii="Times New Roman"/>
                            <w:sz w:val="18"/>
                          </w:rPr>
                        </w:pPr>
                      </w:p>
                    </w:tc>
                  </w:tr>
                  <w:tr>
                    <w:trPr>
                      <w:trHeight w:val="527" w:hRule="atLeast"/>
                    </w:trPr>
                    <w:tc>
                      <w:tcPr>
                        <w:tcW w:w="627" w:type="dxa"/>
                        <w:tcBorders>
                          <w:top w:val="single" w:sz="4" w:space="0" w:color="000000"/>
                        </w:tcBorders>
                      </w:tcPr>
                      <w:p>
                        <w:pPr>
                          <w:pStyle w:val="TableParagraph"/>
                          <w:spacing w:before="5"/>
                          <w:rPr>
                            <w:sz w:val="15"/>
                          </w:rPr>
                        </w:pPr>
                      </w:p>
                      <w:p>
                        <w:pPr>
                          <w:pStyle w:val="TableParagraph"/>
                          <w:spacing w:before="1"/>
                          <w:ind w:left="87" w:right="179"/>
                          <w:jc w:val="center"/>
                          <w:rPr>
                            <w:b/>
                            <w:sz w:val="21"/>
                          </w:rPr>
                        </w:pPr>
                        <w:r>
                          <w:rPr>
                            <w:b/>
                            <w:sz w:val="21"/>
                          </w:rPr>
                          <w:t>7.1</w:t>
                        </w:r>
                      </w:p>
                    </w:tc>
                    <w:tc>
                      <w:tcPr>
                        <w:tcW w:w="1765"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指定或认可的</w:t>
                        </w:r>
                      </w:p>
                    </w:tc>
                    <w:tc>
                      <w:tcPr>
                        <w:tcW w:w="7580" w:type="dxa"/>
                        <w:vMerge w:val="restart"/>
                        <w:tcBorders>
                          <w:top w:val="single" w:sz="4" w:space="0" w:color="000000"/>
                        </w:tcBorders>
                      </w:tcPr>
                      <w:p>
                        <w:pPr>
                          <w:pStyle w:val="TableParagraph"/>
                          <w:spacing w:before="5"/>
                          <w:rPr>
                            <w:sz w:val="17"/>
                          </w:rPr>
                        </w:pPr>
                      </w:p>
                      <w:p>
                        <w:pPr>
                          <w:pStyle w:val="TableParagraph"/>
                          <w:spacing w:line="316" w:lineRule="auto"/>
                          <w:ind w:left="106" w:right="55"/>
                          <w:rPr>
                            <w:sz w:val="18"/>
                          </w:rPr>
                        </w:pPr>
                        <w:r>
                          <w:rPr>
                            <w:sz w:val="18"/>
                          </w:rPr>
                          <w:t>指中华人民共和国境内(港澳台地区除外)，投保地所在省、市、自治区范围内的卫生行政部门认可的二级甲等以上非营利性医疗机构。</w:t>
                        </w:r>
                      </w:p>
                    </w:tc>
                  </w:tr>
                  <w:tr>
                    <w:trPr>
                      <w:trHeight w:val="491" w:hRule="atLeast"/>
                    </w:trPr>
                    <w:tc>
                      <w:tcPr>
                        <w:tcW w:w="627" w:type="dxa"/>
                      </w:tcPr>
                      <w:p>
                        <w:pPr>
                          <w:pStyle w:val="TableParagraph"/>
                          <w:rPr>
                            <w:rFonts w:ascii="Times New Roman"/>
                            <w:sz w:val="18"/>
                          </w:rPr>
                        </w:pPr>
                      </w:p>
                    </w:tc>
                    <w:tc>
                      <w:tcPr>
                        <w:tcW w:w="1765" w:type="dxa"/>
                      </w:tcPr>
                      <w:p>
                        <w:pPr>
                          <w:pStyle w:val="TableParagraph"/>
                          <w:spacing w:line="261" w:lineRule="exact"/>
                          <w:ind w:left="162"/>
                          <w:rPr>
                            <w:b/>
                            <w:sz w:val="21"/>
                          </w:rPr>
                        </w:pPr>
                        <w:r>
                          <w:rPr>
                            <w:b/>
                            <w:sz w:val="21"/>
                          </w:rPr>
                          <w:t>医疗机构</w:t>
                        </w:r>
                      </w:p>
                    </w:tc>
                    <w:tc>
                      <w:tcPr>
                        <w:tcW w:w="7580" w:type="dxa"/>
                        <w:vMerge/>
                        <w:tcBorders>
                          <w:top w:val="nil"/>
                        </w:tcBorders>
                      </w:tcPr>
                      <w:p>
                        <w:pPr>
                          <w:rPr>
                            <w:sz w:val="2"/>
                            <w:szCs w:val="2"/>
                          </w:rPr>
                        </w:pPr>
                      </w:p>
                    </w:tc>
                  </w:tr>
                  <w:tr>
                    <w:trPr>
                      <w:trHeight w:val="500" w:hRule="atLeast"/>
                    </w:trPr>
                    <w:tc>
                      <w:tcPr>
                        <w:tcW w:w="627" w:type="dxa"/>
                      </w:tcPr>
                      <w:p>
                        <w:pPr>
                          <w:pStyle w:val="TableParagraph"/>
                          <w:spacing w:before="166"/>
                          <w:ind w:left="88" w:right="177"/>
                          <w:jc w:val="center"/>
                          <w:rPr>
                            <w:b/>
                            <w:sz w:val="21"/>
                          </w:rPr>
                        </w:pPr>
                        <w:r>
                          <w:rPr>
                            <w:b/>
                            <w:sz w:val="21"/>
                          </w:rPr>
                          <w:t>7.2</w:t>
                        </w:r>
                      </w:p>
                    </w:tc>
                    <w:tc>
                      <w:tcPr>
                        <w:tcW w:w="1765" w:type="dxa"/>
                      </w:tcPr>
                      <w:p>
                        <w:pPr>
                          <w:pStyle w:val="TableParagraph"/>
                          <w:spacing w:before="166"/>
                          <w:ind w:left="162"/>
                          <w:rPr>
                            <w:b/>
                            <w:sz w:val="21"/>
                          </w:rPr>
                        </w:pPr>
                        <w:r>
                          <w:rPr>
                            <w:b/>
                            <w:sz w:val="21"/>
                          </w:rPr>
                          <w:t>重大疾病</w:t>
                        </w:r>
                      </w:p>
                    </w:tc>
                    <w:tc>
                      <w:tcPr>
                        <w:tcW w:w="7580" w:type="dxa"/>
                      </w:tcPr>
                      <w:p>
                        <w:pPr>
                          <w:pStyle w:val="TableParagraph"/>
                          <w:spacing w:before="8"/>
                          <w:rPr>
                            <w:sz w:val="14"/>
                          </w:rPr>
                        </w:pPr>
                      </w:p>
                      <w:p>
                        <w:pPr>
                          <w:pStyle w:val="TableParagraph"/>
                          <w:ind w:left="106"/>
                          <w:rPr>
                            <w:sz w:val="18"/>
                          </w:rPr>
                        </w:pPr>
                        <w:r>
                          <w:rPr>
                            <w:sz w:val="18"/>
                          </w:rPr>
                          <w:t>本合同所指的重大疾病为下列疾病或手术之一：</w:t>
                        </w:r>
                      </w:p>
                    </w:tc>
                  </w:tr>
                  <w:tr>
                    <w:trPr>
                      <w:trHeight w:val="297" w:hRule="atLeast"/>
                    </w:trPr>
                    <w:tc>
                      <w:tcPr>
                        <w:tcW w:w="627" w:type="dxa"/>
                      </w:tcPr>
                      <w:p>
                        <w:pPr>
                          <w:pStyle w:val="TableParagraph"/>
                          <w:rPr>
                            <w:rFonts w:ascii="Times New Roman"/>
                            <w:sz w:val="18"/>
                          </w:rPr>
                        </w:pPr>
                      </w:p>
                    </w:tc>
                    <w:tc>
                      <w:tcPr>
                        <w:tcW w:w="1765" w:type="dxa"/>
                      </w:tcPr>
                      <w:p>
                        <w:pPr>
                          <w:pStyle w:val="TableParagraph"/>
                          <w:rPr>
                            <w:rFonts w:ascii="Times New Roman"/>
                            <w:sz w:val="18"/>
                          </w:rPr>
                        </w:pPr>
                      </w:p>
                    </w:tc>
                    <w:tc>
                      <w:tcPr>
                        <w:tcW w:w="7580" w:type="dxa"/>
                      </w:tcPr>
                      <w:p>
                        <w:pPr>
                          <w:pStyle w:val="TableParagraph"/>
                          <w:spacing w:before="3"/>
                          <w:ind w:left="106"/>
                          <w:rPr>
                            <w:sz w:val="18"/>
                          </w:rPr>
                        </w:pPr>
                        <w:r>
                          <w:rPr>
                            <w:sz w:val="18"/>
                          </w:rPr>
                          <w:t>被保险人发生符合以下疾病定义所述条件的重大疾病，须由</w:t>
                        </w:r>
                        <w:r>
                          <w:rPr>
                            <w:b/>
                            <w:sz w:val="18"/>
                          </w:rPr>
                          <w:t>专科医生</w:t>
                        </w:r>
                        <w:r>
                          <w:rPr>
                            <w:sz w:val="18"/>
                          </w:rPr>
                          <w:t>（见 7.14）明确诊断。</w:t>
                        </w:r>
                      </w:p>
                    </w:tc>
                  </w:tr>
                  <w:tr>
                    <w:trPr>
                      <w:trHeight w:val="566" w:hRule="atLeast"/>
                    </w:trPr>
                    <w:tc>
                      <w:tcPr>
                        <w:tcW w:w="627" w:type="dxa"/>
                      </w:tcPr>
                      <w:p>
                        <w:pPr>
                          <w:pStyle w:val="TableParagraph"/>
                          <w:rPr>
                            <w:rFonts w:ascii="Times New Roman"/>
                            <w:sz w:val="18"/>
                          </w:rPr>
                        </w:pPr>
                      </w:p>
                    </w:tc>
                    <w:tc>
                      <w:tcPr>
                        <w:tcW w:w="9345" w:type="dxa"/>
                        <w:gridSpan w:val="2"/>
                      </w:tcPr>
                      <w:p>
                        <w:pPr>
                          <w:pStyle w:val="TableParagraph"/>
                          <w:tabs>
                            <w:tab w:pos="1871" w:val="left" w:leader="none"/>
                          </w:tabs>
                          <w:spacing w:line="268" w:lineRule="exact"/>
                          <w:ind w:left="162"/>
                          <w:rPr>
                            <w:sz w:val="18"/>
                          </w:rPr>
                        </w:pPr>
                        <w:r>
                          <w:rPr>
                            <w:b/>
                            <w:sz w:val="21"/>
                          </w:rPr>
                          <w:t>1、恶性肿瘤</w:t>
                          <w:tab/>
                        </w:r>
                        <w:r>
                          <w:rPr>
                            <w:position w:val="1"/>
                            <w:sz w:val="18"/>
                          </w:rPr>
                          <w:t>指恶性细胞不受控制的进行性增长和扩散</w:t>
                        </w:r>
                        <w:r>
                          <w:rPr>
                            <w:spacing w:val="-3"/>
                            <w:position w:val="1"/>
                            <w:sz w:val="18"/>
                          </w:rPr>
                          <w:t>，</w:t>
                        </w:r>
                        <w:r>
                          <w:rPr>
                            <w:position w:val="1"/>
                            <w:sz w:val="18"/>
                          </w:rPr>
                          <w:t>浸润和破坏周围正常组织</w:t>
                        </w:r>
                        <w:r>
                          <w:rPr>
                            <w:spacing w:val="-3"/>
                            <w:position w:val="1"/>
                            <w:sz w:val="18"/>
                          </w:rPr>
                          <w:t>，</w:t>
                        </w:r>
                        <w:r>
                          <w:rPr>
                            <w:position w:val="1"/>
                            <w:sz w:val="18"/>
                          </w:rPr>
                          <w:t>可以经血管</w:t>
                        </w:r>
                        <w:r>
                          <w:rPr>
                            <w:spacing w:val="-3"/>
                            <w:position w:val="1"/>
                            <w:sz w:val="18"/>
                          </w:rPr>
                          <w:t>、</w:t>
                        </w:r>
                        <w:r>
                          <w:rPr>
                            <w:position w:val="1"/>
                            <w:sz w:val="18"/>
                          </w:rPr>
                          <w:t>淋巴管和</w:t>
                        </w:r>
                      </w:p>
                      <w:p>
                        <w:pPr>
                          <w:pStyle w:val="TableParagraph"/>
                          <w:spacing w:line="216" w:lineRule="exact" w:before="62"/>
                          <w:ind w:left="1871"/>
                          <w:rPr>
                            <w:sz w:val="18"/>
                          </w:rPr>
                        </w:pPr>
                        <w:r>
                          <w:rPr>
                            <w:sz w:val="18"/>
                          </w:rPr>
                          <w:t>体腔扩散转移到身体其它部位的疾病。经病理学检查结果明确诊断，临床诊断属于世界卫生组</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BodyText"/>
        <w:spacing w:before="44"/>
        <w:ind w:left="2616"/>
      </w:pPr>
      <w:r>
        <w:rPr/>
        <w:t>前款规定的不承担保险责任的权利，自我们知道有免责事由之日起，超过三十日不行使而消灭。</w:t>
      </w:r>
    </w:p>
    <w:p>
      <w:pPr>
        <w:spacing w:after="0"/>
        <w:sectPr>
          <w:headerReference w:type="default" r:id="rId10"/>
          <w:pgSz w:w="11910" w:h="16840"/>
          <w:pgMar w:header="857" w:footer="981" w:top="1040" w:bottom="1180" w:left="960" w:right="740"/>
        </w:sectPr>
      </w:pPr>
    </w:p>
    <w:p>
      <w:pPr>
        <w:pStyle w:val="BodyText"/>
        <w:spacing w:before="3"/>
        <w:rPr>
          <w:sz w:val="20"/>
        </w:rPr>
      </w:pPr>
      <w:r>
        <w:rPr/>
        <w:pict>
          <v:shape style="position:absolute;margin-left:49.279999pt;margin-top:89.824623pt;width:512.65pt;height:685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2"/>
                    <w:gridCol w:w="7769"/>
                  </w:tblGrid>
                  <w:tr>
                    <w:trPr>
                      <w:trHeight w:val="1025" w:hRule="atLeast"/>
                    </w:trPr>
                    <w:tc>
                      <w:tcPr>
                        <w:tcW w:w="2482" w:type="dxa"/>
                      </w:tcPr>
                      <w:p>
                        <w:pPr>
                          <w:pStyle w:val="TableParagraph"/>
                          <w:rPr>
                            <w:rFonts w:ascii="Times New Roman"/>
                            <w:sz w:val="18"/>
                          </w:rPr>
                        </w:pPr>
                      </w:p>
                    </w:tc>
                    <w:tc>
                      <w:tcPr>
                        <w:tcW w:w="7769" w:type="dxa"/>
                      </w:tcPr>
                      <w:p>
                        <w:pPr>
                          <w:pStyle w:val="TableParagraph"/>
                          <w:spacing w:line="180" w:lineRule="exact"/>
                          <w:ind w:left="108"/>
                          <w:rPr>
                            <w:sz w:val="18"/>
                          </w:rPr>
                        </w:pPr>
                        <w:r>
                          <w:rPr>
                            <w:sz w:val="18"/>
                          </w:rPr>
                          <w:t>下列疾病不在保障范围内：</w:t>
                        </w:r>
                      </w:p>
                      <w:p>
                        <w:pPr>
                          <w:pStyle w:val="TableParagraph"/>
                          <w:spacing w:before="76"/>
                          <w:ind w:left="108"/>
                          <w:rPr>
                            <w:sz w:val="18"/>
                          </w:rPr>
                        </w:pPr>
                        <w:r>
                          <w:rPr>
                            <w:sz w:val="18"/>
                          </w:rPr>
                          <w:t>（1）原位癌；</w:t>
                        </w:r>
                      </w:p>
                      <w:p>
                        <w:pPr>
                          <w:pStyle w:val="TableParagraph"/>
                          <w:spacing w:before="76"/>
                          <w:ind w:left="108"/>
                          <w:rPr>
                            <w:sz w:val="18"/>
                          </w:rPr>
                        </w:pPr>
                        <w:r>
                          <w:rPr>
                            <w:sz w:val="18"/>
                          </w:rPr>
                          <w:t>（2）相当于Binet 分期方案A 期程度的慢性淋巴细胞白血病；</w:t>
                        </w:r>
                      </w:p>
                    </w:tc>
                  </w:tr>
                  <w:tr>
                    <w:trPr>
                      <w:trHeight w:val="447" w:hRule="atLeast"/>
                    </w:trPr>
                    <w:tc>
                      <w:tcPr>
                        <w:tcW w:w="2482" w:type="dxa"/>
                      </w:tcPr>
                      <w:p>
                        <w:pPr>
                          <w:pStyle w:val="TableParagraph"/>
                          <w:rPr>
                            <w:rFonts w:ascii="Times New Roman"/>
                            <w:sz w:val="18"/>
                          </w:rPr>
                        </w:pPr>
                      </w:p>
                    </w:tc>
                    <w:tc>
                      <w:tcPr>
                        <w:tcW w:w="7769" w:type="dxa"/>
                      </w:tcPr>
                      <w:p>
                        <w:pPr>
                          <w:pStyle w:val="TableParagraph"/>
                          <w:spacing w:before="9"/>
                          <w:rPr>
                            <w:sz w:val="12"/>
                          </w:rPr>
                        </w:pPr>
                      </w:p>
                      <w:p>
                        <w:pPr>
                          <w:pStyle w:val="TableParagraph"/>
                          <w:ind w:left="108"/>
                          <w:rPr>
                            <w:sz w:val="18"/>
                          </w:rPr>
                        </w:pPr>
                        <w:r>
                          <w:rPr>
                            <w:sz w:val="18"/>
                          </w:rPr>
                          <w:t>（4）皮肤癌（不包括恶性黑色素瘤及已发生转移的皮肤癌</w:t>
                        </w:r>
                        <w:r>
                          <w:rPr>
                            <w:spacing w:val="-90"/>
                            <w:sz w:val="18"/>
                          </w:rPr>
                          <w:t>）</w:t>
                        </w:r>
                        <w:r>
                          <w:rPr>
                            <w:sz w:val="18"/>
                          </w:rPr>
                          <w:t>；</w:t>
                        </w:r>
                      </w:p>
                    </w:tc>
                  </w:tr>
                  <w:tr>
                    <w:trPr>
                      <w:trHeight w:val="428" w:hRule="atLeast"/>
                    </w:trPr>
                    <w:tc>
                      <w:tcPr>
                        <w:tcW w:w="2482" w:type="dxa"/>
                      </w:tcPr>
                      <w:p>
                        <w:pPr>
                          <w:pStyle w:val="TableParagraph"/>
                          <w:rPr>
                            <w:rFonts w:ascii="Times New Roman"/>
                            <w:sz w:val="18"/>
                          </w:rPr>
                        </w:pPr>
                      </w:p>
                    </w:tc>
                    <w:tc>
                      <w:tcPr>
                        <w:tcW w:w="7769" w:type="dxa"/>
                      </w:tcPr>
                      <w:p>
                        <w:pPr>
                          <w:pStyle w:val="TableParagraph"/>
                          <w:spacing w:line="225" w:lineRule="exact"/>
                          <w:ind w:left="108"/>
                          <w:rPr>
                            <w:sz w:val="18"/>
                          </w:rPr>
                        </w:pPr>
                        <w:r>
                          <w:rPr>
                            <w:position w:val="1"/>
                            <w:sz w:val="18"/>
                          </w:rPr>
                          <w:t>（5）TNM分期为T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tc>
                  </w:tr>
                  <w:tr>
                    <w:trPr>
                      <w:trHeight w:val="760" w:hRule="atLeast"/>
                    </w:trPr>
                    <w:tc>
                      <w:tcPr>
                        <w:tcW w:w="2482" w:type="dxa"/>
                      </w:tcPr>
                      <w:p>
                        <w:pPr>
                          <w:pStyle w:val="TableParagraph"/>
                          <w:spacing w:line="273" w:lineRule="auto" w:before="122"/>
                          <w:ind w:left="881" w:right="105"/>
                          <w:rPr>
                            <w:b/>
                            <w:sz w:val="21"/>
                          </w:rPr>
                        </w:pPr>
                        <w:r>
                          <w:rPr>
                            <w:b/>
                            <w:sz w:val="21"/>
                          </w:rPr>
                          <w:t>2</w:t>
                        </w:r>
                        <w:r>
                          <w:rPr>
                            <w:b/>
                            <w:spacing w:val="-14"/>
                            <w:sz w:val="21"/>
                          </w:rPr>
                          <w:t>、重大器官移植</w:t>
                        </w:r>
                        <w:r>
                          <w:rPr>
                            <w:b/>
                            <w:spacing w:val="20"/>
                            <w:w w:val="95"/>
                            <w:sz w:val="21"/>
                          </w:rPr>
                          <w:t>术/</w:t>
                        </w:r>
                        <w:r>
                          <w:rPr>
                            <w:b/>
                            <w:spacing w:val="15"/>
                            <w:w w:val="95"/>
                            <w:sz w:val="21"/>
                          </w:rPr>
                          <w:t>造血干细胞</w:t>
                        </w:r>
                      </w:p>
                    </w:tc>
                    <w:tc>
                      <w:tcPr>
                        <w:tcW w:w="7769" w:type="dxa"/>
                      </w:tcPr>
                      <w:p>
                        <w:pPr>
                          <w:pStyle w:val="TableParagraph"/>
                          <w:spacing w:line="310" w:lineRule="atLeast" w:before="72"/>
                          <w:ind w:left="108" w:right="253"/>
                          <w:rPr>
                            <w:sz w:val="18"/>
                          </w:rPr>
                        </w:pPr>
                        <w:r>
                          <w:rPr>
                            <w:sz w:val="18"/>
                          </w:rPr>
                          <w:t>重大器官移植术，指因相应器官功能衰竭，已经实施了肾脏、肝脏、心脏或肺脏的异体移植手术。</w:t>
                        </w:r>
                      </w:p>
                    </w:tc>
                  </w:tr>
                  <w:tr>
                    <w:trPr>
                      <w:trHeight w:val="771" w:hRule="atLeast"/>
                    </w:trPr>
                    <w:tc>
                      <w:tcPr>
                        <w:tcW w:w="2482" w:type="dxa"/>
                      </w:tcPr>
                      <w:p>
                        <w:pPr>
                          <w:pStyle w:val="TableParagraph"/>
                          <w:spacing w:line="260" w:lineRule="exact"/>
                          <w:ind w:left="863" w:right="946"/>
                          <w:jc w:val="center"/>
                          <w:rPr>
                            <w:b/>
                            <w:sz w:val="21"/>
                          </w:rPr>
                        </w:pPr>
                        <w:r>
                          <w:rPr>
                            <w:b/>
                            <w:sz w:val="21"/>
                          </w:rPr>
                          <w:t>移植术</w:t>
                        </w:r>
                      </w:p>
                    </w:tc>
                    <w:tc>
                      <w:tcPr>
                        <w:tcW w:w="7769" w:type="dxa"/>
                      </w:tcPr>
                      <w:p>
                        <w:pPr>
                          <w:pStyle w:val="TableParagraph"/>
                          <w:spacing w:line="316" w:lineRule="auto" w:before="10"/>
                          <w:ind w:left="108" w:right="245"/>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944" w:hRule="atLeast"/>
                    </w:trPr>
                    <w:tc>
                      <w:tcPr>
                        <w:tcW w:w="2482" w:type="dxa"/>
                      </w:tcPr>
                      <w:p>
                        <w:pPr>
                          <w:pStyle w:val="TableParagraph"/>
                          <w:spacing w:before="149"/>
                          <w:ind w:right="105"/>
                          <w:jc w:val="right"/>
                          <w:rPr>
                            <w:b/>
                            <w:sz w:val="21"/>
                          </w:rPr>
                        </w:pPr>
                        <w:r>
                          <w:rPr>
                            <w:b/>
                            <w:w w:val="95"/>
                            <w:sz w:val="21"/>
                          </w:rPr>
                          <w:t>3、多个肢体缺失</w:t>
                        </w:r>
                      </w:p>
                    </w:tc>
                    <w:tc>
                      <w:tcPr>
                        <w:tcW w:w="7769" w:type="dxa"/>
                      </w:tcPr>
                      <w:p>
                        <w:pPr>
                          <w:pStyle w:val="TableParagraph"/>
                          <w:spacing w:before="4"/>
                          <w:rPr>
                            <w:sz w:val="13"/>
                          </w:rPr>
                        </w:pPr>
                      </w:p>
                      <w:p>
                        <w:pPr>
                          <w:pStyle w:val="TableParagraph"/>
                          <w:spacing w:line="316" w:lineRule="auto"/>
                          <w:ind w:left="108" w:right="196"/>
                          <w:rPr>
                            <w:sz w:val="18"/>
                          </w:rPr>
                        </w:pPr>
                        <w:r>
                          <w:rPr>
                            <w:sz w:val="18"/>
                          </w:rPr>
                          <w:t>指因疾病或</w:t>
                        </w:r>
                        <w:r>
                          <w:rPr>
                            <w:b/>
                            <w:spacing w:val="-13"/>
                            <w:sz w:val="18"/>
                          </w:rPr>
                          <w:t>意外伤害</w:t>
                        </w:r>
                        <w:r>
                          <w:rPr>
                            <w:sz w:val="18"/>
                          </w:rPr>
                          <w:t>（</w:t>
                        </w:r>
                        <w:r>
                          <w:rPr>
                            <w:spacing w:val="-23"/>
                            <w:sz w:val="18"/>
                          </w:rPr>
                          <w:t>见 </w:t>
                        </w:r>
                        <w:r>
                          <w:rPr>
                            <w:spacing w:val="-10"/>
                            <w:sz w:val="18"/>
                          </w:rPr>
                          <w:t>7.15）</w:t>
                        </w:r>
                        <w:r>
                          <w:rPr>
                            <w:spacing w:val="-3"/>
                            <w:sz w:val="18"/>
                          </w:rPr>
                          <w:t>导致两个或两个以上肢体自腕关节或踝关节近端</w:t>
                        </w:r>
                        <w:r>
                          <w:rPr>
                            <w:sz w:val="18"/>
                          </w:rPr>
                          <w:t>（靠近躯干端） 以上完全性断离。</w:t>
                        </w:r>
                      </w:p>
                    </w:tc>
                  </w:tr>
                  <w:tr>
                    <w:trPr>
                      <w:trHeight w:val="1091" w:hRule="atLeast"/>
                    </w:trPr>
                    <w:tc>
                      <w:tcPr>
                        <w:tcW w:w="2482" w:type="dxa"/>
                      </w:tcPr>
                      <w:p>
                        <w:pPr>
                          <w:pStyle w:val="TableParagraph"/>
                          <w:spacing w:before="141"/>
                          <w:ind w:left="881"/>
                          <w:rPr>
                            <w:b/>
                            <w:sz w:val="21"/>
                          </w:rPr>
                        </w:pPr>
                        <w:r>
                          <w:rPr>
                            <w:b/>
                            <w:w w:val="95"/>
                            <w:sz w:val="21"/>
                          </w:rPr>
                          <w:t>4、双耳失聪</w:t>
                        </w:r>
                      </w:p>
                    </w:tc>
                    <w:tc>
                      <w:tcPr>
                        <w:tcW w:w="7769" w:type="dxa"/>
                      </w:tcPr>
                      <w:p>
                        <w:pPr>
                          <w:pStyle w:val="TableParagraph"/>
                          <w:spacing w:before="9"/>
                          <w:rPr>
                            <w:sz w:val="12"/>
                          </w:rPr>
                        </w:pPr>
                      </w:p>
                      <w:p>
                        <w:pPr>
                          <w:pStyle w:val="TableParagraph"/>
                          <w:ind w:left="108"/>
                          <w:rPr>
                            <w:sz w:val="18"/>
                          </w:rPr>
                        </w:pPr>
                        <w:r>
                          <w:rPr>
                            <w:sz w:val="18"/>
                          </w:rPr>
                          <w:t>指因疾病或意外伤害导致双耳听力永久不可逆性丧失，在 500 赫兹、1000 赫兹和 2000 赫兹语</w:t>
                        </w:r>
                      </w:p>
                      <w:p>
                        <w:pPr>
                          <w:pStyle w:val="TableParagraph"/>
                          <w:spacing w:line="310" w:lineRule="atLeast" w:before="1"/>
                          <w:ind w:left="108" w:right="242"/>
                          <w:rPr>
                            <w:sz w:val="18"/>
                          </w:rPr>
                        </w:pPr>
                        <w:r>
                          <w:rPr>
                            <w:sz w:val="18"/>
                          </w:rPr>
                          <w:t>音频率下，平均听阈大于 90 分贝，且经纯音听力测试、声导抗检测或听觉诱发电位检测等证实。</w:t>
                        </w:r>
                      </w:p>
                    </w:tc>
                  </w:tr>
                  <w:tr>
                    <w:trPr>
                      <w:trHeight w:val="771" w:hRule="atLeast"/>
                    </w:trPr>
                    <w:tc>
                      <w:tcPr>
                        <w:tcW w:w="2482" w:type="dxa"/>
                      </w:tcPr>
                      <w:p>
                        <w:pPr>
                          <w:pStyle w:val="TableParagraph"/>
                          <w:rPr>
                            <w:rFonts w:ascii="Times New Roman"/>
                            <w:sz w:val="18"/>
                          </w:rPr>
                        </w:pPr>
                      </w:p>
                    </w:tc>
                    <w:tc>
                      <w:tcPr>
                        <w:tcW w:w="7769" w:type="dxa"/>
                      </w:tcPr>
                      <w:p>
                        <w:pPr>
                          <w:pStyle w:val="TableParagraph"/>
                          <w:spacing w:line="316" w:lineRule="auto" w:before="10"/>
                          <w:ind w:left="108" w:right="285"/>
                          <w:rPr>
                            <w:sz w:val="18"/>
                          </w:rPr>
                        </w:pPr>
                        <w:r>
                          <w:rPr>
                            <w:spacing w:val="-3"/>
                            <w:sz w:val="18"/>
                          </w:rPr>
                          <w:t>永久不可逆指自疾病确诊或意外伤害发生之日起，经过积极治疗 </w:t>
                        </w:r>
                        <w:r>
                          <w:rPr>
                            <w:sz w:val="18"/>
                          </w:rPr>
                          <w:t>180</w:t>
                        </w:r>
                        <w:r>
                          <w:rPr>
                            <w:spacing w:val="-8"/>
                            <w:sz w:val="18"/>
                          </w:rPr>
                          <w:t> 天后，仍无法通过现有医疗手段恢复。</w:t>
                        </w:r>
                      </w:p>
                    </w:tc>
                  </w:tr>
                  <w:tr>
                    <w:trPr>
                      <w:trHeight w:val="884" w:hRule="atLeast"/>
                    </w:trPr>
                    <w:tc>
                      <w:tcPr>
                        <w:tcW w:w="10251" w:type="dxa"/>
                        <w:gridSpan w:val="2"/>
                      </w:tcPr>
                      <w:p>
                        <w:pPr>
                          <w:pStyle w:val="TableParagraph"/>
                          <w:tabs>
                            <w:tab w:pos="2590" w:val="left" w:leader="none"/>
                          </w:tabs>
                          <w:spacing w:line="295" w:lineRule="auto" w:before="149"/>
                          <w:ind w:left="2590" w:right="281" w:hanging="1709"/>
                          <w:rPr>
                            <w:sz w:val="18"/>
                          </w:rPr>
                        </w:pPr>
                        <w:r>
                          <w:rPr>
                            <w:b/>
                            <w:sz w:val="21"/>
                          </w:rPr>
                          <w:t>5、双目失明</w:t>
                          <w:tab/>
                        </w:r>
                        <w:r>
                          <w:rPr>
                            <w:spacing w:val="2"/>
                            <w:position w:val="1"/>
                            <w:sz w:val="18"/>
                          </w:rPr>
                          <w:t>指因疾</w:t>
                        </w:r>
                        <w:r>
                          <w:rPr>
                            <w:position w:val="1"/>
                            <w:sz w:val="18"/>
                          </w:rPr>
                          <w:t>病</w:t>
                        </w:r>
                        <w:r>
                          <w:rPr>
                            <w:spacing w:val="2"/>
                            <w:position w:val="1"/>
                            <w:sz w:val="18"/>
                          </w:rPr>
                          <w:t>或</w:t>
                        </w:r>
                        <w:r>
                          <w:rPr>
                            <w:position w:val="1"/>
                            <w:sz w:val="18"/>
                          </w:rPr>
                          <w:t>意</w:t>
                        </w:r>
                        <w:r>
                          <w:rPr>
                            <w:spacing w:val="2"/>
                            <w:position w:val="1"/>
                            <w:sz w:val="18"/>
                          </w:rPr>
                          <w:t>外伤害</w:t>
                        </w:r>
                        <w:r>
                          <w:rPr>
                            <w:position w:val="1"/>
                            <w:sz w:val="18"/>
                          </w:rPr>
                          <w:t>导</w:t>
                        </w:r>
                        <w:r>
                          <w:rPr>
                            <w:spacing w:val="2"/>
                            <w:position w:val="1"/>
                            <w:sz w:val="18"/>
                          </w:rPr>
                          <w:t>致</w:t>
                        </w:r>
                        <w:r>
                          <w:rPr>
                            <w:position w:val="1"/>
                            <w:sz w:val="18"/>
                          </w:rPr>
                          <w:t>双</w:t>
                        </w:r>
                        <w:r>
                          <w:rPr>
                            <w:spacing w:val="2"/>
                            <w:position w:val="1"/>
                            <w:sz w:val="18"/>
                          </w:rPr>
                          <w:t>眼视力</w:t>
                        </w:r>
                        <w:r>
                          <w:rPr>
                            <w:position w:val="1"/>
                            <w:sz w:val="18"/>
                          </w:rPr>
                          <w:t>永</w:t>
                        </w:r>
                        <w:r>
                          <w:rPr>
                            <w:spacing w:val="2"/>
                            <w:position w:val="1"/>
                            <w:sz w:val="18"/>
                          </w:rPr>
                          <w:t>久</w:t>
                        </w:r>
                        <w:r>
                          <w:rPr>
                            <w:position w:val="1"/>
                            <w:sz w:val="18"/>
                          </w:rPr>
                          <w:t>不</w:t>
                        </w:r>
                        <w:r>
                          <w:rPr>
                            <w:spacing w:val="2"/>
                            <w:position w:val="1"/>
                            <w:sz w:val="18"/>
                          </w:rPr>
                          <w:t>可逆性</w:t>
                        </w:r>
                        <w:r>
                          <w:rPr>
                            <w:position w:val="1"/>
                            <w:sz w:val="18"/>
                          </w:rPr>
                          <w:t>丧</w:t>
                        </w:r>
                        <w:r>
                          <w:rPr>
                            <w:spacing w:val="2"/>
                            <w:position w:val="1"/>
                            <w:sz w:val="18"/>
                          </w:rPr>
                          <w:t>失</w:t>
                        </w:r>
                        <w:r>
                          <w:rPr>
                            <w:position w:val="1"/>
                            <w:sz w:val="18"/>
                          </w:rPr>
                          <w:t>，</w:t>
                        </w:r>
                        <w:r>
                          <w:rPr>
                            <w:spacing w:val="2"/>
                            <w:position w:val="1"/>
                            <w:sz w:val="18"/>
                          </w:rPr>
                          <w:t>双眼中</w:t>
                        </w:r>
                        <w:r>
                          <w:rPr>
                            <w:position w:val="1"/>
                            <w:sz w:val="18"/>
                          </w:rPr>
                          <w:t>较</w:t>
                        </w:r>
                        <w:r>
                          <w:rPr>
                            <w:spacing w:val="2"/>
                            <w:position w:val="1"/>
                            <w:sz w:val="18"/>
                          </w:rPr>
                          <w:t>好</w:t>
                        </w:r>
                        <w:r>
                          <w:rPr>
                            <w:position w:val="1"/>
                            <w:sz w:val="18"/>
                          </w:rPr>
                          <w:t>眼</w:t>
                        </w:r>
                        <w:r>
                          <w:rPr>
                            <w:spacing w:val="2"/>
                            <w:position w:val="1"/>
                            <w:sz w:val="18"/>
                          </w:rPr>
                          <w:t>须满足</w:t>
                        </w:r>
                        <w:r>
                          <w:rPr>
                            <w:position w:val="1"/>
                            <w:sz w:val="18"/>
                          </w:rPr>
                          <w:t>下</w:t>
                        </w:r>
                        <w:r>
                          <w:rPr>
                            <w:spacing w:val="2"/>
                            <w:position w:val="1"/>
                            <w:sz w:val="18"/>
                          </w:rPr>
                          <w:t>列</w:t>
                        </w:r>
                        <w:r>
                          <w:rPr>
                            <w:position w:val="1"/>
                            <w:sz w:val="18"/>
                          </w:rPr>
                          <w:t>至</w:t>
                        </w:r>
                        <w:r>
                          <w:rPr>
                            <w:spacing w:val="2"/>
                            <w:position w:val="1"/>
                            <w:sz w:val="18"/>
                          </w:rPr>
                          <w:t>少一项条 </w:t>
                        </w:r>
                        <w:r>
                          <w:rPr>
                            <w:sz w:val="18"/>
                          </w:rPr>
                          <w:t>件：</w:t>
                        </w:r>
                      </w:p>
                    </w:tc>
                  </w:tr>
                  <w:tr>
                    <w:trPr>
                      <w:trHeight w:val="369" w:hRule="atLeast"/>
                    </w:trPr>
                    <w:tc>
                      <w:tcPr>
                        <w:tcW w:w="2482" w:type="dxa"/>
                      </w:tcPr>
                      <w:p>
                        <w:pPr>
                          <w:pStyle w:val="TableParagraph"/>
                          <w:rPr>
                            <w:rFonts w:ascii="Times New Roman"/>
                            <w:sz w:val="18"/>
                          </w:rPr>
                        </w:pPr>
                      </w:p>
                    </w:tc>
                    <w:tc>
                      <w:tcPr>
                        <w:tcW w:w="7769" w:type="dxa"/>
                      </w:tcPr>
                      <w:p>
                        <w:pPr>
                          <w:pStyle w:val="TableParagraph"/>
                          <w:spacing w:line="108" w:lineRule="exact"/>
                          <w:ind w:left="108"/>
                          <w:rPr>
                            <w:sz w:val="18"/>
                          </w:rPr>
                        </w:pPr>
                        <w:r>
                          <w:rPr>
                            <w:sz w:val="18"/>
                          </w:rPr>
                          <w:t>（1）眼球缺失或摘除；</w:t>
                        </w:r>
                      </w:p>
                      <w:p>
                        <w:pPr>
                          <w:pStyle w:val="TableParagraph"/>
                          <w:spacing w:line="235" w:lineRule="exact"/>
                          <w:ind w:left="108"/>
                          <w:rPr>
                            <w:sz w:val="18"/>
                          </w:rPr>
                        </w:pPr>
                        <w:r>
                          <w:rPr>
                            <w:sz w:val="18"/>
                          </w:rPr>
                          <w:t>（2）</w:t>
                        </w:r>
                        <w:r>
                          <w:rPr>
                            <w:spacing w:val="-7"/>
                            <w:sz w:val="18"/>
                          </w:rPr>
                          <w:t>矫正视力低于 </w:t>
                        </w:r>
                        <w:r>
                          <w:rPr>
                            <w:sz w:val="18"/>
                          </w:rPr>
                          <w:t>0.02（采用国际标准视力表，如果使用其它视力表应进行换算</w:t>
                        </w:r>
                        <w:r>
                          <w:rPr>
                            <w:spacing w:val="-90"/>
                            <w:sz w:val="18"/>
                          </w:rPr>
                          <w:t>）</w:t>
                        </w:r>
                        <w:r>
                          <w:rPr>
                            <w:sz w:val="18"/>
                          </w:rPr>
                          <w:t>；</w:t>
                        </w:r>
                      </w:p>
                    </w:tc>
                  </w:tr>
                  <w:tr>
                    <w:trPr>
                      <w:trHeight w:val="401" w:hRule="atLeast"/>
                    </w:trPr>
                    <w:tc>
                      <w:tcPr>
                        <w:tcW w:w="2482" w:type="dxa"/>
                      </w:tcPr>
                      <w:p>
                        <w:pPr>
                          <w:pStyle w:val="TableParagraph"/>
                          <w:rPr>
                            <w:rFonts w:ascii="Times New Roman"/>
                            <w:sz w:val="18"/>
                          </w:rPr>
                        </w:pPr>
                      </w:p>
                    </w:tc>
                    <w:tc>
                      <w:tcPr>
                        <w:tcW w:w="7769" w:type="dxa"/>
                      </w:tcPr>
                      <w:p>
                        <w:pPr>
                          <w:pStyle w:val="TableParagraph"/>
                          <w:spacing w:line="206" w:lineRule="exact"/>
                          <w:ind w:left="108"/>
                          <w:rPr>
                            <w:sz w:val="18"/>
                          </w:rPr>
                        </w:pPr>
                        <w:r>
                          <w:rPr>
                            <w:sz w:val="18"/>
                          </w:rPr>
                          <w:t>（3）视野半径小于 5 度。</w:t>
                        </w:r>
                      </w:p>
                    </w:tc>
                  </w:tr>
                  <w:tr>
                    <w:trPr>
                      <w:trHeight w:val="620" w:hRule="atLeast"/>
                    </w:trPr>
                    <w:tc>
                      <w:tcPr>
                        <w:tcW w:w="2482" w:type="dxa"/>
                      </w:tcPr>
                      <w:p>
                        <w:pPr>
                          <w:pStyle w:val="TableParagraph"/>
                          <w:spacing w:before="130"/>
                          <w:ind w:right="105"/>
                          <w:jc w:val="right"/>
                          <w:rPr>
                            <w:b/>
                            <w:sz w:val="21"/>
                          </w:rPr>
                        </w:pPr>
                        <w:r>
                          <w:rPr>
                            <w:b/>
                            <w:w w:val="95"/>
                            <w:sz w:val="21"/>
                          </w:rPr>
                          <w:t>6、语言能力丧失</w:t>
                        </w:r>
                      </w:p>
                    </w:tc>
                    <w:tc>
                      <w:tcPr>
                        <w:tcW w:w="7769" w:type="dxa"/>
                      </w:tcPr>
                      <w:p>
                        <w:pPr>
                          <w:pStyle w:val="TableParagraph"/>
                          <w:spacing w:before="156"/>
                          <w:ind w:left="108"/>
                          <w:rPr>
                            <w:sz w:val="18"/>
                          </w:rPr>
                        </w:pPr>
                        <w:r>
                          <w:rPr>
                            <w:sz w:val="18"/>
                          </w:rPr>
                          <w:t>指因疾病或意外伤害导致完全丧失语言能力，经过积极治疗至少 12 个月（声带完全切除不受</w:t>
                        </w:r>
                      </w:p>
                    </w:tc>
                  </w:tr>
                  <w:tr>
                    <w:trPr>
                      <w:trHeight w:val="461" w:hRule="atLeast"/>
                    </w:trPr>
                    <w:tc>
                      <w:tcPr>
                        <w:tcW w:w="2482" w:type="dxa"/>
                      </w:tcPr>
                      <w:p>
                        <w:pPr>
                          <w:pStyle w:val="TableParagraph"/>
                          <w:rPr>
                            <w:rFonts w:ascii="Times New Roman"/>
                            <w:sz w:val="18"/>
                          </w:rPr>
                        </w:pPr>
                      </w:p>
                    </w:tc>
                    <w:tc>
                      <w:tcPr>
                        <w:tcW w:w="7769" w:type="dxa"/>
                      </w:tcPr>
                      <w:p>
                        <w:pPr>
                          <w:pStyle w:val="TableParagraph"/>
                          <w:spacing w:before="159"/>
                          <w:ind w:left="108"/>
                          <w:rPr>
                            <w:sz w:val="18"/>
                          </w:rPr>
                        </w:pPr>
                        <w:r>
                          <w:rPr>
                            <w:sz w:val="18"/>
                          </w:rPr>
                          <w:t>精神心理因素所致的语言能力丧失不在保障范围内。</w:t>
                        </w:r>
                      </w:p>
                    </w:tc>
                  </w:tr>
                  <w:tr>
                    <w:trPr>
                      <w:trHeight w:val="771" w:hRule="atLeast"/>
                    </w:trPr>
                    <w:tc>
                      <w:tcPr>
                        <w:tcW w:w="2482" w:type="dxa"/>
                      </w:tcPr>
                      <w:p>
                        <w:pPr>
                          <w:pStyle w:val="TableParagraph"/>
                          <w:rPr>
                            <w:rFonts w:ascii="Times New Roman"/>
                            <w:sz w:val="18"/>
                          </w:rPr>
                        </w:pPr>
                      </w:p>
                    </w:tc>
                    <w:tc>
                      <w:tcPr>
                        <w:tcW w:w="7769" w:type="dxa"/>
                      </w:tcPr>
                      <w:p>
                        <w:pPr>
                          <w:pStyle w:val="TableParagraph"/>
                          <w:spacing w:line="316" w:lineRule="auto" w:before="10"/>
                          <w:ind w:left="108" w:right="243"/>
                          <w:rPr>
                            <w:sz w:val="18"/>
                          </w:rPr>
                        </w:pPr>
                        <w:r>
                          <w:rPr>
                            <w:sz w:val="18"/>
                          </w:rPr>
                          <w:t>语言能力完全丧失指无法发出四种语音（包括口唇音、齿舌音、口盖音和喉头音）中的任何三种、或声带全部切除，或因大脑语言中枢受伤害而患失语症。</w:t>
                        </w:r>
                      </w:p>
                    </w:tc>
                  </w:tr>
                  <w:tr>
                    <w:trPr>
                      <w:trHeight w:val="936" w:hRule="atLeast"/>
                    </w:trPr>
                    <w:tc>
                      <w:tcPr>
                        <w:tcW w:w="2482" w:type="dxa"/>
                      </w:tcPr>
                      <w:p>
                        <w:pPr>
                          <w:pStyle w:val="TableParagraph"/>
                          <w:tabs>
                            <w:tab w:pos="880" w:val="left" w:leader="none"/>
                          </w:tabs>
                          <w:spacing w:before="149"/>
                          <w:ind w:left="200"/>
                          <w:rPr>
                            <w:b/>
                            <w:sz w:val="21"/>
                          </w:rPr>
                        </w:pPr>
                        <w:r>
                          <w:rPr>
                            <w:b/>
                            <w:sz w:val="21"/>
                          </w:rPr>
                          <w:t>7.3</w:t>
                          <w:tab/>
                          <w:t>发病</w:t>
                        </w:r>
                      </w:p>
                    </w:tc>
                    <w:tc>
                      <w:tcPr>
                        <w:tcW w:w="7769" w:type="dxa"/>
                      </w:tcPr>
                      <w:p>
                        <w:pPr>
                          <w:pStyle w:val="TableParagraph"/>
                          <w:spacing w:before="4"/>
                          <w:rPr>
                            <w:sz w:val="13"/>
                          </w:rPr>
                        </w:pPr>
                      </w:p>
                      <w:p>
                        <w:pPr>
                          <w:pStyle w:val="TableParagraph"/>
                          <w:spacing w:line="316" w:lineRule="auto"/>
                          <w:ind w:left="108" w:right="243"/>
                          <w:rPr>
                            <w:sz w:val="18"/>
                          </w:rPr>
                        </w:pPr>
                        <w:r>
                          <w:rPr>
                            <w:sz w:val="18"/>
                          </w:rPr>
                          <w:t>指被保险人出现本合同中约定疾病的前兆或异常的身体状况，或已经显现足以使一般人士引起注意并寻求诊断、治疗或护理的病症。</w:t>
                        </w:r>
                      </w:p>
                    </w:tc>
                  </w:tr>
                  <w:tr>
                    <w:trPr>
                      <w:trHeight w:val="1247" w:hRule="atLeast"/>
                    </w:trPr>
                    <w:tc>
                      <w:tcPr>
                        <w:tcW w:w="2482" w:type="dxa"/>
                      </w:tcPr>
                      <w:p>
                        <w:pPr>
                          <w:pStyle w:val="TableParagraph"/>
                          <w:tabs>
                            <w:tab w:pos="880" w:val="left" w:leader="none"/>
                          </w:tabs>
                          <w:spacing w:before="149"/>
                          <w:ind w:left="200"/>
                          <w:rPr>
                            <w:b/>
                            <w:sz w:val="21"/>
                          </w:rPr>
                        </w:pPr>
                        <w:r>
                          <w:rPr>
                            <w:b/>
                            <w:sz w:val="21"/>
                          </w:rPr>
                          <w:t>7.4</w:t>
                          <w:tab/>
                          <w:t>毒品</w:t>
                        </w:r>
                      </w:p>
                    </w:tc>
                    <w:tc>
                      <w:tcPr>
                        <w:tcW w:w="7769" w:type="dxa"/>
                      </w:tcPr>
                      <w:p>
                        <w:pPr>
                          <w:pStyle w:val="TableParagraph"/>
                          <w:spacing w:before="4"/>
                          <w:rPr>
                            <w:sz w:val="13"/>
                          </w:rPr>
                        </w:pPr>
                      </w:p>
                      <w:p>
                        <w:pPr>
                          <w:pStyle w:val="TableParagraph"/>
                          <w:spacing w:line="316" w:lineRule="auto"/>
                          <w:ind w:left="108" w:right="285"/>
                          <w:jc w:val="both"/>
                          <w:rPr>
                            <w:sz w:val="18"/>
                          </w:rPr>
                        </w:pPr>
                        <w:r>
                          <w:rPr>
                            <w:sz w:val="18"/>
                          </w:rPr>
                          <w:t>指中华人民共和国刑法规定的鸦片、海洛因、甲基苯丙胺（冰毒</w:t>
                        </w:r>
                        <w:r>
                          <w:rPr>
                            <w:spacing w:val="-89"/>
                            <w:sz w:val="18"/>
                          </w:rPr>
                          <w:t>）</w:t>
                        </w:r>
                        <w:r>
                          <w:rPr>
                            <w:sz w:val="18"/>
                          </w:rPr>
                          <w:t>、吗啡、大麻、可卡因以及</w:t>
                        </w:r>
                        <w:r>
                          <w:rPr>
                            <w:spacing w:val="-1"/>
                            <w:sz w:val="18"/>
                          </w:rPr>
                          <w:t>国家规定管制的其他能够使人形成瘾癖的麻醉药品和精神药品，但不包括由医生开具并遵医嘱使用的用于治疗疾病但含有毒品成分的处方药品。</w:t>
                        </w:r>
                      </w:p>
                    </w:tc>
                  </w:tr>
                  <w:tr>
                    <w:trPr>
                      <w:trHeight w:val="982" w:hRule="atLeast"/>
                    </w:trPr>
                    <w:tc>
                      <w:tcPr>
                        <w:tcW w:w="2482" w:type="dxa"/>
                      </w:tcPr>
                      <w:p>
                        <w:pPr>
                          <w:pStyle w:val="TableParagraph"/>
                          <w:tabs>
                            <w:tab w:pos="881" w:val="left" w:leader="none"/>
                          </w:tabs>
                          <w:spacing w:before="149"/>
                          <w:ind w:left="200"/>
                          <w:rPr>
                            <w:b/>
                            <w:sz w:val="21"/>
                          </w:rPr>
                        </w:pPr>
                        <w:r>
                          <w:rPr>
                            <w:b/>
                            <w:sz w:val="21"/>
                          </w:rPr>
                          <w:t>7.5</w:t>
                          <w:tab/>
                          <w:t>酒后驾驶</w:t>
                        </w:r>
                      </w:p>
                    </w:tc>
                    <w:tc>
                      <w:tcPr>
                        <w:tcW w:w="7769" w:type="dxa"/>
                      </w:tcPr>
                      <w:p>
                        <w:pPr>
                          <w:pStyle w:val="TableParagraph"/>
                          <w:spacing w:before="4"/>
                          <w:rPr>
                            <w:sz w:val="13"/>
                          </w:rPr>
                        </w:pPr>
                      </w:p>
                      <w:p>
                        <w:pPr>
                          <w:pStyle w:val="TableParagraph"/>
                          <w:spacing w:line="316" w:lineRule="auto"/>
                          <w:ind w:left="108" w:right="278"/>
                          <w:rPr>
                            <w:sz w:val="18"/>
                          </w:rPr>
                        </w:pPr>
                        <w:r>
                          <w:rPr>
                            <w:sz w:val="18"/>
                          </w:rPr>
                          <w:t>指经检测或鉴定，发生事故时车辆驾驶人员每百毫升血液中的酒精含量达到或超过一定的标准，公安机关交通管理部门依据《道路交通安全法》的规定认定为饮酒后驾驶或醉酒后驾驶。</w:t>
                        </w:r>
                      </w:p>
                    </w:tc>
                  </w:tr>
                  <w:tr>
                    <w:trPr>
                      <w:trHeight w:val="782" w:hRule="atLeast"/>
                    </w:trPr>
                    <w:tc>
                      <w:tcPr>
                        <w:tcW w:w="10251" w:type="dxa"/>
                        <w:gridSpan w:val="2"/>
                      </w:tcPr>
                      <w:p>
                        <w:pPr>
                          <w:pStyle w:val="TableParagraph"/>
                          <w:spacing w:before="12"/>
                          <w:rPr>
                            <w:sz w:val="14"/>
                          </w:rPr>
                        </w:pPr>
                      </w:p>
                      <w:p>
                        <w:pPr>
                          <w:pStyle w:val="TableParagraph"/>
                          <w:tabs>
                            <w:tab w:pos="881" w:val="left" w:leader="none"/>
                            <w:tab w:pos="2590" w:val="left" w:leader="none"/>
                          </w:tabs>
                          <w:ind w:left="200"/>
                          <w:rPr>
                            <w:sz w:val="18"/>
                          </w:rPr>
                        </w:pPr>
                        <w:r>
                          <w:rPr>
                            <w:b/>
                            <w:sz w:val="21"/>
                          </w:rPr>
                          <w:t>7.6</w:t>
                          <w:tab/>
                          <w:t>无合法有效驾驶</w:t>
                          <w:tab/>
                        </w:r>
                        <w:r>
                          <w:rPr>
                            <w:position w:val="1"/>
                            <w:sz w:val="18"/>
                          </w:rPr>
                          <w:t>指下列情形之一：</w:t>
                        </w:r>
                      </w:p>
                      <w:p>
                        <w:pPr>
                          <w:pStyle w:val="TableParagraph"/>
                          <w:tabs>
                            <w:tab w:pos="2590" w:val="left" w:leader="none"/>
                          </w:tabs>
                          <w:spacing w:line="255" w:lineRule="exact" w:before="37"/>
                          <w:ind w:left="881"/>
                          <w:rPr>
                            <w:sz w:val="18"/>
                          </w:rPr>
                        </w:pPr>
                        <w:r>
                          <w:rPr>
                            <w:b/>
                            <w:sz w:val="21"/>
                          </w:rPr>
                          <w:t>证驾驶</w:t>
                          <w:tab/>
                        </w:r>
                        <w:r>
                          <w:rPr>
                            <w:position w:val="1"/>
                            <w:sz w:val="18"/>
                          </w:rPr>
                          <w:t>（1）没有取得驾驶资格；</w:t>
                        </w:r>
                      </w:p>
                    </w:tc>
                  </w:tr>
                </w:tbl>
                <w:p>
                  <w:pPr>
                    <w:pStyle w:val="BodyText"/>
                  </w:pPr>
                </w:p>
              </w:txbxContent>
            </v:textbox>
            <w10:wrap type="none"/>
          </v:shape>
        </w:pict>
      </w:r>
    </w:p>
    <w:p>
      <w:pPr>
        <w:pStyle w:val="BodyText"/>
        <w:spacing w:before="44"/>
        <w:ind w:left="2696"/>
      </w:pPr>
      <w:r>
        <w:rPr/>
        <w:t>织《疾病和有关健康问题的国际统计分类》（ICD-10）的恶性肿瘤范畴。</w:t>
      </w:r>
    </w:p>
    <w:p>
      <w:pPr>
        <w:pStyle w:val="BodyText"/>
      </w:pPr>
    </w:p>
    <w:p>
      <w:pPr>
        <w:pStyle w:val="BodyText"/>
      </w:pPr>
    </w:p>
    <w:p>
      <w:pPr>
        <w:pStyle w:val="BodyText"/>
      </w:pPr>
    </w:p>
    <w:p>
      <w:pPr>
        <w:pStyle w:val="BodyText"/>
        <w:spacing w:before="4"/>
        <w:rPr>
          <w:sz w:val="23"/>
        </w:rPr>
      </w:pPr>
    </w:p>
    <w:p>
      <w:pPr>
        <w:pStyle w:val="BodyText"/>
        <w:ind w:left="2696"/>
      </w:pPr>
      <w:r>
        <w:rPr/>
        <w:t>（3）相当于Ann Arbor 分期方案I 期程度的何杰金氏病；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4"/>
        </w:rPr>
      </w:pPr>
    </w:p>
    <w:p>
      <w:pPr>
        <w:pStyle w:val="BodyText"/>
        <w:ind w:left="2696"/>
      </w:pPr>
      <w:r>
        <w:rPr/>
        <w:t>此时间限制</w:t>
      </w:r>
      <w:r>
        <w:rPr>
          <w:spacing w:val="-90"/>
        </w:rPr>
        <w:t>）</w:t>
      </w:r>
      <w:r>
        <w:rPr/>
        <w:t>，仍无法通过现有医疗手段恢复。</w:t>
      </w:r>
    </w:p>
    <w:p>
      <w:pPr>
        <w:spacing w:after="0"/>
        <w:sectPr>
          <w:headerReference w:type="default" r:id="rId11"/>
          <w:pgSz w:w="11910" w:h="16840"/>
          <w:pgMar w:header="877" w:footer="981" w:top="1100" w:bottom="1180" w:left="880" w:right="560"/>
        </w:sectPr>
      </w:pPr>
    </w:p>
    <w:p>
      <w:pPr>
        <w:pStyle w:val="BodyText"/>
        <w:spacing w:before="3"/>
        <w:rPr>
          <w:sz w:val="20"/>
        </w:rPr>
      </w:pPr>
    </w:p>
    <w:p>
      <w:pPr>
        <w:pStyle w:val="BodyText"/>
        <w:spacing w:before="44"/>
        <w:ind w:left="2696"/>
      </w:pPr>
      <w:r>
        <w:rPr/>
        <w:t>（2）驾驶与驾驶证准驾车型不相符合的车辆；</w:t>
      </w:r>
    </w:p>
    <w:p>
      <w:pPr>
        <w:pStyle w:val="BodyText"/>
        <w:rPr>
          <w:sz w:val="10"/>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8"/>
        <w:gridCol w:w="7857"/>
      </w:tblGrid>
      <w:tr>
        <w:trPr>
          <w:trHeight w:val="225" w:hRule="atLeast"/>
        </w:trPr>
        <w:tc>
          <w:tcPr>
            <w:tcW w:w="2368" w:type="dxa"/>
          </w:tcPr>
          <w:p>
            <w:pPr>
              <w:pStyle w:val="TableParagraph"/>
              <w:rPr>
                <w:rFonts w:ascii="Times New Roman"/>
                <w:sz w:val="16"/>
              </w:rPr>
            </w:pPr>
          </w:p>
        </w:tc>
        <w:tc>
          <w:tcPr>
            <w:tcW w:w="7857" w:type="dxa"/>
          </w:tcPr>
          <w:p>
            <w:pPr>
              <w:pStyle w:val="TableParagraph"/>
              <w:spacing w:line="180" w:lineRule="exact"/>
              <w:ind w:left="222"/>
              <w:rPr>
                <w:sz w:val="18"/>
              </w:rPr>
            </w:pPr>
            <w:r>
              <w:rPr>
                <w:sz w:val="18"/>
              </w:rPr>
              <w:t>（3）持审验不合格的驾驶证驾驶；</w:t>
            </w:r>
          </w:p>
        </w:tc>
      </w:tr>
      <w:tr>
        <w:trPr>
          <w:trHeight w:val="444" w:hRule="atLeast"/>
        </w:trPr>
        <w:tc>
          <w:tcPr>
            <w:tcW w:w="2368" w:type="dxa"/>
          </w:tcPr>
          <w:p>
            <w:pPr>
              <w:pStyle w:val="TableParagraph"/>
              <w:rPr>
                <w:rFonts w:ascii="Times New Roman"/>
                <w:sz w:val="18"/>
              </w:rPr>
            </w:pPr>
          </w:p>
        </w:tc>
        <w:tc>
          <w:tcPr>
            <w:tcW w:w="7857" w:type="dxa"/>
          </w:tcPr>
          <w:p>
            <w:pPr>
              <w:pStyle w:val="TableParagraph"/>
              <w:spacing w:line="226" w:lineRule="exact"/>
              <w:ind w:left="222"/>
              <w:rPr>
                <w:sz w:val="18"/>
              </w:rPr>
            </w:pPr>
            <w:r>
              <w:rPr>
                <w:sz w:val="18"/>
              </w:rPr>
              <w:t>（4）持学习驾驶证学习驾车时，无教练员随车指导，或不按指定时间、路线学习驾车。</w:t>
            </w:r>
          </w:p>
        </w:tc>
      </w:tr>
      <w:tr>
        <w:trPr>
          <w:trHeight w:val="487" w:hRule="atLeast"/>
        </w:trPr>
        <w:tc>
          <w:tcPr>
            <w:tcW w:w="2368" w:type="dxa"/>
          </w:tcPr>
          <w:p>
            <w:pPr>
              <w:pStyle w:val="TableParagraph"/>
              <w:tabs>
                <w:tab w:pos="881" w:val="left" w:leader="none"/>
              </w:tabs>
              <w:spacing w:before="154"/>
              <w:ind w:left="200"/>
              <w:rPr>
                <w:b/>
                <w:sz w:val="21"/>
              </w:rPr>
            </w:pPr>
            <w:r>
              <w:rPr>
                <w:b/>
                <w:sz w:val="21"/>
              </w:rPr>
              <w:t>7.7</w:t>
              <w:tab/>
            </w:r>
            <w:r>
              <w:rPr>
                <w:b/>
                <w:w w:val="95"/>
                <w:sz w:val="21"/>
              </w:rPr>
              <w:t>无有效行驶证</w:t>
            </w:r>
          </w:p>
        </w:tc>
        <w:tc>
          <w:tcPr>
            <w:tcW w:w="7857" w:type="dxa"/>
          </w:tcPr>
          <w:p>
            <w:pPr>
              <w:pStyle w:val="TableParagraph"/>
              <w:spacing w:before="9"/>
              <w:rPr>
                <w:sz w:val="13"/>
              </w:rPr>
            </w:pPr>
          </w:p>
          <w:p>
            <w:pPr>
              <w:pStyle w:val="TableParagraph"/>
              <w:ind w:left="222"/>
              <w:rPr>
                <w:sz w:val="18"/>
              </w:rPr>
            </w:pPr>
            <w:r>
              <w:rPr>
                <w:sz w:val="18"/>
              </w:rPr>
              <w:t>指下列情形之一：</w:t>
            </w:r>
          </w:p>
        </w:tc>
      </w:tr>
      <w:tr>
        <w:trPr>
          <w:trHeight w:val="284" w:hRule="atLeast"/>
        </w:trPr>
        <w:tc>
          <w:tcPr>
            <w:tcW w:w="2368" w:type="dxa"/>
          </w:tcPr>
          <w:p>
            <w:pPr>
              <w:pStyle w:val="TableParagraph"/>
              <w:rPr>
                <w:rFonts w:ascii="Times New Roman"/>
                <w:sz w:val="18"/>
              </w:rPr>
            </w:pPr>
          </w:p>
        </w:tc>
        <w:tc>
          <w:tcPr>
            <w:tcW w:w="7857" w:type="dxa"/>
          </w:tcPr>
          <w:p>
            <w:pPr>
              <w:pStyle w:val="TableParagraph"/>
              <w:spacing w:before="3"/>
              <w:ind w:left="222"/>
              <w:rPr>
                <w:sz w:val="18"/>
              </w:rPr>
            </w:pPr>
            <w:r>
              <w:rPr>
                <w:sz w:val="18"/>
              </w:rPr>
              <w:t>（1）机动车被依法注销登记的；</w:t>
            </w:r>
          </w:p>
        </w:tc>
      </w:tr>
      <w:tr>
        <w:trPr>
          <w:trHeight w:val="420" w:hRule="atLeast"/>
        </w:trPr>
        <w:tc>
          <w:tcPr>
            <w:tcW w:w="2368" w:type="dxa"/>
          </w:tcPr>
          <w:p>
            <w:pPr>
              <w:pStyle w:val="TableParagraph"/>
              <w:rPr>
                <w:rFonts w:ascii="Times New Roman"/>
                <w:sz w:val="18"/>
              </w:rPr>
            </w:pPr>
          </w:p>
        </w:tc>
        <w:tc>
          <w:tcPr>
            <w:tcW w:w="7857" w:type="dxa"/>
          </w:tcPr>
          <w:p>
            <w:pPr>
              <w:pStyle w:val="TableParagraph"/>
              <w:spacing w:line="226" w:lineRule="exact"/>
              <w:ind w:left="222"/>
              <w:rPr>
                <w:sz w:val="18"/>
              </w:rPr>
            </w:pPr>
            <w:r>
              <w:rPr>
                <w:sz w:val="18"/>
              </w:rPr>
              <w:t>（2）未依法按时进行或通过机动车安全技术检验。</w:t>
            </w:r>
          </w:p>
        </w:tc>
      </w:tr>
      <w:tr>
        <w:trPr>
          <w:trHeight w:val="612" w:hRule="atLeast"/>
        </w:trPr>
        <w:tc>
          <w:tcPr>
            <w:tcW w:w="2368" w:type="dxa"/>
          </w:tcPr>
          <w:p>
            <w:pPr>
              <w:pStyle w:val="TableParagraph"/>
              <w:tabs>
                <w:tab w:pos="881" w:val="left" w:leader="none"/>
              </w:tabs>
              <w:spacing w:before="130"/>
              <w:ind w:left="200"/>
              <w:rPr>
                <w:b/>
                <w:sz w:val="21"/>
              </w:rPr>
            </w:pPr>
            <w:r>
              <w:rPr>
                <w:b/>
                <w:sz w:val="21"/>
              </w:rPr>
              <w:t>7.8</w:t>
              <w:tab/>
              <w:t>艾滋病</w:t>
            </w:r>
          </w:p>
        </w:tc>
        <w:tc>
          <w:tcPr>
            <w:tcW w:w="7857" w:type="dxa"/>
          </w:tcPr>
          <w:p>
            <w:pPr>
              <w:pStyle w:val="TableParagraph"/>
              <w:spacing w:before="156"/>
              <w:ind w:left="222"/>
              <w:rPr>
                <w:sz w:val="18"/>
              </w:rPr>
            </w:pPr>
            <w:r>
              <w:rPr>
                <w:sz w:val="18"/>
              </w:rPr>
              <w:t>获得性免疫力缺乏综合征（AIDS）的简称。</w:t>
            </w:r>
          </w:p>
        </w:tc>
      </w:tr>
      <w:tr>
        <w:trPr>
          <w:trHeight w:val="1241" w:hRule="atLeast"/>
        </w:trPr>
        <w:tc>
          <w:tcPr>
            <w:tcW w:w="2368" w:type="dxa"/>
          </w:tcPr>
          <w:p>
            <w:pPr>
              <w:pStyle w:val="TableParagraph"/>
              <w:tabs>
                <w:tab w:pos="880" w:val="left" w:leader="none"/>
              </w:tabs>
              <w:spacing w:before="142"/>
              <w:ind w:left="200"/>
              <w:rPr>
                <w:b/>
                <w:sz w:val="21"/>
              </w:rPr>
            </w:pPr>
            <w:r>
              <w:rPr>
                <w:b/>
                <w:sz w:val="21"/>
              </w:rPr>
              <w:t>7.9</w:t>
              <w:tab/>
            </w:r>
            <w:r>
              <w:rPr>
                <w:b/>
                <w:w w:val="95"/>
                <w:sz w:val="21"/>
              </w:rPr>
              <w:t>艾滋病病毒</w:t>
            </w:r>
          </w:p>
        </w:tc>
        <w:tc>
          <w:tcPr>
            <w:tcW w:w="7857" w:type="dxa"/>
          </w:tcPr>
          <w:p>
            <w:pPr>
              <w:pStyle w:val="TableParagraph"/>
              <w:spacing w:before="10"/>
              <w:rPr>
                <w:sz w:val="12"/>
              </w:rPr>
            </w:pPr>
          </w:p>
          <w:p>
            <w:pPr>
              <w:pStyle w:val="TableParagraph"/>
              <w:spacing w:line="316" w:lineRule="auto"/>
              <w:ind w:left="222" w:right="259"/>
              <w:jc w:val="both"/>
              <w:rPr>
                <w:sz w:val="18"/>
              </w:rPr>
            </w:pPr>
            <w:r>
              <w:rPr>
                <w:sz w:val="18"/>
              </w:rPr>
              <w:t>获得性免疫力缺乏综合征病毒（HIV）的简称。获得性免疫力缺乏综合征的定义应按世界卫生</w:t>
            </w:r>
            <w:r>
              <w:rPr>
                <w:spacing w:val="-2"/>
                <w:sz w:val="18"/>
              </w:rPr>
              <w:t>组织制定的定义为准，如在血液样本中发现获得性免疫力缺乏综合征病毒或其抗体，则可认定为感染艾滋病或艾滋病病毒。</w:t>
            </w:r>
          </w:p>
        </w:tc>
      </w:tr>
      <w:tr>
        <w:trPr>
          <w:trHeight w:val="936" w:hRule="atLeast"/>
        </w:trPr>
        <w:tc>
          <w:tcPr>
            <w:tcW w:w="2368" w:type="dxa"/>
          </w:tcPr>
          <w:p>
            <w:pPr>
              <w:pStyle w:val="TableParagraph"/>
              <w:tabs>
                <w:tab w:pos="881" w:val="left" w:leader="none"/>
              </w:tabs>
              <w:spacing w:before="149"/>
              <w:ind w:left="200"/>
              <w:rPr>
                <w:b/>
                <w:sz w:val="21"/>
              </w:rPr>
            </w:pPr>
            <w:r>
              <w:rPr>
                <w:b/>
                <w:sz w:val="21"/>
              </w:rPr>
              <w:t>7.10</w:t>
              <w:tab/>
            </w:r>
            <w:r>
              <w:rPr>
                <w:b/>
                <w:w w:val="95"/>
                <w:sz w:val="21"/>
              </w:rPr>
              <w:t>遗传性疾病</w:t>
            </w:r>
          </w:p>
        </w:tc>
        <w:tc>
          <w:tcPr>
            <w:tcW w:w="7857" w:type="dxa"/>
          </w:tcPr>
          <w:p>
            <w:pPr>
              <w:pStyle w:val="TableParagraph"/>
              <w:spacing w:before="4"/>
              <w:rPr>
                <w:sz w:val="13"/>
              </w:rPr>
            </w:pPr>
          </w:p>
          <w:p>
            <w:pPr>
              <w:pStyle w:val="TableParagraph"/>
              <w:spacing w:line="316" w:lineRule="auto"/>
              <w:ind w:left="222" w:right="216"/>
              <w:rPr>
                <w:sz w:val="18"/>
              </w:rPr>
            </w:pPr>
            <w:r>
              <w:rPr>
                <w:sz w:val="18"/>
              </w:rPr>
              <w:t>指生殖细胞或受精卵的遗传物质（染色体和基因）发生突变或畸变所引起的疾病，通常具有由亲代传至后代的垂直传递的特征。</w:t>
            </w:r>
          </w:p>
        </w:tc>
      </w:tr>
      <w:tr>
        <w:trPr>
          <w:trHeight w:val="462" w:hRule="atLeast"/>
        </w:trPr>
        <w:tc>
          <w:tcPr>
            <w:tcW w:w="2368" w:type="dxa"/>
          </w:tcPr>
          <w:p>
            <w:pPr>
              <w:pStyle w:val="TableParagraph"/>
              <w:tabs>
                <w:tab w:pos="681" w:val="left" w:leader="none"/>
              </w:tabs>
              <w:spacing w:before="149"/>
              <w:ind w:right="-15"/>
              <w:jc w:val="right"/>
              <w:rPr>
                <w:b/>
                <w:sz w:val="21"/>
              </w:rPr>
            </w:pPr>
            <w:r>
              <w:rPr>
                <w:b/>
                <w:sz w:val="21"/>
              </w:rPr>
              <w:t>7.11</w:t>
              <w:tab/>
              <w:t>先天性畸形、变</w:t>
            </w:r>
          </w:p>
        </w:tc>
        <w:tc>
          <w:tcPr>
            <w:tcW w:w="7857" w:type="dxa"/>
          </w:tcPr>
          <w:p>
            <w:pPr>
              <w:pStyle w:val="TableParagraph"/>
              <w:spacing w:before="4"/>
              <w:rPr>
                <w:sz w:val="13"/>
              </w:rPr>
            </w:pPr>
          </w:p>
          <w:p>
            <w:pPr>
              <w:pStyle w:val="TableParagraph"/>
              <w:ind w:left="222"/>
              <w:rPr>
                <w:sz w:val="18"/>
              </w:rPr>
            </w:pPr>
            <w:r>
              <w:rPr>
                <w:sz w:val="18"/>
              </w:rPr>
              <w:t>指被保险人出生时就具有的畸形、变形或染色体异常。</w:t>
            </w:r>
          </w:p>
        </w:tc>
      </w:tr>
      <w:tr>
        <w:trPr>
          <w:trHeight w:val="646" w:hRule="atLeast"/>
        </w:trPr>
        <w:tc>
          <w:tcPr>
            <w:tcW w:w="2368" w:type="dxa"/>
          </w:tcPr>
          <w:p>
            <w:pPr>
              <w:pStyle w:val="TableParagraph"/>
              <w:spacing w:line="273" w:lineRule="exact"/>
              <w:ind w:right="8"/>
              <w:jc w:val="right"/>
              <w:rPr>
                <w:b/>
                <w:sz w:val="21"/>
              </w:rPr>
            </w:pPr>
            <w:r>
              <w:rPr>
                <w:b/>
                <w:w w:val="95"/>
                <w:sz w:val="21"/>
              </w:rPr>
              <w:t>形或染色体异常</w:t>
            </w:r>
          </w:p>
        </w:tc>
        <w:tc>
          <w:tcPr>
            <w:tcW w:w="7857" w:type="dxa"/>
          </w:tcPr>
          <w:p>
            <w:pPr>
              <w:pStyle w:val="TableParagraph"/>
              <w:spacing w:line="217" w:lineRule="exact"/>
              <w:ind w:left="222"/>
              <w:rPr>
                <w:sz w:val="18"/>
              </w:rPr>
            </w:pPr>
            <w:r>
              <w:rPr>
                <w:sz w:val="18"/>
              </w:rPr>
              <w:t>先天性畸形、变形和染色体异常依照世界卫生组织《疾病和有关健康问题的国际统计分类》</w:t>
            </w:r>
          </w:p>
          <w:p>
            <w:pPr>
              <w:pStyle w:val="TableParagraph"/>
              <w:spacing w:line="234" w:lineRule="exact"/>
              <w:ind w:left="222"/>
              <w:rPr>
                <w:sz w:val="18"/>
              </w:rPr>
            </w:pPr>
            <w:r>
              <w:rPr>
                <w:sz w:val="18"/>
              </w:rPr>
              <w:t>（ICD-10）确定。</w:t>
            </w:r>
          </w:p>
        </w:tc>
      </w:tr>
      <w:tr>
        <w:trPr>
          <w:trHeight w:val="906" w:hRule="atLeast"/>
        </w:trPr>
        <w:tc>
          <w:tcPr>
            <w:tcW w:w="2368" w:type="dxa"/>
          </w:tcPr>
          <w:p>
            <w:pPr>
              <w:pStyle w:val="TableParagraph"/>
              <w:tabs>
                <w:tab w:pos="881" w:val="left" w:leader="none"/>
              </w:tabs>
              <w:spacing w:before="130"/>
              <w:ind w:left="200"/>
              <w:rPr>
                <w:b/>
                <w:sz w:val="21"/>
              </w:rPr>
            </w:pPr>
            <w:r>
              <w:rPr>
                <w:b/>
                <w:sz w:val="21"/>
              </w:rPr>
              <w:t>7.12</w:t>
              <w:tab/>
              <w:t>现金价值</w:t>
            </w:r>
          </w:p>
        </w:tc>
        <w:tc>
          <w:tcPr>
            <w:tcW w:w="7857" w:type="dxa"/>
          </w:tcPr>
          <w:p>
            <w:pPr>
              <w:pStyle w:val="TableParagraph"/>
              <w:spacing w:line="316" w:lineRule="auto" w:before="156"/>
              <w:ind w:left="222" w:right="227"/>
              <w:rPr>
                <w:sz w:val="18"/>
              </w:rPr>
            </w:pPr>
            <w:r>
              <w:rPr>
                <w:sz w:val="18"/>
              </w:rPr>
              <w:t>指保险单所具有的价值，通常体现为解除合同时，根据精算原理计算的，由本公司退还的那部分金额。</w:t>
            </w:r>
          </w:p>
        </w:tc>
      </w:tr>
      <w:tr>
        <w:trPr>
          <w:trHeight w:val="811" w:hRule="atLeast"/>
        </w:trPr>
        <w:tc>
          <w:tcPr>
            <w:tcW w:w="2368" w:type="dxa"/>
          </w:tcPr>
          <w:p>
            <w:pPr>
              <w:pStyle w:val="TableParagraph"/>
              <w:tabs>
                <w:tab w:pos="881" w:val="left" w:leader="none"/>
              </w:tabs>
              <w:spacing w:before="162"/>
              <w:ind w:left="200"/>
              <w:rPr>
                <w:b/>
                <w:sz w:val="21"/>
              </w:rPr>
            </w:pPr>
            <w:r>
              <w:rPr>
                <w:b/>
                <w:sz w:val="21"/>
              </w:rPr>
              <w:t>7.13</w:t>
              <w:tab/>
            </w:r>
            <w:r>
              <w:rPr>
                <w:b/>
                <w:w w:val="95"/>
                <w:sz w:val="21"/>
              </w:rPr>
              <w:t>有效身份证件</w:t>
            </w:r>
          </w:p>
        </w:tc>
        <w:tc>
          <w:tcPr>
            <w:tcW w:w="7857" w:type="dxa"/>
          </w:tcPr>
          <w:p>
            <w:pPr>
              <w:pStyle w:val="TableParagraph"/>
              <w:spacing w:before="147"/>
              <w:ind w:left="222" w:right="248"/>
              <w:rPr>
                <w:sz w:val="18"/>
              </w:rPr>
            </w:pPr>
            <w:r>
              <w:rPr>
                <w:sz w:val="18"/>
              </w:rPr>
              <w:t>指由政府主管部门规定的证明其身份的证件，如：居民身份证、按规定可使用的有效护照、军官证、警官证、士兵证、户口簿等证件。</w:t>
            </w:r>
          </w:p>
        </w:tc>
      </w:tr>
      <w:tr>
        <w:trPr>
          <w:trHeight w:val="952" w:hRule="atLeast"/>
        </w:trPr>
        <w:tc>
          <w:tcPr>
            <w:tcW w:w="2368" w:type="dxa"/>
          </w:tcPr>
          <w:p>
            <w:pPr>
              <w:pStyle w:val="TableParagraph"/>
              <w:tabs>
                <w:tab w:pos="881" w:val="left" w:leader="none"/>
              </w:tabs>
              <w:spacing w:before="130"/>
              <w:ind w:left="200"/>
              <w:rPr>
                <w:b/>
                <w:sz w:val="21"/>
              </w:rPr>
            </w:pPr>
            <w:r>
              <w:rPr>
                <w:b/>
                <w:sz w:val="21"/>
              </w:rPr>
              <w:t>7.14</w:t>
              <w:tab/>
              <w:t>专科医生</w:t>
            </w:r>
          </w:p>
        </w:tc>
        <w:tc>
          <w:tcPr>
            <w:tcW w:w="7857" w:type="dxa"/>
          </w:tcPr>
          <w:p>
            <w:pPr>
              <w:pStyle w:val="TableParagraph"/>
              <w:spacing w:line="316" w:lineRule="auto" w:before="155"/>
              <w:ind w:left="222" w:right="217"/>
              <w:rPr>
                <w:sz w:val="18"/>
              </w:rPr>
            </w:pPr>
            <w:r>
              <w:rPr>
                <w:sz w:val="18"/>
              </w:rPr>
              <w:t>指取得中华人民共和国医师资格证书和医师执业证书，并在二级或二级以上医院从业的临床专科医务人员。</w:t>
            </w:r>
          </w:p>
        </w:tc>
      </w:tr>
      <w:tr>
        <w:trPr>
          <w:trHeight w:val="971" w:hRule="atLeast"/>
        </w:trPr>
        <w:tc>
          <w:tcPr>
            <w:tcW w:w="2368" w:type="dxa"/>
          </w:tcPr>
          <w:p>
            <w:pPr>
              <w:pStyle w:val="TableParagraph"/>
              <w:spacing w:before="1"/>
              <w:rPr>
                <w:sz w:val="14"/>
              </w:rPr>
            </w:pPr>
          </w:p>
          <w:p>
            <w:pPr>
              <w:pStyle w:val="TableParagraph"/>
              <w:tabs>
                <w:tab w:pos="881" w:val="left" w:leader="none"/>
              </w:tabs>
              <w:ind w:left="200"/>
              <w:rPr>
                <w:b/>
                <w:sz w:val="21"/>
              </w:rPr>
            </w:pPr>
            <w:r>
              <w:rPr>
                <w:b/>
                <w:sz w:val="21"/>
              </w:rPr>
              <w:t>7.15</w:t>
              <w:tab/>
              <w:t>意外伤害</w:t>
            </w:r>
          </w:p>
        </w:tc>
        <w:tc>
          <w:tcPr>
            <w:tcW w:w="7857" w:type="dxa"/>
          </w:tcPr>
          <w:p>
            <w:pPr>
              <w:pStyle w:val="TableParagraph"/>
              <w:rPr>
                <w:sz w:val="16"/>
              </w:rPr>
            </w:pPr>
          </w:p>
          <w:p>
            <w:pPr>
              <w:pStyle w:val="TableParagraph"/>
              <w:spacing w:line="316" w:lineRule="auto"/>
              <w:ind w:left="222" w:right="259"/>
              <w:rPr>
                <w:sz w:val="18"/>
              </w:rPr>
            </w:pPr>
            <w:r>
              <w:rPr>
                <w:sz w:val="18"/>
              </w:rPr>
              <w:t>指因遭受</w:t>
            </w:r>
            <w:r>
              <w:rPr>
                <w:b/>
                <w:spacing w:val="-3"/>
                <w:sz w:val="18"/>
              </w:rPr>
              <w:t>意外事故</w:t>
            </w:r>
            <w:r>
              <w:rPr>
                <w:sz w:val="18"/>
              </w:rPr>
              <w:t>（</w:t>
            </w:r>
            <w:r>
              <w:rPr>
                <w:spacing w:val="-23"/>
                <w:sz w:val="18"/>
              </w:rPr>
              <w:t>见 </w:t>
            </w:r>
            <w:r>
              <w:rPr>
                <w:spacing w:val="-3"/>
                <w:sz w:val="18"/>
              </w:rPr>
              <w:t>7.16）</w:t>
            </w:r>
            <w:r>
              <w:rPr>
                <w:spacing w:val="-1"/>
                <w:sz w:val="18"/>
              </w:rPr>
              <w:t>并以此为直接且单独原因导致的身体伤害</w:t>
            </w:r>
            <w:r>
              <w:rPr>
                <w:sz w:val="18"/>
              </w:rPr>
              <w:t>（</w:t>
            </w:r>
            <w:r>
              <w:rPr>
                <w:spacing w:val="-4"/>
                <w:sz w:val="18"/>
              </w:rPr>
              <w:t>包括残疾、身故、烧伤、重要器官切除</w:t>
            </w:r>
            <w:r>
              <w:rPr>
                <w:spacing w:val="-90"/>
                <w:sz w:val="18"/>
              </w:rPr>
              <w:t>）</w:t>
            </w:r>
            <w:r>
              <w:rPr>
                <w:sz w:val="18"/>
              </w:rPr>
              <w:t>。</w:t>
            </w:r>
          </w:p>
        </w:tc>
      </w:tr>
      <w:tr>
        <w:trPr>
          <w:trHeight w:val="423" w:hRule="atLeast"/>
        </w:trPr>
        <w:tc>
          <w:tcPr>
            <w:tcW w:w="2368" w:type="dxa"/>
          </w:tcPr>
          <w:p>
            <w:pPr>
              <w:pStyle w:val="TableParagraph"/>
              <w:tabs>
                <w:tab w:pos="881" w:val="left" w:leader="none"/>
              </w:tabs>
              <w:spacing w:line="255" w:lineRule="exact" w:before="149"/>
              <w:ind w:left="200"/>
              <w:rPr>
                <w:b/>
                <w:sz w:val="21"/>
              </w:rPr>
            </w:pPr>
            <w:r>
              <w:rPr>
                <w:b/>
                <w:sz w:val="21"/>
              </w:rPr>
              <w:t>7.16</w:t>
              <w:tab/>
              <w:t>意外事故</w:t>
            </w:r>
          </w:p>
        </w:tc>
        <w:tc>
          <w:tcPr>
            <w:tcW w:w="7857" w:type="dxa"/>
          </w:tcPr>
          <w:p>
            <w:pPr>
              <w:pStyle w:val="TableParagraph"/>
              <w:spacing w:before="4"/>
              <w:rPr>
                <w:sz w:val="13"/>
              </w:rPr>
            </w:pPr>
          </w:p>
          <w:p>
            <w:pPr>
              <w:pStyle w:val="TableParagraph"/>
              <w:spacing w:line="229" w:lineRule="exact"/>
              <w:ind w:left="222"/>
              <w:rPr>
                <w:sz w:val="18"/>
              </w:rPr>
            </w:pPr>
            <w:r>
              <w:rPr>
                <w:sz w:val="18"/>
              </w:rPr>
              <w:t>指外来的、非本意的、突然的、剧烈的、非疾病的使被保险人身体受到剧烈伤害的客观事件。</w:t>
            </w:r>
          </w:p>
        </w:tc>
      </w:tr>
    </w:tbl>
    <w:sectPr>
      <w:pgSz w:w="11910" w:h="16840"/>
      <w:pgMar w:header="877" w:footer="981" w:top="1100" w:bottom="1180" w:left="8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Gothic">
    <w:altName w:val="MS Gothic"/>
    <w:charset w:val="0"/>
    <w:family w:val="modern"/>
    <w:pitch w:val="fixed"/>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6997pt;margin-top:781.956604pt;width:28.95pt;height:12pt;mso-position-horizontal-relative:page;mso-position-vertical-relative:page;z-index:-28480"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55pt;height:11pt;mso-position-horizontal-relative:page;mso-position-vertical-relative:page;z-index:-28528" type="#_x0000_t202" filled="false" stroked="false">
          <v:textbox inset="0,0,0,0">
            <w:txbxContent>
              <w:p>
                <w:pPr>
                  <w:pStyle w:val="BodyText"/>
                  <w:spacing w:line="200" w:lineRule="exact"/>
                  <w:ind w:left="20"/>
                </w:pPr>
                <w:r>
                  <w:rPr/>
                  <w:t>民生关爱小公民团体重大疾病保险条款</w:t>
                </w:r>
              </w:p>
            </w:txbxContent>
          </v:textbox>
          <w10:wrap type="none"/>
        </v:shape>
      </w:pict>
    </w:r>
    <w:r>
      <w:rPr/>
      <w:pict>
        <v:shape style="position:absolute;margin-left:428.720001pt;margin-top:42.865326pt;width:110pt;height:11pt;mso-position-horizontal-relative:page;mso-position-vertical-relative:page;z-index:-2850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456" from="63.720001pt,55.619999pt" to="543.000001pt,55.619999pt" stroked="true" strokeweight=".72pt" strokecolor="#000000">
          <v:stroke dashstyle="solid"/>
          <w10:wrap type="none"/>
        </v:line>
      </w:pict>
    </w:r>
    <w:r>
      <w:rPr/>
      <w:pict>
        <v:shape style="position:absolute;margin-left:64.220001pt;margin-top:42.865326pt;width:155pt;height:11pt;mso-position-horizontal-relative:page;mso-position-vertical-relative:page;z-index:-28432" type="#_x0000_t202" filled="false" stroked="false">
          <v:textbox inset="0,0,0,0">
            <w:txbxContent>
              <w:p>
                <w:pPr>
                  <w:pStyle w:val="BodyText"/>
                  <w:spacing w:line="200" w:lineRule="exact"/>
                  <w:ind w:left="20"/>
                </w:pPr>
                <w:r>
                  <w:rPr/>
                  <w:t>民生关爱小公民团体重大疾病保险条款</w:t>
                </w:r>
              </w:p>
            </w:txbxContent>
          </v:textbox>
          <w10:wrap type="none"/>
        </v:shape>
      </w:pict>
    </w:r>
    <w:r>
      <w:rPr/>
      <w:pict>
        <v:shape style="position:absolute;margin-left:428.720001pt;margin-top:42.865326pt;width:110pt;height:11pt;mso-position-horizontal-relative:page;mso-position-vertical-relative:page;z-index:-2840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2.865326pt;width:155pt;height:11pt;mso-position-horizontal-relative:page;mso-position-vertical-relative:page;z-index:-28384" type="#_x0000_t202" filled="false" stroked="false">
          <v:textbox inset="0,0,0,0">
            <w:txbxContent>
              <w:p>
                <w:pPr>
                  <w:pStyle w:val="BodyText"/>
                  <w:spacing w:line="200" w:lineRule="exact"/>
                  <w:ind w:left="20"/>
                </w:pPr>
                <w:r>
                  <w:rPr/>
                  <w:t>民生关爱小公民团体重大疾病保险条款</w:t>
                </w:r>
              </w:p>
            </w:txbxContent>
          </v:textbox>
          <w10:wrap type="none"/>
        </v:shape>
      </w:pict>
    </w:r>
    <w:r>
      <w:rPr/>
      <w:pict>
        <v:shape style="position:absolute;margin-left:428.720001pt;margin-top:42.865326pt;width:110pt;height:11pt;mso-position-horizontal-relative:page;mso-position-vertical-relative:page;z-index:-2836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336" from="63.720001pt,55.619999pt" to="543.000001pt,55.619999pt" stroked="true" strokeweight=".72pt" strokecolor="#000000">
          <v:stroke dashstyle="solid"/>
          <w10:wrap type="none"/>
        </v:line>
      </w:pict>
    </w:r>
    <w:r>
      <w:rPr/>
      <w:pict>
        <v:shape style="position:absolute;margin-left:64.220001pt;margin-top:42.865326pt;width:155pt;height:11pt;mso-position-horizontal-relative:page;mso-position-vertical-relative:page;z-index:-28312" type="#_x0000_t202" filled="false" stroked="false">
          <v:textbox inset="0,0,0,0">
            <w:txbxContent>
              <w:p>
                <w:pPr>
                  <w:pStyle w:val="BodyText"/>
                  <w:spacing w:line="200" w:lineRule="exact"/>
                  <w:ind w:left="20"/>
                </w:pPr>
                <w:r>
                  <w:rPr/>
                  <w:t>民生关爱小公民团体重大疾病保险条款</w:t>
                </w:r>
              </w:p>
            </w:txbxContent>
          </v:textbox>
          <w10:wrap type="none"/>
        </v:shape>
      </w:pict>
    </w:r>
    <w:r>
      <w:rPr/>
      <w:pict>
        <v:shape style="position:absolute;margin-left:428.720001pt;margin-top:42.865326pt;width:110pt;height:11pt;mso-position-horizontal-relative:page;mso-position-vertical-relative:page;z-index:-2828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899" w:hanging="421"/>
        <w:jc w:val="left"/>
      </w:pPr>
      <w:rPr>
        <w:rFonts w:hint="default"/>
      </w:rPr>
    </w:lvl>
    <w:lvl w:ilvl="1">
      <w:start w:val="1"/>
      <w:numFmt w:val="decimal"/>
      <w:lvlText w:val="%1.%2"/>
      <w:lvlJc w:val="left"/>
      <w:pPr>
        <w:ind w:left="1005" w:hanging="421"/>
        <w:jc w:val="left"/>
      </w:pPr>
      <w:rPr>
        <w:rFonts w:hint="default" w:ascii="宋体" w:hAnsi="宋体" w:eastAsia="宋体" w:cs="宋体"/>
        <w:spacing w:val="-2"/>
        <w:w w:val="100"/>
        <w:sz w:val="21"/>
        <w:szCs w:val="21"/>
      </w:rPr>
    </w:lvl>
    <w:lvl w:ilvl="2">
      <w:start w:val="0"/>
      <w:numFmt w:val="bullet"/>
      <w:lvlText w:val="•"/>
      <w:lvlJc w:val="left"/>
      <w:pPr>
        <w:ind w:left="1284" w:hanging="421"/>
      </w:pPr>
      <w:rPr>
        <w:rFonts w:hint="default"/>
      </w:rPr>
    </w:lvl>
    <w:lvl w:ilvl="3">
      <w:start w:val="0"/>
      <w:numFmt w:val="bullet"/>
      <w:lvlText w:val="•"/>
      <w:lvlJc w:val="left"/>
      <w:pPr>
        <w:ind w:left="1569" w:hanging="421"/>
      </w:pPr>
      <w:rPr>
        <w:rFonts w:hint="default"/>
      </w:rPr>
    </w:lvl>
    <w:lvl w:ilvl="4">
      <w:start w:val="0"/>
      <w:numFmt w:val="bullet"/>
      <w:lvlText w:val="•"/>
      <w:lvlJc w:val="left"/>
      <w:pPr>
        <w:ind w:left="1854" w:hanging="421"/>
      </w:pPr>
      <w:rPr>
        <w:rFonts w:hint="default"/>
      </w:rPr>
    </w:lvl>
    <w:lvl w:ilvl="5">
      <w:start w:val="0"/>
      <w:numFmt w:val="bullet"/>
      <w:lvlText w:val="•"/>
      <w:lvlJc w:val="left"/>
      <w:pPr>
        <w:ind w:left="2139" w:hanging="421"/>
      </w:pPr>
      <w:rPr>
        <w:rFonts w:hint="default"/>
      </w:rPr>
    </w:lvl>
    <w:lvl w:ilvl="6">
      <w:start w:val="0"/>
      <w:numFmt w:val="bullet"/>
      <w:lvlText w:val="•"/>
      <w:lvlJc w:val="left"/>
      <w:pPr>
        <w:ind w:left="2424" w:hanging="421"/>
      </w:pPr>
      <w:rPr>
        <w:rFonts w:hint="default"/>
      </w:rPr>
    </w:lvl>
    <w:lvl w:ilvl="7">
      <w:start w:val="0"/>
      <w:numFmt w:val="bullet"/>
      <w:lvlText w:val="•"/>
      <w:lvlJc w:val="left"/>
      <w:pPr>
        <w:ind w:left="2709" w:hanging="421"/>
      </w:pPr>
      <w:rPr>
        <w:rFonts w:hint="default"/>
      </w:rPr>
    </w:lvl>
    <w:lvl w:ilvl="8">
      <w:start w:val="0"/>
      <w:numFmt w:val="bullet"/>
      <w:lvlText w:val="•"/>
      <w:lvlJc w:val="left"/>
      <w:pPr>
        <w:ind w:left="2994" w:hanging="421"/>
      </w:pPr>
      <w:rPr>
        <w:rFonts w:hint="default"/>
      </w:rPr>
    </w:lvl>
  </w:abstractNum>
  <w:abstractNum w:abstractNumId="4">
    <w:multiLevelType w:val="hybridMultilevel"/>
    <w:lvl w:ilvl="0">
      <w:start w:val="6"/>
      <w:numFmt w:val="decimal"/>
      <w:lvlText w:val="%1"/>
      <w:lvlJc w:val="left"/>
      <w:pPr>
        <w:ind w:left="800" w:hanging="421"/>
        <w:jc w:val="left"/>
      </w:pPr>
      <w:rPr>
        <w:rFonts w:hint="default"/>
      </w:rPr>
    </w:lvl>
    <w:lvl w:ilvl="1">
      <w:start w:val="1"/>
      <w:numFmt w:val="decimal"/>
      <w:lvlText w:val="%1.%2"/>
      <w:lvlJc w:val="left"/>
      <w:pPr>
        <w:ind w:left="800" w:hanging="421"/>
        <w:jc w:val="left"/>
      </w:pPr>
      <w:rPr>
        <w:rFonts w:hint="default" w:ascii="宋体" w:hAnsi="宋体" w:eastAsia="宋体" w:cs="宋体"/>
        <w:spacing w:val="-2"/>
        <w:w w:val="100"/>
        <w:sz w:val="21"/>
        <w:szCs w:val="21"/>
      </w:rPr>
    </w:lvl>
    <w:lvl w:ilvl="2">
      <w:start w:val="0"/>
      <w:numFmt w:val="bullet"/>
      <w:lvlText w:val="•"/>
      <w:lvlJc w:val="left"/>
      <w:pPr>
        <w:ind w:left="1262" w:hanging="421"/>
      </w:pPr>
      <w:rPr>
        <w:rFonts w:hint="default"/>
      </w:rPr>
    </w:lvl>
    <w:lvl w:ilvl="3">
      <w:start w:val="0"/>
      <w:numFmt w:val="bullet"/>
      <w:lvlText w:val="•"/>
      <w:lvlJc w:val="left"/>
      <w:pPr>
        <w:ind w:left="1493" w:hanging="421"/>
      </w:pPr>
      <w:rPr>
        <w:rFonts w:hint="default"/>
      </w:rPr>
    </w:lvl>
    <w:lvl w:ilvl="4">
      <w:start w:val="0"/>
      <w:numFmt w:val="bullet"/>
      <w:lvlText w:val="•"/>
      <w:lvlJc w:val="left"/>
      <w:pPr>
        <w:ind w:left="1724" w:hanging="421"/>
      </w:pPr>
      <w:rPr>
        <w:rFonts w:hint="default"/>
      </w:rPr>
    </w:lvl>
    <w:lvl w:ilvl="5">
      <w:start w:val="0"/>
      <w:numFmt w:val="bullet"/>
      <w:lvlText w:val="•"/>
      <w:lvlJc w:val="left"/>
      <w:pPr>
        <w:ind w:left="1955" w:hanging="421"/>
      </w:pPr>
      <w:rPr>
        <w:rFonts w:hint="default"/>
      </w:rPr>
    </w:lvl>
    <w:lvl w:ilvl="6">
      <w:start w:val="0"/>
      <w:numFmt w:val="bullet"/>
      <w:lvlText w:val="•"/>
      <w:lvlJc w:val="left"/>
      <w:pPr>
        <w:ind w:left="2186" w:hanging="421"/>
      </w:pPr>
      <w:rPr>
        <w:rFonts w:hint="default"/>
      </w:rPr>
    </w:lvl>
    <w:lvl w:ilvl="7">
      <w:start w:val="0"/>
      <w:numFmt w:val="bullet"/>
      <w:lvlText w:val="•"/>
      <w:lvlJc w:val="left"/>
      <w:pPr>
        <w:ind w:left="2417" w:hanging="421"/>
      </w:pPr>
      <w:rPr>
        <w:rFonts w:hint="default"/>
      </w:rPr>
    </w:lvl>
    <w:lvl w:ilvl="8">
      <w:start w:val="0"/>
      <w:numFmt w:val="bullet"/>
      <w:lvlText w:val="•"/>
      <w:lvlJc w:val="left"/>
      <w:pPr>
        <w:ind w:left="2648" w:hanging="421"/>
      </w:pPr>
      <w:rPr>
        <w:rFonts w:hint="default"/>
      </w:rPr>
    </w:lvl>
  </w:abstractNum>
  <w:abstractNum w:abstractNumId="3">
    <w:multiLevelType w:val="hybridMultilevel"/>
    <w:lvl w:ilvl="0">
      <w:start w:val="3"/>
      <w:numFmt w:val="decimal"/>
      <w:lvlText w:val="%1"/>
      <w:lvlJc w:val="left"/>
      <w:pPr>
        <w:ind w:left="1220" w:hanging="421"/>
        <w:jc w:val="left"/>
      </w:pPr>
      <w:rPr>
        <w:rFonts w:hint="default"/>
      </w:rPr>
    </w:lvl>
    <w:lvl w:ilvl="1">
      <w:start w:val="1"/>
      <w:numFmt w:val="decimal"/>
      <w:lvlText w:val="%1.%2"/>
      <w:lvlJc w:val="left"/>
      <w:pPr>
        <w:ind w:left="1220" w:hanging="421"/>
        <w:jc w:val="left"/>
      </w:pPr>
      <w:rPr>
        <w:rFonts w:hint="default" w:ascii="宋体" w:hAnsi="宋体" w:eastAsia="宋体" w:cs="宋体"/>
        <w:spacing w:val="-2"/>
        <w:w w:val="100"/>
        <w:sz w:val="21"/>
        <w:szCs w:val="21"/>
      </w:rPr>
    </w:lvl>
    <w:lvl w:ilvl="2">
      <w:start w:val="0"/>
      <w:numFmt w:val="bullet"/>
      <w:lvlText w:val="•"/>
      <w:lvlJc w:val="left"/>
      <w:pPr>
        <w:ind w:left="1598" w:hanging="421"/>
      </w:pPr>
      <w:rPr>
        <w:rFonts w:hint="default"/>
      </w:rPr>
    </w:lvl>
    <w:lvl w:ilvl="3">
      <w:start w:val="0"/>
      <w:numFmt w:val="bullet"/>
      <w:lvlText w:val="•"/>
      <w:lvlJc w:val="left"/>
      <w:pPr>
        <w:ind w:left="1787" w:hanging="421"/>
      </w:pPr>
      <w:rPr>
        <w:rFonts w:hint="default"/>
      </w:rPr>
    </w:lvl>
    <w:lvl w:ilvl="4">
      <w:start w:val="0"/>
      <w:numFmt w:val="bullet"/>
      <w:lvlText w:val="•"/>
      <w:lvlJc w:val="left"/>
      <w:pPr>
        <w:ind w:left="1976" w:hanging="421"/>
      </w:pPr>
      <w:rPr>
        <w:rFonts w:hint="default"/>
      </w:rPr>
    </w:lvl>
    <w:lvl w:ilvl="5">
      <w:start w:val="0"/>
      <w:numFmt w:val="bullet"/>
      <w:lvlText w:val="•"/>
      <w:lvlJc w:val="left"/>
      <w:pPr>
        <w:ind w:left="2165" w:hanging="421"/>
      </w:pPr>
      <w:rPr>
        <w:rFonts w:hint="default"/>
      </w:rPr>
    </w:lvl>
    <w:lvl w:ilvl="6">
      <w:start w:val="0"/>
      <w:numFmt w:val="bullet"/>
      <w:lvlText w:val="•"/>
      <w:lvlJc w:val="left"/>
      <w:pPr>
        <w:ind w:left="2354" w:hanging="421"/>
      </w:pPr>
      <w:rPr>
        <w:rFonts w:hint="default"/>
      </w:rPr>
    </w:lvl>
    <w:lvl w:ilvl="7">
      <w:start w:val="0"/>
      <w:numFmt w:val="bullet"/>
      <w:lvlText w:val="•"/>
      <w:lvlJc w:val="left"/>
      <w:pPr>
        <w:ind w:left="2543" w:hanging="421"/>
      </w:pPr>
      <w:rPr>
        <w:rFonts w:hint="default"/>
      </w:rPr>
    </w:lvl>
    <w:lvl w:ilvl="8">
      <w:start w:val="0"/>
      <w:numFmt w:val="bullet"/>
      <w:lvlText w:val="•"/>
      <w:lvlJc w:val="left"/>
      <w:pPr>
        <w:ind w:left="2732" w:hanging="421"/>
      </w:pPr>
      <w:rPr>
        <w:rFonts w:hint="default"/>
      </w:rPr>
    </w:lvl>
  </w:abstractNum>
  <w:abstractNum w:abstractNumId="2">
    <w:multiLevelType w:val="hybridMultilevel"/>
    <w:lvl w:ilvl="0">
      <w:start w:val="2"/>
      <w:numFmt w:val="decimal"/>
      <w:lvlText w:val="%1"/>
      <w:lvlJc w:val="left"/>
      <w:pPr>
        <w:ind w:left="1220" w:hanging="421"/>
        <w:jc w:val="left"/>
      </w:pPr>
      <w:rPr>
        <w:rFonts w:hint="default"/>
      </w:rPr>
    </w:lvl>
    <w:lvl w:ilvl="1">
      <w:start w:val="1"/>
      <w:numFmt w:val="decimal"/>
      <w:lvlText w:val="%1.%2"/>
      <w:lvlJc w:val="left"/>
      <w:pPr>
        <w:ind w:left="1220" w:hanging="421"/>
        <w:jc w:val="left"/>
      </w:pPr>
      <w:rPr>
        <w:rFonts w:hint="default" w:ascii="宋体" w:hAnsi="宋体" w:eastAsia="宋体" w:cs="宋体"/>
        <w:spacing w:val="-2"/>
        <w:w w:val="100"/>
        <w:sz w:val="21"/>
        <w:szCs w:val="21"/>
      </w:rPr>
    </w:lvl>
    <w:lvl w:ilvl="2">
      <w:start w:val="0"/>
      <w:numFmt w:val="bullet"/>
      <w:lvlText w:val="•"/>
      <w:lvlJc w:val="left"/>
      <w:pPr>
        <w:ind w:left="1598" w:hanging="421"/>
      </w:pPr>
      <w:rPr>
        <w:rFonts w:hint="default"/>
      </w:rPr>
    </w:lvl>
    <w:lvl w:ilvl="3">
      <w:start w:val="0"/>
      <w:numFmt w:val="bullet"/>
      <w:lvlText w:val="•"/>
      <w:lvlJc w:val="left"/>
      <w:pPr>
        <w:ind w:left="1787" w:hanging="421"/>
      </w:pPr>
      <w:rPr>
        <w:rFonts w:hint="default"/>
      </w:rPr>
    </w:lvl>
    <w:lvl w:ilvl="4">
      <w:start w:val="0"/>
      <w:numFmt w:val="bullet"/>
      <w:lvlText w:val="•"/>
      <w:lvlJc w:val="left"/>
      <w:pPr>
        <w:ind w:left="1976" w:hanging="421"/>
      </w:pPr>
      <w:rPr>
        <w:rFonts w:hint="default"/>
      </w:rPr>
    </w:lvl>
    <w:lvl w:ilvl="5">
      <w:start w:val="0"/>
      <w:numFmt w:val="bullet"/>
      <w:lvlText w:val="•"/>
      <w:lvlJc w:val="left"/>
      <w:pPr>
        <w:ind w:left="2165" w:hanging="421"/>
      </w:pPr>
      <w:rPr>
        <w:rFonts w:hint="default"/>
      </w:rPr>
    </w:lvl>
    <w:lvl w:ilvl="6">
      <w:start w:val="0"/>
      <w:numFmt w:val="bullet"/>
      <w:lvlText w:val="•"/>
      <w:lvlJc w:val="left"/>
      <w:pPr>
        <w:ind w:left="2354" w:hanging="421"/>
      </w:pPr>
      <w:rPr>
        <w:rFonts w:hint="default"/>
      </w:rPr>
    </w:lvl>
    <w:lvl w:ilvl="7">
      <w:start w:val="0"/>
      <w:numFmt w:val="bullet"/>
      <w:lvlText w:val="•"/>
      <w:lvlJc w:val="left"/>
      <w:pPr>
        <w:ind w:left="2543" w:hanging="421"/>
      </w:pPr>
      <w:rPr>
        <w:rFonts w:hint="default"/>
      </w:rPr>
    </w:lvl>
    <w:lvl w:ilvl="8">
      <w:start w:val="0"/>
      <w:numFmt w:val="bullet"/>
      <w:lvlText w:val="•"/>
      <w:lvlJc w:val="left"/>
      <w:pPr>
        <w:ind w:left="2732" w:hanging="421"/>
      </w:pPr>
      <w:rPr>
        <w:rFonts w:hint="default"/>
      </w:rPr>
    </w:lvl>
  </w:abstractNum>
  <w:abstractNum w:abstractNumId="1">
    <w:multiLevelType w:val="hybridMultilevel"/>
    <w:lvl w:ilvl="0">
      <w:start w:val="1"/>
      <w:numFmt w:val="decimal"/>
      <w:lvlText w:val="%1"/>
      <w:lvlJc w:val="left"/>
      <w:pPr>
        <w:ind w:left="1220" w:hanging="421"/>
        <w:jc w:val="left"/>
      </w:pPr>
      <w:rPr>
        <w:rFonts w:hint="default"/>
      </w:rPr>
    </w:lvl>
    <w:lvl w:ilvl="1">
      <w:start w:val="1"/>
      <w:numFmt w:val="decimal"/>
      <w:lvlText w:val="%1.%2"/>
      <w:lvlJc w:val="left"/>
      <w:pPr>
        <w:ind w:left="1220" w:hanging="421"/>
        <w:jc w:val="left"/>
      </w:pPr>
      <w:rPr>
        <w:rFonts w:hint="default" w:ascii="宋体" w:hAnsi="宋体" w:eastAsia="宋体" w:cs="宋体"/>
        <w:spacing w:val="-2"/>
        <w:w w:val="100"/>
        <w:sz w:val="21"/>
        <w:szCs w:val="21"/>
      </w:rPr>
    </w:lvl>
    <w:lvl w:ilvl="2">
      <w:start w:val="0"/>
      <w:numFmt w:val="bullet"/>
      <w:lvlText w:val="•"/>
      <w:lvlJc w:val="left"/>
      <w:pPr>
        <w:ind w:left="1598" w:hanging="421"/>
      </w:pPr>
      <w:rPr>
        <w:rFonts w:hint="default"/>
      </w:rPr>
    </w:lvl>
    <w:lvl w:ilvl="3">
      <w:start w:val="0"/>
      <w:numFmt w:val="bullet"/>
      <w:lvlText w:val="•"/>
      <w:lvlJc w:val="left"/>
      <w:pPr>
        <w:ind w:left="1787" w:hanging="421"/>
      </w:pPr>
      <w:rPr>
        <w:rFonts w:hint="default"/>
      </w:rPr>
    </w:lvl>
    <w:lvl w:ilvl="4">
      <w:start w:val="0"/>
      <w:numFmt w:val="bullet"/>
      <w:lvlText w:val="•"/>
      <w:lvlJc w:val="left"/>
      <w:pPr>
        <w:ind w:left="1976" w:hanging="421"/>
      </w:pPr>
      <w:rPr>
        <w:rFonts w:hint="default"/>
      </w:rPr>
    </w:lvl>
    <w:lvl w:ilvl="5">
      <w:start w:val="0"/>
      <w:numFmt w:val="bullet"/>
      <w:lvlText w:val="•"/>
      <w:lvlJc w:val="left"/>
      <w:pPr>
        <w:ind w:left="2165" w:hanging="421"/>
      </w:pPr>
      <w:rPr>
        <w:rFonts w:hint="default"/>
      </w:rPr>
    </w:lvl>
    <w:lvl w:ilvl="6">
      <w:start w:val="0"/>
      <w:numFmt w:val="bullet"/>
      <w:lvlText w:val="•"/>
      <w:lvlJc w:val="left"/>
      <w:pPr>
        <w:ind w:left="2354" w:hanging="421"/>
      </w:pPr>
      <w:rPr>
        <w:rFonts w:hint="default"/>
      </w:rPr>
    </w:lvl>
    <w:lvl w:ilvl="7">
      <w:start w:val="0"/>
      <w:numFmt w:val="bullet"/>
      <w:lvlText w:val="•"/>
      <w:lvlJc w:val="left"/>
      <w:pPr>
        <w:ind w:left="2543" w:hanging="421"/>
      </w:pPr>
      <w:rPr>
        <w:rFonts w:hint="default"/>
      </w:rPr>
    </w:lvl>
    <w:lvl w:ilvl="8">
      <w:start w:val="0"/>
      <w:numFmt w:val="bullet"/>
      <w:lvlText w:val="•"/>
      <w:lvlJc w:val="left"/>
      <w:pPr>
        <w:ind w:left="2732" w:hanging="421"/>
      </w:pPr>
      <w:rPr>
        <w:rFonts w:hint="default"/>
      </w:rPr>
    </w:lvl>
  </w:abstractNum>
  <w:abstractNum w:abstractNumId="0">
    <w:multiLevelType w:val="hybridMultilevel"/>
    <w:lvl w:ilvl="0">
      <w:start w:val="0"/>
      <w:numFmt w:val="bullet"/>
      <w:lvlText w:val="❖"/>
      <w:lvlJc w:val="left"/>
      <w:pPr>
        <w:ind w:left="1768" w:hanging="550"/>
      </w:pPr>
      <w:rPr>
        <w:rFonts w:hint="default" w:ascii="MS Gothic" w:hAnsi="MS Gothic" w:eastAsia="MS Gothic" w:cs="MS Gothic"/>
        <w:w w:val="89"/>
        <w:sz w:val="21"/>
        <w:szCs w:val="21"/>
      </w:rPr>
    </w:lvl>
    <w:lvl w:ilvl="1">
      <w:start w:val="0"/>
      <w:numFmt w:val="bullet"/>
      <w:lvlText w:val="•"/>
      <w:lvlJc w:val="left"/>
      <w:pPr>
        <w:ind w:left="2570" w:hanging="550"/>
      </w:pPr>
      <w:rPr>
        <w:rFonts w:hint="default"/>
      </w:rPr>
    </w:lvl>
    <w:lvl w:ilvl="2">
      <w:start w:val="0"/>
      <w:numFmt w:val="bullet"/>
      <w:lvlText w:val="•"/>
      <w:lvlJc w:val="left"/>
      <w:pPr>
        <w:ind w:left="3380" w:hanging="550"/>
      </w:pPr>
      <w:rPr>
        <w:rFonts w:hint="default"/>
      </w:rPr>
    </w:lvl>
    <w:lvl w:ilvl="3">
      <w:start w:val="0"/>
      <w:numFmt w:val="bullet"/>
      <w:lvlText w:val="•"/>
      <w:lvlJc w:val="left"/>
      <w:pPr>
        <w:ind w:left="4191" w:hanging="550"/>
      </w:pPr>
      <w:rPr>
        <w:rFonts w:hint="default"/>
      </w:rPr>
    </w:lvl>
    <w:lvl w:ilvl="4">
      <w:start w:val="0"/>
      <w:numFmt w:val="bullet"/>
      <w:lvlText w:val="•"/>
      <w:lvlJc w:val="left"/>
      <w:pPr>
        <w:ind w:left="5001" w:hanging="550"/>
      </w:pPr>
      <w:rPr>
        <w:rFonts w:hint="default"/>
      </w:rPr>
    </w:lvl>
    <w:lvl w:ilvl="5">
      <w:start w:val="0"/>
      <w:numFmt w:val="bullet"/>
      <w:lvlText w:val="•"/>
      <w:lvlJc w:val="left"/>
      <w:pPr>
        <w:ind w:left="5812" w:hanging="550"/>
      </w:pPr>
      <w:rPr>
        <w:rFonts w:hint="default"/>
      </w:rPr>
    </w:lvl>
    <w:lvl w:ilvl="6">
      <w:start w:val="0"/>
      <w:numFmt w:val="bullet"/>
      <w:lvlText w:val="•"/>
      <w:lvlJc w:val="left"/>
      <w:pPr>
        <w:ind w:left="6622" w:hanging="550"/>
      </w:pPr>
      <w:rPr>
        <w:rFonts w:hint="default"/>
      </w:rPr>
    </w:lvl>
    <w:lvl w:ilvl="7">
      <w:start w:val="0"/>
      <w:numFmt w:val="bullet"/>
      <w:lvlText w:val="•"/>
      <w:lvlJc w:val="left"/>
      <w:pPr>
        <w:ind w:left="7433" w:hanging="550"/>
      </w:pPr>
      <w:rPr>
        <w:rFonts w:hint="default"/>
      </w:rPr>
    </w:lvl>
    <w:lvl w:ilvl="8">
      <w:start w:val="0"/>
      <w:numFmt w:val="bullet"/>
      <w:lvlText w:val="•"/>
      <w:lvlJc w:val="left"/>
      <w:pPr>
        <w:ind w:left="8243" w:hanging="55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769"/>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220"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2018-10-20T04:41:21Z</dcterms:created>
  <dcterms:modified xsi:type="dcterms:W3CDTF">2018-10-20T04:41:21Z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2009-09-19T00:00:00Z</vt:filetime>
  </property>
  <property fmtid="{D5CDD505-2E9C-101B-9397-08002B2CF9AE}" pid="3" name="Creator">
    <vt:lpwstr>Acrobat PDFMaker 7.0 for Word</vt:lpwstr>
  </property>
  <property fmtid="{D5CDD505-2E9C-101B-9397-08002B2CF9AE}" pid="4" name="LastSaved">
    <vt:filetime>2018-10-19T00:00:00Z</vt:filetime>
  </property>
</Properties>
</file>