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4" w:after="1"/>
        <w:rPr>
          <w:rFonts w:ascii="Times New Roman"/>
          <w:sz w:val="28"/>
        </w:rPr>
      </w:pPr>
    </w:p>
    <w:p>
      <w:pPr>
        <w:pStyle w:val="BodyText"/>
        <w:ind w:left="1645"/>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before="4"/>
        <w:rPr>
          <w:rFonts w:ascii="Times New Roman"/>
          <w:sz w:val="13"/>
        </w:rPr>
      </w:pPr>
    </w:p>
    <w:p>
      <w:pPr>
        <w:spacing w:line="506" w:lineRule="exact" w:before="0"/>
        <w:ind w:left="644"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5039995</wp:posOffset>
            </wp:positionH>
            <wp:positionV relativeFrom="paragraph">
              <wp:posOffset>-593399</wp:posOffset>
            </wp:positionV>
            <wp:extent cx="1800225" cy="10668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00225" cy="1066800"/>
                    </a:xfrm>
                    <a:prstGeom prst="rect">
                      <a:avLst/>
                    </a:prstGeom>
                  </pic:spPr>
                </pic:pic>
              </a:graphicData>
            </a:graphic>
          </wp:anchor>
        </w:drawing>
      </w:r>
      <w:r>
        <w:rPr>
          <w:rFonts w:ascii="微软雅黑" w:eastAsia="微软雅黑" w:hint="eastAsia"/>
          <w:b/>
          <w:sz w:val="32"/>
        </w:rPr>
        <w:t>百年附加安康宝提前给付重大疾病保险条款</w:t>
      </w:r>
    </w:p>
    <w:p>
      <w:pPr>
        <w:pStyle w:val="BodyText"/>
        <w:rPr>
          <w:rFonts w:ascii="微软雅黑"/>
          <w:b/>
          <w:sz w:val="20"/>
        </w:rPr>
      </w:pPr>
    </w:p>
    <w:p>
      <w:pPr>
        <w:pStyle w:val="BodyText"/>
        <w:spacing w:before="3"/>
        <w:rPr>
          <w:rFonts w:ascii="微软雅黑"/>
          <w:b/>
          <w:sz w:val="17"/>
        </w:rPr>
      </w:pPr>
      <w:r>
        <w:rPr/>
        <w:pict>
          <v:line style="position:absolute;mso-position-horizontal-relative:page;mso-position-vertical-relative:paragraph;z-index:0;mso-wrap-distance-left:0;mso-wrap-distance-right:0" from="66.599998pt,17.201355pt" to="528.599998pt,17.201355pt" stroked="true" strokeweight=".75pt" strokecolor="#000000">
            <v:stroke dashstyle="solid"/>
            <w10:wrap type="topAndBottom"/>
          </v:line>
        </w:pict>
      </w:r>
      <w:r>
        <w:rPr/>
        <w:pict>
          <v:shape style="position:absolute;margin-left:231.5pt;margin-top:29.421356pt;width:131.25pt;height:39pt;mso-position-horizontal-relative:page;mso-position-vertical-relative:paragraph;z-index:1048;mso-wrap-distance-left:0;mso-wrap-distance-right:0" type="#_x0000_t202" filled="false" stroked="true" strokeweight="1pt" strokecolor="#000000">
            <v:textbox inset="0,0,0,0">
              <w:txbxContent>
                <w:p>
                  <w:pPr>
                    <w:spacing w:before="44"/>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2"/>
        <w:rPr>
          <w:rFonts w:ascii="微软雅黑"/>
          <w:b/>
          <w:sz w:val="9"/>
        </w:rPr>
      </w:pPr>
    </w:p>
    <w:p>
      <w:pPr>
        <w:pStyle w:val="BodyText"/>
        <w:rPr>
          <w:rFonts w:ascii="微软雅黑"/>
          <w:b/>
          <w:sz w:val="11"/>
        </w:rPr>
      </w:pPr>
    </w:p>
    <w:p>
      <w:pPr>
        <w:pStyle w:val="BodyText"/>
        <w:spacing w:before="37"/>
        <w:ind w:left="1918"/>
      </w:pPr>
      <w:r>
        <w:rPr/>
        <w:t>本阅读指引有助于您理解条款，对本附加合同内容的解释以条款为准。</w:t>
      </w:r>
    </w:p>
    <w:p>
      <w:pPr>
        <w:tabs>
          <w:tab w:pos="973" w:val="left" w:leader="none"/>
        </w:tabs>
        <w:spacing w:before="37"/>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z w:val="21"/>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签收本附加合同之日起</w:t>
      </w:r>
      <w:r>
        <w:rPr>
          <w:sz w:val="21"/>
        </w:rPr>
        <w:t>10日（</w:t>
      </w:r>
      <w:r>
        <w:rPr>
          <w:spacing w:val="-3"/>
          <w:sz w:val="21"/>
        </w:rPr>
        <w:t>即犹豫期）内您可以要求解除合同并退还已交的保险费</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被保险人享受本附加合同提供的保障</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2"/>
          <w:sz w:val="21"/>
        </w:rPr>
        <w:t>您有退保的权利</w:t>
      </w:r>
    </w:p>
    <w:p>
      <w:pPr>
        <w:tabs>
          <w:tab w:pos="973" w:val="left" w:leader="none"/>
        </w:tabs>
        <w:spacing w:before="21"/>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pacing w:val="-1"/>
          <w:sz w:val="21"/>
        </w:rPr>
        <w:t>您应当特别注意的事项</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请您认真阅读免除我们责任的条款</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被保险人应到我们认可的医院就诊</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您应当按时交纳保险费</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我们对一些重要术语进行了解释，并作了显著标识，请您注意</w:t>
      </w:r>
    </w:p>
    <w:p>
      <w:pPr>
        <w:spacing w:before="21"/>
        <w:ind w:left="697" w:right="0" w:firstLine="0"/>
        <w:jc w:val="left"/>
        <w:rPr>
          <w:sz w:val="21"/>
        </w:rPr>
      </w:pPr>
      <w:r>
        <w:rPr>
          <w:b/>
          <w:sz w:val="21"/>
        </w:rPr>
        <w:t>条款是保险合同的重要内容，为充分保障您的权益，请您仔细阅读本条款</w:t>
      </w:r>
      <w:r>
        <w:rPr>
          <w:sz w:val="21"/>
        </w:rPr>
        <w:t>。</w:t>
      </w:r>
    </w:p>
    <w:p>
      <w:pPr>
        <w:spacing w:before="36" w:after="22"/>
        <w:ind w:left="69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tbl>
      <w:tblPr>
        <w:tblW w:w="0" w:type="auto"/>
        <w:jc w:val="left"/>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24"/>
        <w:gridCol w:w="3092"/>
        <w:gridCol w:w="3197"/>
      </w:tblGrid>
      <w:tr>
        <w:trPr>
          <w:trHeight w:val="6340" w:hRule="atLeast"/>
        </w:trPr>
        <w:tc>
          <w:tcPr>
            <w:tcW w:w="3124" w:type="dxa"/>
          </w:tcPr>
          <w:p>
            <w:pPr>
              <w:pStyle w:val="TableParagraph"/>
              <w:spacing w:before="61"/>
              <w:ind w:left="152"/>
              <w:rPr>
                <w:b/>
                <w:sz w:val="21"/>
              </w:rPr>
            </w:pPr>
            <w:r>
              <w:rPr>
                <w:b/>
                <w:sz w:val="21"/>
              </w:rPr>
              <w:t>1． 您与我们订立的合同</w:t>
            </w:r>
          </w:p>
          <w:p>
            <w:pPr>
              <w:pStyle w:val="TableParagraph"/>
              <w:numPr>
                <w:ilvl w:val="1"/>
                <w:numId w:val="2"/>
              </w:numPr>
              <w:tabs>
                <w:tab w:pos="918" w:val="left" w:leader="none"/>
              </w:tabs>
              <w:spacing w:line="240" w:lineRule="auto" w:before="37" w:after="0"/>
              <w:ind w:left="918" w:right="0" w:hanging="406"/>
              <w:jc w:val="left"/>
              <w:rPr>
                <w:sz w:val="21"/>
              </w:rPr>
            </w:pPr>
            <w:r>
              <w:rPr>
                <w:spacing w:val="-1"/>
                <w:sz w:val="21"/>
              </w:rPr>
              <w:t>合同构成</w:t>
            </w:r>
          </w:p>
          <w:p>
            <w:pPr>
              <w:pStyle w:val="TableParagraph"/>
              <w:numPr>
                <w:ilvl w:val="1"/>
                <w:numId w:val="2"/>
              </w:numPr>
              <w:tabs>
                <w:tab w:pos="918" w:val="left" w:leader="none"/>
              </w:tabs>
              <w:spacing w:line="240" w:lineRule="auto" w:before="37" w:after="0"/>
              <w:ind w:left="918" w:right="0" w:hanging="406"/>
              <w:jc w:val="left"/>
              <w:rPr>
                <w:sz w:val="21"/>
              </w:rPr>
            </w:pPr>
            <w:r>
              <w:rPr>
                <w:spacing w:val="-2"/>
                <w:sz w:val="21"/>
              </w:rPr>
              <w:t>合同成立与生效</w:t>
            </w:r>
          </w:p>
          <w:p>
            <w:pPr>
              <w:pStyle w:val="TableParagraph"/>
              <w:numPr>
                <w:ilvl w:val="1"/>
                <w:numId w:val="2"/>
              </w:numPr>
              <w:tabs>
                <w:tab w:pos="918" w:val="left" w:leader="none"/>
              </w:tabs>
              <w:spacing w:line="240" w:lineRule="auto" w:before="37" w:after="0"/>
              <w:ind w:left="918" w:right="0" w:hanging="406"/>
              <w:jc w:val="left"/>
              <w:rPr>
                <w:sz w:val="21"/>
              </w:rPr>
            </w:pPr>
            <w:r>
              <w:rPr>
                <w:spacing w:val="-1"/>
                <w:sz w:val="21"/>
              </w:rPr>
              <w:t>投保年龄</w:t>
            </w:r>
          </w:p>
          <w:p>
            <w:pPr>
              <w:pStyle w:val="TableParagraph"/>
              <w:numPr>
                <w:ilvl w:val="1"/>
                <w:numId w:val="2"/>
              </w:numPr>
              <w:tabs>
                <w:tab w:pos="918" w:val="left" w:leader="none"/>
              </w:tabs>
              <w:spacing w:line="240" w:lineRule="auto" w:before="37" w:after="0"/>
              <w:ind w:left="918" w:right="0" w:hanging="406"/>
              <w:jc w:val="left"/>
              <w:rPr>
                <w:sz w:val="21"/>
              </w:rPr>
            </w:pPr>
            <w:r>
              <w:rPr>
                <w:sz w:val="21"/>
              </w:rPr>
              <w:t>犹豫期</w:t>
            </w:r>
          </w:p>
          <w:p>
            <w:pPr>
              <w:pStyle w:val="TableParagraph"/>
              <w:spacing w:before="37"/>
              <w:ind w:left="152"/>
              <w:rPr>
                <w:b/>
                <w:sz w:val="21"/>
              </w:rPr>
            </w:pPr>
            <w:r>
              <w:rPr>
                <w:b/>
                <w:sz w:val="21"/>
              </w:rPr>
              <w:t>2． 我们提供的保障</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基本保额</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保险期间</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保险责任</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责任免除</w:t>
            </w:r>
          </w:p>
          <w:p>
            <w:pPr>
              <w:pStyle w:val="TableParagraph"/>
              <w:numPr>
                <w:ilvl w:val="0"/>
                <w:numId w:val="4"/>
              </w:numPr>
              <w:tabs>
                <w:tab w:pos="470" w:val="left" w:leader="none"/>
              </w:tabs>
              <w:spacing w:line="240" w:lineRule="auto" w:before="37" w:after="0"/>
              <w:ind w:left="469" w:right="0" w:hanging="317"/>
              <w:jc w:val="left"/>
              <w:rPr>
                <w:b/>
                <w:sz w:val="21"/>
              </w:rPr>
            </w:pPr>
            <w:r>
              <w:rPr>
                <w:b/>
                <w:sz w:val="21"/>
              </w:rPr>
              <w:t>重大疾病</w:t>
            </w:r>
          </w:p>
          <w:p>
            <w:pPr>
              <w:pStyle w:val="TableParagraph"/>
              <w:numPr>
                <w:ilvl w:val="1"/>
                <w:numId w:val="4"/>
              </w:numPr>
              <w:tabs>
                <w:tab w:pos="935" w:val="left" w:leader="none"/>
              </w:tabs>
              <w:spacing w:line="240" w:lineRule="auto" w:before="37" w:after="0"/>
              <w:ind w:left="152" w:right="0" w:firstLine="360"/>
              <w:jc w:val="left"/>
              <w:rPr>
                <w:sz w:val="21"/>
              </w:rPr>
            </w:pPr>
            <w:r>
              <w:rPr>
                <w:spacing w:val="-3"/>
                <w:sz w:val="21"/>
              </w:rPr>
              <w:t>重大疾病范围</w:t>
            </w:r>
          </w:p>
          <w:p>
            <w:pPr>
              <w:pStyle w:val="TableParagraph"/>
              <w:numPr>
                <w:ilvl w:val="1"/>
                <w:numId w:val="4"/>
              </w:numPr>
              <w:tabs>
                <w:tab w:pos="935" w:val="left" w:leader="none"/>
              </w:tabs>
              <w:spacing w:line="273" w:lineRule="auto" w:before="37" w:after="0"/>
              <w:ind w:left="152" w:right="911" w:firstLine="360"/>
              <w:jc w:val="left"/>
              <w:rPr>
                <w:b/>
                <w:sz w:val="21"/>
              </w:rPr>
            </w:pPr>
            <w:r>
              <w:rPr>
                <w:spacing w:val="-3"/>
                <w:sz w:val="21"/>
              </w:rPr>
              <w:t>重大疾病定义</w:t>
            </w:r>
            <w:r>
              <w:rPr>
                <w:b/>
                <w:spacing w:val="-3"/>
                <w:sz w:val="21"/>
              </w:rPr>
              <w:t>4．保险金的申请</w:t>
            </w:r>
          </w:p>
          <w:p>
            <w:pPr>
              <w:pStyle w:val="TableParagraph"/>
              <w:numPr>
                <w:ilvl w:val="1"/>
                <w:numId w:val="5"/>
              </w:numPr>
              <w:tabs>
                <w:tab w:pos="935" w:val="left" w:leader="none"/>
              </w:tabs>
              <w:spacing w:line="240" w:lineRule="auto" w:before="8" w:after="0"/>
              <w:ind w:left="932" w:right="0" w:hanging="420"/>
              <w:jc w:val="left"/>
              <w:rPr>
                <w:sz w:val="21"/>
              </w:rPr>
            </w:pPr>
            <w:r>
              <w:rPr>
                <w:spacing w:val="-2"/>
                <w:sz w:val="21"/>
              </w:rPr>
              <w:t>受益人</w:t>
            </w:r>
          </w:p>
          <w:p>
            <w:pPr>
              <w:pStyle w:val="TableParagraph"/>
              <w:numPr>
                <w:ilvl w:val="1"/>
                <w:numId w:val="5"/>
              </w:numPr>
              <w:tabs>
                <w:tab w:pos="935" w:val="left" w:leader="none"/>
              </w:tabs>
              <w:spacing w:line="240" w:lineRule="auto" w:before="37" w:after="0"/>
              <w:ind w:left="932" w:right="0" w:hanging="420"/>
              <w:jc w:val="left"/>
              <w:rPr>
                <w:sz w:val="21"/>
              </w:rPr>
            </w:pPr>
            <w:r>
              <w:rPr>
                <w:spacing w:val="-3"/>
                <w:sz w:val="21"/>
              </w:rPr>
              <w:t>保险事故通知</w:t>
            </w:r>
          </w:p>
          <w:p>
            <w:pPr>
              <w:pStyle w:val="TableParagraph"/>
              <w:numPr>
                <w:ilvl w:val="1"/>
                <w:numId w:val="5"/>
              </w:numPr>
              <w:tabs>
                <w:tab w:pos="935" w:val="left" w:leader="none"/>
              </w:tabs>
              <w:spacing w:line="240" w:lineRule="auto" w:before="37" w:after="0"/>
              <w:ind w:left="932" w:right="0" w:hanging="420"/>
              <w:jc w:val="left"/>
              <w:rPr>
                <w:sz w:val="21"/>
              </w:rPr>
            </w:pPr>
            <w:r>
              <w:rPr>
                <w:spacing w:val="-3"/>
                <w:sz w:val="21"/>
              </w:rPr>
              <w:t>保险金申请</w:t>
            </w:r>
          </w:p>
          <w:p>
            <w:pPr>
              <w:pStyle w:val="TableParagraph"/>
              <w:numPr>
                <w:ilvl w:val="1"/>
                <w:numId w:val="5"/>
              </w:numPr>
              <w:tabs>
                <w:tab w:pos="935" w:val="left" w:leader="none"/>
              </w:tabs>
              <w:spacing w:line="273" w:lineRule="auto" w:before="37" w:after="0"/>
              <w:ind w:left="932" w:right="280" w:hanging="420"/>
              <w:jc w:val="left"/>
              <w:rPr>
                <w:sz w:val="21"/>
              </w:rPr>
            </w:pPr>
            <w:r>
              <w:rPr>
                <w:spacing w:val="-3"/>
                <w:sz w:val="21"/>
              </w:rPr>
              <w:t>委托他人代为申请保险金</w:t>
            </w:r>
          </w:p>
          <w:p>
            <w:pPr>
              <w:pStyle w:val="TableParagraph"/>
              <w:numPr>
                <w:ilvl w:val="1"/>
                <w:numId w:val="5"/>
              </w:numPr>
              <w:tabs>
                <w:tab w:pos="935" w:val="left" w:leader="none"/>
              </w:tabs>
              <w:spacing w:line="240" w:lineRule="auto" w:before="7" w:after="0"/>
              <w:ind w:left="932" w:right="0" w:hanging="420"/>
              <w:jc w:val="left"/>
              <w:rPr>
                <w:sz w:val="21"/>
              </w:rPr>
            </w:pPr>
            <w:r>
              <w:rPr>
                <w:spacing w:val="-3"/>
                <w:sz w:val="21"/>
              </w:rPr>
              <w:t>提供补充材料</w:t>
            </w:r>
          </w:p>
        </w:tc>
        <w:tc>
          <w:tcPr>
            <w:tcW w:w="3092" w:type="dxa"/>
          </w:tcPr>
          <w:p>
            <w:pPr>
              <w:pStyle w:val="TableParagraph"/>
              <w:numPr>
                <w:ilvl w:val="1"/>
                <w:numId w:val="6"/>
              </w:numPr>
              <w:tabs>
                <w:tab w:pos="937" w:val="left" w:leader="none"/>
              </w:tabs>
              <w:spacing w:line="240" w:lineRule="auto" w:before="61" w:after="0"/>
              <w:ind w:left="936" w:right="0" w:hanging="423"/>
              <w:jc w:val="left"/>
              <w:rPr>
                <w:sz w:val="21"/>
              </w:rPr>
            </w:pPr>
            <w:r>
              <w:rPr>
                <w:spacing w:val="-3"/>
                <w:sz w:val="21"/>
              </w:rPr>
              <w:t>保险金给付</w:t>
            </w:r>
          </w:p>
          <w:p>
            <w:pPr>
              <w:pStyle w:val="TableParagraph"/>
              <w:numPr>
                <w:ilvl w:val="1"/>
                <w:numId w:val="6"/>
              </w:numPr>
              <w:tabs>
                <w:tab w:pos="937" w:val="left" w:leader="none"/>
              </w:tabs>
              <w:spacing w:line="240" w:lineRule="auto" w:before="37" w:after="0"/>
              <w:ind w:left="936" w:right="0" w:hanging="423"/>
              <w:jc w:val="left"/>
              <w:rPr>
                <w:sz w:val="21"/>
              </w:rPr>
            </w:pPr>
            <w:r>
              <w:rPr>
                <w:spacing w:val="-3"/>
                <w:sz w:val="21"/>
              </w:rPr>
              <w:t>诉讼时效</w:t>
            </w:r>
          </w:p>
          <w:p>
            <w:pPr>
              <w:pStyle w:val="TableParagraph"/>
              <w:spacing w:before="37"/>
              <w:ind w:left="153"/>
              <w:rPr>
                <w:b/>
                <w:sz w:val="21"/>
              </w:rPr>
            </w:pPr>
            <w:r>
              <w:rPr>
                <w:b/>
                <w:sz w:val="21"/>
              </w:rPr>
              <w:t>5．保险费的交纳</w:t>
            </w:r>
          </w:p>
          <w:p>
            <w:pPr>
              <w:pStyle w:val="TableParagraph"/>
              <w:numPr>
                <w:ilvl w:val="1"/>
                <w:numId w:val="7"/>
              </w:numPr>
              <w:tabs>
                <w:tab w:pos="937" w:val="left" w:leader="none"/>
              </w:tabs>
              <w:spacing w:line="240" w:lineRule="auto" w:before="37" w:after="0"/>
              <w:ind w:left="936" w:right="0" w:hanging="423"/>
              <w:jc w:val="left"/>
              <w:rPr>
                <w:sz w:val="21"/>
              </w:rPr>
            </w:pPr>
            <w:r>
              <w:rPr>
                <w:spacing w:val="-3"/>
                <w:sz w:val="21"/>
              </w:rPr>
              <w:t>保险费的交纳</w:t>
            </w:r>
          </w:p>
          <w:p>
            <w:pPr>
              <w:pStyle w:val="TableParagraph"/>
              <w:numPr>
                <w:ilvl w:val="1"/>
                <w:numId w:val="7"/>
              </w:numPr>
              <w:tabs>
                <w:tab w:pos="937" w:val="left" w:leader="none"/>
              </w:tabs>
              <w:spacing w:line="240" w:lineRule="auto" w:before="37" w:after="0"/>
              <w:ind w:left="936" w:right="0" w:hanging="423"/>
              <w:jc w:val="left"/>
              <w:rPr>
                <w:sz w:val="21"/>
              </w:rPr>
            </w:pPr>
            <w:r>
              <w:rPr>
                <w:spacing w:val="-2"/>
                <w:sz w:val="21"/>
              </w:rPr>
              <w:t>宽限期</w:t>
            </w:r>
          </w:p>
          <w:p>
            <w:pPr>
              <w:pStyle w:val="TableParagraph"/>
              <w:numPr>
                <w:ilvl w:val="0"/>
                <w:numId w:val="8"/>
              </w:numPr>
              <w:tabs>
                <w:tab w:pos="471" w:val="left" w:leader="none"/>
              </w:tabs>
              <w:spacing w:line="240" w:lineRule="auto" w:before="37" w:after="0"/>
              <w:ind w:left="470" w:right="0" w:hanging="317"/>
              <w:jc w:val="left"/>
              <w:rPr>
                <w:b/>
                <w:sz w:val="21"/>
              </w:rPr>
            </w:pPr>
            <w:r>
              <w:rPr>
                <w:b/>
                <w:sz w:val="21"/>
              </w:rPr>
              <w:t>合同效力中止与恢复</w:t>
            </w:r>
          </w:p>
          <w:p>
            <w:pPr>
              <w:pStyle w:val="TableParagraph"/>
              <w:numPr>
                <w:ilvl w:val="1"/>
                <w:numId w:val="8"/>
              </w:numPr>
              <w:tabs>
                <w:tab w:pos="937" w:val="left" w:leader="none"/>
              </w:tabs>
              <w:spacing w:line="240" w:lineRule="auto" w:before="37" w:after="0"/>
              <w:ind w:left="936" w:right="0" w:hanging="423"/>
              <w:jc w:val="left"/>
              <w:rPr>
                <w:sz w:val="21"/>
              </w:rPr>
            </w:pPr>
            <w:r>
              <w:rPr>
                <w:spacing w:val="-3"/>
                <w:sz w:val="21"/>
              </w:rPr>
              <w:t>效力中止</w:t>
            </w:r>
          </w:p>
          <w:p>
            <w:pPr>
              <w:pStyle w:val="TableParagraph"/>
              <w:numPr>
                <w:ilvl w:val="1"/>
                <w:numId w:val="8"/>
              </w:numPr>
              <w:tabs>
                <w:tab w:pos="937" w:val="left" w:leader="none"/>
              </w:tabs>
              <w:spacing w:line="240" w:lineRule="auto" w:before="37" w:after="0"/>
              <w:ind w:left="936" w:right="0" w:hanging="423"/>
              <w:jc w:val="left"/>
              <w:rPr>
                <w:sz w:val="21"/>
              </w:rPr>
            </w:pPr>
            <w:r>
              <w:rPr>
                <w:spacing w:val="-3"/>
                <w:sz w:val="21"/>
              </w:rPr>
              <w:t>效力恢复</w:t>
            </w:r>
          </w:p>
          <w:p>
            <w:pPr>
              <w:pStyle w:val="TableParagraph"/>
              <w:numPr>
                <w:ilvl w:val="0"/>
                <w:numId w:val="8"/>
              </w:numPr>
              <w:tabs>
                <w:tab w:pos="471" w:val="left" w:leader="none"/>
              </w:tabs>
              <w:spacing w:line="240" w:lineRule="auto" w:before="37" w:after="0"/>
              <w:ind w:left="470" w:right="0" w:hanging="317"/>
              <w:jc w:val="left"/>
              <w:rPr>
                <w:b/>
                <w:sz w:val="21"/>
              </w:rPr>
            </w:pPr>
            <w:r>
              <w:rPr>
                <w:b/>
                <w:sz w:val="21"/>
              </w:rPr>
              <w:t>犹豫期后的合同解除</w:t>
            </w:r>
          </w:p>
          <w:p>
            <w:pPr>
              <w:pStyle w:val="TableParagraph"/>
              <w:numPr>
                <w:ilvl w:val="1"/>
                <w:numId w:val="8"/>
              </w:numPr>
              <w:tabs>
                <w:tab w:pos="937" w:val="left" w:leader="none"/>
              </w:tabs>
              <w:spacing w:line="240" w:lineRule="auto" w:before="37" w:after="0"/>
              <w:ind w:left="936" w:right="0" w:hanging="423"/>
              <w:jc w:val="left"/>
              <w:rPr>
                <w:sz w:val="21"/>
              </w:rPr>
            </w:pPr>
            <w:r>
              <w:rPr>
                <w:spacing w:val="-3"/>
                <w:sz w:val="21"/>
              </w:rPr>
              <w:t>您解除合同的手续</w:t>
            </w:r>
          </w:p>
          <w:p>
            <w:pPr>
              <w:pStyle w:val="TableParagraph"/>
              <w:spacing w:before="37"/>
              <w:ind w:left="153"/>
              <w:rPr>
                <w:b/>
                <w:sz w:val="21"/>
              </w:rPr>
            </w:pPr>
            <w:r>
              <w:rPr>
                <w:b/>
                <w:sz w:val="21"/>
              </w:rPr>
              <w:t>8．明确说明与如实告知</w:t>
            </w:r>
          </w:p>
          <w:p>
            <w:pPr>
              <w:pStyle w:val="TableParagraph"/>
              <w:numPr>
                <w:ilvl w:val="1"/>
                <w:numId w:val="9"/>
              </w:numPr>
              <w:tabs>
                <w:tab w:pos="937" w:val="left" w:leader="none"/>
              </w:tabs>
              <w:spacing w:line="240" w:lineRule="auto" w:before="37" w:after="0"/>
              <w:ind w:left="933" w:right="0" w:hanging="420"/>
              <w:jc w:val="left"/>
              <w:rPr>
                <w:sz w:val="21"/>
              </w:rPr>
            </w:pPr>
            <w:r>
              <w:rPr>
                <w:spacing w:val="-3"/>
                <w:sz w:val="21"/>
              </w:rPr>
              <w:t>明确说明与如实告知</w:t>
            </w:r>
          </w:p>
          <w:p>
            <w:pPr>
              <w:pStyle w:val="TableParagraph"/>
              <w:numPr>
                <w:ilvl w:val="1"/>
                <w:numId w:val="9"/>
              </w:numPr>
              <w:tabs>
                <w:tab w:pos="937" w:val="left" w:leader="none"/>
              </w:tabs>
              <w:spacing w:line="273" w:lineRule="auto" w:before="37" w:after="0"/>
              <w:ind w:left="933" w:right="247" w:hanging="420"/>
              <w:jc w:val="left"/>
              <w:rPr>
                <w:sz w:val="21"/>
              </w:rPr>
            </w:pPr>
            <w:r>
              <w:rPr>
                <w:spacing w:val="-3"/>
                <w:sz w:val="21"/>
              </w:rPr>
              <w:t>本公司合同解除权的限制</w:t>
            </w:r>
          </w:p>
          <w:p>
            <w:pPr>
              <w:pStyle w:val="TableParagraph"/>
              <w:spacing w:before="8"/>
              <w:ind w:left="153"/>
              <w:rPr>
                <w:b/>
                <w:sz w:val="21"/>
              </w:rPr>
            </w:pPr>
            <w:r>
              <w:rPr>
                <w:b/>
                <w:sz w:val="21"/>
              </w:rPr>
              <w:t>9．其他需要关注的事项</w:t>
            </w:r>
          </w:p>
          <w:p>
            <w:pPr>
              <w:pStyle w:val="TableParagraph"/>
              <w:numPr>
                <w:ilvl w:val="1"/>
                <w:numId w:val="10"/>
              </w:numPr>
              <w:tabs>
                <w:tab w:pos="937" w:val="left" w:leader="none"/>
              </w:tabs>
              <w:spacing w:line="240" w:lineRule="auto" w:before="37" w:after="0"/>
              <w:ind w:left="933" w:right="0" w:hanging="420"/>
              <w:jc w:val="left"/>
              <w:rPr>
                <w:sz w:val="21"/>
              </w:rPr>
            </w:pPr>
            <w:r>
              <w:rPr>
                <w:spacing w:val="-3"/>
                <w:sz w:val="21"/>
              </w:rPr>
              <w:t>年龄性别错误</w:t>
            </w:r>
          </w:p>
          <w:p>
            <w:pPr>
              <w:pStyle w:val="TableParagraph"/>
              <w:numPr>
                <w:ilvl w:val="1"/>
                <w:numId w:val="10"/>
              </w:numPr>
              <w:tabs>
                <w:tab w:pos="937" w:val="left" w:leader="none"/>
              </w:tabs>
              <w:spacing w:line="240" w:lineRule="auto" w:before="37" w:after="0"/>
              <w:ind w:left="933" w:right="0" w:hanging="420"/>
              <w:jc w:val="left"/>
              <w:rPr>
                <w:sz w:val="21"/>
              </w:rPr>
            </w:pPr>
            <w:r>
              <w:rPr>
                <w:spacing w:val="-3"/>
                <w:sz w:val="21"/>
              </w:rPr>
              <w:t>合同效力终止</w:t>
            </w:r>
          </w:p>
          <w:p>
            <w:pPr>
              <w:pStyle w:val="TableParagraph"/>
              <w:numPr>
                <w:ilvl w:val="1"/>
                <w:numId w:val="10"/>
              </w:numPr>
              <w:tabs>
                <w:tab w:pos="937" w:val="left" w:leader="none"/>
              </w:tabs>
              <w:spacing w:line="273" w:lineRule="auto" w:before="37" w:after="0"/>
              <w:ind w:left="933" w:right="247" w:hanging="420"/>
              <w:jc w:val="left"/>
              <w:rPr>
                <w:sz w:val="21"/>
              </w:rPr>
            </w:pPr>
            <w:r>
              <w:rPr>
                <w:spacing w:val="-3"/>
                <w:sz w:val="21"/>
              </w:rPr>
              <w:t>与主合同不一致的解决</w:t>
            </w:r>
          </w:p>
          <w:p>
            <w:pPr>
              <w:pStyle w:val="TableParagraph"/>
              <w:spacing w:before="7"/>
              <w:ind w:left="153"/>
              <w:rPr>
                <w:b/>
                <w:sz w:val="21"/>
              </w:rPr>
            </w:pPr>
            <w:r>
              <w:rPr>
                <w:b/>
                <w:sz w:val="21"/>
              </w:rPr>
              <w:t>10. 释义</w:t>
            </w:r>
          </w:p>
        </w:tc>
        <w:tc>
          <w:tcPr>
            <w:tcW w:w="3197" w:type="dxa"/>
          </w:tcPr>
          <w:p>
            <w:pPr>
              <w:pStyle w:val="TableParagraph"/>
              <w:numPr>
                <w:ilvl w:val="1"/>
                <w:numId w:val="11"/>
              </w:numPr>
              <w:tabs>
                <w:tab w:pos="891" w:val="left" w:leader="none"/>
              </w:tabs>
              <w:spacing w:line="240" w:lineRule="auto" w:before="61" w:after="0"/>
              <w:ind w:left="928" w:right="0" w:hanging="564"/>
              <w:jc w:val="left"/>
              <w:rPr>
                <w:sz w:val="21"/>
              </w:rPr>
            </w:pPr>
            <w:r>
              <w:rPr>
                <w:spacing w:val="-3"/>
                <w:sz w:val="21"/>
              </w:rPr>
              <w:t>我们认可的医院</w:t>
            </w:r>
          </w:p>
          <w:p>
            <w:pPr>
              <w:pStyle w:val="TableParagraph"/>
              <w:numPr>
                <w:ilvl w:val="1"/>
                <w:numId w:val="11"/>
              </w:numPr>
              <w:tabs>
                <w:tab w:pos="891" w:val="left" w:leader="none"/>
              </w:tabs>
              <w:spacing w:line="240" w:lineRule="auto" w:before="37" w:after="0"/>
              <w:ind w:left="928" w:right="0" w:hanging="564"/>
              <w:jc w:val="left"/>
              <w:rPr>
                <w:sz w:val="21"/>
              </w:rPr>
            </w:pPr>
            <w:r>
              <w:rPr>
                <w:sz w:val="21"/>
              </w:rPr>
              <w:t>毒品</w:t>
            </w:r>
          </w:p>
          <w:p>
            <w:pPr>
              <w:pStyle w:val="TableParagraph"/>
              <w:numPr>
                <w:ilvl w:val="1"/>
                <w:numId w:val="11"/>
              </w:numPr>
              <w:tabs>
                <w:tab w:pos="891" w:val="left" w:leader="none"/>
              </w:tabs>
              <w:spacing w:line="240" w:lineRule="auto" w:before="37" w:after="0"/>
              <w:ind w:left="928" w:right="0" w:hanging="564"/>
              <w:jc w:val="left"/>
              <w:rPr>
                <w:sz w:val="21"/>
              </w:rPr>
            </w:pPr>
            <w:r>
              <w:rPr>
                <w:spacing w:val="-2"/>
                <w:sz w:val="21"/>
              </w:rPr>
              <w:t>管制药品</w:t>
            </w:r>
          </w:p>
          <w:p>
            <w:pPr>
              <w:pStyle w:val="TableParagraph"/>
              <w:numPr>
                <w:ilvl w:val="1"/>
                <w:numId w:val="11"/>
              </w:numPr>
              <w:tabs>
                <w:tab w:pos="891" w:val="left" w:leader="none"/>
              </w:tabs>
              <w:spacing w:line="240" w:lineRule="auto" w:before="37" w:after="0"/>
              <w:ind w:left="928" w:right="0" w:hanging="564"/>
              <w:jc w:val="left"/>
              <w:rPr>
                <w:sz w:val="21"/>
              </w:rPr>
            </w:pPr>
            <w:r>
              <w:rPr>
                <w:spacing w:val="-2"/>
                <w:sz w:val="21"/>
              </w:rPr>
              <w:t>酒后驾驶</w:t>
            </w:r>
          </w:p>
          <w:p>
            <w:pPr>
              <w:pStyle w:val="TableParagraph"/>
              <w:numPr>
                <w:ilvl w:val="1"/>
                <w:numId w:val="11"/>
              </w:numPr>
              <w:tabs>
                <w:tab w:pos="891" w:val="left" w:leader="none"/>
              </w:tabs>
              <w:spacing w:line="240" w:lineRule="auto" w:before="37" w:after="0"/>
              <w:ind w:left="928" w:right="0" w:hanging="564"/>
              <w:jc w:val="left"/>
              <w:rPr>
                <w:sz w:val="21"/>
              </w:rPr>
            </w:pPr>
            <w:r>
              <w:rPr>
                <w:spacing w:val="-3"/>
                <w:sz w:val="21"/>
              </w:rPr>
              <w:t>无合法有效驾驶证驾驶</w:t>
            </w:r>
          </w:p>
          <w:p>
            <w:pPr>
              <w:pStyle w:val="TableParagraph"/>
              <w:numPr>
                <w:ilvl w:val="1"/>
                <w:numId w:val="11"/>
              </w:numPr>
              <w:tabs>
                <w:tab w:pos="891" w:val="left" w:leader="none"/>
              </w:tabs>
              <w:spacing w:line="240" w:lineRule="auto" w:before="37" w:after="0"/>
              <w:ind w:left="928" w:right="0" w:hanging="564"/>
              <w:jc w:val="left"/>
              <w:rPr>
                <w:sz w:val="21"/>
              </w:rPr>
            </w:pPr>
            <w:r>
              <w:rPr>
                <w:spacing w:val="-3"/>
                <w:sz w:val="21"/>
              </w:rPr>
              <w:t>无有效行驶证</w:t>
            </w:r>
          </w:p>
          <w:p>
            <w:pPr>
              <w:pStyle w:val="TableParagraph"/>
              <w:numPr>
                <w:ilvl w:val="1"/>
                <w:numId w:val="11"/>
              </w:numPr>
              <w:tabs>
                <w:tab w:pos="891" w:val="left" w:leader="none"/>
              </w:tabs>
              <w:spacing w:line="240" w:lineRule="auto" w:before="37" w:after="0"/>
              <w:ind w:left="928" w:right="0" w:hanging="564"/>
              <w:jc w:val="left"/>
              <w:rPr>
                <w:sz w:val="21"/>
              </w:rPr>
            </w:pPr>
            <w:r>
              <w:rPr>
                <w:spacing w:val="-2"/>
                <w:sz w:val="21"/>
              </w:rPr>
              <w:t>机动车</w:t>
            </w:r>
          </w:p>
          <w:p>
            <w:pPr>
              <w:pStyle w:val="TableParagraph"/>
              <w:numPr>
                <w:ilvl w:val="1"/>
                <w:numId w:val="11"/>
              </w:numPr>
              <w:tabs>
                <w:tab w:pos="893" w:val="left" w:leader="none"/>
              </w:tabs>
              <w:spacing w:line="273" w:lineRule="auto" w:before="37" w:after="0"/>
              <w:ind w:left="928" w:right="128" w:hanging="566"/>
              <w:jc w:val="left"/>
              <w:rPr>
                <w:sz w:val="21"/>
              </w:rPr>
            </w:pPr>
            <w:r>
              <w:rPr>
                <w:spacing w:val="1"/>
                <w:sz w:val="21"/>
              </w:rPr>
              <w:t>感染艾滋病病毒或患艾滋病</w:t>
            </w:r>
          </w:p>
          <w:p>
            <w:pPr>
              <w:pStyle w:val="TableParagraph"/>
              <w:numPr>
                <w:ilvl w:val="1"/>
                <w:numId w:val="11"/>
              </w:numPr>
              <w:tabs>
                <w:tab w:pos="891" w:val="left" w:leader="none"/>
              </w:tabs>
              <w:spacing w:line="240" w:lineRule="auto" w:before="7" w:after="0"/>
              <w:ind w:left="928" w:right="0" w:hanging="564"/>
              <w:jc w:val="left"/>
              <w:rPr>
                <w:sz w:val="21"/>
              </w:rPr>
            </w:pPr>
            <w:r>
              <w:rPr>
                <w:spacing w:val="-3"/>
                <w:sz w:val="21"/>
              </w:rPr>
              <w:t>遗传性疾病</w:t>
            </w:r>
          </w:p>
          <w:p>
            <w:pPr>
              <w:pStyle w:val="TableParagraph"/>
              <w:numPr>
                <w:ilvl w:val="1"/>
                <w:numId w:val="11"/>
              </w:numPr>
              <w:tabs>
                <w:tab w:pos="999" w:val="left" w:leader="none"/>
              </w:tabs>
              <w:spacing w:line="268" w:lineRule="auto" w:before="31" w:after="0"/>
              <w:ind w:left="993" w:right="131" w:hanging="629"/>
              <w:jc w:val="left"/>
              <w:rPr>
                <w:sz w:val="21"/>
              </w:rPr>
            </w:pPr>
            <w:r>
              <w:rPr>
                <w:spacing w:val="-10"/>
                <w:position w:val="1"/>
                <w:sz w:val="21"/>
              </w:rPr>
              <w:t>先天性畸形、变</w:t>
            </w:r>
            <w:r>
              <w:rPr>
                <w:sz w:val="21"/>
              </w:rPr>
              <w:t>形或染色体异常</w:t>
            </w:r>
          </w:p>
          <w:p>
            <w:pPr>
              <w:pStyle w:val="TableParagraph"/>
              <w:numPr>
                <w:ilvl w:val="1"/>
                <w:numId w:val="11"/>
              </w:numPr>
              <w:tabs>
                <w:tab w:pos="996" w:val="left" w:leader="none"/>
              </w:tabs>
              <w:spacing w:line="240" w:lineRule="auto" w:before="11" w:after="0"/>
              <w:ind w:left="995" w:right="0" w:hanging="631"/>
              <w:jc w:val="left"/>
              <w:rPr>
                <w:sz w:val="21"/>
              </w:rPr>
            </w:pPr>
            <w:r>
              <w:rPr>
                <w:spacing w:val="-2"/>
                <w:sz w:val="21"/>
              </w:rPr>
              <w:t>现金价值</w:t>
            </w:r>
          </w:p>
          <w:p>
            <w:pPr>
              <w:pStyle w:val="TableParagraph"/>
              <w:numPr>
                <w:ilvl w:val="1"/>
                <w:numId w:val="11"/>
              </w:numPr>
              <w:tabs>
                <w:tab w:pos="996" w:val="left" w:leader="none"/>
              </w:tabs>
              <w:spacing w:line="240" w:lineRule="auto" w:before="37" w:after="0"/>
              <w:ind w:left="995" w:right="0" w:hanging="631"/>
              <w:jc w:val="left"/>
              <w:rPr>
                <w:sz w:val="21"/>
              </w:rPr>
            </w:pPr>
            <w:r>
              <w:rPr>
                <w:spacing w:val="-2"/>
                <w:sz w:val="21"/>
              </w:rPr>
              <w:t>专科医生</w:t>
            </w:r>
          </w:p>
          <w:p>
            <w:pPr>
              <w:pStyle w:val="TableParagraph"/>
              <w:numPr>
                <w:ilvl w:val="1"/>
                <w:numId w:val="11"/>
              </w:numPr>
              <w:tabs>
                <w:tab w:pos="996" w:val="left" w:leader="none"/>
              </w:tabs>
              <w:spacing w:line="240" w:lineRule="auto" w:before="37" w:after="0"/>
              <w:ind w:left="995" w:right="0" w:hanging="631"/>
              <w:jc w:val="left"/>
              <w:rPr>
                <w:sz w:val="21"/>
              </w:rPr>
            </w:pPr>
            <w:r>
              <w:rPr>
                <w:spacing w:val="-3"/>
                <w:sz w:val="21"/>
              </w:rPr>
              <w:t>肢体机能完全丧失</w:t>
            </w:r>
          </w:p>
          <w:p>
            <w:pPr>
              <w:pStyle w:val="TableParagraph"/>
              <w:numPr>
                <w:ilvl w:val="1"/>
                <w:numId w:val="11"/>
              </w:numPr>
              <w:tabs>
                <w:tab w:pos="996" w:val="left" w:leader="none"/>
              </w:tabs>
              <w:spacing w:line="273" w:lineRule="auto" w:before="37" w:after="0"/>
              <w:ind w:left="993" w:right="292" w:hanging="629"/>
              <w:jc w:val="left"/>
              <w:rPr>
                <w:sz w:val="21"/>
              </w:rPr>
            </w:pPr>
            <w:r>
              <w:rPr>
                <w:spacing w:val="-3"/>
                <w:sz w:val="21"/>
              </w:rPr>
              <w:t>语言能力或咀嚼吞咽能力完全丧失</w:t>
            </w:r>
          </w:p>
          <w:p>
            <w:pPr>
              <w:pStyle w:val="TableParagraph"/>
              <w:numPr>
                <w:ilvl w:val="1"/>
                <w:numId w:val="11"/>
              </w:numPr>
              <w:tabs>
                <w:tab w:pos="996" w:val="left" w:leader="none"/>
              </w:tabs>
              <w:spacing w:line="240" w:lineRule="auto" w:before="2" w:after="0"/>
              <w:ind w:left="995" w:right="0" w:hanging="631"/>
              <w:jc w:val="left"/>
              <w:rPr>
                <w:sz w:val="21"/>
              </w:rPr>
            </w:pPr>
            <w:r>
              <w:rPr>
                <w:spacing w:val="-20"/>
                <w:position w:val="1"/>
                <w:sz w:val="21"/>
              </w:rPr>
              <w:t>六项基本日常生活活动</w:t>
            </w:r>
          </w:p>
          <w:p>
            <w:pPr>
              <w:pStyle w:val="TableParagraph"/>
              <w:numPr>
                <w:ilvl w:val="1"/>
                <w:numId w:val="11"/>
              </w:numPr>
              <w:tabs>
                <w:tab w:pos="996" w:val="left" w:leader="none"/>
              </w:tabs>
              <w:spacing w:line="240" w:lineRule="auto" w:before="27" w:after="0"/>
              <w:ind w:left="995" w:right="0" w:hanging="631"/>
              <w:jc w:val="left"/>
              <w:rPr>
                <w:sz w:val="21"/>
              </w:rPr>
            </w:pPr>
            <w:r>
              <w:rPr>
                <w:position w:val="1"/>
                <w:sz w:val="21"/>
              </w:rPr>
              <w:t>永久不可逆</w:t>
            </w:r>
          </w:p>
          <w:p>
            <w:pPr>
              <w:pStyle w:val="TableParagraph"/>
              <w:numPr>
                <w:ilvl w:val="1"/>
                <w:numId w:val="11"/>
              </w:numPr>
              <w:tabs>
                <w:tab w:pos="996" w:val="left" w:leader="none"/>
              </w:tabs>
              <w:spacing w:line="240" w:lineRule="auto" w:before="32" w:after="0"/>
              <w:ind w:left="995" w:right="0" w:hanging="631"/>
              <w:jc w:val="left"/>
              <w:rPr>
                <w:sz w:val="21"/>
              </w:rPr>
            </w:pPr>
            <w:r>
              <w:rPr>
                <w:spacing w:val="-3"/>
                <w:sz w:val="21"/>
              </w:rPr>
              <w:t>本合同约定利率</w:t>
            </w:r>
          </w:p>
        </w:tc>
      </w:tr>
    </w:tbl>
    <w:p>
      <w:pPr>
        <w:spacing w:after="0" w:line="240" w:lineRule="auto"/>
        <w:jc w:val="left"/>
        <w:rPr>
          <w:sz w:val="21"/>
        </w:rPr>
        <w:sectPr>
          <w:headerReference w:type="default" r:id="rId5"/>
          <w:footerReference w:type="default" r:id="rId6"/>
          <w:type w:val="continuous"/>
          <w:pgSz w:w="11910" w:h="16840"/>
          <w:pgMar w:header="566" w:footer="664" w:top="1000" w:bottom="860" w:left="1000" w:right="1000"/>
          <w:pgNumType w:start="1"/>
        </w:sectPr>
      </w:pPr>
    </w:p>
    <w:p>
      <w:pPr>
        <w:pStyle w:val="BodyText"/>
        <w:spacing w:before="1"/>
        <w:rPr>
          <w:b/>
          <w:sz w:val="27"/>
        </w:rPr>
      </w:pPr>
    </w:p>
    <w:p>
      <w:pPr>
        <w:pStyle w:val="BodyText"/>
        <w:spacing w:before="36"/>
        <w:ind w:left="132"/>
      </w:pPr>
      <w:r>
        <w:rPr/>
        <w:t>在本条款中，“您”指投保人，“我们”、“本公司”均指百年人寿保险股份有限公司，“本附加合同”</w:t>
      </w:r>
    </w:p>
    <w:p>
      <w:pPr>
        <w:pStyle w:val="BodyText"/>
        <w:spacing w:before="37"/>
        <w:ind w:left="132"/>
      </w:pPr>
      <w:r>
        <w:rPr/>
        <w:t>（以下简称本合同）指您与我们之间订立的“百年附加安康宝提前给付重大疾病保险合同”。</w:t>
      </w:r>
    </w:p>
    <w:p>
      <w:pPr>
        <w:pStyle w:val="BodyText"/>
        <w:spacing w:before="6"/>
        <w:rPr>
          <w:sz w:val="29"/>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76"/>
        <w:gridCol w:w="7576"/>
      </w:tblGrid>
      <w:tr>
        <w:trPr>
          <w:trHeight w:val="402" w:hRule="atLeast"/>
        </w:trPr>
        <w:tc>
          <w:tcPr>
            <w:tcW w:w="627" w:type="dxa"/>
            <w:tcBorders>
              <w:bottom w:val="single" w:sz="6" w:space="0" w:color="000000"/>
            </w:tcBorders>
          </w:tcPr>
          <w:p>
            <w:pPr>
              <w:pStyle w:val="TableParagraph"/>
              <w:spacing w:line="322" w:lineRule="exact" w:before="0"/>
              <w:ind w:left="-2"/>
              <w:rPr>
                <w:b/>
                <w:sz w:val="28"/>
              </w:rPr>
            </w:pPr>
            <w:r>
              <w:rPr>
                <w:b/>
                <w:w w:val="99"/>
                <w:sz w:val="28"/>
              </w:rPr>
              <w:t>⒈</w:t>
            </w:r>
          </w:p>
        </w:tc>
        <w:tc>
          <w:tcPr>
            <w:tcW w:w="9352" w:type="dxa"/>
            <w:gridSpan w:val="2"/>
            <w:tcBorders>
              <w:bottom w:val="single" w:sz="6" w:space="0" w:color="000000"/>
            </w:tcBorders>
          </w:tcPr>
          <w:p>
            <w:pPr>
              <w:pStyle w:val="TableParagraph"/>
              <w:spacing w:line="240" w:lineRule="exact" w:before="0"/>
              <w:ind w:left="310"/>
              <w:rPr>
                <w:b/>
                <w:sz w:val="24"/>
              </w:rPr>
            </w:pPr>
            <w:r>
              <w:rPr>
                <w:b/>
                <w:sz w:val="24"/>
              </w:rPr>
              <w:t>您与我们订立的合同</w:t>
            </w:r>
          </w:p>
        </w:tc>
      </w:tr>
      <w:tr>
        <w:trPr>
          <w:trHeight w:val="2125" w:hRule="atLeast"/>
        </w:trPr>
        <w:tc>
          <w:tcPr>
            <w:tcW w:w="627" w:type="dxa"/>
            <w:tcBorders>
              <w:top w:val="single" w:sz="6" w:space="0" w:color="000000"/>
            </w:tcBorders>
          </w:tcPr>
          <w:p>
            <w:pPr>
              <w:pStyle w:val="TableParagraph"/>
              <w:spacing w:before="150"/>
              <w:ind w:left="-2"/>
              <w:rPr>
                <w:b/>
                <w:sz w:val="21"/>
              </w:rPr>
            </w:pPr>
            <w:r>
              <w:rPr>
                <w:b/>
                <w:sz w:val="21"/>
              </w:rPr>
              <w:t>1.1</w:t>
            </w:r>
          </w:p>
        </w:tc>
        <w:tc>
          <w:tcPr>
            <w:tcW w:w="1776" w:type="dxa"/>
            <w:tcBorders>
              <w:top w:val="single" w:sz="6" w:space="0" w:color="000000"/>
            </w:tcBorders>
          </w:tcPr>
          <w:p>
            <w:pPr>
              <w:pStyle w:val="TableParagraph"/>
              <w:spacing w:before="150"/>
              <w:ind w:left="310"/>
              <w:rPr>
                <w:b/>
                <w:sz w:val="21"/>
              </w:rPr>
            </w:pPr>
            <w:r>
              <w:rPr>
                <w:b/>
                <w:sz w:val="21"/>
              </w:rPr>
              <w:t>合同构成</w:t>
            </w:r>
          </w:p>
        </w:tc>
        <w:tc>
          <w:tcPr>
            <w:tcW w:w="7576" w:type="dxa"/>
            <w:tcBorders>
              <w:top w:val="single" w:sz="6" w:space="0" w:color="000000"/>
            </w:tcBorders>
          </w:tcPr>
          <w:p>
            <w:pPr>
              <w:pStyle w:val="TableParagraph"/>
              <w:spacing w:line="273" w:lineRule="auto" w:before="150"/>
              <w:ind w:left="197" w:right="18"/>
              <w:rPr>
                <w:sz w:val="21"/>
              </w:rPr>
            </w:pPr>
            <w:r>
              <w:rPr>
                <w:spacing w:val="-3"/>
                <w:sz w:val="21"/>
              </w:rPr>
              <w:t>本合同是主保险合同</w:t>
            </w:r>
            <w:r>
              <w:rPr>
                <w:sz w:val="21"/>
              </w:rPr>
              <w:t>（</w:t>
            </w:r>
            <w:r>
              <w:rPr>
                <w:spacing w:val="-3"/>
                <w:sz w:val="21"/>
              </w:rPr>
              <w:t>以下简称主合同）的附加合同。本合同包括本保险条款、</w:t>
            </w:r>
            <w:r>
              <w:rPr>
                <w:spacing w:val="-9"/>
                <w:sz w:val="21"/>
              </w:rPr>
              <w:t>保险单或其他保险凭证、投保书副本、与本合同有关的投保文件、合法有效的声</w:t>
            </w:r>
            <w:r>
              <w:rPr>
                <w:spacing w:val="-5"/>
                <w:sz w:val="21"/>
              </w:rPr>
              <w:t>明、批注、批单及其他您与我们共同认可的书面协议。</w:t>
            </w:r>
          </w:p>
          <w:p>
            <w:pPr>
              <w:pStyle w:val="TableParagraph"/>
              <w:spacing w:line="273" w:lineRule="auto" w:before="7"/>
              <w:ind w:left="197" w:right="105"/>
              <w:jc w:val="both"/>
              <w:rPr>
                <w:sz w:val="21"/>
              </w:rPr>
            </w:pPr>
            <w:r>
              <w:rPr>
                <w:spacing w:val="-8"/>
                <w:sz w:val="21"/>
              </w:rPr>
              <w:t>若上述构成本合同的文件正本需留我们存档，则其复印件或电子影像印刷件亦视</w:t>
            </w:r>
            <w:r>
              <w:rPr>
                <w:spacing w:val="-12"/>
                <w:sz w:val="21"/>
              </w:rPr>
              <w:t>为本合同的构成部分，其效力与正本相同；若复印件或电子影像印刷件的内容与</w:t>
            </w:r>
            <w:r>
              <w:rPr>
                <w:spacing w:val="-6"/>
                <w:sz w:val="21"/>
              </w:rPr>
              <w:t>正本不同时，则以正本为准。</w:t>
            </w:r>
          </w:p>
        </w:tc>
      </w:tr>
      <w:tr>
        <w:trPr>
          <w:trHeight w:val="804" w:hRule="atLeast"/>
        </w:trPr>
        <w:tc>
          <w:tcPr>
            <w:tcW w:w="627" w:type="dxa"/>
          </w:tcPr>
          <w:p>
            <w:pPr>
              <w:pStyle w:val="TableParagraph"/>
              <w:ind w:left="-2"/>
              <w:rPr>
                <w:b/>
                <w:sz w:val="21"/>
              </w:rPr>
            </w:pPr>
            <w:r>
              <w:rPr>
                <w:b/>
                <w:sz w:val="21"/>
              </w:rPr>
              <w:t>1.2</w:t>
            </w:r>
          </w:p>
        </w:tc>
        <w:tc>
          <w:tcPr>
            <w:tcW w:w="1776" w:type="dxa"/>
          </w:tcPr>
          <w:p>
            <w:pPr>
              <w:pStyle w:val="TableParagraph"/>
              <w:spacing w:line="273" w:lineRule="auto"/>
              <w:ind w:left="310" w:right="196"/>
              <w:rPr>
                <w:b/>
                <w:sz w:val="21"/>
              </w:rPr>
            </w:pPr>
            <w:r>
              <w:rPr>
                <w:b/>
                <w:sz w:val="21"/>
              </w:rPr>
              <w:t>合同成立与生效</w:t>
            </w:r>
          </w:p>
        </w:tc>
        <w:tc>
          <w:tcPr>
            <w:tcW w:w="7576" w:type="dxa"/>
          </w:tcPr>
          <w:p>
            <w:pPr>
              <w:pStyle w:val="TableParagraph"/>
              <w:ind w:left="197"/>
              <w:rPr>
                <w:sz w:val="21"/>
              </w:rPr>
            </w:pPr>
            <w:r>
              <w:rPr>
                <w:sz w:val="21"/>
              </w:rPr>
              <w:t>本合同须与主合同同时投保，本合同成立及生效日与主合同相同。</w:t>
            </w:r>
          </w:p>
        </w:tc>
      </w:tr>
      <w:tr>
        <w:trPr>
          <w:trHeight w:val="1116" w:hRule="atLeast"/>
        </w:trPr>
        <w:tc>
          <w:tcPr>
            <w:tcW w:w="627" w:type="dxa"/>
          </w:tcPr>
          <w:p>
            <w:pPr>
              <w:pStyle w:val="TableParagraph"/>
              <w:spacing w:before="77"/>
              <w:ind w:left="-2"/>
              <w:rPr>
                <w:b/>
                <w:sz w:val="21"/>
              </w:rPr>
            </w:pPr>
            <w:r>
              <w:rPr>
                <w:b/>
                <w:sz w:val="21"/>
              </w:rPr>
              <w:t>1.3</w:t>
            </w:r>
          </w:p>
        </w:tc>
        <w:tc>
          <w:tcPr>
            <w:tcW w:w="1776" w:type="dxa"/>
          </w:tcPr>
          <w:p>
            <w:pPr>
              <w:pStyle w:val="TableParagraph"/>
              <w:spacing w:before="77"/>
              <w:ind w:left="310"/>
              <w:rPr>
                <w:b/>
                <w:sz w:val="21"/>
              </w:rPr>
            </w:pPr>
            <w:r>
              <w:rPr>
                <w:b/>
                <w:sz w:val="21"/>
              </w:rPr>
              <w:t>投保年龄</w:t>
            </w:r>
          </w:p>
        </w:tc>
        <w:tc>
          <w:tcPr>
            <w:tcW w:w="7576" w:type="dxa"/>
          </w:tcPr>
          <w:p>
            <w:pPr>
              <w:pStyle w:val="TableParagraph"/>
              <w:spacing w:before="77"/>
              <w:ind w:left="197"/>
              <w:rPr>
                <w:sz w:val="21"/>
              </w:rPr>
            </w:pPr>
            <w:r>
              <w:rPr>
                <w:sz w:val="21"/>
              </w:rPr>
              <w:t>指您投保时被保险人的年龄，投保年龄以周岁计算，本合同接受的投保年龄为 0</w:t>
            </w:r>
          </w:p>
          <w:p>
            <w:pPr>
              <w:pStyle w:val="TableParagraph"/>
              <w:spacing w:line="273" w:lineRule="auto" w:before="37"/>
              <w:ind w:left="197" w:right="106"/>
              <w:rPr>
                <w:sz w:val="21"/>
              </w:rPr>
            </w:pPr>
            <w:r>
              <w:rPr>
                <w:spacing w:val="-13"/>
                <w:sz w:val="21"/>
              </w:rPr>
              <w:t>周岁至 </w:t>
            </w:r>
            <w:r>
              <w:rPr>
                <w:sz w:val="21"/>
              </w:rPr>
              <w:t>55</w:t>
            </w:r>
            <w:r>
              <w:rPr>
                <w:spacing w:val="-15"/>
                <w:sz w:val="21"/>
              </w:rPr>
              <w:t> 周岁，投保时被保险人为 </w:t>
            </w:r>
            <w:r>
              <w:rPr>
                <w:sz w:val="21"/>
              </w:rPr>
              <w:t>0</w:t>
            </w:r>
            <w:r>
              <w:rPr>
                <w:spacing w:val="-14"/>
                <w:sz w:val="21"/>
              </w:rPr>
              <w:t> 周岁的，应当为出生满 </w:t>
            </w:r>
            <w:r>
              <w:rPr>
                <w:sz w:val="21"/>
              </w:rPr>
              <w:t>28</w:t>
            </w:r>
            <w:r>
              <w:rPr>
                <w:spacing w:val="-9"/>
                <w:sz w:val="21"/>
              </w:rPr>
              <w:t> 日且已健康出院</w:t>
            </w:r>
            <w:r>
              <w:rPr>
                <w:spacing w:val="-6"/>
                <w:sz w:val="21"/>
              </w:rPr>
              <w:t>的婴儿。</w:t>
            </w:r>
          </w:p>
        </w:tc>
      </w:tr>
      <w:tr>
        <w:trPr>
          <w:trHeight w:val="1792" w:hRule="atLeast"/>
        </w:trPr>
        <w:tc>
          <w:tcPr>
            <w:tcW w:w="627" w:type="dxa"/>
          </w:tcPr>
          <w:p>
            <w:pPr>
              <w:pStyle w:val="TableParagraph"/>
              <w:ind w:left="-2"/>
              <w:rPr>
                <w:b/>
                <w:sz w:val="21"/>
              </w:rPr>
            </w:pPr>
            <w:r>
              <w:rPr>
                <w:b/>
                <w:sz w:val="21"/>
              </w:rPr>
              <w:t>1.4</w:t>
            </w:r>
          </w:p>
        </w:tc>
        <w:tc>
          <w:tcPr>
            <w:tcW w:w="1776" w:type="dxa"/>
          </w:tcPr>
          <w:p>
            <w:pPr>
              <w:pStyle w:val="TableParagraph"/>
              <w:ind w:left="310"/>
              <w:rPr>
                <w:b/>
                <w:sz w:val="21"/>
              </w:rPr>
            </w:pPr>
            <w:r>
              <w:rPr>
                <w:b/>
                <w:sz w:val="21"/>
              </w:rPr>
              <w:t>犹豫期</w:t>
            </w:r>
          </w:p>
        </w:tc>
        <w:tc>
          <w:tcPr>
            <w:tcW w:w="7576" w:type="dxa"/>
          </w:tcPr>
          <w:p>
            <w:pPr>
              <w:pStyle w:val="TableParagraph"/>
              <w:spacing w:line="273" w:lineRule="auto"/>
              <w:ind w:left="197" w:right="100"/>
              <w:rPr>
                <w:rFonts w:ascii="黑体" w:eastAsia="黑体" w:hint="eastAsia"/>
                <w:b/>
                <w:sz w:val="21"/>
              </w:rPr>
            </w:pPr>
            <w:r>
              <w:rPr>
                <w:rFonts w:ascii="黑体" w:eastAsia="黑体" w:hint="eastAsia"/>
                <w:b/>
                <w:spacing w:val="-6"/>
                <w:sz w:val="21"/>
              </w:rPr>
              <w:t>自您签收本合同之日起享有 </w:t>
            </w:r>
            <w:r>
              <w:rPr>
                <w:rFonts w:ascii="黑体" w:eastAsia="黑体" w:hint="eastAsia"/>
                <w:b/>
                <w:sz w:val="21"/>
              </w:rPr>
              <w:t>10</w:t>
            </w:r>
            <w:r>
              <w:rPr>
                <w:rFonts w:ascii="黑体" w:eastAsia="黑体" w:hint="eastAsia"/>
                <w:b/>
                <w:spacing w:val="-7"/>
                <w:sz w:val="21"/>
              </w:rPr>
              <w:t> 日的犹豫期。在此期间，请您认真审视本合同。如果您确定本合同与您的需求不相符，您可以书面提出解除本合同申请，您应将本合同、保险费发票原件以及您所能提供的其他与解除合同有关的材料提交</w:t>
            </w:r>
            <w:r>
              <w:rPr>
                <w:rFonts w:ascii="黑体" w:eastAsia="黑体" w:hint="eastAsia"/>
                <w:b/>
                <w:spacing w:val="-3"/>
                <w:sz w:val="21"/>
              </w:rPr>
              <w:t>给我们。自您书面申请解除合同之日起，本合同正式解除，我们自本合同</w:t>
            </w:r>
            <w:r>
              <w:rPr>
                <w:rFonts w:ascii="黑体" w:eastAsia="黑体" w:hint="eastAsia"/>
                <w:b/>
                <w:sz w:val="21"/>
              </w:rPr>
              <w:t>Th效</w:t>
            </w:r>
            <w:r>
              <w:rPr>
                <w:rFonts w:ascii="黑体" w:eastAsia="黑体" w:hint="eastAsia"/>
                <w:b/>
                <w:spacing w:val="-3"/>
                <w:sz w:val="21"/>
              </w:rPr>
              <w:t>之日起自始不承担保险责任，但无息退还您所交纳的保险费。</w:t>
            </w:r>
          </w:p>
        </w:tc>
      </w:tr>
      <w:tr>
        <w:trPr>
          <w:trHeight w:val="593" w:hRule="atLeast"/>
        </w:trPr>
        <w:tc>
          <w:tcPr>
            <w:tcW w:w="627" w:type="dxa"/>
            <w:tcBorders>
              <w:bottom w:val="single" w:sz="6" w:space="0" w:color="000000"/>
            </w:tcBorders>
          </w:tcPr>
          <w:p>
            <w:pPr>
              <w:pStyle w:val="TableParagraph"/>
              <w:spacing w:before="122"/>
              <w:ind w:left="-2"/>
              <w:rPr>
                <w:b/>
                <w:sz w:val="28"/>
              </w:rPr>
            </w:pPr>
            <w:r>
              <w:rPr>
                <w:b/>
                <w:w w:val="99"/>
                <w:sz w:val="28"/>
              </w:rPr>
              <w:t>⒉</w:t>
            </w:r>
          </w:p>
        </w:tc>
        <w:tc>
          <w:tcPr>
            <w:tcW w:w="9352" w:type="dxa"/>
            <w:gridSpan w:val="2"/>
            <w:tcBorders>
              <w:bottom w:val="single" w:sz="6" w:space="0" w:color="000000"/>
            </w:tcBorders>
          </w:tcPr>
          <w:p>
            <w:pPr>
              <w:pStyle w:val="TableParagraph"/>
              <w:spacing w:before="118"/>
              <w:ind w:left="310"/>
              <w:rPr>
                <w:b/>
                <w:sz w:val="24"/>
              </w:rPr>
            </w:pPr>
            <w:r>
              <w:rPr>
                <w:b/>
                <w:w w:val="95"/>
                <w:sz w:val="24"/>
              </w:rPr>
              <w:t>我们提供的保障</w:t>
            </w:r>
          </w:p>
        </w:tc>
      </w:tr>
      <w:tr>
        <w:trPr>
          <w:trHeight w:val="567" w:hRule="atLeast"/>
        </w:trPr>
        <w:tc>
          <w:tcPr>
            <w:tcW w:w="627" w:type="dxa"/>
            <w:tcBorders>
              <w:top w:val="single" w:sz="6" w:space="0" w:color="000000"/>
            </w:tcBorders>
          </w:tcPr>
          <w:p>
            <w:pPr>
              <w:pStyle w:val="TableParagraph"/>
              <w:spacing w:before="152"/>
              <w:ind w:left="-2"/>
              <w:rPr>
                <w:b/>
                <w:sz w:val="21"/>
              </w:rPr>
            </w:pPr>
            <w:r>
              <w:rPr>
                <w:b/>
                <w:sz w:val="21"/>
              </w:rPr>
              <w:t>2.1</w:t>
            </w:r>
          </w:p>
        </w:tc>
        <w:tc>
          <w:tcPr>
            <w:tcW w:w="1776" w:type="dxa"/>
            <w:tcBorders>
              <w:top w:val="single" w:sz="6" w:space="0" w:color="000000"/>
            </w:tcBorders>
          </w:tcPr>
          <w:p>
            <w:pPr>
              <w:pStyle w:val="TableParagraph"/>
              <w:spacing w:before="152"/>
              <w:ind w:left="310"/>
              <w:rPr>
                <w:b/>
                <w:sz w:val="21"/>
              </w:rPr>
            </w:pPr>
            <w:r>
              <w:rPr>
                <w:b/>
                <w:sz w:val="21"/>
              </w:rPr>
              <w:t>基本保额</w:t>
            </w:r>
          </w:p>
        </w:tc>
        <w:tc>
          <w:tcPr>
            <w:tcW w:w="7576" w:type="dxa"/>
            <w:tcBorders>
              <w:top w:val="single" w:sz="6" w:space="0" w:color="000000"/>
            </w:tcBorders>
          </w:tcPr>
          <w:p>
            <w:pPr>
              <w:pStyle w:val="TableParagraph"/>
              <w:spacing w:before="152"/>
              <w:ind w:left="197"/>
              <w:rPr>
                <w:sz w:val="21"/>
              </w:rPr>
            </w:pPr>
            <w:r>
              <w:rPr>
                <w:sz w:val="21"/>
              </w:rPr>
              <w:t>本合同的基本保额由您与我们约定并在保险单上载明。</w:t>
            </w:r>
          </w:p>
        </w:tc>
      </w:tr>
      <w:tr>
        <w:trPr>
          <w:trHeight w:val="581" w:hRule="atLeast"/>
        </w:trPr>
        <w:tc>
          <w:tcPr>
            <w:tcW w:w="627" w:type="dxa"/>
          </w:tcPr>
          <w:p>
            <w:pPr>
              <w:pStyle w:val="TableParagraph"/>
              <w:ind w:left="-2"/>
              <w:rPr>
                <w:b/>
                <w:sz w:val="21"/>
              </w:rPr>
            </w:pPr>
            <w:r>
              <w:rPr>
                <w:b/>
                <w:sz w:val="21"/>
              </w:rPr>
              <w:t>2.2</w:t>
            </w:r>
          </w:p>
        </w:tc>
        <w:tc>
          <w:tcPr>
            <w:tcW w:w="1776" w:type="dxa"/>
          </w:tcPr>
          <w:p>
            <w:pPr>
              <w:pStyle w:val="TableParagraph"/>
              <w:ind w:left="310"/>
              <w:rPr>
                <w:b/>
                <w:sz w:val="21"/>
              </w:rPr>
            </w:pPr>
            <w:r>
              <w:rPr>
                <w:b/>
                <w:sz w:val="21"/>
              </w:rPr>
              <w:t>保险期间</w:t>
            </w:r>
          </w:p>
        </w:tc>
        <w:tc>
          <w:tcPr>
            <w:tcW w:w="7576" w:type="dxa"/>
          </w:tcPr>
          <w:p>
            <w:pPr>
              <w:pStyle w:val="TableParagraph"/>
              <w:ind w:left="197"/>
              <w:rPr>
                <w:sz w:val="21"/>
              </w:rPr>
            </w:pPr>
            <w:r>
              <w:rPr>
                <w:sz w:val="21"/>
              </w:rPr>
              <w:t>本合同的保险期间与主合同一致。</w:t>
            </w:r>
          </w:p>
        </w:tc>
      </w:tr>
      <w:tr>
        <w:trPr>
          <w:trHeight w:val="4056" w:hRule="atLeast"/>
        </w:trPr>
        <w:tc>
          <w:tcPr>
            <w:tcW w:w="627" w:type="dxa"/>
          </w:tcPr>
          <w:p>
            <w:pPr>
              <w:pStyle w:val="TableParagraph"/>
              <w:spacing w:line="262" w:lineRule="exact" w:before="0"/>
              <w:ind w:left="-2"/>
              <w:rPr>
                <w:b/>
                <w:sz w:val="21"/>
              </w:rPr>
            </w:pPr>
            <w:r>
              <w:rPr>
                <w:b/>
                <w:sz w:val="21"/>
              </w:rPr>
              <w:t>2.3</w:t>
            </w:r>
          </w:p>
        </w:tc>
        <w:tc>
          <w:tcPr>
            <w:tcW w:w="1776" w:type="dxa"/>
          </w:tcPr>
          <w:p>
            <w:pPr>
              <w:pStyle w:val="TableParagraph"/>
              <w:spacing w:line="262" w:lineRule="exact" w:before="0"/>
              <w:ind w:left="310"/>
              <w:rPr>
                <w:b/>
                <w:sz w:val="21"/>
              </w:rPr>
            </w:pPr>
            <w:r>
              <w:rPr>
                <w:b/>
                <w:sz w:val="21"/>
              </w:rPr>
              <w:t>保险责任</w:t>
            </w:r>
          </w:p>
        </w:tc>
        <w:tc>
          <w:tcPr>
            <w:tcW w:w="7576" w:type="dxa"/>
            <w:tcBorders>
              <w:right w:val="single" w:sz="4" w:space="0" w:color="FFFFFF"/>
            </w:tcBorders>
          </w:tcPr>
          <w:p>
            <w:pPr>
              <w:pStyle w:val="TableParagraph"/>
              <w:spacing w:line="262" w:lineRule="exact" w:before="0"/>
              <w:ind w:left="197"/>
              <w:rPr>
                <w:sz w:val="21"/>
              </w:rPr>
            </w:pPr>
            <w:r>
              <w:rPr>
                <w:sz w:val="21"/>
              </w:rPr>
              <w:t>在本合同有效期间内，我们承担下列保险责任：</w:t>
            </w:r>
          </w:p>
          <w:p>
            <w:pPr>
              <w:pStyle w:val="TableParagraph"/>
              <w:spacing w:before="9"/>
              <w:ind w:left="0"/>
              <w:rPr>
                <w:sz w:val="14"/>
              </w:rPr>
            </w:pPr>
          </w:p>
          <w:p>
            <w:pPr>
              <w:pStyle w:val="TableParagraph"/>
              <w:spacing w:line="273" w:lineRule="auto" w:before="1"/>
              <w:ind w:left="197" w:right="99"/>
              <w:jc w:val="both"/>
              <w:rPr>
                <w:sz w:val="21"/>
              </w:rPr>
            </w:pPr>
            <w:r>
              <w:rPr>
                <w:spacing w:val="-3"/>
                <w:sz w:val="21"/>
              </w:rPr>
              <w:t>在本合同生效日或本合同中止后的最后复效日</w:t>
            </w:r>
            <w:r>
              <w:rPr>
                <w:sz w:val="21"/>
              </w:rPr>
              <w:t>（</w:t>
            </w:r>
            <w:r>
              <w:rPr>
                <w:spacing w:val="-3"/>
                <w:sz w:val="21"/>
              </w:rPr>
              <w:t>以较迟者为准</w:t>
            </w:r>
            <w:r>
              <w:rPr>
                <w:sz w:val="21"/>
              </w:rPr>
              <w:t>）</w:t>
            </w:r>
            <w:r>
              <w:rPr>
                <w:spacing w:val="-12"/>
                <w:sz w:val="21"/>
              </w:rPr>
              <w:t>起 </w:t>
            </w:r>
            <w:r>
              <w:rPr>
                <w:sz w:val="21"/>
              </w:rPr>
              <w:t>90</w:t>
            </w:r>
            <w:r>
              <w:rPr>
                <w:spacing w:val="-8"/>
                <w:sz w:val="21"/>
              </w:rPr>
              <w:t> 日以后， 被保险人经</w:t>
            </w:r>
            <w:r>
              <w:rPr>
                <w:b/>
                <w:spacing w:val="-8"/>
                <w:sz w:val="21"/>
              </w:rPr>
              <w:t>我们认可的医院</w:t>
            </w:r>
            <w:r>
              <w:rPr>
                <w:b/>
                <w:spacing w:val="-8"/>
                <w:position w:val="11"/>
                <w:sz w:val="11"/>
              </w:rPr>
              <w:t>［10.1］</w:t>
            </w:r>
            <w:r>
              <w:rPr>
                <w:spacing w:val="-8"/>
                <w:sz w:val="21"/>
              </w:rPr>
              <w:t>确诊初次患上一种或多种本合同所约定的重大</w:t>
            </w:r>
            <w:r>
              <w:rPr>
                <w:spacing w:val="-12"/>
                <w:sz w:val="21"/>
              </w:rPr>
              <w:t>疾病，我们给付本合同的基本保额与本合同及其主合同累计已交保险费二者相比</w:t>
            </w:r>
            <w:r>
              <w:rPr>
                <w:spacing w:val="-3"/>
                <w:sz w:val="21"/>
              </w:rPr>
              <w:t>的较大者，本合同效力终止。</w:t>
            </w:r>
          </w:p>
          <w:p>
            <w:pPr>
              <w:pStyle w:val="TableParagraph"/>
              <w:spacing w:line="273" w:lineRule="auto" w:before="164"/>
              <w:ind w:left="197" w:right="-15"/>
              <w:rPr>
                <w:rFonts w:ascii="黑体" w:eastAsia="黑体" w:hint="eastAsia"/>
                <w:b/>
                <w:sz w:val="21"/>
              </w:rPr>
            </w:pPr>
            <w:r>
              <w:rPr>
                <w:rFonts w:ascii="黑体" w:eastAsia="黑体" w:hint="eastAsia"/>
                <w:b/>
                <w:sz w:val="21"/>
              </w:rPr>
              <w:t>本合同Th</w:t>
            </w:r>
            <w:r>
              <w:rPr>
                <w:rFonts w:ascii="黑体" w:eastAsia="黑体" w:hint="eastAsia"/>
                <w:b/>
                <w:spacing w:val="-6"/>
                <w:sz w:val="21"/>
              </w:rPr>
              <w:t>效日或本合同中止后的最后复效日</w:t>
            </w:r>
            <w:r>
              <w:rPr>
                <w:rFonts w:ascii="黑体" w:eastAsia="黑体" w:hint="eastAsia"/>
                <w:b/>
                <w:sz w:val="21"/>
              </w:rPr>
              <w:t>（</w:t>
            </w:r>
            <w:r>
              <w:rPr>
                <w:rFonts w:ascii="黑体" w:eastAsia="黑体" w:hint="eastAsia"/>
                <w:b/>
                <w:spacing w:val="-2"/>
                <w:sz w:val="21"/>
              </w:rPr>
              <w:t>以较迟者为准</w:t>
            </w:r>
            <w:r>
              <w:rPr>
                <w:rFonts w:ascii="黑体" w:eastAsia="黑体" w:hint="eastAsia"/>
                <w:b/>
                <w:spacing w:val="-58"/>
                <w:sz w:val="21"/>
              </w:rPr>
              <w:t>）</w:t>
            </w:r>
            <w:r>
              <w:rPr>
                <w:rFonts w:ascii="黑体" w:eastAsia="黑体" w:hint="eastAsia"/>
                <w:b/>
                <w:spacing w:val="-24"/>
                <w:sz w:val="21"/>
              </w:rPr>
              <w:t>起 </w:t>
            </w:r>
            <w:r>
              <w:rPr>
                <w:rFonts w:ascii="黑体" w:eastAsia="黑体" w:hint="eastAsia"/>
                <w:b/>
                <w:sz w:val="21"/>
              </w:rPr>
              <w:t>90</w:t>
            </w:r>
            <w:r>
              <w:rPr>
                <w:rFonts w:ascii="黑体" w:eastAsia="黑体" w:hint="eastAsia"/>
                <w:b/>
                <w:spacing w:val="-9"/>
                <w:sz w:val="21"/>
              </w:rPr>
              <w:t> 日为等待期。</w:t>
            </w:r>
            <w:r>
              <w:rPr>
                <w:rFonts w:ascii="黑体" w:eastAsia="黑体" w:hint="eastAsia"/>
                <w:b/>
                <w:spacing w:val="-6"/>
                <w:sz w:val="21"/>
              </w:rPr>
              <w:t>等待期是指本合同</w:t>
            </w:r>
            <w:r>
              <w:rPr>
                <w:rFonts w:ascii="黑体" w:eastAsia="黑体" w:hint="eastAsia"/>
                <w:b/>
                <w:sz w:val="21"/>
              </w:rPr>
              <w:t>Th效后我们不承担保险责任的一段时间。发Th以下情形之一</w:t>
            </w:r>
            <w:r>
              <w:rPr>
                <w:rFonts w:ascii="黑体" w:eastAsia="黑体" w:hint="eastAsia"/>
                <w:b/>
                <w:spacing w:val="-3"/>
                <w:sz w:val="21"/>
              </w:rPr>
              <w:t>时，我们不承担保险责任，但无息返还本合同已交的保险费，本合同效力终止。</w:t>
            </w:r>
          </w:p>
          <w:p>
            <w:pPr>
              <w:pStyle w:val="TableParagraph"/>
              <w:spacing w:line="273" w:lineRule="auto" w:before="8"/>
              <w:ind w:left="197" w:right="62"/>
              <w:rPr>
                <w:rFonts w:ascii="黑体" w:eastAsia="黑体" w:hint="eastAsia"/>
                <w:b/>
                <w:sz w:val="21"/>
              </w:rPr>
            </w:pPr>
            <w:r>
              <w:rPr>
                <w:rFonts w:ascii="黑体" w:eastAsia="黑体" w:hint="eastAsia"/>
                <w:b/>
                <w:sz w:val="21"/>
              </w:rPr>
              <w:t>（1）等待期内被保险人经我们认可的医院确诊初次患上一种或多种本合同所约定的重大疾病；</w:t>
            </w:r>
          </w:p>
          <w:p>
            <w:pPr>
              <w:pStyle w:val="TableParagraph"/>
              <w:spacing w:line="273" w:lineRule="auto" w:before="7"/>
              <w:ind w:left="197" w:right="61"/>
              <w:rPr>
                <w:rFonts w:ascii="黑体" w:eastAsia="黑体" w:hint="eastAsia"/>
                <w:b/>
                <w:sz w:val="21"/>
              </w:rPr>
            </w:pPr>
            <w:r>
              <w:rPr>
                <w:rFonts w:ascii="黑体" w:eastAsia="黑体" w:hint="eastAsia"/>
                <w:b/>
                <w:sz w:val="21"/>
              </w:rPr>
              <w:t>（2）等待期内被保险人已经发Th的疾病、症状或病理改变且延续到等待期以后经我们认可的医院确诊初次患上一种或多种本合同所约定的重大疾病。</w:t>
            </w:r>
          </w:p>
        </w:tc>
      </w:tr>
      <w:tr>
        <w:trPr>
          <w:trHeight w:val="1066" w:hRule="atLeast"/>
        </w:trPr>
        <w:tc>
          <w:tcPr>
            <w:tcW w:w="627" w:type="dxa"/>
          </w:tcPr>
          <w:p>
            <w:pPr>
              <w:pStyle w:val="TableParagraph"/>
              <w:spacing w:before="167"/>
              <w:ind w:left="-2"/>
              <w:rPr>
                <w:b/>
                <w:sz w:val="21"/>
              </w:rPr>
            </w:pPr>
            <w:r>
              <w:rPr>
                <w:b/>
                <w:sz w:val="21"/>
              </w:rPr>
              <w:t>2.4</w:t>
            </w:r>
          </w:p>
        </w:tc>
        <w:tc>
          <w:tcPr>
            <w:tcW w:w="1776" w:type="dxa"/>
          </w:tcPr>
          <w:p>
            <w:pPr>
              <w:pStyle w:val="TableParagraph"/>
              <w:spacing w:before="167"/>
              <w:ind w:left="310"/>
              <w:rPr>
                <w:b/>
                <w:sz w:val="21"/>
              </w:rPr>
            </w:pPr>
            <w:r>
              <w:rPr>
                <w:b/>
                <w:sz w:val="21"/>
              </w:rPr>
              <w:t>责任免除</w:t>
            </w:r>
          </w:p>
        </w:tc>
        <w:tc>
          <w:tcPr>
            <w:tcW w:w="7576" w:type="dxa"/>
          </w:tcPr>
          <w:p>
            <w:pPr>
              <w:pStyle w:val="TableParagraph"/>
              <w:spacing w:line="273" w:lineRule="auto" w:before="167"/>
              <w:ind w:left="197" w:right="207"/>
              <w:rPr>
                <w:rFonts w:ascii="黑体" w:eastAsia="黑体" w:hint="eastAsia"/>
                <w:b/>
                <w:sz w:val="21"/>
              </w:rPr>
            </w:pPr>
            <w:r>
              <w:rPr>
                <w:rFonts w:ascii="黑体" w:eastAsia="黑体" w:hint="eastAsia"/>
                <w:b/>
                <w:sz w:val="21"/>
              </w:rPr>
              <w:t>因下列情形之一，导致被保险人发Th疾病、达到疾病状态或进行手术的，我们不承担给付保险金的责任：</w:t>
            </w:r>
          </w:p>
          <w:p>
            <w:pPr>
              <w:pStyle w:val="TableParagraph"/>
              <w:spacing w:line="255" w:lineRule="exact" w:before="7"/>
              <w:ind w:left="197"/>
              <w:rPr>
                <w:rFonts w:ascii="黑体" w:eastAsia="黑体" w:hint="eastAsia"/>
                <w:b/>
                <w:sz w:val="21"/>
              </w:rPr>
            </w:pPr>
            <w:r>
              <w:rPr>
                <w:rFonts w:ascii="黑体" w:eastAsia="黑体" w:hint="eastAsia"/>
                <w:b/>
                <w:sz w:val="21"/>
              </w:rPr>
              <w:t>（1）投保人对被保险人的故意杀害、故意伤害；</w:t>
            </w:r>
          </w:p>
        </w:tc>
      </w:tr>
    </w:tbl>
    <w:p>
      <w:pPr>
        <w:spacing w:after="0" w:line="255" w:lineRule="exact"/>
        <w:rPr>
          <w:rFonts w:ascii="黑体" w:eastAsia="黑体" w:hint="eastAsia"/>
          <w:sz w:val="21"/>
        </w:rPr>
        <w:sectPr>
          <w:pgSz w:w="11910" w:h="16840"/>
          <w:pgMar w:header="566" w:footer="664" w:top="1000" w:bottom="860" w:left="1000" w:right="6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670"/>
        <w:gridCol w:w="7559"/>
      </w:tblGrid>
      <w:tr>
        <w:trPr>
          <w:trHeight w:val="3684" w:hRule="atLeast"/>
        </w:trPr>
        <w:tc>
          <w:tcPr>
            <w:tcW w:w="762" w:type="dxa"/>
            <w:tcBorders>
              <w:top w:val="single" w:sz="6" w:space="0" w:color="000000"/>
            </w:tcBorders>
          </w:tcPr>
          <w:p>
            <w:pPr>
              <w:pStyle w:val="TableParagraph"/>
              <w:spacing w:before="0"/>
              <w:ind w:left="0"/>
              <w:rPr>
                <w:rFonts w:ascii="Times New Roman"/>
                <w:sz w:val="20"/>
              </w:rPr>
            </w:pPr>
          </w:p>
        </w:tc>
        <w:tc>
          <w:tcPr>
            <w:tcW w:w="1670" w:type="dxa"/>
            <w:tcBorders>
              <w:top w:val="single" w:sz="6" w:space="0" w:color="000000"/>
            </w:tcBorders>
          </w:tcPr>
          <w:p>
            <w:pPr>
              <w:pStyle w:val="TableParagraph"/>
              <w:spacing w:before="0"/>
              <w:ind w:left="0"/>
              <w:rPr>
                <w:rFonts w:ascii="Times New Roman"/>
                <w:sz w:val="20"/>
              </w:rPr>
            </w:pPr>
          </w:p>
        </w:tc>
        <w:tc>
          <w:tcPr>
            <w:tcW w:w="7559" w:type="dxa"/>
            <w:tcBorders>
              <w:top w:val="single" w:sz="6" w:space="0" w:color="000000"/>
              <w:right w:val="single" w:sz="4" w:space="0" w:color="FFFFFF"/>
            </w:tcBorders>
          </w:tcPr>
          <w:p>
            <w:pPr>
              <w:pStyle w:val="TableParagraph"/>
              <w:spacing w:before="0"/>
              <w:ind w:left="0"/>
              <w:rPr>
                <w:sz w:val="20"/>
              </w:rPr>
            </w:pPr>
          </w:p>
          <w:p>
            <w:pPr>
              <w:pStyle w:val="TableParagraph"/>
              <w:spacing w:before="138"/>
              <w:rPr>
                <w:rFonts w:ascii="黑体" w:eastAsia="黑体" w:hint="eastAsia"/>
                <w:b/>
                <w:sz w:val="21"/>
              </w:rPr>
            </w:pPr>
            <w:r>
              <w:rPr>
                <w:rFonts w:ascii="黑体" w:eastAsia="黑体" w:hint="eastAsia"/>
                <w:b/>
                <w:sz w:val="21"/>
              </w:rPr>
              <w:t>（2）因被保险人故意犯罪或抗拒依法采取的刑事强制措施；</w:t>
            </w:r>
          </w:p>
          <w:p>
            <w:pPr>
              <w:pStyle w:val="TableParagraph"/>
              <w:spacing w:before="54"/>
              <w:rPr>
                <w:rFonts w:ascii="黑体" w:eastAsia="黑体" w:hint="eastAsia"/>
                <w:b/>
                <w:sz w:val="21"/>
              </w:rPr>
            </w:pPr>
            <w:r>
              <w:rPr>
                <w:rFonts w:ascii="黑体" w:eastAsia="黑体" w:hint="eastAsia"/>
                <w:b/>
                <w:sz w:val="21"/>
              </w:rPr>
              <w:t>（3）被保险人服用、吸食或注射毒品</w:t>
            </w:r>
            <w:r>
              <w:rPr>
                <w:rFonts w:ascii="黑体" w:eastAsia="黑体" w:hint="eastAsia"/>
                <w:b/>
                <w:position w:val="11"/>
                <w:sz w:val="11"/>
              </w:rPr>
              <w:t>［10.2］</w:t>
            </w:r>
            <w:r>
              <w:rPr>
                <w:rFonts w:ascii="黑体" w:eastAsia="黑体" w:hint="eastAsia"/>
                <w:b/>
                <w:sz w:val="21"/>
              </w:rPr>
              <w:t>或未遵医嘱使用管制药品</w:t>
            </w:r>
            <w:r>
              <w:rPr>
                <w:rFonts w:ascii="黑体" w:eastAsia="黑体" w:hint="eastAsia"/>
                <w:b/>
                <w:position w:val="11"/>
                <w:sz w:val="11"/>
              </w:rPr>
              <w:t>［10.3］</w:t>
            </w:r>
            <w:r>
              <w:rPr>
                <w:rFonts w:ascii="黑体" w:eastAsia="黑体" w:hint="eastAsia"/>
                <w:b/>
                <w:sz w:val="21"/>
              </w:rPr>
              <w:t>；</w:t>
            </w:r>
          </w:p>
          <w:p>
            <w:pPr>
              <w:pStyle w:val="TableParagraph"/>
              <w:spacing w:before="39"/>
              <w:rPr>
                <w:rFonts w:ascii="黑体" w:eastAsia="黑体" w:hint="eastAsia"/>
                <w:b/>
                <w:sz w:val="21"/>
              </w:rPr>
            </w:pPr>
            <w:r>
              <w:rPr>
                <w:rFonts w:ascii="黑体" w:eastAsia="黑体" w:hint="eastAsia"/>
                <w:b/>
                <w:sz w:val="21"/>
              </w:rPr>
              <w:t>（4）被保险人酒后驾驶</w:t>
            </w:r>
            <w:r>
              <w:rPr>
                <w:rFonts w:ascii="黑体" w:eastAsia="黑体" w:hint="eastAsia"/>
                <w:b/>
                <w:position w:val="11"/>
                <w:sz w:val="11"/>
              </w:rPr>
              <w:t>［10.4］</w:t>
            </w:r>
            <w:r>
              <w:rPr>
                <w:rFonts w:ascii="黑体" w:eastAsia="黑体" w:hint="eastAsia"/>
                <w:b/>
                <w:sz w:val="21"/>
              </w:rPr>
              <w:t>、无合法有效驾驶证驾驶</w:t>
            </w:r>
            <w:r>
              <w:rPr>
                <w:rFonts w:ascii="黑体" w:eastAsia="黑体" w:hint="eastAsia"/>
                <w:b/>
                <w:position w:val="11"/>
                <w:sz w:val="11"/>
              </w:rPr>
              <w:t>［10.5］</w:t>
            </w:r>
            <w:r>
              <w:rPr>
                <w:rFonts w:ascii="黑体" w:eastAsia="黑体" w:hint="eastAsia"/>
                <w:b/>
                <w:sz w:val="21"/>
              </w:rPr>
              <w:t>或驾驶无有效行驶证</w:t>
            </w:r>
          </w:p>
          <w:p>
            <w:pPr>
              <w:pStyle w:val="TableParagraph"/>
              <w:spacing w:before="36"/>
              <w:ind w:left="715"/>
              <w:rPr>
                <w:rFonts w:ascii="黑体" w:eastAsia="黑体" w:hint="eastAsia"/>
                <w:b/>
                <w:sz w:val="21"/>
              </w:rPr>
            </w:pPr>
            <w:r>
              <w:rPr>
                <w:rFonts w:ascii="黑体" w:eastAsia="黑体" w:hint="eastAsia"/>
                <w:b/>
                <w:w w:val="95"/>
                <w:sz w:val="11"/>
              </w:rPr>
              <w:t>［10.6］</w:t>
            </w:r>
            <w:r>
              <w:rPr>
                <w:rFonts w:ascii="黑体" w:eastAsia="黑体" w:hint="eastAsia"/>
                <w:b/>
                <w:w w:val="95"/>
                <w:position w:val="-10"/>
                <w:sz w:val="21"/>
              </w:rPr>
              <w:t>的机动车</w:t>
            </w:r>
            <w:r>
              <w:rPr>
                <w:rFonts w:ascii="黑体" w:eastAsia="黑体" w:hint="eastAsia"/>
                <w:b/>
                <w:w w:val="95"/>
                <w:sz w:val="11"/>
              </w:rPr>
              <w:t>［10.7］</w:t>
            </w:r>
            <w:r>
              <w:rPr>
                <w:rFonts w:ascii="黑体" w:eastAsia="黑体" w:hint="eastAsia"/>
                <w:b/>
                <w:w w:val="95"/>
                <w:position w:val="-10"/>
                <w:sz w:val="21"/>
              </w:rPr>
              <w:t>；</w:t>
            </w:r>
          </w:p>
          <w:p>
            <w:pPr>
              <w:pStyle w:val="TableParagraph"/>
              <w:spacing w:line="273" w:lineRule="auto" w:before="37"/>
              <w:ind w:left="715" w:right="55" w:hanging="517"/>
              <w:rPr>
                <w:rFonts w:ascii="黑体" w:eastAsia="黑体" w:hint="eastAsia"/>
                <w:b/>
                <w:sz w:val="21"/>
              </w:rPr>
            </w:pPr>
            <w:r>
              <w:rPr>
                <w:rFonts w:ascii="黑体" w:eastAsia="黑体" w:hint="eastAsia"/>
                <w:b/>
                <w:sz w:val="21"/>
              </w:rPr>
              <w:t>（5）被保险人感染艾滋病病毒或患艾滋病</w:t>
            </w:r>
            <w:r>
              <w:rPr>
                <w:rFonts w:ascii="黑体" w:eastAsia="黑体" w:hint="eastAsia"/>
                <w:b/>
                <w:position w:val="11"/>
                <w:sz w:val="11"/>
              </w:rPr>
              <w:t>［10.8］</w:t>
            </w:r>
            <w:r>
              <w:rPr>
                <w:rFonts w:ascii="黑体" w:eastAsia="黑体" w:hint="eastAsia"/>
                <w:b/>
                <w:sz w:val="21"/>
              </w:rPr>
              <w:t>（因本条款第3.2.34项所导致的除外）；</w:t>
            </w:r>
          </w:p>
          <w:p>
            <w:pPr>
              <w:pStyle w:val="TableParagraph"/>
              <w:spacing w:line="273" w:lineRule="exact" w:before="0"/>
              <w:ind w:right="-44"/>
              <w:rPr>
                <w:rFonts w:ascii="黑体" w:eastAsia="黑体" w:hint="eastAsia"/>
                <w:b/>
                <w:sz w:val="21"/>
              </w:rPr>
            </w:pPr>
            <w:r>
              <w:rPr>
                <w:rFonts w:ascii="黑体" w:eastAsia="黑体" w:hint="eastAsia"/>
                <w:b/>
                <w:spacing w:val="-5"/>
                <w:sz w:val="21"/>
              </w:rPr>
              <w:t>（6）</w:t>
            </w:r>
            <w:r>
              <w:rPr>
                <w:rFonts w:ascii="黑体" w:eastAsia="黑体" w:hint="eastAsia"/>
                <w:b/>
                <w:spacing w:val="-10"/>
                <w:sz w:val="21"/>
              </w:rPr>
              <w:t>战争、军事冲突、恐怖活动、暴乱、武装叛乱、核爆炸、核辐射或核污染；</w:t>
            </w:r>
          </w:p>
          <w:p>
            <w:pPr>
              <w:pStyle w:val="TableParagraph"/>
              <w:spacing w:before="40"/>
              <w:rPr>
                <w:rFonts w:ascii="黑体" w:eastAsia="黑体" w:hint="eastAsia"/>
                <w:b/>
                <w:sz w:val="21"/>
              </w:rPr>
            </w:pPr>
            <w:r>
              <w:rPr>
                <w:rFonts w:ascii="黑体" w:eastAsia="黑体" w:hint="eastAsia"/>
                <w:b/>
                <w:sz w:val="21"/>
              </w:rPr>
              <w:t>（7）遗传性疾病</w:t>
            </w:r>
            <w:r>
              <w:rPr>
                <w:rFonts w:ascii="黑体" w:eastAsia="黑体" w:hint="eastAsia"/>
                <w:b/>
                <w:position w:val="11"/>
                <w:sz w:val="11"/>
              </w:rPr>
              <w:t>［10.9］</w:t>
            </w:r>
            <w:r>
              <w:rPr>
                <w:rFonts w:ascii="黑体" w:eastAsia="黑体" w:hint="eastAsia"/>
                <w:b/>
                <w:sz w:val="21"/>
              </w:rPr>
              <w:t>，先天性畸形、变形或染色体异常</w:t>
            </w:r>
            <w:r>
              <w:rPr>
                <w:rFonts w:ascii="黑体" w:eastAsia="黑体" w:hint="eastAsia"/>
                <w:b/>
                <w:position w:val="11"/>
                <w:sz w:val="11"/>
              </w:rPr>
              <w:t>［10.10］</w:t>
            </w:r>
            <w:r>
              <w:rPr>
                <w:rFonts w:ascii="黑体" w:eastAsia="黑体" w:hint="eastAsia"/>
                <w:b/>
                <w:sz w:val="21"/>
              </w:rPr>
              <w:t>。</w:t>
            </w:r>
          </w:p>
          <w:p>
            <w:pPr>
              <w:pStyle w:val="TableParagraph"/>
              <w:spacing w:line="310" w:lineRule="atLeast" w:before="141"/>
              <w:ind w:right="185"/>
              <w:rPr>
                <w:rFonts w:ascii="黑体" w:eastAsia="黑体" w:hint="eastAsia"/>
                <w:b/>
                <w:sz w:val="21"/>
              </w:rPr>
            </w:pPr>
            <w:r>
              <w:rPr>
                <w:rFonts w:ascii="黑体" w:eastAsia="黑体" w:hint="eastAsia"/>
                <w:b/>
                <w:sz w:val="21"/>
              </w:rPr>
              <w:t>发Th上述情形之一导致被保险人初次发Th本合同所约定的重大疾病，本合同效力终止，我们退还本合同当时的现金价值</w:t>
            </w:r>
            <w:r>
              <w:rPr>
                <w:rFonts w:ascii="黑体" w:eastAsia="黑体" w:hint="eastAsia"/>
                <w:b/>
                <w:position w:val="11"/>
                <w:sz w:val="11"/>
              </w:rPr>
              <w:t>［10.11］</w:t>
            </w:r>
            <w:r>
              <w:rPr>
                <w:rFonts w:ascii="黑体" w:eastAsia="黑体" w:hint="eastAsia"/>
                <w:b/>
                <w:sz w:val="21"/>
              </w:rPr>
              <w:t>。</w:t>
            </w:r>
          </w:p>
        </w:tc>
      </w:tr>
      <w:tr>
        <w:trPr>
          <w:trHeight w:val="728" w:hRule="atLeast"/>
        </w:trPr>
        <w:tc>
          <w:tcPr>
            <w:tcW w:w="762" w:type="dxa"/>
            <w:tcBorders>
              <w:bottom w:val="single" w:sz="6" w:space="0" w:color="000000"/>
            </w:tcBorders>
          </w:tcPr>
          <w:p>
            <w:pPr>
              <w:pStyle w:val="TableParagraph"/>
              <w:spacing w:before="4"/>
              <w:ind w:left="0"/>
              <w:rPr>
                <w:sz w:val="20"/>
              </w:rPr>
            </w:pPr>
          </w:p>
          <w:p>
            <w:pPr>
              <w:pStyle w:val="TableParagraph"/>
              <w:spacing w:before="0"/>
              <w:ind w:left="28"/>
              <w:rPr>
                <w:b/>
                <w:sz w:val="28"/>
              </w:rPr>
            </w:pPr>
            <w:r>
              <w:rPr>
                <w:b/>
                <w:w w:val="99"/>
                <w:sz w:val="28"/>
              </w:rPr>
              <w:t>⒊</w:t>
            </w:r>
          </w:p>
        </w:tc>
        <w:tc>
          <w:tcPr>
            <w:tcW w:w="1670" w:type="dxa"/>
            <w:tcBorders>
              <w:bottom w:val="single" w:sz="6" w:space="0" w:color="000000"/>
            </w:tcBorders>
          </w:tcPr>
          <w:p>
            <w:pPr>
              <w:pStyle w:val="TableParagraph"/>
              <w:spacing w:before="0"/>
              <w:ind w:left="0"/>
              <w:rPr>
                <w:sz w:val="20"/>
              </w:rPr>
            </w:pPr>
          </w:p>
          <w:p>
            <w:pPr>
              <w:pStyle w:val="TableParagraph"/>
              <w:spacing w:before="0"/>
              <w:ind w:left="205"/>
              <w:rPr>
                <w:b/>
                <w:sz w:val="24"/>
              </w:rPr>
            </w:pPr>
            <w:r>
              <w:rPr>
                <w:b/>
                <w:sz w:val="24"/>
              </w:rPr>
              <w:t>重大疾病</w:t>
            </w:r>
          </w:p>
        </w:tc>
        <w:tc>
          <w:tcPr>
            <w:tcW w:w="7559" w:type="dxa"/>
            <w:tcBorders>
              <w:bottom w:val="single" w:sz="6" w:space="0" w:color="000000"/>
            </w:tcBorders>
          </w:tcPr>
          <w:p>
            <w:pPr>
              <w:pStyle w:val="TableParagraph"/>
              <w:spacing w:before="0"/>
              <w:ind w:left="0"/>
              <w:rPr>
                <w:rFonts w:ascii="Times New Roman"/>
                <w:sz w:val="20"/>
              </w:rPr>
            </w:pPr>
          </w:p>
        </w:tc>
      </w:tr>
      <w:tr>
        <w:trPr>
          <w:trHeight w:val="1500" w:hRule="atLeast"/>
        </w:trPr>
        <w:tc>
          <w:tcPr>
            <w:tcW w:w="762" w:type="dxa"/>
            <w:tcBorders>
              <w:top w:val="single" w:sz="6" w:space="0" w:color="000000"/>
            </w:tcBorders>
          </w:tcPr>
          <w:p>
            <w:pPr>
              <w:pStyle w:val="TableParagraph"/>
              <w:spacing w:before="161"/>
              <w:ind w:left="28"/>
              <w:rPr>
                <w:b/>
                <w:sz w:val="21"/>
              </w:rPr>
            </w:pPr>
            <w:r>
              <w:rPr>
                <w:b/>
                <w:sz w:val="21"/>
              </w:rPr>
              <w:t>3.1</w:t>
            </w:r>
          </w:p>
        </w:tc>
        <w:tc>
          <w:tcPr>
            <w:tcW w:w="1670" w:type="dxa"/>
            <w:tcBorders>
              <w:top w:val="single" w:sz="6" w:space="0" w:color="000000"/>
            </w:tcBorders>
          </w:tcPr>
          <w:p>
            <w:pPr>
              <w:pStyle w:val="TableParagraph"/>
              <w:spacing w:before="120"/>
              <w:ind w:left="205"/>
              <w:rPr>
                <w:b/>
                <w:sz w:val="21"/>
              </w:rPr>
            </w:pPr>
            <w:r>
              <w:rPr>
                <w:b/>
                <w:sz w:val="21"/>
              </w:rPr>
              <w:t>重大疾病范围</w:t>
            </w:r>
          </w:p>
        </w:tc>
        <w:tc>
          <w:tcPr>
            <w:tcW w:w="7559" w:type="dxa"/>
            <w:tcBorders>
              <w:top w:val="single" w:sz="6" w:space="0" w:color="000000"/>
            </w:tcBorders>
          </w:tcPr>
          <w:p>
            <w:pPr>
              <w:pStyle w:val="TableParagraph"/>
              <w:spacing w:line="273" w:lineRule="auto" w:before="161"/>
              <w:ind w:right="87"/>
              <w:jc w:val="both"/>
              <w:rPr>
                <w:sz w:val="21"/>
              </w:rPr>
            </w:pPr>
            <w:r>
              <w:rPr>
                <w:spacing w:val="-7"/>
                <w:sz w:val="21"/>
              </w:rPr>
              <w:t>本合同所指的重大疾病在本合同中有确定的含义，不仅包括部分一般意义上的重</w:t>
            </w:r>
            <w:r>
              <w:rPr>
                <w:spacing w:val="-13"/>
                <w:sz w:val="21"/>
              </w:rPr>
              <w:t>大疾病，还包括某些重大手术，本合同所指的重大疾病可能与临床医学所指的重</w:t>
            </w:r>
            <w:r>
              <w:rPr>
                <w:spacing w:val="-11"/>
                <w:sz w:val="21"/>
              </w:rPr>
              <w:t>大疾病在概念和范围上有所不同，我们将在本合同重大疾病定义中详细列明，您</w:t>
            </w:r>
            <w:r>
              <w:rPr>
                <w:spacing w:val="-6"/>
                <w:sz w:val="21"/>
              </w:rPr>
              <w:t>投保本合同即表明认可并遵从本合同中对重大疾病的定义。</w:t>
            </w:r>
          </w:p>
        </w:tc>
      </w:tr>
      <w:tr>
        <w:trPr>
          <w:trHeight w:val="1840" w:hRule="atLeast"/>
        </w:trPr>
        <w:tc>
          <w:tcPr>
            <w:tcW w:w="762" w:type="dxa"/>
          </w:tcPr>
          <w:p>
            <w:pPr>
              <w:pStyle w:val="TableParagraph"/>
              <w:spacing w:before="88"/>
              <w:ind w:left="28"/>
              <w:rPr>
                <w:b/>
                <w:sz w:val="21"/>
              </w:rPr>
            </w:pPr>
            <w:r>
              <w:rPr>
                <w:b/>
                <w:sz w:val="21"/>
              </w:rPr>
              <w:t>3.2</w:t>
            </w:r>
          </w:p>
        </w:tc>
        <w:tc>
          <w:tcPr>
            <w:tcW w:w="1670" w:type="dxa"/>
          </w:tcPr>
          <w:p>
            <w:pPr>
              <w:pStyle w:val="TableParagraph"/>
              <w:spacing w:before="88"/>
              <w:ind w:left="205"/>
              <w:rPr>
                <w:b/>
                <w:sz w:val="21"/>
              </w:rPr>
            </w:pPr>
            <w:r>
              <w:rPr>
                <w:b/>
                <w:sz w:val="21"/>
              </w:rPr>
              <w:t>重大疾病定义</w:t>
            </w:r>
          </w:p>
        </w:tc>
        <w:tc>
          <w:tcPr>
            <w:tcW w:w="7559" w:type="dxa"/>
          </w:tcPr>
          <w:p>
            <w:pPr>
              <w:pStyle w:val="TableParagraph"/>
              <w:spacing w:line="273" w:lineRule="auto" w:before="88"/>
              <w:ind w:right="86"/>
              <w:jc w:val="both"/>
              <w:rPr>
                <w:sz w:val="21"/>
              </w:rPr>
            </w:pPr>
            <w:r>
              <w:rPr>
                <w:spacing w:val="-3"/>
                <w:sz w:val="21"/>
              </w:rPr>
              <w:t>本合同所指重大疾病，是被保险人发生经我们认可的医院</w:t>
            </w:r>
            <w:r>
              <w:rPr>
                <w:b/>
                <w:sz w:val="21"/>
              </w:rPr>
              <w:t>专科医生</w:t>
            </w:r>
            <w:r>
              <w:rPr>
                <w:b/>
                <w:position w:val="11"/>
                <w:sz w:val="11"/>
              </w:rPr>
              <w:t>［10.12］</w:t>
            </w:r>
            <w:r>
              <w:rPr>
                <w:spacing w:val="-3"/>
                <w:sz w:val="21"/>
              </w:rPr>
              <w:t>明确诊</w:t>
            </w:r>
            <w:r>
              <w:rPr>
                <w:spacing w:val="-10"/>
                <w:sz w:val="21"/>
              </w:rPr>
              <w:t>断，符合以下定义所述条件的疾病、疾病状态或手术，共 </w:t>
            </w:r>
            <w:r>
              <w:rPr>
                <w:sz w:val="21"/>
              </w:rPr>
              <w:t>35</w:t>
            </w:r>
            <w:r>
              <w:rPr>
                <w:spacing w:val="-55"/>
                <w:sz w:val="21"/>
              </w:rPr>
              <w:t> 种。</w:t>
            </w:r>
            <w:r>
              <w:rPr>
                <w:sz w:val="21"/>
              </w:rPr>
              <w:t>（</w:t>
            </w:r>
            <w:r>
              <w:rPr>
                <w:spacing w:val="-3"/>
                <w:sz w:val="21"/>
              </w:rPr>
              <w:t>重大疾病定义</w:t>
            </w:r>
          </w:p>
          <w:p>
            <w:pPr>
              <w:pStyle w:val="TableParagraph"/>
              <w:spacing w:line="273" w:lineRule="auto" w:before="7"/>
              <w:ind w:right="86"/>
              <w:jc w:val="both"/>
              <w:rPr>
                <w:sz w:val="21"/>
              </w:rPr>
            </w:pPr>
            <w:r>
              <w:rPr>
                <w:spacing w:val="-13"/>
                <w:sz w:val="21"/>
              </w:rPr>
              <w:t>中的第 </w:t>
            </w:r>
            <w:r>
              <w:rPr>
                <w:sz w:val="21"/>
              </w:rPr>
              <w:t>1</w:t>
            </w:r>
            <w:r>
              <w:rPr>
                <w:spacing w:val="-20"/>
                <w:sz w:val="21"/>
              </w:rPr>
              <w:t> 种至第 </w:t>
            </w:r>
            <w:r>
              <w:rPr>
                <w:sz w:val="21"/>
              </w:rPr>
              <w:t>24</w:t>
            </w:r>
            <w:r>
              <w:rPr>
                <w:spacing w:val="-8"/>
                <w:sz w:val="21"/>
              </w:rPr>
              <w:t> 种采用了中国保险行业协会发布的《重大疾病保险的疾病定</w:t>
            </w:r>
            <w:r>
              <w:rPr>
                <w:spacing w:val="-11"/>
                <w:sz w:val="21"/>
              </w:rPr>
              <w:t>义使用规范》中的疾病定义，如中国保险行业协会或保险监管机关对“重大疾病保险的疾病定义”进行调整，我们会相应调整。</w:t>
            </w:r>
            <w:r>
              <w:rPr>
                <w:spacing w:val="-3"/>
                <w:sz w:val="21"/>
              </w:rPr>
              <w:t>）重大疾病的名称及定义如下：</w:t>
            </w:r>
          </w:p>
        </w:tc>
      </w:tr>
      <w:tr>
        <w:trPr>
          <w:trHeight w:val="2998" w:hRule="atLeast"/>
        </w:trPr>
        <w:tc>
          <w:tcPr>
            <w:tcW w:w="762" w:type="dxa"/>
          </w:tcPr>
          <w:p>
            <w:pPr>
              <w:pStyle w:val="TableParagraph"/>
              <w:spacing w:line="262" w:lineRule="exact" w:before="0"/>
              <w:ind w:left="28"/>
              <w:rPr>
                <w:b/>
                <w:sz w:val="21"/>
              </w:rPr>
            </w:pPr>
            <w:r>
              <w:rPr>
                <w:b/>
                <w:sz w:val="21"/>
              </w:rPr>
              <w:t>3.2.1</w:t>
            </w:r>
          </w:p>
        </w:tc>
        <w:tc>
          <w:tcPr>
            <w:tcW w:w="1670" w:type="dxa"/>
          </w:tcPr>
          <w:p>
            <w:pPr>
              <w:pStyle w:val="TableParagraph"/>
              <w:spacing w:line="262" w:lineRule="exact" w:before="0"/>
              <w:ind w:left="205"/>
              <w:rPr>
                <w:b/>
                <w:sz w:val="21"/>
              </w:rPr>
            </w:pPr>
            <w:r>
              <w:rPr>
                <w:b/>
                <w:sz w:val="21"/>
              </w:rPr>
              <w:t>恶性肿瘤</w:t>
            </w:r>
          </w:p>
        </w:tc>
        <w:tc>
          <w:tcPr>
            <w:tcW w:w="7559" w:type="dxa"/>
            <w:tcBorders>
              <w:right w:val="single" w:sz="4" w:space="0" w:color="FFFFFF"/>
            </w:tcBorders>
          </w:tcPr>
          <w:p>
            <w:pPr>
              <w:pStyle w:val="TableParagraph"/>
              <w:spacing w:line="240" w:lineRule="exact" w:before="0"/>
              <w:rPr>
                <w:sz w:val="21"/>
              </w:rPr>
            </w:pPr>
            <w:r>
              <w:rPr>
                <w:sz w:val="21"/>
              </w:rPr>
              <w:t>指恶性细胞不受控制的进行性增长和扩散，浸润和破坏周围正常组织，可以经血</w:t>
            </w:r>
          </w:p>
          <w:p>
            <w:pPr>
              <w:pStyle w:val="TableParagraph"/>
              <w:spacing w:line="237" w:lineRule="auto" w:before="2"/>
              <w:ind w:right="-29"/>
              <w:jc w:val="both"/>
              <w:rPr>
                <w:sz w:val="21"/>
              </w:rPr>
            </w:pPr>
            <w:r>
              <w:rPr>
                <w:spacing w:val="-16"/>
                <w:sz w:val="21"/>
              </w:rPr>
              <w:t>管、淋巴管和体腔扩散转移到身体其它部位的疾病。经病理学检查结果明确诊断， </w:t>
            </w:r>
            <w:r>
              <w:rPr>
                <w:spacing w:val="-7"/>
                <w:sz w:val="21"/>
              </w:rPr>
              <w:t>临床诊断属于世界卫生组织《疾病和有关健康问题的国际统计分类》</w:t>
            </w:r>
            <w:r>
              <w:rPr>
                <w:sz w:val="21"/>
              </w:rPr>
              <w:t>（ICD-10） </w:t>
            </w:r>
            <w:r>
              <w:rPr>
                <w:spacing w:val="-3"/>
                <w:sz w:val="21"/>
              </w:rPr>
              <w:t>的恶性肿瘤范畴。</w:t>
            </w:r>
          </w:p>
          <w:p>
            <w:pPr>
              <w:pStyle w:val="TableParagraph"/>
              <w:spacing w:line="271" w:lineRule="exact" w:before="0"/>
              <w:jc w:val="both"/>
              <w:rPr>
                <w:rFonts w:ascii="黑体" w:eastAsia="黑体" w:hint="eastAsia"/>
                <w:b/>
                <w:sz w:val="21"/>
              </w:rPr>
            </w:pPr>
            <w:r>
              <w:rPr>
                <w:rFonts w:ascii="黑体" w:eastAsia="黑体" w:hint="eastAsia"/>
                <w:b/>
                <w:sz w:val="21"/>
              </w:rPr>
              <w:t>下列疾病不在保障范围内：</w:t>
            </w:r>
          </w:p>
          <w:p>
            <w:pPr>
              <w:pStyle w:val="TableParagraph"/>
              <w:spacing w:line="272" w:lineRule="exact" w:before="0"/>
              <w:jc w:val="both"/>
              <w:rPr>
                <w:rFonts w:ascii="黑体" w:eastAsia="黑体" w:hint="eastAsia"/>
                <w:b/>
                <w:sz w:val="21"/>
              </w:rPr>
            </w:pPr>
            <w:r>
              <w:rPr>
                <w:rFonts w:ascii="黑体" w:eastAsia="黑体" w:hint="eastAsia"/>
                <w:b/>
                <w:sz w:val="21"/>
              </w:rPr>
              <w:t>（1）原位癌；</w:t>
            </w:r>
          </w:p>
          <w:p>
            <w:pPr>
              <w:pStyle w:val="TableParagraph"/>
              <w:spacing w:line="272" w:lineRule="exact" w:before="0"/>
              <w:jc w:val="both"/>
              <w:rPr>
                <w:rFonts w:ascii="黑体" w:eastAsia="黑体" w:hint="eastAsia"/>
                <w:b/>
                <w:sz w:val="21"/>
              </w:rPr>
            </w:pPr>
            <w:r>
              <w:rPr>
                <w:rFonts w:ascii="黑体" w:eastAsia="黑体" w:hint="eastAsia"/>
                <w:b/>
                <w:sz w:val="21"/>
              </w:rPr>
              <w:t>（2）相当于 Binet 分期方案 A 期程度的慢性淋巴细胞白血病；</w:t>
            </w:r>
          </w:p>
          <w:p>
            <w:pPr>
              <w:pStyle w:val="TableParagraph"/>
              <w:spacing w:line="272" w:lineRule="exact" w:before="0"/>
              <w:jc w:val="both"/>
              <w:rPr>
                <w:rFonts w:ascii="黑体" w:eastAsia="黑体" w:hint="eastAsia"/>
                <w:b/>
                <w:sz w:val="21"/>
              </w:rPr>
            </w:pPr>
            <w:r>
              <w:rPr>
                <w:rFonts w:ascii="黑体" w:eastAsia="黑体" w:hint="eastAsia"/>
                <w:b/>
                <w:sz w:val="21"/>
              </w:rPr>
              <w:t>（3）相当于 Ann Arbor 分期方案 I 期程度的何杰金氏病；</w:t>
            </w:r>
          </w:p>
          <w:p>
            <w:pPr>
              <w:pStyle w:val="TableParagraph"/>
              <w:spacing w:line="272" w:lineRule="exact" w:before="0"/>
              <w:jc w:val="both"/>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w w:val="100"/>
                <w:sz w:val="21"/>
              </w:rPr>
              <w:t>）皮肤癌（</w:t>
            </w:r>
            <w:r>
              <w:rPr>
                <w:rFonts w:ascii="黑体" w:eastAsia="黑体" w:hint="eastAsia"/>
                <w:b/>
                <w:spacing w:val="-2"/>
                <w:w w:val="100"/>
                <w:sz w:val="21"/>
              </w:rPr>
              <w:t>不包括恶性</w:t>
            </w:r>
            <w:r>
              <w:rPr>
                <w:rFonts w:ascii="黑体" w:eastAsia="黑体" w:hint="eastAsia"/>
                <w:b/>
                <w:w w:val="100"/>
                <w:sz w:val="21"/>
              </w:rPr>
              <w:t>黑色素瘤及已发Th</w:t>
            </w:r>
            <w:r>
              <w:rPr>
                <w:rFonts w:ascii="黑体" w:eastAsia="黑体" w:hint="eastAsia"/>
                <w:b/>
                <w:spacing w:val="-3"/>
                <w:w w:val="100"/>
                <w:sz w:val="21"/>
              </w:rPr>
              <w:t>转</w:t>
            </w:r>
            <w:r>
              <w:rPr>
                <w:rFonts w:ascii="黑体" w:eastAsia="黑体" w:hint="eastAsia"/>
                <w:b/>
                <w:spacing w:val="-2"/>
                <w:w w:val="100"/>
                <w:sz w:val="21"/>
              </w:rPr>
              <w:t>移的皮肤癌</w:t>
            </w:r>
            <w:r>
              <w:rPr>
                <w:rFonts w:ascii="黑体" w:eastAsia="黑体" w:hint="eastAsia"/>
                <w:b/>
                <w:spacing w:val="-106"/>
                <w:w w:val="100"/>
                <w:sz w:val="21"/>
              </w:rPr>
              <w:t>）</w:t>
            </w:r>
            <w:r>
              <w:rPr>
                <w:rFonts w:ascii="黑体" w:eastAsia="黑体" w:hint="eastAsia"/>
                <w:b/>
                <w:w w:val="100"/>
                <w:sz w:val="21"/>
              </w:rPr>
              <w:t>；</w:t>
            </w:r>
          </w:p>
          <w:p>
            <w:pPr>
              <w:pStyle w:val="TableParagraph"/>
              <w:spacing w:line="272" w:lineRule="exact" w:before="0"/>
              <w:jc w:val="both"/>
              <w:rPr>
                <w:rFonts w:ascii="黑体" w:eastAsia="黑体" w:hint="eastAsia"/>
                <w:b/>
                <w:sz w:val="21"/>
              </w:rPr>
            </w:pPr>
            <w:r>
              <w:rPr>
                <w:rFonts w:ascii="黑体" w:eastAsia="黑体" w:hint="eastAsia"/>
                <w:b/>
                <w:position w:val="1"/>
                <w:sz w:val="21"/>
              </w:rPr>
              <w:t>（5）TNM 分期为 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position w:val="1"/>
                <w:sz w:val="21"/>
              </w:rPr>
              <w:t>期或更轻分期的前列腺癌；</w:t>
            </w:r>
          </w:p>
          <w:p>
            <w:pPr>
              <w:pStyle w:val="TableParagraph"/>
              <w:spacing w:line="273" w:lineRule="exact" w:before="0"/>
              <w:jc w:val="both"/>
              <w:rPr>
                <w:rFonts w:ascii="黑体" w:eastAsia="黑体" w:hint="eastAsia"/>
                <w:b/>
                <w:sz w:val="21"/>
              </w:rPr>
            </w:pPr>
            <w:r>
              <w:rPr>
                <w:rFonts w:ascii="黑体" w:eastAsia="黑体" w:hint="eastAsia"/>
                <w:b/>
                <w:sz w:val="21"/>
              </w:rPr>
              <w:t>（6）感染艾滋病病毒或患艾滋病期间所患恶性肿瘤。</w:t>
            </w:r>
          </w:p>
        </w:tc>
      </w:tr>
      <w:tr>
        <w:trPr>
          <w:trHeight w:val="177" w:hRule="atLeast"/>
        </w:trPr>
        <w:tc>
          <w:tcPr>
            <w:tcW w:w="762" w:type="dxa"/>
          </w:tcPr>
          <w:p>
            <w:pPr>
              <w:pStyle w:val="TableParagraph"/>
              <w:spacing w:before="0"/>
              <w:ind w:left="0"/>
              <w:rPr>
                <w:rFonts w:ascii="Times New Roman"/>
                <w:sz w:val="10"/>
              </w:rPr>
            </w:pPr>
          </w:p>
        </w:tc>
        <w:tc>
          <w:tcPr>
            <w:tcW w:w="1670" w:type="dxa"/>
          </w:tcPr>
          <w:p>
            <w:pPr>
              <w:pStyle w:val="TableParagraph"/>
              <w:spacing w:before="0"/>
              <w:ind w:left="0"/>
              <w:rPr>
                <w:rFonts w:ascii="Times New Roman"/>
                <w:sz w:val="10"/>
              </w:rPr>
            </w:pPr>
          </w:p>
        </w:tc>
        <w:tc>
          <w:tcPr>
            <w:tcW w:w="7559" w:type="dxa"/>
          </w:tcPr>
          <w:p>
            <w:pPr>
              <w:pStyle w:val="TableParagraph"/>
              <w:spacing w:before="0"/>
              <w:ind w:left="0"/>
              <w:rPr>
                <w:rFonts w:ascii="Times New Roman"/>
                <w:sz w:val="10"/>
              </w:rPr>
            </w:pPr>
          </w:p>
        </w:tc>
      </w:tr>
      <w:tr>
        <w:trPr>
          <w:trHeight w:val="1908" w:hRule="atLeast"/>
        </w:trPr>
        <w:tc>
          <w:tcPr>
            <w:tcW w:w="762" w:type="dxa"/>
          </w:tcPr>
          <w:p>
            <w:pPr>
              <w:pStyle w:val="TableParagraph"/>
              <w:spacing w:line="265" w:lineRule="exact" w:before="0"/>
              <w:ind w:left="28"/>
              <w:rPr>
                <w:b/>
                <w:sz w:val="21"/>
              </w:rPr>
            </w:pPr>
            <w:r>
              <w:rPr>
                <w:b/>
                <w:sz w:val="21"/>
              </w:rPr>
              <w:t>3.2.2</w:t>
            </w:r>
          </w:p>
        </w:tc>
        <w:tc>
          <w:tcPr>
            <w:tcW w:w="1670" w:type="dxa"/>
          </w:tcPr>
          <w:p>
            <w:pPr>
              <w:pStyle w:val="TableParagraph"/>
              <w:spacing w:line="265" w:lineRule="exact" w:before="0"/>
              <w:ind w:left="205"/>
              <w:rPr>
                <w:b/>
                <w:sz w:val="21"/>
              </w:rPr>
            </w:pPr>
            <w:r>
              <w:rPr>
                <w:b/>
                <w:sz w:val="21"/>
              </w:rPr>
              <w:t>急性心肌梗塞</w:t>
            </w:r>
          </w:p>
        </w:tc>
        <w:tc>
          <w:tcPr>
            <w:tcW w:w="7559" w:type="dxa"/>
            <w:tcBorders>
              <w:right w:val="single" w:sz="4" w:space="0" w:color="FFFFFF"/>
            </w:tcBorders>
          </w:tcPr>
          <w:p>
            <w:pPr>
              <w:pStyle w:val="TableParagraph"/>
              <w:spacing w:line="241" w:lineRule="exact" w:before="0"/>
              <w:rPr>
                <w:sz w:val="21"/>
              </w:rPr>
            </w:pPr>
            <w:r>
              <w:rPr>
                <w:sz w:val="21"/>
              </w:rPr>
              <w:t>指因冠状动脉阻塞导致的相应区域供血不足造成部分心肌坏死。须满足下列至少</w:t>
            </w:r>
          </w:p>
          <w:p>
            <w:pPr>
              <w:pStyle w:val="TableParagraph"/>
              <w:spacing w:line="272" w:lineRule="exact" w:before="0"/>
              <w:rPr>
                <w:sz w:val="21"/>
              </w:rPr>
            </w:pPr>
            <w:r>
              <w:rPr>
                <w:sz w:val="21"/>
              </w:rPr>
              <w:t>三项条件：</w:t>
            </w:r>
          </w:p>
          <w:p>
            <w:pPr>
              <w:pStyle w:val="TableParagraph"/>
              <w:spacing w:line="272" w:lineRule="exact" w:before="0"/>
              <w:rPr>
                <w:sz w:val="21"/>
              </w:rPr>
            </w:pPr>
            <w:r>
              <w:rPr>
                <w:sz w:val="21"/>
              </w:rPr>
              <w:t>（1）典型临床表现，例如急性胸痛等；</w:t>
            </w:r>
          </w:p>
          <w:p>
            <w:pPr>
              <w:pStyle w:val="TableParagraph"/>
              <w:spacing w:line="273" w:lineRule="exact" w:before="0"/>
              <w:rPr>
                <w:sz w:val="21"/>
              </w:rPr>
            </w:pPr>
            <w:r>
              <w:rPr>
                <w:sz w:val="21"/>
              </w:rPr>
              <w:t>（2）新近的心电图改变提示急性心肌梗塞；</w:t>
            </w:r>
          </w:p>
          <w:p>
            <w:pPr>
              <w:pStyle w:val="TableParagraph"/>
              <w:spacing w:line="237" w:lineRule="auto" w:before="2"/>
              <w:ind w:left="725" w:right="87" w:hanging="527"/>
              <w:rPr>
                <w:sz w:val="21"/>
              </w:rPr>
            </w:pPr>
            <w:r>
              <w:rPr>
                <w:sz w:val="21"/>
              </w:rPr>
              <w:t>（3）心肌酶或肌钙蛋白有诊断意义的升高，或呈符合急性心肌梗塞的动态性变化；</w:t>
            </w:r>
          </w:p>
          <w:p>
            <w:pPr>
              <w:pStyle w:val="TableParagraph"/>
              <w:spacing w:line="274" w:lineRule="exact" w:before="0"/>
              <w:ind w:right="-29"/>
              <w:rPr>
                <w:sz w:val="21"/>
              </w:rPr>
            </w:pPr>
            <w:r>
              <w:rPr>
                <w:spacing w:val="-5"/>
                <w:sz w:val="21"/>
              </w:rPr>
              <w:t>（4）</w:t>
            </w:r>
            <w:r>
              <w:rPr>
                <w:spacing w:val="2"/>
                <w:sz w:val="21"/>
              </w:rPr>
              <w:t>发病 </w:t>
            </w:r>
            <w:r>
              <w:rPr>
                <w:sz w:val="21"/>
              </w:rPr>
              <w:t>90</w:t>
            </w:r>
            <w:r>
              <w:rPr>
                <w:spacing w:val="-6"/>
                <w:sz w:val="21"/>
              </w:rPr>
              <w:t> 日后，经检查证实左心室功能降低，如左心室射血分数低于 </w:t>
            </w:r>
            <w:r>
              <w:rPr>
                <w:sz w:val="21"/>
              </w:rPr>
              <w:t>50%。</w:t>
            </w:r>
          </w:p>
        </w:tc>
      </w:tr>
      <w:tr>
        <w:trPr>
          <w:trHeight w:val="1378" w:hRule="atLeast"/>
        </w:trPr>
        <w:tc>
          <w:tcPr>
            <w:tcW w:w="762" w:type="dxa"/>
          </w:tcPr>
          <w:p>
            <w:pPr>
              <w:pStyle w:val="TableParagraph"/>
              <w:spacing w:before="167"/>
              <w:ind w:left="28"/>
              <w:rPr>
                <w:b/>
                <w:sz w:val="21"/>
              </w:rPr>
            </w:pPr>
            <w:r>
              <w:rPr>
                <w:b/>
                <w:sz w:val="21"/>
              </w:rPr>
              <w:t>3.2.3</w:t>
            </w:r>
          </w:p>
        </w:tc>
        <w:tc>
          <w:tcPr>
            <w:tcW w:w="1670" w:type="dxa"/>
          </w:tcPr>
          <w:p>
            <w:pPr>
              <w:pStyle w:val="TableParagraph"/>
              <w:spacing w:before="167"/>
              <w:ind w:left="205"/>
              <w:rPr>
                <w:b/>
                <w:sz w:val="21"/>
              </w:rPr>
            </w:pPr>
            <w:r>
              <w:rPr>
                <w:b/>
                <w:sz w:val="21"/>
              </w:rPr>
              <w:t>脑中风后遗症</w:t>
            </w:r>
          </w:p>
        </w:tc>
        <w:tc>
          <w:tcPr>
            <w:tcW w:w="7559" w:type="dxa"/>
          </w:tcPr>
          <w:p>
            <w:pPr>
              <w:pStyle w:val="TableParagraph"/>
              <w:spacing w:line="273" w:lineRule="auto" w:before="167"/>
              <w:ind w:right="87"/>
              <w:jc w:val="both"/>
              <w:rPr>
                <w:sz w:val="21"/>
              </w:rPr>
            </w:pPr>
            <w:r>
              <w:rPr>
                <w:spacing w:val="-8"/>
                <w:sz w:val="21"/>
              </w:rPr>
              <w:t>指因脑血管的突发病变引起脑血管出血、栓塞或梗塞，并导致神经系统永久性的</w:t>
            </w:r>
            <w:r>
              <w:rPr>
                <w:spacing w:val="-5"/>
                <w:sz w:val="21"/>
              </w:rPr>
              <w:t>功能障碍。神经系统永久性的功能障碍，指疾病确诊</w:t>
            </w:r>
            <w:r>
              <w:rPr>
                <w:sz w:val="21"/>
              </w:rPr>
              <w:t>180</w:t>
            </w:r>
            <w:r>
              <w:rPr>
                <w:spacing w:val="-3"/>
                <w:sz w:val="21"/>
              </w:rPr>
              <w:t>日后，仍遗留下列一种或一种以上障碍：</w:t>
            </w:r>
          </w:p>
          <w:p>
            <w:pPr>
              <w:pStyle w:val="TableParagraph"/>
              <w:spacing w:line="255" w:lineRule="exact" w:before="7"/>
              <w:jc w:val="both"/>
              <w:rPr>
                <w:sz w:val="21"/>
              </w:rPr>
            </w:pPr>
            <w:r>
              <w:rPr>
                <w:sz w:val="21"/>
              </w:rPr>
              <w:t>（1）一肢或一肢以上</w:t>
            </w:r>
            <w:r>
              <w:rPr>
                <w:b/>
                <w:sz w:val="21"/>
              </w:rPr>
              <w:t>肢体机能完全丧失</w:t>
            </w:r>
            <w:r>
              <w:rPr>
                <w:b/>
                <w:position w:val="11"/>
                <w:sz w:val="11"/>
              </w:rPr>
              <w:t>［10.13］</w:t>
            </w:r>
            <w:r>
              <w:rPr>
                <w:sz w:val="21"/>
              </w:rPr>
              <w:t>；</w:t>
            </w:r>
          </w:p>
        </w:tc>
      </w:tr>
    </w:tbl>
    <w:p>
      <w:pPr>
        <w:spacing w:after="0" w:line="255" w:lineRule="exact"/>
        <w:jc w:val="both"/>
        <w:rPr>
          <w:sz w:val="21"/>
        </w:rPr>
        <w:sectPr>
          <w:headerReference w:type="default" r:id="rId9"/>
          <w:pgSz w:w="11910" w:h="16840"/>
          <w:pgMar w:header="566" w:footer="664" w:top="1000" w:bottom="860" w:left="1000" w:right="700"/>
        </w:sectPr>
      </w:pPr>
    </w:p>
    <w:p>
      <w:pPr>
        <w:pStyle w:val="BodyText"/>
        <w:rPr>
          <w:rFonts w:ascii="Times New Roman"/>
          <w:sz w:val="20"/>
        </w:rPr>
      </w:pPr>
    </w:p>
    <w:p>
      <w:pPr>
        <w:pStyle w:val="BodyText"/>
        <w:spacing w:before="3"/>
        <w:rPr>
          <w:rFonts w:ascii="Times New Roman"/>
          <w:sz w:val="1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467"/>
      </w:tblGrid>
      <w:tr>
        <w:trPr>
          <w:trHeight w:val="999" w:hRule="atLeast"/>
        </w:trPr>
        <w:tc>
          <w:tcPr>
            <w:tcW w:w="989" w:type="dxa"/>
          </w:tcPr>
          <w:p>
            <w:pPr>
              <w:pStyle w:val="TableParagraph"/>
              <w:spacing w:before="0"/>
              <w:ind w:left="0"/>
              <w:rPr>
                <w:rFonts w:ascii="Times New Roman"/>
                <w:sz w:val="20"/>
              </w:rPr>
            </w:pPr>
          </w:p>
        </w:tc>
        <w:tc>
          <w:tcPr>
            <w:tcW w:w="1721" w:type="dxa"/>
          </w:tcPr>
          <w:p>
            <w:pPr>
              <w:pStyle w:val="TableParagraph"/>
              <w:spacing w:before="0"/>
              <w:ind w:left="0"/>
              <w:rPr>
                <w:rFonts w:ascii="Times New Roman"/>
                <w:sz w:val="20"/>
              </w:rPr>
            </w:pPr>
          </w:p>
        </w:tc>
        <w:tc>
          <w:tcPr>
            <w:tcW w:w="7467" w:type="dxa"/>
          </w:tcPr>
          <w:p>
            <w:pPr>
              <w:pStyle w:val="TableParagraph"/>
              <w:spacing w:line="235" w:lineRule="exact" w:before="0"/>
              <w:ind w:left="92"/>
              <w:rPr>
                <w:sz w:val="21"/>
              </w:rPr>
            </w:pPr>
            <w:r>
              <w:rPr>
                <w:sz w:val="21"/>
              </w:rPr>
              <w:t>（2）</w:t>
            </w:r>
            <w:r>
              <w:rPr>
                <w:b/>
                <w:sz w:val="21"/>
              </w:rPr>
              <w:t>语言能力或咀嚼吞咽能力完全丧失</w:t>
            </w:r>
            <w:r>
              <w:rPr>
                <w:b/>
                <w:position w:val="11"/>
                <w:sz w:val="11"/>
              </w:rPr>
              <w:t>［10.14］</w:t>
            </w:r>
            <w:r>
              <w:rPr>
                <w:sz w:val="21"/>
              </w:rPr>
              <w:t>；</w:t>
            </w:r>
          </w:p>
          <w:p>
            <w:pPr>
              <w:pStyle w:val="TableParagraph"/>
              <w:spacing w:line="273" w:lineRule="auto" w:before="37"/>
              <w:ind w:left="618" w:right="35" w:hanging="527"/>
              <w:rPr>
                <w:sz w:val="21"/>
              </w:rPr>
            </w:pPr>
            <w:r>
              <w:rPr>
                <w:sz w:val="21"/>
              </w:rPr>
              <w:t>（3）自主生活能力完全丧失，无法独立完成</w:t>
            </w:r>
            <w:r>
              <w:rPr>
                <w:b/>
                <w:sz w:val="21"/>
              </w:rPr>
              <w:t>六项基本日常生活活动</w:t>
            </w:r>
            <w:r>
              <w:rPr>
                <w:b/>
                <w:position w:val="11"/>
                <w:sz w:val="11"/>
              </w:rPr>
              <w:t>［10.15］</w:t>
            </w:r>
            <w:r>
              <w:rPr>
                <w:sz w:val="21"/>
              </w:rPr>
              <w:t>中的三项或三项以上。</w:t>
            </w:r>
          </w:p>
        </w:tc>
      </w:tr>
      <w:tr>
        <w:trPr>
          <w:trHeight w:val="1719" w:hRule="atLeast"/>
        </w:trPr>
        <w:tc>
          <w:tcPr>
            <w:tcW w:w="989" w:type="dxa"/>
          </w:tcPr>
          <w:p>
            <w:pPr>
              <w:pStyle w:val="TableParagraph"/>
              <w:ind w:left="200"/>
              <w:rPr>
                <w:b/>
                <w:sz w:val="21"/>
              </w:rPr>
            </w:pPr>
            <w:r>
              <w:rPr>
                <w:b/>
                <w:sz w:val="21"/>
              </w:rPr>
              <w:t>3.2.4</w:t>
            </w:r>
          </w:p>
        </w:tc>
        <w:tc>
          <w:tcPr>
            <w:tcW w:w="1721" w:type="dxa"/>
          </w:tcPr>
          <w:p>
            <w:pPr>
              <w:pStyle w:val="TableParagraph"/>
              <w:spacing w:line="273" w:lineRule="auto"/>
              <w:ind w:left="149" w:right="303"/>
              <w:jc w:val="both"/>
              <w:rPr>
                <w:b/>
                <w:sz w:val="21"/>
              </w:rPr>
            </w:pPr>
            <w:r>
              <w:rPr>
                <w:b/>
                <w:sz w:val="21"/>
              </w:rPr>
              <w:t>重大器官移植术或造血干细胞移植术</w:t>
            </w:r>
          </w:p>
        </w:tc>
        <w:tc>
          <w:tcPr>
            <w:tcW w:w="7467" w:type="dxa"/>
          </w:tcPr>
          <w:p>
            <w:pPr>
              <w:pStyle w:val="TableParagraph"/>
              <w:spacing w:line="273" w:lineRule="auto"/>
              <w:ind w:left="92" w:right="102"/>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73" w:lineRule="auto" w:before="7"/>
              <w:ind w:left="92" w:right="102"/>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136" w:hRule="atLeast"/>
        </w:trPr>
        <w:tc>
          <w:tcPr>
            <w:tcW w:w="989" w:type="dxa"/>
          </w:tcPr>
          <w:p>
            <w:pPr>
              <w:pStyle w:val="TableParagraph"/>
              <w:spacing w:before="97"/>
              <w:ind w:left="200"/>
              <w:rPr>
                <w:b/>
                <w:sz w:val="21"/>
              </w:rPr>
            </w:pPr>
            <w:r>
              <w:rPr>
                <w:b/>
                <w:sz w:val="21"/>
              </w:rPr>
              <w:t>3.2.5</w:t>
            </w:r>
          </w:p>
        </w:tc>
        <w:tc>
          <w:tcPr>
            <w:tcW w:w="1721" w:type="dxa"/>
          </w:tcPr>
          <w:p>
            <w:pPr>
              <w:pStyle w:val="TableParagraph"/>
              <w:spacing w:line="273" w:lineRule="auto" w:before="97"/>
              <w:ind w:left="149" w:right="107"/>
              <w:rPr>
                <w:b/>
                <w:sz w:val="21"/>
              </w:rPr>
            </w:pPr>
            <w:r>
              <w:rPr>
                <w:b/>
                <w:sz w:val="21"/>
              </w:rPr>
              <w:t>冠状动脉搭桥 </w:t>
            </w:r>
            <w:r>
              <w:rPr>
                <w:b/>
                <w:spacing w:val="-29"/>
                <w:sz w:val="21"/>
              </w:rPr>
              <w:t>术</w:t>
            </w:r>
            <w:r>
              <w:rPr>
                <w:b/>
                <w:sz w:val="21"/>
              </w:rPr>
              <w:t>（或称冠状动</w:t>
            </w:r>
            <w:r>
              <w:rPr>
                <w:b/>
                <w:spacing w:val="-1"/>
                <w:w w:val="95"/>
                <w:sz w:val="21"/>
              </w:rPr>
              <w:t>脉旁路移植术</w:t>
            </w:r>
            <w:r>
              <w:rPr>
                <w:b/>
                <w:w w:val="95"/>
                <w:sz w:val="21"/>
              </w:rPr>
              <w:t>）</w:t>
            </w:r>
          </w:p>
        </w:tc>
        <w:tc>
          <w:tcPr>
            <w:tcW w:w="7467" w:type="dxa"/>
          </w:tcPr>
          <w:p>
            <w:pPr>
              <w:pStyle w:val="TableParagraph"/>
              <w:spacing w:line="264" w:lineRule="auto" w:before="56"/>
              <w:ind w:left="92" w:right="15"/>
              <w:rPr>
                <w:rFonts w:ascii="黑体" w:eastAsia="黑体" w:hint="eastAsia"/>
                <w:b/>
                <w:sz w:val="21"/>
              </w:rPr>
            </w:pPr>
            <w:r>
              <w:rPr>
                <w:spacing w:val="-3"/>
                <w:sz w:val="21"/>
              </w:rPr>
              <w:t>指为治疗严重的冠心病，实际实施了开胸进行的冠状动脉血管旁路移植的手术。</w:t>
            </w:r>
            <w:r>
              <w:rPr>
                <w:rFonts w:ascii="黑体" w:eastAsia="黑体" w:hint="eastAsia"/>
                <w:b/>
                <w:spacing w:val="-12"/>
                <w:sz w:val="21"/>
              </w:rPr>
              <w:t>冠状动脉支架植入术、心导管球囊扩张术、激光射频技术及其它非开胸的介入手</w:t>
            </w:r>
            <w:r>
              <w:rPr>
                <w:rFonts w:ascii="黑体" w:eastAsia="黑体" w:hint="eastAsia"/>
                <w:b/>
                <w:spacing w:val="-10"/>
                <w:sz w:val="21"/>
              </w:rPr>
              <w:t>术、腔镜手术不在保障范围内。</w:t>
            </w:r>
          </w:p>
        </w:tc>
      </w:tr>
      <w:tr>
        <w:trPr>
          <w:trHeight w:val="1116" w:hRule="atLeast"/>
        </w:trPr>
        <w:tc>
          <w:tcPr>
            <w:tcW w:w="989" w:type="dxa"/>
          </w:tcPr>
          <w:p>
            <w:pPr>
              <w:pStyle w:val="TableParagraph"/>
              <w:ind w:left="200"/>
              <w:rPr>
                <w:b/>
                <w:sz w:val="21"/>
              </w:rPr>
            </w:pPr>
            <w:r>
              <w:rPr>
                <w:b/>
                <w:sz w:val="21"/>
              </w:rPr>
              <w:t>3.2.6</w:t>
            </w:r>
          </w:p>
        </w:tc>
        <w:tc>
          <w:tcPr>
            <w:tcW w:w="1721" w:type="dxa"/>
          </w:tcPr>
          <w:p>
            <w:pPr>
              <w:pStyle w:val="TableParagraph"/>
              <w:spacing w:line="273" w:lineRule="auto"/>
              <w:ind w:left="149" w:right="90"/>
              <w:rPr>
                <w:b/>
                <w:sz w:val="21"/>
              </w:rPr>
            </w:pPr>
            <w:r>
              <w:rPr>
                <w:b/>
                <w:spacing w:val="-6"/>
                <w:sz w:val="21"/>
              </w:rPr>
              <w:t>终末期肾病</w:t>
            </w:r>
            <w:r>
              <w:rPr>
                <w:b/>
                <w:sz w:val="21"/>
              </w:rPr>
              <w:t>（或称慢性肾功能 衰竭尿毒症期）</w:t>
            </w:r>
          </w:p>
        </w:tc>
        <w:tc>
          <w:tcPr>
            <w:tcW w:w="7467" w:type="dxa"/>
          </w:tcPr>
          <w:p>
            <w:pPr>
              <w:pStyle w:val="TableParagraph"/>
              <w:spacing w:line="273" w:lineRule="auto"/>
              <w:ind w:left="92" w:right="123"/>
              <w:rPr>
                <w:sz w:val="21"/>
              </w:rPr>
            </w:pPr>
            <w:r>
              <w:rPr>
                <w:spacing w:val="-4"/>
                <w:sz w:val="21"/>
              </w:rPr>
              <w:t>指双肾功能慢性不可逆性衰竭，达到尿毒症期，经诊断后已经进行了至少 </w:t>
            </w:r>
            <w:r>
              <w:rPr>
                <w:sz w:val="21"/>
              </w:rPr>
              <w:t>90</w:t>
            </w:r>
            <w:r>
              <w:rPr>
                <w:spacing w:val="-20"/>
                <w:sz w:val="21"/>
              </w:rPr>
              <w:t> 日</w:t>
            </w:r>
            <w:r>
              <w:rPr>
                <w:spacing w:val="-8"/>
                <w:sz w:val="21"/>
              </w:rPr>
              <w:t>的规律性透析治疗或实施了肾脏移植手术。</w:t>
            </w:r>
          </w:p>
        </w:tc>
      </w:tr>
      <w:tr>
        <w:trPr>
          <w:trHeight w:val="803" w:hRule="atLeast"/>
        </w:trPr>
        <w:tc>
          <w:tcPr>
            <w:tcW w:w="989" w:type="dxa"/>
          </w:tcPr>
          <w:p>
            <w:pPr>
              <w:pStyle w:val="TableParagraph"/>
              <w:ind w:left="200"/>
              <w:rPr>
                <w:b/>
                <w:sz w:val="21"/>
              </w:rPr>
            </w:pPr>
            <w:r>
              <w:rPr>
                <w:b/>
                <w:sz w:val="21"/>
              </w:rPr>
              <w:t>3.2.7</w:t>
            </w:r>
          </w:p>
        </w:tc>
        <w:tc>
          <w:tcPr>
            <w:tcW w:w="1721" w:type="dxa"/>
          </w:tcPr>
          <w:p>
            <w:pPr>
              <w:pStyle w:val="TableParagraph"/>
              <w:ind w:left="149"/>
              <w:rPr>
                <w:b/>
                <w:sz w:val="21"/>
              </w:rPr>
            </w:pPr>
            <w:r>
              <w:rPr>
                <w:b/>
                <w:sz w:val="21"/>
              </w:rPr>
              <w:t>多个肢体缺失</w:t>
            </w:r>
          </w:p>
        </w:tc>
        <w:tc>
          <w:tcPr>
            <w:tcW w:w="7467" w:type="dxa"/>
          </w:tcPr>
          <w:p>
            <w:pPr>
              <w:pStyle w:val="TableParagraph"/>
              <w:spacing w:line="273" w:lineRule="auto"/>
              <w:ind w:left="92" w:right="22"/>
              <w:rPr>
                <w:sz w:val="21"/>
              </w:rPr>
            </w:pPr>
            <w:r>
              <w:rPr>
                <w:sz w:val="21"/>
              </w:rPr>
              <w:t>指因疾病或意外伤害导致二个或二个以上肢体自腕关节或踝关节近端（靠近躯干端）以上完全性断离。</w:t>
            </w:r>
          </w:p>
        </w:tc>
      </w:tr>
      <w:tr>
        <w:trPr>
          <w:trHeight w:val="2141" w:hRule="atLeast"/>
        </w:trPr>
        <w:tc>
          <w:tcPr>
            <w:tcW w:w="989" w:type="dxa"/>
          </w:tcPr>
          <w:p>
            <w:pPr>
              <w:pStyle w:val="TableParagraph"/>
              <w:ind w:left="200"/>
              <w:rPr>
                <w:b/>
                <w:sz w:val="21"/>
              </w:rPr>
            </w:pPr>
            <w:r>
              <w:rPr>
                <w:b/>
                <w:sz w:val="21"/>
              </w:rPr>
              <w:t>3.2.8</w:t>
            </w:r>
          </w:p>
        </w:tc>
        <w:tc>
          <w:tcPr>
            <w:tcW w:w="1721" w:type="dxa"/>
          </w:tcPr>
          <w:p>
            <w:pPr>
              <w:pStyle w:val="TableParagraph"/>
              <w:spacing w:line="273" w:lineRule="auto"/>
              <w:ind w:left="149" w:right="303"/>
              <w:rPr>
                <w:b/>
                <w:sz w:val="21"/>
              </w:rPr>
            </w:pPr>
            <w:r>
              <w:rPr>
                <w:b/>
                <w:sz w:val="21"/>
              </w:rPr>
              <w:t>急性或亚急性重症肝炎</w:t>
            </w:r>
          </w:p>
        </w:tc>
        <w:tc>
          <w:tcPr>
            <w:tcW w:w="7467" w:type="dxa"/>
          </w:tcPr>
          <w:p>
            <w:pPr>
              <w:pStyle w:val="TableParagraph"/>
              <w:spacing w:line="273" w:lineRule="auto"/>
              <w:ind w:left="92" w:right="102"/>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184" w:hRule="atLeast"/>
        </w:trPr>
        <w:tc>
          <w:tcPr>
            <w:tcW w:w="989" w:type="dxa"/>
          </w:tcPr>
          <w:p>
            <w:pPr>
              <w:pStyle w:val="TableParagraph"/>
              <w:spacing w:line="263" w:lineRule="exact" w:before="0"/>
              <w:ind w:left="200"/>
              <w:rPr>
                <w:b/>
                <w:sz w:val="21"/>
              </w:rPr>
            </w:pPr>
            <w:r>
              <w:rPr>
                <w:b/>
                <w:sz w:val="21"/>
              </w:rPr>
              <w:t>3.2.9</w:t>
            </w:r>
          </w:p>
        </w:tc>
        <w:tc>
          <w:tcPr>
            <w:tcW w:w="1721" w:type="dxa"/>
          </w:tcPr>
          <w:p>
            <w:pPr>
              <w:pStyle w:val="TableParagraph"/>
              <w:spacing w:line="263" w:lineRule="exact" w:before="0"/>
              <w:ind w:left="149"/>
              <w:rPr>
                <w:b/>
                <w:sz w:val="21"/>
              </w:rPr>
            </w:pPr>
            <w:r>
              <w:rPr>
                <w:b/>
                <w:sz w:val="21"/>
              </w:rPr>
              <w:t>良性脑肿瘤</w:t>
            </w:r>
          </w:p>
        </w:tc>
        <w:tc>
          <w:tcPr>
            <w:tcW w:w="7467" w:type="dxa"/>
            <w:tcBorders>
              <w:right w:val="single" w:sz="4" w:space="0" w:color="FFFFFF"/>
            </w:tcBorders>
          </w:tcPr>
          <w:p>
            <w:pPr>
              <w:pStyle w:val="TableParagraph"/>
              <w:spacing w:line="273" w:lineRule="auto" w:before="0"/>
              <w:ind w:left="92" w:right="-15"/>
              <w:rPr>
                <w:sz w:val="21"/>
              </w:rPr>
            </w:pPr>
            <w:r>
              <w:rPr>
                <w:spacing w:val="-15"/>
                <w:sz w:val="21"/>
              </w:rPr>
              <w:t>指脑的良性肿瘤，已经引起颅内压增高，临床表现为视神经乳头水肿、精神症状、</w:t>
            </w:r>
            <w:r>
              <w:rPr>
                <w:spacing w:val="-7"/>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、核磁共振检查</w:t>
            </w:r>
          </w:p>
          <w:p>
            <w:pPr>
              <w:pStyle w:val="TableParagraph"/>
              <w:spacing w:line="273" w:lineRule="auto" w:before="20"/>
              <w:ind w:left="92" w:right="97"/>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spacing w:before="8"/>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37"/>
              <w:ind w:left="92"/>
              <w:rPr>
                <w:rFonts w:ascii="黑体" w:eastAsia="黑体" w:hint="eastAsia"/>
                <w:b/>
                <w:sz w:val="21"/>
              </w:rPr>
            </w:pPr>
            <w:r>
              <w:rPr>
                <w:rFonts w:ascii="黑体" w:eastAsia="黑体" w:hint="eastAsia"/>
                <w:b/>
                <w:sz w:val="21"/>
              </w:rPr>
              <w:t>脑垂体瘤、脑囊肿、脑血管性疾病不在保障范围内。</w:t>
            </w:r>
          </w:p>
        </w:tc>
      </w:tr>
      <w:tr>
        <w:trPr>
          <w:trHeight w:val="2143" w:hRule="atLeast"/>
        </w:trPr>
        <w:tc>
          <w:tcPr>
            <w:tcW w:w="989" w:type="dxa"/>
          </w:tcPr>
          <w:p>
            <w:pPr>
              <w:pStyle w:val="TableParagraph"/>
              <w:spacing w:before="167"/>
              <w:ind w:left="200"/>
              <w:rPr>
                <w:b/>
                <w:sz w:val="21"/>
              </w:rPr>
            </w:pPr>
            <w:r>
              <w:rPr>
                <w:b/>
                <w:sz w:val="21"/>
              </w:rPr>
              <w:t>3.2.10</w:t>
            </w:r>
          </w:p>
        </w:tc>
        <w:tc>
          <w:tcPr>
            <w:tcW w:w="1721" w:type="dxa"/>
          </w:tcPr>
          <w:p>
            <w:pPr>
              <w:pStyle w:val="TableParagraph"/>
              <w:spacing w:line="273" w:lineRule="auto" w:before="167"/>
              <w:ind w:left="149" w:right="121"/>
              <w:rPr>
                <w:b/>
                <w:sz w:val="21"/>
              </w:rPr>
            </w:pPr>
            <w:r>
              <w:rPr>
                <w:b/>
                <w:sz w:val="21"/>
              </w:rPr>
              <w:t>慢性肝功 能衰竭失代偿期</w:t>
            </w:r>
          </w:p>
        </w:tc>
        <w:tc>
          <w:tcPr>
            <w:tcW w:w="7467" w:type="dxa"/>
          </w:tcPr>
          <w:p>
            <w:pPr>
              <w:pStyle w:val="TableParagraph"/>
              <w:spacing w:before="167"/>
              <w:ind w:left="9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37"/>
              <w:ind w:left="92"/>
              <w:rPr>
                <w:rFonts w:ascii="黑体" w:eastAsia="黑体" w:hint="eastAsia"/>
                <w:b/>
                <w:sz w:val="21"/>
              </w:rPr>
            </w:pPr>
            <w:r>
              <w:rPr>
                <w:rFonts w:ascii="黑体" w:eastAsia="黑体" w:hint="eastAsia"/>
                <w:b/>
                <w:sz w:val="21"/>
              </w:rPr>
              <w:t>因酗酒或药物滥用导致的肝功能衰竭不在保障范围内。</w:t>
            </w:r>
          </w:p>
        </w:tc>
      </w:tr>
      <w:tr>
        <w:trPr>
          <w:trHeight w:val="1599" w:hRule="atLeast"/>
        </w:trPr>
        <w:tc>
          <w:tcPr>
            <w:tcW w:w="989" w:type="dxa"/>
          </w:tcPr>
          <w:p>
            <w:pPr>
              <w:pStyle w:val="TableParagraph"/>
              <w:ind w:left="200"/>
              <w:rPr>
                <w:b/>
                <w:sz w:val="21"/>
              </w:rPr>
            </w:pPr>
            <w:r>
              <w:rPr>
                <w:b/>
                <w:sz w:val="21"/>
              </w:rPr>
              <w:t>3.2.11</w:t>
            </w:r>
          </w:p>
        </w:tc>
        <w:tc>
          <w:tcPr>
            <w:tcW w:w="1721" w:type="dxa"/>
          </w:tcPr>
          <w:p>
            <w:pPr>
              <w:pStyle w:val="TableParagraph"/>
              <w:spacing w:line="273" w:lineRule="auto"/>
              <w:ind w:left="149" w:right="121"/>
              <w:rPr>
                <w:b/>
                <w:sz w:val="21"/>
              </w:rPr>
            </w:pPr>
            <w:r>
              <w:rPr>
                <w:b/>
                <w:sz w:val="21"/>
              </w:rPr>
              <w:t>脑炎后遗 症或脑膜炎后遗症</w:t>
            </w:r>
          </w:p>
        </w:tc>
        <w:tc>
          <w:tcPr>
            <w:tcW w:w="7467" w:type="dxa"/>
          </w:tcPr>
          <w:p>
            <w:pPr>
              <w:pStyle w:val="TableParagraph"/>
              <w:spacing w:line="273" w:lineRule="auto"/>
              <w:ind w:left="92" w:right="101"/>
              <w:rPr>
                <w:sz w:val="21"/>
              </w:rPr>
            </w:pPr>
            <w:r>
              <w:rPr>
                <w:spacing w:val="-7"/>
                <w:sz w:val="21"/>
              </w:rPr>
              <w:t>指因患脑炎或脑膜炎导致的神经系统永久性的功能障碍。神经系统永久性的功能</w:t>
            </w:r>
            <w:r>
              <w:rPr>
                <w:spacing w:val="-5"/>
                <w:sz w:val="21"/>
              </w:rPr>
              <w:t>障碍，指疾病确诊</w:t>
            </w:r>
            <w:r>
              <w:rPr>
                <w:sz w:val="21"/>
              </w:rPr>
              <w:t>180</w:t>
            </w:r>
            <w:r>
              <w:rPr>
                <w:spacing w:val="-3"/>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55" w:lineRule="exact" w:before="37"/>
              <w:rPr>
                <w:sz w:val="21"/>
              </w:rPr>
            </w:pPr>
            <w:r>
              <w:rPr>
                <w:sz w:val="21"/>
              </w:rPr>
              <w:t>（3）自主生活能力完全丧失，无法独立完成六项基本日常生活活动中的三项或</w:t>
            </w:r>
          </w:p>
        </w:tc>
      </w:tr>
    </w:tbl>
    <w:p>
      <w:pPr>
        <w:spacing w:after="0" w:line="255" w:lineRule="exact"/>
        <w:rPr>
          <w:sz w:val="21"/>
        </w:rPr>
        <w:sectPr>
          <w:headerReference w:type="default" r:id="rId10"/>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467"/>
      </w:tblGrid>
      <w:tr>
        <w:trPr>
          <w:trHeight w:val="339" w:hRule="atLeast"/>
        </w:trPr>
        <w:tc>
          <w:tcPr>
            <w:tcW w:w="989" w:type="dxa"/>
          </w:tcPr>
          <w:p>
            <w:pPr>
              <w:pStyle w:val="TableParagraph"/>
              <w:spacing w:before="0"/>
              <w:ind w:left="0"/>
              <w:rPr>
                <w:rFonts w:ascii="Times New Roman"/>
                <w:sz w:val="20"/>
              </w:rPr>
            </w:pPr>
          </w:p>
        </w:tc>
        <w:tc>
          <w:tcPr>
            <w:tcW w:w="1721" w:type="dxa"/>
          </w:tcPr>
          <w:p>
            <w:pPr>
              <w:pStyle w:val="TableParagraph"/>
              <w:spacing w:before="0"/>
              <w:ind w:left="0"/>
              <w:rPr>
                <w:rFonts w:ascii="Times New Roman"/>
                <w:sz w:val="20"/>
              </w:rPr>
            </w:pPr>
          </w:p>
        </w:tc>
        <w:tc>
          <w:tcPr>
            <w:tcW w:w="7467" w:type="dxa"/>
          </w:tcPr>
          <w:p>
            <w:pPr>
              <w:pStyle w:val="TableParagraph"/>
              <w:spacing w:line="211" w:lineRule="exact" w:before="0"/>
              <w:ind w:left="723"/>
              <w:rPr>
                <w:sz w:val="21"/>
              </w:rPr>
            </w:pPr>
            <w:r>
              <w:rPr>
                <w:sz w:val="21"/>
              </w:rPr>
              <w:t>三项以上。</w:t>
            </w:r>
          </w:p>
        </w:tc>
      </w:tr>
      <w:tr>
        <w:trPr>
          <w:trHeight w:val="1440" w:hRule="atLeast"/>
        </w:trPr>
        <w:tc>
          <w:tcPr>
            <w:tcW w:w="989" w:type="dxa"/>
          </w:tcPr>
          <w:p>
            <w:pPr>
              <w:pStyle w:val="TableParagraph"/>
              <w:spacing w:before="88"/>
              <w:ind w:left="179" w:right="132"/>
              <w:jc w:val="center"/>
              <w:rPr>
                <w:b/>
                <w:sz w:val="21"/>
              </w:rPr>
            </w:pPr>
            <w:r>
              <w:rPr>
                <w:b/>
                <w:sz w:val="21"/>
              </w:rPr>
              <w:t>3.2.12</w:t>
            </w:r>
          </w:p>
        </w:tc>
        <w:tc>
          <w:tcPr>
            <w:tcW w:w="1721" w:type="dxa"/>
          </w:tcPr>
          <w:p>
            <w:pPr>
              <w:pStyle w:val="TableParagraph"/>
              <w:spacing w:before="88"/>
              <w:ind w:left="149"/>
              <w:rPr>
                <w:b/>
                <w:sz w:val="21"/>
              </w:rPr>
            </w:pPr>
            <w:r>
              <w:rPr>
                <w:b/>
                <w:sz w:val="21"/>
              </w:rPr>
              <w:t>双耳失聪</w:t>
            </w:r>
          </w:p>
        </w:tc>
        <w:tc>
          <w:tcPr>
            <w:tcW w:w="7467" w:type="dxa"/>
          </w:tcPr>
          <w:p>
            <w:pPr>
              <w:pStyle w:val="TableParagraph"/>
              <w:spacing w:line="273" w:lineRule="auto" w:before="88"/>
              <w:ind w:left="92" w:right="101"/>
              <w:jc w:val="both"/>
              <w:rPr>
                <w:sz w:val="21"/>
              </w:rPr>
            </w:pPr>
            <w:r>
              <w:rPr>
                <w:spacing w:val="-3"/>
                <w:sz w:val="21"/>
              </w:rPr>
              <w:t>指因疾病或意外伤害导致双耳听力</w:t>
            </w:r>
            <w:r>
              <w:rPr>
                <w:b/>
                <w:spacing w:val="-9"/>
                <w:sz w:val="21"/>
              </w:rPr>
              <w:t>永久不可逆</w:t>
            </w:r>
            <w:r>
              <w:rPr>
                <w:b/>
                <w:spacing w:val="-7"/>
                <w:position w:val="11"/>
                <w:sz w:val="11"/>
              </w:rPr>
              <w:t>［10.16］</w:t>
            </w:r>
            <w:r>
              <w:rPr>
                <w:spacing w:val="-25"/>
                <w:sz w:val="21"/>
              </w:rPr>
              <w:t>性丧失，在 </w:t>
            </w:r>
            <w:r>
              <w:rPr>
                <w:sz w:val="21"/>
              </w:rPr>
              <w:t>500</w:t>
            </w:r>
            <w:r>
              <w:rPr>
                <w:spacing w:val="-36"/>
                <w:sz w:val="21"/>
              </w:rPr>
              <w:t> 赫兹、</w:t>
            </w:r>
            <w:r>
              <w:rPr>
                <w:sz w:val="21"/>
              </w:rPr>
              <w:t>1000</w:t>
            </w:r>
            <w:r>
              <w:rPr>
                <w:spacing w:val="5"/>
                <w:sz w:val="21"/>
              </w:rPr>
              <w:t> 赫</w:t>
            </w:r>
            <w:r>
              <w:rPr>
                <w:spacing w:val="-13"/>
                <w:sz w:val="21"/>
              </w:rPr>
              <w:t>兹和 </w:t>
            </w:r>
            <w:r>
              <w:rPr>
                <w:sz w:val="21"/>
              </w:rPr>
              <w:t>2000</w:t>
            </w:r>
            <w:r>
              <w:rPr>
                <w:spacing w:val="-6"/>
                <w:sz w:val="21"/>
              </w:rPr>
              <w:t> 赫兹语音频率下，平均听阈大于 </w:t>
            </w:r>
            <w:r>
              <w:rPr>
                <w:sz w:val="21"/>
              </w:rPr>
              <w:t>90</w:t>
            </w:r>
            <w:r>
              <w:rPr>
                <w:spacing w:val="-3"/>
                <w:sz w:val="21"/>
              </w:rPr>
              <w:t> 分贝，且经纯音听力测试、声导抗检测或听觉诱发电位检测等证实。</w:t>
            </w:r>
          </w:p>
          <w:p>
            <w:pPr>
              <w:pStyle w:val="TableParagraph"/>
              <w:spacing w:before="7"/>
              <w:ind w:left="92"/>
              <w:jc w:val="both"/>
              <w:rPr>
                <w:rFonts w:ascii="黑体" w:eastAsia="黑体" w:hint="eastAsia"/>
                <w:b/>
                <w:sz w:val="21"/>
              </w:rPr>
            </w:pPr>
            <w:r>
              <w:rPr>
                <w:rFonts w:ascii="黑体" w:eastAsia="黑体" w:hint="eastAsia"/>
                <w:b/>
                <w:sz w:val="21"/>
              </w:rPr>
              <w:t>被保险人在 0 至 3 周岁保单周年日期间双耳失聪不在保障范围内。</w:t>
            </w:r>
          </w:p>
        </w:tc>
      </w:tr>
      <w:tr>
        <w:trPr>
          <w:trHeight w:val="2364" w:hRule="atLeast"/>
        </w:trPr>
        <w:tc>
          <w:tcPr>
            <w:tcW w:w="989" w:type="dxa"/>
          </w:tcPr>
          <w:p>
            <w:pPr>
              <w:pStyle w:val="TableParagraph"/>
              <w:ind w:left="179" w:right="132"/>
              <w:jc w:val="center"/>
              <w:rPr>
                <w:b/>
                <w:sz w:val="21"/>
              </w:rPr>
            </w:pPr>
            <w:r>
              <w:rPr>
                <w:b/>
                <w:sz w:val="21"/>
              </w:rPr>
              <w:t>3.2.13</w:t>
            </w:r>
          </w:p>
        </w:tc>
        <w:tc>
          <w:tcPr>
            <w:tcW w:w="1721" w:type="dxa"/>
          </w:tcPr>
          <w:p>
            <w:pPr>
              <w:pStyle w:val="TableParagraph"/>
              <w:ind w:left="149"/>
              <w:rPr>
                <w:b/>
                <w:sz w:val="21"/>
              </w:rPr>
            </w:pPr>
            <w:r>
              <w:rPr>
                <w:b/>
                <w:sz w:val="21"/>
              </w:rPr>
              <w:t>双目失明</w:t>
            </w:r>
          </w:p>
        </w:tc>
        <w:tc>
          <w:tcPr>
            <w:tcW w:w="7467" w:type="dxa"/>
          </w:tcPr>
          <w:p>
            <w:pPr>
              <w:pStyle w:val="TableParagraph"/>
              <w:spacing w:line="273" w:lineRule="auto"/>
              <w:ind w:left="92" w:right="102"/>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spacing w:before="7"/>
              <w:rPr>
                <w:sz w:val="21"/>
              </w:rPr>
            </w:pPr>
            <w:r>
              <w:rPr>
                <w:sz w:val="21"/>
              </w:rPr>
              <w:t>（1）眼球缺失或摘除；</w:t>
            </w:r>
          </w:p>
          <w:p>
            <w:pPr>
              <w:pStyle w:val="TableParagraph"/>
              <w:spacing w:line="273" w:lineRule="auto" w:before="37"/>
              <w:ind w:left="723" w:right="174" w:hanging="526"/>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p>
            <w:pPr>
              <w:pStyle w:val="TableParagraph"/>
              <w:spacing w:before="36"/>
              <w:ind w:left="92"/>
              <w:rPr>
                <w:rFonts w:ascii="黑体" w:eastAsia="黑体" w:hint="eastAsia"/>
                <w:b/>
                <w:sz w:val="21"/>
              </w:rPr>
            </w:pPr>
            <w:r>
              <w:rPr>
                <w:rFonts w:ascii="黑体" w:eastAsia="黑体" w:hint="eastAsia"/>
                <w:b/>
                <w:sz w:val="21"/>
              </w:rPr>
              <w:t>被保险人在 0 至 3 周岁保单周年日期间双目失明不在保障范围内。</w:t>
            </w:r>
          </w:p>
        </w:tc>
      </w:tr>
      <w:tr>
        <w:trPr>
          <w:trHeight w:val="1116" w:hRule="atLeast"/>
        </w:trPr>
        <w:tc>
          <w:tcPr>
            <w:tcW w:w="989" w:type="dxa"/>
          </w:tcPr>
          <w:p>
            <w:pPr>
              <w:pStyle w:val="TableParagraph"/>
              <w:spacing w:before="77"/>
              <w:ind w:left="179" w:right="132"/>
              <w:jc w:val="center"/>
              <w:rPr>
                <w:b/>
                <w:sz w:val="21"/>
              </w:rPr>
            </w:pPr>
            <w:r>
              <w:rPr>
                <w:b/>
                <w:sz w:val="21"/>
              </w:rPr>
              <w:t>3.2.14</w:t>
            </w:r>
          </w:p>
        </w:tc>
        <w:tc>
          <w:tcPr>
            <w:tcW w:w="1721" w:type="dxa"/>
          </w:tcPr>
          <w:p>
            <w:pPr>
              <w:pStyle w:val="TableParagraph"/>
              <w:spacing w:before="77"/>
              <w:ind w:left="149"/>
              <w:rPr>
                <w:b/>
                <w:sz w:val="21"/>
              </w:rPr>
            </w:pPr>
            <w:r>
              <w:rPr>
                <w:b/>
                <w:sz w:val="21"/>
              </w:rPr>
              <w:t>瘫痪</w:t>
            </w:r>
          </w:p>
        </w:tc>
        <w:tc>
          <w:tcPr>
            <w:tcW w:w="7467" w:type="dxa"/>
          </w:tcPr>
          <w:p>
            <w:pPr>
              <w:pStyle w:val="TableParagraph"/>
              <w:spacing w:line="273" w:lineRule="auto" w:before="77"/>
              <w:ind w:left="92" w:right="101"/>
              <w:jc w:val="both"/>
              <w:rPr>
                <w:sz w:val="21"/>
              </w:rPr>
            </w:pPr>
            <w:r>
              <w:rPr>
                <w:spacing w:val="-6"/>
                <w:sz w:val="21"/>
              </w:rPr>
              <w:t>指因疾病或意外伤害导致两肢或两肢以上肢体机能永久完全丧失。肢体机能永久</w:t>
            </w:r>
            <w:r>
              <w:rPr>
                <w:spacing w:val="-7"/>
                <w:sz w:val="21"/>
              </w:rPr>
              <w:t>完全丧失，指疾病确诊 </w:t>
            </w:r>
            <w:r>
              <w:rPr>
                <w:sz w:val="21"/>
              </w:rPr>
              <w:t>180</w:t>
            </w:r>
            <w:r>
              <w:rPr>
                <w:spacing w:val="-7"/>
                <w:sz w:val="21"/>
              </w:rPr>
              <w:t> 日后或意外伤害发生 </w:t>
            </w:r>
            <w:r>
              <w:rPr>
                <w:sz w:val="21"/>
              </w:rPr>
              <w:t>180</w:t>
            </w:r>
            <w:r>
              <w:rPr>
                <w:spacing w:val="-7"/>
                <w:sz w:val="21"/>
              </w:rPr>
              <w:t> 日后，每肢三大关节中的</w:t>
            </w:r>
            <w:r>
              <w:rPr>
                <w:spacing w:val="-5"/>
                <w:sz w:val="21"/>
              </w:rPr>
              <w:t>两大关节仍然完全僵硬，或不能随意识活动。</w:t>
            </w:r>
          </w:p>
        </w:tc>
      </w:tr>
      <w:tr>
        <w:trPr>
          <w:trHeight w:val="481" w:hRule="atLeast"/>
        </w:trPr>
        <w:tc>
          <w:tcPr>
            <w:tcW w:w="989" w:type="dxa"/>
          </w:tcPr>
          <w:p>
            <w:pPr>
              <w:pStyle w:val="TableParagraph"/>
              <w:ind w:left="179" w:right="132"/>
              <w:jc w:val="center"/>
              <w:rPr>
                <w:b/>
                <w:sz w:val="21"/>
              </w:rPr>
            </w:pPr>
            <w:r>
              <w:rPr>
                <w:b/>
                <w:sz w:val="21"/>
              </w:rPr>
              <w:t>3.2.15</w:t>
            </w:r>
          </w:p>
        </w:tc>
        <w:tc>
          <w:tcPr>
            <w:tcW w:w="1721" w:type="dxa"/>
          </w:tcPr>
          <w:p>
            <w:pPr>
              <w:pStyle w:val="TableParagraph"/>
              <w:ind w:left="149"/>
              <w:rPr>
                <w:b/>
                <w:sz w:val="21"/>
              </w:rPr>
            </w:pPr>
            <w:r>
              <w:rPr>
                <w:b/>
                <w:sz w:val="21"/>
              </w:rPr>
              <w:t>心脏瓣膜手术</w:t>
            </w:r>
          </w:p>
        </w:tc>
        <w:tc>
          <w:tcPr>
            <w:tcW w:w="7467" w:type="dxa"/>
          </w:tcPr>
          <w:p>
            <w:pPr>
              <w:pStyle w:val="TableParagraph"/>
              <w:ind w:left="92"/>
              <w:rPr>
                <w:sz w:val="21"/>
              </w:rPr>
            </w:pPr>
            <w:r>
              <w:rPr>
                <w:sz w:val="21"/>
              </w:rPr>
              <w:t>指为治疗心脏瓣膜疾病，实际实施了开胸进行的心脏瓣膜置换或修复的手术。</w:t>
            </w:r>
          </w:p>
        </w:tc>
      </w:tr>
      <w:tr>
        <w:trPr>
          <w:trHeight w:val="2151" w:hRule="atLeast"/>
        </w:trPr>
        <w:tc>
          <w:tcPr>
            <w:tcW w:w="989" w:type="dxa"/>
          </w:tcPr>
          <w:p>
            <w:pPr>
              <w:pStyle w:val="TableParagraph"/>
              <w:spacing w:before="87"/>
              <w:ind w:left="179" w:right="132"/>
              <w:jc w:val="center"/>
              <w:rPr>
                <w:b/>
                <w:sz w:val="21"/>
              </w:rPr>
            </w:pPr>
            <w:r>
              <w:rPr>
                <w:b/>
                <w:sz w:val="21"/>
              </w:rPr>
              <w:t>3.2.16</w:t>
            </w:r>
          </w:p>
        </w:tc>
        <w:tc>
          <w:tcPr>
            <w:tcW w:w="1721" w:type="dxa"/>
          </w:tcPr>
          <w:p>
            <w:pPr>
              <w:pStyle w:val="TableParagraph"/>
              <w:spacing w:line="218" w:lineRule="auto" w:before="90"/>
              <w:ind w:left="149" w:right="90"/>
              <w:rPr>
                <w:b/>
                <w:sz w:val="21"/>
              </w:rPr>
            </w:pPr>
            <w:r>
              <w:rPr>
                <w:b/>
                <w:sz w:val="21"/>
              </w:rPr>
              <w:t>严重阿尔茨海默病</w:t>
            </w:r>
          </w:p>
        </w:tc>
        <w:tc>
          <w:tcPr>
            <w:tcW w:w="7467" w:type="dxa"/>
          </w:tcPr>
          <w:p>
            <w:pPr>
              <w:pStyle w:val="TableParagraph"/>
              <w:spacing w:line="273" w:lineRule="auto" w:before="87"/>
              <w:ind w:left="92" w:right="102"/>
              <w:jc w:val="both"/>
              <w:rPr>
                <w:sz w:val="21"/>
              </w:rPr>
            </w:pPr>
            <w:r>
              <w:rPr>
                <w:spacing w:val="-10"/>
                <w:sz w:val="21"/>
              </w:rPr>
              <w:t>指因大脑进行性、不可逆性改变导致智能严重衰退或丧失，临床表现为明显的认</w:t>
            </w:r>
            <w:r>
              <w:rPr>
                <w:spacing w:val="-11"/>
                <w:sz w:val="21"/>
              </w:rPr>
              <w:t>知能力障碍、行为异常和社交能力减退，其日常生活必须持续受到他人监护。须</w:t>
            </w:r>
            <w:r>
              <w:rPr>
                <w:spacing w:val="-6"/>
                <w:w w:val="100"/>
                <w:sz w:val="21"/>
              </w:rPr>
              <w:t>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w w:val="100"/>
                <w:sz w:val="21"/>
              </w:rPr>
              <w:t>I)</w:t>
            </w:r>
            <w:r>
              <w:rPr>
                <w:sz w:val="21"/>
              </w:rPr>
              <w:t> </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w:t>
            </w:r>
            <w:r>
              <w:rPr>
                <w:spacing w:val="-10"/>
                <w:sz w:val="21"/>
              </w:rPr>
              <w:t>影像学检查证实，且自主生活能力完全丧失，无法独立完成六项基本日常生活活</w:t>
            </w:r>
            <w:r>
              <w:rPr>
                <w:spacing w:val="-5"/>
                <w:sz w:val="21"/>
              </w:rPr>
              <w:t>动中的三项或三项以上。</w:t>
            </w:r>
          </w:p>
          <w:p>
            <w:pPr>
              <w:pStyle w:val="TableParagraph"/>
              <w:spacing w:before="7"/>
              <w:ind w:left="92"/>
              <w:jc w:val="both"/>
              <w:rPr>
                <w:rFonts w:ascii="黑体" w:eastAsia="黑体" w:hint="eastAsia"/>
                <w:b/>
                <w:sz w:val="21"/>
              </w:rPr>
            </w:pPr>
            <w:r>
              <w:rPr>
                <w:rFonts w:ascii="黑体" w:eastAsia="黑体" w:hint="eastAsia"/>
                <w:b/>
                <w:sz w:val="21"/>
              </w:rPr>
              <w:t>神经官能症和精神疾病不在保障范围内。</w:t>
            </w:r>
          </w:p>
        </w:tc>
      </w:tr>
      <w:tr>
        <w:trPr>
          <w:trHeight w:val="2496" w:hRule="atLeast"/>
        </w:trPr>
        <w:tc>
          <w:tcPr>
            <w:tcW w:w="989" w:type="dxa"/>
          </w:tcPr>
          <w:p>
            <w:pPr>
              <w:pStyle w:val="TableParagraph"/>
              <w:spacing w:line="263" w:lineRule="exact" w:before="0"/>
              <w:ind w:left="179" w:right="132"/>
              <w:jc w:val="center"/>
              <w:rPr>
                <w:b/>
                <w:sz w:val="21"/>
              </w:rPr>
            </w:pPr>
            <w:r>
              <w:rPr>
                <w:b/>
                <w:sz w:val="21"/>
              </w:rPr>
              <w:t>3.2.17</w:t>
            </w:r>
          </w:p>
        </w:tc>
        <w:tc>
          <w:tcPr>
            <w:tcW w:w="1721" w:type="dxa"/>
          </w:tcPr>
          <w:p>
            <w:pPr>
              <w:pStyle w:val="TableParagraph"/>
              <w:spacing w:line="263" w:lineRule="exact" w:before="0"/>
              <w:ind w:left="149"/>
              <w:rPr>
                <w:b/>
                <w:sz w:val="21"/>
              </w:rPr>
            </w:pPr>
            <w:r>
              <w:rPr>
                <w:b/>
                <w:sz w:val="21"/>
              </w:rPr>
              <w:t>严重脑损伤</w:t>
            </w:r>
          </w:p>
        </w:tc>
        <w:tc>
          <w:tcPr>
            <w:tcW w:w="7467" w:type="dxa"/>
            <w:tcBorders>
              <w:right w:val="single" w:sz="4" w:space="0" w:color="FFFFFF"/>
            </w:tcBorders>
          </w:tcPr>
          <w:p>
            <w:pPr>
              <w:pStyle w:val="TableParagraph"/>
              <w:spacing w:line="273" w:lineRule="auto" w:before="0"/>
              <w:ind w:left="92" w:right="-15"/>
              <w:rPr>
                <w:sz w:val="21"/>
              </w:rPr>
            </w:pPr>
            <w:r>
              <w:rPr>
                <w:spacing w:val="-9"/>
                <w:sz w:val="21"/>
              </w:rPr>
              <w:t>指因头部遭受机械性外力，引起脑重要部位损伤，导致神经系统永久性的功能障</w:t>
            </w:r>
            <w:r>
              <w:rPr>
                <w:spacing w:val="-14"/>
                <w:sz w:val="21"/>
              </w:rPr>
              <w:t>碍。须由头颅断层扫描（CT）</w:t>
            </w:r>
            <w:r>
              <w:rPr>
                <w:spacing w:val="-17"/>
                <w:sz w:val="21"/>
              </w:rPr>
              <w:t>、核磁共振检查</w:t>
            </w:r>
            <w:r>
              <w:rPr>
                <w:sz w:val="21"/>
              </w:rPr>
              <w:t>（MRI</w:t>
            </w:r>
            <w:r>
              <w:rPr>
                <w:spacing w:val="-8"/>
                <w:sz w:val="21"/>
              </w:rPr>
              <w:t>)或正电子发射断层扫描</w:t>
            </w:r>
            <w:r>
              <w:rPr>
                <w:sz w:val="21"/>
              </w:rPr>
              <w:t>（PET） </w:t>
            </w:r>
            <w:r>
              <w:rPr>
                <w:spacing w:val="-3"/>
                <w:sz w:val="21"/>
              </w:rPr>
              <w:t>等影像学检查证实。神经系统永久性的功能障碍，指脑损伤 </w:t>
            </w:r>
            <w:r>
              <w:rPr>
                <w:sz w:val="21"/>
              </w:rPr>
              <w:t>180</w:t>
            </w:r>
            <w:r>
              <w:rPr>
                <w:spacing w:val="-2"/>
                <w:sz w:val="21"/>
              </w:rPr>
              <w:t> 日后，仍遗留</w:t>
            </w:r>
            <w:r>
              <w:rPr>
                <w:spacing w:val="-3"/>
                <w:sz w:val="21"/>
              </w:rPr>
              <w:t>下列一种或一种以上障碍：</w:t>
            </w:r>
          </w:p>
          <w:p>
            <w:pPr>
              <w:pStyle w:val="TableParagraph"/>
              <w:spacing w:before="20"/>
              <w:ind w:left="92"/>
              <w:rPr>
                <w:sz w:val="21"/>
              </w:rPr>
            </w:pPr>
            <w:r>
              <w:rPr>
                <w:sz w:val="21"/>
              </w:rPr>
              <w:t>（1）一肢或一肢以上肢体机能完全丧失；</w:t>
            </w:r>
          </w:p>
          <w:p>
            <w:pPr>
              <w:pStyle w:val="TableParagraph"/>
              <w:spacing w:before="37"/>
              <w:ind w:left="92"/>
              <w:rPr>
                <w:sz w:val="21"/>
              </w:rPr>
            </w:pPr>
            <w:r>
              <w:rPr>
                <w:sz w:val="21"/>
              </w:rPr>
              <w:t>（2）语言能力或咀嚼吞咽能力完全丧失；</w:t>
            </w:r>
          </w:p>
          <w:p>
            <w:pPr>
              <w:pStyle w:val="TableParagraph"/>
              <w:spacing w:line="273" w:lineRule="auto" w:before="37"/>
              <w:ind w:left="618" w:right="118" w:hanging="527"/>
              <w:rPr>
                <w:sz w:val="21"/>
              </w:rPr>
            </w:pPr>
            <w:r>
              <w:rPr>
                <w:sz w:val="21"/>
              </w:rPr>
              <w:t>（3）自主生活能力完全丧失，无法独立完成六项基本日常生活活动中的三项或三项以上。</w:t>
            </w:r>
          </w:p>
        </w:tc>
      </w:tr>
      <w:tr>
        <w:trPr>
          <w:trHeight w:val="2136" w:hRule="atLeast"/>
        </w:trPr>
        <w:tc>
          <w:tcPr>
            <w:tcW w:w="989" w:type="dxa"/>
          </w:tcPr>
          <w:p>
            <w:pPr>
              <w:pStyle w:val="TableParagraph"/>
              <w:spacing w:before="167"/>
              <w:ind w:left="179" w:right="132"/>
              <w:jc w:val="center"/>
              <w:rPr>
                <w:b/>
                <w:sz w:val="21"/>
              </w:rPr>
            </w:pPr>
            <w:r>
              <w:rPr>
                <w:b/>
                <w:sz w:val="21"/>
              </w:rPr>
              <w:t>3.2.18</w:t>
            </w:r>
          </w:p>
        </w:tc>
        <w:tc>
          <w:tcPr>
            <w:tcW w:w="1721" w:type="dxa"/>
          </w:tcPr>
          <w:p>
            <w:pPr>
              <w:pStyle w:val="TableParagraph"/>
              <w:spacing w:before="167"/>
              <w:ind w:left="149"/>
              <w:rPr>
                <w:b/>
                <w:sz w:val="21"/>
              </w:rPr>
            </w:pPr>
            <w:r>
              <w:rPr>
                <w:b/>
                <w:sz w:val="21"/>
              </w:rPr>
              <w:t>严重帕金森病</w:t>
            </w:r>
          </w:p>
        </w:tc>
        <w:tc>
          <w:tcPr>
            <w:tcW w:w="7467" w:type="dxa"/>
          </w:tcPr>
          <w:p>
            <w:pPr>
              <w:pStyle w:val="TableParagraph"/>
              <w:spacing w:before="0"/>
              <w:ind w:left="0"/>
              <w:rPr>
                <w:rFonts w:ascii="Times New Roman"/>
                <w:sz w:val="16"/>
              </w:rPr>
            </w:pPr>
          </w:p>
          <w:p>
            <w:pPr>
              <w:pStyle w:val="TableParagraph"/>
              <w:spacing w:line="273" w:lineRule="auto" w:before="0"/>
              <w:ind w:left="92" w:right="39"/>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92"/>
              <w:rPr>
                <w:sz w:val="21"/>
              </w:rPr>
            </w:pPr>
            <w:r>
              <w:rPr>
                <w:sz w:val="21"/>
              </w:rPr>
              <w:t>（1）药物治疗无法控制病情；</w:t>
            </w:r>
          </w:p>
          <w:p>
            <w:pPr>
              <w:pStyle w:val="TableParagraph"/>
              <w:spacing w:line="273" w:lineRule="auto" w:before="39"/>
              <w:ind w:left="618" w:right="207" w:hanging="527"/>
              <w:rPr>
                <w:sz w:val="21"/>
              </w:rPr>
            </w:pPr>
            <w:r>
              <w:rPr>
                <w:spacing w:val="-15"/>
                <w:sz w:val="21"/>
              </w:rPr>
              <w:t>（2）</w:t>
            </w:r>
            <w:r>
              <w:rPr>
                <w:spacing w:val="-7"/>
                <w:sz w:val="21"/>
              </w:rPr>
              <w:t>自主生活能力完全丧失，无法独立完成六项基本日常生活活动中的三项或</w:t>
            </w:r>
            <w:r>
              <w:rPr>
                <w:spacing w:val="-4"/>
                <w:sz w:val="21"/>
              </w:rPr>
              <w:t>三项以上。</w:t>
            </w:r>
          </w:p>
          <w:p>
            <w:pPr>
              <w:pStyle w:val="TableParagraph"/>
              <w:spacing w:line="256" w:lineRule="exact" w:before="0"/>
              <w:ind w:left="92"/>
              <w:rPr>
                <w:rFonts w:ascii="黑体" w:eastAsia="黑体" w:hint="eastAsia"/>
                <w:b/>
                <w:sz w:val="21"/>
              </w:rPr>
            </w:pPr>
            <w:r>
              <w:rPr>
                <w:rFonts w:ascii="黑体" w:eastAsia="黑体" w:hint="eastAsia"/>
                <w:b/>
                <w:sz w:val="21"/>
              </w:rPr>
              <w:t>继发性帕金森综合症不在保障范围内。</w:t>
            </w:r>
          </w:p>
        </w:tc>
      </w:tr>
      <w:tr>
        <w:trPr>
          <w:trHeight w:val="803" w:hRule="atLeast"/>
        </w:trPr>
        <w:tc>
          <w:tcPr>
            <w:tcW w:w="989" w:type="dxa"/>
          </w:tcPr>
          <w:p>
            <w:pPr>
              <w:pStyle w:val="TableParagraph"/>
              <w:ind w:left="180" w:right="131"/>
              <w:jc w:val="center"/>
              <w:rPr>
                <w:b/>
                <w:sz w:val="21"/>
              </w:rPr>
            </w:pPr>
            <w:r>
              <w:rPr>
                <w:b/>
                <w:sz w:val="21"/>
              </w:rPr>
              <w:t>3.2.19</w:t>
            </w:r>
          </w:p>
        </w:tc>
        <w:tc>
          <w:tcPr>
            <w:tcW w:w="1721" w:type="dxa"/>
          </w:tcPr>
          <w:p>
            <w:pPr>
              <w:pStyle w:val="TableParagraph"/>
              <w:ind w:left="149"/>
              <w:rPr>
                <w:b/>
                <w:sz w:val="21"/>
              </w:rPr>
            </w:pPr>
            <w:r>
              <w:rPr>
                <w:b/>
                <w:sz w:val="21"/>
              </w:rPr>
              <w:t>严重Ⅲ度烧伤</w:t>
            </w:r>
          </w:p>
        </w:tc>
        <w:tc>
          <w:tcPr>
            <w:tcW w:w="7467" w:type="dxa"/>
          </w:tcPr>
          <w:p>
            <w:pPr>
              <w:pStyle w:val="TableParagraph"/>
              <w:spacing w:line="273" w:lineRule="auto"/>
              <w:ind w:left="92" w:right="22"/>
              <w:rPr>
                <w:sz w:val="21"/>
              </w:rPr>
            </w:pPr>
            <w:r>
              <w:rPr>
                <w:sz w:val="21"/>
              </w:rPr>
              <w:t>指烧伤程度为Ⅲ度，且Ⅲ度烧伤面积达到全身体表面积的 20％或 20％以上。体表面积根据《中国新九分法》计算。</w:t>
            </w:r>
          </w:p>
        </w:tc>
      </w:tr>
      <w:tr>
        <w:trPr>
          <w:trHeight w:val="663" w:hRule="atLeast"/>
        </w:trPr>
        <w:tc>
          <w:tcPr>
            <w:tcW w:w="989" w:type="dxa"/>
          </w:tcPr>
          <w:p>
            <w:pPr>
              <w:pStyle w:val="TableParagraph"/>
              <w:ind w:left="179" w:right="132"/>
              <w:jc w:val="center"/>
              <w:rPr>
                <w:b/>
                <w:sz w:val="21"/>
              </w:rPr>
            </w:pPr>
            <w:r>
              <w:rPr>
                <w:b/>
                <w:sz w:val="21"/>
              </w:rPr>
              <w:t>3.2.20</w:t>
            </w:r>
          </w:p>
        </w:tc>
        <w:tc>
          <w:tcPr>
            <w:tcW w:w="1721" w:type="dxa"/>
          </w:tcPr>
          <w:p>
            <w:pPr>
              <w:pStyle w:val="TableParagraph"/>
              <w:spacing w:line="310" w:lineRule="atLeast" w:before="41"/>
              <w:ind w:left="149" w:right="303"/>
              <w:rPr>
                <w:b/>
                <w:sz w:val="21"/>
              </w:rPr>
            </w:pPr>
            <w:r>
              <w:rPr>
                <w:b/>
                <w:sz w:val="21"/>
              </w:rPr>
              <w:t>严重原发性肺动脉高压</w:t>
            </w:r>
          </w:p>
        </w:tc>
        <w:tc>
          <w:tcPr>
            <w:tcW w:w="7467" w:type="dxa"/>
          </w:tcPr>
          <w:p>
            <w:pPr>
              <w:pStyle w:val="TableParagraph"/>
              <w:spacing w:line="310" w:lineRule="atLeast" w:before="41"/>
              <w:ind w:left="92" w:right="101"/>
              <w:rPr>
                <w:sz w:val="21"/>
              </w:rPr>
            </w:pPr>
            <w:r>
              <w:rPr>
                <w:spacing w:val="-8"/>
                <w:sz w:val="21"/>
              </w:rPr>
              <w:t>指不明原因的肺动脉压力持续性增高，进行性发展而导致的慢性疾病，已经造成</w:t>
            </w:r>
            <w:r>
              <w:rPr>
                <w:spacing w:val="-5"/>
                <w:sz w:val="21"/>
              </w:rPr>
              <w:t>永久不可逆性的体力活动能力受限，达到美国纽约心脏病学会心功能状态分级</w:t>
            </w:r>
          </w:p>
        </w:tc>
      </w:tr>
    </w:tbl>
    <w:p>
      <w:pPr>
        <w:spacing w:after="0" w:line="310" w:lineRule="atLeast"/>
        <w:rPr>
          <w:sz w:val="21"/>
        </w:rPr>
        <w:sectPr>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615"/>
        <w:gridCol w:w="7769"/>
      </w:tblGrid>
      <w:tr>
        <w:trPr>
          <w:trHeight w:val="351" w:hRule="atLeast"/>
        </w:trPr>
        <w:tc>
          <w:tcPr>
            <w:tcW w:w="989" w:type="dxa"/>
          </w:tcPr>
          <w:p>
            <w:pPr>
              <w:pStyle w:val="TableParagraph"/>
              <w:spacing w:before="0"/>
              <w:ind w:left="0"/>
              <w:rPr>
                <w:rFonts w:ascii="Times New Roman"/>
                <w:sz w:val="20"/>
              </w:rPr>
            </w:pPr>
          </w:p>
        </w:tc>
        <w:tc>
          <w:tcPr>
            <w:tcW w:w="1615" w:type="dxa"/>
          </w:tcPr>
          <w:p>
            <w:pPr>
              <w:pStyle w:val="TableParagraph"/>
              <w:spacing w:before="0"/>
              <w:ind w:left="0"/>
              <w:rPr>
                <w:rFonts w:ascii="Times New Roman"/>
                <w:sz w:val="20"/>
              </w:rPr>
            </w:pPr>
          </w:p>
        </w:tc>
        <w:tc>
          <w:tcPr>
            <w:tcW w:w="7769" w:type="dxa"/>
          </w:tcPr>
          <w:p>
            <w:pPr>
              <w:pStyle w:val="TableParagraph"/>
              <w:spacing w:line="211" w:lineRule="exact" w:before="0"/>
              <w:rPr>
                <w:sz w:val="21"/>
              </w:rPr>
            </w:pPr>
            <w:r>
              <w:rPr>
                <w:sz w:val="21"/>
              </w:rPr>
              <w:t>IV 级，且静息状态下肺动脉平均压超过 30mmHg。</w:t>
            </w:r>
          </w:p>
        </w:tc>
      </w:tr>
      <w:tr>
        <w:trPr>
          <w:trHeight w:val="1116" w:hRule="atLeast"/>
        </w:trPr>
        <w:tc>
          <w:tcPr>
            <w:tcW w:w="989" w:type="dxa"/>
          </w:tcPr>
          <w:p>
            <w:pPr>
              <w:pStyle w:val="TableParagraph"/>
              <w:spacing w:before="77"/>
              <w:ind w:left="179" w:right="132"/>
              <w:jc w:val="center"/>
              <w:rPr>
                <w:b/>
                <w:sz w:val="21"/>
              </w:rPr>
            </w:pPr>
            <w:r>
              <w:rPr>
                <w:b/>
                <w:sz w:val="21"/>
              </w:rPr>
              <w:t>3.2.21</w:t>
            </w:r>
          </w:p>
        </w:tc>
        <w:tc>
          <w:tcPr>
            <w:tcW w:w="1615" w:type="dxa"/>
          </w:tcPr>
          <w:p>
            <w:pPr>
              <w:pStyle w:val="TableParagraph"/>
              <w:spacing w:line="273" w:lineRule="auto" w:before="77"/>
              <w:ind w:left="149" w:right="197"/>
              <w:rPr>
                <w:b/>
                <w:sz w:val="21"/>
              </w:rPr>
            </w:pPr>
            <w:r>
              <w:rPr>
                <w:b/>
                <w:sz w:val="21"/>
              </w:rPr>
              <w:t>严重运动神经元病</w:t>
            </w:r>
          </w:p>
        </w:tc>
        <w:tc>
          <w:tcPr>
            <w:tcW w:w="7769" w:type="dxa"/>
          </w:tcPr>
          <w:p>
            <w:pPr>
              <w:pStyle w:val="TableParagraph"/>
              <w:spacing w:line="273" w:lineRule="auto" w:before="77"/>
              <w:ind w:right="198"/>
              <w:jc w:val="both"/>
              <w:rPr>
                <w:rFonts w:ascii="黑体" w:eastAsia="黑体" w:hint="eastAsia"/>
                <w:b/>
                <w:sz w:val="21"/>
              </w:rPr>
            </w:pPr>
            <w:r>
              <w:rPr>
                <w:spacing w:val="-7"/>
                <w:sz w:val="21"/>
              </w:rPr>
              <w:t>是一组中枢神经系统运动神经元的进行性变性疾病，包括进行性脊肌萎缩症、进</w:t>
            </w:r>
            <w:r>
              <w:rPr>
                <w:spacing w:val="-12"/>
                <w:sz w:val="21"/>
              </w:rPr>
              <w:t>行性延髓麻痹症、原发性侧索硬化症、肌萎缩性侧索硬化症。</w:t>
            </w:r>
            <w:r>
              <w:rPr>
                <w:rFonts w:ascii="黑体" w:eastAsia="黑体" w:hint="eastAsia"/>
                <w:b/>
                <w:sz w:val="21"/>
              </w:rPr>
              <w:t>须满足自主Th活能</w:t>
            </w:r>
            <w:r>
              <w:rPr>
                <w:rFonts w:ascii="黑体" w:eastAsia="黑体" w:hint="eastAsia"/>
                <w:b/>
                <w:spacing w:val="-3"/>
                <w:sz w:val="21"/>
              </w:rPr>
              <w:t>力完全丧失，无法独立完成六项基本日常</w:t>
            </w:r>
            <w:r>
              <w:rPr>
                <w:rFonts w:ascii="黑体" w:eastAsia="黑体" w:hint="eastAsia"/>
                <w:b/>
                <w:sz w:val="21"/>
              </w:rPr>
              <w:t>Th</w:t>
            </w:r>
            <w:r>
              <w:rPr>
                <w:rFonts w:ascii="黑体" w:eastAsia="黑体" w:hint="eastAsia"/>
                <w:b/>
                <w:spacing w:val="-3"/>
                <w:sz w:val="21"/>
              </w:rPr>
              <w:t>活活动中的三项或三项以上的条件。</w:t>
            </w:r>
          </w:p>
        </w:tc>
      </w:tr>
      <w:tr>
        <w:trPr>
          <w:trHeight w:val="1428" w:hRule="atLeast"/>
        </w:trPr>
        <w:tc>
          <w:tcPr>
            <w:tcW w:w="989" w:type="dxa"/>
          </w:tcPr>
          <w:p>
            <w:pPr>
              <w:pStyle w:val="TableParagraph"/>
              <w:ind w:left="179" w:right="132"/>
              <w:jc w:val="center"/>
              <w:rPr>
                <w:b/>
                <w:sz w:val="21"/>
              </w:rPr>
            </w:pPr>
            <w:r>
              <w:rPr>
                <w:b/>
                <w:sz w:val="21"/>
              </w:rPr>
              <w:t>3.2.22</w:t>
            </w:r>
          </w:p>
        </w:tc>
        <w:tc>
          <w:tcPr>
            <w:tcW w:w="1615" w:type="dxa"/>
          </w:tcPr>
          <w:p>
            <w:pPr>
              <w:pStyle w:val="TableParagraph"/>
              <w:ind w:left="149"/>
              <w:rPr>
                <w:b/>
                <w:sz w:val="21"/>
              </w:rPr>
            </w:pPr>
            <w:r>
              <w:rPr>
                <w:b/>
                <w:sz w:val="21"/>
              </w:rPr>
              <w:t>语言能力丧失</w:t>
            </w:r>
          </w:p>
        </w:tc>
        <w:tc>
          <w:tcPr>
            <w:tcW w:w="7769" w:type="dxa"/>
          </w:tcPr>
          <w:p>
            <w:pPr>
              <w:pStyle w:val="TableParagraph"/>
              <w:spacing w:line="273" w:lineRule="auto"/>
              <w:ind w:right="319"/>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pacing w:val="-2"/>
                <w:sz w:val="21"/>
              </w:rPr>
              <w:t>声带</w:t>
            </w:r>
            <w:r>
              <w:rPr>
                <w:spacing w:val="-3"/>
                <w:sz w:val="21"/>
              </w:rPr>
              <w:t>完全切除不受此时间限制</w:t>
            </w:r>
            <w:r>
              <w:rPr>
                <w:sz w:val="21"/>
              </w:rPr>
              <w:t>），</w:t>
            </w:r>
            <w:r>
              <w:rPr>
                <w:spacing w:val="-3"/>
                <w:sz w:val="21"/>
              </w:rPr>
              <w:t>仍无法通过现有医疗手段恢复。</w:t>
            </w:r>
          </w:p>
          <w:p>
            <w:pPr>
              <w:pStyle w:val="TableParagraph"/>
              <w:spacing w:before="7"/>
              <w:rPr>
                <w:rFonts w:ascii="黑体" w:eastAsia="黑体" w:hint="eastAsia"/>
                <w:b/>
                <w:sz w:val="21"/>
              </w:rPr>
            </w:pPr>
            <w:r>
              <w:rPr>
                <w:rFonts w:ascii="黑体" w:eastAsia="黑体" w:hint="eastAsia"/>
                <w:b/>
                <w:sz w:val="21"/>
              </w:rPr>
              <w:t>精神心理因素所致的语言能力丧失不在保障范围内。</w:t>
            </w:r>
          </w:p>
          <w:p>
            <w:pPr>
              <w:pStyle w:val="TableParagraph"/>
              <w:spacing w:before="37"/>
              <w:rPr>
                <w:rFonts w:ascii="黑体" w:eastAsia="黑体" w:hint="eastAsia"/>
                <w:b/>
                <w:sz w:val="21"/>
              </w:rPr>
            </w:pPr>
            <w:r>
              <w:rPr>
                <w:rFonts w:ascii="黑体" w:eastAsia="黑体" w:hint="eastAsia"/>
                <w:b/>
                <w:sz w:val="21"/>
              </w:rPr>
              <w:t>被保险人在 0 至 3 周岁保单周年日期间语言能力丧失不在保障范围内。</w:t>
            </w:r>
          </w:p>
        </w:tc>
      </w:tr>
      <w:tr>
        <w:trPr>
          <w:trHeight w:val="2378" w:hRule="atLeast"/>
        </w:trPr>
        <w:tc>
          <w:tcPr>
            <w:tcW w:w="989" w:type="dxa"/>
          </w:tcPr>
          <w:p>
            <w:pPr>
              <w:pStyle w:val="TableParagraph"/>
              <w:ind w:left="179" w:right="132"/>
              <w:jc w:val="center"/>
              <w:rPr>
                <w:b/>
                <w:sz w:val="21"/>
              </w:rPr>
            </w:pPr>
            <w:r>
              <w:rPr>
                <w:b/>
                <w:sz w:val="21"/>
              </w:rPr>
              <w:t>3.2.23</w:t>
            </w:r>
          </w:p>
        </w:tc>
        <w:tc>
          <w:tcPr>
            <w:tcW w:w="1615" w:type="dxa"/>
          </w:tcPr>
          <w:p>
            <w:pPr>
              <w:pStyle w:val="TableParagraph"/>
              <w:spacing w:line="273" w:lineRule="auto"/>
              <w:ind w:left="149" w:right="197"/>
              <w:rPr>
                <w:b/>
                <w:sz w:val="21"/>
              </w:rPr>
            </w:pPr>
            <w:r>
              <w:rPr>
                <w:b/>
                <w:sz w:val="21"/>
              </w:rPr>
              <w:t>重型再生障碍性贫血</w:t>
            </w:r>
          </w:p>
        </w:tc>
        <w:tc>
          <w:tcPr>
            <w:tcW w:w="7769" w:type="dxa"/>
          </w:tcPr>
          <w:p>
            <w:pPr>
              <w:pStyle w:val="TableParagraph"/>
              <w:spacing w:line="273" w:lineRule="auto" w:before="96"/>
              <w:ind w:right="493"/>
              <w:rPr>
                <w:sz w:val="21"/>
              </w:rPr>
            </w:pPr>
            <w:r>
              <w:rPr>
                <w:sz w:val="21"/>
              </w:rPr>
              <w:t>指因骨髓造血功能慢性持续性衰竭导致的贫血、中性粒细胞减少及血小板减少。须满足下列全部条件：</w:t>
            </w:r>
          </w:p>
          <w:p>
            <w:pPr>
              <w:pStyle w:val="TableParagraph"/>
              <w:spacing w:before="10"/>
              <w:rPr>
                <w:sz w:val="21"/>
              </w:rPr>
            </w:pPr>
            <w:r>
              <w:rPr>
                <w:sz w:val="21"/>
              </w:rPr>
              <w:t>（1）骨髓穿刺检查或骨髓活检结果支持诊断；</w:t>
            </w:r>
          </w:p>
          <w:p>
            <w:pPr>
              <w:pStyle w:val="TableParagraph"/>
              <w:spacing w:before="39"/>
              <w:rPr>
                <w:sz w:val="21"/>
              </w:rPr>
            </w:pPr>
            <w:r>
              <w:rPr>
                <w:sz w:val="21"/>
              </w:rPr>
              <w:t>（2）外周血象须具备以下三项条件：</w:t>
            </w:r>
          </w:p>
          <w:p>
            <w:pPr>
              <w:pStyle w:val="TableParagraph"/>
              <w:tabs>
                <w:tab w:pos="726" w:val="left" w:leader="none"/>
              </w:tabs>
              <w:spacing w:before="42"/>
              <w:ind w:left="304"/>
              <w:rPr>
                <w:sz w:val="21"/>
              </w:rPr>
            </w:pPr>
            <w:r>
              <w:rPr>
                <w:sz w:val="21"/>
              </w:rPr>
              <w:t>①</w:t>
              <w:tab/>
            </w:r>
            <w:r>
              <w:rPr>
                <w:spacing w:val="-3"/>
                <w:sz w:val="21"/>
              </w:rPr>
              <w:t>中性粒细胞绝对值</w:t>
            </w:r>
            <w:r>
              <w:rPr>
                <w:sz w:val="21"/>
              </w:rPr>
              <w:t>≤0.5×10</w:t>
            </w:r>
            <w:r>
              <w:rPr>
                <w:position w:val="11"/>
                <w:sz w:val="11"/>
              </w:rPr>
              <w:t>9</w:t>
            </w:r>
            <w:r>
              <w:rPr>
                <w:sz w:val="21"/>
              </w:rPr>
              <w:t>/L</w:t>
            </w:r>
            <w:r>
              <w:rPr>
                <w:spacing w:val="2"/>
                <w:sz w:val="21"/>
              </w:rPr>
              <w:t> ；</w:t>
            </w:r>
          </w:p>
          <w:p>
            <w:pPr>
              <w:pStyle w:val="TableParagraph"/>
              <w:tabs>
                <w:tab w:pos="726" w:val="left" w:leader="none"/>
              </w:tabs>
              <w:spacing w:before="39"/>
              <w:ind w:left="304"/>
              <w:rPr>
                <w:sz w:val="21"/>
              </w:rPr>
            </w:pPr>
            <w:r>
              <w:rPr>
                <w:sz w:val="21"/>
              </w:rPr>
              <w:t>②</w:t>
              <w:tab/>
            </w:r>
            <w:r>
              <w:rPr>
                <w:spacing w:val="-3"/>
                <w:sz w:val="21"/>
              </w:rPr>
              <w:t>网织红细胞＜</w:t>
            </w:r>
            <w:r>
              <w:rPr>
                <w:spacing w:val="-1"/>
                <w:sz w:val="21"/>
              </w:rPr>
              <w:t>1%；</w:t>
            </w:r>
          </w:p>
          <w:p>
            <w:pPr>
              <w:pStyle w:val="TableParagraph"/>
              <w:tabs>
                <w:tab w:pos="726" w:val="left" w:leader="none"/>
              </w:tabs>
              <w:spacing w:before="20"/>
              <w:ind w:left="30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435" w:hRule="atLeast"/>
        </w:trPr>
        <w:tc>
          <w:tcPr>
            <w:tcW w:w="989" w:type="dxa"/>
          </w:tcPr>
          <w:p>
            <w:pPr>
              <w:pStyle w:val="TableParagraph"/>
              <w:ind w:left="179" w:right="132"/>
              <w:jc w:val="center"/>
              <w:rPr>
                <w:b/>
                <w:sz w:val="21"/>
              </w:rPr>
            </w:pPr>
            <w:r>
              <w:rPr>
                <w:b/>
                <w:sz w:val="21"/>
              </w:rPr>
              <w:t>3.2.24</w:t>
            </w:r>
          </w:p>
        </w:tc>
        <w:tc>
          <w:tcPr>
            <w:tcW w:w="1615" w:type="dxa"/>
          </w:tcPr>
          <w:p>
            <w:pPr>
              <w:pStyle w:val="TableParagraph"/>
              <w:ind w:left="149"/>
              <w:rPr>
                <w:b/>
                <w:sz w:val="21"/>
              </w:rPr>
            </w:pPr>
            <w:r>
              <w:rPr>
                <w:b/>
                <w:sz w:val="21"/>
              </w:rPr>
              <w:t>主动脉手术</w:t>
            </w:r>
          </w:p>
        </w:tc>
        <w:tc>
          <w:tcPr>
            <w:tcW w:w="7769" w:type="dxa"/>
          </w:tcPr>
          <w:p>
            <w:pPr>
              <w:pStyle w:val="TableParagraph"/>
              <w:spacing w:line="273" w:lineRule="auto" w:before="96"/>
              <w:ind w:right="485"/>
              <w:jc w:val="both"/>
              <w:rPr>
                <w:sz w:val="21"/>
              </w:rPr>
            </w:pPr>
            <w:r>
              <w:rPr>
                <w:spacing w:val="-7"/>
                <w:sz w:val="21"/>
              </w:rPr>
              <w:t>指为治疗主动脉疾病，实际实施了开胸或开腹进行的切除、置换、修补病损主</w:t>
            </w:r>
            <w:r>
              <w:rPr>
                <w:spacing w:val="-10"/>
                <w:sz w:val="21"/>
              </w:rPr>
              <w:t>动脉血管的手术。主动脉指胸主动脉和腹主动脉，不包括胸主动脉和腹主动脉</w:t>
            </w:r>
            <w:r>
              <w:rPr>
                <w:spacing w:val="-5"/>
                <w:sz w:val="21"/>
              </w:rPr>
              <w:t>的分支血管。</w:t>
            </w:r>
          </w:p>
          <w:p>
            <w:pPr>
              <w:pStyle w:val="TableParagraph"/>
              <w:spacing w:line="268" w:lineRule="exact" w:before="0"/>
              <w:jc w:val="both"/>
              <w:rPr>
                <w:rFonts w:ascii="黑体" w:eastAsia="黑体" w:hint="eastAsia"/>
                <w:b/>
                <w:sz w:val="21"/>
              </w:rPr>
            </w:pPr>
            <w:r>
              <w:rPr>
                <w:rFonts w:ascii="黑体" w:eastAsia="黑体" w:hint="eastAsia"/>
                <w:b/>
                <w:sz w:val="21"/>
              </w:rPr>
              <w:t>动脉内血管成形术不在保障范围内。</w:t>
            </w:r>
          </w:p>
        </w:tc>
      </w:tr>
      <w:tr>
        <w:trPr>
          <w:trHeight w:val="1428" w:hRule="atLeast"/>
        </w:trPr>
        <w:tc>
          <w:tcPr>
            <w:tcW w:w="989" w:type="dxa"/>
          </w:tcPr>
          <w:p>
            <w:pPr>
              <w:pStyle w:val="TableParagraph"/>
              <w:ind w:left="179" w:right="132"/>
              <w:jc w:val="center"/>
              <w:rPr>
                <w:b/>
                <w:sz w:val="21"/>
              </w:rPr>
            </w:pPr>
            <w:r>
              <w:rPr>
                <w:b/>
                <w:sz w:val="21"/>
              </w:rPr>
              <w:t>3.2.25</w:t>
            </w:r>
          </w:p>
        </w:tc>
        <w:tc>
          <w:tcPr>
            <w:tcW w:w="1615" w:type="dxa"/>
          </w:tcPr>
          <w:p>
            <w:pPr>
              <w:pStyle w:val="TableParagraph"/>
              <w:spacing w:line="273" w:lineRule="auto"/>
              <w:ind w:left="149" w:right="197"/>
              <w:rPr>
                <w:b/>
                <w:sz w:val="21"/>
              </w:rPr>
            </w:pPr>
            <w:r>
              <w:rPr>
                <w:b/>
                <w:sz w:val="21"/>
              </w:rPr>
              <w:t>严重多发性硬化症</w:t>
            </w:r>
          </w:p>
        </w:tc>
        <w:tc>
          <w:tcPr>
            <w:tcW w:w="7769" w:type="dxa"/>
          </w:tcPr>
          <w:p>
            <w:pPr>
              <w:pStyle w:val="TableParagraph"/>
              <w:spacing w:line="273" w:lineRule="auto"/>
              <w:ind w:right="298"/>
              <w:jc w:val="both"/>
              <w:rPr>
                <w:sz w:val="21"/>
              </w:rPr>
            </w:pPr>
            <w:r>
              <w:rPr>
                <w:spacing w:val="-7"/>
                <w:sz w:val="21"/>
              </w:rPr>
              <w:t>指因中枢神经系统脱髓鞘所致的不可逆的神经系统功能障碍，须由计算机断层扫</w:t>
            </w:r>
            <w:r>
              <w:rPr>
                <w:spacing w:val="-7"/>
                <w:w w:val="100"/>
                <w:sz w:val="21"/>
              </w:rPr>
              <w:t>描（C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）等影像学检查证</w:t>
            </w:r>
            <w:r>
              <w:rPr>
                <w:spacing w:val="-10"/>
                <w:sz w:val="21"/>
              </w:rPr>
              <w:t>实，且已经造成自主生活能力完全丧失，无法独立完成六项基本日常生活活动中</w:t>
            </w:r>
            <w:r>
              <w:rPr>
                <w:spacing w:val="-8"/>
                <w:sz w:val="21"/>
              </w:rPr>
              <w:t>的三项或三项以上，持续至少 </w:t>
            </w:r>
            <w:r>
              <w:rPr>
                <w:sz w:val="21"/>
              </w:rPr>
              <w:t>180</w:t>
            </w:r>
            <w:r>
              <w:rPr>
                <w:spacing w:val="1"/>
                <w:sz w:val="21"/>
              </w:rPr>
              <w:t> 日。</w:t>
            </w:r>
          </w:p>
        </w:tc>
      </w:tr>
      <w:tr>
        <w:trPr>
          <w:trHeight w:val="1427" w:hRule="atLeast"/>
        </w:trPr>
        <w:tc>
          <w:tcPr>
            <w:tcW w:w="989" w:type="dxa"/>
          </w:tcPr>
          <w:p>
            <w:pPr>
              <w:pStyle w:val="TableParagraph"/>
              <w:ind w:left="179" w:right="132"/>
              <w:jc w:val="center"/>
              <w:rPr>
                <w:b/>
                <w:sz w:val="21"/>
              </w:rPr>
            </w:pPr>
            <w:r>
              <w:rPr>
                <w:b/>
                <w:sz w:val="21"/>
              </w:rPr>
              <w:t>3.2.26</w:t>
            </w:r>
          </w:p>
        </w:tc>
        <w:tc>
          <w:tcPr>
            <w:tcW w:w="1615" w:type="dxa"/>
          </w:tcPr>
          <w:p>
            <w:pPr>
              <w:pStyle w:val="TableParagraph"/>
              <w:spacing w:line="273" w:lineRule="auto"/>
              <w:ind w:left="149" w:right="197"/>
              <w:rPr>
                <w:b/>
                <w:sz w:val="21"/>
              </w:rPr>
            </w:pPr>
            <w:r>
              <w:rPr>
                <w:b/>
                <w:sz w:val="21"/>
              </w:rPr>
              <w:t>严重原发性心肌病</w:t>
            </w:r>
          </w:p>
        </w:tc>
        <w:tc>
          <w:tcPr>
            <w:tcW w:w="7769" w:type="dxa"/>
          </w:tcPr>
          <w:p>
            <w:pPr>
              <w:pStyle w:val="TableParagraph"/>
              <w:spacing w:line="273" w:lineRule="auto"/>
              <w:ind w:right="298"/>
              <w:jc w:val="both"/>
              <w:rPr>
                <w:sz w:val="21"/>
              </w:rPr>
            </w:pPr>
            <w:r>
              <w:rPr>
                <w:spacing w:val="-8"/>
                <w:sz w:val="21"/>
              </w:rPr>
              <w:t>指一组不明原因所致的心肌病变，包括原发性扩张型心肌病、原发性肥厚型心肌</w:t>
            </w:r>
            <w:r>
              <w:rPr>
                <w:spacing w:val="-10"/>
                <w:sz w:val="21"/>
              </w:rPr>
              <w:t>病及原发性限制型心肌病三种，已经造成永久不可逆性的体力活动能力受限，达</w:t>
            </w:r>
            <w:r>
              <w:rPr>
                <w:spacing w:val="-5"/>
                <w:sz w:val="21"/>
              </w:rPr>
              <w:t>到美国纽约心脏病学会心功能状态分级</w:t>
            </w:r>
            <w:r>
              <w:rPr>
                <w:sz w:val="21"/>
              </w:rPr>
              <w:t>IV</w:t>
            </w:r>
            <w:r>
              <w:rPr>
                <w:spacing w:val="-1"/>
                <w:sz w:val="21"/>
              </w:rPr>
              <w:t> 级，且持续至少</w:t>
            </w:r>
            <w:r>
              <w:rPr>
                <w:sz w:val="21"/>
              </w:rPr>
              <w:t>90</w:t>
            </w:r>
            <w:r>
              <w:rPr>
                <w:spacing w:val="2"/>
                <w:sz w:val="21"/>
              </w:rPr>
              <w:t> 日。</w:t>
            </w:r>
          </w:p>
          <w:p>
            <w:pPr>
              <w:pStyle w:val="TableParagraph"/>
              <w:spacing w:before="7"/>
              <w:jc w:val="both"/>
              <w:rPr>
                <w:rFonts w:ascii="黑体" w:eastAsia="黑体" w:hint="eastAsia"/>
                <w:b/>
                <w:sz w:val="21"/>
              </w:rPr>
            </w:pPr>
            <w:r>
              <w:rPr>
                <w:rFonts w:ascii="黑体" w:eastAsia="黑体" w:hint="eastAsia"/>
                <w:b/>
                <w:sz w:val="21"/>
              </w:rPr>
              <w:t>继发性的心肌病变不在保障范围内。</w:t>
            </w:r>
          </w:p>
        </w:tc>
      </w:tr>
      <w:tr>
        <w:trPr>
          <w:trHeight w:val="1428" w:hRule="atLeast"/>
        </w:trPr>
        <w:tc>
          <w:tcPr>
            <w:tcW w:w="989" w:type="dxa"/>
          </w:tcPr>
          <w:p>
            <w:pPr>
              <w:pStyle w:val="TableParagraph"/>
              <w:ind w:left="179" w:right="132"/>
              <w:jc w:val="center"/>
              <w:rPr>
                <w:b/>
                <w:sz w:val="21"/>
              </w:rPr>
            </w:pPr>
            <w:r>
              <w:rPr>
                <w:b/>
                <w:sz w:val="21"/>
              </w:rPr>
              <w:t>3.2.27</w:t>
            </w:r>
          </w:p>
        </w:tc>
        <w:tc>
          <w:tcPr>
            <w:tcW w:w="1615" w:type="dxa"/>
          </w:tcPr>
          <w:p>
            <w:pPr>
              <w:pStyle w:val="TableParagraph"/>
              <w:ind w:left="149"/>
              <w:rPr>
                <w:b/>
                <w:sz w:val="21"/>
              </w:rPr>
            </w:pPr>
            <w:r>
              <w:rPr>
                <w:b/>
                <w:sz w:val="21"/>
              </w:rPr>
              <w:t>严重冠心病</w:t>
            </w:r>
          </w:p>
        </w:tc>
        <w:tc>
          <w:tcPr>
            <w:tcW w:w="7769" w:type="dxa"/>
          </w:tcPr>
          <w:p>
            <w:pPr>
              <w:pStyle w:val="TableParagraph"/>
              <w:spacing w:line="273" w:lineRule="auto"/>
              <w:ind w:right="298"/>
              <w:jc w:val="both"/>
              <w:rPr>
                <w:sz w:val="21"/>
              </w:rPr>
            </w:pPr>
            <w:r>
              <w:rPr>
                <w:spacing w:val="-6"/>
                <w:sz w:val="21"/>
              </w:rPr>
              <w:t>指经心脏科专科医师根据冠状动脉造影检查结果确诊的三支主要血管</w:t>
            </w:r>
            <w:r>
              <w:rPr>
                <w:spacing w:val="-3"/>
                <w:sz w:val="21"/>
              </w:rPr>
              <w:t>（左冠状动</w:t>
            </w:r>
            <w:r>
              <w:rPr>
                <w:spacing w:val="-7"/>
                <w:sz w:val="21"/>
              </w:rPr>
              <w:t>脉主干和右冠状动脉，或前降支、左旋支和右冠状动脉</w:t>
            </w:r>
            <w:r>
              <w:rPr>
                <w:spacing w:val="-25"/>
                <w:sz w:val="21"/>
              </w:rPr>
              <w:t>）</w:t>
            </w:r>
            <w:r>
              <w:rPr>
                <w:spacing w:val="-6"/>
                <w:sz w:val="21"/>
              </w:rPr>
              <w:t>严重狭窄性病变</w:t>
            </w:r>
            <w:r>
              <w:rPr>
                <w:spacing w:val="-3"/>
                <w:sz w:val="21"/>
              </w:rPr>
              <w:t>（</w:t>
            </w:r>
            <w:r>
              <w:rPr>
                <w:sz w:val="21"/>
              </w:rPr>
              <w:t>至少</w:t>
            </w:r>
            <w:r>
              <w:rPr>
                <w:spacing w:val="-7"/>
                <w:sz w:val="21"/>
              </w:rPr>
              <w:t>一支血管管腔直径减少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pacing w:val="-30"/>
                <w:sz w:val="21"/>
              </w:rPr>
              <w:t>。前降</w:t>
            </w:r>
            <w:r>
              <w:rPr>
                <w:spacing w:val="-9"/>
                <w:sz w:val="21"/>
              </w:rPr>
              <w:t>支、左旋支及右冠状动脉的分支血管的狭窄不作为本保障的衡量指标。</w:t>
            </w:r>
          </w:p>
        </w:tc>
      </w:tr>
      <w:tr>
        <w:trPr>
          <w:trHeight w:val="2052" w:hRule="atLeast"/>
        </w:trPr>
        <w:tc>
          <w:tcPr>
            <w:tcW w:w="989" w:type="dxa"/>
          </w:tcPr>
          <w:p>
            <w:pPr>
              <w:pStyle w:val="TableParagraph"/>
              <w:ind w:left="180" w:right="131"/>
              <w:jc w:val="center"/>
              <w:rPr>
                <w:b/>
                <w:sz w:val="21"/>
              </w:rPr>
            </w:pPr>
            <w:r>
              <w:rPr>
                <w:b/>
                <w:sz w:val="21"/>
              </w:rPr>
              <w:t>3.2.28</w:t>
            </w:r>
          </w:p>
        </w:tc>
        <w:tc>
          <w:tcPr>
            <w:tcW w:w="1615" w:type="dxa"/>
          </w:tcPr>
          <w:p>
            <w:pPr>
              <w:pStyle w:val="TableParagraph"/>
              <w:spacing w:line="273" w:lineRule="auto"/>
              <w:ind w:left="149" w:right="197"/>
              <w:jc w:val="both"/>
              <w:rPr>
                <w:b/>
                <w:sz w:val="21"/>
              </w:rPr>
            </w:pPr>
            <w:r>
              <w:rPr>
                <w:b/>
                <w:sz w:val="21"/>
              </w:rPr>
              <w:t>慢性呼吸功能衰竭终末期肺病</w:t>
            </w:r>
          </w:p>
        </w:tc>
        <w:tc>
          <w:tcPr>
            <w:tcW w:w="7769" w:type="dxa"/>
          </w:tcPr>
          <w:p>
            <w:pPr>
              <w:pStyle w:val="TableParagraph"/>
              <w:rPr>
                <w:sz w:val="21"/>
              </w:rPr>
            </w:pPr>
            <w:r>
              <w:rPr>
                <w:sz w:val="21"/>
              </w:rPr>
              <w:t>指因慢性呼吸系统疾病导致呼吸功能衰竭，并须满足下列全部条件：</w:t>
            </w:r>
          </w:p>
          <w:p>
            <w:pPr>
              <w:pStyle w:val="TableParagraph"/>
              <w:spacing w:before="36"/>
              <w:rPr>
                <w:sz w:val="21"/>
              </w:rPr>
            </w:pPr>
            <w:r>
              <w:rPr>
                <w:sz w:val="21"/>
              </w:rPr>
              <w:t>（1) 第一秒末用力呼气量（FEV1）小于 1 升；</w:t>
            </w:r>
          </w:p>
          <w:p>
            <w:pPr>
              <w:pStyle w:val="TableParagraph"/>
              <w:spacing w:before="37"/>
              <w:rPr>
                <w:sz w:val="21"/>
              </w:rPr>
            </w:pPr>
            <w:r>
              <w:rPr>
                <w:sz w:val="21"/>
              </w:rPr>
              <w:t>（2) 气道内阻力增加，至少达到 0.5 kPa/l/s；</w:t>
            </w:r>
          </w:p>
          <w:p>
            <w:pPr>
              <w:pStyle w:val="TableParagraph"/>
              <w:spacing w:before="37"/>
              <w:rPr>
                <w:sz w:val="21"/>
              </w:rPr>
            </w:pPr>
            <w:r>
              <w:rPr>
                <w:sz w:val="21"/>
              </w:rPr>
              <w:t>（3) 残气容积占肺总量(TLC)的 60%以上；</w:t>
            </w:r>
          </w:p>
          <w:p>
            <w:pPr>
              <w:pStyle w:val="TableParagraph"/>
              <w:spacing w:before="37"/>
              <w:rPr>
                <w:sz w:val="21"/>
              </w:rPr>
            </w:pPr>
            <w:r>
              <w:rPr>
                <w:sz w:val="21"/>
              </w:rPr>
              <w:t>（4) 胸内气体容积升高，超过 170(基值的百分比)；</w:t>
            </w:r>
          </w:p>
          <w:p>
            <w:pPr>
              <w:pStyle w:val="TableParagraph"/>
              <w:spacing w:before="37"/>
              <w:rPr>
                <w:sz w:val="21"/>
              </w:rPr>
            </w:pPr>
            <w:r>
              <w:rPr>
                <w:sz w:val="21"/>
              </w:rPr>
              <w:t>（5) PaO2&lt;60mmHg，PaCO2&gt;50mmHg。</w:t>
            </w:r>
          </w:p>
        </w:tc>
      </w:tr>
      <w:tr>
        <w:trPr>
          <w:trHeight w:val="975" w:hRule="atLeast"/>
        </w:trPr>
        <w:tc>
          <w:tcPr>
            <w:tcW w:w="989" w:type="dxa"/>
          </w:tcPr>
          <w:p>
            <w:pPr>
              <w:pStyle w:val="TableParagraph"/>
              <w:ind w:left="180" w:right="131"/>
              <w:jc w:val="center"/>
              <w:rPr>
                <w:b/>
                <w:sz w:val="21"/>
              </w:rPr>
            </w:pPr>
            <w:r>
              <w:rPr>
                <w:b/>
                <w:sz w:val="21"/>
              </w:rPr>
              <w:t>3.2.29</w:t>
            </w:r>
          </w:p>
        </w:tc>
        <w:tc>
          <w:tcPr>
            <w:tcW w:w="1615" w:type="dxa"/>
          </w:tcPr>
          <w:p>
            <w:pPr>
              <w:pStyle w:val="TableParagraph"/>
              <w:ind w:left="149"/>
              <w:rPr>
                <w:b/>
                <w:sz w:val="21"/>
              </w:rPr>
            </w:pPr>
            <w:r>
              <w:rPr>
                <w:b/>
                <w:sz w:val="21"/>
              </w:rPr>
              <w:t>植物人状态</w:t>
            </w:r>
          </w:p>
        </w:tc>
        <w:tc>
          <w:tcPr>
            <w:tcW w:w="7769" w:type="dxa"/>
          </w:tcPr>
          <w:p>
            <w:pPr>
              <w:pStyle w:val="TableParagraph"/>
              <w:spacing w:line="310" w:lineRule="atLeast" w:before="41"/>
              <w:ind w:right="319"/>
              <w:jc w:val="both"/>
              <w:rPr>
                <w:sz w:val="21"/>
              </w:rPr>
            </w:pPr>
            <w:r>
              <w:rPr>
                <w:spacing w:val="-3"/>
                <w:sz w:val="21"/>
              </w:rPr>
              <w:t>指因脑皮质广泛性坏死导致对自身及周边的认知能力完全丧失,但脑干功能依然</w:t>
            </w:r>
            <w:r>
              <w:rPr>
                <w:spacing w:val="-3"/>
                <w:w w:val="100"/>
                <w:sz w:val="21"/>
              </w:rPr>
              <w:t>存在，须经专科医生明确诊断,且由头颅断层扫描（</w:t>
            </w:r>
            <w:r>
              <w:rPr>
                <w:w w:val="100"/>
                <w:sz w:val="21"/>
              </w:rPr>
              <w:t>CT</w:t>
            </w:r>
            <w:r>
              <w:rPr>
                <w:spacing w:val="-106"/>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z w:val="21"/>
              </w:rPr>
              <w:t>（PET）</w:t>
            </w:r>
            <w:r>
              <w:rPr>
                <w:spacing w:val="-6"/>
                <w:sz w:val="21"/>
              </w:rPr>
              <w:t>等影像学检查证实，这种状态持续至少 </w:t>
            </w:r>
            <w:r>
              <w:rPr>
                <w:sz w:val="21"/>
              </w:rPr>
              <w:t>30</w:t>
            </w:r>
            <w:r>
              <w:rPr>
                <w:spacing w:val="5"/>
                <w:sz w:val="21"/>
              </w:rPr>
              <w:t> 日。</w:t>
            </w:r>
          </w:p>
        </w:tc>
      </w:tr>
    </w:tbl>
    <w:p>
      <w:pPr>
        <w:spacing w:after="0" w:line="310" w:lineRule="atLeast"/>
        <w:jc w:val="both"/>
        <w:rPr>
          <w:sz w:val="21"/>
        </w:rPr>
        <w:sectPr>
          <w:pgSz w:w="11910" w:h="16840"/>
          <w:pgMar w:header="566" w:footer="664" w:top="1000" w:bottom="860" w:left="820" w:right="50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8"/>
        <w:gridCol w:w="1707"/>
        <w:gridCol w:w="7580"/>
      </w:tblGrid>
      <w:tr>
        <w:trPr>
          <w:trHeight w:val="351" w:hRule="atLeast"/>
        </w:trPr>
        <w:tc>
          <w:tcPr>
            <w:tcW w:w="988" w:type="dxa"/>
          </w:tcPr>
          <w:p>
            <w:pPr>
              <w:pStyle w:val="TableParagraph"/>
              <w:spacing w:before="0"/>
              <w:ind w:left="0"/>
              <w:rPr>
                <w:rFonts w:ascii="Times New Roman"/>
                <w:sz w:val="20"/>
              </w:rPr>
            </w:pPr>
          </w:p>
        </w:tc>
        <w:tc>
          <w:tcPr>
            <w:tcW w:w="1707" w:type="dxa"/>
          </w:tcPr>
          <w:p>
            <w:pPr>
              <w:pStyle w:val="TableParagraph"/>
              <w:spacing w:before="0"/>
              <w:ind w:left="0"/>
              <w:rPr>
                <w:rFonts w:ascii="Times New Roman"/>
                <w:sz w:val="20"/>
              </w:rPr>
            </w:pPr>
          </w:p>
        </w:tc>
        <w:tc>
          <w:tcPr>
            <w:tcW w:w="7580" w:type="dxa"/>
          </w:tcPr>
          <w:p>
            <w:pPr>
              <w:pStyle w:val="TableParagraph"/>
              <w:spacing w:line="211" w:lineRule="exact" w:before="0"/>
              <w:ind w:left="107"/>
              <w:rPr>
                <w:rFonts w:ascii="黑体" w:eastAsia="黑体" w:hint="eastAsia"/>
                <w:b/>
                <w:sz w:val="21"/>
              </w:rPr>
            </w:pPr>
            <w:r>
              <w:rPr>
                <w:rFonts w:ascii="黑体" w:eastAsia="黑体" w:hint="eastAsia"/>
                <w:b/>
                <w:sz w:val="21"/>
              </w:rPr>
              <w:t>因酗酒或滥用药物所致的植物人状态不在保障范围内。</w:t>
            </w:r>
          </w:p>
        </w:tc>
      </w:tr>
      <w:tr>
        <w:trPr>
          <w:trHeight w:val="3300" w:hRule="atLeast"/>
        </w:trPr>
        <w:tc>
          <w:tcPr>
            <w:tcW w:w="988" w:type="dxa"/>
          </w:tcPr>
          <w:p>
            <w:pPr>
              <w:pStyle w:val="TableParagraph"/>
              <w:spacing w:before="77"/>
              <w:ind w:left="180" w:right="132"/>
              <w:jc w:val="center"/>
              <w:rPr>
                <w:b/>
                <w:sz w:val="21"/>
              </w:rPr>
            </w:pPr>
            <w:r>
              <w:rPr>
                <w:b/>
                <w:sz w:val="21"/>
              </w:rPr>
              <w:t>3.2.30</w:t>
            </w:r>
          </w:p>
        </w:tc>
        <w:tc>
          <w:tcPr>
            <w:tcW w:w="1707" w:type="dxa"/>
          </w:tcPr>
          <w:p>
            <w:pPr>
              <w:pStyle w:val="TableParagraph"/>
              <w:spacing w:line="273" w:lineRule="auto" w:before="77"/>
              <w:ind w:left="150" w:right="288"/>
              <w:rPr>
                <w:b/>
                <w:sz w:val="21"/>
              </w:rPr>
            </w:pPr>
            <w:r>
              <w:rPr>
                <w:b/>
                <w:sz w:val="21"/>
              </w:rPr>
              <w:t>系统性红斑狼疮性肾炎</w:t>
            </w:r>
          </w:p>
        </w:tc>
        <w:tc>
          <w:tcPr>
            <w:tcW w:w="7580" w:type="dxa"/>
          </w:tcPr>
          <w:p>
            <w:pPr>
              <w:pStyle w:val="TableParagraph"/>
              <w:spacing w:line="273" w:lineRule="auto" w:before="77"/>
              <w:ind w:left="107" w:right="200"/>
              <w:jc w:val="both"/>
              <w:rPr>
                <w:sz w:val="21"/>
              </w:rPr>
            </w:pPr>
            <w:r>
              <w:rPr>
                <w:spacing w:val="-8"/>
                <w:sz w:val="21"/>
              </w:rPr>
              <w:t>指系统性红斑狼疮累及肾脏导致的功能损害，经肾脏活检，病理结果符合世界卫</w:t>
            </w:r>
            <w:r>
              <w:rPr>
                <w:spacing w:val="-16"/>
                <w:sz w:val="21"/>
              </w:rPr>
              <w:t>生组织</w:t>
            </w:r>
            <w:r>
              <w:rPr>
                <w:spacing w:val="-7"/>
                <w:sz w:val="21"/>
              </w:rPr>
              <w:t>（WHO）</w:t>
            </w:r>
            <w:r>
              <w:rPr>
                <w:spacing w:val="-8"/>
                <w:sz w:val="21"/>
              </w:rPr>
              <w:t>诊断标准定义中的 </w:t>
            </w:r>
            <w:r>
              <w:rPr>
                <w:sz w:val="21"/>
              </w:rPr>
              <w:t>III</w:t>
            </w:r>
            <w:r>
              <w:rPr>
                <w:spacing w:val="-24"/>
                <w:sz w:val="21"/>
              </w:rPr>
              <w:t> 型至 </w:t>
            </w:r>
            <w:r>
              <w:rPr>
                <w:sz w:val="21"/>
              </w:rPr>
              <w:t>VI</w:t>
            </w:r>
            <w:r>
              <w:rPr>
                <w:spacing w:val="-10"/>
                <w:sz w:val="21"/>
              </w:rPr>
              <w:t> 型的狼疮性肾炎，血肌酐清除率持</w:t>
            </w:r>
            <w:r>
              <w:rPr>
                <w:spacing w:val="-15"/>
                <w:sz w:val="21"/>
              </w:rPr>
              <w:t>续每分钟 </w:t>
            </w:r>
            <w:r>
              <w:rPr>
                <w:sz w:val="21"/>
              </w:rPr>
              <w:t>30ml。</w:t>
            </w:r>
          </w:p>
          <w:p>
            <w:pPr>
              <w:pStyle w:val="TableParagraph"/>
              <w:spacing w:before="8"/>
              <w:ind w:left="107"/>
              <w:jc w:val="both"/>
              <w:rPr>
                <w:sz w:val="21"/>
              </w:rPr>
            </w:pPr>
            <w:r>
              <w:rPr>
                <w:sz w:val="21"/>
              </w:rPr>
              <w:t>世界卫生组织（WHO）狼疮性肾炎分型：</w:t>
            </w:r>
          </w:p>
          <w:p>
            <w:pPr>
              <w:pStyle w:val="TableParagraph"/>
              <w:numPr>
                <w:ilvl w:val="0"/>
                <w:numId w:val="12"/>
              </w:numPr>
              <w:tabs>
                <w:tab w:pos="266" w:val="left" w:leader="none"/>
              </w:tabs>
              <w:spacing w:line="240" w:lineRule="auto" w:before="37" w:after="0"/>
              <w:ind w:left="266" w:right="0" w:hanging="159"/>
              <w:jc w:val="both"/>
              <w:rPr>
                <w:sz w:val="21"/>
              </w:rPr>
            </w:pPr>
            <w:r>
              <w:rPr>
                <w:spacing w:val="-3"/>
                <w:sz w:val="21"/>
              </w:rPr>
              <w:t>型：微小病变型</w:t>
            </w:r>
          </w:p>
          <w:p>
            <w:pPr>
              <w:pStyle w:val="TableParagraph"/>
              <w:numPr>
                <w:ilvl w:val="0"/>
                <w:numId w:val="12"/>
              </w:numPr>
              <w:tabs>
                <w:tab w:pos="372" w:val="left" w:leader="none"/>
              </w:tabs>
              <w:spacing w:line="240" w:lineRule="auto" w:before="37" w:after="0"/>
              <w:ind w:left="371" w:right="0" w:hanging="264"/>
              <w:jc w:val="both"/>
              <w:rPr>
                <w:sz w:val="21"/>
              </w:rPr>
            </w:pPr>
            <w:r>
              <w:rPr>
                <w:spacing w:val="-3"/>
                <w:sz w:val="21"/>
              </w:rPr>
              <w:t>型：系膜增殖性狼疮性肾炎</w:t>
            </w:r>
          </w:p>
          <w:p>
            <w:pPr>
              <w:pStyle w:val="TableParagraph"/>
              <w:numPr>
                <w:ilvl w:val="0"/>
                <w:numId w:val="12"/>
              </w:numPr>
              <w:tabs>
                <w:tab w:pos="478" w:val="left" w:leader="none"/>
              </w:tabs>
              <w:spacing w:line="240" w:lineRule="auto" w:before="37" w:after="0"/>
              <w:ind w:left="477" w:right="0" w:hanging="370"/>
              <w:jc w:val="both"/>
              <w:rPr>
                <w:sz w:val="21"/>
              </w:rPr>
            </w:pPr>
            <w:r>
              <w:rPr>
                <w:spacing w:val="-3"/>
                <w:sz w:val="21"/>
              </w:rPr>
              <w:t>型：局灶节段增殖性狼疮性肾炎</w:t>
            </w:r>
          </w:p>
          <w:p>
            <w:pPr>
              <w:pStyle w:val="TableParagraph"/>
              <w:numPr>
                <w:ilvl w:val="0"/>
                <w:numId w:val="12"/>
              </w:numPr>
              <w:tabs>
                <w:tab w:pos="372" w:val="left" w:leader="none"/>
              </w:tabs>
              <w:spacing w:line="240" w:lineRule="auto" w:before="37" w:after="0"/>
              <w:ind w:left="371" w:right="0" w:hanging="264"/>
              <w:jc w:val="both"/>
              <w:rPr>
                <w:sz w:val="21"/>
              </w:rPr>
            </w:pPr>
            <w:r>
              <w:rPr>
                <w:spacing w:val="-3"/>
                <w:sz w:val="21"/>
              </w:rPr>
              <w:t>型：弥漫增殖性狼疮性肾炎</w:t>
            </w:r>
          </w:p>
          <w:p>
            <w:pPr>
              <w:pStyle w:val="TableParagraph"/>
              <w:numPr>
                <w:ilvl w:val="0"/>
                <w:numId w:val="12"/>
              </w:numPr>
              <w:tabs>
                <w:tab w:pos="266" w:val="left" w:leader="none"/>
              </w:tabs>
              <w:spacing w:line="240" w:lineRule="auto" w:before="37" w:after="0"/>
              <w:ind w:left="266" w:right="0" w:hanging="159"/>
              <w:jc w:val="both"/>
              <w:rPr>
                <w:sz w:val="21"/>
              </w:rPr>
            </w:pPr>
            <w:r>
              <w:rPr>
                <w:spacing w:val="-3"/>
                <w:sz w:val="21"/>
              </w:rPr>
              <w:t>型：膜性狼疮性肾炎</w:t>
            </w:r>
          </w:p>
          <w:p>
            <w:pPr>
              <w:pStyle w:val="TableParagraph"/>
              <w:numPr>
                <w:ilvl w:val="0"/>
                <w:numId w:val="12"/>
              </w:numPr>
              <w:tabs>
                <w:tab w:pos="372" w:val="left" w:leader="none"/>
              </w:tabs>
              <w:spacing w:line="240" w:lineRule="auto" w:before="37" w:after="0"/>
              <w:ind w:left="371" w:right="0" w:hanging="264"/>
              <w:jc w:val="both"/>
              <w:rPr>
                <w:sz w:val="21"/>
              </w:rPr>
            </w:pPr>
            <w:r>
              <w:rPr>
                <w:spacing w:val="-3"/>
                <w:sz w:val="21"/>
              </w:rPr>
              <w:t>型：肾小球硬化性狼疮性肾炎</w:t>
            </w:r>
          </w:p>
        </w:tc>
      </w:tr>
      <w:tr>
        <w:trPr>
          <w:trHeight w:val="2676" w:hRule="atLeast"/>
        </w:trPr>
        <w:tc>
          <w:tcPr>
            <w:tcW w:w="988" w:type="dxa"/>
          </w:tcPr>
          <w:p>
            <w:pPr>
              <w:pStyle w:val="TableParagraph"/>
              <w:ind w:left="180" w:right="132"/>
              <w:jc w:val="center"/>
              <w:rPr>
                <w:b/>
                <w:sz w:val="21"/>
              </w:rPr>
            </w:pPr>
            <w:r>
              <w:rPr>
                <w:b/>
                <w:sz w:val="21"/>
              </w:rPr>
              <w:t>3.2.31</w:t>
            </w:r>
          </w:p>
        </w:tc>
        <w:tc>
          <w:tcPr>
            <w:tcW w:w="1707" w:type="dxa"/>
          </w:tcPr>
          <w:p>
            <w:pPr>
              <w:pStyle w:val="TableParagraph"/>
              <w:spacing w:line="273" w:lineRule="auto"/>
              <w:ind w:left="150" w:right="288"/>
              <w:rPr>
                <w:b/>
                <w:sz w:val="21"/>
              </w:rPr>
            </w:pPr>
            <w:r>
              <w:rPr>
                <w:b/>
                <w:sz w:val="21"/>
              </w:rPr>
              <w:t>严重类风湿性关节炎</w:t>
            </w:r>
          </w:p>
        </w:tc>
        <w:tc>
          <w:tcPr>
            <w:tcW w:w="7580" w:type="dxa"/>
          </w:tcPr>
          <w:p>
            <w:pPr>
              <w:pStyle w:val="TableParagraph"/>
              <w:spacing w:line="273" w:lineRule="auto"/>
              <w:ind w:left="107" w:right="200"/>
              <w:rPr>
                <w:sz w:val="21"/>
              </w:rPr>
            </w:pPr>
            <w:r>
              <w:rPr>
                <w:spacing w:val="-8"/>
                <w:sz w:val="21"/>
              </w:rPr>
              <w:t>指一种慢性自身免疫性疾病，主要表现为慢性、进行性多关节病变。本病须经专</w:t>
            </w:r>
            <w:r>
              <w:rPr>
                <w:spacing w:val="-5"/>
                <w:sz w:val="21"/>
              </w:rPr>
              <w:t>科医生明确诊断，须满足下列所有条件:</w:t>
            </w:r>
          </w:p>
          <w:p>
            <w:pPr>
              <w:pStyle w:val="TableParagraph"/>
              <w:spacing w:line="273" w:lineRule="auto" w:before="7"/>
              <w:ind w:left="633" w:right="199" w:hanging="527"/>
              <w:rPr>
                <w:sz w:val="21"/>
              </w:rPr>
            </w:pPr>
            <w:r>
              <w:rPr>
                <w:spacing w:val="-15"/>
                <w:sz w:val="21"/>
              </w:rPr>
              <w:t>（1）</w:t>
            </w:r>
            <w:r>
              <w:rPr>
                <w:spacing w:val="-5"/>
                <w:sz w:val="21"/>
              </w:rPr>
              <w:t>至少包括下列关节中的三组或以上有广泛受损和畸形改变:手指关节、腕关</w:t>
            </w:r>
            <w:r>
              <w:rPr>
                <w:spacing w:val="-4"/>
                <w:sz w:val="21"/>
              </w:rPr>
              <w:t>节、肘关节、膝关节、髋关节、踝关节、脊椎或脚趾关节；</w:t>
            </w:r>
          </w:p>
          <w:p>
            <w:pPr>
              <w:pStyle w:val="TableParagraph"/>
              <w:spacing w:before="7"/>
              <w:ind w:left="107"/>
              <w:rPr>
                <w:sz w:val="21"/>
              </w:rPr>
            </w:pPr>
            <w:r>
              <w:rPr>
                <w:sz w:val="21"/>
              </w:rPr>
              <w:t>（2）X 线检查可见类风湿性关节炎的典型变化；</w:t>
            </w:r>
          </w:p>
          <w:p>
            <w:pPr>
              <w:pStyle w:val="TableParagraph"/>
              <w:spacing w:before="36"/>
              <w:ind w:left="107"/>
              <w:rPr>
                <w:sz w:val="21"/>
              </w:rPr>
            </w:pPr>
            <w:r>
              <w:rPr>
                <w:sz w:val="21"/>
              </w:rPr>
              <w:t>（3）关节的畸形改变至少持续 180 日；</w:t>
            </w:r>
          </w:p>
          <w:p>
            <w:pPr>
              <w:pStyle w:val="TableParagraph"/>
              <w:spacing w:line="273" w:lineRule="auto" w:before="36"/>
              <w:ind w:left="633" w:right="221" w:hanging="527"/>
              <w:rPr>
                <w:sz w:val="21"/>
              </w:rPr>
            </w:pPr>
            <w:r>
              <w:rPr>
                <w:sz w:val="21"/>
              </w:rPr>
              <w:t>（4）自主生活能力完全丧失，无法独立完成六项基本日常生活活动中的三项或三项以上。</w:t>
            </w:r>
          </w:p>
        </w:tc>
      </w:tr>
      <w:tr>
        <w:trPr>
          <w:trHeight w:val="2052" w:hRule="atLeast"/>
        </w:trPr>
        <w:tc>
          <w:tcPr>
            <w:tcW w:w="988" w:type="dxa"/>
          </w:tcPr>
          <w:p>
            <w:pPr>
              <w:pStyle w:val="TableParagraph"/>
              <w:ind w:left="180" w:right="132"/>
              <w:jc w:val="center"/>
              <w:rPr>
                <w:b/>
                <w:sz w:val="21"/>
              </w:rPr>
            </w:pPr>
            <w:r>
              <w:rPr>
                <w:b/>
                <w:sz w:val="21"/>
              </w:rPr>
              <w:t>3.2.32</w:t>
            </w:r>
          </w:p>
        </w:tc>
        <w:tc>
          <w:tcPr>
            <w:tcW w:w="1707" w:type="dxa"/>
          </w:tcPr>
          <w:p>
            <w:pPr>
              <w:pStyle w:val="TableParagraph"/>
              <w:ind w:left="150"/>
              <w:rPr>
                <w:b/>
                <w:sz w:val="21"/>
              </w:rPr>
            </w:pPr>
            <w:r>
              <w:rPr>
                <w:b/>
                <w:sz w:val="21"/>
              </w:rPr>
              <w:t>坏死性筋膜炎</w:t>
            </w:r>
          </w:p>
        </w:tc>
        <w:tc>
          <w:tcPr>
            <w:tcW w:w="7580" w:type="dxa"/>
          </w:tcPr>
          <w:p>
            <w:pPr>
              <w:pStyle w:val="TableParagraph"/>
              <w:spacing w:line="273" w:lineRule="auto"/>
              <w:ind w:left="107" w:right="200"/>
              <w:rPr>
                <w:sz w:val="21"/>
              </w:rPr>
            </w:pPr>
            <w:r>
              <w:rPr>
                <w:spacing w:val="-8"/>
                <w:sz w:val="21"/>
              </w:rPr>
              <w:t>指一种严重软组织混合性细菌感染，常于手术或皮肤损伤后发生。须满足下列全</w:t>
            </w:r>
            <w:r>
              <w:rPr>
                <w:spacing w:val="-6"/>
                <w:sz w:val="21"/>
              </w:rPr>
              <w:t>部条件：</w:t>
            </w:r>
          </w:p>
          <w:p>
            <w:pPr>
              <w:pStyle w:val="TableParagraph"/>
              <w:spacing w:before="7"/>
              <w:ind w:left="107"/>
              <w:rPr>
                <w:sz w:val="21"/>
              </w:rPr>
            </w:pPr>
            <w:r>
              <w:rPr>
                <w:sz w:val="21"/>
              </w:rPr>
              <w:t>（1）符合坏死性筋膜炎的一般临床表现；</w:t>
            </w:r>
          </w:p>
          <w:p>
            <w:pPr>
              <w:pStyle w:val="TableParagraph"/>
              <w:spacing w:before="37"/>
              <w:ind w:left="107"/>
              <w:rPr>
                <w:sz w:val="21"/>
              </w:rPr>
            </w:pPr>
            <w:r>
              <w:rPr>
                <w:sz w:val="21"/>
              </w:rPr>
              <w:t>（2）细菌培养检出致病菌；</w:t>
            </w:r>
          </w:p>
          <w:p>
            <w:pPr>
              <w:pStyle w:val="TableParagraph"/>
              <w:spacing w:before="37"/>
              <w:ind w:left="107"/>
              <w:rPr>
                <w:sz w:val="21"/>
              </w:rPr>
            </w:pPr>
            <w:r>
              <w:rPr>
                <w:sz w:val="21"/>
              </w:rPr>
              <w:t>（3） 出现广泛性肌肉及软组织坏死，并导致身体受影响部位完全丧失功能超过</w:t>
            </w:r>
          </w:p>
          <w:p>
            <w:pPr>
              <w:pStyle w:val="TableParagraph"/>
              <w:spacing w:before="37"/>
              <w:ind w:left="671"/>
              <w:rPr>
                <w:sz w:val="21"/>
              </w:rPr>
            </w:pPr>
            <w:r>
              <w:rPr>
                <w:sz w:val="21"/>
              </w:rPr>
              <w:t>180 日。</w:t>
            </w:r>
          </w:p>
        </w:tc>
      </w:tr>
      <w:tr>
        <w:trPr>
          <w:trHeight w:val="2141" w:hRule="atLeast"/>
        </w:trPr>
        <w:tc>
          <w:tcPr>
            <w:tcW w:w="988" w:type="dxa"/>
          </w:tcPr>
          <w:p>
            <w:pPr>
              <w:pStyle w:val="TableParagraph"/>
              <w:ind w:left="180" w:right="132"/>
              <w:jc w:val="center"/>
              <w:rPr>
                <w:b/>
                <w:sz w:val="21"/>
              </w:rPr>
            </w:pPr>
            <w:r>
              <w:rPr>
                <w:b/>
                <w:sz w:val="21"/>
              </w:rPr>
              <w:t>3.2.33</w:t>
            </w:r>
          </w:p>
        </w:tc>
        <w:tc>
          <w:tcPr>
            <w:tcW w:w="1707" w:type="dxa"/>
          </w:tcPr>
          <w:p>
            <w:pPr>
              <w:pStyle w:val="TableParagraph"/>
              <w:ind w:left="150"/>
              <w:rPr>
                <w:b/>
                <w:sz w:val="21"/>
              </w:rPr>
            </w:pPr>
            <w:r>
              <w:rPr>
                <w:b/>
                <w:sz w:val="21"/>
              </w:rPr>
              <w:t>重症肌无力</w:t>
            </w:r>
          </w:p>
        </w:tc>
        <w:tc>
          <w:tcPr>
            <w:tcW w:w="7580" w:type="dxa"/>
          </w:tcPr>
          <w:p>
            <w:pPr>
              <w:pStyle w:val="TableParagraph"/>
              <w:spacing w:line="273" w:lineRule="auto"/>
              <w:ind w:left="107" w:right="200"/>
              <w:rPr>
                <w:sz w:val="21"/>
              </w:rPr>
            </w:pPr>
            <w:r>
              <w:rPr>
                <w:spacing w:val="-7"/>
                <w:sz w:val="21"/>
              </w:rPr>
              <w:t>指一种神经与肌肉接头部位传递障碍的自身免疫性疾病，临床特征是局部或全身</w:t>
            </w:r>
            <w:r>
              <w:rPr>
                <w:spacing w:val="-3"/>
                <w:sz w:val="21"/>
              </w:rPr>
              <w:t>肌肉于活动时易于疲劳无力，须经专科医生明确诊断，并满足下列全部条件：</w:t>
            </w:r>
          </w:p>
          <w:p>
            <w:pPr>
              <w:pStyle w:val="TableParagraph"/>
              <w:spacing w:line="273" w:lineRule="auto" w:before="7"/>
              <w:ind w:left="633" w:right="221" w:hanging="527"/>
              <w:rPr>
                <w:sz w:val="21"/>
              </w:rPr>
            </w:pPr>
            <w:r>
              <w:rPr>
                <w:sz w:val="21"/>
              </w:rPr>
              <w:t>（1）经药物治疗或胸腺手术治疗一年以上无法控制病情，症状缓解、复发及恶化交替出现；</w:t>
            </w:r>
          </w:p>
          <w:p>
            <w:pPr>
              <w:pStyle w:val="TableParagraph"/>
              <w:spacing w:line="273" w:lineRule="auto" w:before="7"/>
              <w:ind w:left="633" w:right="221" w:hanging="527"/>
              <w:rPr>
                <w:sz w:val="21"/>
              </w:rPr>
            </w:pPr>
            <w:r>
              <w:rPr>
                <w:sz w:val="21"/>
              </w:rPr>
              <w:t>（2）自主生活能力完全丧失，无法独立完成六项基本日常生活活动中的三项或三项以上。</w:t>
            </w:r>
          </w:p>
        </w:tc>
      </w:tr>
      <w:tr>
        <w:trPr>
          <w:trHeight w:val="3120" w:hRule="atLeast"/>
        </w:trPr>
        <w:tc>
          <w:tcPr>
            <w:tcW w:w="988" w:type="dxa"/>
          </w:tcPr>
          <w:p>
            <w:pPr>
              <w:pStyle w:val="TableParagraph"/>
              <w:spacing w:line="262" w:lineRule="exact" w:before="0"/>
              <w:ind w:left="180" w:right="132"/>
              <w:jc w:val="center"/>
              <w:rPr>
                <w:b/>
                <w:sz w:val="21"/>
              </w:rPr>
            </w:pPr>
            <w:r>
              <w:rPr>
                <w:b/>
                <w:sz w:val="21"/>
              </w:rPr>
              <w:t>3.2.34</w:t>
            </w:r>
          </w:p>
        </w:tc>
        <w:tc>
          <w:tcPr>
            <w:tcW w:w="1707" w:type="dxa"/>
            <w:tcBorders>
              <w:right w:val="single" w:sz="4" w:space="0" w:color="FFFFFF"/>
            </w:tcBorders>
          </w:tcPr>
          <w:p>
            <w:pPr>
              <w:pStyle w:val="TableParagraph"/>
              <w:spacing w:line="273" w:lineRule="auto" w:before="0"/>
              <w:ind w:left="150" w:right="-15"/>
              <w:rPr>
                <w:b/>
                <w:sz w:val="21"/>
              </w:rPr>
            </w:pPr>
            <w:r>
              <w:rPr>
                <w:b/>
                <w:sz w:val="21"/>
              </w:rPr>
              <w:t>经输血导致的 人类免疫缺陷 </w:t>
            </w:r>
            <w:r>
              <w:rPr>
                <w:b/>
                <w:spacing w:val="-8"/>
                <w:sz w:val="21"/>
              </w:rPr>
              <w:t>病毒感染</w:t>
            </w:r>
            <w:r>
              <w:rPr>
                <w:b/>
                <w:sz w:val="21"/>
              </w:rPr>
              <w:t>（HIV）</w:t>
            </w:r>
          </w:p>
        </w:tc>
        <w:tc>
          <w:tcPr>
            <w:tcW w:w="7580" w:type="dxa"/>
            <w:tcBorders>
              <w:left w:val="single" w:sz="4" w:space="0" w:color="FFFFFF"/>
            </w:tcBorders>
          </w:tcPr>
          <w:p>
            <w:pPr>
              <w:pStyle w:val="TableParagraph"/>
              <w:spacing w:line="262" w:lineRule="exact" w:before="0"/>
              <w:ind w:left="102"/>
              <w:rPr>
                <w:sz w:val="21"/>
              </w:rPr>
            </w:pPr>
            <w:r>
              <w:rPr>
                <w:sz w:val="21"/>
              </w:rPr>
              <w:t>保险人感染上人类免疫缺陷病毒（HIV）并且满足下列全部条件：</w:t>
            </w:r>
          </w:p>
          <w:p>
            <w:pPr>
              <w:pStyle w:val="TableParagraph"/>
              <w:spacing w:before="37"/>
              <w:ind w:left="208"/>
              <w:rPr>
                <w:sz w:val="21"/>
              </w:rPr>
            </w:pPr>
            <w:r>
              <w:rPr>
                <w:sz w:val="21"/>
              </w:rPr>
              <w:t>（1）在保障起始日或复效日之后，被保险人因输血而感染HIV；</w:t>
            </w:r>
          </w:p>
          <w:p>
            <w:pPr>
              <w:pStyle w:val="TableParagraph"/>
              <w:spacing w:line="273" w:lineRule="auto" w:before="37"/>
              <w:ind w:left="733" w:right="324" w:hanging="526"/>
              <w:rPr>
                <w:sz w:val="21"/>
              </w:rPr>
            </w:pPr>
            <w:r>
              <w:rPr>
                <w:sz w:val="21"/>
              </w:rPr>
              <w:t>（2）提供输血治疗的输血中心或医院出具该项输血感染属医疗责任事故的报告，或者法院终审裁定为医疗责任并且不准上诉；</w:t>
            </w:r>
          </w:p>
          <w:p>
            <w:pPr>
              <w:pStyle w:val="TableParagraph"/>
              <w:spacing w:before="8"/>
              <w:ind w:left="208"/>
              <w:rPr>
                <w:sz w:val="21"/>
              </w:rPr>
            </w:pPr>
            <w:r>
              <w:rPr>
                <w:sz w:val="21"/>
              </w:rPr>
              <w:t>（3）受感染的被保险人不是血友病患者。</w:t>
            </w:r>
          </w:p>
          <w:p>
            <w:pPr>
              <w:pStyle w:val="TableParagraph"/>
              <w:spacing w:line="273" w:lineRule="auto" w:before="37"/>
              <w:ind w:left="102" w:right="202"/>
              <w:jc w:val="both"/>
              <w:rPr>
                <w:sz w:val="21"/>
              </w:rPr>
            </w:pPr>
            <w:r>
              <w:rPr>
                <w:spacing w:val="-11"/>
                <w:sz w:val="21"/>
              </w:rPr>
              <w:t>在任何治愈艾滋病</w:t>
            </w:r>
            <w:r>
              <w:rPr>
                <w:spacing w:val="-12"/>
                <w:sz w:val="21"/>
              </w:rPr>
              <w:t>（AIDS）</w:t>
            </w:r>
            <w:r>
              <w:rPr>
                <w:sz w:val="21"/>
              </w:rPr>
              <w:t>或阻止HIV</w:t>
            </w:r>
            <w:r>
              <w:rPr>
                <w:spacing w:val="-8"/>
                <w:sz w:val="21"/>
              </w:rPr>
              <w:t>病毒作用的疗法被发现以后，或能防止</w:t>
            </w:r>
            <w:r>
              <w:rPr>
                <w:sz w:val="21"/>
              </w:rPr>
              <w:t>AIDS </w:t>
            </w:r>
            <w:r>
              <w:rPr>
                <w:spacing w:val="-3"/>
                <w:sz w:val="21"/>
              </w:rPr>
              <w:t>发生的医疗方法被研究出来以后，本保障将不再予以赔付。</w:t>
            </w:r>
          </w:p>
          <w:p>
            <w:pPr>
              <w:pStyle w:val="TableParagraph"/>
              <w:spacing w:line="273" w:lineRule="auto" w:before="8"/>
              <w:ind w:left="102" w:right="199"/>
              <w:jc w:val="both"/>
              <w:rPr>
                <w:sz w:val="21"/>
              </w:rPr>
            </w:pPr>
            <w:r>
              <w:rPr>
                <w:spacing w:val="-7"/>
                <w:sz w:val="21"/>
              </w:rPr>
              <w:t>任何因其他传播方式</w:t>
            </w:r>
            <w:r>
              <w:rPr>
                <w:sz w:val="21"/>
              </w:rPr>
              <w:t>（</w:t>
            </w:r>
            <w:r>
              <w:rPr>
                <w:spacing w:val="-7"/>
                <w:sz w:val="21"/>
              </w:rPr>
              <w:t>包括：性传播或静脉注射毒品</w:t>
            </w:r>
            <w:r>
              <w:rPr>
                <w:spacing w:val="-29"/>
                <w:sz w:val="21"/>
              </w:rPr>
              <w:t>）</w:t>
            </w:r>
            <w:r>
              <w:rPr>
                <w:spacing w:val="-11"/>
                <w:sz w:val="21"/>
              </w:rPr>
              <w:t>导致的 </w:t>
            </w:r>
            <w:r>
              <w:rPr>
                <w:sz w:val="21"/>
              </w:rPr>
              <w:t>HIV</w:t>
            </w:r>
            <w:r>
              <w:rPr>
                <w:spacing w:val="-8"/>
                <w:sz w:val="21"/>
              </w:rPr>
              <w:t> 感染不在本保</w:t>
            </w:r>
            <w:r>
              <w:rPr>
                <w:spacing w:val="-12"/>
                <w:sz w:val="21"/>
              </w:rPr>
              <w:t>险单保障范围内。保险公司必须拥有获得使用被保险人的所有血液样本的权利和</w:t>
            </w:r>
            <w:r>
              <w:rPr>
                <w:spacing w:val="-6"/>
                <w:sz w:val="21"/>
              </w:rPr>
              <w:t>能够对这些样本进行独立检验的权利。</w:t>
            </w:r>
          </w:p>
        </w:tc>
      </w:tr>
    </w:tbl>
    <w:p>
      <w:pPr>
        <w:spacing w:after="0" w:line="273" w:lineRule="auto"/>
        <w:jc w:val="both"/>
        <w:rPr>
          <w:sz w:val="21"/>
        </w:rPr>
        <w:sectPr>
          <w:pgSz w:w="11910" w:h="16840"/>
          <w:pgMar w:header="566" w:footer="664" w:top="1000" w:bottom="860" w:left="820" w:right="600"/>
        </w:sectPr>
      </w:pPr>
    </w:p>
    <w:p>
      <w:pPr>
        <w:pStyle w:val="BodyText"/>
        <w:rPr>
          <w:rFonts w:ascii="Times New Roman"/>
          <w:sz w:val="20"/>
        </w:rPr>
      </w:pPr>
      <w:r>
        <w:rPr/>
        <w:pict>
          <v:line style="position:absolute;mso-position-horizontal-relative:page;mso-position-vertical-relative:page;z-index:-31480" from="555.459961pt,435.049988pt" to="555.459961pt,559.869988pt" stroked="true" strokeweight=".47998pt" strokecolor="#ffffff">
            <v:stroke dashstyle="solid"/>
            <w10:wrap type="none"/>
          </v:line>
        </w:pict>
      </w:r>
    </w:p>
    <w:p>
      <w:pPr>
        <w:pStyle w:val="BodyText"/>
        <w:spacing w:before="4"/>
        <w:rPr>
          <w:rFonts w:ascii="Times New Roman"/>
          <w:sz w:val="20"/>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617"/>
        <w:gridCol w:w="7638"/>
      </w:tblGrid>
      <w:tr>
        <w:trPr>
          <w:trHeight w:val="1660" w:hRule="atLeast"/>
        </w:trPr>
        <w:tc>
          <w:tcPr>
            <w:tcW w:w="788" w:type="dxa"/>
          </w:tcPr>
          <w:p>
            <w:pPr>
              <w:pStyle w:val="TableParagraph"/>
              <w:spacing w:line="211" w:lineRule="exact" w:before="0"/>
              <w:ind w:left="0"/>
              <w:rPr>
                <w:b/>
                <w:sz w:val="21"/>
              </w:rPr>
            </w:pPr>
            <w:r>
              <w:rPr>
                <w:b/>
                <w:sz w:val="21"/>
              </w:rPr>
              <w:t>3.2.35</w:t>
            </w:r>
          </w:p>
        </w:tc>
        <w:tc>
          <w:tcPr>
            <w:tcW w:w="1617" w:type="dxa"/>
          </w:tcPr>
          <w:p>
            <w:pPr>
              <w:pStyle w:val="TableParagraph"/>
              <w:spacing w:line="211" w:lineRule="exact" w:before="0"/>
              <w:ind w:left="150"/>
              <w:rPr>
                <w:b/>
                <w:sz w:val="21"/>
              </w:rPr>
            </w:pPr>
            <w:r>
              <w:rPr>
                <w:b/>
                <w:sz w:val="21"/>
              </w:rPr>
              <w:t>肌营养不良</w:t>
            </w:r>
          </w:p>
        </w:tc>
        <w:tc>
          <w:tcPr>
            <w:tcW w:w="7638" w:type="dxa"/>
          </w:tcPr>
          <w:p>
            <w:pPr>
              <w:pStyle w:val="TableParagraph"/>
              <w:spacing w:line="211" w:lineRule="exact" w:before="0"/>
              <w:ind w:left="197"/>
              <w:rPr>
                <w:sz w:val="21"/>
              </w:rPr>
            </w:pPr>
            <w:r>
              <w:rPr>
                <w:sz w:val="21"/>
              </w:rPr>
              <w:t>指一组原发于肌肉的遗传性疾病，临床表现为与神经系统无关的肌肉无力和肌肉</w:t>
            </w:r>
          </w:p>
          <w:p>
            <w:pPr>
              <w:pStyle w:val="TableParagraph"/>
              <w:spacing w:before="37"/>
              <w:ind w:left="197"/>
              <w:rPr>
                <w:sz w:val="21"/>
              </w:rPr>
            </w:pPr>
            <w:r>
              <w:rPr>
                <w:sz w:val="21"/>
              </w:rPr>
              <w:t>萎缩。须满足下列全部条件：</w:t>
            </w:r>
          </w:p>
          <w:p>
            <w:pPr>
              <w:pStyle w:val="TableParagraph"/>
              <w:spacing w:before="36"/>
              <w:ind w:left="197"/>
              <w:rPr>
                <w:sz w:val="21"/>
              </w:rPr>
            </w:pPr>
            <w:r>
              <w:rPr>
                <w:sz w:val="21"/>
              </w:rPr>
              <w:t>（1）肌肉组织活检结果满足肌营养不良症的肌肉细胞变性、坏死等阳性改变；</w:t>
            </w:r>
          </w:p>
          <w:p>
            <w:pPr>
              <w:pStyle w:val="TableParagraph"/>
              <w:spacing w:line="273" w:lineRule="auto" w:before="36"/>
              <w:ind w:left="723" w:right="189" w:hanging="527"/>
              <w:rPr>
                <w:sz w:val="21"/>
              </w:rPr>
            </w:pPr>
            <w:r>
              <w:rPr>
                <w:sz w:val="21"/>
              </w:rPr>
              <w:t>（2）自主生活能力完全丧失，无法独立完成六项基本日常生活活动中的三项或三项以上。</w:t>
            </w:r>
          </w:p>
        </w:tc>
      </w:tr>
      <w:tr>
        <w:trPr>
          <w:trHeight w:val="662" w:hRule="atLeast"/>
        </w:trPr>
        <w:tc>
          <w:tcPr>
            <w:tcW w:w="788" w:type="dxa"/>
            <w:tcBorders>
              <w:bottom w:val="single" w:sz="6" w:space="0" w:color="000000"/>
            </w:tcBorders>
          </w:tcPr>
          <w:p>
            <w:pPr>
              <w:pStyle w:val="TableParagraph"/>
              <w:spacing w:before="114"/>
              <w:ind w:left="0"/>
              <w:rPr>
                <w:b/>
                <w:sz w:val="28"/>
              </w:rPr>
            </w:pPr>
            <w:r>
              <w:rPr>
                <w:b/>
                <w:w w:val="99"/>
                <w:sz w:val="28"/>
              </w:rPr>
              <w:t>⒋</w:t>
            </w:r>
          </w:p>
        </w:tc>
        <w:tc>
          <w:tcPr>
            <w:tcW w:w="1617" w:type="dxa"/>
            <w:tcBorders>
              <w:bottom w:val="single" w:sz="6" w:space="0" w:color="000000"/>
            </w:tcBorders>
          </w:tcPr>
          <w:p>
            <w:pPr>
              <w:pStyle w:val="TableParagraph"/>
              <w:spacing w:before="144"/>
              <w:ind w:left="150"/>
              <w:rPr>
                <w:b/>
                <w:sz w:val="24"/>
              </w:rPr>
            </w:pPr>
            <w:r>
              <w:rPr>
                <w:b/>
                <w:w w:val="95"/>
                <w:sz w:val="24"/>
              </w:rPr>
              <w:t>保险金的申请</w:t>
            </w:r>
          </w:p>
        </w:tc>
        <w:tc>
          <w:tcPr>
            <w:tcW w:w="7638" w:type="dxa"/>
            <w:tcBorders>
              <w:bottom w:val="single" w:sz="6" w:space="0" w:color="000000"/>
            </w:tcBorders>
          </w:tcPr>
          <w:p>
            <w:pPr>
              <w:pStyle w:val="TableParagraph"/>
              <w:spacing w:before="0"/>
              <w:ind w:left="0"/>
              <w:rPr>
                <w:rFonts w:ascii="Times New Roman"/>
                <w:sz w:val="20"/>
              </w:rPr>
            </w:pPr>
          </w:p>
        </w:tc>
      </w:tr>
      <w:tr>
        <w:trPr>
          <w:trHeight w:val="1807" w:hRule="atLeast"/>
        </w:trPr>
        <w:tc>
          <w:tcPr>
            <w:tcW w:w="788" w:type="dxa"/>
            <w:tcBorders>
              <w:top w:val="single" w:sz="6" w:space="0" w:color="000000"/>
            </w:tcBorders>
          </w:tcPr>
          <w:p>
            <w:pPr>
              <w:pStyle w:val="TableParagraph"/>
              <w:spacing w:before="143"/>
              <w:ind w:left="0"/>
              <w:rPr>
                <w:b/>
                <w:sz w:val="21"/>
              </w:rPr>
            </w:pPr>
            <w:r>
              <w:rPr>
                <w:b/>
                <w:sz w:val="21"/>
              </w:rPr>
              <w:t>4.1</w:t>
            </w:r>
          </w:p>
        </w:tc>
        <w:tc>
          <w:tcPr>
            <w:tcW w:w="1617" w:type="dxa"/>
            <w:tcBorders>
              <w:top w:val="single" w:sz="6" w:space="0" w:color="000000"/>
            </w:tcBorders>
          </w:tcPr>
          <w:p>
            <w:pPr>
              <w:pStyle w:val="TableParagraph"/>
              <w:spacing w:before="143"/>
              <w:ind w:left="150"/>
              <w:rPr>
                <w:b/>
                <w:sz w:val="21"/>
              </w:rPr>
            </w:pPr>
            <w:r>
              <w:rPr>
                <w:b/>
                <w:sz w:val="21"/>
              </w:rPr>
              <w:t>受益人</w:t>
            </w:r>
          </w:p>
        </w:tc>
        <w:tc>
          <w:tcPr>
            <w:tcW w:w="7638" w:type="dxa"/>
            <w:tcBorders>
              <w:top w:val="single" w:sz="6" w:space="0" w:color="000000"/>
            </w:tcBorders>
          </w:tcPr>
          <w:p>
            <w:pPr>
              <w:pStyle w:val="TableParagraph"/>
              <w:spacing w:before="143"/>
              <w:ind w:left="197"/>
              <w:rPr>
                <w:sz w:val="21"/>
              </w:rPr>
            </w:pPr>
            <w:r>
              <w:rPr>
                <w:sz w:val="21"/>
              </w:rPr>
              <w:t>除另有约定外，本合同重大疾病保险金的受益人为被保险人本人。</w:t>
            </w:r>
          </w:p>
          <w:p>
            <w:pPr>
              <w:pStyle w:val="TableParagraph"/>
              <w:spacing w:line="273" w:lineRule="auto" w:before="36"/>
              <w:ind w:left="197" w:right="168"/>
              <w:rPr>
                <w:sz w:val="21"/>
              </w:rPr>
            </w:pPr>
            <w:r>
              <w:rPr>
                <w:spacing w:val="-7"/>
                <w:sz w:val="21"/>
              </w:rPr>
              <w:t>被保险人为无民事行为能力人或限制民事行为能力人的，可以由其监护人指定受益人。</w:t>
            </w:r>
          </w:p>
          <w:p>
            <w:pPr>
              <w:pStyle w:val="TableParagraph"/>
              <w:spacing w:line="273" w:lineRule="auto" w:before="7"/>
              <w:ind w:left="197" w:right="81"/>
              <w:rPr>
                <w:sz w:val="21"/>
              </w:rPr>
            </w:pPr>
            <w:r>
              <w:rPr>
                <w:sz w:val="21"/>
              </w:rPr>
              <w:t>受益人故意造成被保险人身故、伤残、疾病的，或者故意杀害被保险人未遂的， 该受益人丧失受益权。</w:t>
            </w:r>
          </w:p>
        </w:tc>
      </w:tr>
      <w:tr>
        <w:trPr>
          <w:trHeight w:val="2988" w:hRule="atLeast"/>
        </w:trPr>
        <w:tc>
          <w:tcPr>
            <w:tcW w:w="788" w:type="dxa"/>
          </w:tcPr>
          <w:p>
            <w:pPr>
              <w:pStyle w:val="TableParagraph"/>
              <w:spacing w:before="77"/>
              <w:ind w:left="0"/>
              <w:rPr>
                <w:b/>
                <w:sz w:val="21"/>
              </w:rPr>
            </w:pPr>
            <w:r>
              <w:rPr>
                <w:b/>
                <w:sz w:val="21"/>
              </w:rPr>
              <w:t>4.2</w:t>
            </w:r>
          </w:p>
        </w:tc>
        <w:tc>
          <w:tcPr>
            <w:tcW w:w="1617" w:type="dxa"/>
          </w:tcPr>
          <w:p>
            <w:pPr>
              <w:pStyle w:val="TableParagraph"/>
              <w:spacing w:before="77"/>
              <w:ind w:left="150"/>
              <w:rPr>
                <w:b/>
                <w:sz w:val="21"/>
              </w:rPr>
            </w:pPr>
            <w:r>
              <w:rPr>
                <w:b/>
                <w:sz w:val="21"/>
              </w:rPr>
              <w:t>保险事故通知</w:t>
            </w:r>
          </w:p>
        </w:tc>
        <w:tc>
          <w:tcPr>
            <w:tcW w:w="7638" w:type="dxa"/>
          </w:tcPr>
          <w:p>
            <w:pPr>
              <w:pStyle w:val="TableParagraph"/>
              <w:spacing w:before="77"/>
              <w:ind w:left="197"/>
              <w:rPr>
                <w:sz w:val="21"/>
              </w:rPr>
            </w:pPr>
            <w:r>
              <w:rPr>
                <w:sz w:val="21"/>
              </w:rPr>
              <w:t>请您、被保险人、受益人或其他有权领取保险金的人在知道保险事故发生之日起</w:t>
            </w:r>
          </w:p>
          <w:p>
            <w:pPr>
              <w:pStyle w:val="TableParagraph"/>
              <w:spacing w:line="259" w:lineRule="auto" w:before="28"/>
              <w:ind w:left="197" w:right="170"/>
              <w:rPr>
                <w:sz w:val="22"/>
              </w:rPr>
            </w:pPr>
            <w:r>
              <w:rPr>
                <w:sz w:val="21"/>
              </w:rPr>
              <w:t>10</w:t>
            </w:r>
            <w:r>
              <w:rPr>
                <w:spacing w:val="-3"/>
                <w:sz w:val="21"/>
              </w:rPr>
              <w:t>日内通知我们，</w:t>
            </w:r>
            <w:r>
              <w:rPr>
                <w:spacing w:val="-2"/>
                <w:sz w:val="22"/>
              </w:rPr>
              <w:t>否则</w:t>
            </w:r>
            <w:r>
              <w:rPr>
                <w:spacing w:val="-3"/>
                <w:sz w:val="21"/>
              </w:rPr>
              <w:t>您、被保险人、受益人或其他有权领取保险金的人</w:t>
            </w:r>
            <w:r>
              <w:rPr>
                <w:spacing w:val="-3"/>
                <w:sz w:val="22"/>
              </w:rPr>
              <w:t>需承</w:t>
            </w:r>
            <w:r>
              <w:rPr>
                <w:spacing w:val="-8"/>
                <w:sz w:val="22"/>
              </w:rPr>
              <w:t>担由于延迟通知致使我们增加的勘查、检验等费用，</w:t>
            </w:r>
            <w:r>
              <w:rPr>
                <w:spacing w:val="-3"/>
                <w:sz w:val="21"/>
              </w:rPr>
              <w:t>因不可抗力导致的通知延</w:t>
            </w:r>
            <w:r>
              <w:rPr>
                <w:spacing w:val="-1"/>
                <w:sz w:val="21"/>
              </w:rPr>
              <w:t>迟除外</w:t>
            </w:r>
            <w:r>
              <w:rPr>
                <w:sz w:val="22"/>
              </w:rPr>
              <w:t>。</w:t>
            </w:r>
          </w:p>
          <w:p>
            <w:pPr>
              <w:pStyle w:val="TableParagraph"/>
              <w:spacing w:line="273" w:lineRule="auto" w:before="15"/>
              <w:ind w:left="197" w:right="271"/>
              <w:jc w:val="both"/>
              <w:rPr>
                <w:rFonts w:ascii="黑体" w:eastAsia="黑体" w:hint="eastAsia"/>
                <w:b/>
                <w:sz w:val="21"/>
              </w:rPr>
            </w:pPr>
            <w:r>
              <w:rPr>
                <w:rFonts w:ascii="黑体" w:eastAsia="黑体" w:hint="eastAsia"/>
                <w:b/>
                <w:sz w:val="21"/>
              </w:rPr>
              <w:t>如果您、被保险人、受益人或其他有权领取保险金的人故意或者因重大过失未及时通知我们，致使保险事故的性质、原因、伤害程度等难以确定的，我们对无法确定的部分，不承担给付保险金的责任，但我们通过其他途径已经及时知道或者应当及时知道保险事故发Th或者虽未及时通知但不影响我们确定保险事故的性质、原因、损失程度的除外。</w:t>
            </w:r>
          </w:p>
        </w:tc>
      </w:tr>
      <w:tr>
        <w:trPr>
          <w:trHeight w:val="2665" w:hRule="atLeast"/>
        </w:trPr>
        <w:tc>
          <w:tcPr>
            <w:tcW w:w="788" w:type="dxa"/>
          </w:tcPr>
          <w:p>
            <w:pPr>
              <w:pStyle w:val="TableParagraph"/>
              <w:ind w:left="0"/>
              <w:rPr>
                <w:b/>
                <w:sz w:val="21"/>
              </w:rPr>
            </w:pPr>
            <w:r>
              <w:rPr>
                <w:b/>
                <w:sz w:val="21"/>
              </w:rPr>
              <w:t>4.3</w:t>
            </w:r>
          </w:p>
        </w:tc>
        <w:tc>
          <w:tcPr>
            <w:tcW w:w="1617" w:type="dxa"/>
          </w:tcPr>
          <w:p>
            <w:pPr>
              <w:pStyle w:val="TableParagraph"/>
              <w:ind w:left="150"/>
              <w:rPr>
                <w:b/>
                <w:sz w:val="21"/>
              </w:rPr>
            </w:pPr>
            <w:r>
              <w:rPr>
                <w:b/>
                <w:sz w:val="21"/>
              </w:rPr>
              <w:t>保险金申请</w:t>
            </w:r>
          </w:p>
        </w:tc>
        <w:tc>
          <w:tcPr>
            <w:tcW w:w="7638" w:type="dxa"/>
          </w:tcPr>
          <w:p>
            <w:pPr>
              <w:pStyle w:val="TableParagraph"/>
              <w:ind w:left="197"/>
              <w:rPr>
                <w:sz w:val="21"/>
              </w:rPr>
            </w:pPr>
            <w:r>
              <w:rPr>
                <w:sz w:val="21"/>
              </w:rPr>
              <w:t>申请人须填写保险金给付申请书，并须提供下列证明和资料：</w:t>
            </w:r>
          </w:p>
          <w:p>
            <w:pPr>
              <w:pStyle w:val="TableParagraph"/>
              <w:spacing w:before="36"/>
              <w:ind w:left="197"/>
              <w:rPr>
                <w:sz w:val="21"/>
              </w:rPr>
            </w:pPr>
            <w:r>
              <w:rPr>
                <w:sz w:val="21"/>
              </w:rPr>
              <w:t>1、理赔申请书；</w:t>
            </w:r>
          </w:p>
          <w:p>
            <w:pPr>
              <w:pStyle w:val="TableParagraph"/>
              <w:spacing w:before="37"/>
              <w:ind w:left="197"/>
              <w:rPr>
                <w:sz w:val="21"/>
              </w:rPr>
            </w:pPr>
            <w:r>
              <w:rPr>
                <w:sz w:val="21"/>
              </w:rPr>
              <w:t>2、保险合同；</w:t>
            </w:r>
          </w:p>
          <w:p>
            <w:pPr>
              <w:pStyle w:val="TableParagraph"/>
              <w:spacing w:before="37"/>
              <w:ind w:left="197"/>
              <w:rPr>
                <w:sz w:val="21"/>
              </w:rPr>
            </w:pPr>
            <w:r>
              <w:rPr>
                <w:sz w:val="21"/>
              </w:rPr>
              <w:t>3、被保险人法定有效身份证明；</w:t>
            </w:r>
          </w:p>
          <w:p>
            <w:pPr>
              <w:pStyle w:val="TableParagraph"/>
              <w:spacing w:before="37"/>
              <w:ind w:left="197"/>
              <w:rPr>
                <w:sz w:val="21"/>
              </w:rPr>
            </w:pPr>
            <w:r>
              <w:rPr>
                <w:sz w:val="21"/>
              </w:rPr>
              <w:t>4、申请人的法定有效身份证明及关系证明；</w:t>
            </w:r>
          </w:p>
          <w:p>
            <w:pPr>
              <w:pStyle w:val="TableParagraph"/>
              <w:spacing w:line="273" w:lineRule="auto" w:before="37"/>
              <w:ind w:left="512" w:right="62" w:hanging="315"/>
              <w:rPr>
                <w:sz w:val="21"/>
              </w:rPr>
            </w:pPr>
            <w:r>
              <w:rPr>
                <w:sz w:val="21"/>
              </w:rPr>
              <w:t>5</w:t>
            </w:r>
            <w:r>
              <w:rPr>
                <w:spacing w:val="-3"/>
                <w:sz w:val="21"/>
              </w:rPr>
              <w:t>、能够证明符合约定重大疾病定义的我们认可的医院出具的医学诊断书、医疗</w:t>
            </w:r>
            <w:r>
              <w:rPr>
                <w:spacing w:val="-12"/>
                <w:sz w:val="21"/>
              </w:rPr>
              <w:t>病历、检查报告以及其他医学证明文件或司法鉴定机构出具的法医鉴定报告；</w:t>
            </w:r>
          </w:p>
          <w:p>
            <w:pPr>
              <w:pStyle w:val="TableParagraph"/>
              <w:spacing w:before="7"/>
              <w:ind w:left="197"/>
              <w:rPr>
                <w:sz w:val="21"/>
              </w:rPr>
            </w:pPr>
            <w:r>
              <w:rPr>
                <w:sz w:val="21"/>
              </w:rPr>
              <w:t>6、申请人所能提供的与确认保险事故的性质、原因等有关的其他证明和资料。</w:t>
            </w:r>
          </w:p>
        </w:tc>
      </w:tr>
      <w:tr>
        <w:trPr>
          <w:trHeight w:val="814" w:hRule="atLeast"/>
        </w:trPr>
        <w:tc>
          <w:tcPr>
            <w:tcW w:w="788" w:type="dxa"/>
          </w:tcPr>
          <w:p>
            <w:pPr>
              <w:pStyle w:val="TableParagraph"/>
              <w:spacing w:before="87"/>
              <w:ind w:left="0"/>
              <w:rPr>
                <w:b/>
                <w:sz w:val="21"/>
              </w:rPr>
            </w:pPr>
            <w:r>
              <w:rPr>
                <w:b/>
                <w:sz w:val="21"/>
              </w:rPr>
              <w:t>4.4</w:t>
            </w:r>
          </w:p>
        </w:tc>
        <w:tc>
          <w:tcPr>
            <w:tcW w:w="1617" w:type="dxa"/>
          </w:tcPr>
          <w:p>
            <w:pPr>
              <w:pStyle w:val="TableParagraph"/>
              <w:spacing w:line="273" w:lineRule="auto" w:before="87"/>
              <w:ind w:left="150" w:right="198"/>
              <w:rPr>
                <w:b/>
                <w:sz w:val="21"/>
              </w:rPr>
            </w:pPr>
            <w:r>
              <w:rPr>
                <w:b/>
                <w:sz w:val="21"/>
              </w:rPr>
              <w:t>委托他人代为申请保险金</w:t>
            </w:r>
          </w:p>
        </w:tc>
        <w:tc>
          <w:tcPr>
            <w:tcW w:w="7638" w:type="dxa"/>
          </w:tcPr>
          <w:p>
            <w:pPr>
              <w:pStyle w:val="TableParagraph"/>
              <w:spacing w:line="237" w:lineRule="auto" w:before="68"/>
              <w:ind w:left="197" w:right="175"/>
              <w:rPr>
                <w:sz w:val="21"/>
              </w:rPr>
            </w:pPr>
            <w:r>
              <w:rPr>
                <w:sz w:val="21"/>
              </w:rPr>
              <w:t>若申请人委托他人代为申请保险金，受委托人还应提供申请人亲笔签字的授权委托书、受委托人的法定有效身份证明等相关证明文件。</w:t>
            </w:r>
          </w:p>
        </w:tc>
      </w:tr>
      <w:tr>
        <w:trPr>
          <w:trHeight w:val="804" w:hRule="atLeast"/>
        </w:trPr>
        <w:tc>
          <w:tcPr>
            <w:tcW w:w="788" w:type="dxa"/>
          </w:tcPr>
          <w:p>
            <w:pPr>
              <w:pStyle w:val="TableParagraph"/>
              <w:ind w:left="0"/>
              <w:rPr>
                <w:b/>
                <w:sz w:val="21"/>
              </w:rPr>
            </w:pPr>
            <w:r>
              <w:rPr>
                <w:b/>
                <w:sz w:val="21"/>
              </w:rPr>
              <w:t>4.5</w:t>
            </w:r>
          </w:p>
        </w:tc>
        <w:tc>
          <w:tcPr>
            <w:tcW w:w="1617" w:type="dxa"/>
          </w:tcPr>
          <w:p>
            <w:pPr>
              <w:pStyle w:val="TableParagraph"/>
              <w:ind w:left="150"/>
              <w:rPr>
                <w:b/>
                <w:sz w:val="21"/>
              </w:rPr>
            </w:pPr>
            <w:r>
              <w:rPr>
                <w:b/>
                <w:sz w:val="21"/>
              </w:rPr>
              <w:t>提供补充材料</w:t>
            </w:r>
          </w:p>
        </w:tc>
        <w:tc>
          <w:tcPr>
            <w:tcW w:w="7638" w:type="dxa"/>
          </w:tcPr>
          <w:p>
            <w:pPr>
              <w:pStyle w:val="TableParagraph"/>
              <w:spacing w:line="273" w:lineRule="auto"/>
              <w:ind w:left="197" w:right="168"/>
              <w:rPr>
                <w:sz w:val="21"/>
              </w:rPr>
            </w:pPr>
            <w:r>
              <w:rPr>
                <w:spacing w:val="-8"/>
                <w:sz w:val="21"/>
              </w:rPr>
              <w:t>以上保险金申请的证明和资料不完整的，我们将一次性通知申请人补充提供有关</w:t>
            </w:r>
            <w:r>
              <w:rPr>
                <w:spacing w:val="-5"/>
                <w:sz w:val="21"/>
              </w:rPr>
              <w:t>的证明和资料。</w:t>
            </w:r>
          </w:p>
        </w:tc>
      </w:tr>
      <w:tr>
        <w:trPr>
          <w:trHeight w:val="2535" w:hRule="atLeast"/>
        </w:trPr>
        <w:tc>
          <w:tcPr>
            <w:tcW w:w="788" w:type="dxa"/>
          </w:tcPr>
          <w:p>
            <w:pPr>
              <w:pStyle w:val="TableParagraph"/>
              <w:spacing w:before="77"/>
              <w:ind w:left="0"/>
              <w:rPr>
                <w:b/>
                <w:sz w:val="21"/>
              </w:rPr>
            </w:pPr>
            <w:r>
              <w:rPr>
                <w:b/>
                <w:sz w:val="21"/>
              </w:rPr>
              <w:t>4.6</w:t>
            </w:r>
          </w:p>
        </w:tc>
        <w:tc>
          <w:tcPr>
            <w:tcW w:w="1617" w:type="dxa"/>
          </w:tcPr>
          <w:p>
            <w:pPr>
              <w:pStyle w:val="TableParagraph"/>
              <w:spacing w:before="77"/>
              <w:ind w:left="150"/>
              <w:rPr>
                <w:b/>
                <w:sz w:val="21"/>
              </w:rPr>
            </w:pPr>
            <w:r>
              <w:rPr>
                <w:b/>
                <w:sz w:val="21"/>
              </w:rPr>
              <w:t>保险金给付</w:t>
            </w:r>
          </w:p>
        </w:tc>
        <w:tc>
          <w:tcPr>
            <w:tcW w:w="7638" w:type="dxa"/>
          </w:tcPr>
          <w:p>
            <w:pPr>
              <w:pStyle w:val="TableParagraph"/>
              <w:spacing w:before="77"/>
              <w:ind w:left="197"/>
              <w:rPr>
                <w:sz w:val="21"/>
              </w:rPr>
            </w:pPr>
            <w:r>
              <w:rPr>
                <w:sz w:val="21"/>
              </w:rPr>
              <w:t>（1）我们在收到保险金给付申请书及合同约定的证明和资料后，将在 5 日内作</w:t>
            </w:r>
          </w:p>
          <w:p>
            <w:pPr>
              <w:pStyle w:val="TableParagraph"/>
              <w:spacing w:line="273" w:lineRule="auto" w:before="37"/>
              <w:ind w:left="723" w:right="83"/>
              <w:rPr>
                <w:sz w:val="21"/>
              </w:rPr>
            </w:pPr>
            <w:r>
              <w:rPr>
                <w:spacing w:val="-11"/>
                <w:sz w:val="21"/>
              </w:rPr>
              <w:t>出核定；情形复杂的，在 </w:t>
            </w:r>
            <w:r>
              <w:rPr>
                <w:sz w:val="21"/>
              </w:rPr>
              <w:t>30</w:t>
            </w:r>
            <w:r>
              <w:rPr>
                <w:spacing w:val="-11"/>
                <w:sz w:val="21"/>
              </w:rPr>
              <w:t> 日内作出核定，但合同另有约定的除外。我们</w:t>
            </w:r>
            <w:r>
              <w:rPr>
                <w:spacing w:val="-8"/>
                <w:sz w:val="21"/>
              </w:rPr>
              <w:t>应当将核定结果通知被保险人或者受益人；对属于保险责任的，在与被保</w:t>
            </w:r>
            <w:r>
              <w:rPr>
                <w:spacing w:val="-7"/>
                <w:sz w:val="21"/>
              </w:rPr>
              <w:t>险人或者受益人达成给付保险金的协议后 </w:t>
            </w:r>
            <w:r>
              <w:rPr>
                <w:sz w:val="21"/>
              </w:rPr>
              <w:t>10</w:t>
            </w:r>
            <w:r>
              <w:rPr>
                <w:spacing w:val="-8"/>
                <w:sz w:val="21"/>
              </w:rPr>
              <w:t> 日内，履行给付保险金义务。</w:t>
            </w:r>
            <w:r>
              <w:rPr>
                <w:spacing w:val="-7"/>
                <w:sz w:val="21"/>
              </w:rPr>
              <w:t>本合同对给付保险金的期限有约定的，我们应当按照约定履行给付保险金义务。</w:t>
            </w:r>
          </w:p>
          <w:p>
            <w:pPr>
              <w:pStyle w:val="TableParagraph"/>
              <w:spacing w:line="312" w:lineRule="exact" w:before="3"/>
              <w:ind w:left="723" w:right="172" w:hanging="527"/>
              <w:rPr>
                <w:sz w:val="21"/>
              </w:rPr>
            </w:pPr>
            <w:r>
              <w:rPr>
                <w:sz w:val="21"/>
              </w:rPr>
              <w:t>（2）我们未及时履行前款规定义务的，除支付保险金外，应当赔偿被保险人或者受益人因此受到的损失。</w:t>
            </w:r>
          </w:p>
        </w:tc>
      </w:tr>
    </w:tbl>
    <w:p>
      <w:pPr>
        <w:spacing w:after="0" w:line="312" w:lineRule="exact"/>
        <w:rPr>
          <w:sz w:val="21"/>
        </w:rPr>
        <w:sectPr>
          <w:pgSz w:w="11910" w:h="16840"/>
          <w:pgMar w:header="566" w:footer="664" w:top="1000" w:bottom="860" w:left="1000" w:right="620"/>
        </w:sectPr>
      </w:pPr>
    </w:p>
    <w:p>
      <w:pPr>
        <w:pStyle w:val="BodyText"/>
        <w:rPr>
          <w:rFonts w:ascii="Times New Roman"/>
          <w:sz w:val="20"/>
        </w:rPr>
      </w:pPr>
    </w:p>
    <w:p>
      <w:pPr>
        <w:pStyle w:val="BodyText"/>
        <w:spacing w:before="4"/>
        <w:rPr>
          <w:rFonts w:ascii="Times New Roman"/>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
        <w:gridCol w:w="1781"/>
        <w:gridCol w:w="7591"/>
      </w:tblGrid>
      <w:tr>
        <w:trPr>
          <w:trHeight w:val="1912" w:hRule="atLeast"/>
        </w:trPr>
        <w:tc>
          <w:tcPr>
            <w:tcW w:w="764" w:type="dxa"/>
          </w:tcPr>
          <w:p>
            <w:pPr>
              <w:pStyle w:val="TableParagraph"/>
              <w:spacing w:before="0"/>
              <w:ind w:left="0"/>
              <w:rPr>
                <w:rFonts w:ascii="Times New Roman"/>
                <w:sz w:val="20"/>
              </w:rPr>
            </w:pPr>
          </w:p>
        </w:tc>
        <w:tc>
          <w:tcPr>
            <w:tcW w:w="1781" w:type="dxa"/>
          </w:tcPr>
          <w:p>
            <w:pPr>
              <w:pStyle w:val="TableParagraph"/>
              <w:spacing w:before="0"/>
              <w:ind w:left="0"/>
              <w:rPr>
                <w:rFonts w:ascii="Times New Roman"/>
                <w:sz w:val="20"/>
              </w:rPr>
            </w:pPr>
          </w:p>
        </w:tc>
        <w:tc>
          <w:tcPr>
            <w:tcW w:w="7591" w:type="dxa"/>
          </w:tcPr>
          <w:p>
            <w:pPr>
              <w:pStyle w:val="TableParagraph"/>
              <w:spacing w:line="211" w:lineRule="exact" w:before="0"/>
              <w:ind w:left="192"/>
              <w:rPr>
                <w:sz w:val="21"/>
              </w:rPr>
            </w:pPr>
            <w:r>
              <w:rPr>
                <w:sz w:val="21"/>
              </w:rPr>
              <w:t>（3）我们依照前款的规定作出核定后，对不属于保险责任的，应当自作出核定</w:t>
            </w:r>
          </w:p>
          <w:p>
            <w:pPr>
              <w:pStyle w:val="TableParagraph"/>
              <w:spacing w:line="273" w:lineRule="auto" w:before="37"/>
              <w:ind w:left="718" w:right="125"/>
              <w:rPr>
                <w:sz w:val="21"/>
              </w:rPr>
            </w:pPr>
            <w:r>
              <w:rPr>
                <w:spacing w:val="-7"/>
                <w:sz w:val="21"/>
              </w:rPr>
              <w:t>之日起 </w:t>
            </w:r>
            <w:r>
              <w:rPr>
                <w:sz w:val="21"/>
              </w:rPr>
              <w:t>3</w:t>
            </w:r>
            <w:r>
              <w:rPr>
                <w:spacing w:val="-7"/>
                <w:sz w:val="21"/>
              </w:rPr>
              <w:t> 日内向被保险人或者受益人发出拒绝给付保险金通知书，并说明理由。</w:t>
            </w:r>
          </w:p>
          <w:p>
            <w:pPr>
              <w:pStyle w:val="TableParagraph"/>
              <w:spacing w:line="264" w:lineRule="auto" w:before="7"/>
              <w:ind w:left="718" w:right="125" w:hanging="527"/>
              <w:jc w:val="both"/>
              <w:rPr>
                <w:sz w:val="21"/>
              </w:rPr>
            </w:pPr>
            <w:r>
              <w:rPr>
                <w:spacing w:val="-15"/>
                <w:sz w:val="21"/>
              </w:rPr>
              <w:t>（4）</w:t>
            </w:r>
            <w:r>
              <w:rPr>
                <w:spacing w:val="-5"/>
                <w:sz w:val="21"/>
              </w:rPr>
              <w:t>我们在收到保险金给付申请书及有关证明和资料之日起 </w:t>
            </w:r>
            <w:r>
              <w:rPr>
                <w:rFonts w:ascii="Times New Roman" w:eastAsia="Times New Roman"/>
                <w:sz w:val="21"/>
              </w:rPr>
              <w:t>60 </w:t>
            </w:r>
            <w:r>
              <w:rPr>
                <w:spacing w:val="-9"/>
                <w:sz w:val="21"/>
              </w:rPr>
              <w:t>日内，对给付保</w:t>
            </w:r>
            <w:r>
              <w:rPr>
                <w:spacing w:val="-5"/>
                <w:sz w:val="21"/>
              </w:rPr>
              <w:t>险金的数额不能确定的，应当根据已有证明和资料可以确定的数额先予支</w:t>
            </w:r>
            <w:r>
              <w:rPr>
                <w:spacing w:val="-3"/>
                <w:sz w:val="21"/>
              </w:rPr>
              <w:t>付；我们最终确定给付保险金的数额后，应当支付相应的差额。</w:t>
            </w:r>
          </w:p>
        </w:tc>
      </w:tr>
      <w:tr>
        <w:trPr>
          <w:trHeight w:val="864" w:hRule="atLeast"/>
        </w:trPr>
        <w:tc>
          <w:tcPr>
            <w:tcW w:w="764" w:type="dxa"/>
          </w:tcPr>
          <w:p>
            <w:pPr>
              <w:pStyle w:val="TableParagraph"/>
              <w:ind w:left="135"/>
              <w:rPr>
                <w:b/>
                <w:sz w:val="21"/>
              </w:rPr>
            </w:pPr>
            <w:r>
              <w:rPr>
                <w:b/>
                <w:sz w:val="21"/>
              </w:rPr>
              <w:t>4.7</w:t>
            </w:r>
          </w:p>
        </w:tc>
        <w:tc>
          <w:tcPr>
            <w:tcW w:w="1781" w:type="dxa"/>
          </w:tcPr>
          <w:p>
            <w:pPr>
              <w:pStyle w:val="TableParagraph"/>
              <w:ind w:left="310"/>
              <w:rPr>
                <w:b/>
                <w:sz w:val="21"/>
              </w:rPr>
            </w:pPr>
            <w:r>
              <w:rPr>
                <w:b/>
                <w:sz w:val="21"/>
              </w:rPr>
              <w:t>诉讼时效</w:t>
            </w:r>
          </w:p>
        </w:tc>
        <w:tc>
          <w:tcPr>
            <w:tcW w:w="7591" w:type="dxa"/>
          </w:tcPr>
          <w:p>
            <w:pPr>
              <w:pStyle w:val="TableParagraph"/>
              <w:spacing w:line="273" w:lineRule="auto"/>
              <w:ind w:left="192" w:right="125"/>
              <w:rPr>
                <w:sz w:val="21"/>
              </w:rPr>
            </w:pPr>
            <w:r>
              <w:rPr>
                <w:spacing w:val="-5"/>
                <w:sz w:val="21"/>
              </w:rPr>
              <w:t>申请人向我们申请给付保险金的诉讼时效期间为 </w:t>
            </w:r>
            <w:r>
              <w:rPr>
                <w:sz w:val="21"/>
              </w:rPr>
              <w:t>2</w:t>
            </w:r>
            <w:r>
              <w:rPr>
                <w:spacing w:val="-13"/>
                <w:sz w:val="21"/>
              </w:rPr>
              <w:t> 年，自其知道或应当知道保险</w:t>
            </w:r>
            <w:r>
              <w:rPr>
                <w:spacing w:val="-6"/>
                <w:sz w:val="21"/>
              </w:rPr>
              <w:t>事故发生之日起计算。</w:t>
            </w:r>
          </w:p>
        </w:tc>
      </w:tr>
      <w:tr>
        <w:trPr>
          <w:trHeight w:val="671" w:hRule="atLeast"/>
        </w:trPr>
        <w:tc>
          <w:tcPr>
            <w:tcW w:w="764" w:type="dxa"/>
            <w:tcBorders>
              <w:bottom w:val="single" w:sz="6" w:space="0" w:color="000000"/>
            </w:tcBorders>
          </w:tcPr>
          <w:p>
            <w:pPr>
              <w:pStyle w:val="TableParagraph"/>
              <w:spacing w:before="114"/>
              <w:ind w:left="135"/>
              <w:rPr>
                <w:b/>
                <w:sz w:val="28"/>
              </w:rPr>
            </w:pPr>
            <w:r>
              <w:rPr>
                <w:b/>
                <w:w w:val="99"/>
                <w:sz w:val="28"/>
              </w:rPr>
              <w:t>⒌</w:t>
            </w:r>
          </w:p>
        </w:tc>
        <w:tc>
          <w:tcPr>
            <w:tcW w:w="1781" w:type="dxa"/>
            <w:tcBorders>
              <w:bottom w:val="single" w:sz="6" w:space="0" w:color="000000"/>
            </w:tcBorders>
          </w:tcPr>
          <w:p>
            <w:pPr>
              <w:pStyle w:val="TableParagraph"/>
              <w:spacing w:before="144"/>
              <w:ind w:left="310"/>
              <w:rPr>
                <w:b/>
                <w:sz w:val="24"/>
              </w:rPr>
            </w:pPr>
            <w:r>
              <w:rPr>
                <w:b/>
                <w:w w:val="95"/>
                <w:sz w:val="24"/>
              </w:rPr>
              <w:t>保险费的交纳</w:t>
            </w:r>
          </w:p>
        </w:tc>
        <w:tc>
          <w:tcPr>
            <w:tcW w:w="7591" w:type="dxa"/>
            <w:tcBorders>
              <w:bottom w:val="single" w:sz="6" w:space="0" w:color="000000"/>
            </w:tcBorders>
          </w:tcPr>
          <w:p>
            <w:pPr>
              <w:pStyle w:val="TableParagraph"/>
              <w:spacing w:before="0"/>
              <w:ind w:left="0"/>
              <w:rPr>
                <w:rFonts w:ascii="Times New Roman"/>
                <w:sz w:val="20"/>
              </w:rPr>
            </w:pPr>
          </w:p>
        </w:tc>
      </w:tr>
      <w:tr>
        <w:trPr>
          <w:trHeight w:val="1174" w:hRule="atLeast"/>
        </w:trPr>
        <w:tc>
          <w:tcPr>
            <w:tcW w:w="764" w:type="dxa"/>
            <w:tcBorders>
              <w:top w:val="single" w:sz="6" w:space="0" w:color="000000"/>
            </w:tcBorders>
          </w:tcPr>
          <w:p>
            <w:pPr>
              <w:pStyle w:val="TableParagraph"/>
              <w:spacing w:before="134"/>
              <w:ind w:left="135"/>
              <w:rPr>
                <w:b/>
                <w:sz w:val="21"/>
              </w:rPr>
            </w:pPr>
            <w:r>
              <w:rPr>
                <w:b/>
                <w:sz w:val="21"/>
              </w:rPr>
              <w:t>5.1</w:t>
            </w:r>
          </w:p>
        </w:tc>
        <w:tc>
          <w:tcPr>
            <w:tcW w:w="1781" w:type="dxa"/>
            <w:tcBorders>
              <w:top w:val="single" w:sz="6" w:space="0" w:color="000000"/>
            </w:tcBorders>
          </w:tcPr>
          <w:p>
            <w:pPr>
              <w:pStyle w:val="TableParagraph"/>
              <w:spacing w:before="134"/>
              <w:ind w:left="310"/>
              <w:rPr>
                <w:b/>
                <w:sz w:val="21"/>
              </w:rPr>
            </w:pPr>
            <w:r>
              <w:rPr>
                <w:b/>
                <w:sz w:val="21"/>
              </w:rPr>
              <w:t>保险费的交纳</w:t>
            </w:r>
          </w:p>
        </w:tc>
        <w:tc>
          <w:tcPr>
            <w:tcW w:w="7591" w:type="dxa"/>
            <w:tcBorders>
              <w:top w:val="single" w:sz="6" w:space="0" w:color="000000"/>
            </w:tcBorders>
          </w:tcPr>
          <w:p>
            <w:pPr>
              <w:pStyle w:val="TableParagraph"/>
              <w:spacing w:before="134"/>
              <w:ind w:left="192"/>
              <w:rPr>
                <w:sz w:val="21"/>
              </w:rPr>
            </w:pPr>
            <w:r>
              <w:rPr>
                <w:sz w:val="21"/>
              </w:rPr>
              <w:t>本合同的交费频次和交费期间由您和我们约定并在保险单上载明。</w:t>
            </w:r>
          </w:p>
          <w:p>
            <w:pPr>
              <w:pStyle w:val="TableParagraph"/>
              <w:spacing w:line="273" w:lineRule="auto" w:before="36"/>
              <w:ind w:left="192" w:right="190"/>
              <w:rPr>
                <w:sz w:val="21"/>
              </w:rPr>
            </w:pPr>
            <w:r>
              <w:rPr>
                <w:sz w:val="21"/>
              </w:rPr>
              <w:t>分期支付保险费的，在交纳首期保险费后，您应当按照约定，在每个保险费约定交纳日交纳其余各期的保险费。</w:t>
            </w:r>
          </w:p>
        </w:tc>
      </w:tr>
      <w:tr>
        <w:trPr>
          <w:trHeight w:val="1800" w:hRule="atLeast"/>
        </w:trPr>
        <w:tc>
          <w:tcPr>
            <w:tcW w:w="764" w:type="dxa"/>
          </w:tcPr>
          <w:p>
            <w:pPr>
              <w:pStyle w:val="TableParagraph"/>
              <w:ind w:left="135"/>
              <w:rPr>
                <w:b/>
                <w:sz w:val="21"/>
              </w:rPr>
            </w:pPr>
            <w:r>
              <w:rPr>
                <w:b/>
                <w:sz w:val="21"/>
              </w:rPr>
              <w:t>5.2</w:t>
            </w:r>
          </w:p>
        </w:tc>
        <w:tc>
          <w:tcPr>
            <w:tcW w:w="1781" w:type="dxa"/>
          </w:tcPr>
          <w:p>
            <w:pPr>
              <w:pStyle w:val="TableParagraph"/>
              <w:ind w:left="310"/>
              <w:rPr>
                <w:b/>
                <w:sz w:val="21"/>
              </w:rPr>
            </w:pPr>
            <w:r>
              <w:rPr>
                <w:b/>
                <w:sz w:val="21"/>
              </w:rPr>
              <w:t>宽限期</w:t>
            </w:r>
          </w:p>
        </w:tc>
        <w:tc>
          <w:tcPr>
            <w:tcW w:w="7591" w:type="dxa"/>
          </w:tcPr>
          <w:p>
            <w:pPr>
              <w:pStyle w:val="TableParagraph"/>
              <w:spacing w:line="273" w:lineRule="auto"/>
              <w:ind w:left="192" w:right="125"/>
              <w:jc w:val="both"/>
              <w:rPr>
                <w:sz w:val="21"/>
              </w:rPr>
            </w:pPr>
            <w:r>
              <w:rPr>
                <w:spacing w:val="-5"/>
                <w:sz w:val="21"/>
              </w:rPr>
              <w:t>您交纳首期保险费后，如果您以后到期未交纳保险费，自保险费应交日起 </w:t>
            </w:r>
            <w:r>
              <w:rPr>
                <w:sz w:val="21"/>
              </w:rPr>
              <w:t>60</w:t>
            </w:r>
            <w:r>
              <w:rPr>
                <w:spacing w:val="-21"/>
                <w:sz w:val="21"/>
              </w:rPr>
              <w:t> 日</w:t>
            </w:r>
            <w:r>
              <w:rPr>
                <w:spacing w:val="-13"/>
                <w:sz w:val="21"/>
              </w:rPr>
              <w:t>内为宽限期。宽限期内发生的保险事故，我们仍会承担保险责任，但在给付保险</w:t>
            </w:r>
            <w:r>
              <w:rPr>
                <w:spacing w:val="-6"/>
                <w:sz w:val="21"/>
              </w:rPr>
              <w:t>金时会扣除您欠交的保险费。</w:t>
            </w:r>
          </w:p>
          <w:p>
            <w:pPr>
              <w:pStyle w:val="TableParagraph"/>
              <w:spacing w:line="273" w:lineRule="auto" w:before="7"/>
              <w:ind w:left="192" w:right="125"/>
              <w:jc w:val="both"/>
              <w:rPr>
                <w:sz w:val="21"/>
              </w:rPr>
            </w:pPr>
            <w:r>
              <w:rPr>
                <w:spacing w:val="-7"/>
                <w:sz w:val="21"/>
              </w:rPr>
              <w:t>如果您在宽限期结束之后仍未交纳当期保险费，则本合同自宽限期满的次日零时</w:t>
            </w:r>
            <w:r>
              <w:rPr>
                <w:spacing w:val="-5"/>
                <w:sz w:val="21"/>
              </w:rPr>
              <w:t>起效力中止，但本合同另有约定的除外。</w:t>
            </w:r>
          </w:p>
        </w:tc>
      </w:tr>
      <w:tr>
        <w:trPr>
          <w:trHeight w:val="633" w:hRule="atLeast"/>
        </w:trPr>
        <w:tc>
          <w:tcPr>
            <w:tcW w:w="764" w:type="dxa"/>
            <w:tcBorders>
              <w:bottom w:val="single" w:sz="6" w:space="0" w:color="000000"/>
            </w:tcBorders>
          </w:tcPr>
          <w:p>
            <w:pPr>
              <w:pStyle w:val="TableParagraph"/>
              <w:spacing w:before="114"/>
              <w:ind w:left="135"/>
              <w:rPr>
                <w:b/>
                <w:sz w:val="28"/>
              </w:rPr>
            </w:pPr>
            <w:r>
              <w:rPr>
                <w:b/>
                <w:w w:val="99"/>
                <w:sz w:val="28"/>
              </w:rPr>
              <w:t>⒍</w:t>
            </w:r>
          </w:p>
        </w:tc>
        <w:tc>
          <w:tcPr>
            <w:tcW w:w="9372" w:type="dxa"/>
            <w:gridSpan w:val="2"/>
            <w:tcBorders>
              <w:bottom w:val="single" w:sz="6" w:space="0" w:color="000000"/>
            </w:tcBorders>
          </w:tcPr>
          <w:p>
            <w:pPr>
              <w:pStyle w:val="TableParagraph"/>
              <w:spacing w:before="144"/>
              <w:ind w:left="310"/>
              <w:rPr>
                <w:b/>
                <w:sz w:val="24"/>
              </w:rPr>
            </w:pPr>
            <w:r>
              <w:rPr>
                <w:b/>
                <w:w w:val="95"/>
                <w:sz w:val="24"/>
              </w:rPr>
              <w:t>合同效力的中止与恢复</w:t>
            </w:r>
          </w:p>
        </w:tc>
      </w:tr>
      <w:tr>
        <w:trPr>
          <w:trHeight w:val="1211" w:hRule="atLeast"/>
        </w:trPr>
        <w:tc>
          <w:tcPr>
            <w:tcW w:w="764" w:type="dxa"/>
            <w:tcBorders>
              <w:top w:val="single" w:sz="6" w:space="0" w:color="000000"/>
            </w:tcBorders>
          </w:tcPr>
          <w:p>
            <w:pPr>
              <w:pStyle w:val="TableParagraph"/>
              <w:spacing w:before="172"/>
              <w:ind w:left="135"/>
              <w:rPr>
                <w:b/>
                <w:sz w:val="21"/>
              </w:rPr>
            </w:pPr>
            <w:r>
              <w:rPr>
                <w:b/>
                <w:sz w:val="21"/>
              </w:rPr>
              <w:t>6.1</w:t>
            </w:r>
          </w:p>
        </w:tc>
        <w:tc>
          <w:tcPr>
            <w:tcW w:w="1781" w:type="dxa"/>
            <w:tcBorders>
              <w:top w:val="single" w:sz="6" w:space="0" w:color="000000"/>
            </w:tcBorders>
          </w:tcPr>
          <w:p>
            <w:pPr>
              <w:pStyle w:val="TableParagraph"/>
              <w:spacing w:before="172"/>
              <w:ind w:left="310"/>
              <w:rPr>
                <w:b/>
                <w:sz w:val="21"/>
              </w:rPr>
            </w:pPr>
            <w:r>
              <w:rPr>
                <w:b/>
                <w:sz w:val="21"/>
              </w:rPr>
              <w:t>效力中止</w:t>
            </w:r>
          </w:p>
        </w:tc>
        <w:tc>
          <w:tcPr>
            <w:tcW w:w="7591" w:type="dxa"/>
            <w:tcBorders>
              <w:top w:val="single" w:sz="6" w:space="0" w:color="000000"/>
            </w:tcBorders>
          </w:tcPr>
          <w:p>
            <w:pPr>
              <w:pStyle w:val="TableParagraph"/>
              <w:spacing w:line="273" w:lineRule="auto" w:before="172"/>
              <w:ind w:left="192" w:right="228"/>
              <w:jc w:val="both"/>
              <w:rPr>
                <w:rFonts w:ascii="黑体" w:eastAsia="黑体" w:hint="eastAsia"/>
                <w:b/>
                <w:sz w:val="21"/>
              </w:rPr>
            </w:pPr>
            <w:r>
              <w:rPr>
                <w:rFonts w:ascii="黑体" w:eastAsia="黑体" w:hint="eastAsia"/>
                <w:b/>
                <w:sz w:val="21"/>
              </w:rPr>
              <w:t>如您超过宽限期仍未交纳当期保险费，本合同自宽限期满的次日零时起效力中止。主合同效力中止的同时，本合同的效力也中止。在本合同效力中止期间， 我们不承担保险责任。</w:t>
            </w:r>
          </w:p>
        </w:tc>
      </w:tr>
      <w:tr>
        <w:trPr>
          <w:trHeight w:val="2736" w:hRule="atLeast"/>
        </w:trPr>
        <w:tc>
          <w:tcPr>
            <w:tcW w:w="764" w:type="dxa"/>
          </w:tcPr>
          <w:p>
            <w:pPr>
              <w:pStyle w:val="TableParagraph"/>
              <w:ind w:left="135"/>
              <w:rPr>
                <w:b/>
                <w:sz w:val="21"/>
              </w:rPr>
            </w:pPr>
            <w:r>
              <w:rPr>
                <w:b/>
                <w:sz w:val="21"/>
              </w:rPr>
              <w:t>6.2</w:t>
            </w:r>
          </w:p>
        </w:tc>
        <w:tc>
          <w:tcPr>
            <w:tcW w:w="1781" w:type="dxa"/>
          </w:tcPr>
          <w:p>
            <w:pPr>
              <w:pStyle w:val="TableParagraph"/>
              <w:ind w:left="310"/>
              <w:rPr>
                <w:b/>
                <w:sz w:val="21"/>
              </w:rPr>
            </w:pPr>
            <w:r>
              <w:rPr>
                <w:b/>
                <w:sz w:val="21"/>
              </w:rPr>
              <w:t>效力恢复</w:t>
            </w:r>
          </w:p>
        </w:tc>
        <w:tc>
          <w:tcPr>
            <w:tcW w:w="7591" w:type="dxa"/>
          </w:tcPr>
          <w:p>
            <w:pPr>
              <w:pStyle w:val="TableParagraph"/>
              <w:spacing w:line="273" w:lineRule="auto"/>
              <w:ind w:left="192" w:right="125"/>
              <w:jc w:val="both"/>
              <w:rPr>
                <w:sz w:val="21"/>
              </w:rPr>
            </w:pPr>
            <w:r>
              <w:rPr>
                <w:spacing w:val="-3"/>
                <w:sz w:val="21"/>
              </w:rPr>
              <w:t>本合同效力中止后2年内，您可以申请恢复合同效力。您应填写复效申请书，我</w:t>
            </w:r>
            <w:r>
              <w:rPr>
                <w:spacing w:val="-8"/>
                <w:sz w:val="21"/>
              </w:rPr>
              <w:t>们会要求您提供被保险人的健康声明书、体检报告书及其他相关证明文件，我们</w:t>
            </w:r>
            <w:r>
              <w:rPr>
                <w:spacing w:val="-5"/>
                <w:sz w:val="21"/>
              </w:rPr>
              <w:t>会对材料进行审核，做出是否同意复效的决定。</w:t>
            </w:r>
          </w:p>
          <w:p>
            <w:pPr>
              <w:pStyle w:val="TableParagraph"/>
              <w:spacing w:line="273" w:lineRule="auto" w:before="7"/>
              <w:ind w:left="192" w:right="170"/>
              <w:jc w:val="both"/>
              <w:rPr>
                <w:sz w:val="21"/>
              </w:rPr>
            </w:pPr>
            <w:r>
              <w:rPr>
                <w:sz w:val="21"/>
              </w:rPr>
              <w:t>经双方达成复效协议，自您补交保险费及利息（按</w:t>
            </w:r>
            <w:r>
              <w:rPr>
                <w:b/>
                <w:sz w:val="21"/>
              </w:rPr>
              <w:t>本合同约定利率</w:t>
            </w:r>
            <w:r>
              <w:rPr>
                <w:b/>
                <w:position w:val="11"/>
                <w:sz w:val="11"/>
              </w:rPr>
              <w:t>［10.17］</w:t>
            </w:r>
            <w:r>
              <w:rPr>
                <w:sz w:val="21"/>
              </w:rPr>
              <w:t>计算） 和其他未还款项的次日零时起，本合同效力恢复。</w:t>
            </w:r>
          </w:p>
          <w:p>
            <w:pPr>
              <w:pStyle w:val="TableParagraph"/>
              <w:spacing w:line="273" w:lineRule="auto" w:before="7"/>
              <w:ind w:left="192" w:right="146"/>
              <w:jc w:val="both"/>
              <w:rPr>
                <w:sz w:val="21"/>
              </w:rPr>
            </w:pPr>
            <w:r>
              <w:rPr>
                <w:sz w:val="21"/>
              </w:rPr>
              <w:t>自本合同效力中止之日起满2年双方未达成复效协议的，本合同效力终止，我们向您退还本合同效力中止时的现金价值。</w:t>
            </w:r>
          </w:p>
          <w:p>
            <w:pPr>
              <w:pStyle w:val="TableParagraph"/>
              <w:spacing w:before="7"/>
              <w:ind w:left="192"/>
              <w:jc w:val="both"/>
              <w:rPr>
                <w:sz w:val="21"/>
              </w:rPr>
            </w:pPr>
            <w:r>
              <w:rPr>
                <w:sz w:val="21"/>
              </w:rPr>
              <w:t>主合同效力中止期间，本合同不得单独申请复效。</w:t>
            </w:r>
          </w:p>
        </w:tc>
      </w:tr>
      <w:tr>
        <w:trPr>
          <w:trHeight w:val="673" w:hRule="atLeast"/>
        </w:trPr>
        <w:tc>
          <w:tcPr>
            <w:tcW w:w="764" w:type="dxa"/>
            <w:tcBorders>
              <w:bottom w:val="single" w:sz="8" w:space="0" w:color="000000"/>
            </w:tcBorders>
          </w:tcPr>
          <w:p>
            <w:pPr>
              <w:pStyle w:val="TableParagraph"/>
              <w:spacing w:before="114"/>
              <w:ind w:left="135"/>
              <w:rPr>
                <w:b/>
                <w:sz w:val="28"/>
              </w:rPr>
            </w:pPr>
            <w:r>
              <w:rPr>
                <w:b/>
                <w:w w:val="99"/>
                <w:sz w:val="28"/>
              </w:rPr>
              <w:t>⒎</w:t>
            </w:r>
          </w:p>
        </w:tc>
        <w:tc>
          <w:tcPr>
            <w:tcW w:w="9372" w:type="dxa"/>
            <w:gridSpan w:val="2"/>
            <w:tcBorders>
              <w:bottom w:val="single" w:sz="8" w:space="0" w:color="000000"/>
            </w:tcBorders>
          </w:tcPr>
          <w:p>
            <w:pPr>
              <w:pStyle w:val="TableParagraph"/>
              <w:spacing w:before="144"/>
              <w:ind w:left="310"/>
              <w:rPr>
                <w:b/>
                <w:sz w:val="24"/>
              </w:rPr>
            </w:pPr>
            <w:r>
              <w:rPr>
                <w:b/>
                <w:w w:val="95"/>
                <w:sz w:val="24"/>
              </w:rPr>
              <w:t>犹豫期后的合同解除</w:t>
            </w:r>
          </w:p>
        </w:tc>
      </w:tr>
      <w:tr>
        <w:trPr>
          <w:trHeight w:val="2202" w:hRule="atLeast"/>
        </w:trPr>
        <w:tc>
          <w:tcPr>
            <w:tcW w:w="764" w:type="dxa"/>
            <w:tcBorders>
              <w:top w:val="single" w:sz="8" w:space="0" w:color="000000"/>
            </w:tcBorders>
          </w:tcPr>
          <w:p>
            <w:pPr>
              <w:pStyle w:val="TableParagraph"/>
              <w:spacing w:before="128"/>
              <w:ind w:left="135"/>
              <w:rPr>
                <w:b/>
                <w:sz w:val="21"/>
              </w:rPr>
            </w:pPr>
            <w:r>
              <w:rPr>
                <w:b/>
                <w:sz w:val="21"/>
              </w:rPr>
              <w:t>7.1</w:t>
            </w:r>
          </w:p>
        </w:tc>
        <w:tc>
          <w:tcPr>
            <w:tcW w:w="1781" w:type="dxa"/>
            <w:tcBorders>
              <w:top w:val="single" w:sz="8" w:space="0" w:color="000000"/>
            </w:tcBorders>
          </w:tcPr>
          <w:p>
            <w:pPr>
              <w:pStyle w:val="TableParagraph"/>
              <w:spacing w:line="273" w:lineRule="auto" w:before="128"/>
              <w:ind w:left="310" w:right="201"/>
              <w:rPr>
                <w:b/>
                <w:sz w:val="21"/>
              </w:rPr>
            </w:pPr>
            <w:r>
              <w:rPr>
                <w:b/>
                <w:sz w:val="21"/>
              </w:rPr>
              <w:t>您解除合同的手续</w:t>
            </w:r>
          </w:p>
        </w:tc>
        <w:tc>
          <w:tcPr>
            <w:tcW w:w="7591" w:type="dxa"/>
            <w:tcBorders>
              <w:top w:val="single" w:sz="8" w:space="0" w:color="000000"/>
            </w:tcBorders>
          </w:tcPr>
          <w:p>
            <w:pPr>
              <w:pStyle w:val="TableParagraph"/>
              <w:spacing w:before="87"/>
              <w:ind w:left="192"/>
              <w:rPr>
                <w:sz w:val="21"/>
              </w:rPr>
            </w:pPr>
            <w:r>
              <w:rPr>
                <w:sz w:val="21"/>
              </w:rPr>
              <w:t>您在犹豫期后，可以书面通知要求解除本合同，并向我们提供下列证明和资料：</w:t>
            </w:r>
          </w:p>
          <w:p>
            <w:pPr>
              <w:pStyle w:val="TableParagraph"/>
              <w:spacing w:before="22"/>
              <w:ind w:left="192"/>
              <w:rPr>
                <w:sz w:val="21"/>
              </w:rPr>
            </w:pPr>
            <w:r>
              <w:rPr>
                <w:sz w:val="21"/>
              </w:rPr>
              <w:t>（1）保险合同；</w:t>
            </w:r>
          </w:p>
          <w:p>
            <w:pPr>
              <w:pStyle w:val="TableParagraph"/>
              <w:spacing w:before="34"/>
              <w:ind w:left="192"/>
              <w:rPr>
                <w:sz w:val="21"/>
              </w:rPr>
            </w:pPr>
            <w:r>
              <w:rPr>
                <w:sz w:val="21"/>
              </w:rPr>
              <w:t>（2）解除合同申请书；</w:t>
            </w:r>
          </w:p>
          <w:p>
            <w:pPr>
              <w:pStyle w:val="TableParagraph"/>
              <w:spacing w:before="39"/>
              <w:ind w:left="192"/>
              <w:rPr>
                <w:sz w:val="21"/>
              </w:rPr>
            </w:pPr>
            <w:r>
              <w:rPr>
                <w:sz w:val="21"/>
              </w:rPr>
              <w:t>（3）您的法定有效身份证明。</w:t>
            </w:r>
          </w:p>
          <w:p>
            <w:pPr>
              <w:pStyle w:val="TableParagraph"/>
              <w:spacing w:line="273" w:lineRule="auto" w:before="20"/>
              <w:ind w:left="192" w:right="125"/>
              <w:rPr>
                <w:sz w:val="21"/>
              </w:rPr>
            </w:pPr>
            <w:r>
              <w:rPr>
                <w:spacing w:val="-8"/>
                <w:sz w:val="21"/>
              </w:rPr>
              <w:t>自您书面申请解除合同之日起，本合同效力终止。我们自接到解除合同通知之日</w:t>
            </w:r>
            <w:r>
              <w:rPr>
                <w:spacing w:val="-25"/>
                <w:sz w:val="21"/>
              </w:rPr>
              <w:t>起 </w:t>
            </w:r>
            <w:r>
              <w:rPr>
                <w:sz w:val="21"/>
              </w:rPr>
              <w:t>30</w:t>
            </w:r>
            <w:r>
              <w:rPr>
                <w:spacing w:val="-8"/>
                <w:sz w:val="21"/>
              </w:rPr>
              <w:t> 日内向您退还本合同的现金价值。</w:t>
            </w:r>
          </w:p>
          <w:p>
            <w:pPr>
              <w:pStyle w:val="TableParagraph"/>
              <w:spacing w:line="255" w:lineRule="exact" w:before="7"/>
              <w:ind w:left="192"/>
              <w:rPr>
                <w:rFonts w:ascii="黑体" w:eastAsia="黑体" w:hint="eastAsia"/>
                <w:b/>
                <w:sz w:val="21"/>
              </w:rPr>
            </w:pPr>
            <w:r>
              <w:rPr>
                <w:rFonts w:ascii="黑体" w:eastAsia="黑体" w:hint="eastAsia"/>
                <w:b/>
                <w:sz w:val="21"/>
              </w:rPr>
              <w:t>您犹豫期后解除合同会遭受一定损失。</w:t>
            </w:r>
          </w:p>
        </w:tc>
      </w:tr>
    </w:tbl>
    <w:p>
      <w:pPr>
        <w:spacing w:after="0" w:line="255" w:lineRule="exact"/>
        <w:rPr>
          <w:rFonts w:ascii="黑体" w:eastAsia="黑体" w:hint="eastAsia"/>
          <w:sz w:val="21"/>
        </w:rPr>
        <w:sectPr>
          <w:pgSz w:w="11910" w:h="16840"/>
          <w:pgMar w:header="566" w:footer="664" w:top="1000" w:bottom="860" w:left="880" w:right="66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2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777"/>
        <w:gridCol w:w="7551"/>
      </w:tblGrid>
      <w:tr>
        <w:trPr>
          <w:trHeight w:val="427" w:hRule="atLeast"/>
        </w:trPr>
        <w:tc>
          <w:tcPr>
            <w:tcW w:w="697" w:type="dxa"/>
            <w:tcBorders>
              <w:bottom w:val="single" w:sz="6" w:space="0" w:color="000000"/>
            </w:tcBorders>
          </w:tcPr>
          <w:p>
            <w:pPr>
              <w:pStyle w:val="TableParagraph"/>
              <w:spacing w:line="281" w:lineRule="exact" w:before="0"/>
              <w:ind w:left="68"/>
              <w:rPr>
                <w:b/>
                <w:sz w:val="28"/>
              </w:rPr>
            </w:pPr>
            <w:r>
              <w:rPr>
                <w:b/>
                <w:w w:val="99"/>
                <w:sz w:val="28"/>
              </w:rPr>
              <w:t>⒏</w:t>
            </w:r>
          </w:p>
        </w:tc>
        <w:tc>
          <w:tcPr>
            <w:tcW w:w="9328" w:type="dxa"/>
            <w:gridSpan w:val="2"/>
            <w:tcBorders>
              <w:bottom w:val="single" w:sz="6" w:space="0" w:color="000000"/>
            </w:tcBorders>
          </w:tcPr>
          <w:p>
            <w:pPr>
              <w:pStyle w:val="TableParagraph"/>
              <w:spacing w:line="258" w:lineRule="exact" w:before="0"/>
              <w:ind w:left="310"/>
              <w:rPr>
                <w:b/>
                <w:sz w:val="24"/>
              </w:rPr>
            </w:pPr>
            <w:r>
              <w:rPr>
                <w:b/>
                <w:w w:val="95"/>
                <w:sz w:val="24"/>
              </w:rPr>
              <w:t>明确说明与如实告知</w:t>
            </w:r>
          </w:p>
        </w:tc>
      </w:tr>
      <w:tr>
        <w:trPr>
          <w:trHeight w:val="3869" w:hRule="atLeast"/>
        </w:trPr>
        <w:tc>
          <w:tcPr>
            <w:tcW w:w="697" w:type="dxa"/>
            <w:tcBorders>
              <w:top w:val="single" w:sz="6" w:space="0" w:color="000000"/>
            </w:tcBorders>
          </w:tcPr>
          <w:p>
            <w:pPr>
              <w:pStyle w:val="TableParagraph"/>
              <w:spacing w:before="178"/>
              <w:ind w:left="68"/>
              <w:rPr>
                <w:b/>
                <w:sz w:val="21"/>
              </w:rPr>
            </w:pPr>
            <w:r>
              <w:rPr>
                <w:b/>
                <w:sz w:val="21"/>
              </w:rPr>
              <w:t>8.1</w:t>
            </w:r>
          </w:p>
        </w:tc>
        <w:tc>
          <w:tcPr>
            <w:tcW w:w="1777" w:type="dxa"/>
            <w:tcBorders>
              <w:top w:val="single" w:sz="6" w:space="0" w:color="000000"/>
            </w:tcBorders>
          </w:tcPr>
          <w:p>
            <w:pPr>
              <w:pStyle w:val="TableParagraph"/>
              <w:spacing w:line="273" w:lineRule="auto" w:before="178"/>
              <w:ind w:left="310" w:right="197"/>
              <w:rPr>
                <w:b/>
                <w:sz w:val="21"/>
              </w:rPr>
            </w:pPr>
            <w:r>
              <w:rPr>
                <w:b/>
                <w:sz w:val="21"/>
              </w:rPr>
              <w:t>明确说明与如实告知</w:t>
            </w:r>
          </w:p>
        </w:tc>
        <w:tc>
          <w:tcPr>
            <w:tcW w:w="7551" w:type="dxa"/>
            <w:tcBorders>
              <w:top w:val="single" w:sz="6" w:space="0" w:color="000000"/>
            </w:tcBorders>
          </w:tcPr>
          <w:p>
            <w:pPr>
              <w:pStyle w:val="TableParagraph"/>
              <w:spacing w:before="178"/>
              <w:ind w:left="196"/>
              <w:rPr>
                <w:sz w:val="21"/>
              </w:rPr>
            </w:pPr>
            <w:r>
              <w:rPr>
                <w:sz w:val="21"/>
              </w:rPr>
              <w:t>订立本合同时，我们会向您说明本合同的内容。</w:t>
            </w:r>
          </w:p>
          <w:p>
            <w:pPr>
              <w:pStyle w:val="TableParagraph"/>
              <w:spacing w:line="273" w:lineRule="auto" w:before="37"/>
              <w:ind w:left="196" w:right="81"/>
              <w:jc w:val="both"/>
              <w:rPr>
                <w:sz w:val="21"/>
              </w:rPr>
            </w:pPr>
            <w:r>
              <w:rPr>
                <w:spacing w:val="-8"/>
                <w:sz w:val="21"/>
              </w:rPr>
              <w:t>对保险条款中免除我们责任的条款，我们在订立合同时会在投保单、保险单或者</w:t>
            </w:r>
            <w:r>
              <w:rPr>
                <w:spacing w:val="-10"/>
                <w:sz w:val="21"/>
              </w:rPr>
              <w:t>其他保险凭证上作出足以引起您注意的提示，并对该条款的内容以书面或者口头</w:t>
            </w:r>
            <w:r>
              <w:rPr>
                <w:spacing w:val="-5"/>
                <w:sz w:val="21"/>
              </w:rPr>
              <w:t>形式向您作出明确说明，未作提示或明确说明的，该条款不产生效力。</w:t>
            </w:r>
          </w:p>
          <w:p>
            <w:pPr>
              <w:pStyle w:val="TableParagraph"/>
              <w:spacing w:line="273" w:lineRule="auto" w:before="7"/>
              <w:ind w:left="196" w:right="81"/>
              <w:rPr>
                <w:sz w:val="21"/>
              </w:rPr>
            </w:pPr>
            <w:r>
              <w:rPr>
                <w:spacing w:val="-3"/>
                <w:sz w:val="21"/>
              </w:rPr>
              <w:t>我们会就您、被保险人或受益人的有关情况提出书面询问，您应当如实告知。</w:t>
            </w:r>
            <w:r>
              <w:rPr>
                <w:spacing w:val="-7"/>
                <w:sz w:val="21"/>
              </w:rPr>
              <w:t>如果您故意或因重大过失不履行如实告知义务，足以影响我们决定是否同意承保</w:t>
            </w:r>
            <w:r>
              <w:rPr>
                <w:spacing w:val="-5"/>
                <w:sz w:val="21"/>
              </w:rPr>
              <w:t>或者提高保险费率的，我们有权解除本合同。</w:t>
            </w:r>
          </w:p>
          <w:p>
            <w:pPr>
              <w:pStyle w:val="TableParagraph"/>
              <w:spacing w:line="273" w:lineRule="auto" w:before="163"/>
              <w:ind w:left="196" w:right="145"/>
              <w:rPr>
                <w:rFonts w:ascii="黑体" w:eastAsia="黑体" w:hint="eastAsia"/>
                <w:b/>
                <w:sz w:val="21"/>
              </w:rPr>
            </w:pPr>
            <w:r>
              <w:rPr>
                <w:rFonts w:ascii="黑体" w:eastAsia="黑体" w:hint="eastAsia"/>
                <w:b/>
                <w:sz w:val="21"/>
              </w:rPr>
              <w:t>对于故意不履行如实告知义务的，我们对本合同解除前发Th的保险事故，不承担给付保险金的责任，并不退还保险费。</w:t>
            </w:r>
          </w:p>
          <w:p>
            <w:pPr>
              <w:pStyle w:val="TableParagraph"/>
              <w:spacing w:line="273" w:lineRule="auto" w:before="7"/>
              <w:ind w:left="196" w:right="185"/>
              <w:rPr>
                <w:rFonts w:ascii="黑体" w:eastAsia="黑体" w:hint="eastAsia"/>
                <w:b/>
                <w:sz w:val="21"/>
              </w:rPr>
            </w:pPr>
            <w:r>
              <w:rPr>
                <w:rFonts w:ascii="黑体" w:eastAsia="黑体" w:hint="eastAsia"/>
                <w:b/>
                <w:sz w:val="21"/>
              </w:rPr>
              <w:t>因重大过失未履行如实告知义务，对保险事故的发Th有严重影响的，我们对本合同解除前发Th的保险事故，不承担给付保险金的责任，但退还保险费。</w:t>
            </w:r>
          </w:p>
        </w:tc>
      </w:tr>
      <w:tr>
        <w:trPr>
          <w:trHeight w:val="2112" w:hRule="atLeast"/>
        </w:trPr>
        <w:tc>
          <w:tcPr>
            <w:tcW w:w="697" w:type="dxa"/>
          </w:tcPr>
          <w:p>
            <w:pPr>
              <w:pStyle w:val="TableParagraph"/>
              <w:ind w:left="68"/>
              <w:rPr>
                <w:b/>
                <w:sz w:val="21"/>
              </w:rPr>
            </w:pPr>
            <w:r>
              <w:rPr>
                <w:b/>
                <w:sz w:val="21"/>
              </w:rPr>
              <w:t>8.2</w:t>
            </w:r>
          </w:p>
        </w:tc>
        <w:tc>
          <w:tcPr>
            <w:tcW w:w="1777" w:type="dxa"/>
          </w:tcPr>
          <w:p>
            <w:pPr>
              <w:pStyle w:val="TableParagraph"/>
              <w:spacing w:line="273" w:lineRule="auto"/>
              <w:ind w:left="310" w:right="197"/>
              <w:rPr>
                <w:b/>
                <w:sz w:val="21"/>
              </w:rPr>
            </w:pPr>
            <w:r>
              <w:rPr>
                <w:b/>
                <w:sz w:val="21"/>
              </w:rPr>
              <w:t>本公司合同解除权的限制</w:t>
            </w:r>
          </w:p>
        </w:tc>
        <w:tc>
          <w:tcPr>
            <w:tcW w:w="7551" w:type="dxa"/>
          </w:tcPr>
          <w:p>
            <w:pPr>
              <w:pStyle w:val="TableParagraph"/>
              <w:ind w:left="196"/>
              <w:rPr>
                <w:sz w:val="21"/>
              </w:rPr>
            </w:pPr>
            <w:r>
              <w:rPr>
                <w:sz w:val="21"/>
              </w:rPr>
              <w:t>您未履行如实告知义务，我们有权解除本合同，但受以下限制：</w:t>
            </w:r>
          </w:p>
          <w:p>
            <w:pPr>
              <w:pStyle w:val="TableParagraph"/>
              <w:spacing w:before="36"/>
              <w:ind w:left="196"/>
              <w:rPr>
                <w:sz w:val="21"/>
              </w:rPr>
            </w:pPr>
            <w:r>
              <w:rPr>
                <w:sz w:val="21"/>
              </w:rPr>
              <w:t>（1）该解除权自我们知道有解除事由之日起，经过 30 日不行使而消灭；</w:t>
            </w:r>
          </w:p>
          <w:p>
            <w:pPr>
              <w:pStyle w:val="TableParagraph"/>
              <w:spacing w:line="273" w:lineRule="auto" w:before="36"/>
              <w:ind w:left="723" w:right="83" w:hanging="527"/>
              <w:rPr>
                <w:sz w:val="21"/>
              </w:rPr>
            </w:pPr>
            <w:r>
              <w:rPr>
                <w:sz w:val="21"/>
              </w:rPr>
              <w:t>（2）</w:t>
            </w:r>
            <w:r>
              <w:rPr>
                <w:spacing w:val="-5"/>
                <w:sz w:val="21"/>
              </w:rPr>
              <w:t>自本合同成立之日起超过 </w:t>
            </w:r>
            <w:r>
              <w:rPr>
                <w:sz w:val="21"/>
              </w:rPr>
              <w:t>2</w:t>
            </w:r>
            <w:r>
              <w:rPr>
                <w:spacing w:val="-7"/>
                <w:sz w:val="21"/>
              </w:rPr>
              <w:t> 年的，我们不得解除合同；发生保险事故的， </w:t>
            </w:r>
            <w:r>
              <w:rPr>
                <w:spacing w:val="-3"/>
                <w:sz w:val="21"/>
              </w:rPr>
              <w:t>我们承担给付保险金的责任；</w:t>
            </w:r>
          </w:p>
          <w:p>
            <w:pPr>
              <w:pStyle w:val="TableParagraph"/>
              <w:spacing w:line="256" w:lineRule="auto" w:before="7"/>
              <w:ind w:left="723" w:right="102" w:hanging="527"/>
              <w:rPr>
                <w:sz w:val="21"/>
              </w:rPr>
            </w:pPr>
            <w:r>
              <w:rPr>
                <w:sz w:val="21"/>
              </w:rPr>
              <w:t>（</w:t>
            </w:r>
            <w:r>
              <w:rPr>
                <w:rFonts w:ascii="Times New Roman" w:eastAsia="Times New Roman"/>
                <w:sz w:val="21"/>
              </w:rPr>
              <w:t>3</w:t>
            </w:r>
            <w:r>
              <w:rPr>
                <w:sz w:val="21"/>
              </w:rPr>
              <w:t>）我们在本合同订立时已经知道未如实告知情况的，我们不得解除本合同； 发生保险事故的，我们承担给付保险金的责任。</w:t>
            </w:r>
          </w:p>
        </w:tc>
      </w:tr>
      <w:tr>
        <w:trPr>
          <w:trHeight w:val="676" w:hRule="atLeast"/>
        </w:trPr>
        <w:tc>
          <w:tcPr>
            <w:tcW w:w="697" w:type="dxa"/>
            <w:tcBorders>
              <w:bottom w:val="single" w:sz="6" w:space="0" w:color="000000"/>
            </w:tcBorders>
          </w:tcPr>
          <w:p>
            <w:pPr>
              <w:pStyle w:val="TableParagraph"/>
              <w:spacing w:before="114"/>
              <w:ind w:left="68"/>
              <w:rPr>
                <w:b/>
                <w:sz w:val="28"/>
              </w:rPr>
            </w:pPr>
            <w:r>
              <w:rPr>
                <w:b/>
                <w:w w:val="99"/>
                <w:sz w:val="28"/>
              </w:rPr>
              <w:t>⒐</w:t>
            </w:r>
          </w:p>
        </w:tc>
        <w:tc>
          <w:tcPr>
            <w:tcW w:w="9328" w:type="dxa"/>
            <w:gridSpan w:val="2"/>
            <w:tcBorders>
              <w:bottom w:val="single" w:sz="6" w:space="0" w:color="000000"/>
            </w:tcBorders>
          </w:tcPr>
          <w:p>
            <w:pPr>
              <w:pStyle w:val="TableParagraph"/>
              <w:spacing w:before="144"/>
              <w:ind w:left="310"/>
              <w:rPr>
                <w:b/>
                <w:sz w:val="24"/>
              </w:rPr>
            </w:pPr>
            <w:r>
              <w:rPr>
                <w:b/>
                <w:w w:val="95"/>
                <w:sz w:val="24"/>
              </w:rPr>
              <w:t>其他需要关注的事项</w:t>
            </w:r>
          </w:p>
        </w:tc>
      </w:tr>
      <w:tr>
        <w:trPr>
          <w:trHeight w:val="3262" w:hRule="atLeast"/>
        </w:trPr>
        <w:tc>
          <w:tcPr>
            <w:tcW w:w="697" w:type="dxa"/>
            <w:tcBorders>
              <w:top w:val="single" w:sz="6" w:space="0" w:color="000000"/>
            </w:tcBorders>
          </w:tcPr>
          <w:p>
            <w:pPr>
              <w:pStyle w:val="TableParagraph"/>
              <w:spacing w:before="129"/>
              <w:ind w:left="68"/>
              <w:rPr>
                <w:b/>
                <w:sz w:val="21"/>
              </w:rPr>
            </w:pPr>
            <w:r>
              <w:rPr>
                <w:b/>
                <w:sz w:val="21"/>
              </w:rPr>
              <w:t>9.1</w:t>
            </w:r>
          </w:p>
        </w:tc>
        <w:tc>
          <w:tcPr>
            <w:tcW w:w="1777" w:type="dxa"/>
            <w:tcBorders>
              <w:top w:val="single" w:sz="6" w:space="0" w:color="000000"/>
            </w:tcBorders>
          </w:tcPr>
          <w:p>
            <w:pPr>
              <w:pStyle w:val="TableParagraph"/>
              <w:spacing w:before="129"/>
              <w:ind w:left="0" w:right="197"/>
              <w:jc w:val="right"/>
              <w:rPr>
                <w:b/>
                <w:sz w:val="21"/>
              </w:rPr>
            </w:pPr>
            <w:r>
              <w:rPr>
                <w:b/>
                <w:sz w:val="21"/>
              </w:rPr>
              <w:t>年龄性别错误</w:t>
            </w:r>
          </w:p>
        </w:tc>
        <w:tc>
          <w:tcPr>
            <w:tcW w:w="7551" w:type="dxa"/>
            <w:tcBorders>
              <w:top w:val="single" w:sz="6" w:space="0" w:color="000000"/>
              <w:right w:val="single" w:sz="4" w:space="0" w:color="FFFFFF"/>
            </w:tcBorders>
          </w:tcPr>
          <w:p>
            <w:pPr>
              <w:pStyle w:val="TableParagraph"/>
              <w:spacing w:line="273" w:lineRule="auto" w:before="129"/>
              <w:ind w:left="196" w:right="77"/>
              <w:rPr>
                <w:sz w:val="21"/>
              </w:rPr>
            </w:pPr>
            <w:r>
              <w:rPr>
                <w:spacing w:val="-12"/>
                <w:sz w:val="21"/>
              </w:rPr>
              <w:t>您在申请投保时，应将与法定有效身份证明相符的被保险人的出生日期和性别在</w:t>
            </w:r>
            <w:r>
              <w:rPr>
                <w:spacing w:val="-6"/>
                <w:sz w:val="21"/>
              </w:rPr>
              <w:t>投保书上填明，如果发生错误按照下列方式办理：</w:t>
            </w:r>
          </w:p>
          <w:p>
            <w:pPr>
              <w:pStyle w:val="TableParagraph"/>
              <w:spacing w:line="273" w:lineRule="auto" w:before="7"/>
              <w:ind w:left="723" w:right="-29" w:hanging="527"/>
              <w:rPr>
                <w:sz w:val="21"/>
              </w:rPr>
            </w:pPr>
            <w:r>
              <w:rPr>
                <w:sz w:val="21"/>
              </w:rPr>
              <w:t>（1）</w:t>
            </w:r>
            <w:r>
              <w:rPr>
                <w:spacing w:val="-3"/>
                <w:sz w:val="21"/>
              </w:rPr>
              <w:t>您申报的被保险人年龄不真实，并且其真实年龄不符合本合同约定投保年</w:t>
            </w:r>
            <w:r>
              <w:rPr>
                <w:spacing w:val="-11"/>
                <w:sz w:val="21"/>
              </w:rPr>
              <w:t>龄限制的，在保险事故发生之前我们有权解除合同，并向您退还现金价值。</w:t>
            </w:r>
            <w:r>
              <w:rPr>
                <w:spacing w:val="-3"/>
                <w:sz w:val="21"/>
              </w:rPr>
              <w:t>我们行使合同解除权适用本条款</w:t>
            </w:r>
            <w:r>
              <w:rPr>
                <w:sz w:val="21"/>
              </w:rPr>
              <w:t>“8.2</w:t>
            </w:r>
            <w:r>
              <w:rPr>
                <w:spacing w:val="-3"/>
                <w:sz w:val="21"/>
              </w:rPr>
              <w:t>本公司合同解除权的限制”的规定。</w:t>
            </w:r>
          </w:p>
          <w:p>
            <w:pPr>
              <w:pStyle w:val="TableParagraph"/>
              <w:spacing w:line="273" w:lineRule="auto" w:before="7"/>
              <w:ind w:left="723" w:right="73" w:hanging="527"/>
              <w:jc w:val="both"/>
              <w:rPr>
                <w:sz w:val="21"/>
              </w:rPr>
            </w:pPr>
            <w:r>
              <w:rPr>
                <w:sz w:val="21"/>
              </w:rPr>
              <w:t>（2）您申报的被保险人年龄不真实，致使您实交保险费少于应交保险费的，我们有权更正并要求您补交保险费。若已经发生保险事故，我们在给付保险金时按实交保险费和应交保险费的比例给付。</w:t>
            </w:r>
          </w:p>
          <w:p>
            <w:pPr>
              <w:pStyle w:val="TableParagraph"/>
              <w:spacing w:line="273" w:lineRule="auto" w:before="7"/>
              <w:ind w:left="723" w:right="97" w:hanging="527"/>
              <w:rPr>
                <w:sz w:val="21"/>
              </w:rPr>
            </w:pPr>
            <w:r>
              <w:rPr>
                <w:sz w:val="21"/>
              </w:rPr>
              <w:t>（3）您申报的被保险人年龄不真实，致使您实交保险费多于应交保险费的，我们会将多收的保险费无息退还给您。</w:t>
            </w:r>
          </w:p>
        </w:tc>
      </w:tr>
      <w:tr>
        <w:trPr>
          <w:trHeight w:val="1831" w:hRule="atLeast"/>
        </w:trPr>
        <w:tc>
          <w:tcPr>
            <w:tcW w:w="697" w:type="dxa"/>
          </w:tcPr>
          <w:p>
            <w:pPr>
              <w:pStyle w:val="TableParagraph"/>
              <w:spacing w:before="167"/>
              <w:ind w:left="68"/>
              <w:rPr>
                <w:b/>
                <w:sz w:val="21"/>
              </w:rPr>
            </w:pPr>
            <w:r>
              <w:rPr>
                <w:b/>
                <w:sz w:val="21"/>
              </w:rPr>
              <w:t>9.2</w:t>
            </w:r>
          </w:p>
        </w:tc>
        <w:tc>
          <w:tcPr>
            <w:tcW w:w="1777" w:type="dxa"/>
          </w:tcPr>
          <w:p>
            <w:pPr>
              <w:pStyle w:val="TableParagraph"/>
              <w:spacing w:before="167"/>
              <w:ind w:left="0" w:right="197"/>
              <w:jc w:val="right"/>
              <w:rPr>
                <w:b/>
                <w:sz w:val="21"/>
              </w:rPr>
            </w:pPr>
            <w:r>
              <w:rPr>
                <w:b/>
                <w:sz w:val="21"/>
              </w:rPr>
              <w:t>合同效力终止</w:t>
            </w:r>
          </w:p>
        </w:tc>
        <w:tc>
          <w:tcPr>
            <w:tcW w:w="7551" w:type="dxa"/>
          </w:tcPr>
          <w:p>
            <w:pPr>
              <w:pStyle w:val="TableParagraph"/>
              <w:spacing w:before="167"/>
              <w:ind w:left="196"/>
              <w:rPr>
                <w:sz w:val="21"/>
              </w:rPr>
            </w:pPr>
            <w:r>
              <w:rPr>
                <w:sz w:val="21"/>
              </w:rPr>
              <w:t>当发生下列情形之一时，本合同效力终止：</w:t>
            </w:r>
          </w:p>
          <w:p>
            <w:pPr>
              <w:pStyle w:val="TableParagraph"/>
              <w:spacing w:before="36"/>
              <w:ind w:left="196"/>
              <w:rPr>
                <w:sz w:val="21"/>
              </w:rPr>
            </w:pPr>
            <w:r>
              <w:rPr>
                <w:sz w:val="21"/>
              </w:rPr>
              <w:t>（1）主合同解除、期满或效力终止；</w:t>
            </w:r>
          </w:p>
          <w:p>
            <w:pPr>
              <w:pStyle w:val="TableParagraph"/>
              <w:spacing w:before="36"/>
              <w:ind w:left="196"/>
              <w:rPr>
                <w:sz w:val="21"/>
              </w:rPr>
            </w:pPr>
            <w:r>
              <w:rPr>
                <w:sz w:val="21"/>
              </w:rPr>
              <w:t>（2）出现主合同或本合同内的其他约定终止的情况。</w:t>
            </w:r>
          </w:p>
          <w:p>
            <w:pPr>
              <w:pStyle w:val="TableParagraph"/>
              <w:spacing w:line="273" w:lineRule="auto" w:before="37"/>
              <w:ind w:left="196" w:right="80"/>
              <w:rPr>
                <w:sz w:val="21"/>
              </w:rPr>
            </w:pPr>
            <w:r>
              <w:rPr>
                <w:spacing w:val="-11"/>
                <w:sz w:val="21"/>
              </w:rPr>
              <w:t>本合同效力终止后，除另有规定外，我们不退还本合同的现金价值或已交的保险费。</w:t>
            </w:r>
          </w:p>
        </w:tc>
      </w:tr>
      <w:tr>
        <w:trPr>
          <w:trHeight w:val="663" w:hRule="atLeast"/>
        </w:trPr>
        <w:tc>
          <w:tcPr>
            <w:tcW w:w="697" w:type="dxa"/>
          </w:tcPr>
          <w:p>
            <w:pPr>
              <w:pStyle w:val="TableParagraph"/>
              <w:ind w:left="68"/>
              <w:rPr>
                <w:b/>
                <w:sz w:val="21"/>
              </w:rPr>
            </w:pPr>
            <w:r>
              <w:rPr>
                <w:b/>
                <w:sz w:val="21"/>
              </w:rPr>
              <w:t>9.3</w:t>
            </w:r>
          </w:p>
        </w:tc>
        <w:tc>
          <w:tcPr>
            <w:tcW w:w="1777" w:type="dxa"/>
          </w:tcPr>
          <w:p>
            <w:pPr>
              <w:pStyle w:val="TableParagraph"/>
              <w:spacing w:line="310" w:lineRule="atLeast" w:before="41"/>
              <w:ind w:left="310" w:right="197"/>
              <w:rPr>
                <w:b/>
                <w:sz w:val="21"/>
              </w:rPr>
            </w:pPr>
            <w:r>
              <w:rPr>
                <w:b/>
                <w:sz w:val="21"/>
              </w:rPr>
              <w:t>与主合同不一致的解决</w:t>
            </w:r>
          </w:p>
        </w:tc>
        <w:tc>
          <w:tcPr>
            <w:tcW w:w="7551" w:type="dxa"/>
          </w:tcPr>
          <w:p>
            <w:pPr>
              <w:pStyle w:val="TableParagraph"/>
              <w:spacing w:line="310" w:lineRule="atLeast" w:before="41"/>
              <w:ind w:left="196" w:right="80"/>
              <w:rPr>
                <w:sz w:val="21"/>
              </w:rPr>
            </w:pPr>
            <w:r>
              <w:rPr>
                <w:spacing w:val="-7"/>
                <w:sz w:val="21"/>
              </w:rPr>
              <w:t>主合同的条款中与本合同相关的部分均为本合同的构成部分，若主合同与本合同</w:t>
            </w:r>
            <w:r>
              <w:rPr>
                <w:spacing w:val="-5"/>
                <w:sz w:val="21"/>
              </w:rPr>
              <w:t>的条款相抵触的，则以本合同的条款为准。</w:t>
            </w:r>
          </w:p>
        </w:tc>
      </w:tr>
    </w:tbl>
    <w:p>
      <w:pPr>
        <w:spacing w:after="0" w:line="310" w:lineRule="atLeast"/>
        <w:rPr>
          <w:sz w:val="21"/>
        </w:rPr>
        <w:sectPr>
          <w:pgSz w:w="11910" w:h="16840"/>
          <w:pgMar w:header="566" w:footer="664" w:top="1000" w:bottom="860" w:left="960" w:right="700"/>
        </w:sectPr>
      </w:pPr>
    </w:p>
    <w:p>
      <w:pPr>
        <w:pStyle w:val="BodyText"/>
        <w:rPr>
          <w:rFonts w:ascii="Times New Roman"/>
          <w:sz w:val="20"/>
        </w:rPr>
      </w:pPr>
    </w:p>
    <w:p>
      <w:pPr>
        <w:pStyle w:val="BodyText"/>
        <w:spacing w:before="5"/>
        <w:rPr>
          <w:rFonts w:ascii="Times New Roman"/>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1762"/>
        <w:gridCol w:w="7481"/>
      </w:tblGrid>
      <w:tr>
        <w:trPr>
          <w:trHeight w:val="391" w:hRule="atLeast"/>
        </w:trPr>
        <w:tc>
          <w:tcPr>
            <w:tcW w:w="779" w:type="dxa"/>
            <w:tcBorders>
              <w:bottom w:val="single" w:sz="8" w:space="0" w:color="000000"/>
            </w:tcBorders>
          </w:tcPr>
          <w:p>
            <w:pPr>
              <w:pStyle w:val="TableParagraph"/>
              <w:spacing w:line="296" w:lineRule="exact" w:before="0"/>
              <w:ind w:left="45"/>
              <w:rPr>
                <w:b/>
                <w:sz w:val="28"/>
              </w:rPr>
            </w:pPr>
            <w:r>
              <w:rPr>
                <w:b/>
                <w:w w:val="99"/>
                <w:sz w:val="28"/>
              </w:rPr>
              <w:t>⒑</w:t>
            </w:r>
          </w:p>
        </w:tc>
        <w:tc>
          <w:tcPr>
            <w:tcW w:w="1762" w:type="dxa"/>
            <w:tcBorders>
              <w:bottom w:val="single" w:sz="8" w:space="0" w:color="000000"/>
            </w:tcBorders>
          </w:tcPr>
          <w:p>
            <w:pPr>
              <w:pStyle w:val="TableParagraph"/>
              <w:spacing w:line="240" w:lineRule="exact" w:before="0"/>
              <w:ind w:left="205"/>
              <w:rPr>
                <w:b/>
                <w:sz w:val="24"/>
              </w:rPr>
            </w:pPr>
            <w:r>
              <w:rPr>
                <w:b/>
                <w:sz w:val="24"/>
              </w:rPr>
              <w:t>释义</w:t>
            </w:r>
          </w:p>
        </w:tc>
        <w:tc>
          <w:tcPr>
            <w:tcW w:w="7481" w:type="dxa"/>
            <w:tcBorders>
              <w:bottom w:val="single" w:sz="8" w:space="0" w:color="000000"/>
            </w:tcBorders>
          </w:tcPr>
          <w:p>
            <w:pPr>
              <w:pStyle w:val="TableParagraph"/>
              <w:spacing w:before="0"/>
              <w:ind w:left="0"/>
              <w:rPr>
                <w:rFonts w:ascii="Times New Roman"/>
                <w:sz w:val="20"/>
              </w:rPr>
            </w:pPr>
          </w:p>
        </w:tc>
      </w:tr>
      <w:tr>
        <w:trPr>
          <w:trHeight w:val="884" w:hRule="atLeast"/>
        </w:trPr>
        <w:tc>
          <w:tcPr>
            <w:tcW w:w="10022" w:type="dxa"/>
            <w:gridSpan w:val="3"/>
            <w:tcBorders>
              <w:top w:val="single" w:sz="8" w:space="0" w:color="000000"/>
            </w:tcBorders>
          </w:tcPr>
          <w:p>
            <w:pPr>
              <w:pStyle w:val="TableParagraph"/>
              <w:spacing w:before="157"/>
              <w:ind w:left="984"/>
              <w:rPr>
                <w:rFonts w:ascii="黑体" w:eastAsia="黑体" w:hint="eastAsia"/>
                <w:b/>
                <w:sz w:val="21"/>
              </w:rPr>
            </w:pPr>
            <w:r>
              <w:rPr>
                <w:rFonts w:ascii="黑体" w:eastAsia="黑体" w:hint="eastAsia"/>
                <w:b/>
                <w:sz w:val="21"/>
              </w:rPr>
              <w:t>本合同中具有特定含义的名词，除非本合同另有释义，适用主合同的释义。</w:t>
            </w:r>
          </w:p>
          <w:p>
            <w:pPr>
              <w:pStyle w:val="TableParagraph"/>
              <w:spacing w:before="37"/>
              <w:ind w:left="984"/>
              <w:rPr>
                <w:rFonts w:ascii="黑体" w:eastAsia="黑体" w:hint="eastAsia"/>
                <w:b/>
                <w:sz w:val="21"/>
              </w:rPr>
            </w:pPr>
            <w:r>
              <w:rPr>
                <w:rFonts w:ascii="黑体" w:eastAsia="黑体" w:hint="eastAsia"/>
                <w:b/>
                <w:sz w:val="21"/>
              </w:rPr>
              <w:t>本保险条款每个第一次出现的释义名词的右上方有释义标注，其他相同的释义名词不另作标注。</w:t>
            </w:r>
          </w:p>
        </w:tc>
      </w:tr>
      <w:tr>
        <w:trPr>
          <w:trHeight w:val="2141" w:hRule="atLeast"/>
        </w:trPr>
        <w:tc>
          <w:tcPr>
            <w:tcW w:w="779" w:type="dxa"/>
          </w:tcPr>
          <w:p>
            <w:pPr>
              <w:pStyle w:val="TableParagraph"/>
              <w:ind w:left="45"/>
              <w:rPr>
                <w:b/>
                <w:sz w:val="21"/>
              </w:rPr>
            </w:pPr>
            <w:r>
              <w:rPr>
                <w:b/>
                <w:sz w:val="21"/>
              </w:rPr>
              <w:t>10.1</w:t>
            </w:r>
          </w:p>
        </w:tc>
        <w:tc>
          <w:tcPr>
            <w:tcW w:w="1762" w:type="dxa"/>
          </w:tcPr>
          <w:p>
            <w:pPr>
              <w:pStyle w:val="TableParagraph"/>
              <w:spacing w:line="273" w:lineRule="auto"/>
              <w:ind w:left="205" w:right="106"/>
              <w:rPr>
                <w:b/>
                <w:sz w:val="21"/>
              </w:rPr>
            </w:pPr>
            <w:r>
              <w:rPr>
                <w:b/>
                <w:sz w:val="21"/>
              </w:rPr>
              <w:t>我们认可 的医院</w:t>
            </w:r>
          </w:p>
        </w:tc>
        <w:tc>
          <w:tcPr>
            <w:tcW w:w="7481" w:type="dxa"/>
          </w:tcPr>
          <w:p>
            <w:pPr>
              <w:pStyle w:val="TableParagraph"/>
              <w:spacing w:line="273" w:lineRule="auto"/>
              <w:ind w:left="106" w:right="101"/>
              <w:rPr>
                <w:sz w:val="21"/>
              </w:rPr>
            </w:pPr>
            <w:r>
              <w:rPr>
                <w:spacing w:val="-9"/>
                <w:sz w:val="21"/>
              </w:rPr>
              <w:t>系指我们的定点医院，在无定点医院的县市地区选择医院时，须经我们同意且应</w:t>
            </w:r>
            <w:r>
              <w:rPr>
                <w:spacing w:val="-5"/>
                <w:sz w:val="21"/>
              </w:rPr>
              <w:t>当满足以下条件：</w:t>
            </w:r>
          </w:p>
          <w:p>
            <w:pPr>
              <w:pStyle w:val="TableParagraph"/>
              <w:spacing w:line="273" w:lineRule="auto" w:before="7"/>
              <w:ind w:left="106" w:right="15"/>
              <w:rPr>
                <w:sz w:val="21"/>
              </w:rPr>
            </w:pPr>
            <w:r>
              <w:rPr>
                <w:spacing w:val="-7"/>
                <w:sz w:val="21"/>
              </w:rPr>
              <w:t>经中华人民共和国卫生部门评审确定的二级甲等以上的公立医院，但不包括：精</w:t>
            </w:r>
            <w:r>
              <w:rPr>
                <w:spacing w:val="-11"/>
                <w:sz w:val="21"/>
              </w:rPr>
              <w:t>神病院及专供康复、休养、戒毒、戒酒、护理、养老等非以直接诊治病人为目的</w:t>
            </w:r>
            <w:r>
              <w:rPr>
                <w:spacing w:val="-6"/>
                <w:sz w:val="21"/>
              </w:rPr>
              <w:t>的医疗机构。该医院必须具有符合国家有关医院管理规则设置标准的医疗设备， </w:t>
            </w:r>
            <w:r>
              <w:rPr>
                <w:spacing w:val="-12"/>
                <w:sz w:val="21"/>
              </w:rPr>
              <w:t>且全日 </w:t>
            </w:r>
            <w:r>
              <w:rPr>
                <w:sz w:val="21"/>
              </w:rPr>
              <w:t>24</w:t>
            </w:r>
            <w:r>
              <w:rPr>
                <w:spacing w:val="-8"/>
                <w:sz w:val="21"/>
              </w:rPr>
              <w:t> 小时有合格医师及护士驻医院提供医疗及护理服务。</w:t>
            </w:r>
          </w:p>
        </w:tc>
      </w:tr>
      <w:tr>
        <w:trPr>
          <w:trHeight w:val="936" w:hRule="atLeast"/>
        </w:trPr>
        <w:tc>
          <w:tcPr>
            <w:tcW w:w="779" w:type="dxa"/>
          </w:tcPr>
          <w:p>
            <w:pPr>
              <w:pStyle w:val="TableParagraph"/>
              <w:spacing w:line="262" w:lineRule="exact" w:before="0"/>
              <w:ind w:left="45"/>
              <w:rPr>
                <w:b/>
                <w:sz w:val="21"/>
              </w:rPr>
            </w:pPr>
            <w:r>
              <w:rPr>
                <w:b/>
                <w:sz w:val="21"/>
              </w:rPr>
              <w:t>10.2</w:t>
            </w:r>
          </w:p>
        </w:tc>
        <w:tc>
          <w:tcPr>
            <w:tcW w:w="1762" w:type="dxa"/>
          </w:tcPr>
          <w:p>
            <w:pPr>
              <w:pStyle w:val="TableParagraph"/>
              <w:spacing w:line="262" w:lineRule="exact" w:before="0"/>
              <w:ind w:left="205"/>
              <w:rPr>
                <w:b/>
                <w:sz w:val="21"/>
              </w:rPr>
            </w:pPr>
            <w:r>
              <w:rPr>
                <w:b/>
                <w:sz w:val="21"/>
              </w:rPr>
              <w:t>毒品</w:t>
            </w:r>
          </w:p>
        </w:tc>
        <w:tc>
          <w:tcPr>
            <w:tcW w:w="7481" w:type="dxa"/>
            <w:tcBorders>
              <w:right w:val="single" w:sz="4" w:space="0" w:color="FFFFFF"/>
            </w:tcBorders>
          </w:tcPr>
          <w:p>
            <w:pPr>
              <w:pStyle w:val="TableParagraph"/>
              <w:spacing w:line="273" w:lineRule="auto" w:before="0"/>
              <w:ind w:left="106" w:right="-15"/>
              <w:rPr>
                <w:sz w:val="21"/>
              </w:rPr>
            </w:pPr>
            <w:r>
              <w:rPr>
                <w:spacing w:val="-7"/>
                <w:sz w:val="21"/>
              </w:rPr>
              <w:t>指中华人民共和国刑法规定的鸦片、海洛因、甲基苯丙胺</w:t>
            </w:r>
            <w:r>
              <w:rPr>
                <w:sz w:val="21"/>
              </w:rPr>
              <w:t>（</w:t>
            </w:r>
            <w:r>
              <w:rPr>
                <w:spacing w:val="-2"/>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包括由医生开具用于治疗疾病的含有毒品成分的处方药品。</w:t>
            </w:r>
          </w:p>
        </w:tc>
      </w:tr>
      <w:tr>
        <w:trPr>
          <w:trHeight w:val="894" w:hRule="atLeast"/>
        </w:trPr>
        <w:tc>
          <w:tcPr>
            <w:tcW w:w="779" w:type="dxa"/>
          </w:tcPr>
          <w:p>
            <w:pPr>
              <w:pStyle w:val="TableParagraph"/>
              <w:spacing w:before="167"/>
              <w:ind w:left="45"/>
              <w:rPr>
                <w:b/>
                <w:sz w:val="21"/>
              </w:rPr>
            </w:pPr>
            <w:r>
              <w:rPr>
                <w:b/>
                <w:sz w:val="21"/>
              </w:rPr>
              <w:t>10.3</w:t>
            </w:r>
          </w:p>
        </w:tc>
        <w:tc>
          <w:tcPr>
            <w:tcW w:w="1762" w:type="dxa"/>
          </w:tcPr>
          <w:p>
            <w:pPr>
              <w:pStyle w:val="TableParagraph"/>
              <w:spacing w:before="167"/>
              <w:ind w:left="205"/>
              <w:rPr>
                <w:b/>
                <w:sz w:val="21"/>
              </w:rPr>
            </w:pPr>
            <w:r>
              <w:rPr>
                <w:b/>
                <w:sz w:val="21"/>
              </w:rPr>
              <w:t>管制药品</w:t>
            </w:r>
          </w:p>
        </w:tc>
        <w:tc>
          <w:tcPr>
            <w:tcW w:w="7481" w:type="dxa"/>
          </w:tcPr>
          <w:p>
            <w:pPr>
              <w:pStyle w:val="TableParagraph"/>
              <w:spacing w:line="273" w:lineRule="auto" w:before="167"/>
              <w:ind w:left="106" w:right="101"/>
              <w:rPr>
                <w:sz w:val="21"/>
              </w:rPr>
            </w:pPr>
            <w:r>
              <w:rPr>
                <w:spacing w:val="-10"/>
                <w:sz w:val="21"/>
              </w:rPr>
              <w:t>指根据《中华人民共和国药品管理法》及有关法规被列为特殊管理的药品，包括</w:t>
            </w:r>
            <w:r>
              <w:rPr>
                <w:spacing w:val="-5"/>
                <w:sz w:val="21"/>
              </w:rPr>
              <w:t>麻醉药品、精神药品、医疗用毒性药品及放射性药品。</w:t>
            </w:r>
          </w:p>
        </w:tc>
      </w:tr>
      <w:tr>
        <w:trPr>
          <w:trHeight w:val="803" w:hRule="atLeast"/>
        </w:trPr>
        <w:tc>
          <w:tcPr>
            <w:tcW w:w="779" w:type="dxa"/>
          </w:tcPr>
          <w:p>
            <w:pPr>
              <w:pStyle w:val="TableParagraph"/>
              <w:ind w:left="45"/>
              <w:rPr>
                <w:b/>
                <w:sz w:val="21"/>
              </w:rPr>
            </w:pPr>
            <w:r>
              <w:rPr>
                <w:b/>
                <w:sz w:val="21"/>
              </w:rPr>
              <w:t>10.4</w:t>
            </w:r>
          </w:p>
        </w:tc>
        <w:tc>
          <w:tcPr>
            <w:tcW w:w="1762" w:type="dxa"/>
          </w:tcPr>
          <w:p>
            <w:pPr>
              <w:pStyle w:val="TableParagraph"/>
              <w:ind w:left="205"/>
              <w:rPr>
                <w:b/>
                <w:sz w:val="21"/>
              </w:rPr>
            </w:pPr>
            <w:r>
              <w:rPr>
                <w:b/>
                <w:sz w:val="21"/>
              </w:rPr>
              <w:t>酒后驾驶</w:t>
            </w:r>
          </w:p>
        </w:tc>
        <w:tc>
          <w:tcPr>
            <w:tcW w:w="7481" w:type="dxa"/>
          </w:tcPr>
          <w:p>
            <w:pPr>
              <w:pStyle w:val="TableParagraph"/>
              <w:spacing w:line="273" w:lineRule="auto"/>
              <w:ind w:left="106" w:right="101"/>
              <w:rPr>
                <w:sz w:val="21"/>
              </w:rPr>
            </w:pPr>
            <w:r>
              <w:rPr>
                <w:spacing w:val="-12"/>
                <w:sz w:val="21"/>
              </w:rPr>
              <w:t>指经检测或鉴定，发生保险事故时车辆驾驶人员每百毫升血液中的酒精含量达到</w:t>
            </w:r>
            <w:r>
              <w:rPr>
                <w:spacing w:val="-6"/>
                <w:sz w:val="21"/>
              </w:rPr>
              <w:t>或超过道路交通法规规定的标准。</w:t>
            </w:r>
          </w:p>
        </w:tc>
      </w:tr>
      <w:tr>
        <w:trPr>
          <w:trHeight w:val="2676" w:hRule="atLeast"/>
        </w:trPr>
        <w:tc>
          <w:tcPr>
            <w:tcW w:w="779" w:type="dxa"/>
          </w:tcPr>
          <w:p>
            <w:pPr>
              <w:pStyle w:val="TableParagraph"/>
              <w:ind w:left="45"/>
              <w:rPr>
                <w:b/>
                <w:sz w:val="21"/>
              </w:rPr>
            </w:pPr>
            <w:r>
              <w:rPr>
                <w:b/>
                <w:sz w:val="21"/>
              </w:rPr>
              <w:t>10.5</w:t>
            </w:r>
          </w:p>
        </w:tc>
        <w:tc>
          <w:tcPr>
            <w:tcW w:w="1762" w:type="dxa"/>
          </w:tcPr>
          <w:p>
            <w:pPr>
              <w:pStyle w:val="TableParagraph"/>
              <w:spacing w:line="273" w:lineRule="auto"/>
              <w:ind w:left="205" w:right="287"/>
              <w:rPr>
                <w:b/>
                <w:sz w:val="21"/>
              </w:rPr>
            </w:pPr>
            <w:r>
              <w:rPr>
                <w:b/>
                <w:sz w:val="21"/>
              </w:rPr>
              <w:t>无合法有效驾驶证驾驶</w:t>
            </w:r>
          </w:p>
        </w:tc>
        <w:tc>
          <w:tcPr>
            <w:tcW w:w="7481" w:type="dxa"/>
          </w:tcPr>
          <w:p>
            <w:pPr>
              <w:pStyle w:val="TableParagraph"/>
              <w:ind w:left="106"/>
              <w:rPr>
                <w:sz w:val="21"/>
              </w:rPr>
            </w:pPr>
            <w:r>
              <w:rPr>
                <w:sz w:val="21"/>
              </w:rPr>
              <w:t>指下列情形之一：</w:t>
            </w:r>
          </w:p>
          <w:p>
            <w:pPr>
              <w:pStyle w:val="TableParagraph"/>
              <w:spacing w:before="36"/>
              <w:ind w:left="106"/>
              <w:rPr>
                <w:sz w:val="21"/>
              </w:rPr>
            </w:pPr>
            <w:r>
              <w:rPr>
                <w:sz w:val="21"/>
              </w:rPr>
              <w:t>（1）没有驾驶证驾驶；</w:t>
            </w:r>
          </w:p>
          <w:p>
            <w:pPr>
              <w:pStyle w:val="TableParagraph"/>
              <w:spacing w:before="36"/>
              <w:ind w:left="106"/>
              <w:rPr>
                <w:sz w:val="21"/>
              </w:rPr>
            </w:pPr>
            <w:r>
              <w:rPr>
                <w:sz w:val="21"/>
              </w:rPr>
              <w:t>（2）驾驶与驾驶证准驾车型不相符合的车辆；</w:t>
            </w:r>
          </w:p>
          <w:p>
            <w:pPr>
              <w:pStyle w:val="TableParagraph"/>
              <w:spacing w:before="36"/>
              <w:ind w:left="106"/>
              <w:rPr>
                <w:sz w:val="21"/>
              </w:rPr>
            </w:pPr>
            <w:r>
              <w:rPr>
                <w:sz w:val="21"/>
              </w:rPr>
              <w:t>（3）驾驶员持审验不合格的驾驶证驾驶；</w:t>
            </w:r>
          </w:p>
          <w:p>
            <w:pPr>
              <w:pStyle w:val="TableParagraph"/>
              <w:spacing w:before="36"/>
              <w:ind w:left="106"/>
              <w:rPr>
                <w:sz w:val="21"/>
              </w:rPr>
            </w:pPr>
            <w:r>
              <w:rPr>
                <w:sz w:val="21"/>
              </w:rPr>
              <w:t>（4）未经公安交通管理部门同意，持未审验的驾驶证驾驶；</w:t>
            </w:r>
          </w:p>
          <w:p>
            <w:pPr>
              <w:pStyle w:val="TableParagraph"/>
              <w:spacing w:line="273" w:lineRule="auto" w:before="37"/>
              <w:ind w:left="632" w:right="106" w:hanging="527"/>
              <w:rPr>
                <w:sz w:val="21"/>
              </w:rPr>
            </w:pPr>
            <w:r>
              <w:rPr>
                <w:sz w:val="21"/>
              </w:rPr>
              <w:t>（5）持学习驾驶证学习驾车时，无教练员随车指导，或不按指定时间、路线学习驾车；</w:t>
            </w:r>
          </w:p>
          <w:p>
            <w:pPr>
              <w:pStyle w:val="TableParagraph"/>
              <w:spacing w:before="8"/>
              <w:ind w:left="106"/>
              <w:rPr>
                <w:sz w:val="21"/>
              </w:rPr>
            </w:pPr>
            <w:r>
              <w:rPr>
                <w:sz w:val="21"/>
              </w:rPr>
              <w:t>（6）公安交通管理部门规定的其他无有效驾驶证驾驶的情况。</w:t>
            </w:r>
          </w:p>
        </w:tc>
      </w:tr>
      <w:tr>
        <w:trPr>
          <w:trHeight w:val="1115" w:hRule="atLeast"/>
        </w:trPr>
        <w:tc>
          <w:tcPr>
            <w:tcW w:w="779" w:type="dxa"/>
          </w:tcPr>
          <w:p>
            <w:pPr>
              <w:pStyle w:val="TableParagraph"/>
              <w:ind w:left="45"/>
              <w:rPr>
                <w:b/>
                <w:sz w:val="21"/>
              </w:rPr>
            </w:pPr>
            <w:r>
              <w:rPr>
                <w:b/>
                <w:sz w:val="21"/>
              </w:rPr>
              <w:t>10.6</w:t>
            </w:r>
          </w:p>
        </w:tc>
        <w:tc>
          <w:tcPr>
            <w:tcW w:w="1762" w:type="dxa"/>
          </w:tcPr>
          <w:p>
            <w:pPr>
              <w:pStyle w:val="TableParagraph"/>
              <w:ind w:left="205"/>
              <w:rPr>
                <w:b/>
                <w:sz w:val="21"/>
              </w:rPr>
            </w:pPr>
            <w:r>
              <w:rPr>
                <w:b/>
                <w:sz w:val="21"/>
              </w:rPr>
              <w:t>无有效行驶证</w:t>
            </w:r>
          </w:p>
        </w:tc>
        <w:tc>
          <w:tcPr>
            <w:tcW w:w="7481" w:type="dxa"/>
          </w:tcPr>
          <w:p>
            <w:pPr>
              <w:pStyle w:val="TableParagraph"/>
              <w:ind w:left="106"/>
              <w:rPr>
                <w:sz w:val="21"/>
              </w:rPr>
            </w:pPr>
            <w:r>
              <w:rPr>
                <w:sz w:val="21"/>
              </w:rPr>
              <w:t>指下列情形之一：</w:t>
            </w:r>
          </w:p>
          <w:p>
            <w:pPr>
              <w:pStyle w:val="TableParagraph"/>
              <w:spacing w:before="36"/>
              <w:ind w:left="106"/>
              <w:rPr>
                <w:sz w:val="21"/>
              </w:rPr>
            </w:pPr>
            <w:r>
              <w:rPr>
                <w:sz w:val="21"/>
              </w:rPr>
              <w:t>（1）没有机动车行驶证；</w:t>
            </w:r>
          </w:p>
          <w:p>
            <w:pPr>
              <w:pStyle w:val="TableParagraph"/>
              <w:spacing w:before="36"/>
              <w:ind w:left="106"/>
              <w:rPr>
                <w:sz w:val="21"/>
              </w:rPr>
            </w:pPr>
            <w:r>
              <w:rPr>
                <w:sz w:val="21"/>
              </w:rPr>
              <w:t>（2）未在法律规定期限内按时进行或通过安全技术检验。</w:t>
            </w:r>
          </w:p>
        </w:tc>
      </w:tr>
      <w:tr>
        <w:trPr>
          <w:trHeight w:val="804" w:hRule="atLeast"/>
        </w:trPr>
        <w:tc>
          <w:tcPr>
            <w:tcW w:w="779" w:type="dxa"/>
          </w:tcPr>
          <w:p>
            <w:pPr>
              <w:pStyle w:val="TableParagraph"/>
              <w:ind w:left="45"/>
              <w:rPr>
                <w:b/>
                <w:sz w:val="21"/>
              </w:rPr>
            </w:pPr>
            <w:r>
              <w:rPr>
                <w:b/>
                <w:sz w:val="21"/>
              </w:rPr>
              <w:t>10.7</w:t>
            </w:r>
          </w:p>
        </w:tc>
        <w:tc>
          <w:tcPr>
            <w:tcW w:w="1762" w:type="dxa"/>
          </w:tcPr>
          <w:p>
            <w:pPr>
              <w:pStyle w:val="TableParagraph"/>
              <w:ind w:left="205"/>
              <w:rPr>
                <w:b/>
                <w:sz w:val="21"/>
              </w:rPr>
            </w:pPr>
            <w:r>
              <w:rPr>
                <w:b/>
                <w:sz w:val="21"/>
              </w:rPr>
              <w:t>机动车</w:t>
            </w:r>
          </w:p>
        </w:tc>
        <w:tc>
          <w:tcPr>
            <w:tcW w:w="7481" w:type="dxa"/>
          </w:tcPr>
          <w:p>
            <w:pPr>
              <w:pStyle w:val="TableParagraph"/>
              <w:spacing w:line="273" w:lineRule="auto"/>
              <w:ind w:left="106" w:right="101"/>
              <w:rPr>
                <w:sz w:val="21"/>
              </w:rPr>
            </w:pPr>
            <w:r>
              <w:rPr>
                <w:spacing w:val="-10"/>
                <w:sz w:val="21"/>
              </w:rPr>
              <w:t>指以动力装置驱动或者牵引，供人员乘用或者用于运送物品以及进行工程专项作</w:t>
            </w:r>
            <w:r>
              <w:rPr>
                <w:spacing w:val="-5"/>
                <w:sz w:val="21"/>
              </w:rPr>
              <w:t>业的轮式车辆。</w:t>
            </w:r>
          </w:p>
        </w:tc>
      </w:tr>
      <w:tr>
        <w:trPr>
          <w:trHeight w:val="1829" w:hRule="atLeast"/>
        </w:trPr>
        <w:tc>
          <w:tcPr>
            <w:tcW w:w="779" w:type="dxa"/>
          </w:tcPr>
          <w:p>
            <w:pPr>
              <w:pStyle w:val="TableParagraph"/>
              <w:ind w:left="45"/>
              <w:rPr>
                <w:b/>
                <w:sz w:val="21"/>
              </w:rPr>
            </w:pPr>
            <w:r>
              <w:rPr>
                <w:b/>
                <w:sz w:val="21"/>
              </w:rPr>
              <w:t>10.8</w:t>
            </w:r>
          </w:p>
        </w:tc>
        <w:tc>
          <w:tcPr>
            <w:tcW w:w="1762" w:type="dxa"/>
          </w:tcPr>
          <w:p>
            <w:pPr>
              <w:pStyle w:val="TableParagraph"/>
              <w:spacing w:line="273" w:lineRule="auto"/>
              <w:ind w:left="205" w:right="287"/>
              <w:rPr>
                <w:b/>
                <w:sz w:val="21"/>
              </w:rPr>
            </w:pPr>
            <w:r>
              <w:rPr>
                <w:b/>
                <w:sz w:val="21"/>
              </w:rPr>
              <w:t>感染艾滋病病毒或患艾滋病</w:t>
            </w:r>
          </w:p>
        </w:tc>
        <w:tc>
          <w:tcPr>
            <w:tcW w:w="7481" w:type="dxa"/>
          </w:tcPr>
          <w:p>
            <w:pPr>
              <w:pStyle w:val="TableParagraph"/>
              <w:spacing w:line="273" w:lineRule="auto"/>
              <w:ind w:left="106" w:right="101"/>
              <w:jc w:val="both"/>
              <w:rPr>
                <w:sz w:val="21"/>
              </w:rPr>
            </w:pPr>
            <w:r>
              <w:rPr>
                <w:spacing w:val="-5"/>
                <w:sz w:val="21"/>
              </w:rPr>
              <w:t>艾滋病病毒指人类免疫缺陷病毒，英文缩写为 </w:t>
            </w:r>
            <w:r>
              <w:rPr>
                <w:sz w:val="21"/>
              </w:rPr>
              <w:t>HIV</w:t>
            </w:r>
            <w:r>
              <w:rPr>
                <w:spacing w:val="-5"/>
                <w:sz w:val="21"/>
              </w:rPr>
              <w:t>。艾滋病指人类免疫缺陷病毒</w:t>
            </w:r>
            <w:r>
              <w:rPr>
                <w:spacing w:val="-6"/>
                <w:sz w:val="21"/>
              </w:rPr>
              <w:t>引起的获得性免疫缺陷综合症，英文缩写为 </w:t>
            </w:r>
            <w:r>
              <w:rPr>
                <w:sz w:val="21"/>
              </w:rPr>
              <w:t>AIDS。</w:t>
            </w:r>
          </w:p>
          <w:p>
            <w:pPr>
              <w:pStyle w:val="TableParagraph"/>
              <w:spacing w:line="273" w:lineRule="auto" w:before="7"/>
              <w:ind w:left="106" w:right="101"/>
              <w:jc w:val="both"/>
              <w:rPr>
                <w:sz w:val="21"/>
              </w:rPr>
            </w:pPr>
            <w:r>
              <w:rPr>
                <w:spacing w:val="-7"/>
                <w:sz w:val="21"/>
              </w:rPr>
              <w:t>在人体血液或其他样本中检测到艾滋病病毒或其抗体呈阳性，没有出现临床症状</w:t>
            </w:r>
            <w:r>
              <w:rPr>
                <w:spacing w:val="-11"/>
                <w:sz w:val="21"/>
              </w:rPr>
              <w:t>或体征的，为感染艾滋病病毒；如果同时出现了明显临床症状或体征的，为患艾滋病。</w:t>
            </w:r>
          </w:p>
        </w:tc>
      </w:tr>
      <w:tr>
        <w:trPr>
          <w:trHeight w:val="624" w:hRule="atLeast"/>
        </w:trPr>
        <w:tc>
          <w:tcPr>
            <w:tcW w:w="779" w:type="dxa"/>
          </w:tcPr>
          <w:p>
            <w:pPr>
              <w:pStyle w:val="TableParagraph"/>
              <w:spacing w:line="262" w:lineRule="exact" w:before="0"/>
              <w:ind w:left="45"/>
              <w:rPr>
                <w:b/>
                <w:sz w:val="21"/>
              </w:rPr>
            </w:pPr>
            <w:r>
              <w:rPr>
                <w:b/>
                <w:sz w:val="21"/>
              </w:rPr>
              <w:t>10.9</w:t>
            </w:r>
          </w:p>
        </w:tc>
        <w:tc>
          <w:tcPr>
            <w:tcW w:w="1762" w:type="dxa"/>
          </w:tcPr>
          <w:p>
            <w:pPr>
              <w:pStyle w:val="TableParagraph"/>
              <w:spacing w:line="262" w:lineRule="exact" w:before="0"/>
              <w:ind w:left="205"/>
              <w:rPr>
                <w:b/>
                <w:sz w:val="21"/>
              </w:rPr>
            </w:pPr>
            <w:r>
              <w:rPr>
                <w:b/>
                <w:sz w:val="21"/>
              </w:rPr>
              <w:t>遗传性疾病</w:t>
            </w:r>
          </w:p>
        </w:tc>
        <w:tc>
          <w:tcPr>
            <w:tcW w:w="7481" w:type="dxa"/>
            <w:tcBorders>
              <w:right w:val="single" w:sz="4" w:space="0" w:color="FFFFFF"/>
            </w:tcBorders>
          </w:tcPr>
          <w:p>
            <w:pPr>
              <w:pStyle w:val="TableParagraph"/>
              <w:spacing w:line="273" w:lineRule="auto" w:before="0"/>
              <w:ind w:left="106" w:right="-15"/>
              <w:rPr>
                <w:sz w:val="21"/>
              </w:rPr>
            </w:pPr>
            <w:r>
              <w:rPr>
                <w:spacing w:val="-10"/>
                <w:sz w:val="21"/>
              </w:rPr>
              <w:t>指生殖细胞或受精卵的遗传物质</w:t>
            </w:r>
            <w:r>
              <w:rPr>
                <w:spacing w:val="-3"/>
                <w:sz w:val="21"/>
              </w:rPr>
              <w:t>（染色体和基因</w:t>
            </w:r>
            <w:r>
              <w:rPr>
                <w:spacing w:val="-97"/>
                <w:sz w:val="21"/>
              </w:rPr>
              <w:t>）</w:t>
            </w:r>
            <w:r>
              <w:rPr>
                <w:spacing w:val="-3"/>
                <w:sz w:val="21"/>
              </w:rPr>
              <w:t>发生突变或畸变所引起的疾病， 通常具有由亲代传至后代的垂直传递的特征。</w:t>
            </w:r>
          </w:p>
        </w:tc>
      </w:tr>
      <w:tr>
        <w:trPr>
          <w:trHeight w:val="754" w:hRule="atLeast"/>
        </w:trPr>
        <w:tc>
          <w:tcPr>
            <w:tcW w:w="779" w:type="dxa"/>
          </w:tcPr>
          <w:p>
            <w:pPr>
              <w:pStyle w:val="TableParagraph"/>
              <w:spacing w:before="167"/>
              <w:ind w:left="45"/>
              <w:rPr>
                <w:b/>
                <w:sz w:val="21"/>
              </w:rPr>
            </w:pPr>
            <w:r>
              <w:rPr>
                <w:b/>
                <w:sz w:val="21"/>
              </w:rPr>
              <w:t>10.10</w:t>
            </w:r>
          </w:p>
        </w:tc>
        <w:tc>
          <w:tcPr>
            <w:tcW w:w="1762" w:type="dxa"/>
          </w:tcPr>
          <w:p>
            <w:pPr>
              <w:pStyle w:val="TableParagraph"/>
              <w:spacing w:line="310" w:lineRule="atLeast" w:before="132"/>
              <w:ind w:left="205" w:right="53"/>
              <w:rPr>
                <w:b/>
                <w:sz w:val="21"/>
              </w:rPr>
            </w:pPr>
            <w:r>
              <w:rPr>
                <w:b/>
                <w:sz w:val="21"/>
              </w:rPr>
              <w:t>先天性畸形、变形 或染色体异</w:t>
            </w:r>
          </w:p>
        </w:tc>
        <w:tc>
          <w:tcPr>
            <w:tcW w:w="7481" w:type="dxa"/>
          </w:tcPr>
          <w:p>
            <w:pPr>
              <w:pStyle w:val="TableParagraph"/>
              <w:spacing w:line="310" w:lineRule="atLeast" w:before="132"/>
              <w:ind w:left="106" w:right="101"/>
              <w:rPr>
                <w:sz w:val="21"/>
              </w:rPr>
            </w:pPr>
            <w:r>
              <w:rPr>
                <w:spacing w:val="-7"/>
                <w:sz w:val="21"/>
              </w:rPr>
              <w:t>指被保险人出生时就具有的畸形、变形或染色体异常。先天性畸形、变形和染色</w:t>
            </w:r>
            <w:r>
              <w:rPr>
                <w:spacing w:val="-9"/>
                <w:sz w:val="21"/>
              </w:rPr>
              <w:t>体异常依照世界卫生组织《疾病和有关健康问题的国际统计分类》</w:t>
            </w:r>
            <w:r>
              <w:rPr>
                <w:spacing w:val="-4"/>
                <w:sz w:val="21"/>
              </w:rPr>
              <w:t>（ICD-10）</w:t>
            </w:r>
            <w:r>
              <w:rPr>
                <w:spacing w:val="-22"/>
                <w:sz w:val="21"/>
              </w:rPr>
              <w:t>确</w:t>
            </w:r>
          </w:p>
        </w:tc>
      </w:tr>
    </w:tbl>
    <w:p>
      <w:pPr>
        <w:spacing w:after="0" w:line="310" w:lineRule="atLeast"/>
        <w:rPr>
          <w:sz w:val="21"/>
        </w:rPr>
        <w:sectPr>
          <w:pgSz w:w="11910" w:h="16840"/>
          <w:pgMar w:header="566" w:footer="664" w:top="1000" w:bottom="860" w:left="98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780"/>
        <w:gridCol w:w="7464"/>
      </w:tblGrid>
      <w:tr>
        <w:trPr>
          <w:trHeight w:val="351" w:hRule="atLeast"/>
        </w:trPr>
        <w:tc>
          <w:tcPr>
            <w:tcW w:w="934" w:type="dxa"/>
          </w:tcPr>
          <w:p>
            <w:pPr>
              <w:pStyle w:val="TableParagraph"/>
              <w:spacing w:before="0"/>
              <w:ind w:left="0"/>
              <w:rPr>
                <w:rFonts w:ascii="Times New Roman"/>
                <w:sz w:val="20"/>
              </w:rPr>
            </w:pPr>
          </w:p>
        </w:tc>
        <w:tc>
          <w:tcPr>
            <w:tcW w:w="1780" w:type="dxa"/>
          </w:tcPr>
          <w:p>
            <w:pPr>
              <w:pStyle w:val="TableParagraph"/>
              <w:spacing w:line="211" w:lineRule="exact" w:before="0"/>
              <w:ind w:left="204"/>
              <w:rPr>
                <w:b/>
                <w:sz w:val="21"/>
              </w:rPr>
            </w:pPr>
            <w:r>
              <w:rPr>
                <w:b/>
                <w:w w:val="100"/>
                <w:sz w:val="21"/>
              </w:rPr>
              <w:t>常</w:t>
            </w:r>
          </w:p>
        </w:tc>
        <w:tc>
          <w:tcPr>
            <w:tcW w:w="7464" w:type="dxa"/>
          </w:tcPr>
          <w:p>
            <w:pPr>
              <w:pStyle w:val="TableParagraph"/>
              <w:spacing w:line="211" w:lineRule="exact" w:before="0"/>
              <w:ind w:left="88"/>
              <w:rPr>
                <w:sz w:val="21"/>
              </w:rPr>
            </w:pPr>
            <w:r>
              <w:rPr>
                <w:sz w:val="21"/>
              </w:rPr>
              <w:t>定。</w:t>
            </w:r>
          </w:p>
        </w:tc>
      </w:tr>
      <w:tr>
        <w:trPr>
          <w:trHeight w:val="893" w:hRule="atLeast"/>
        </w:trPr>
        <w:tc>
          <w:tcPr>
            <w:tcW w:w="934" w:type="dxa"/>
          </w:tcPr>
          <w:p>
            <w:pPr>
              <w:pStyle w:val="TableParagraph"/>
              <w:spacing w:before="77"/>
              <w:ind w:left="178" w:right="183"/>
              <w:jc w:val="center"/>
              <w:rPr>
                <w:b/>
                <w:sz w:val="21"/>
              </w:rPr>
            </w:pPr>
            <w:r>
              <w:rPr>
                <w:b/>
                <w:sz w:val="21"/>
              </w:rPr>
              <w:t>10.11</w:t>
            </w:r>
          </w:p>
        </w:tc>
        <w:tc>
          <w:tcPr>
            <w:tcW w:w="1780" w:type="dxa"/>
          </w:tcPr>
          <w:p>
            <w:pPr>
              <w:pStyle w:val="TableParagraph"/>
              <w:spacing w:before="77"/>
              <w:ind w:left="204"/>
              <w:rPr>
                <w:b/>
                <w:sz w:val="21"/>
              </w:rPr>
            </w:pPr>
            <w:r>
              <w:rPr>
                <w:b/>
                <w:sz w:val="21"/>
              </w:rPr>
              <w:t>现金价值</w:t>
            </w:r>
          </w:p>
        </w:tc>
        <w:tc>
          <w:tcPr>
            <w:tcW w:w="7464" w:type="dxa"/>
          </w:tcPr>
          <w:p>
            <w:pPr>
              <w:pStyle w:val="TableParagraph"/>
              <w:spacing w:line="273" w:lineRule="auto" w:before="77"/>
              <w:ind w:left="88" w:right="103"/>
              <w:rPr>
                <w:sz w:val="21"/>
              </w:rPr>
            </w:pPr>
            <w:r>
              <w:rPr>
                <w:spacing w:val="-9"/>
                <w:sz w:val="21"/>
              </w:rPr>
              <w:t>一般指保险单所具有的价值，通常体现为解除本合同时，由我们向您退还的那部</w:t>
            </w:r>
            <w:r>
              <w:rPr>
                <w:spacing w:val="-6"/>
                <w:sz w:val="21"/>
              </w:rPr>
              <w:t>分金额。</w:t>
            </w:r>
          </w:p>
        </w:tc>
      </w:tr>
      <w:tr>
        <w:trPr>
          <w:trHeight w:val="1872" w:hRule="atLeast"/>
        </w:trPr>
        <w:tc>
          <w:tcPr>
            <w:tcW w:w="934" w:type="dxa"/>
          </w:tcPr>
          <w:p>
            <w:pPr>
              <w:pStyle w:val="TableParagraph"/>
              <w:spacing w:line="262" w:lineRule="exact" w:before="0"/>
              <w:ind w:left="179" w:right="182"/>
              <w:jc w:val="center"/>
              <w:rPr>
                <w:b/>
                <w:sz w:val="21"/>
              </w:rPr>
            </w:pPr>
            <w:r>
              <w:rPr>
                <w:b/>
                <w:sz w:val="21"/>
              </w:rPr>
              <w:t>10.12</w:t>
            </w:r>
          </w:p>
        </w:tc>
        <w:tc>
          <w:tcPr>
            <w:tcW w:w="1780" w:type="dxa"/>
          </w:tcPr>
          <w:p>
            <w:pPr>
              <w:pStyle w:val="TableParagraph"/>
              <w:spacing w:line="262" w:lineRule="exact" w:before="0"/>
              <w:ind w:left="204"/>
              <w:rPr>
                <w:b/>
                <w:sz w:val="21"/>
              </w:rPr>
            </w:pPr>
            <w:r>
              <w:rPr>
                <w:b/>
                <w:sz w:val="21"/>
              </w:rPr>
              <w:t>专科医生</w:t>
            </w:r>
          </w:p>
        </w:tc>
        <w:tc>
          <w:tcPr>
            <w:tcW w:w="7464" w:type="dxa"/>
            <w:tcBorders>
              <w:right w:val="single" w:sz="4" w:space="0" w:color="FFFFFF"/>
            </w:tcBorders>
          </w:tcPr>
          <w:p>
            <w:pPr>
              <w:pStyle w:val="TableParagraph"/>
              <w:spacing w:line="262" w:lineRule="exact" w:before="0"/>
              <w:ind w:left="88"/>
              <w:rPr>
                <w:sz w:val="21"/>
              </w:rPr>
            </w:pPr>
            <w:r>
              <w:rPr>
                <w:sz w:val="21"/>
              </w:rPr>
              <w:t>专科医生应当同时满足以下四项资格条件：</w:t>
            </w:r>
          </w:p>
          <w:p>
            <w:pPr>
              <w:pStyle w:val="TableParagraph"/>
              <w:spacing w:before="37"/>
              <w:ind w:left="88"/>
              <w:rPr>
                <w:sz w:val="21"/>
              </w:rPr>
            </w:pPr>
            <w:r>
              <w:rPr>
                <w:sz w:val="21"/>
              </w:rPr>
              <w:t>（1）具有有效的中华人民共和国《医师资格证书》；</w:t>
            </w:r>
          </w:p>
          <w:p>
            <w:pPr>
              <w:pStyle w:val="TableParagraph"/>
              <w:spacing w:before="37"/>
              <w:ind w:left="88" w:right="-15"/>
              <w:rPr>
                <w:sz w:val="21"/>
              </w:rPr>
            </w:pPr>
            <w:r>
              <w:rPr>
                <w:spacing w:val="-22"/>
                <w:sz w:val="21"/>
              </w:rPr>
              <w:t>（2）</w:t>
            </w:r>
            <w:r>
              <w:rPr>
                <w:spacing w:val="-17"/>
                <w:sz w:val="21"/>
              </w:rPr>
              <w:t>具有有效的中华人民共和国《医师执业证书》，并按期到相关部门登记注册；</w:t>
            </w:r>
          </w:p>
          <w:p>
            <w:pPr>
              <w:pStyle w:val="TableParagraph"/>
              <w:spacing w:line="273" w:lineRule="auto" w:before="37"/>
              <w:ind w:left="614" w:right="119" w:hanging="527"/>
              <w:rPr>
                <w:sz w:val="21"/>
              </w:rPr>
            </w:pPr>
            <w:r>
              <w:rPr>
                <w:sz w:val="21"/>
              </w:rPr>
              <w:t>（3）具有有效的中华人民共和国主治医师或主治医师以上职称的《医师职称证书》；</w:t>
            </w:r>
          </w:p>
          <w:p>
            <w:pPr>
              <w:pStyle w:val="TableParagraph"/>
              <w:spacing w:before="7"/>
              <w:ind w:left="88"/>
              <w:rPr>
                <w:sz w:val="21"/>
              </w:rPr>
            </w:pPr>
            <w:r>
              <w:rPr>
                <w:sz w:val="21"/>
              </w:rPr>
              <w:t>（4）在二级或二级以上医院的相应科室从事临床工作 3 年以上。</w:t>
            </w:r>
          </w:p>
        </w:tc>
      </w:tr>
      <w:tr>
        <w:trPr>
          <w:trHeight w:val="895" w:hRule="atLeast"/>
        </w:trPr>
        <w:tc>
          <w:tcPr>
            <w:tcW w:w="934" w:type="dxa"/>
          </w:tcPr>
          <w:p>
            <w:pPr>
              <w:pStyle w:val="TableParagraph"/>
              <w:spacing w:before="167"/>
              <w:ind w:left="179" w:right="182"/>
              <w:jc w:val="center"/>
              <w:rPr>
                <w:b/>
                <w:sz w:val="21"/>
              </w:rPr>
            </w:pPr>
            <w:r>
              <w:rPr>
                <w:b/>
                <w:sz w:val="21"/>
              </w:rPr>
              <w:t>10.13</w:t>
            </w:r>
          </w:p>
        </w:tc>
        <w:tc>
          <w:tcPr>
            <w:tcW w:w="1780" w:type="dxa"/>
          </w:tcPr>
          <w:p>
            <w:pPr>
              <w:pStyle w:val="TableParagraph"/>
              <w:spacing w:line="273" w:lineRule="auto" w:before="167"/>
              <w:ind w:left="204" w:right="125"/>
              <w:rPr>
                <w:b/>
                <w:sz w:val="21"/>
              </w:rPr>
            </w:pPr>
            <w:r>
              <w:rPr>
                <w:b/>
                <w:sz w:val="21"/>
              </w:rPr>
              <w:t>肢体机能 完全丧失</w:t>
            </w:r>
          </w:p>
        </w:tc>
        <w:tc>
          <w:tcPr>
            <w:tcW w:w="7464" w:type="dxa"/>
          </w:tcPr>
          <w:p>
            <w:pPr>
              <w:pStyle w:val="TableParagraph"/>
              <w:spacing w:line="273" w:lineRule="auto" w:before="167"/>
              <w:ind w:left="88" w:right="103"/>
              <w:rPr>
                <w:sz w:val="21"/>
              </w:rPr>
            </w:pPr>
            <w:r>
              <w:rPr>
                <w:spacing w:val="-8"/>
                <w:sz w:val="21"/>
              </w:rPr>
              <w:t>指肢体的三大关节中的两大关节僵硬，或不能随意识活动。肢体是指包括肩关节</w:t>
            </w:r>
            <w:r>
              <w:rPr>
                <w:spacing w:val="-5"/>
                <w:sz w:val="21"/>
              </w:rPr>
              <w:t>的整个上肢或包括髋关节的整个下肢。</w:t>
            </w:r>
          </w:p>
        </w:tc>
      </w:tr>
      <w:tr>
        <w:trPr>
          <w:trHeight w:val="1428" w:hRule="atLeast"/>
        </w:trPr>
        <w:tc>
          <w:tcPr>
            <w:tcW w:w="934" w:type="dxa"/>
          </w:tcPr>
          <w:p>
            <w:pPr>
              <w:pStyle w:val="TableParagraph"/>
              <w:spacing w:before="77"/>
              <w:ind w:left="179" w:right="182"/>
              <w:jc w:val="center"/>
              <w:rPr>
                <w:b/>
                <w:sz w:val="21"/>
              </w:rPr>
            </w:pPr>
            <w:r>
              <w:rPr>
                <w:b/>
                <w:sz w:val="21"/>
              </w:rPr>
              <w:t>10.14</w:t>
            </w:r>
          </w:p>
        </w:tc>
        <w:tc>
          <w:tcPr>
            <w:tcW w:w="1780" w:type="dxa"/>
          </w:tcPr>
          <w:p>
            <w:pPr>
              <w:pStyle w:val="TableParagraph"/>
              <w:spacing w:line="273" w:lineRule="auto" w:before="77"/>
              <w:ind w:left="204" w:right="87"/>
              <w:jc w:val="both"/>
              <w:rPr>
                <w:b/>
                <w:sz w:val="21"/>
              </w:rPr>
            </w:pPr>
            <w:r>
              <w:rPr>
                <w:b/>
                <w:sz w:val="21"/>
              </w:rPr>
              <w:t>语言能力 或咀嚼吞咽能 力完全丧失</w:t>
            </w:r>
          </w:p>
        </w:tc>
        <w:tc>
          <w:tcPr>
            <w:tcW w:w="7464" w:type="dxa"/>
          </w:tcPr>
          <w:p>
            <w:pPr>
              <w:pStyle w:val="TableParagraph"/>
              <w:spacing w:line="273" w:lineRule="auto" w:before="77"/>
              <w:ind w:left="88" w:right="103"/>
              <w:jc w:val="both"/>
              <w:rPr>
                <w:sz w:val="21"/>
              </w:rPr>
            </w:pPr>
            <w:r>
              <w:rPr>
                <w:spacing w:val="-8"/>
                <w:sz w:val="21"/>
              </w:rPr>
              <w:t>语言能力完全丧失，指无法发出四种语音</w:t>
            </w:r>
            <w:r>
              <w:rPr>
                <w:sz w:val="21"/>
              </w:rPr>
              <w:t>（</w:t>
            </w:r>
            <w:r>
              <w:rPr>
                <w:spacing w:val="-8"/>
                <w:sz w:val="21"/>
              </w:rPr>
              <w:t>包括口唇音、齿舌音、口盖音和喉头音</w:t>
            </w:r>
            <w:r>
              <w:rPr>
                <w:spacing w:val="-22"/>
                <w:sz w:val="21"/>
              </w:rPr>
              <w:t>）</w:t>
            </w:r>
            <w:r>
              <w:rPr>
                <w:spacing w:val="-9"/>
                <w:sz w:val="21"/>
              </w:rPr>
              <w:t>中的任何三种、或声带全部切除，或因大脑语言中枢受伤害而患失语症。咀</w:t>
            </w:r>
            <w:r>
              <w:rPr>
                <w:spacing w:val="-12"/>
                <w:sz w:val="21"/>
              </w:rPr>
              <w:t>嚼吞咽能力完全丧失，指因牙齿以外的原因导致器质障碍或机能障碍，以致不能</w:t>
            </w:r>
            <w:r>
              <w:rPr>
                <w:spacing w:val="-6"/>
                <w:sz w:val="21"/>
              </w:rPr>
              <w:t>作咀嚼吞咽运动，除流质食物外不能摄取或吞咽的状态。</w:t>
            </w:r>
          </w:p>
        </w:tc>
      </w:tr>
      <w:tr>
        <w:trPr>
          <w:trHeight w:val="2364" w:hRule="atLeast"/>
        </w:trPr>
        <w:tc>
          <w:tcPr>
            <w:tcW w:w="934" w:type="dxa"/>
          </w:tcPr>
          <w:p>
            <w:pPr>
              <w:pStyle w:val="TableParagraph"/>
              <w:ind w:left="179" w:right="182"/>
              <w:jc w:val="center"/>
              <w:rPr>
                <w:b/>
                <w:sz w:val="21"/>
              </w:rPr>
            </w:pPr>
            <w:r>
              <w:rPr>
                <w:b/>
                <w:sz w:val="21"/>
              </w:rPr>
              <w:t>10.15</w:t>
            </w:r>
          </w:p>
        </w:tc>
        <w:tc>
          <w:tcPr>
            <w:tcW w:w="1780" w:type="dxa"/>
          </w:tcPr>
          <w:p>
            <w:pPr>
              <w:pStyle w:val="TableParagraph"/>
              <w:spacing w:line="273" w:lineRule="auto"/>
              <w:ind w:left="204" w:right="62"/>
              <w:rPr>
                <w:b/>
                <w:sz w:val="21"/>
              </w:rPr>
            </w:pPr>
            <w:r>
              <w:rPr>
                <w:b/>
                <w:sz w:val="21"/>
              </w:rPr>
              <w:t>六项基本日常生活活动</w:t>
            </w:r>
          </w:p>
        </w:tc>
        <w:tc>
          <w:tcPr>
            <w:tcW w:w="7464" w:type="dxa"/>
          </w:tcPr>
          <w:p>
            <w:pPr>
              <w:pStyle w:val="TableParagraph"/>
              <w:ind w:left="88"/>
              <w:rPr>
                <w:sz w:val="21"/>
              </w:rPr>
            </w:pPr>
            <w:r>
              <w:rPr>
                <w:sz w:val="21"/>
              </w:rPr>
              <w:t>六项基本日常生活活动是指：</w:t>
            </w:r>
          </w:p>
          <w:p>
            <w:pPr>
              <w:pStyle w:val="TableParagraph"/>
              <w:spacing w:before="36"/>
              <w:ind w:left="88"/>
              <w:rPr>
                <w:sz w:val="21"/>
              </w:rPr>
            </w:pPr>
            <w:r>
              <w:rPr>
                <w:sz w:val="21"/>
              </w:rPr>
              <w:t>（1）穿衣：自己能够穿衣及脱衣；</w:t>
            </w:r>
          </w:p>
          <w:p>
            <w:pPr>
              <w:pStyle w:val="TableParagraph"/>
              <w:spacing w:before="36"/>
              <w:ind w:left="88"/>
              <w:rPr>
                <w:sz w:val="21"/>
              </w:rPr>
            </w:pPr>
            <w:r>
              <w:rPr>
                <w:sz w:val="21"/>
              </w:rPr>
              <w:t>（2）移动：自己从一个房间到另一个房间；</w:t>
            </w:r>
          </w:p>
          <w:p>
            <w:pPr>
              <w:pStyle w:val="TableParagraph"/>
              <w:spacing w:before="36"/>
              <w:ind w:left="88"/>
              <w:rPr>
                <w:sz w:val="21"/>
              </w:rPr>
            </w:pPr>
            <w:r>
              <w:rPr>
                <w:sz w:val="21"/>
              </w:rPr>
              <w:t>（3）行动：自己上下床或上下轮椅；</w:t>
            </w:r>
          </w:p>
          <w:p>
            <w:pPr>
              <w:pStyle w:val="TableParagraph"/>
              <w:spacing w:before="36"/>
              <w:ind w:left="88"/>
              <w:rPr>
                <w:sz w:val="21"/>
              </w:rPr>
            </w:pPr>
            <w:r>
              <w:rPr>
                <w:sz w:val="21"/>
              </w:rPr>
              <w:t>（4）如厕：自己控制进行大小便；</w:t>
            </w:r>
          </w:p>
          <w:p>
            <w:pPr>
              <w:pStyle w:val="TableParagraph"/>
              <w:spacing w:before="36"/>
              <w:ind w:left="88"/>
              <w:rPr>
                <w:sz w:val="21"/>
              </w:rPr>
            </w:pPr>
            <w:r>
              <w:rPr>
                <w:sz w:val="21"/>
              </w:rPr>
              <w:t>（5）进食：自己从已准备好的碗或碟中取食物放入口中；</w:t>
            </w:r>
          </w:p>
          <w:p>
            <w:pPr>
              <w:pStyle w:val="TableParagraph"/>
              <w:spacing w:before="36"/>
              <w:ind w:left="88"/>
              <w:rPr>
                <w:sz w:val="21"/>
              </w:rPr>
            </w:pPr>
            <w:r>
              <w:rPr>
                <w:sz w:val="21"/>
              </w:rPr>
              <w:t>（6）洗澡：自己进行淋浴或盆浴。</w:t>
            </w:r>
          </w:p>
        </w:tc>
      </w:tr>
      <w:tr>
        <w:trPr>
          <w:trHeight w:val="804" w:hRule="atLeast"/>
        </w:trPr>
        <w:tc>
          <w:tcPr>
            <w:tcW w:w="934" w:type="dxa"/>
          </w:tcPr>
          <w:p>
            <w:pPr>
              <w:pStyle w:val="TableParagraph"/>
              <w:spacing w:before="77"/>
              <w:ind w:left="179" w:right="182"/>
              <w:jc w:val="center"/>
              <w:rPr>
                <w:b/>
                <w:sz w:val="21"/>
              </w:rPr>
            </w:pPr>
            <w:r>
              <w:rPr>
                <w:b/>
                <w:sz w:val="21"/>
              </w:rPr>
              <w:t>10.16</w:t>
            </w:r>
          </w:p>
        </w:tc>
        <w:tc>
          <w:tcPr>
            <w:tcW w:w="1780" w:type="dxa"/>
          </w:tcPr>
          <w:p>
            <w:pPr>
              <w:pStyle w:val="TableParagraph"/>
              <w:spacing w:before="77"/>
              <w:ind w:left="204"/>
              <w:rPr>
                <w:b/>
                <w:sz w:val="21"/>
              </w:rPr>
            </w:pPr>
            <w:r>
              <w:rPr>
                <w:b/>
                <w:sz w:val="21"/>
              </w:rPr>
              <w:t>永久不可逆</w:t>
            </w:r>
          </w:p>
        </w:tc>
        <w:tc>
          <w:tcPr>
            <w:tcW w:w="7464" w:type="dxa"/>
          </w:tcPr>
          <w:p>
            <w:pPr>
              <w:pStyle w:val="TableParagraph"/>
              <w:spacing w:line="273" w:lineRule="auto" w:before="77"/>
              <w:ind w:left="88" w:right="102"/>
              <w:rPr>
                <w:sz w:val="21"/>
              </w:rPr>
            </w:pPr>
            <w:r>
              <w:rPr>
                <w:spacing w:val="-8"/>
                <w:sz w:val="21"/>
              </w:rPr>
              <w:t>指自疾病确诊或意外伤害发生之日起，经过积极治疗 </w:t>
            </w:r>
            <w:r>
              <w:rPr>
                <w:sz w:val="21"/>
              </w:rPr>
              <w:t>180</w:t>
            </w:r>
            <w:r>
              <w:rPr>
                <w:spacing w:val="-10"/>
                <w:sz w:val="21"/>
              </w:rPr>
              <w:t> 日后，仍无法通过现有</w:t>
            </w:r>
            <w:r>
              <w:rPr>
                <w:spacing w:val="-5"/>
                <w:sz w:val="21"/>
              </w:rPr>
              <w:t>医疗手段恢复。</w:t>
            </w:r>
          </w:p>
        </w:tc>
      </w:tr>
      <w:tr>
        <w:trPr>
          <w:trHeight w:val="663" w:hRule="atLeast"/>
        </w:trPr>
        <w:tc>
          <w:tcPr>
            <w:tcW w:w="934" w:type="dxa"/>
          </w:tcPr>
          <w:p>
            <w:pPr>
              <w:pStyle w:val="TableParagraph"/>
              <w:ind w:left="179" w:right="182"/>
              <w:jc w:val="center"/>
              <w:rPr>
                <w:b/>
                <w:sz w:val="21"/>
              </w:rPr>
            </w:pPr>
            <w:r>
              <w:rPr>
                <w:b/>
                <w:sz w:val="21"/>
              </w:rPr>
              <w:t>10.17</w:t>
            </w:r>
          </w:p>
        </w:tc>
        <w:tc>
          <w:tcPr>
            <w:tcW w:w="1780" w:type="dxa"/>
          </w:tcPr>
          <w:p>
            <w:pPr>
              <w:pStyle w:val="TableParagraph"/>
              <w:spacing w:line="310" w:lineRule="atLeast" w:before="41"/>
              <w:ind w:left="204" w:right="307"/>
              <w:rPr>
                <w:b/>
                <w:sz w:val="21"/>
              </w:rPr>
            </w:pPr>
            <w:r>
              <w:rPr>
                <w:b/>
                <w:sz w:val="21"/>
              </w:rPr>
              <w:t>本合同约定利率</w:t>
            </w:r>
          </w:p>
        </w:tc>
        <w:tc>
          <w:tcPr>
            <w:tcW w:w="7464" w:type="dxa"/>
          </w:tcPr>
          <w:p>
            <w:pPr>
              <w:pStyle w:val="TableParagraph"/>
              <w:ind w:left="88"/>
              <w:rPr>
                <w:sz w:val="21"/>
              </w:rPr>
            </w:pPr>
            <w:r>
              <w:rPr>
                <w:sz w:val="21"/>
              </w:rPr>
              <w:t>指我们参照中国人民银行最近一次规定的 6 个月期人民币贷款利率所确定的利</w:t>
            </w:r>
          </w:p>
          <w:p>
            <w:pPr>
              <w:pStyle w:val="TableParagraph"/>
              <w:spacing w:line="255" w:lineRule="exact" w:before="36"/>
              <w:ind w:left="88"/>
              <w:rPr>
                <w:sz w:val="21"/>
              </w:rPr>
            </w:pPr>
            <w:r>
              <w:rPr>
                <w:sz w:val="21"/>
              </w:rPr>
              <w:t>率。我们在每年的 1 月 1 日和 7 月 1 日确定并以适当方式公布。</w:t>
            </w:r>
          </w:p>
        </w:tc>
      </w:tr>
    </w:tbl>
    <w:sectPr>
      <w:pgSz w:w="11910" w:h="16840"/>
      <w:pgMar w:header="566" w:footer="664" w:top="1000" w:bottom="86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31480"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3903">
          <wp:simplePos x="0" y="0"/>
          <wp:positionH relativeFrom="page">
            <wp:posOffset>719455</wp:posOffset>
          </wp:positionH>
          <wp:positionV relativeFrom="page">
            <wp:posOffset>359409</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1528"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64.109985pt;margin-top:37.585609pt;width:172.95pt;height:11pt;mso-position-horizontal-relative:page;mso-position-vertical-relative:page;z-index:-31504" type="#_x0000_t202" filled="false" stroked="false">
          <v:textbox inset="0,0,0,0">
            <w:txbxContent>
              <w:p>
                <w:pPr>
                  <w:spacing w:line="200" w:lineRule="exact" w:before="0"/>
                  <w:ind w:left="20" w:right="0" w:firstLine="0"/>
                  <w:jc w:val="left"/>
                  <w:rPr>
                    <w:sz w:val="18"/>
                  </w:rPr>
                </w:pPr>
                <w:r>
                  <w:rPr>
                    <w:sz w:val="18"/>
                  </w:rPr>
                  <w:t>百年附加安康宝提前给付重大疾病保险条款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3999">
          <wp:simplePos x="0" y="0"/>
          <wp:positionH relativeFrom="page">
            <wp:posOffset>719455</wp:posOffset>
          </wp:positionH>
          <wp:positionV relativeFrom="page">
            <wp:posOffset>359409</wp:posOffset>
          </wp:positionV>
          <wp:extent cx="941705" cy="228600"/>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364.109985pt;margin-top:37.585609pt;width:172.95pt;height:11pt;mso-position-horizontal-relative:page;mso-position-vertical-relative:page;z-index:-31432" type="#_x0000_t202" filled="false" stroked="false">
          <v:textbox inset="0,0,0,0">
            <w:txbxContent>
              <w:p>
                <w:pPr>
                  <w:spacing w:line="200" w:lineRule="exact" w:before="0"/>
                  <w:ind w:left="20" w:right="0" w:firstLine="0"/>
                  <w:jc w:val="left"/>
                  <w:rPr>
                    <w:sz w:val="18"/>
                  </w:rPr>
                </w:pPr>
                <w:r>
                  <w:rPr>
                    <w:sz w:val="18"/>
                  </w:rPr>
                  <w:t>百年附加安康宝提前给付重大疾病保险条款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4047">
          <wp:simplePos x="0" y="0"/>
          <wp:positionH relativeFrom="page">
            <wp:posOffset>719455</wp:posOffset>
          </wp:positionH>
          <wp:positionV relativeFrom="page">
            <wp:posOffset>359409</wp:posOffset>
          </wp:positionV>
          <wp:extent cx="941705" cy="228600"/>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1384" from="55.200001pt,50.399982pt" to="540.100001pt,50.399982pt" stroked="true" strokeweight=".72pt" strokecolor="#000000">
          <v:stroke dashstyle="solid"/>
          <w10:wrap type="none"/>
        </v:line>
      </w:pict>
    </w:r>
    <w:r>
      <w:rPr/>
      <w:pict>
        <v:shape style="position:absolute;margin-left:364.109985pt;margin-top:37.585609pt;width:172.95pt;height:11pt;mso-position-horizontal-relative:page;mso-position-vertical-relative:page;z-index:-31360" type="#_x0000_t202" filled="false" stroked="false">
          <v:textbox inset="0,0,0,0">
            <w:txbxContent>
              <w:p>
                <w:pPr>
                  <w:spacing w:line="200" w:lineRule="exact" w:before="0"/>
                  <w:ind w:left="20" w:right="0" w:firstLine="0"/>
                  <w:jc w:val="left"/>
                  <w:rPr>
                    <w:sz w:val="18"/>
                  </w:rPr>
                </w:pPr>
                <w:r>
                  <w:rPr>
                    <w:sz w:val="18"/>
                  </w:rPr>
                  <w:t>百年附加安康宝提前给付重大疾病保险条款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upperRoman"/>
      <w:lvlText w:val="%1"/>
      <w:lvlJc w:val="left"/>
      <w:pPr>
        <w:ind w:left="266" w:hanging="159"/>
        <w:jc w:val="left"/>
      </w:pPr>
      <w:rPr>
        <w:rFonts w:hint="default" w:ascii="宋体" w:hAnsi="宋体" w:eastAsia="宋体" w:cs="宋体"/>
        <w:w w:val="100"/>
        <w:sz w:val="21"/>
        <w:szCs w:val="21"/>
      </w:rPr>
    </w:lvl>
    <w:lvl w:ilvl="1">
      <w:start w:val="0"/>
      <w:numFmt w:val="bullet"/>
      <w:lvlText w:val="•"/>
      <w:lvlJc w:val="left"/>
      <w:pPr>
        <w:ind w:left="992" w:hanging="159"/>
      </w:pPr>
      <w:rPr>
        <w:rFonts w:hint="default"/>
      </w:rPr>
    </w:lvl>
    <w:lvl w:ilvl="2">
      <w:start w:val="0"/>
      <w:numFmt w:val="bullet"/>
      <w:lvlText w:val="•"/>
      <w:lvlJc w:val="left"/>
      <w:pPr>
        <w:ind w:left="1724" w:hanging="159"/>
      </w:pPr>
      <w:rPr>
        <w:rFonts w:hint="default"/>
      </w:rPr>
    </w:lvl>
    <w:lvl w:ilvl="3">
      <w:start w:val="0"/>
      <w:numFmt w:val="bullet"/>
      <w:lvlText w:val="•"/>
      <w:lvlJc w:val="left"/>
      <w:pPr>
        <w:ind w:left="2456" w:hanging="159"/>
      </w:pPr>
      <w:rPr>
        <w:rFonts w:hint="default"/>
      </w:rPr>
    </w:lvl>
    <w:lvl w:ilvl="4">
      <w:start w:val="0"/>
      <w:numFmt w:val="bullet"/>
      <w:lvlText w:val="•"/>
      <w:lvlJc w:val="left"/>
      <w:pPr>
        <w:ind w:left="3188" w:hanging="159"/>
      </w:pPr>
      <w:rPr>
        <w:rFonts w:hint="default"/>
      </w:rPr>
    </w:lvl>
    <w:lvl w:ilvl="5">
      <w:start w:val="0"/>
      <w:numFmt w:val="bullet"/>
      <w:lvlText w:val="•"/>
      <w:lvlJc w:val="left"/>
      <w:pPr>
        <w:ind w:left="3920" w:hanging="159"/>
      </w:pPr>
      <w:rPr>
        <w:rFonts w:hint="default"/>
      </w:rPr>
    </w:lvl>
    <w:lvl w:ilvl="6">
      <w:start w:val="0"/>
      <w:numFmt w:val="bullet"/>
      <w:lvlText w:val="•"/>
      <w:lvlJc w:val="left"/>
      <w:pPr>
        <w:ind w:left="4652" w:hanging="159"/>
      </w:pPr>
      <w:rPr>
        <w:rFonts w:hint="default"/>
      </w:rPr>
    </w:lvl>
    <w:lvl w:ilvl="7">
      <w:start w:val="0"/>
      <w:numFmt w:val="bullet"/>
      <w:lvlText w:val="•"/>
      <w:lvlJc w:val="left"/>
      <w:pPr>
        <w:ind w:left="5384" w:hanging="159"/>
      </w:pPr>
      <w:rPr>
        <w:rFonts w:hint="default"/>
      </w:rPr>
    </w:lvl>
    <w:lvl w:ilvl="8">
      <w:start w:val="0"/>
      <w:numFmt w:val="bullet"/>
      <w:lvlText w:val="•"/>
      <w:lvlJc w:val="left"/>
      <w:pPr>
        <w:ind w:left="6116" w:hanging="159"/>
      </w:pPr>
      <w:rPr>
        <w:rFonts w:hint="default"/>
      </w:rPr>
    </w:lvl>
  </w:abstractNum>
  <w:abstractNum w:abstractNumId="10">
    <w:multiLevelType w:val="hybridMultilevel"/>
    <w:lvl w:ilvl="0">
      <w:start w:val="10"/>
      <w:numFmt w:val="decimal"/>
      <w:lvlText w:val="%1"/>
      <w:lvlJc w:val="left"/>
      <w:pPr>
        <w:ind w:left="890" w:hanging="526"/>
        <w:jc w:val="left"/>
      </w:pPr>
      <w:rPr>
        <w:rFonts w:hint="default"/>
      </w:rPr>
    </w:lvl>
    <w:lvl w:ilvl="1">
      <w:start w:val="1"/>
      <w:numFmt w:val="decimal"/>
      <w:lvlText w:val="%1.%2"/>
      <w:lvlJc w:val="left"/>
      <w:pPr>
        <w:ind w:left="928" w:hanging="526"/>
        <w:jc w:val="left"/>
      </w:pPr>
      <w:rPr>
        <w:rFonts w:hint="default" w:ascii="宋体" w:hAnsi="宋体" w:eastAsia="宋体" w:cs="宋体"/>
        <w:w w:val="100"/>
        <w:sz w:val="21"/>
        <w:szCs w:val="21"/>
      </w:rPr>
    </w:lvl>
    <w:lvl w:ilvl="2">
      <w:start w:val="0"/>
      <w:numFmt w:val="bullet"/>
      <w:lvlText w:val="•"/>
      <w:lvlJc w:val="left"/>
      <w:pPr>
        <w:ind w:left="1171" w:hanging="526"/>
      </w:pPr>
      <w:rPr>
        <w:rFonts w:hint="default"/>
      </w:rPr>
    </w:lvl>
    <w:lvl w:ilvl="3">
      <w:start w:val="0"/>
      <w:numFmt w:val="bullet"/>
      <w:lvlText w:val="•"/>
      <w:lvlJc w:val="left"/>
      <w:pPr>
        <w:ind w:left="1422" w:hanging="526"/>
      </w:pPr>
      <w:rPr>
        <w:rFonts w:hint="default"/>
      </w:rPr>
    </w:lvl>
    <w:lvl w:ilvl="4">
      <w:start w:val="0"/>
      <w:numFmt w:val="bullet"/>
      <w:lvlText w:val="•"/>
      <w:lvlJc w:val="left"/>
      <w:pPr>
        <w:ind w:left="1674" w:hanging="526"/>
      </w:pPr>
      <w:rPr>
        <w:rFonts w:hint="default"/>
      </w:rPr>
    </w:lvl>
    <w:lvl w:ilvl="5">
      <w:start w:val="0"/>
      <w:numFmt w:val="bullet"/>
      <w:lvlText w:val="•"/>
      <w:lvlJc w:val="left"/>
      <w:pPr>
        <w:ind w:left="1925" w:hanging="526"/>
      </w:pPr>
      <w:rPr>
        <w:rFonts w:hint="default"/>
      </w:rPr>
    </w:lvl>
    <w:lvl w:ilvl="6">
      <w:start w:val="0"/>
      <w:numFmt w:val="bullet"/>
      <w:lvlText w:val="•"/>
      <w:lvlJc w:val="left"/>
      <w:pPr>
        <w:ind w:left="2176" w:hanging="526"/>
      </w:pPr>
      <w:rPr>
        <w:rFonts w:hint="default"/>
      </w:rPr>
    </w:lvl>
    <w:lvl w:ilvl="7">
      <w:start w:val="0"/>
      <w:numFmt w:val="bullet"/>
      <w:lvlText w:val="•"/>
      <w:lvlJc w:val="left"/>
      <w:pPr>
        <w:ind w:left="2428" w:hanging="526"/>
      </w:pPr>
      <w:rPr>
        <w:rFonts w:hint="default"/>
      </w:rPr>
    </w:lvl>
    <w:lvl w:ilvl="8">
      <w:start w:val="0"/>
      <w:numFmt w:val="bullet"/>
      <w:lvlText w:val="•"/>
      <w:lvlJc w:val="left"/>
      <w:pPr>
        <w:ind w:left="2679" w:hanging="526"/>
      </w:pPr>
      <w:rPr>
        <w:rFonts w:hint="default"/>
      </w:rPr>
    </w:lvl>
  </w:abstractNum>
  <w:abstractNum w:abstractNumId="9">
    <w:multiLevelType w:val="hybridMultilevel"/>
    <w:lvl w:ilvl="0">
      <w:start w:val="9"/>
      <w:numFmt w:val="decimal"/>
      <w:lvlText w:val="%1"/>
      <w:lvlJc w:val="left"/>
      <w:pPr>
        <w:ind w:left="936"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8">
    <w:multiLevelType w:val="hybridMultilevel"/>
    <w:lvl w:ilvl="0">
      <w:start w:val="8"/>
      <w:numFmt w:val="decimal"/>
      <w:lvlText w:val="%1"/>
      <w:lvlJc w:val="left"/>
      <w:pPr>
        <w:ind w:left="933"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7">
    <w:multiLevelType w:val="hybridMultilevel"/>
    <w:lvl w:ilvl="0">
      <w:start w:val="6"/>
      <w:numFmt w:val="decimal"/>
      <w:lvlText w:val="%1."/>
      <w:lvlJc w:val="left"/>
      <w:pPr>
        <w:ind w:left="470" w:hanging="317"/>
        <w:jc w:val="left"/>
      </w:pPr>
      <w:rPr>
        <w:rFonts w:hint="default" w:ascii="宋体" w:hAnsi="宋体" w:eastAsia="宋体" w:cs="宋体"/>
        <w:b/>
        <w:bCs/>
        <w:w w:val="99"/>
        <w:sz w:val="21"/>
        <w:szCs w:val="21"/>
      </w:rPr>
    </w:lvl>
    <w:lvl w:ilvl="1">
      <w:start w:val="1"/>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177" w:hanging="423"/>
      </w:pPr>
      <w:rPr>
        <w:rFonts w:hint="default"/>
      </w:rPr>
    </w:lvl>
    <w:lvl w:ilvl="3">
      <w:start w:val="0"/>
      <w:numFmt w:val="bullet"/>
      <w:lvlText w:val="•"/>
      <w:lvlJc w:val="left"/>
      <w:pPr>
        <w:ind w:left="1414" w:hanging="423"/>
      </w:pPr>
      <w:rPr>
        <w:rFonts w:hint="default"/>
      </w:rPr>
    </w:lvl>
    <w:lvl w:ilvl="4">
      <w:start w:val="0"/>
      <w:numFmt w:val="bullet"/>
      <w:lvlText w:val="•"/>
      <w:lvlJc w:val="left"/>
      <w:pPr>
        <w:ind w:left="1652" w:hanging="423"/>
      </w:pPr>
      <w:rPr>
        <w:rFonts w:hint="default"/>
      </w:rPr>
    </w:lvl>
    <w:lvl w:ilvl="5">
      <w:start w:val="0"/>
      <w:numFmt w:val="bullet"/>
      <w:lvlText w:val="•"/>
      <w:lvlJc w:val="left"/>
      <w:pPr>
        <w:ind w:left="1889" w:hanging="423"/>
      </w:pPr>
      <w:rPr>
        <w:rFonts w:hint="default"/>
      </w:rPr>
    </w:lvl>
    <w:lvl w:ilvl="6">
      <w:start w:val="0"/>
      <w:numFmt w:val="bullet"/>
      <w:lvlText w:val="•"/>
      <w:lvlJc w:val="left"/>
      <w:pPr>
        <w:ind w:left="2127" w:hanging="423"/>
      </w:pPr>
      <w:rPr>
        <w:rFonts w:hint="default"/>
      </w:rPr>
    </w:lvl>
    <w:lvl w:ilvl="7">
      <w:start w:val="0"/>
      <w:numFmt w:val="bullet"/>
      <w:lvlText w:val="•"/>
      <w:lvlJc w:val="left"/>
      <w:pPr>
        <w:ind w:left="2364" w:hanging="423"/>
      </w:pPr>
      <w:rPr>
        <w:rFonts w:hint="default"/>
      </w:rPr>
    </w:lvl>
    <w:lvl w:ilvl="8">
      <w:start w:val="0"/>
      <w:numFmt w:val="bullet"/>
      <w:lvlText w:val="•"/>
      <w:lvlJc w:val="left"/>
      <w:pPr>
        <w:ind w:left="2602" w:hanging="423"/>
      </w:pPr>
      <w:rPr>
        <w:rFonts w:hint="default"/>
      </w:rPr>
    </w:lvl>
  </w:abstractNum>
  <w:abstractNum w:abstractNumId="6">
    <w:multiLevelType w:val="hybridMultilevel"/>
    <w:lvl w:ilvl="0">
      <w:start w:val="5"/>
      <w:numFmt w:val="decimal"/>
      <w:lvlText w:val="%1"/>
      <w:lvlJc w:val="left"/>
      <w:pPr>
        <w:ind w:left="936" w:hanging="423"/>
        <w:jc w:val="left"/>
      </w:pPr>
      <w:rPr>
        <w:rFonts w:hint="default"/>
      </w:rPr>
    </w:lvl>
    <w:lvl w:ilvl="1">
      <w:start w:val="1"/>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5">
    <w:multiLevelType w:val="hybridMultilevel"/>
    <w:lvl w:ilvl="0">
      <w:start w:val="4"/>
      <w:numFmt w:val="decimal"/>
      <w:lvlText w:val="%1"/>
      <w:lvlJc w:val="left"/>
      <w:pPr>
        <w:ind w:left="936" w:hanging="423"/>
        <w:jc w:val="left"/>
      </w:pPr>
      <w:rPr>
        <w:rFonts w:hint="default"/>
      </w:rPr>
    </w:lvl>
    <w:lvl w:ilvl="1">
      <w:start w:val="6"/>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4">
    <w:multiLevelType w:val="hybridMultilevel"/>
    <w:lvl w:ilvl="0">
      <w:start w:val="4"/>
      <w:numFmt w:val="decimal"/>
      <w:lvlText w:val="%1"/>
      <w:lvlJc w:val="left"/>
      <w:pPr>
        <w:ind w:left="934" w:hanging="423"/>
        <w:jc w:val="left"/>
      </w:pPr>
      <w:rPr>
        <w:rFonts w:hint="default"/>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373" w:hanging="423"/>
      </w:pPr>
      <w:rPr>
        <w:rFonts w:hint="default"/>
      </w:rPr>
    </w:lvl>
    <w:lvl w:ilvl="3">
      <w:start w:val="0"/>
      <w:numFmt w:val="bullet"/>
      <w:lvlText w:val="•"/>
      <w:lvlJc w:val="left"/>
      <w:pPr>
        <w:ind w:left="1590" w:hanging="423"/>
      </w:pPr>
      <w:rPr>
        <w:rFonts w:hint="default"/>
      </w:rPr>
    </w:lvl>
    <w:lvl w:ilvl="4">
      <w:start w:val="0"/>
      <w:numFmt w:val="bullet"/>
      <w:lvlText w:val="•"/>
      <w:lvlJc w:val="left"/>
      <w:pPr>
        <w:ind w:left="1807" w:hanging="423"/>
      </w:pPr>
      <w:rPr>
        <w:rFonts w:hint="default"/>
      </w:rPr>
    </w:lvl>
    <w:lvl w:ilvl="5">
      <w:start w:val="0"/>
      <w:numFmt w:val="bullet"/>
      <w:lvlText w:val="•"/>
      <w:lvlJc w:val="left"/>
      <w:pPr>
        <w:ind w:left="2024" w:hanging="423"/>
      </w:pPr>
      <w:rPr>
        <w:rFonts w:hint="default"/>
      </w:rPr>
    </w:lvl>
    <w:lvl w:ilvl="6">
      <w:start w:val="0"/>
      <w:numFmt w:val="bullet"/>
      <w:lvlText w:val="•"/>
      <w:lvlJc w:val="left"/>
      <w:pPr>
        <w:ind w:left="2241" w:hanging="423"/>
      </w:pPr>
      <w:rPr>
        <w:rFonts w:hint="default"/>
      </w:rPr>
    </w:lvl>
    <w:lvl w:ilvl="7">
      <w:start w:val="0"/>
      <w:numFmt w:val="bullet"/>
      <w:lvlText w:val="•"/>
      <w:lvlJc w:val="left"/>
      <w:pPr>
        <w:ind w:left="2458" w:hanging="423"/>
      </w:pPr>
      <w:rPr>
        <w:rFonts w:hint="default"/>
      </w:rPr>
    </w:lvl>
    <w:lvl w:ilvl="8">
      <w:start w:val="0"/>
      <w:numFmt w:val="bullet"/>
      <w:lvlText w:val="•"/>
      <w:lvlJc w:val="left"/>
      <w:pPr>
        <w:ind w:left="2675" w:hanging="423"/>
      </w:pPr>
      <w:rPr>
        <w:rFonts w:hint="default"/>
      </w:rPr>
    </w:lvl>
  </w:abstractNum>
  <w:abstractNum w:abstractNumId="3">
    <w:multiLevelType w:val="hybridMultilevel"/>
    <w:lvl w:ilvl="0">
      <w:start w:val="3"/>
      <w:numFmt w:val="decimal"/>
      <w:lvlText w:val="%1."/>
      <w:lvlJc w:val="left"/>
      <w:pPr>
        <w:ind w:left="469" w:hanging="317"/>
        <w:jc w:val="left"/>
      </w:pPr>
      <w:rPr>
        <w:rFonts w:hint="default" w:ascii="宋体" w:hAnsi="宋体" w:eastAsia="宋体" w:cs="宋体"/>
        <w:b/>
        <w:bCs/>
        <w:w w:val="99"/>
        <w:sz w:val="21"/>
        <w:szCs w:val="21"/>
      </w:rPr>
    </w:lvl>
    <w:lvl w:ilvl="1">
      <w:start w:val="1"/>
      <w:numFmt w:val="decimal"/>
      <w:lvlText w:val="%1.%2"/>
      <w:lvlJc w:val="left"/>
      <w:pPr>
        <w:ind w:left="152" w:hanging="423"/>
        <w:jc w:val="left"/>
      </w:pPr>
      <w:rPr>
        <w:rFonts w:hint="default" w:ascii="宋体" w:hAnsi="宋体" w:eastAsia="宋体" w:cs="宋体"/>
        <w:w w:val="100"/>
        <w:sz w:val="21"/>
        <w:szCs w:val="21"/>
      </w:rPr>
    </w:lvl>
    <w:lvl w:ilvl="2">
      <w:start w:val="0"/>
      <w:numFmt w:val="bullet"/>
      <w:lvlText w:val="•"/>
      <w:lvlJc w:val="left"/>
      <w:pPr>
        <w:ind w:left="754" w:hanging="423"/>
      </w:pPr>
      <w:rPr>
        <w:rFonts w:hint="default"/>
      </w:rPr>
    </w:lvl>
    <w:lvl w:ilvl="3">
      <w:start w:val="0"/>
      <w:numFmt w:val="bullet"/>
      <w:lvlText w:val="•"/>
      <w:lvlJc w:val="left"/>
      <w:pPr>
        <w:ind w:left="1048" w:hanging="423"/>
      </w:pPr>
      <w:rPr>
        <w:rFonts w:hint="default"/>
      </w:rPr>
    </w:lvl>
    <w:lvl w:ilvl="4">
      <w:start w:val="0"/>
      <w:numFmt w:val="bullet"/>
      <w:lvlText w:val="•"/>
      <w:lvlJc w:val="left"/>
      <w:pPr>
        <w:ind w:left="1343" w:hanging="423"/>
      </w:pPr>
      <w:rPr>
        <w:rFonts w:hint="default"/>
      </w:rPr>
    </w:lvl>
    <w:lvl w:ilvl="5">
      <w:start w:val="0"/>
      <w:numFmt w:val="bullet"/>
      <w:lvlText w:val="•"/>
      <w:lvlJc w:val="left"/>
      <w:pPr>
        <w:ind w:left="1637" w:hanging="423"/>
      </w:pPr>
      <w:rPr>
        <w:rFonts w:hint="default"/>
      </w:rPr>
    </w:lvl>
    <w:lvl w:ilvl="6">
      <w:start w:val="0"/>
      <w:numFmt w:val="bullet"/>
      <w:lvlText w:val="•"/>
      <w:lvlJc w:val="left"/>
      <w:pPr>
        <w:ind w:left="1931" w:hanging="423"/>
      </w:pPr>
      <w:rPr>
        <w:rFonts w:hint="default"/>
      </w:rPr>
    </w:lvl>
    <w:lvl w:ilvl="7">
      <w:start w:val="0"/>
      <w:numFmt w:val="bullet"/>
      <w:lvlText w:val="•"/>
      <w:lvlJc w:val="left"/>
      <w:pPr>
        <w:ind w:left="2226" w:hanging="423"/>
      </w:pPr>
      <w:rPr>
        <w:rFonts w:hint="default"/>
      </w:rPr>
    </w:lvl>
    <w:lvl w:ilvl="8">
      <w:start w:val="0"/>
      <w:numFmt w:val="bullet"/>
      <w:lvlText w:val="•"/>
      <w:lvlJc w:val="left"/>
      <w:pPr>
        <w:ind w:left="2520" w:hanging="423"/>
      </w:pPr>
      <w:rPr>
        <w:rFonts w:hint="default"/>
      </w:rPr>
    </w:lvl>
  </w:abstractNum>
  <w:abstractNum w:abstractNumId="2">
    <w:multiLevelType w:val="hybridMultilevel"/>
    <w:lvl w:ilvl="0">
      <w:start w:val="2"/>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73" w:hanging="423"/>
      </w:pPr>
      <w:rPr>
        <w:rFonts w:hint="default"/>
      </w:rPr>
    </w:lvl>
    <w:lvl w:ilvl="3">
      <w:start w:val="0"/>
      <w:numFmt w:val="bullet"/>
      <w:lvlText w:val="•"/>
      <w:lvlJc w:val="left"/>
      <w:pPr>
        <w:ind w:left="1590" w:hanging="423"/>
      </w:pPr>
      <w:rPr>
        <w:rFonts w:hint="default"/>
      </w:rPr>
    </w:lvl>
    <w:lvl w:ilvl="4">
      <w:start w:val="0"/>
      <w:numFmt w:val="bullet"/>
      <w:lvlText w:val="•"/>
      <w:lvlJc w:val="left"/>
      <w:pPr>
        <w:ind w:left="1807" w:hanging="423"/>
      </w:pPr>
      <w:rPr>
        <w:rFonts w:hint="default"/>
      </w:rPr>
    </w:lvl>
    <w:lvl w:ilvl="5">
      <w:start w:val="0"/>
      <w:numFmt w:val="bullet"/>
      <w:lvlText w:val="•"/>
      <w:lvlJc w:val="left"/>
      <w:pPr>
        <w:ind w:left="2024" w:hanging="423"/>
      </w:pPr>
      <w:rPr>
        <w:rFonts w:hint="default"/>
      </w:rPr>
    </w:lvl>
    <w:lvl w:ilvl="6">
      <w:start w:val="0"/>
      <w:numFmt w:val="bullet"/>
      <w:lvlText w:val="•"/>
      <w:lvlJc w:val="left"/>
      <w:pPr>
        <w:ind w:left="2241" w:hanging="423"/>
      </w:pPr>
      <w:rPr>
        <w:rFonts w:hint="default"/>
      </w:rPr>
    </w:lvl>
    <w:lvl w:ilvl="7">
      <w:start w:val="0"/>
      <w:numFmt w:val="bullet"/>
      <w:lvlText w:val="•"/>
      <w:lvlJc w:val="left"/>
      <w:pPr>
        <w:ind w:left="2458" w:hanging="423"/>
      </w:pPr>
      <w:rPr>
        <w:rFonts w:hint="default"/>
      </w:rPr>
    </w:lvl>
    <w:lvl w:ilvl="8">
      <w:start w:val="0"/>
      <w:numFmt w:val="bullet"/>
      <w:lvlText w:val="•"/>
      <w:lvlJc w:val="left"/>
      <w:pPr>
        <w:ind w:left="2675" w:hanging="423"/>
      </w:pPr>
      <w:rPr>
        <w:rFonts w:hint="default"/>
      </w:rPr>
    </w:lvl>
  </w:abstractNum>
  <w:abstractNum w:abstractNumId="1">
    <w:multiLevelType w:val="hybridMultilevel"/>
    <w:lvl w:ilvl="0">
      <w:start w:val="1"/>
      <w:numFmt w:val="decimal"/>
      <w:lvlText w:val="%1"/>
      <w:lvlJc w:val="left"/>
      <w:pPr>
        <w:ind w:left="918" w:hanging="406"/>
        <w:jc w:val="left"/>
      </w:pPr>
      <w:rPr>
        <w:rFonts w:hint="default"/>
      </w:rPr>
    </w:lvl>
    <w:lvl w:ilvl="1">
      <w:start w:val="1"/>
      <w:numFmt w:val="decimal"/>
      <w:lvlText w:val="%1.%2"/>
      <w:lvlJc w:val="left"/>
      <w:pPr>
        <w:ind w:left="918" w:hanging="406"/>
        <w:jc w:val="left"/>
      </w:pPr>
      <w:rPr>
        <w:rFonts w:hint="default" w:ascii="宋体" w:hAnsi="宋体" w:eastAsia="宋体" w:cs="宋体"/>
        <w:w w:val="100"/>
        <w:sz w:val="21"/>
        <w:szCs w:val="21"/>
      </w:rPr>
    </w:lvl>
    <w:lvl w:ilvl="2">
      <w:start w:val="0"/>
      <w:numFmt w:val="bullet"/>
      <w:lvlText w:val="•"/>
      <w:lvlJc w:val="left"/>
      <w:pPr>
        <w:ind w:left="1357" w:hanging="406"/>
      </w:pPr>
      <w:rPr>
        <w:rFonts w:hint="default"/>
      </w:rPr>
    </w:lvl>
    <w:lvl w:ilvl="3">
      <w:start w:val="0"/>
      <w:numFmt w:val="bullet"/>
      <w:lvlText w:val="•"/>
      <w:lvlJc w:val="left"/>
      <w:pPr>
        <w:ind w:left="1576" w:hanging="406"/>
      </w:pPr>
      <w:rPr>
        <w:rFonts w:hint="default"/>
      </w:rPr>
    </w:lvl>
    <w:lvl w:ilvl="4">
      <w:start w:val="0"/>
      <w:numFmt w:val="bullet"/>
      <w:lvlText w:val="•"/>
      <w:lvlJc w:val="left"/>
      <w:pPr>
        <w:ind w:left="1795" w:hanging="406"/>
      </w:pPr>
      <w:rPr>
        <w:rFonts w:hint="default"/>
      </w:rPr>
    </w:lvl>
    <w:lvl w:ilvl="5">
      <w:start w:val="0"/>
      <w:numFmt w:val="bullet"/>
      <w:lvlText w:val="•"/>
      <w:lvlJc w:val="left"/>
      <w:pPr>
        <w:ind w:left="2014" w:hanging="406"/>
      </w:pPr>
      <w:rPr>
        <w:rFonts w:hint="default"/>
      </w:rPr>
    </w:lvl>
    <w:lvl w:ilvl="6">
      <w:start w:val="0"/>
      <w:numFmt w:val="bullet"/>
      <w:lvlText w:val="•"/>
      <w:lvlJc w:val="left"/>
      <w:pPr>
        <w:ind w:left="2233" w:hanging="406"/>
      </w:pPr>
      <w:rPr>
        <w:rFonts w:hint="default"/>
      </w:rPr>
    </w:lvl>
    <w:lvl w:ilvl="7">
      <w:start w:val="0"/>
      <w:numFmt w:val="bullet"/>
      <w:lvlText w:val="•"/>
      <w:lvlJc w:val="left"/>
      <w:pPr>
        <w:ind w:left="2452" w:hanging="406"/>
      </w:pPr>
      <w:rPr>
        <w:rFonts w:hint="default"/>
      </w:rPr>
    </w:lvl>
    <w:lvl w:ilvl="8">
      <w:start w:val="0"/>
      <w:numFmt w:val="bullet"/>
      <w:lvlText w:val="•"/>
      <w:lvlJc w:val="left"/>
      <w:pPr>
        <w:ind w:left="2671"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2" w:hanging="413"/>
      </w:pPr>
      <w:rPr>
        <w:rFonts w:hint="default"/>
      </w:rPr>
    </w:lvl>
    <w:lvl w:ilvl="2">
      <w:start w:val="0"/>
      <w:numFmt w:val="bullet"/>
      <w:lvlText w:val="•"/>
      <w:lvlJc w:val="left"/>
      <w:pPr>
        <w:ind w:left="2765" w:hanging="413"/>
      </w:pPr>
      <w:rPr>
        <w:rFonts w:hint="default"/>
      </w:rPr>
    </w:lvl>
    <w:lvl w:ilvl="3">
      <w:start w:val="0"/>
      <w:numFmt w:val="bullet"/>
      <w:lvlText w:val="•"/>
      <w:lvlJc w:val="left"/>
      <w:pPr>
        <w:ind w:left="3657" w:hanging="413"/>
      </w:pPr>
      <w:rPr>
        <w:rFonts w:hint="default"/>
      </w:rPr>
    </w:lvl>
    <w:lvl w:ilvl="4">
      <w:start w:val="0"/>
      <w:numFmt w:val="bullet"/>
      <w:lvlText w:val="•"/>
      <w:lvlJc w:val="left"/>
      <w:pPr>
        <w:ind w:left="4550"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335" w:hanging="413"/>
      </w:pPr>
      <w:rPr>
        <w:rFonts w:hint="default"/>
      </w:rPr>
    </w:lvl>
    <w:lvl w:ilvl="7">
      <w:start w:val="0"/>
      <w:numFmt w:val="bullet"/>
      <w:lvlText w:val="•"/>
      <w:lvlJc w:val="left"/>
      <w:pPr>
        <w:ind w:left="7228" w:hanging="413"/>
      </w:pPr>
      <w:rPr>
        <w:rFonts w:hint="default"/>
      </w:rPr>
    </w:lvl>
    <w:lvl w:ilvl="8">
      <w:start w:val="0"/>
      <w:numFmt w:val="bullet"/>
      <w:lvlText w:val="•"/>
      <w:lvlJc w:val="left"/>
      <w:pPr>
        <w:ind w:left="8121" w:hanging="41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1"/>
      <w:ind w:left="973" w:hanging="413"/>
    </w:pPr>
    <w:rPr>
      <w:rFonts w:ascii="宋体" w:hAnsi="宋体" w:eastAsia="宋体" w:cs="宋体"/>
    </w:rPr>
  </w:style>
  <w:style w:styleId="TableParagraph" w:type="paragraph">
    <w:name w:val="Table Paragraph"/>
    <w:basedOn w:val="Normal"/>
    <w:uiPriority w:val="1"/>
    <w:qFormat/>
    <w:pPr>
      <w:spacing w:before="76"/>
      <w:ind w:left="19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2018-10-20T04:42:25Z</dcterms:created>
  <dcterms:modified xsi:type="dcterms:W3CDTF">2018-10-20T04:42:25Z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Word 2010</vt:lpwstr>
  </property>
  <property fmtid="{D5CDD505-2E9C-101B-9397-08002B2CF9AE}" pid="4" name="LastSaved">
    <vt:filetime>2018-10-19T00:00:00Z</vt:filetime>
  </property>
</Properties>
</file>