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line="260" w:lineRule="exact" w:before="38"/>
        <w:ind w:left="5825" w:right="0" w:firstLine="0"/>
        <w:jc w:val="left"/>
        <w:rPr>
          <w:sz w:val="20"/>
        </w:rPr>
      </w:pPr>
      <w:r>
        <w:rPr/>
        <w:drawing>
          <wp:anchor distT="0" distB="0" distL="0" distR="0" allowOverlap="1" layoutInCell="1" locked="0" behindDoc="0" simplePos="0" relativeHeight="1048">
            <wp:simplePos x="0" y="0"/>
            <wp:positionH relativeFrom="page">
              <wp:posOffset>6187440</wp:posOffset>
            </wp:positionH>
            <wp:positionV relativeFrom="paragraph">
              <wp:posOffset>-552072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信泰保险[2017]疾病保险 045 号</w:t>
      </w:r>
    </w:p>
    <w:p>
      <w:pPr>
        <w:spacing w:line="260" w:lineRule="exact" w:before="0"/>
        <w:ind w:left="0" w:right="100" w:firstLine="0"/>
        <w:jc w:val="right"/>
        <w:rPr>
          <w:sz w:val="20"/>
        </w:rPr>
      </w:pPr>
      <w:r>
        <w:rPr/>
        <w:pict>
          <v:line style="position:absolute;mso-position-horizontal-relative:page;mso-position-vertical-relative:paragraph;z-index:0;mso-wrap-distance-left:0;mso-wrap-distance-right:0" from="51.049999pt,15.796722pt" to="544.249999pt,15.796722pt" stroked="true" strokeweight=".719971pt" strokecolor="#000000">
            <v:stroke dashstyle="solid"/>
            <w10:wrap type="topAndBottom"/>
          </v:line>
        </w:pict>
      </w:r>
      <w:r>
        <w:rPr>
          <w:w w:val="95"/>
          <w:sz w:val="20"/>
        </w:rPr>
        <w:t>请扫描以查询验证条款</w:t>
      </w:r>
    </w:p>
    <w:p>
      <w:pPr>
        <w:pStyle w:val="Heading1"/>
        <w:spacing w:line="381" w:lineRule="auto" w:before="40"/>
        <w:ind w:left="2724" w:right="2622"/>
        <w:jc w:val="center"/>
      </w:pPr>
      <w:r>
        <w:rPr>
          <w:spacing w:val="-12"/>
        </w:rPr>
        <w:t>信泰莫非尔丽 </w:t>
      </w:r>
      <w:r>
        <w:rPr/>
        <w:t>E</w:t>
      </w:r>
      <w:r>
        <w:rPr>
          <w:spacing w:val="-10"/>
        </w:rPr>
        <w:t> 款重大疾病保险条款</w:t>
      </w:r>
      <w:r>
        <w:rPr>
          <w:spacing w:val="-10"/>
          <w:w w:val="95"/>
        </w:rPr>
        <w:t>阅读指引</w:t>
      </w:r>
    </w:p>
    <w:p>
      <w:pPr>
        <w:pStyle w:val="Heading2"/>
        <w:spacing w:line="263" w:lineRule="exact"/>
        <w:ind w:left="2724" w:right="2617"/>
        <w:jc w:val="center"/>
      </w:pPr>
      <w:r>
        <w:rPr>
          <w:w w:val="95"/>
        </w:rPr>
        <w:t>（可通过互联网渠道销售）</w:t>
      </w:r>
    </w:p>
    <w:p>
      <w:pPr>
        <w:pStyle w:val="BodyText"/>
        <w:spacing w:line="268" w:lineRule="auto" w:before="21"/>
        <w:ind w:left="1210" w:right="2136" w:firstLine="1087"/>
        <w:rPr>
          <w:b/>
        </w:rPr>
      </w:pPr>
      <w:r>
        <w:rPr/>
        <w:pict>
          <v:shapetype id="_x0000_t202" o:spt="202" coordsize="21600,21600" path="m,l,21600r21600,l21600,xe">
            <v:stroke joinstyle="miter"/>
            <v:path gradientshapeok="t" o:connecttype="rect"/>
          </v:shapetype>
          <v:shape style="position:absolute;margin-left:51pt;margin-top:16.786699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r>
        <w:rPr>
          <w:b/>
          <w:w w:val="95"/>
        </w:rPr>
        <w:t>您拥有的重要权益</w:t>
      </w:r>
    </w:p>
    <w:p>
      <w:pPr>
        <w:pStyle w:val="ListParagraph"/>
        <w:numPr>
          <w:ilvl w:val="0"/>
          <w:numId w:val="1"/>
        </w:numPr>
        <w:tabs>
          <w:tab w:pos="1591" w:val="left" w:leader="none"/>
          <w:tab w:pos="1592" w:val="left" w:leader="none"/>
          <w:tab w:pos="9571" w:val="left" w:leader="dot"/>
        </w:tabs>
        <w:spacing w:line="240" w:lineRule="auto" w:before="0" w:after="0"/>
        <w:ind w:left="1592" w:right="0" w:hanging="420"/>
        <w:jc w:val="left"/>
        <w:rPr>
          <w:sz w:val="21"/>
        </w:rPr>
      </w:pPr>
      <w:r>
        <w:rPr>
          <w:sz w:val="21"/>
        </w:rPr>
        <w:t>本合同为被保险人提供的保障在保险责任条款中列明</w:t>
        <w:tab/>
        <w:t>2.3</w:t>
      </w:r>
    </w:p>
    <w:p>
      <w:pPr>
        <w:pStyle w:val="ListParagraph"/>
        <w:numPr>
          <w:ilvl w:val="0"/>
          <w:numId w:val="1"/>
        </w:numPr>
        <w:tabs>
          <w:tab w:pos="1591" w:val="left" w:leader="none"/>
          <w:tab w:pos="1592" w:val="left" w:leader="none"/>
          <w:tab w:pos="9571" w:val="left" w:leader="dot"/>
        </w:tabs>
        <w:spacing w:line="240" w:lineRule="auto" w:before="10" w:after="0"/>
        <w:ind w:left="1592" w:right="0" w:hanging="420"/>
        <w:jc w:val="left"/>
        <w:rPr>
          <w:rFonts w:ascii="仿宋" w:eastAsia="仿宋" w:hint="eastAsia"/>
          <w:sz w:val="21"/>
        </w:rPr>
      </w:pPr>
      <w:r>
        <w:rPr/>
        <w:pict>
          <v:shape style="position:absolute;margin-left:51pt;margin-top:11.796697pt;width:24.55pt;height:27.5pt;mso-position-horizontal-relative:page;mso-position-vertical-relative:paragraph;z-index:112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您有解除本合同的权利</w:t>
        <w:tab/>
      </w:r>
      <w:r>
        <w:rPr>
          <w:rFonts w:ascii="仿宋" w:eastAsia="仿宋" w:hint="eastAsia"/>
          <w:sz w:val="21"/>
        </w:rPr>
        <w:t>6</w:t>
      </w:r>
    </w:p>
    <w:p>
      <w:pPr>
        <w:pStyle w:val="Heading3"/>
        <w:spacing w:before="10"/>
        <w:ind w:left="1210"/>
      </w:pPr>
      <w:r>
        <w:rPr>
          <w:w w:val="95"/>
        </w:rPr>
        <w:t>您需要特别注意的事项</w:t>
      </w:r>
    </w:p>
    <w:p>
      <w:pPr>
        <w:pStyle w:val="Heading3"/>
        <w:numPr>
          <w:ilvl w:val="0"/>
          <w:numId w:val="1"/>
        </w:numPr>
        <w:tabs>
          <w:tab w:pos="1591" w:val="left" w:leader="none"/>
          <w:tab w:pos="1592" w:val="left" w:leader="none"/>
          <w:tab w:pos="9581" w:val="left" w:leader="dot"/>
        </w:tabs>
        <w:spacing w:line="240" w:lineRule="auto" w:before="25" w:after="0"/>
        <w:ind w:left="1592" w:right="0" w:hanging="420"/>
        <w:jc w:val="left"/>
        <w:rPr>
          <w:b w:val="0"/>
        </w:rPr>
      </w:pPr>
      <w:r>
        <w:rPr/>
        <w:t>本合同的保险期间为一年</w:t>
        <w:tab/>
      </w:r>
      <w:r>
        <w:rPr>
          <w:b w:val="0"/>
        </w:rPr>
        <w:t>1.4</w:t>
      </w:r>
    </w:p>
    <w:p>
      <w:pPr>
        <w:pStyle w:val="Heading3"/>
        <w:numPr>
          <w:ilvl w:val="0"/>
          <w:numId w:val="1"/>
        </w:numPr>
        <w:tabs>
          <w:tab w:pos="1591" w:val="left" w:leader="none"/>
          <w:tab w:pos="1592" w:val="left" w:leader="none"/>
          <w:tab w:pos="9576" w:val="left" w:leader="dot"/>
        </w:tabs>
        <w:spacing w:line="249" w:lineRule="auto" w:before="10" w:after="0"/>
        <w:ind w:left="1592" w:right="140" w:hanging="420"/>
        <w:jc w:val="left"/>
        <w:rPr>
          <w:b w:val="0"/>
        </w:rPr>
      </w:pPr>
      <w:r>
        <w:rPr>
          <w:w w:val="95"/>
        </w:rPr>
        <w:t>发生责任免除情形之一导致被保险人初次确诊本合同所列的重大疾病，我们不承担给付保险   </w:t>
      </w:r>
      <w:r>
        <w:rPr/>
        <w:t>金的责任</w:t>
        <w:tab/>
      </w:r>
      <w:r>
        <w:rPr>
          <w:b w:val="0"/>
        </w:rPr>
        <w:t>2.4</w:t>
      </w:r>
    </w:p>
    <w:p>
      <w:pPr>
        <w:pStyle w:val="ListParagraph"/>
        <w:numPr>
          <w:ilvl w:val="0"/>
          <w:numId w:val="1"/>
        </w:numPr>
        <w:tabs>
          <w:tab w:pos="1565" w:val="left" w:leader="none"/>
          <w:tab w:pos="1566" w:val="left" w:leader="none"/>
          <w:tab w:pos="9545" w:val="left" w:leader="dot"/>
        </w:tabs>
        <w:spacing w:line="240" w:lineRule="auto" w:before="16" w:after="0"/>
        <w:ind w:left="1565" w:right="0" w:hanging="393"/>
        <w:jc w:val="left"/>
        <w:rPr>
          <w:sz w:val="21"/>
        </w:rPr>
      </w:pPr>
      <w:r>
        <w:rPr>
          <w:sz w:val="21"/>
        </w:rPr>
        <w:t>您应当按约支付保险费</w:t>
        <w:tab/>
        <w:t>3</w:t>
      </w:r>
    </w:p>
    <w:p>
      <w:pPr>
        <w:pStyle w:val="ListParagraph"/>
        <w:numPr>
          <w:ilvl w:val="0"/>
          <w:numId w:val="1"/>
        </w:numPr>
        <w:tabs>
          <w:tab w:pos="1591" w:val="left" w:leader="none"/>
          <w:tab w:pos="1592" w:val="left" w:leader="none"/>
          <w:tab w:pos="9579" w:val="left" w:leader="dot"/>
        </w:tabs>
        <w:spacing w:line="240" w:lineRule="auto" w:before="9" w:after="0"/>
        <w:ind w:left="1592" w:right="0" w:hanging="420"/>
        <w:jc w:val="left"/>
        <w:rPr>
          <w:sz w:val="21"/>
        </w:rPr>
      </w:pPr>
      <w:r>
        <w:rPr>
          <w:rFonts w:ascii="黑体" w:eastAsia="黑体" w:hint="eastAsia"/>
          <w:b/>
          <w:sz w:val="21"/>
        </w:rPr>
        <w:t>您有如实告知的义务</w:t>
        <w:tab/>
      </w:r>
      <w:r>
        <w:rPr>
          <w:rFonts w:ascii="仿宋" w:eastAsia="仿宋" w:hint="eastAsia"/>
          <w:sz w:val="21"/>
        </w:rPr>
        <w:t>4</w:t>
      </w:r>
      <w:r>
        <w:rPr>
          <w:sz w:val="21"/>
        </w:rPr>
        <w:t>.2</w:t>
      </w:r>
    </w:p>
    <w:p>
      <w:pPr>
        <w:pStyle w:val="ListParagraph"/>
        <w:numPr>
          <w:ilvl w:val="0"/>
          <w:numId w:val="1"/>
        </w:numPr>
        <w:tabs>
          <w:tab w:pos="1591" w:val="left" w:leader="none"/>
          <w:tab w:pos="1592" w:val="left" w:leader="none"/>
          <w:tab w:pos="9571" w:val="left" w:leader="dot"/>
        </w:tabs>
        <w:spacing w:line="240" w:lineRule="auto" w:before="9" w:after="0"/>
        <w:ind w:left="1592" w:right="0" w:hanging="420"/>
        <w:jc w:val="left"/>
        <w:rPr>
          <w:sz w:val="21"/>
        </w:rPr>
      </w:pPr>
      <w:r>
        <w:rPr>
          <w:sz w:val="21"/>
        </w:rPr>
        <w:t>保险事故发生后，请您及时通知我们</w:t>
        <w:tab/>
      </w:r>
      <w:r>
        <w:rPr>
          <w:rFonts w:ascii="仿宋" w:eastAsia="仿宋" w:hint="eastAsia"/>
          <w:sz w:val="21"/>
        </w:rPr>
        <w:t>5</w:t>
      </w:r>
      <w:r>
        <w:rPr>
          <w:sz w:val="21"/>
        </w:rPr>
        <w:t>.2</w:t>
      </w:r>
    </w:p>
    <w:p>
      <w:pPr>
        <w:pStyle w:val="Heading3"/>
        <w:numPr>
          <w:ilvl w:val="0"/>
          <w:numId w:val="1"/>
        </w:numPr>
        <w:tabs>
          <w:tab w:pos="1591" w:val="left" w:leader="none"/>
          <w:tab w:pos="1592" w:val="left" w:leader="none"/>
          <w:tab w:pos="9588" w:val="left" w:leader="dot"/>
        </w:tabs>
        <w:spacing w:line="240" w:lineRule="auto" w:before="9" w:after="0"/>
        <w:ind w:left="1592" w:right="0" w:hanging="420"/>
        <w:jc w:val="left"/>
        <w:rPr>
          <w:rFonts w:ascii="仿宋" w:eastAsia="仿宋" w:hint="eastAsia"/>
          <w:b w:val="0"/>
        </w:rPr>
      </w:pPr>
      <w:r>
        <w:rPr>
          <w:rFonts w:ascii="黑体" w:eastAsia="黑体" w:hint="eastAsia"/>
        </w:rPr>
        <w:t>解除合同会给您造成一定的损失，请您慎重抉择</w:t>
        <w:tab/>
      </w:r>
      <w:r>
        <w:rPr>
          <w:rFonts w:ascii="仿宋" w:eastAsia="仿宋" w:hint="eastAsia"/>
          <w:b w:val="0"/>
        </w:rPr>
        <w:t>6</w:t>
      </w:r>
    </w:p>
    <w:p>
      <w:pPr>
        <w:pStyle w:val="Heading3"/>
        <w:numPr>
          <w:ilvl w:val="0"/>
          <w:numId w:val="1"/>
        </w:numPr>
        <w:tabs>
          <w:tab w:pos="1591" w:val="left" w:leader="none"/>
          <w:tab w:pos="1592" w:val="left" w:leader="none"/>
          <w:tab w:pos="9576" w:val="left" w:leader="dot"/>
        </w:tabs>
        <w:spacing w:line="240" w:lineRule="auto" w:before="9" w:after="0"/>
        <w:ind w:left="1592" w:right="0" w:hanging="420"/>
        <w:jc w:val="left"/>
        <w:rPr>
          <w:rFonts w:ascii="仿宋" w:eastAsia="仿宋" w:hint="eastAsia"/>
          <w:b w:val="0"/>
        </w:rPr>
      </w:pPr>
      <w:r>
        <w:rPr>
          <w:rFonts w:ascii="黑体" w:eastAsia="黑体" w:hint="eastAsia"/>
        </w:rPr>
        <w:t>本合同疾病定义</w:t>
        <w:tab/>
      </w:r>
      <w:r>
        <w:rPr>
          <w:rFonts w:ascii="仿宋" w:eastAsia="仿宋" w:hint="eastAsia"/>
          <w:b w:val="0"/>
        </w:rPr>
        <w:t>8</w:t>
      </w:r>
    </w:p>
    <w:p>
      <w:pPr>
        <w:pStyle w:val="ListParagraph"/>
        <w:numPr>
          <w:ilvl w:val="0"/>
          <w:numId w:val="1"/>
        </w:numPr>
        <w:tabs>
          <w:tab w:pos="1591" w:val="left" w:leader="none"/>
          <w:tab w:pos="1592" w:val="left" w:leader="none"/>
          <w:tab w:pos="9571" w:val="left" w:leader="dot"/>
        </w:tabs>
        <w:spacing w:line="234" w:lineRule="exact" w:before="9" w:after="0"/>
        <w:ind w:left="1592" w:right="0" w:hanging="420"/>
        <w:jc w:val="left"/>
        <w:rPr>
          <w:rFonts w:ascii="仿宋" w:eastAsia="仿宋" w:hint="eastAsia"/>
          <w:sz w:val="21"/>
        </w:rPr>
      </w:pPr>
      <w:r>
        <w:rPr>
          <w:sz w:val="21"/>
        </w:rPr>
        <w:t>我们对条款中出现的一些重要术语进行了解释，请您注意</w:t>
        <w:tab/>
      </w:r>
      <w:r>
        <w:rPr>
          <w:rFonts w:ascii="仿宋" w:eastAsia="仿宋" w:hint="eastAsia"/>
          <w:sz w:val="21"/>
        </w:rPr>
        <w:t>9</w:t>
      </w:r>
    </w:p>
    <w:p>
      <w:pPr>
        <w:pStyle w:val="Heading3"/>
        <w:tabs>
          <w:tab w:pos="1210" w:val="left" w:leader="none"/>
        </w:tabs>
        <w:spacing w:line="393" w:lineRule="exact" w:before="0"/>
        <w:ind w:left="200"/>
      </w:pPr>
      <w:r>
        <w:rPr>
          <w:rFonts w:ascii="Arial" w:hAnsi="Arial" w:eastAsia="Arial"/>
          <w:w w:val="105"/>
          <w:position w:val="-11"/>
          <w:sz w:val="52"/>
        </w:rPr>
        <w:t></w:t>
        <w:tab/>
      </w:r>
      <w:r>
        <w:rPr>
          <w:w w:val="95"/>
        </w:rPr>
        <w:t>条款是保险合同的重要内容，为充分保障您的权益，请您仔细阅读本条款。</w:t>
      </w:r>
    </w:p>
    <w:p>
      <w:pPr>
        <w:tabs>
          <w:tab w:pos="1210" w:val="left" w:leader="none"/>
        </w:tabs>
        <w:spacing w:line="449" w:lineRule="exact" w:before="0"/>
        <w:ind w:left="200" w:right="0" w:firstLine="0"/>
        <w:jc w:val="left"/>
        <w:rPr>
          <w:b/>
          <w:sz w:val="21"/>
        </w:rPr>
      </w:pPr>
      <w:r>
        <w:rPr>
          <w:rFonts w:ascii="Arial" w:hAnsi="Arial" w:eastAsia="Arial"/>
          <w:b/>
          <w:w w:val="105"/>
          <w:position w:val="-11"/>
          <w:sz w:val="52"/>
        </w:rPr>
        <w:t></w:t>
        <w:tab/>
      </w:r>
      <w:r>
        <w:rPr>
          <w:b/>
          <w:w w:val="95"/>
          <w:sz w:val="21"/>
        </w:rPr>
        <w:t>条款目录</w:t>
      </w:r>
    </w:p>
    <w:p>
      <w:pPr>
        <w:spacing w:after="0" w:line="449" w:lineRule="exact"/>
        <w:jc w:val="left"/>
        <w:rPr>
          <w:sz w:val="21"/>
        </w:rPr>
        <w:sectPr>
          <w:type w:val="continuous"/>
          <w:pgSz w:w="11910" w:h="16840"/>
          <w:pgMar w:top="540" w:bottom="280" w:left="820" w:right="920"/>
        </w:sectPr>
      </w:pPr>
    </w:p>
    <w:p>
      <w:pPr>
        <w:pStyle w:val="BodyText"/>
        <w:rPr>
          <w:b/>
          <w:sz w:val="20"/>
        </w:rPr>
      </w:pPr>
    </w:p>
    <w:p>
      <w:pPr>
        <w:pStyle w:val="Heading3"/>
        <w:spacing w:line="257" w:lineRule="exact" w:before="157"/>
        <w:ind w:left="464"/>
      </w:pPr>
      <w:r>
        <w:rPr/>
        <w:drawing>
          <wp:anchor distT="0" distB="0" distL="0" distR="0" allowOverlap="1" layoutInCell="1" locked="0" behindDoc="1" simplePos="0" relativeHeight="268415111">
            <wp:simplePos x="0" y="0"/>
            <wp:positionH relativeFrom="page">
              <wp:posOffset>588962</wp:posOffset>
            </wp:positionH>
            <wp:positionV relativeFrom="paragraph">
              <wp:posOffset>-72908</wp:posOffset>
            </wp:positionV>
            <wp:extent cx="6265545" cy="390715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65545" cy="3907153"/>
                    </a:xfrm>
                    <a:prstGeom prst="rect">
                      <a:avLst/>
                    </a:prstGeom>
                  </pic:spPr>
                </pic:pic>
              </a:graphicData>
            </a:graphic>
          </wp:anchor>
        </w:drawing>
      </w:r>
      <w:r>
        <w:rPr>
          <w:w w:val="95"/>
        </w:rPr>
        <w:t>1．您与我们的合同</w:t>
      </w:r>
    </w:p>
    <w:p>
      <w:pPr>
        <w:pStyle w:val="ListParagraph"/>
        <w:numPr>
          <w:ilvl w:val="1"/>
          <w:numId w:val="2"/>
        </w:numPr>
        <w:tabs>
          <w:tab w:pos="1096" w:val="left" w:leader="none"/>
        </w:tabs>
        <w:spacing w:line="240" w:lineRule="exact" w:before="0" w:after="0"/>
        <w:ind w:left="1095" w:right="0" w:hanging="420"/>
        <w:jc w:val="left"/>
        <w:rPr>
          <w:sz w:val="21"/>
        </w:rPr>
      </w:pPr>
      <w:r>
        <w:rPr>
          <w:w w:val="95"/>
          <w:sz w:val="21"/>
        </w:rPr>
        <w:t>合同的构成</w:t>
      </w:r>
    </w:p>
    <w:p>
      <w:pPr>
        <w:pStyle w:val="ListParagraph"/>
        <w:numPr>
          <w:ilvl w:val="1"/>
          <w:numId w:val="2"/>
        </w:numPr>
        <w:tabs>
          <w:tab w:pos="1096" w:val="left" w:leader="none"/>
        </w:tabs>
        <w:spacing w:line="240" w:lineRule="exact" w:before="0" w:after="0"/>
        <w:ind w:left="1095" w:right="0" w:hanging="420"/>
        <w:jc w:val="left"/>
        <w:rPr>
          <w:sz w:val="21"/>
        </w:rPr>
      </w:pPr>
      <w:r>
        <w:rPr>
          <w:w w:val="95"/>
          <w:sz w:val="21"/>
        </w:rPr>
        <w:t>合同成立与生效</w:t>
      </w:r>
    </w:p>
    <w:p>
      <w:pPr>
        <w:pStyle w:val="ListParagraph"/>
        <w:numPr>
          <w:ilvl w:val="1"/>
          <w:numId w:val="2"/>
        </w:numPr>
        <w:tabs>
          <w:tab w:pos="1096" w:val="left" w:leader="none"/>
        </w:tabs>
        <w:spacing w:line="240" w:lineRule="exact" w:before="0" w:after="0"/>
        <w:ind w:left="1095" w:right="0" w:hanging="420"/>
        <w:jc w:val="left"/>
        <w:rPr>
          <w:sz w:val="21"/>
        </w:rPr>
      </w:pPr>
      <w:r>
        <w:rPr>
          <w:w w:val="95"/>
          <w:sz w:val="21"/>
        </w:rPr>
        <w:t>投保年龄</w:t>
      </w:r>
    </w:p>
    <w:p>
      <w:pPr>
        <w:pStyle w:val="ListParagraph"/>
        <w:numPr>
          <w:ilvl w:val="1"/>
          <w:numId w:val="2"/>
        </w:numPr>
        <w:tabs>
          <w:tab w:pos="1096" w:val="left" w:leader="none"/>
        </w:tabs>
        <w:spacing w:line="240" w:lineRule="exact" w:before="0" w:after="0"/>
        <w:ind w:left="1095" w:right="0" w:hanging="420"/>
        <w:jc w:val="left"/>
        <w:rPr>
          <w:sz w:val="21"/>
        </w:rPr>
      </w:pPr>
      <w:r>
        <w:rPr>
          <w:w w:val="95"/>
          <w:sz w:val="21"/>
        </w:rPr>
        <w:t>保险期间</w:t>
      </w:r>
    </w:p>
    <w:p>
      <w:pPr>
        <w:pStyle w:val="ListParagraph"/>
        <w:numPr>
          <w:ilvl w:val="1"/>
          <w:numId w:val="2"/>
        </w:numPr>
        <w:tabs>
          <w:tab w:pos="1096" w:val="left" w:leader="none"/>
        </w:tabs>
        <w:spacing w:line="240" w:lineRule="exact" w:before="0" w:after="0"/>
        <w:ind w:left="1095" w:right="0" w:hanging="420"/>
        <w:jc w:val="left"/>
        <w:rPr>
          <w:sz w:val="21"/>
        </w:rPr>
      </w:pPr>
      <w:r>
        <w:rPr>
          <w:spacing w:val="-1"/>
          <w:w w:val="95"/>
          <w:sz w:val="21"/>
        </w:rPr>
        <w:t>续保</w:t>
      </w:r>
    </w:p>
    <w:p>
      <w:pPr>
        <w:pStyle w:val="Heading3"/>
        <w:spacing w:line="240" w:lineRule="exact" w:before="0"/>
        <w:ind w:left="464"/>
      </w:pPr>
      <w:r>
        <w:rPr>
          <w:w w:val="95"/>
        </w:rPr>
        <w:t>2．我们提供的保障</w:t>
      </w:r>
    </w:p>
    <w:p>
      <w:pPr>
        <w:pStyle w:val="ListParagraph"/>
        <w:numPr>
          <w:ilvl w:val="1"/>
          <w:numId w:val="3"/>
        </w:numPr>
        <w:tabs>
          <w:tab w:pos="1096" w:val="left" w:leader="none"/>
        </w:tabs>
        <w:spacing w:line="240" w:lineRule="exact" w:before="0" w:after="0"/>
        <w:ind w:left="1095" w:right="0" w:hanging="420"/>
        <w:jc w:val="left"/>
        <w:rPr>
          <w:sz w:val="21"/>
        </w:rPr>
      </w:pPr>
      <w:r>
        <w:rPr>
          <w:w w:val="95"/>
          <w:sz w:val="21"/>
        </w:rPr>
        <w:t>保险金额</w:t>
      </w:r>
    </w:p>
    <w:p>
      <w:pPr>
        <w:pStyle w:val="ListParagraph"/>
        <w:numPr>
          <w:ilvl w:val="1"/>
          <w:numId w:val="3"/>
        </w:numPr>
        <w:tabs>
          <w:tab w:pos="1096" w:val="left" w:leader="none"/>
        </w:tabs>
        <w:spacing w:line="240" w:lineRule="exact" w:before="0" w:after="0"/>
        <w:ind w:left="1095" w:right="0" w:hanging="420"/>
        <w:jc w:val="left"/>
        <w:rPr>
          <w:sz w:val="21"/>
        </w:rPr>
      </w:pPr>
      <w:r>
        <w:rPr>
          <w:w w:val="95"/>
          <w:sz w:val="21"/>
        </w:rPr>
        <w:t>等待期</w:t>
      </w:r>
    </w:p>
    <w:p>
      <w:pPr>
        <w:pStyle w:val="ListParagraph"/>
        <w:numPr>
          <w:ilvl w:val="1"/>
          <w:numId w:val="3"/>
        </w:numPr>
        <w:tabs>
          <w:tab w:pos="1096" w:val="left" w:leader="none"/>
        </w:tabs>
        <w:spacing w:line="240" w:lineRule="exact" w:before="0" w:after="0"/>
        <w:ind w:left="1095" w:right="0" w:hanging="420"/>
        <w:jc w:val="left"/>
        <w:rPr>
          <w:sz w:val="21"/>
        </w:rPr>
      </w:pPr>
      <w:r>
        <w:rPr>
          <w:w w:val="95"/>
          <w:sz w:val="21"/>
        </w:rPr>
        <w:t>保险责任</w:t>
      </w:r>
    </w:p>
    <w:p>
      <w:pPr>
        <w:pStyle w:val="ListParagraph"/>
        <w:numPr>
          <w:ilvl w:val="1"/>
          <w:numId w:val="3"/>
        </w:numPr>
        <w:tabs>
          <w:tab w:pos="1096" w:val="left" w:leader="none"/>
        </w:tabs>
        <w:spacing w:line="240" w:lineRule="exact" w:before="0" w:after="0"/>
        <w:ind w:left="1095" w:right="0" w:hanging="420"/>
        <w:jc w:val="left"/>
        <w:rPr>
          <w:sz w:val="21"/>
        </w:rPr>
      </w:pPr>
      <w:r>
        <w:rPr>
          <w:w w:val="95"/>
          <w:sz w:val="21"/>
        </w:rPr>
        <w:t>责任免除</w:t>
      </w:r>
    </w:p>
    <w:p>
      <w:pPr>
        <w:spacing w:line="208" w:lineRule="auto" w:before="18"/>
        <w:ind w:left="675" w:right="420" w:hanging="212"/>
        <w:jc w:val="left"/>
        <w:rPr>
          <w:sz w:val="21"/>
        </w:rPr>
      </w:pPr>
      <w:r>
        <w:rPr>
          <w:b/>
          <w:w w:val="95"/>
          <w:sz w:val="21"/>
        </w:rPr>
        <w:t>3．如何支付保险费</w:t>
      </w:r>
      <w:r>
        <w:rPr>
          <w:w w:val="95"/>
          <w:sz w:val="21"/>
        </w:rPr>
        <w:t>保险费的支付</w:t>
      </w:r>
    </w:p>
    <w:p>
      <w:pPr>
        <w:pStyle w:val="Heading3"/>
        <w:numPr>
          <w:ilvl w:val="0"/>
          <w:numId w:val="4"/>
        </w:numPr>
        <w:tabs>
          <w:tab w:pos="781" w:val="left" w:leader="none"/>
        </w:tabs>
        <w:spacing w:line="223" w:lineRule="exact" w:before="0" w:after="0"/>
        <w:ind w:left="780" w:right="0" w:hanging="316"/>
        <w:jc w:val="left"/>
      </w:pPr>
      <w:r>
        <w:rPr>
          <w:w w:val="95"/>
        </w:rPr>
        <w:t>明确说明与如实告知</w:t>
      </w:r>
    </w:p>
    <w:p>
      <w:pPr>
        <w:pStyle w:val="ListParagraph"/>
        <w:numPr>
          <w:ilvl w:val="1"/>
          <w:numId w:val="4"/>
        </w:numPr>
        <w:tabs>
          <w:tab w:pos="1096" w:val="left" w:leader="none"/>
        </w:tabs>
        <w:spacing w:line="240" w:lineRule="exact" w:before="0" w:after="0"/>
        <w:ind w:left="1095" w:right="0" w:hanging="420"/>
        <w:jc w:val="left"/>
        <w:rPr>
          <w:sz w:val="21"/>
        </w:rPr>
      </w:pPr>
      <w:r>
        <w:rPr>
          <w:w w:val="95"/>
          <w:sz w:val="21"/>
        </w:rPr>
        <w:t>明确说明</w:t>
      </w:r>
    </w:p>
    <w:p>
      <w:pPr>
        <w:pStyle w:val="ListParagraph"/>
        <w:numPr>
          <w:ilvl w:val="1"/>
          <w:numId w:val="4"/>
        </w:numPr>
        <w:tabs>
          <w:tab w:pos="1096" w:val="left" w:leader="none"/>
        </w:tabs>
        <w:spacing w:line="257" w:lineRule="exact" w:before="0" w:after="0"/>
        <w:ind w:left="1095" w:right="0" w:hanging="420"/>
        <w:jc w:val="left"/>
        <w:rPr>
          <w:sz w:val="21"/>
        </w:rPr>
      </w:pPr>
      <w:r>
        <w:rPr>
          <w:w w:val="95"/>
          <w:sz w:val="21"/>
        </w:rPr>
        <w:t>如实告知</w:t>
      </w:r>
    </w:p>
    <w:p>
      <w:pPr>
        <w:pStyle w:val="BodyText"/>
        <w:rPr>
          <w:sz w:val="20"/>
        </w:rPr>
      </w:pPr>
      <w:r>
        <w:rPr/>
        <w:br w:type="column"/>
      </w:r>
      <w:r>
        <w:rPr>
          <w:sz w:val="20"/>
        </w:rPr>
      </w:r>
    </w:p>
    <w:p>
      <w:pPr>
        <w:pStyle w:val="ListParagraph"/>
        <w:numPr>
          <w:ilvl w:val="1"/>
          <w:numId w:val="5"/>
        </w:numPr>
        <w:tabs>
          <w:tab w:pos="1093" w:val="left" w:leader="none"/>
        </w:tabs>
        <w:spacing w:line="257" w:lineRule="exact" w:before="162" w:after="0"/>
        <w:ind w:left="1092" w:right="0" w:hanging="420"/>
        <w:jc w:val="left"/>
        <w:rPr>
          <w:sz w:val="21"/>
        </w:rPr>
      </w:pPr>
      <w:r>
        <w:rPr>
          <w:w w:val="95"/>
          <w:sz w:val="21"/>
        </w:rPr>
        <w:t>保险金申请</w:t>
      </w:r>
    </w:p>
    <w:p>
      <w:pPr>
        <w:pStyle w:val="ListParagraph"/>
        <w:numPr>
          <w:ilvl w:val="1"/>
          <w:numId w:val="5"/>
        </w:numPr>
        <w:tabs>
          <w:tab w:pos="1093" w:val="left" w:leader="none"/>
        </w:tabs>
        <w:spacing w:line="240" w:lineRule="exact" w:before="0" w:after="0"/>
        <w:ind w:left="1092" w:right="0" w:hanging="420"/>
        <w:jc w:val="left"/>
        <w:rPr>
          <w:sz w:val="21"/>
        </w:rPr>
      </w:pPr>
      <w:r>
        <w:rPr>
          <w:w w:val="95"/>
          <w:sz w:val="21"/>
        </w:rPr>
        <w:t>保险事故鉴定</w:t>
      </w:r>
    </w:p>
    <w:p>
      <w:pPr>
        <w:pStyle w:val="ListParagraph"/>
        <w:numPr>
          <w:ilvl w:val="1"/>
          <w:numId w:val="5"/>
        </w:numPr>
        <w:tabs>
          <w:tab w:pos="1093" w:val="left" w:leader="none"/>
        </w:tabs>
        <w:spacing w:line="240" w:lineRule="exact" w:before="0" w:after="0"/>
        <w:ind w:left="1092" w:right="0" w:hanging="420"/>
        <w:jc w:val="left"/>
        <w:rPr>
          <w:sz w:val="21"/>
        </w:rPr>
      </w:pPr>
      <w:r>
        <w:rPr>
          <w:w w:val="95"/>
          <w:sz w:val="21"/>
        </w:rPr>
        <w:t>保险金给付</w:t>
      </w:r>
    </w:p>
    <w:p>
      <w:pPr>
        <w:pStyle w:val="ListParagraph"/>
        <w:numPr>
          <w:ilvl w:val="1"/>
          <w:numId w:val="5"/>
        </w:numPr>
        <w:tabs>
          <w:tab w:pos="1093" w:val="left" w:leader="none"/>
        </w:tabs>
        <w:spacing w:line="240" w:lineRule="exact" w:before="0" w:after="0"/>
        <w:ind w:left="1092" w:right="0" w:hanging="420"/>
        <w:jc w:val="left"/>
        <w:rPr>
          <w:sz w:val="21"/>
        </w:rPr>
      </w:pPr>
      <w:r>
        <w:rPr>
          <w:w w:val="95"/>
          <w:sz w:val="21"/>
        </w:rPr>
        <w:t>诉讼时效</w:t>
      </w:r>
    </w:p>
    <w:p>
      <w:pPr>
        <w:spacing w:line="208" w:lineRule="auto" w:before="18"/>
        <w:ind w:left="672" w:right="0" w:hanging="209"/>
        <w:jc w:val="left"/>
        <w:rPr>
          <w:sz w:val="21"/>
        </w:rPr>
      </w:pPr>
      <w:r>
        <w:rPr>
          <w:b/>
          <w:w w:val="95"/>
          <w:sz w:val="21"/>
        </w:rPr>
        <w:t>6．您解除合同的手续及风险</w:t>
      </w:r>
      <w:r>
        <w:rPr>
          <w:w w:val="95"/>
          <w:sz w:val="21"/>
        </w:rPr>
        <w:t>您解除合同的手续及风险</w:t>
      </w:r>
    </w:p>
    <w:p>
      <w:pPr>
        <w:pStyle w:val="Heading3"/>
        <w:spacing w:line="223" w:lineRule="exact" w:before="0"/>
        <w:ind w:left="464"/>
      </w:pPr>
      <w:r>
        <w:rPr>
          <w:w w:val="95"/>
        </w:rPr>
        <w:t>7．其他需要注意的事项</w:t>
      </w:r>
    </w:p>
    <w:p>
      <w:pPr>
        <w:pStyle w:val="ListParagraph"/>
        <w:numPr>
          <w:ilvl w:val="1"/>
          <w:numId w:val="6"/>
        </w:numPr>
        <w:tabs>
          <w:tab w:pos="1093" w:val="left" w:leader="none"/>
        </w:tabs>
        <w:spacing w:line="240" w:lineRule="exact" w:before="0" w:after="0"/>
        <w:ind w:left="1092" w:right="0" w:hanging="420"/>
        <w:jc w:val="left"/>
        <w:rPr>
          <w:sz w:val="21"/>
        </w:rPr>
      </w:pPr>
      <w:r>
        <w:rPr>
          <w:w w:val="95"/>
          <w:sz w:val="21"/>
        </w:rPr>
        <w:t>年龄确定与错误处理</w:t>
      </w:r>
    </w:p>
    <w:p>
      <w:pPr>
        <w:pStyle w:val="ListParagraph"/>
        <w:numPr>
          <w:ilvl w:val="1"/>
          <w:numId w:val="6"/>
        </w:numPr>
        <w:tabs>
          <w:tab w:pos="1093" w:val="left" w:leader="none"/>
        </w:tabs>
        <w:spacing w:line="240" w:lineRule="exact" w:before="0" w:after="0"/>
        <w:ind w:left="1092" w:right="0" w:hanging="420"/>
        <w:jc w:val="left"/>
        <w:rPr>
          <w:sz w:val="21"/>
        </w:rPr>
      </w:pPr>
      <w:r>
        <w:rPr>
          <w:w w:val="95"/>
          <w:sz w:val="21"/>
        </w:rPr>
        <w:t>地址变更</w:t>
      </w:r>
    </w:p>
    <w:p>
      <w:pPr>
        <w:pStyle w:val="ListParagraph"/>
        <w:numPr>
          <w:ilvl w:val="1"/>
          <w:numId w:val="6"/>
        </w:numPr>
        <w:tabs>
          <w:tab w:pos="1093" w:val="left" w:leader="none"/>
        </w:tabs>
        <w:spacing w:line="240" w:lineRule="exact" w:before="0" w:after="0"/>
        <w:ind w:left="1092" w:right="0" w:hanging="420"/>
        <w:jc w:val="left"/>
        <w:rPr>
          <w:sz w:val="21"/>
        </w:rPr>
      </w:pPr>
      <w:r>
        <w:rPr>
          <w:w w:val="95"/>
          <w:sz w:val="21"/>
        </w:rPr>
        <w:t>合同内容的变更</w:t>
      </w:r>
    </w:p>
    <w:p>
      <w:pPr>
        <w:pStyle w:val="ListParagraph"/>
        <w:numPr>
          <w:ilvl w:val="1"/>
          <w:numId w:val="6"/>
        </w:numPr>
        <w:tabs>
          <w:tab w:pos="1093" w:val="left" w:leader="none"/>
        </w:tabs>
        <w:spacing w:line="240" w:lineRule="exact" w:before="0" w:after="0"/>
        <w:ind w:left="1092" w:right="0" w:hanging="420"/>
        <w:jc w:val="left"/>
        <w:rPr>
          <w:sz w:val="21"/>
        </w:rPr>
      </w:pPr>
      <w:r>
        <w:rPr>
          <w:w w:val="95"/>
          <w:sz w:val="21"/>
        </w:rPr>
        <w:t>争议处理</w:t>
      </w:r>
    </w:p>
    <w:p>
      <w:pPr>
        <w:spacing w:line="208" w:lineRule="auto" w:before="18"/>
        <w:ind w:left="672" w:right="1164" w:hanging="209"/>
        <w:jc w:val="left"/>
        <w:rPr>
          <w:sz w:val="21"/>
        </w:rPr>
      </w:pPr>
      <w:r>
        <w:rPr>
          <w:b/>
          <w:sz w:val="21"/>
        </w:rPr>
        <w:t>8．疾病定义  </w:t>
      </w:r>
      <w:r>
        <w:rPr>
          <w:w w:val="95"/>
          <w:sz w:val="21"/>
        </w:rPr>
        <w:t>重大疾病定义</w:t>
      </w:r>
    </w:p>
    <w:p>
      <w:pPr>
        <w:pStyle w:val="Heading3"/>
        <w:spacing w:line="223" w:lineRule="exact" w:before="0"/>
        <w:ind w:left="464"/>
      </w:pPr>
      <w:r>
        <w:rPr>
          <w:w w:val="95"/>
        </w:rPr>
        <w:t>9．释义</w:t>
      </w:r>
    </w:p>
    <w:p>
      <w:pPr>
        <w:pStyle w:val="ListParagraph"/>
        <w:numPr>
          <w:ilvl w:val="1"/>
          <w:numId w:val="7"/>
        </w:numPr>
        <w:tabs>
          <w:tab w:pos="1093" w:val="left" w:leader="none"/>
        </w:tabs>
        <w:spacing w:line="240" w:lineRule="exact" w:before="0" w:after="0"/>
        <w:ind w:left="1092" w:right="0" w:hanging="420"/>
        <w:jc w:val="left"/>
        <w:rPr>
          <w:sz w:val="21"/>
        </w:rPr>
      </w:pPr>
      <w:r>
        <w:rPr>
          <w:spacing w:val="-1"/>
          <w:w w:val="95"/>
          <w:sz w:val="21"/>
        </w:rPr>
        <w:t>周岁</w:t>
      </w:r>
    </w:p>
    <w:p>
      <w:pPr>
        <w:pStyle w:val="ListParagraph"/>
        <w:numPr>
          <w:ilvl w:val="1"/>
          <w:numId w:val="7"/>
        </w:numPr>
        <w:tabs>
          <w:tab w:pos="1093" w:val="left" w:leader="none"/>
        </w:tabs>
        <w:spacing w:line="257" w:lineRule="exact" w:before="0" w:after="0"/>
        <w:ind w:left="1092" w:right="0" w:hanging="420"/>
        <w:jc w:val="left"/>
        <w:rPr>
          <w:sz w:val="21"/>
        </w:rPr>
      </w:pPr>
      <w:r>
        <w:rPr>
          <w:w w:val="95"/>
          <w:sz w:val="21"/>
        </w:rPr>
        <w:t>专科医生</w:t>
      </w:r>
    </w:p>
    <w:p>
      <w:pPr>
        <w:pStyle w:val="BodyText"/>
        <w:rPr>
          <w:sz w:val="20"/>
        </w:rPr>
      </w:pPr>
      <w:r>
        <w:rPr/>
        <w:br w:type="column"/>
      </w:r>
      <w:r>
        <w:rPr>
          <w:sz w:val="20"/>
        </w:rPr>
      </w:r>
    </w:p>
    <w:p>
      <w:pPr>
        <w:pStyle w:val="ListParagraph"/>
        <w:numPr>
          <w:ilvl w:val="1"/>
          <w:numId w:val="8"/>
        </w:numPr>
        <w:tabs>
          <w:tab w:pos="884" w:val="left" w:leader="none"/>
        </w:tabs>
        <w:spacing w:line="257" w:lineRule="exact" w:before="140" w:after="0"/>
        <w:ind w:left="989" w:right="0" w:hanging="525"/>
        <w:jc w:val="left"/>
        <w:rPr>
          <w:sz w:val="21"/>
        </w:rPr>
      </w:pPr>
      <w:r>
        <w:rPr>
          <w:w w:val="95"/>
          <w:sz w:val="21"/>
        </w:rPr>
        <w:t>无合法有效驾驶证驾驶</w:t>
      </w:r>
    </w:p>
    <w:p>
      <w:pPr>
        <w:pStyle w:val="ListParagraph"/>
        <w:numPr>
          <w:ilvl w:val="1"/>
          <w:numId w:val="8"/>
        </w:numPr>
        <w:tabs>
          <w:tab w:pos="884" w:val="left" w:leader="none"/>
        </w:tabs>
        <w:spacing w:line="240" w:lineRule="exact" w:before="0" w:after="0"/>
        <w:ind w:left="989" w:right="0" w:hanging="525"/>
        <w:jc w:val="left"/>
        <w:rPr>
          <w:sz w:val="21"/>
        </w:rPr>
      </w:pPr>
      <w:r>
        <w:rPr>
          <w:w w:val="95"/>
          <w:sz w:val="21"/>
        </w:rPr>
        <w:t>无有效行驶证</w:t>
      </w:r>
    </w:p>
    <w:p>
      <w:pPr>
        <w:pStyle w:val="ListParagraph"/>
        <w:numPr>
          <w:ilvl w:val="1"/>
          <w:numId w:val="8"/>
        </w:numPr>
        <w:tabs>
          <w:tab w:pos="884" w:val="left" w:leader="none"/>
        </w:tabs>
        <w:spacing w:line="240" w:lineRule="exact" w:before="0" w:after="0"/>
        <w:ind w:left="989" w:right="0" w:hanging="525"/>
        <w:jc w:val="left"/>
        <w:rPr>
          <w:sz w:val="21"/>
        </w:rPr>
      </w:pPr>
      <w:r>
        <w:rPr>
          <w:w w:val="95"/>
          <w:sz w:val="21"/>
        </w:rPr>
        <w:t>遗传性疾病</w:t>
      </w:r>
    </w:p>
    <w:p>
      <w:pPr>
        <w:pStyle w:val="ListParagraph"/>
        <w:numPr>
          <w:ilvl w:val="1"/>
          <w:numId w:val="8"/>
        </w:numPr>
        <w:tabs>
          <w:tab w:pos="990" w:val="left" w:leader="none"/>
        </w:tabs>
        <w:spacing w:line="208" w:lineRule="auto" w:before="17" w:after="0"/>
        <w:ind w:left="989" w:right="440" w:hanging="525"/>
        <w:jc w:val="left"/>
        <w:rPr>
          <w:sz w:val="21"/>
        </w:rPr>
      </w:pPr>
      <w:r>
        <w:rPr>
          <w:sz w:val="21"/>
        </w:rPr>
        <w:t>先天性畸形、变形或染</w:t>
      </w:r>
      <w:r>
        <w:rPr>
          <w:w w:val="95"/>
          <w:sz w:val="21"/>
        </w:rPr>
        <w:t>色体异常</w:t>
      </w:r>
    </w:p>
    <w:p>
      <w:pPr>
        <w:pStyle w:val="ListParagraph"/>
        <w:numPr>
          <w:ilvl w:val="1"/>
          <w:numId w:val="8"/>
        </w:numPr>
        <w:tabs>
          <w:tab w:pos="990" w:val="left" w:leader="none"/>
        </w:tabs>
        <w:spacing w:line="208" w:lineRule="auto" w:before="0" w:after="0"/>
        <w:ind w:left="989" w:right="440" w:hanging="525"/>
        <w:jc w:val="left"/>
        <w:rPr>
          <w:sz w:val="21"/>
        </w:rPr>
      </w:pPr>
      <w:r>
        <w:rPr>
          <w:sz w:val="21"/>
        </w:rPr>
        <w:t>感染艾滋病病毒或患艾</w:t>
      </w:r>
      <w:r>
        <w:rPr>
          <w:spacing w:val="-1"/>
          <w:w w:val="95"/>
          <w:sz w:val="21"/>
        </w:rPr>
        <w:t>滋病</w:t>
      </w:r>
    </w:p>
    <w:p>
      <w:pPr>
        <w:pStyle w:val="ListParagraph"/>
        <w:numPr>
          <w:ilvl w:val="1"/>
          <w:numId w:val="8"/>
        </w:numPr>
        <w:tabs>
          <w:tab w:pos="990" w:val="left" w:leader="none"/>
        </w:tabs>
        <w:spacing w:line="223" w:lineRule="exact" w:before="0" w:after="0"/>
        <w:ind w:left="989" w:right="0" w:hanging="525"/>
        <w:jc w:val="left"/>
        <w:rPr>
          <w:sz w:val="21"/>
        </w:rPr>
      </w:pPr>
      <w:r>
        <w:rPr>
          <w:w w:val="95"/>
          <w:sz w:val="21"/>
        </w:rPr>
        <w:t>未满期净保险费</w:t>
      </w:r>
    </w:p>
    <w:p>
      <w:pPr>
        <w:pStyle w:val="ListParagraph"/>
        <w:numPr>
          <w:ilvl w:val="1"/>
          <w:numId w:val="8"/>
        </w:numPr>
        <w:tabs>
          <w:tab w:pos="990" w:val="left" w:leader="none"/>
        </w:tabs>
        <w:spacing w:line="240" w:lineRule="exact" w:before="0" w:after="0"/>
        <w:ind w:left="989" w:right="0" w:hanging="525"/>
        <w:jc w:val="left"/>
        <w:rPr>
          <w:sz w:val="21"/>
        </w:rPr>
      </w:pPr>
      <w:r>
        <w:rPr>
          <w:w w:val="95"/>
          <w:sz w:val="21"/>
        </w:rPr>
        <w:t>本公司认可的医疗机构</w:t>
      </w:r>
    </w:p>
    <w:p>
      <w:pPr>
        <w:pStyle w:val="ListParagraph"/>
        <w:numPr>
          <w:ilvl w:val="1"/>
          <w:numId w:val="8"/>
        </w:numPr>
        <w:tabs>
          <w:tab w:pos="990" w:val="left" w:leader="none"/>
        </w:tabs>
        <w:spacing w:line="240" w:lineRule="exact" w:before="0" w:after="0"/>
        <w:ind w:left="989" w:right="0" w:hanging="525"/>
        <w:jc w:val="left"/>
        <w:rPr>
          <w:sz w:val="21"/>
        </w:rPr>
      </w:pPr>
      <w:r>
        <w:rPr>
          <w:w w:val="95"/>
          <w:sz w:val="21"/>
        </w:rPr>
        <w:t>肢体机能完全丧失</w:t>
      </w:r>
    </w:p>
    <w:p>
      <w:pPr>
        <w:pStyle w:val="ListParagraph"/>
        <w:numPr>
          <w:ilvl w:val="1"/>
          <w:numId w:val="8"/>
        </w:numPr>
        <w:tabs>
          <w:tab w:pos="990" w:val="left" w:leader="none"/>
        </w:tabs>
        <w:spacing w:line="208" w:lineRule="auto" w:before="18" w:after="0"/>
        <w:ind w:left="989" w:right="440" w:hanging="525"/>
        <w:jc w:val="left"/>
        <w:rPr>
          <w:sz w:val="21"/>
        </w:rPr>
      </w:pPr>
      <w:r>
        <w:rPr>
          <w:sz w:val="21"/>
        </w:rPr>
        <w:t>语言能力或咀嚼吞咽能</w:t>
      </w:r>
      <w:r>
        <w:rPr>
          <w:w w:val="95"/>
          <w:sz w:val="21"/>
        </w:rPr>
        <w:t>力完全丧失</w:t>
      </w:r>
    </w:p>
    <w:p>
      <w:pPr>
        <w:pStyle w:val="ListParagraph"/>
        <w:numPr>
          <w:ilvl w:val="1"/>
          <w:numId w:val="8"/>
        </w:numPr>
        <w:tabs>
          <w:tab w:pos="990" w:val="left" w:leader="none"/>
        </w:tabs>
        <w:spacing w:line="223" w:lineRule="exact" w:before="0" w:after="0"/>
        <w:ind w:left="989" w:right="0" w:hanging="525"/>
        <w:jc w:val="left"/>
        <w:rPr>
          <w:sz w:val="21"/>
        </w:rPr>
      </w:pPr>
      <w:r>
        <w:rPr>
          <w:w w:val="95"/>
          <w:sz w:val="21"/>
        </w:rPr>
        <w:t>六项基本日常生活活动</w:t>
      </w:r>
    </w:p>
    <w:p>
      <w:pPr>
        <w:pStyle w:val="ListParagraph"/>
        <w:numPr>
          <w:ilvl w:val="1"/>
          <w:numId w:val="8"/>
        </w:numPr>
        <w:tabs>
          <w:tab w:pos="990" w:val="left" w:leader="none"/>
        </w:tabs>
        <w:spacing w:line="257" w:lineRule="exact" w:before="0" w:after="0"/>
        <w:ind w:left="989" w:right="0" w:hanging="525"/>
        <w:jc w:val="left"/>
        <w:rPr>
          <w:sz w:val="21"/>
        </w:rPr>
      </w:pPr>
      <w:r>
        <w:rPr>
          <w:w w:val="95"/>
          <w:sz w:val="21"/>
        </w:rPr>
        <w:t>永久不可逆</w:t>
      </w:r>
    </w:p>
    <w:p>
      <w:pPr>
        <w:spacing w:after="0" w:line="257" w:lineRule="exact"/>
        <w:jc w:val="left"/>
        <w:rPr>
          <w:sz w:val="21"/>
        </w:rPr>
        <w:sectPr>
          <w:type w:val="continuous"/>
          <w:pgSz w:w="11910" w:h="16840"/>
          <w:pgMar w:top="540" w:bottom="280" w:left="820" w:right="920"/>
          <w:cols w:num="3" w:equalWidth="0">
            <w:col w:w="2677" w:space="447"/>
            <w:col w:w="3097" w:space="415"/>
            <w:col w:w="3534"/>
          </w:cols>
        </w:sectPr>
      </w:pPr>
    </w:p>
    <w:p>
      <w:pPr>
        <w:pStyle w:val="BodyText"/>
        <w:spacing w:line="236" w:lineRule="exact"/>
        <w:ind w:left="675"/>
      </w:pPr>
      <w:r>
        <w:rPr/>
        <w:t>4.3</w:t>
      </w:r>
      <w:r>
        <w:rPr>
          <w:spacing w:val="-3"/>
        </w:rPr>
        <w:t> 本公司合同解除权的限制</w:t>
      </w:r>
    </w:p>
    <w:p>
      <w:pPr>
        <w:pStyle w:val="Heading3"/>
        <w:spacing w:line="274" w:lineRule="exact" w:before="3"/>
        <w:ind w:left="464"/>
      </w:pPr>
      <w:r>
        <w:rPr>
          <w:w w:val="95"/>
        </w:rPr>
        <w:t>5．如何申请领取保险金</w:t>
      </w:r>
    </w:p>
    <w:p>
      <w:pPr>
        <w:pStyle w:val="ListParagraph"/>
        <w:numPr>
          <w:ilvl w:val="1"/>
          <w:numId w:val="9"/>
        </w:numPr>
        <w:tabs>
          <w:tab w:pos="1096" w:val="left" w:leader="none"/>
        </w:tabs>
        <w:spacing w:line="257" w:lineRule="exact" w:before="0" w:after="0"/>
        <w:ind w:left="1095" w:right="0" w:hanging="420"/>
        <w:jc w:val="left"/>
        <w:rPr>
          <w:sz w:val="21"/>
        </w:rPr>
      </w:pPr>
      <w:r>
        <w:rPr>
          <w:w w:val="95"/>
          <w:sz w:val="21"/>
        </w:rPr>
        <w:t>受益人</w:t>
      </w:r>
    </w:p>
    <w:p>
      <w:pPr>
        <w:pStyle w:val="ListParagraph"/>
        <w:numPr>
          <w:ilvl w:val="1"/>
          <w:numId w:val="9"/>
        </w:numPr>
        <w:tabs>
          <w:tab w:pos="1096" w:val="left" w:leader="none"/>
        </w:tabs>
        <w:spacing w:line="257" w:lineRule="exact" w:before="0" w:after="0"/>
        <w:ind w:left="1095" w:right="0" w:hanging="420"/>
        <w:jc w:val="left"/>
        <w:rPr>
          <w:sz w:val="21"/>
        </w:rPr>
      </w:pPr>
      <w:r>
        <w:rPr>
          <w:w w:val="95"/>
          <w:sz w:val="21"/>
        </w:rPr>
        <w:t>保险事故通知</w:t>
      </w:r>
    </w:p>
    <w:p>
      <w:pPr>
        <w:pStyle w:val="ListParagraph"/>
        <w:numPr>
          <w:ilvl w:val="1"/>
          <w:numId w:val="10"/>
        </w:numPr>
        <w:tabs>
          <w:tab w:pos="774" w:val="left" w:leader="none"/>
        </w:tabs>
        <w:spacing w:line="223" w:lineRule="exact" w:before="0" w:after="0"/>
        <w:ind w:left="773" w:right="0" w:hanging="420"/>
        <w:jc w:val="left"/>
        <w:rPr>
          <w:sz w:val="21"/>
        </w:rPr>
      </w:pPr>
      <w:r>
        <w:rPr>
          <w:spacing w:val="-1"/>
          <w:w w:val="99"/>
          <w:sz w:val="21"/>
        </w:rPr>
        <w:br w:type="column"/>
      </w:r>
      <w:r>
        <w:rPr>
          <w:w w:val="95"/>
          <w:sz w:val="21"/>
        </w:rPr>
        <w:t>初次确诊本合同所列的重大疾病</w:t>
      </w:r>
    </w:p>
    <w:p>
      <w:pPr>
        <w:pStyle w:val="ListParagraph"/>
        <w:numPr>
          <w:ilvl w:val="1"/>
          <w:numId w:val="10"/>
        </w:numPr>
        <w:tabs>
          <w:tab w:pos="774" w:val="left" w:leader="none"/>
        </w:tabs>
        <w:spacing w:line="240" w:lineRule="exact" w:before="0" w:after="0"/>
        <w:ind w:left="773" w:right="0" w:hanging="420"/>
        <w:jc w:val="left"/>
        <w:rPr>
          <w:sz w:val="21"/>
        </w:rPr>
      </w:pPr>
      <w:r>
        <w:rPr>
          <w:w w:val="95"/>
          <w:sz w:val="21"/>
        </w:rPr>
        <w:t>意外伤害</w:t>
      </w:r>
    </w:p>
    <w:p>
      <w:pPr>
        <w:pStyle w:val="ListParagraph"/>
        <w:numPr>
          <w:ilvl w:val="1"/>
          <w:numId w:val="10"/>
        </w:numPr>
        <w:tabs>
          <w:tab w:pos="774" w:val="left" w:leader="none"/>
        </w:tabs>
        <w:spacing w:line="240" w:lineRule="exact" w:before="0" w:after="0"/>
        <w:ind w:left="773" w:right="0" w:hanging="420"/>
        <w:jc w:val="left"/>
        <w:rPr>
          <w:sz w:val="21"/>
        </w:rPr>
      </w:pPr>
      <w:r>
        <w:rPr>
          <w:spacing w:val="-1"/>
          <w:w w:val="95"/>
          <w:sz w:val="21"/>
        </w:rPr>
        <w:t>毒品</w:t>
      </w:r>
    </w:p>
    <w:p>
      <w:pPr>
        <w:pStyle w:val="ListParagraph"/>
        <w:numPr>
          <w:ilvl w:val="1"/>
          <w:numId w:val="10"/>
        </w:numPr>
        <w:tabs>
          <w:tab w:pos="774" w:val="left" w:leader="none"/>
        </w:tabs>
        <w:spacing w:line="257" w:lineRule="exact" w:before="0" w:after="0"/>
        <w:ind w:left="773" w:right="0" w:hanging="420"/>
        <w:jc w:val="left"/>
        <w:rPr>
          <w:sz w:val="21"/>
        </w:rPr>
      </w:pPr>
      <w:r>
        <w:rPr>
          <w:w w:val="95"/>
          <w:sz w:val="21"/>
        </w:rPr>
        <w:t>酒后驾驶</w:t>
      </w:r>
    </w:p>
    <w:p>
      <w:pPr>
        <w:spacing w:after="0" w:line="257" w:lineRule="exact"/>
        <w:jc w:val="left"/>
        <w:rPr>
          <w:sz w:val="21"/>
        </w:rPr>
        <w:sectPr>
          <w:type w:val="continuous"/>
          <w:pgSz w:w="11910" w:h="16840"/>
          <w:pgMar w:top="540" w:bottom="280" w:left="820" w:right="920"/>
          <w:cols w:num="2" w:equalWidth="0">
            <w:col w:w="3405" w:space="40"/>
            <w:col w:w="6725"/>
          </w:cols>
        </w:sectPr>
      </w:pPr>
    </w:p>
    <w:p>
      <w:pPr>
        <w:pStyle w:val="BodyText"/>
        <w:rPr>
          <w:sz w:val="20"/>
        </w:rPr>
      </w:pPr>
    </w:p>
    <w:p>
      <w:pPr>
        <w:pStyle w:val="BodyText"/>
        <w:rPr>
          <w:sz w:val="20"/>
        </w:rPr>
      </w:pPr>
    </w:p>
    <w:p>
      <w:pPr>
        <w:pStyle w:val="BodyText"/>
        <w:spacing w:before="6"/>
        <w:rPr>
          <w:sz w:val="25"/>
        </w:rPr>
      </w:pPr>
    </w:p>
    <w:p>
      <w:pPr>
        <w:pStyle w:val="Heading1"/>
      </w:pPr>
      <w:r>
        <w:rPr/>
        <w:t>信泰莫非尔丽 E 款重大疾病保险条款</w:t>
      </w:r>
    </w:p>
    <w:p>
      <w:pPr>
        <w:pStyle w:val="BodyText"/>
        <w:spacing w:before="2"/>
        <w:rPr>
          <w:rFonts w:ascii="黑体"/>
          <w:b/>
          <w:sz w:val="42"/>
        </w:rPr>
      </w:pPr>
    </w:p>
    <w:p>
      <w:pPr>
        <w:pStyle w:val="BodyText"/>
        <w:spacing w:line="273" w:lineRule="auto"/>
        <w:ind w:left="100" w:right="215"/>
      </w:pPr>
      <w:r>
        <w:rPr>
          <w:w w:val="95"/>
        </w:rPr>
        <w:t>在本条款中，“您”指投保人，“我们”、“本公司”均指信泰人寿保险股份有限公司。“本合同”指您与   </w:t>
      </w:r>
      <w:r>
        <w:rPr>
          <w:spacing w:val="-4"/>
        </w:rPr>
        <w:t>我们之间订立的“信泰莫非尔丽 </w:t>
      </w:r>
      <w:r>
        <w:rPr/>
        <w:t>E</w:t>
      </w:r>
      <w:r>
        <w:rPr>
          <w:spacing w:val="-8"/>
        </w:rPr>
        <w:t> 款重大疾病保险合同”。</w:t>
      </w:r>
    </w:p>
    <w:p>
      <w:pPr>
        <w:pStyle w:val="BodyText"/>
        <w:rPr>
          <w:sz w:val="20"/>
        </w:rPr>
      </w:pPr>
    </w:p>
    <w:p>
      <w:pPr>
        <w:pStyle w:val="BodyText"/>
        <w:spacing w:before="10"/>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4" w:hRule="atLeast"/>
        </w:trPr>
        <w:tc>
          <w:tcPr>
            <w:tcW w:w="706"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29"/>
              <w:ind w:left="241"/>
              <w:rPr>
                <w:b/>
                <w:sz w:val="24"/>
              </w:rPr>
            </w:pPr>
            <w:r>
              <w:rPr>
                <w:b/>
                <w:w w:val="95"/>
                <w:sz w:val="24"/>
              </w:rPr>
              <w:t>您与我们的合同</w:t>
            </w:r>
          </w:p>
        </w:tc>
        <w:tc>
          <w:tcPr>
            <w:tcW w:w="7244" w:type="dxa"/>
            <w:tcBorders>
              <w:bottom w:val="single" w:sz="8" w:space="0" w:color="000000"/>
            </w:tcBorders>
          </w:tcPr>
          <w:p>
            <w:pPr>
              <w:pStyle w:val="TableParagraph"/>
              <w:rPr>
                <w:rFonts w:ascii="Times New Roman"/>
                <w:sz w:val="20"/>
              </w:rPr>
            </w:pPr>
          </w:p>
        </w:tc>
      </w:tr>
      <w:tr>
        <w:trPr>
          <w:trHeight w:val="1190" w:hRule="atLeast"/>
        </w:trPr>
        <w:tc>
          <w:tcPr>
            <w:tcW w:w="706" w:type="dxa"/>
            <w:tcBorders>
              <w:top w:val="single" w:sz="8" w:space="0" w:color="000000"/>
            </w:tcBorders>
          </w:tcPr>
          <w:p>
            <w:pPr>
              <w:pStyle w:val="TableParagraph"/>
              <w:spacing w:before="8"/>
              <w:rPr>
                <w:sz w:val="14"/>
              </w:rPr>
            </w:pPr>
          </w:p>
          <w:p>
            <w:pPr>
              <w:pStyle w:val="TableParagraph"/>
              <w:spacing w:before="1"/>
              <w:ind w:left="107"/>
              <w:rPr>
                <w:b/>
                <w:sz w:val="21"/>
              </w:rPr>
            </w:pPr>
            <w:r>
              <w:rPr>
                <w:b/>
                <w:sz w:val="21"/>
              </w:rPr>
              <w:t>1.1</w:t>
            </w:r>
          </w:p>
        </w:tc>
        <w:tc>
          <w:tcPr>
            <w:tcW w:w="2029" w:type="dxa"/>
            <w:tcBorders>
              <w:top w:val="single" w:sz="8" w:space="0" w:color="000000"/>
            </w:tcBorders>
          </w:tcPr>
          <w:p>
            <w:pPr>
              <w:pStyle w:val="TableParagraph"/>
              <w:spacing w:before="8"/>
              <w:rPr>
                <w:sz w:val="14"/>
              </w:rPr>
            </w:pPr>
          </w:p>
          <w:p>
            <w:pPr>
              <w:pStyle w:val="TableParagraph"/>
              <w:spacing w:before="1"/>
              <w:ind w:left="241"/>
              <w:rPr>
                <w:b/>
                <w:sz w:val="21"/>
              </w:rPr>
            </w:pPr>
            <w:r>
              <w:rPr>
                <w:b/>
                <w:w w:val="95"/>
                <w:sz w:val="21"/>
              </w:rPr>
              <w:t>合同的构成</w:t>
            </w:r>
          </w:p>
        </w:tc>
        <w:tc>
          <w:tcPr>
            <w:tcW w:w="7244" w:type="dxa"/>
            <w:tcBorders>
              <w:top w:val="single" w:sz="8" w:space="0" w:color="000000"/>
            </w:tcBorders>
          </w:tcPr>
          <w:p>
            <w:pPr>
              <w:pStyle w:val="TableParagraph"/>
              <w:spacing w:before="8"/>
              <w:rPr>
                <w:sz w:val="14"/>
              </w:rPr>
            </w:pPr>
          </w:p>
          <w:p>
            <w:pPr>
              <w:pStyle w:val="TableParagraph"/>
              <w:spacing w:line="273" w:lineRule="auto" w:before="1"/>
              <w:ind w:left="103" w:right="106"/>
              <w:jc w:val="both"/>
              <w:rPr>
                <w:sz w:val="21"/>
              </w:rPr>
            </w:pPr>
            <w:r>
              <w:rPr>
                <w:spacing w:val="-7"/>
                <w:sz w:val="21"/>
              </w:rPr>
              <w:t>信泰莫非尔丽 </w:t>
            </w:r>
            <w:r>
              <w:rPr>
                <w:sz w:val="21"/>
              </w:rPr>
              <w:t>E</w:t>
            </w:r>
            <w:r>
              <w:rPr>
                <w:spacing w:val="-5"/>
                <w:sz w:val="21"/>
              </w:rPr>
              <w:t> 款重大疾病保险合同</w:t>
            </w:r>
            <w:r>
              <w:rPr>
                <w:spacing w:val="2"/>
                <w:sz w:val="21"/>
              </w:rPr>
              <w:t>（</w:t>
            </w:r>
            <w:r>
              <w:rPr>
                <w:spacing w:val="0"/>
                <w:sz w:val="21"/>
              </w:rPr>
              <w:t>以下简称本合同</w:t>
            </w:r>
            <w:r>
              <w:rPr>
                <w:spacing w:val="2"/>
                <w:sz w:val="21"/>
              </w:rPr>
              <w:t>）</w:t>
            </w:r>
            <w:r>
              <w:rPr>
                <w:sz w:val="21"/>
              </w:rPr>
              <w:t>由保险单或其他保险凭证及所附保险条款、投保单、与本合同有关的其他投保文件、合法有效</w:t>
            </w:r>
            <w:r>
              <w:rPr>
                <w:w w:val="95"/>
                <w:sz w:val="21"/>
              </w:rPr>
              <w:t>的声明、批注、批单及其他书面协议共同构成。</w:t>
            </w:r>
          </w:p>
        </w:tc>
      </w:tr>
      <w:tr>
        <w:trPr>
          <w:trHeight w:val="1140"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4"/>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6" w:hRule="atLeast"/>
        </w:trPr>
        <w:tc>
          <w:tcPr>
            <w:tcW w:w="706" w:type="dxa"/>
          </w:tcPr>
          <w:p>
            <w:pPr>
              <w:pStyle w:val="TableParagraph"/>
              <w:spacing w:before="142"/>
              <w:ind w:left="107"/>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上。</w:t>
            </w:r>
          </w:p>
        </w:tc>
      </w:tr>
      <w:tr>
        <w:trPr>
          <w:trHeight w:val="1177"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自本合同成立、我们收取保险费并签发保险单的次日零时起，本合同生效， 本合同生效日载明于保险单上。除另有约定外，本合同生效日为我们开始承</w:t>
            </w:r>
            <w:r>
              <w:rPr>
                <w:w w:val="95"/>
                <w:sz w:val="21"/>
              </w:rPr>
              <w:t>担保险责任的日期。</w:t>
            </w:r>
          </w:p>
        </w:tc>
      </w:tr>
      <w:tr>
        <w:trPr>
          <w:trHeight w:val="991" w:hRule="atLeast"/>
        </w:trPr>
        <w:tc>
          <w:tcPr>
            <w:tcW w:w="706" w:type="dxa"/>
          </w:tcPr>
          <w:p>
            <w:pPr>
              <w:pStyle w:val="TableParagraph"/>
              <w:rPr>
                <w:sz w:val="15"/>
              </w:rPr>
            </w:pPr>
          </w:p>
          <w:p>
            <w:pPr>
              <w:pStyle w:val="TableParagraph"/>
              <w:spacing w:before="1"/>
              <w:ind w:left="107"/>
              <w:rPr>
                <w:b/>
                <w:sz w:val="21"/>
              </w:rPr>
            </w:pPr>
            <w:r>
              <w:rPr>
                <w:b/>
                <w:sz w:val="21"/>
              </w:rPr>
              <w:t>1.3</w:t>
            </w:r>
          </w:p>
        </w:tc>
        <w:tc>
          <w:tcPr>
            <w:tcW w:w="2029" w:type="dxa"/>
          </w:tcPr>
          <w:p>
            <w:pPr>
              <w:pStyle w:val="TableParagraph"/>
              <w:rPr>
                <w:sz w:val="15"/>
              </w:rPr>
            </w:pPr>
          </w:p>
          <w:p>
            <w:pPr>
              <w:pStyle w:val="TableParagraph"/>
              <w:spacing w:before="1"/>
              <w:ind w:left="241"/>
              <w:rPr>
                <w:b/>
                <w:sz w:val="21"/>
              </w:rPr>
            </w:pPr>
            <w:r>
              <w:rPr>
                <w:b/>
                <w:w w:val="95"/>
                <w:sz w:val="21"/>
              </w:rPr>
              <w:t>投保年龄</w:t>
            </w:r>
          </w:p>
        </w:tc>
        <w:tc>
          <w:tcPr>
            <w:tcW w:w="7244" w:type="dxa"/>
          </w:tcPr>
          <w:p>
            <w:pPr>
              <w:pStyle w:val="TableParagraph"/>
              <w:rPr>
                <w:sz w:val="15"/>
              </w:rPr>
            </w:pPr>
          </w:p>
          <w:p>
            <w:pPr>
              <w:pStyle w:val="TableParagraph"/>
              <w:spacing w:line="273" w:lineRule="auto" w:before="1"/>
              <w:ind w:left="103" w:right="104"/>
              <w:rPr>
                <w:sz w:val="21"/>
              </w:rPr>
            </w:pPr>
            <w:r>
              <w:rPr>
                <w:sz w:val="21"/>
              </w:rPr>
              <w:t>投保时被保险人的年龄为投保年龄，投保年龄以</w:t>
            </w:r>
            <w:r>
              <w:rPr>
                <w:b/>
                <w:sz w:val="21"/>
              </w:rPr>
              <w:t>周岁 </w:t>
            </w:r>
            <w:r>
              <w:rPr>
                <w:position w:val="11"/>
                <w:sz w:val="10"/>
              </w:rPr>
              <w:t>9.1 </w:t>
            </w:r>
            <w:r>
              <w:rPr>
                <w:sz w:val="21"/>
              </w:rPr>
              <w:t>计算。本合同接受的</w:t>
            </w:r>
            <w:r>
              <w:rPr>
                <w:w w:val="95"/>
                <w:sz w:val="21"/>
              </w:rPr>
              <w:t>投保年龄为出生满二十八日至六十周岁，最高续保年龄为六十四周岁。</w:t>
            </w:r>
          </w:p>
        </w:tc>
      </w:tr>
      <w:tr>
        <w:trPr>
          <w:trHeight w:val="936" w:hRule="atLeast"/>
        </w:trPr>
        <w:tc>
          <w:tcPr>
            <w:tcW w:w="706" w:type="dxa"/>
          </w:tcPr>
          <w:p>
            <w:pPr>
              <w:pStyle w:val="TableParagraph"/>
              <w:spacing w:before="142"/>
              <w:ind w:left="107"/>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line="273" w:lineRule="auto" w:before="142"/>
              <w:ind w:left="103" w:right="106"/>
              <w:rPr>
                <w:sz w:val="21"/>
              </w:rPr>
            </w:pPr>
            <w:r>
              <w:rPr>
                <w:sz w:val="21"/>
              </w:rPr>
              <w:t>本合同保险期间为</w:t>
            </w:r>
            <w:r>
              <w:rPr>
                <w:b/>
                <w:sz w:val="21"/>
              </w:rPr>
              <w:t>一</w:t>
            </w:r>
            <w:r>
              <w:rPr>
                <w:sz w:val="21"/>
              </w:rPr>
              <w:t>年，自本合同生效日零时起至本合同约定终止日二十四</w:t>
            </w:r>
            <w:r>
              <w:rPr>
                <w:w w:val="95"/>
                <w:sz w:val="21"/>
              </w:rPr>
              <w:t>时止，并载明于保险单上。</w:t>
            </w:r>
          </w:p>
        </w:tc>
      </w:tr>
      <w:tr>
        <w:trPr>
          <w:trHeight w:val="1450" w:hRule="atLeast"/>
        </w:trPr>
        <w:tc>
          <w:tcPr>
            <w:tcW w:w="706" w:type="dxa"/>
          </w:tcPr>
          <w:p>
            <w:pPr>
              <w:pStyle w:val="TableParagraph"/>
              <w:spacing w:before="142"/>
              <w:ind w:left="107"/>
              <w:rPr>
                <w:b/>
                <w:sz w:val="21"/>
              </w:rPr>
            </w:pPr>
            <w:r>
              <w:rPr>
                <w:b/>
                <w:sz w:val="21"/>
              </w:rPr>
              <w:t>1.5</w:t>
            </w:r>
          </w:p>
        </w:tc>
        <w:tc>
          <w:tcPr>
            <w:tcW w:w="2029" w:type="dxa"/>
          </w:tcPr>
          <w:p>
            <w:pPr>
              <w:pStyle w:val="TableParagraph"/>
              <w:spacing w:before="142"/>
              <w:ind w:left="241"/>
              <w:rPr>
                <w:b/>
                <w:sz w:val="21"/>
              </w:rPr>
            </w:pPr>
            <w:r>
              <w:rPr>
                <w:b/>
                <w:w w:val="95"/>
                <w:sz w:val="21"/>
              </w:rPr>
              <w:t>续保</w:t>
            </w:r>
          </w:p>
        </w:tc>
        <w:tc>
          <w:tcPr>
            <w:tcW w:w="7244" w:type="dxa"/>
          </w:tcPr>
          <w:p>
            <w:pPr>
              <w:pStyle w:val="TableParagraph"/>
              <w:spacing w:line="273" w:lineRule="auto" w:before="142"/>
              <w:ind w:left="103" w:right="106"/>
              <w:jc w:val="both"/>
              <w:rPr>
                <w:sz w:val="21"/>
              </w:rPr>
            </w:pPr>
            <w:r>
              <w:rPr>
                <w:sz w:val="21"/>
              </w:rPr>
              <w:t>本合同保险期间届满日之前，若我们未收到您不再继续投保的书面通知，则视作您申请续保，经我们审核同意且我们收到足额续保保险费后，本合同保险期间将延续一年。对于您在每一保险期间届满日之前提出的续保申请，我</w:t>
            </w:r>
            <w:r>
              <w:rPr>
                <w:w w:val="95"/>
                <w:sz w:val="21"/>
              </w:rPr>
              <w:t>们审核后有权不予接受。</w:t>
            </w:r>
          </w:p>
        </w:tc>
      </w:tr>
      <w:tr>
        <w:trPr>
          <w:trHeight w:val="405"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2"/>
              <w:ind w:left="103"/>
              <w:rPr>
                <w:sz w:val="21"/>
              </w:rPr>
            </w:pPr>
            <w:r>
              <w:rPr>
                <w:w w:val="95"/>
                <w:sz w:val="21"/>
              </w:rPr>
              <w:t>若发生下列情形之一的，本合同不再接受续保：</w:t>
            </w:r>
          </w:p>
        </w:tc>
      </w:tr>
      <w:tr>
        <w:trPr>
          <w:trHeight w:val="405"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2"/>
              <w:ind w:left="103"/>
              <w:rPr>
                <w:sz w:val="21"/>
              </w:rPr>
            </w:pPr>
            <w:r>
              <w:rPr>
                <w:w w:val="95"/>
                <w:sz w:val="21"/>
              </w:rPr>
              <w:t>(1)本保险已停售；</w:t>
            </w:r>
          </w:p>
        </w:tc>
      </w:tr>
      <w:tr>
        <w:trPr>
          <w:trHeight w:val="406"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2"/>
              <w:ind w:left="103"/>
              <w:rPr>
                <w:sz w:val="21"/>
              </w:rPr>
            </w:pPr>
            <w:r>
              <w:rPr>
                <w:w w:val="95"/>
                <w:sz w:val="21"/>
              </w:rPr>
              <w:t>(2)续保时被保险人年满六十五周岁；</w:t>
            </w:r>
          </w:p>
        </w:tc>
      </w:tr>
      <w:tr>
        <w:trPr>
          <w:trHeight w:val="406"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4"/>
              <w:ind w:left="103"/>
              <w:rPr>
                <w:sz w:val="21"/>
              </w:rPr>
            </w:pPr>
            <w:r>
              <w:rPr>
                <w:w w:val="95"/>
                <w:sz w:val="21"/>
              </w:rPr>
              <w:t>(3)被保险人身故；</w:t>
            </w:r>
          </w:p>
        </w:tc>
      </w:tr>
      <w:tr>
        <w:trPr>
          <w:trHeight w:val="405"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32"/>
              <w:ind w:left="103"/>
              <w:rPr>
                <w:sz w:val="21"/>
              </w:rPr>
            </w:pPr>
            <w:r>
              <w:rPr>
                <w:w w:val="95"/>
                <w:sz w:val="21"/>
              </w:rPr>
              <w:t>(4)本合同中列明的其他合同解除或终止的情形。</w:t>
            </w:r>
          </w:p>
        </w:tc>
      </w:tr>
      <w:tr>
        <w:trPr>
          <w:trHeight w:val="74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rPr>
                <w:sz w:val="21"/>
              </w:rPr>
            </w:pPr>
            <w:r>
              <w:rPr>
                <w:sz w:val="21"/>
              </w:rPr>
              <w:t>本合同的续保保险费，以续保时被保险人的年龄及当时我们采用的保险费率</w:t>
            </w:r>
            <w:r>
              <w:rPr>
                <w:w w:val="95"/>
                <w:sz w:val="21"/>
              </w:rPr>
              <w:t>为基础而计算。</w:t>
            </w:r>
          </w:p>
        </w:tc>
      </w:tr>
      <w:tr>
        <w:trPr>
          <w:trHeight w:val="645" w:hRule="atLeast"/>
        </w:trPr>
        <w:tc>
          <w:tcPr>
            <w:tcW w:w="706" w:type="dxa"/>
            <w:tcBorders>
              <w:bottom w:val="single" w:sz="8" w:space="0" w:color="000000"/>
            </w:tcBorders>
          </w:tcPr>
          <w:p>
            <w:pPr>
              <w:pStyle w:val="TableParagraph"/>
              <w:spacing w:before="86"/>
              <w:ind w:left="107"/>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spacing w:before="140"/>
              <w:ind w:left="241"/>
              <w:rPr>
                <w:b/>
                <w:sz w:val="24"/>
              </w:rPr>
            </w:pPr>
            <w:r>
              <w:rPr>
                <w:b/>
                <w:w w:val="95"/>
                <w:sz w:val="24"/>
              </w:rPr>
              <w:t>我们提供的保障</w:t>
            </w:r>
          </w:p>
        </w:tc>
        <w:tc>
          <w:tcPr>
            <w:tcW w:w="7244" w:type="dxa"/>
            <w:tcBorders>
              <w:bottom w:val="single" w:sz="8" w:space="0" w:color="000000"/>
            </w:tcBorders>
          </w:tcPr>
          <w:p>
            <w:pPr>
              <w:pStyle w:val="TableParagraph"/>
              <w:rPr>
                <w:rFonts w:ascii="Times New Roman"/>
                <w:sz w:val="20"/>
              </w:rPr>
            </w:pPr>
          </w:p>
        </w:tc>
      </w:tr>
    </w:tbl>
    <w:p>
      <w:pPr>
        <w:spacing w:after="0"/>
        <w:rPr>
          <w:rFonts w:ascii="Times New Roman"/>
          <w:sz w:val="20"/>
        </w:rPr>
        <w:sectPr>
          <w:headerReference w:type="default" r:id="rId7"/>
          <w:footerReference w:type="default" r:id="rId8"/>
          <w:pgSz w:w="11910" w:h="16840"/>
          <w:pgMar w:header="607" w:footer="405" w:top="800" w:bottom="600" w:left="920" w:right="800"/>
          <w:pgNumType w:start="1"/>
        </w:sectPr>
      </w:pPr>
    </w:p>
    <w:p>
      <w:pPr>
        <w:pStyle w:val="BodyText"/>
        <w:spacing w:before="2"/>
      </w:pPr>
    </w:p>
    <w:p>
      <w:pPr>
        <w:pStyle w:val="ListParagraph"/>
        <w:numPr>
          <w:ilvl w:val="1"/>
          <w:numId w:val="11"/>
        </w:numPr>
        <w:tabs>
          <w:tab w:pos="1047" w:val="left" w:leader="none"/>
          <w:tab w:pos="1048" w:val="left" w:leader="none"/>
          <w:tab w:pos="2939" w:val="left" w:leader="none"/>
        </w:tabs>
        <w:spacing w:line="273" w:lineRule="auto" w:before="34" w:after="0"/>
        <w:ind w:left="2939" w:right="316" w:hanging="2731"/>
        <w:jc w:val="left"/>
        <w:rPr>
          <w:sz w:val="21"/>
        </w:rPr>
      </w:pPr>
      <w:r>
        <w:rPr>
          <w:b/>
          <w:sz w:val="21"/>
        </w:rPr>
        <w:t>保险金额</w:t>
        <w:tab/>
      </w:r>
      <w:r>
        <w:rPr>
          <w:w w:val="95"/>
          <w:sz w:val="21"/>
        </w:rPr>
        <w:t>本合同的保险金额由您在投保时与我们约定，并载明于保险单上。若您后续    申请减少保险金额的，则我们将按减少后的保险金额计算并承担保险责任。</w:t>
      </w:r>
    </w:p>
    <w:p>
      <w:pPr>
        <w:pStyle w:val="BodyText"/>
        <w:spacing w:before="12"/>
        <w:rPr>
          <w:sz w:val="17"/>
        </w:rPr>
      </w:pPr>
    </w:p>
    <w:p>
      <w:pPr>
        <w:pStyle w:val="ListParagraph"/>
        <w:numPr>
          <w:ilvl w:val="1"/>
          <w:numId w:val="11"/>
        </w:numPr>
        <w:tabs>
          <w:tab w:pos="1047" w:val="left" w:leader="none"/>
          <w:tab w:pos="1048" w:val="left" w:leader="none"/>
          <w:tab w:pos="2939" w:val="left" w:leader="none"/>
        </w:tabs>
        <w:spacing w:line="273" w:lineRule="auto" w:before="0" w:after="0"/>
        <w:ind w:left="2939" w:right="108" w:hanging="2731"/>
        <w:jc w:val="left"/>
        <w:rPr>
          <w:sz w:val="21"/>
        </w:rPr>
      </w:pPr>
      <w:r>
        <w:rPr>
          <w:b/>
          <w:sz w:val="21"/>
        </w:rPr>
        <w:t>等待期</w:t>
        <w:tab/>
      </w:r>
      <w:r>
        <w:rPr>
          <w:w w:val="95"/>
          <w:sz w:val="21"/>
        </w:rPr>
        <w:t>您首次投保或非连续投保本保险时，自本合同生效日起九十日（含第九十日）    </w:t>
      </w:r>
      <w:r>
        <w:rPr>
          <w:spacing w:val="2"/>
          <w:sz w:val="21"/>
        </w:rPr>
        <w:t>为</w:t>
      </w:r>
      <w:r>
        <w:rPr>
          <w:sz w:val="21"/>
        </w:rPr>
        <w:t>等</w:t>
      </w:r>
      <w:r>
        <w:rPr>
          <w:spacing w:val="2"/>
          <w:sz w:val="21"/>
        </w:rPr>
        <w:t>待</w:t>
      </w:r>
      <w:r>
        <w:rPr>
          <w:sz w:val="21"/>
        </w:rPr>
        <w:t>期</w:t>
      </w:r>
      <w:r>
        <w:rPr>
          <w:spacing w:val="2"/>
          <w:sz w:val="21"/>
        </w:rPr>
        <w:t>。</w:t>
      </w:r>
      <w:r>
        <w:rPr>
          <w:sz w:val="21"/>
        </w:rPr>
        <w:t>被</w:t>
      </w:r>
      <w:r>
        <w:rPr>
          <w:spacing w:val="2"/>
          <w:sz w:val="21"/>
        </w:rPr>
        <w:t>保</w:t>
      </w:r>
      <w:r>
        <w:rPr>
          <w:sz w:val="21"/>
        </w:rPr>
        <w:t>险</w:t>
      </w:r>
      <w:r>
        <w:rPr>
          <w:spacing w:val="2"/>
          <w:sz w:val="21"/>
        </w:rPr>
        <w:t>人</w:t>
      </w:r>
      <w:r>
        <w:rPr>
          <w:sz w:val="21"/>
        </w:rPr>
        <w:t>在</w:t>
      </w:r>
      <w:r>
        <w:rPr>
          <w:spacing w:val="2"/>
          <w:sz w:val="21"/>
        </w:rPr>
        <w:t>等</w:t>
      </w:r>
      <w:r>
        <w:rPr>
          <w:sz w:val="21"/>
        </w:rPr>
        <w:t>待</w:t>
      </w:r>
      <w:r>
        <w:rPr>
          <w:spacing w:val="2"/>
          <w:sz w:val="21"/>
        </w:rPr>
        <w:t>期</w:t>
      </w:r>
      <w:r>
        <w:rPr>
          <w:sz w:val="21"/>
        </w:rPr>
        <w:t>内</w:t>
      </w:r>
      <w:r>
        <w:rPr>
          <w:spacing w:val="2"/>
          <w:sz w:val="21"/>
        </w:rPr>
        <w:t>因</w:t>
      </w:r>
      <w:r>
        <w:rPr>
          <w:sz w:val="21"/>
        </w:rPr>
        <w:t>疾病</w:t>
      </w:r>
      <w:r>
        <w:rPr>
          <w:spacing w:val="2"/>
          <w:sz w:val="21"/>
        </w:rPr>
        <w:t>被</w:t>
      </w:r>
      <w:r>
        <w:rPr>
          <w:b/>
          <w:spacing w:val="2"/>
          <w:sz w:val="21"/>
        </w:rPr>
        <w:t>专科医</w:t>
      </w:r>
      <w:r>
        <w:rPr>
          <w:b/>
          <w:sz w:val="21"/>
        </w:rPr>
        <w:t>生</w:t>
      </w:r>
      <w:r>
        <w:rPr>
          <w:b/>
          <w:spacing w:val="-50"/>
          <w:sz w:val="21"/>
        </w:rPr>
        <w:t> </w:t>
      </w:r>
      <w:r>
        <w:rPr>
          <w:position w:val="11"/>
          <w:sz w:val="10"/>
        </w:rPr>
        <w:t>9.2</w:t>
      </w:r>
      <w:r>
        <w:rPr>
          <w:spacing w:val="-22"/>
          <w:position w:val="11"/>
          <w:sz w:val="10"/>
        </w:rPr>
        <w:t> </w:t>
      </w:r>
      <w:r>
        <w:rPr>
          <w:b/>
          <w:spacing w:val="2"/>
          <w:sz w:val="21"/>
        </w:rPr>
        <w:t>初次确诊</w:t>
      </w:r>
      <w:r>
        <w:rPr>
          <w:b/>
          <w:sz w:val="21"/>
        </w:rPr>
        <w:t>本</w:t>
      </w:r>
      <w:r>
        <w:rPr>
          <w:b/>
          <w:spacing w:val="2"/>
          <w:sz w:val="21"/>
        </w:rPr>
        <w:t>合同所</w:t>
      </w:r>
      <w:r>
        <w:rPr>
          <w:b/>
          <w:sz w:val="21"/>
        </w:rPr>
        <w:t>列的</w:t>
      </w:r>
      <w:r>
        <w:rPr>
          <w:b/>
          <w:spacing w:val="1"/>
          <w:w w:val="99"/>
          <w:sz w:val="21"/>
        </w:rPr>
        <w:t>重大疾</w:t>
      </w:r>
      <w:r>
        <w:rPr>
          <w:b/>
          <w:w w:val="99"/>
          <w:sz w:val="21"/>
        </w:rPr>
        <w:t>病</w:t>
      </w:r>
      <w:r>
        <w:rPr>
          <w:b/>
          <w:spacing w:val="-54"/>
          <w:sz w:val="21"/>
        </w:rPr>
        <w:t> </w:t>
      </w:r>
      <w:r>
        <w:rPr>
          <w:spacing w:val="-1"/>
          <w:w w:val="106"/>
          <w:position w:val="11"/>
          <w:sz w:val="10"/>
        </w:rPr>
        <w:t>9.3</w:t>
      </w:r>
      <w:r>
        <w:rPr>
          <w:spacing w:val="-1"/>
          <w:w w:val="99"/>
          <w:sz w:val="21"/>
        </w:rPr>
        <w:t>，我</w:t>
      </w:r>
      <w:r>
        <w:rPr>
          <w:spacing w:val="1"/>
          <w:w w:val="99"/>
          <w:sz w:val="21"/>
        </w:rPr>
        <w:t>们</w:t>
      </w:r>
      <w:r>
        <w:rPr>
          <w:spacing w:val="-1"/>
          <w:w w:val="99"/>
          <w:sz w:val="21"/>
        </w:rPr>
        <w:t>退</w:t>
      </w:r>
      <w:r>
        <w:rPr>
          <w:spacing w:val="1"/>
          <w:w w:val="99"/>
          <w:sz w:val="21"/>
        </w:rPr>
        <w:t>还您</w:t>
      </w:r>
      <w:r>
        <w:rPr>
          <w:spacing w:val="-1"/>
          <w:w w:val="99"/>
          <w:sz w:val="21"/>
        </w:rPr>
        <w:t>所支</w:t>
      </w:r>
      <w:r>
        <w:rPr>
          <w:spacing w:val="1"/>
          <w:w w:val="99"/>
          <w:sz w:val="21"/>
        </w:rPr>
        <w:t>付的</w:t>
      </w:r>
      <w:r>
        <w:rPr>
          <w:spacing w:val="-1"/>
          <w:w w:val="99"/>
          <w:sz w:val="21"/>
        </w:rPr>
        <w:t>本</w:t>
      </w:r>
      <w:r>
        <w:rPr>
          <w:spacing w:val="1"/>
          <w:w w:val="99"/>
          <w:sz w:val="21"/>
        </w:rPr>
        <w:t>合</w:t>
      </w:r>
      <w:r>
        <w:rPr>
          <w:spacing w:val="-1"/>
          <w:w w:val="99"/>
          <w:sz w:val="21"/>
        </w:rPr>
        <w:t>同累</w:t>
      </w:r>
      <w:r>
        <w:rPr>
          <w:spacing w:val="1"/>
          <w:w w:val="99"/>
          <w:sz w:val="21"/>
        </w:rPr>
        <w:t>计</w:t>
      </w:r>
      <w:r>
        <w:rPr>
          <w:spacing w:val="-1"/>
          <w:w w:val="99"/>
          <w:sz w:val="21"/>
        </w:rPr>
        <w:t>已</w:t>
      </w:r>
      <w:r>
        <w:rPr>
          <w:spacing w:val="1"/>
          <w:w w:val="99"/>
          <w:sz w:val="21"/>
        </w:rPr>
        <w:t>交</w:t>
      </w:r>
      <w:r>
        <w:rPr>
          <w:spacing w:val="-1"/>
          <w:w w:val="99"/>
          <w:sz w:val="21"/>
        </w:rPr>
        <w:t>保</w:t>
      </w:r>
      <w:r>
        <w:rPr>
          <w:spacing w:val="1"/>
          <w:w w:val="99"/>
          <w:sz w:val="21"/>
        </w:rPr>
        <w:t>险费</w:t>
      </w:r>
      <w:r>
        <w:rPr>
          <w:spacing w:val="-1"/>
          <w:w w:val="99"/>
          <w:sz w:val="21"/>
        </w:rPr>
        <w:t>，</w:t>
      </w:r>
      <w:r>
        <w:rPr>
          <w:spacing w:val="1"/>
          <w:w w:val="99"/>
          <w:sz w:val="21"/>
        </w:rPr>
        <w:t>本</w:t>
      </w:r>
      <w:r>
        <w:rPr>
          <w:spacing w:val="-1"/>
          <w:w w:val="99"/>
          <w:sz w:val="21"/>
        </w:rPr>
        <w:t>合</w:t>
      </w:r>
      <w:r>
        <w:rPr>
          <w:spacing w:val="1"/>
          <w:w w:val="99"/>
          <w:sz w:val="21"/>
        </w:rPr>
        <w:t>同</w:t>
      </w:r>
      <w:r>
        <w:rPr>
          <w:spacing w:val="-1"/>
          <w:w w:val="99"/>
          <w:sz w:val="21"/>
        </w:rPr>
        <w:t>终</w:t>
      </w:r>
      <w:r>
        <w:rPr>
          <w:spacing w:val="1"/>
          <w:w w:val="99"/>
          <w:sz w:val="21"/>
        </w:rPr>
        <w:t>止</w:t>
      </w:r>
      <w:r>
        <w:rPr>
          <w:w w:val="99"/>
          <w:sz w:val="21"/>
        </w:rPr>
        <w:t>。</w:t>
      </w:r>
    </w:p>
    <w:p>
      <w:pPr>
        <w:pStyle w:val="BodyText"/>
        <w:spacing w:line="273" w:lineRule="auto" w:before="98"/>
        <w:ind w:left="2939" w:right="366"/>
      </w:pPr>
      <w:r>
        <w:rPr/>
        <w:t>续保或者因</w:t>
      </w:r>
      <w:r>
        <w:rPr>
          <w:b/>
        </w:rPr>
        <w:t>意外伤害</w:t>
      </w:r>
      <w:r>
        <w:rPr>
          <w:position w:val="11"/>
          <w:sz w:val="10"/>
        </w:rPr>
        <w:t>9.4</w:t>
      </w:r>
      <w:r>
        <w:rPr/>
        <w:t>被专科医生初次确诊本合同所列的重大疾病，无等待</w:t>
      </w:r>
      <w:r>
        <w:rPr>
          <w:w w:val="95"/>
        </w:rPr>
        <w:t>期。</w:t>
      </w:r>
    </w:p>
    <w:p>
      <w:pPr>
        <w:pStyle w:val="BodyText"/>
        <w:spacing w:before="12"/>
        <w:rPr>
          <w:sz w:val="17"/>
        </w:rPr>
      </w:pPr>
    </w:p>
    <w:p>
      <w:pPr>
        <w:pStyle w:val="ListParagraph"/>
        <w:numPr>
          <w:ilvl w:val="1"/>
          <w:numId w:val="11"/>
        </w:numPr>
        <w:tabs>
          <w:tab w:pos="1047" w:val="left" w:leader="none"/>
          <w:tab w:pos="1048" w:val="left" w:leader="none"/>
          <w:tab w:pos="2939" w:val="left" w:leader="none"/>
        </w:tabs>
        <w:spacing w:line="240" w:lineRule="auto" w:before="0" w:after="0"/>
        <w:ind w:left="2939" w:right="0" w:hanging="2731"/>
        <w:jc w:val="left"/>
        <w:rPr>
          <w:sz w:val="21"/>
        </w:rPr>
      </w:pPr>
      <w:r>
        <w:rPr>
          <w:b/>
          <w:sz w:val="21"/>
        </w:rPr>
        <w:t>保险责任</w:t>
        <w:tab/>
      </w:r>
      <w:r>
        <w:rPr>
          <w:w w:val="95"/>
          <w:sz w:val="21"/>
        </w:rPr>
        <w:t>在本合同保险期间内，我们承担下列保险责任：</w:t>
      </w:r>
    </w:p>
    <w:p>
      <w:pPr>
        <w:pStyle w:val="BodyText"/>
        <w:spacing w:before="8"/>
        <w:rPr>
          <w:sz w:val="26"/>
        </w:rPr>
      </w:pPr>
    </w:p>
    <w:p>
      <w:pPr>
        <w:pStyle w:val="BodyText"/>
        <w:tabs>
          <w:tab w:pos="2939" w:val="left" w:leader="none"/>
        </w:tabs>
        <w:spacing w:line="273" w:lineRule="auto"/>
        <w:ind w:left="2939" w:right="212" w:hanging="1892"/>
      </w:pPr>
      <w:r>
        <w:rPr/>
        <w:t>重大疾病保险金</w:t>
        <w:tab/>
      </w:r>
      <w:r>
        <w:rPr>
          <w:spacing w:val="2"/>
        </w:rPr>
        <w:t>被保险</w:t>
      </w:r>
      <w:r>
        <w:rPr/>
        <w:t>人</w:t>
      </w:r>
      <w:r>
        <w:rPr>
          <w:spacing w:val="2"/>
        </w:rPr>
        <w:t>因意外伤</w:t>
      </w:r>
      <w:r>
        <w:rPr/>
        <w:t>害</w:t>
      </w:r>
      <w:r>
        <w:rPr>
          <w:spacing w:val="2"/>
        </w:rPr>
        <w:t>或于等待</w:t>
      </w:r>
      <w:r>
        <w:rPr/>
        <w:t>期</w:t>
      </w:r>
      <w:r>
        <w:rPr>
          <w:spacing w:val="2"/>
        </w:rPr>
        <w:t>后因疾病被专科</w:t>
      </w:r>
      <w:r>
        <w:rPr/>
        <w:t>医</w:t>
      </w:r>
      <w:r>
        <w:rPr>
          <w:spacing w:val="2"/>
        </w:rPr>
        <w:t>生初次确</w:t>
      </w:r>
      <w:r>
        <w:rPr/>
        <w:t>诊</w:t>
      </w:r>
      <w:r>
        <w:rPr>
          <w:spacing w:val="2"/>
        </w:rPr>
        <w:t>本合同所列</w:t>
      </w:r>
      <w:r>
        <w:rPr/>
        <w:t>的 </w:t>
      </w:r>
      <w:r>
        <w:rPr>
          <w:w w:val="95"/>
        </w:rPr>
        <w:t>重大疾病，我们按本合同保险金额给付重大疾病保险金，本合同终止。</w:t>
      </w:r>
    </w:p>
    <w:p>
      <w:pPr>
        <w:pStyle w:val="BodyText"/>
        <w:spacing w:before="2"/>
        <w:rPr>
          <w:sz w:val="25"/>
        </w:rPr>
      </w:pPr>
    </w:p>
    <w:p>
      <w:pPr>
        <w:pStyle w:val="ListParagraph"/>
        <w:numPr>
          <w:ilvl w:val="1"/>
          <w:numId w:val="11"/>
        </w:numPr>
        <w:tabs>
          <w:tab w:pos="1047" w:val="left" w:leader="none"/>
          <w:tab w:pos="1048" w:val="left" w:leader="none"/>
          <w:tab w:pos="2939" w:val="left" w:leader="none"/>
        </w:tabs>
        <w:spacing w:line="273" w:lineRule="auto" w:before="0" w:after="0"/>
        <w:ind w:left="2939" w:right="212" w:hanging="2731"/>
        <w:jc w:val="left"/>
        <w:rPr>
          <w:rFonts w:ascii="黑体" w:eastAsia="黑体" w:hint="eastAsia"/>
          <w:sz w:val="21"/>
        </w:rPr>
      </w:pPr>
      <w:r>
        <w:rPr>
          <w:b/>
          <w:sz w:val="21"/>
        </w:rPr>
        <w:t>责任免除</w:t>
        <w:tab/>
      </w:r>
      <w:r>
        <w:rPr>
          <w:rFonts w:ascii="黑体" w:eastAsia="黑体" w:hint="eastAsia"/>
          <w:spacing w:val="2"/>
          <w:sz w:val="21"/>
        </w:rPr>
        <w:t>因下列</w:t>
      </w:r>
      <w:r>
        <w:rPr>
          <w:rFonts w:ascii="黑体" w:eastAsia="黑体" w:hint="eastAsia"/>
          <w:sz w:val="21"/>
        </w:rPr>
        <w:t>情</w:t>
      </w:r>
      <w:r>
        <w:rPr>
          <w:rFonts w:ascii="黑体" w:eastAsia="黑体" w:hint="eastAsia"/>
          <w:spacing w:val="2"/>
          <w:sz w:val="21"/>
        </w:rPr>
        <w:t>形之一导致</w:t>
      </w:r>
      <w:r>
        <w:rPr>
          <w:rFonts w:ascii="黑体" w:eastAsia="黑体" w:hint="eastAsia"/>
          <w:sz w:val="21"/>
        </w:rPr>
        <w:t>被</w:t>
      </w:r>
      <w:r>
        <w:rPr>
          <w:rFonts w:ascii="黑体" w:eastAsia="黑体" w:hint="eastAsia"/>
          <w:spacing w:val="2"/>
          <w:sz w:val="21"/>
        </w:rPr>
        <w:t>保险</w:t>
      </w:r>
      <w:r>
        <w:rPr>
          <w:rFonts w:ascii="黑体" w:eastAsia="黑体" w:hint="eastAsia"/>
          <w:sz w:val="21"/>
        </w:rPr>
        <w:t>人</w:t>
      </w:r>
      <w:r>
        <w:rPr>
          <w:rFonts w:ascii="黑体" w:eastAsia="黑体" w:hint="eastAsia"/>
          <w:spacing w:val="5"/>
          <w:sz w:val="21"/>
        </w:rPr>
        <w:t>初</w:t>
      </w:r>
      <w:r>
        <w:rPr>
          <w:rFonts w:ascii="黑体" w:eastAsia="黑体" w:hint="eastAsia"/>
          <w:spacing w:val="2"/>
          <w:sz w:val="21"/>
        </w:rPr>
        <w:t>次确诊</w:t>
      </w:r>
      <w:r>
        <w:rPr>
          <w:rFonts w:ascii="黑体" w:eastAsia="黑体" w:hint="eastAsia"/>
          <w:sz w:val="21"/>
        </w:rPr>
        <w:t>本</w:t>
      </w:r>
      <w:r>
        <w:rPr>
          <w:rFonts w:ascii="黑体" w:eastAsia="黑体" w:hint="eastAsia"/>
          <w:spacing w:val="2"/>
          <w:sz w:val="21"/>
        </w:rPr>
        <w:t>合同所</w:t>
      </w:r>
      <w:r>
        <w:rPr>
          <w:rFonts w:ascii="黑体" w:eastAsia="黑体" w:hint="eastAsia"/>
          <w:sz w:val="21"/>
        </w:rPr>
        <w:t>列</w:t>
      </w:r>
      <w:r>
        <w:rPr>
          <w:rFonts w:ascii="黑体" w:eastAsia="黑体" w:hint="eastAsia"/>
          <w:spacing w:val="2"/>
          <w:sz w:val="21"/>
        </w:rPr>
        <w:t>的重大</w:t>
      </w:r>
      <w:r>
        <w:rPr>
          <w:rFonts w:ascii="黑体" w:eastAsia="黑体" w:hint="eastAsia"/>
          <w:sz w:val="21"/>
        </w:rPr>
        <w:t>疾</w:t>
      </w:r>
      <w:r>
        <w:rPr>
          <w:rFonts w:ascii="黑体" w:eastAsia="黑体" w:hint="eastAsia"/>
          <w:spacing w:val="2"/>
          <w:sz w:val="21"/>
        </w:rPr>
        <w:t>病，我们不承</w:t>
      </w:r>
      <w:r>
        <w:rPr>
          <w:rFonts w:ascii="黑体" w:eastAsia="黑体" w:hint="eastAsia"/>
          <w:sz w:val="21"/>
        </w:rPr>
        <w:t>担 </w:t>
      </w:r>
      <w:r>
        <w:rPr>
          <w:rFonts w:ascii="黑体" w:eastAsia="黑体" w:hint="eastAsia"/>
          <w:w w:val="95"/>
          <w:sz w:val="21"/>
        </w:rPr>
        <w:t>给付保险金的责任：</w:t>
      </w:r>
    </w:p>
    <w:p>
      <w:pPr>
        <w:pStyle w:val="BodyText"/>
        <w:spacing w:before="101"/>
        <w:ind w:left="2939"/>
        <w:rPr>
          <w:rFonts w:ascii="黑体" w:eastAsia="黑体" w:hint="eastAsia"/>
        </w:rPr>
      </w:pPr>
      <w:r>
        <w:rPr>
          <w:rFonts w:ascii="黑体" w:eastAsia="黑体" w:hint="eastAsia"/>
          <w:w w:val="95"/>
        </w:rPr>
        <w:t>（1）投保人对被保险人的故意杀害、故意伤害；</w:t>
      </w:r>
    </w:p>
    <w:p>
      <w:pPr>
        <w:pStyle w:val="BodyText"/>
        <w:spacing w:before="130"/>
        <w:ind w:left="2939"/>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1"/>
          <w:w w:val="106"/>
          <w:position w:val="10"/>
          <w:sz w:val="10"/>
        </w:rPr>
        <w:t>9</w:t>
      </w:r>
      <w:r>
        <w:rPr>
          <w:rFonts w:ascii="黑体" w:eastAsia="黑体" w:hint="eastAsia"/>
          <w:spacing w:val="-3"/>
          <w:w w:val="106"/>
          <w:position w:val="10"/>
          <w:sz w:val="10"/>
        </w:rPr>
        <w:t>.</w:t>
      </w:r>
      <w:r>
        <w:rPr>
          <w:rFonts w:ascii="黑体" w:eastAsia="黑体" w:hint="eastAsia"/>
          <w:spacing w:val="-1"/>
          <w:w w:val="106"/>
          <w:position w:val="10"/>
          <w:sz w:val="10"/>
        </w:rPr>
        <w:t>5</w:t>
      </w:r>
      <w:r>
        <w:rPr>
          <w:rFonts w:ascii="黑体" w:eastAsia="黑体" w:hint="eastAsia"/>
          <w:w w:val="99"/>
          <w:sz w:val="21"/>
        </w:rPr>
        <w:t>；</w:t>
      </w:r>
    </w:p>
    <w:p>
      <w:pPr>
        <w:spacing w:line="273" w:lineRule="auto" w:before="130"/>
        <w:ind w:left="3464" w:right="186" w:hanging="526"/>
        <w:jc w:val="left"/>
        <w:rPr>
          <w:rFonts w:ascii="黑体" w:eastAsia="黑体" w:hint="eastAsia"/>
          <w:sz w:val="21"/>
        </w:rPr>
      </w:pPr>
      <w:r>
        <w:rPr>
          <w:rFonts w:ascii="黑体" w:eastAsia="黑体" w:hint="eastAsia"/>
          <w:sz w:val="21"/>
        </w:rPr>
        <w:t>（4）</w:t>
      </w:r>
      <w:r>
        <w:rPr>
          <w:rFonts w:ascii="黑体" w:eastAsia="黑体" w:hint="eastAsia"/>
          <w:spacing w:val="-8"/>
          <w:sz w:val="21"/>
        </w:rPr>
        <w:t>被保险人</w:t>
      </w:r>
      <w:r>
        <w:rPr>
          <w:rFonts w:ascii="黑体" w:eastAsia="黑体" w:hint="eastAsia"/>
          <w:b/>
          <w:spacing w:val="-17"/>
          <w:sz w:val="21"/>
        </w:rPr>
        <w:t>酒后驾驶 </w:t>
      </w:r>
      <w:r>
        <w:rPr>
          <w:rFonts w:ascii="黑体" w:eastAsia="黑体" w:hint="eastAsia"/>
          <w:spacing w:val="-6"/>
          <w:position w:val="10"/>
          <w:sz w:val="10"/>
        </w:rPr>
        <w:t>9.6</w:t>
      </w:r>
      <w:r>
        <w:rPr>
          <w:rFonts w:ascii="黑体" w:eastAsia="黑体" w:hint="eastAsia"/>
          <w:spacing w:val="-8"/>
          <w:sz w:val="21"/>
        </w:rPr>
        <w:t>、</w:t>
      </w:r>
      <w:r>
        <w:rPr>
          <w:rFonts w:ascii="黑体" w:eastAsia="黑体" w:hint="eastAsia"/>
          <w:b/>
          <w:spacing w:val="-13"/>
          <w:sz w:val="21"/>
        </w:rPr>
        <w:t>无合法有效驾驶证驾驶 </w:t>
      </w:r>
      <w:r>
        <w:rPr>
          <w:rFonts w:ascii="黑体" w:eastAsia="黑体" w:hint="eastAsia"/>
          <w:spacing w:val="-4"/>
          <w:position w:val="10"/>
          <w:sz w:val="10"/>
        </w:rPr>
        <w:t>9.7 </w:t>
      </w:r>
      <w:r>
        <w:rPr>
          <w:rFonts w:ascii="黑体" w:eastAsia="黑体" w:hint="eastAsia"/>
          <w:spacing w:val="-8"/>
          <w:sz w:val="21"/>
        </w:rPr>
        <w:t>或驾驶</w:t>
      </w:r>
      <w:r>
        <w:rPr>
          <w:rFonts w:ascii="黑体" w:eastAsia="黑体" w:hint="eastAsia"/>
          <w:b/>
          <w:spacing w:val="-14"/>
          <w:sz w:val="21"/>
        </w:rPr>
        <w:t>无有效行驶证 </w:t>
      </w:r>
      <w:r>
        <w:rPr>
          <w:rFonts w:ascii="黑体" w:eastAsia="黑体" w:hint="eastAsia"/>
          <w:spacing w:val="-4"/>
          <w:position w:val="10"/>
          <w:sz w:val="10"/>
        </w:rPr>
        <w:t>9.8 </w:t>
      </w:r>
      <w:r>
        <w:rPr>
          <w:rFonts w:ascii="黑体" w:eastAsia="黑体" w:hint="eastAsia"/>
          <w:sz w:val="21"/>
        </w:rPr>
        <w:t>的</w:t>
      </w:r>
      <w:r>
        <w:rPr>
          <w:rFonts w:ascii="黑体" w:eastAsia="黑体" w:hint="eastAsia"/>
          <w:spacing w:val="-6"/>
          <w:w w:val="95"/>
          <w:sz w:val="21"/>
        </w:rPr>
        <w:t>机动车；</w:t>
      </w:r>
    </w:p>
    <w:p>
      <w:pPr>
        <w:pStyle w:val="BodyText"/>
        <w:spacing w:before="103"/>
        <w:ind w:left="2939"/>
        <w:rPr>
          <w:rFonts w:ascii="黑体" w:eastAsia="黑体" w:hint="eastAsia"/>
        </w:rPr>
      </w:pPr>
      <w:r>
        <w:rPr>
          <w:rFonts w:ascii="黑体" w:eastAsia="黑体" w:hint="eastAsia"/>
          <w:w w:val="95"/>
        </w:rPr>
        <w:t>（5）战争、军事冲突、暴乱或武装叛乱；</w:t>
      </w:r>
    </w:p>
    <w:p>
      <w:pPr>
        <w:pStyle w:val="BodyText"/>
        <w:spacing w:before="130"/>
        <w:ind w:left="2939"/>
        <w:rPr>
          <w:rFonts w:ascii="黑体" w:eastAsia="黑体" w:hint="eastAsia"/>
        </w:rPr>
      </w:pPr>
      <w:r>
        <w:rPr>
          <w:rFonts w:ascii="黑体" w:eastAsia="黑体" w:hint="eastAsia"/>
          <w:w w:val="95"/>
        </w:rPr>
        <w:t>（6）核爆炸、核辐射或核污染；</w:t>
      </w:r>
    </w:p>
    <w:p>
      <w:pPr>
        <w:spacing w:before="130"/>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7</w:t>
      </w:r>
      <w:r>
        <w:rPr>
          <w:rFonts w:ascii="黑体" w:eastAsia="黑体" w:hint="eastAsia"/>
          <w:spacing w:val="1"/>
          <w:w w:val="99"/>
          <w:sz w:val="21"/>
        </w:rPr>
        <w:t>）</w:t>
      </w:r>
      <w:r>
        <w:rPr>
          <w:rFonts w:ascii="黑体" w:eastAsia="黑体" w:hint="eastAsia"/>
          <w:b/>
          <w:w w:val="99"/>
          <w:sz w:val="21"/>
        </w:rPr>
        <w:t>遗传性疾病</w:t>
      </w:r>
      <w:r>
        <w:rPr>
          <w:rFonts w:ascii="黑体" w:eastAsia="黑体" w:hint="eastAsia"/>
          <w:b/>
          <w:spacing w:val="-54"/>
          <w:sz w:val="21"/>
        </w:rPr>
        <w:t> </w:t>
      </w:r>
      <w:r>
        <w:rPr>
          <w:rFonts w:ascii="黑体" w:eastAsia="黑体" w:hint="eastAsia"/>
          <w:spacing w:val="-1"/>
          <w:w w:val="106"/>
          <w:position w:val="11"/>
          <w:sz w:val="10"/>
        </w:rPr>
        <w:t>9.9</w:t>
      </w:r>
      <w:r>
        <w:rPr>
          <w:rFonts w:ascii="黑体" w:eastAsia="黑体" w:hint="eastAsia"/>
          <w:spacing w:val="1"/>
          <w:w w:val="99"/>
          <w:sz w:val="21"/>
        </w:rPr>
        <w:t>，</w:t>
      </w:r>
      <w:r>
        <w:rPr>
          <w:rFonts w:ascii="黑体" w:eastAsia="黑体" w:hint="eastAsia"/>
          <w:b/>
          <w:spacing w:val="-1"/>
          <w:w w:val="99"/>
          <w:sz w:val="21"/>
        </w:rPr>
        <w:t>先天性畸形、变形或染色体异常</w:t>
      </w:r>
      <w:r>
        <w:rPr>
          <w:rFonts w:ascii="黑体" w:eastAsia="黑体" w:hint="eastAsia"/>
          <w:b/>
          <w:spacing w:val="-54"/>
          <w:sz w:val="21"/>
        </w:rPr>
        <w:t> </w:t>
      </w:r>
      <w:r>
        <w:rPr>
          <w:rFonts w:ascii="黑体" w:eastAsia="黑体" w:hint="eastAsia"/>
          <w:spacing w:val="-1"/>
          <w:w w:val="106"/>
          <w:position w:val="11"/>
          <w:sz w:val="10"/>
        </w:rPr>
        <w:t>9.10</w:t>
      </w:r>
      <w:r>
        <w:rPr>
          <w:rFonts w:ascii="黑体" w:eastAsia="黑体" w:hint="eastAsia"/>
          <w:w w:val="99"/>
          <w:sz w:val="21"/>
        </w:rPr>
        <w:t>；</w:t>
      </w:r>
    </w:p>
    <w:p>
      <w:pPr>
        <w:spacing w:before="130"/>
        <w:ind w:left="2939" w:right="0" w:firstLine="0"/>
        <w:jc w:val="left"/>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0"/>
        </w:rPr>
        <w:t>9.11</w:t>
      </w:r>
      <w:r>
        <w:rPr>
          <w:rFonts w:ascii="黑体" w:eastAsia="黑体" w:hint="eastAsia"/>
          <w:sz w:val="21"/>
        </w:rPr>
        <w:t>。</w:t>
      </w:r>
    </w:p>
    <w:p>
      <w:pPr>
        <w:pStyle w:val="BodyText"/>
        <w:spacing w:line="273" w:lineRule="auto" w:before="130"/>
        <w:ind w:left="2939" w:right="212"/>
        <w:rPr>
          <w:rFonts w:ascii="黑体" w:eastAsia="黑体" w:hint="eastAsia"/>
        </w:rPr>
      </w:pPr>
      <w:r>
        <w:rPr>
          <w:rFonts w:ascii="黑体" w:eastAsia="黑体" w:hint="eastAsia"/>
          <w:w w:val="95"/>
        </w:rPr>
        <w:t>发Th上述第（1）项情形导致被保险人初次确诊本合同所列的重大疾病的，本  合同终止，我们向被保险人退还本合同的</w:t>
      </w:r>
      <w:r>
        <w:rPr>
          <w:rFonts w:ascii="黑体" w:eastAsia="黑体" w:hint="eastAsia"/>
          <w:b/>
          <w:w w:val="95"/>
        </w:rPr>
        <w:t>未满期净保险费</w:t>
      </w:r>
      <w:r>
        <w:rPr>
          <w:rFonts w:ascii="黑体" w:eastAsia="黑体" w:hint="eastAsia"/>
          <w:w w:val="95"/>
          <w:position w:val="10"/>
          <w:sz w:val="10"/>
        </w:rPr>
        <w:t>9.12</w:t>
      </w:r>
      <w:r>
        <w:rPr>
          <w:rFonts w:ascii="黑体" w:eastAsia="黑体" w:hint="eastAsia"/>
          <w:w w:val="95"/>
        </w:rPr>
        <w:t>。</w:t>
      </w:r>
    </w:p>
    <w:p>
      <w:pPr>
        <w:pStyle w:val="BodyText"/>
        <w:spacing w:line="273" w:lineRule="auto" w:before="100"/>
        <w:ind w:left="2939" w:right="212"/>
        <w:rPr>
          <w:rFonts w:ascii="黑体" w:eastAsia="黑体" w:hint="eastAsia"/>
        </w:rPr>
      </w:pPr>
      <w:r>
        <w:rPr>
          <w:rFonts w:ascii="黑体" w:eastAsia="黑体" w:hint="eastAsia"/>
        </w:rPr>
        <w:t>发Th上述其他情形导致被保险人初次确诊本合同所列的重大疾病的，本合同</w:t>
      </w:r>
      <w:r>
        <w:rPr>
          <w:rFonts w:ascii="黑体" w:eastAsia="黑体" w:hint="eastAsia"/>
          <w:w w:val="95"/>
        </w:rPr>
        <w:t>终止，我们向您退还本合同的未满期净保险费。</w:t>
      </w:r>
    </w:p>
    <w:p>
      <w:pPr>
        <w:pStyle w:val="BodyText"/>
        <w:rPr>
          <w:rFonts w:ascii="黑体"/>
          <w:sz w:val="20"/>
        </w:rPr>
      </w:pPr>
    </w:p>
    <w:p>
      <w:pPr>
        <w:pStyle w:val="BodyText"/>
        <w:spacing w:before="9"/>
        <w:rPr>
          <w:rFonts w:ascii="黑体"/>
          <w:sz w:val="17"/>
        </w:rPr>
      </w:pPr>
    </w:p>
    <w:p>
      <w:pPr>
        <w:tabs>
          <w:tab w:pos="1047" w:val="left" w:leader="none"/>
        </w:tabs>
        <w:spacing w:before="0"/>
        <w:ind w:left="208" w:right="0" w:firstLine="0"/>
        <w:jc w:val="left"/>
        <w:rPr>
          <w:b/>
          <w:sz w:val="24"/>
        </w:rPr>
      </w:pPr>
      <w:r>
        <w:rPr/>
        <w:pict>
          <v:line style="position:absolute;mso-position-horizontal-relative:page;mso-position-vertical-relative:paragraph;z-index:1144;mso-wrap-distance-left:0;mso-wrap-distance-right:0" from="51.049999pt,28.449762pt" to="549.999999pt,28.449762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BodyText"/>
        <w:tabs>
          <w:tab w:pos="2939" w:val="left" w:leader="none"/>
        </w:tabs>
        <w:spacing w:before="163"/>
        <w:ind w:left="1048"/>
      </w:pPr>
      <w:r>
        <w:rPr>
          <w:b/>
        </w:rPr>
        <w:t>保险费的支付</w:t>
        <w:tab/>
      </w:r>
      <w:r>
        <w:rPr>
          <w:w w:val="95"/>
        </w:rPr>
        <w:t>本合同保险费的交费方式由您和我们约定，并载明于保险单上。</w:t>
      </w:r>
    </w:p>
    <w:p>
      <w:pPr>
        <w:pStyle w:val="BodyText"/>
        <w:rPr>
          <w:sz w:val="20"/>
        </w:rPr>
      </w:pPr>
    </w:p>
    <w:p>
      <w:pPr>
        <w:pStyle w:val="BodyText"/>
        <w:spacing w:before="6"/>
        <w:rPr>
          <w:sz w:val="24"/>
        </w:rPr>
      </w:pPr>
    </w:p>
    <w:p>
      <w:pPr>
        <w:pStyle w:val="Heading2"/>
        <w:tabs>
          <w:tab w:pos="1047" w:val="left" w:leader="none"/>
        </w:tabs>
        <w:spacing w:before="1"/>
      </w:pPr>
      <w:r>
        <w:rPr/>
        <w:pict>
          <v:line style="position:absolute;mso-position-horizontal-relative:page;mso-position-vertical-relative:paragraph;z-index:1168;mso-wrap-distance-left:0;mso-wrap-distance-right:0" from="51.049999pt,28.570271pt" to="549.999999pt,28.570271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12"/>
        </w:numPr>
        <w:tabs>
          <w:tab w:pos="1047" w:val="left" w:leader="none"/>
          <w:tab w:pos="1048" w:val="left" w:leader="none"/>
          <w:tab w:pos="2939" w:val="left" w:leader="none"/>
        </w:tabs>
        <w:spacing w:line="240" w:lineRule="auto" w:before="164"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0"/>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spacing w:after="0" w:line="273" w:lineRule="auto"/>
        <w:jc w:val="both"/>
        <w:sectPr>
          <w:pgSz w:w="11910" w:h="16840"/>
          <w:pgMar w:header="607" w:footer="405" w:top="800" w:bottom="600" w:left="920" w:right="800"/>
        </w:sectPr>
      </w:pPr>
    </w:p>
    <w:p>
      <w:pPr>
        <w:pStyle w:val="BodyText"/>
        <w:rPr>
          <w:sz w:val="20"/>
        </w:rPr>
      </w:pPr>
    </w:p>
    <w:p>
      <w:pPr>
        <w:pStyle w:val="BodyText"/>
        <w:rPr>
          <w:sz w:val="25"/>
        </w:rPr>
      </w:pPr>
    </w:p>
    <w:p>
      <w:pPr>
        <w:pStyle w:val="ListParagraph"/>
        <w:numPr>
          <w:ilvl w:val="1"/>
          <w:numId w:val="12"/>
        </w:numPr>
        <w:tabs>
          <w:tab w:pos="1047" w:val="left" w:leader="none"/>
          <w:tab w:pos="1048" w:val="left" w:leader="none"/>
          <w:tab w:pos="2939" w:val="left" w:leader="none"/>
        </w:tabs>
        <w:spacing w:line="240" w:lineRule="auto" w:before="34"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0"/>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3"/>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0"/>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0"/>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9"/>
      </w:pPr>
    </w:p>
    <w:p>
      <w:pPr>
        <w:spacing w:after="0"/>
        <w:sectPr>
          <w:pgSz w:w="11910" w:h="16840"/>
          <w:pgMar w:header="607" w:footer="405" w:top="800" w:bottom="600" w:left="920" w:right="800"/>
        </w:sectPr>
      </w:pPr>
    </w:p>
    <w:p>
      <w:pPr>
        <w:pStyle w:val="Heading3"/>
        <w:numPr>
          <w:ilvl w:val="1"/>
          <w:numId w:val="12"/>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before="35"/>
        <w:ind w:left="208" w:right="108"/>
      </w:pPr>
      <w:r>
        <w:rPr/>
        <w:br w:type="column"/>
      </w:r>
      <w:r>
        <w:rPr>
          <w:spacing w:val="-12"/>
        </w:rPr>
        <w:t>本合同 </w:t>
      </w:r>
      <w:r>
        <w:rPr/>
        <w:t>4.2</w:t>
      </w:r>
      <w:r>
        <w:rPr>
          <w:spacing w:val="-5"/>
        </w:rPr>
        <w:t> 规定的本合同解除权，自我们知道有解除或终止事由之日起，超</w:t>
      </w:r>
      <w:r>
        <w:rPr>
          <w:spacing w:val="-5"/>
          <w:w w:val="95"/>
        </w:rPr>
        <w:t>过三十日不行使而消灭。自本合同成立日起超过二年的，我们不得解除合同；  发生保险事故的，我们承担给付保险金的责任。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11"/>
        <w:rPr>
          <w:sz w:val="26"/>
        </w:rPr>
      </w:pPr>
    </w:p>
    <w:p>
      <w:pPr>
        <w:pStyle w:val="Heading2"/>
        <w:tabs>
          <w:tab w:pos="1047" w:val="left" w:leader="none"/>
        </w:tabs>
        <w:spacing w:before="65"/>
      </w:pPr>
      <w:r>
        <w:rPr/>
        <w:pict>
          <v:line style="position:absolute;mso-position-horizontal-relative:page;mso-position-vertical-relative:paragraph;z-index:1192;mso-wrap-distance-left:0;mso-wrap-distance-right:0" from="51.049999pt,31.730268pt" to="549.999999pt,31.730268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3"/>
        <w:numPr>
          <w:ilvl w:val="1"/>
          <w:numId w:val="13"/>
        </w:numPr>
        <w:tabs>
          <w:tab w:pos="1047" w:val="left" w:leader="none"/>
          <w:tab w:pos="1048" w:val="left" w:leader="none"/>
        </w:tabs>
        <w:spacing w:line="240" w:lineRule="auto" w:before="208" w:after="0"/>
        <w:ind w:left="2939" w:right="0" w:hanging="2731"/>
        <w:jc w:val="left"/>
      </w:pPr>
      <w:r>
        <w:rPr>
          <w:w w:val="95"/>
        </w:rPr>
        <w:t>受益人</w:t>
      </w:r>
    </w:p>
    <w:p>
      <w:pPr>
        <w:pStyle w:val="BodyText"/>
        <w:spacing w:before="1"/>
        <w:rPr>
          <w:b/>
          <w:sz w:val="18"/>
        </w:rPr>
      </w:pPr>
    </w:p>
    <w:p>
      <w:pPr>
        <w:spacing w:after="0"/>
        <w:rPr>
          <w:sz w:val="18"/>
        </w:rPr>
        <w:sectPr>
          <w:type w:val="continuous"/>
          <w:pgSz w:w="11910" w:h="16840"/>
          <w:pgMar w:top="540" w:bottom="280" w:left="920" w:right="800"/>
        </w:sectPr>
      </w:pPr>
    </w:p>
    <w:p>
      <w:pPr>
        <w:pStyle w:val="BodyText"/>
        <w:spacing w:line="273" w:lineRule="auto" w:before="35"/>
        <w:ind w:left="1048"/>
      </w:pPr>
      <w:r>
        <w:rPr>
          <w:w w:val="95"/>
        </w:rPr>
        <w:t>重大疾病保险金受益人</w:t>
      </w:r>
    </w:p>
    <w:p>
      <w:pPr>
        <w:pStyle w:val="BodyText"/>
        <w:spacing w:before="35"/>
        <w:ind w:left="382"/>
      </w:pPr>
      <w:r>
        <w:rPr/>
        <w:br w:type="column"/>
      </w:r>
      <w:r>
        <w:rPr>
          <w:w w:val="95"/>
        </w:rPr>
        <w:t>本合同重大疾病保险金受益人为被保险人。</w:t>
      </w:r>
    </w:p>
    <w:p>
      <w:pPr>
        <w:spacing w:after="0"/>
        <w:sectPr>
          <w:type w:val="continuous"/>
          <w:pgSz w:w="11910" w:h="16840"/>
          <w:pgMar w:top="540" w:bottom="280" w:left="920" w:right="800"/>
          <w:cols w:num="2" w:equalWidth="0">
            <w:col w:w="2517" w:space="40"/>
            <w:col w:w="7633"/>
          </w:cols>
        </w:sectPr>
      </w:pPr>
    </w:p>
    <w:p>
      <w:pPr>
        <w:pStyle w:val="BodyText"/>
        <w:spacing w:before="12"/>
        <w:rPr>
          <w:sz w:val="15"/>
        </w:rPr>
      </w:pPr>
    </w:p>
    <w:p>
      <w:pPr>
        <w:pStyle w:val="ListParagraph"/>
        <w:numPr>
          <w:ilvl w:val="1"/>
          <w:numId w:val="13"/>
        </w:numPr>
        <w:tabs>
          <w:tab w:pos="1047" w:val="left" w:leader="none"/>
          <w:tab w:pos="1048" w:val="left" w:leader="none"/>
          <w:tab w:pos="2939" w:val="left" w:leader="none"/>
        </w:tabs>
        <w:spacing w:line="240" w:lineRule="auto" w:before="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3"/>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但我们通过其他途径已经及时知道或者应当及时知道保险事故发生或者虽您或受益人未及时通知但不影响我们确定保险事故的性质、原因、损失程度的</w:t>
      </w:r>
      <w:r>
        <w:rPr>
          <w:w w:val="95"/>
        </w:rPr>
        <w:t>除外。</w:t>
      </w:r>
    </w:p>
    <w:p>
      <w:pPr>
        <w:pStyle w:val="BodyText"/>
        <w:spacing w:before="4"/>
        <w:rPr>
          <w:sz w:val="25"/>
        </w:rPr>
      </w:pPr>
    </w:p>
    <w:p>
      <w:pPr>
        <w:pStyle w:val="Heading3"/>
        <w:numPr>
          <w:ilvl w:val="1"/>
          <w:numId w:val="13"/>
        </w:numPr>
        <w:tabs>
          <w:tab w:pos="1047" w:val="left" w:leader="none"/>
          <w:tab w:pos="1048" w:val="left" w:leader="none"/>
        </w:tabs>
        <w:spacing w:line="240" w:lineRule="auto" w:before="1" w:after="0"/>
        <w:ind w:left="2939" w:right="0" w:hanging="2731"/>
        <w:jc w:val="left"/>
      </w:pPr>
      <w:r>
        <w:rPr>
          <w:w w:val="95"/>
        </w:rPr>
        <w:t>保险金申请</w:t>
      </w:r>
    </w:p>
    <w:p>
      <w:pPr>
        <w:pStyle w:val="BodyText"/>
        <w:spacing w:before="12"/>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重大疾病保险金</w:t>
      </w:r>
      <w:r>
        <w:rPr/>
        <w:t>申请</w:t>
      </w:r>
    </w:p>
    <w:p>
      <w:pPr>
        <w:pStyle w:val="BodyText"/>
        <w:spacing w:line="273" w:lineRule="auto" w:before="35"/>
        <w:ind w:left="382" w:right="212"/>
      </w:pPr>
      <w:r>
        <w:rPr/>
        <w:br w:type="column"/>
      </w:r>
      <w:r>
        <w:rPr/>
        <w:t>在申请重大疾病保险金时，申请人须填写保险金给付申请书，并提供下列证</w:t>
      </w:r>
      <w:r>
        <w:rPr>
          <w:w w:val="95"/>
        </w:rPr>
        <w:t>明和资料：</w:t>
      </w:r>
    </w:p>
    <w:p>
      <w:pPr>
        <w:pStyle w:val="BodyText"/>
        <w:spacing w:before="103"/>
        <w:ind w:left="382"/>
      </w:pPr>
      <w:r>
        <w:rPr>
          <w:w w:val="95"/>
        </w:rPr>
        <w:t>（1）保险合同；</w:t>
      </w:r>
    </w:p>
    <w:p>
      <w:pPr>
        <w:pStyle w:val="BodyText"/>
        <w:spacing w:before="130"/>
        <w:ind w:left="382"/>
      </w:pPr>
      <w:r>
        <w:rPr>
          <w:w w:val="95"/>
        </w:rPr>
        <w:t>（2）申请人的有效身份证件；</w:t>
      </w:r>
    </w:p>
    <w:p>
      <w:pPr>
        <w:spacing w:line="273" w:lineRule="auto" w:before="130"/>
        <w:ind w:left="907" w:right="203" w:hanging="526"/>
        <w:jc w:val="left"/>
        <w:rPr>
          <w:sz w:val="21"/>
        </w:rPr>
      </w:pPr>
      <w:r>
        <w:rPr>
          <w:spacing w:val="-15"/>
          <w:sz w:val="21"/>
        </w:rPr>
        <w:t>（3）</w:t>
      </w:r>
      <w:r>
        <w:rPr>
          <w:sz w:val="21"/>
        </w:rPr>
        <w:t>由</w:t>
      </w:r>
      <w:r>
        <w:rPr>
          <w:b/>
          <w:spacing w:val="-5"/>
          <w:sz w:val="21"/>
        </w:rPr>
        <w:t>本公司认可的医疗机构 </w:t>
      </w:r>
      <w:r>
        <w:rPr>
          <w:position w:val="11"/>
          <w:sz w:val="10"/>
        </w:rPr>
        <w:t>9.13 </w:t>
      </w:r>
      <w:r>
        <w:rPr>
          <w:spacing w:val="-5"/>
          <w:sz w:val="21"/>
        </w:rPr>
        <w:t>出具的附有病理检查、血液检查及其他科学</w:t>
      </w:r>
      <w:r>
        <w:rPr>
          <w:spacing w:val="-5"/>
          <w:w w:val="95"/>
          <w:sz w:val="21"/>
        </w:rPr>
        <w:t>方法报告的诊断证明书；</w:t>
      </w:r>
    </w:p>
    <w:p>
      <w:pPr>
        <w:pStyle w:val="BodyText"/>
        <w:spacing w:before="101"/>
        <w:ind w:left="382"/>
      </w:pPr>
      <w:r>
        <w:rPr>
          <w:w w:val="95"/>
        </w:rPr>
        <w:t>（4）所能提供的与确认保险事故的性质、原因等有关的其他证明和资料。</w:t>
      </w:r>
    </w:p>
    <w:p>
      <w:pPr>
        <w:pStyle w:val="BodyText"/>
        <w:spacing w:before="3"/>
        <w:rPr>
          <w:sz w:val="20"/>
        </w:rPr>
      </w:pPr>
    </w:p>
    <w:p>
      <w:pPr>
        <w:pStyle w:val="BodyText"/>
        <w:ind w:left="382"/>
      </w:pPr>
      <w:r>
        <w:rPr>
          <w:w w:val="95"/>
        </w:rPr>
        <w:t>保险金作为被保险人遗产时，必须提供可证明合法继承权的相关权利文件。</w:t>
      </w:r>
    </w:p>
    <w:p>
      <w:pPr>
        <w:pStyle w:val="BodyText"/>
        <w:spacing w:line="273" w:lineRule="auto" w:before="113"/>
        <w:ind w:left="382" w:right="212"/>
      </w:pPr>
      <w:r>
        <w:rPr/>
        <w:t>申请人提供的证明和资料不完整的，我们将及时一次性通知申请人补充提供</w:t>
      </w:r>
      <w:r>
        <w:rPr>
          <w:w w:val="95"/>
        </w:rPr>
        <w:t>有关证明和资料。</w:t>
      </w:r>
    </w:p>
    <w:p>
      <w:pPr>
        <w:spacing w:after="0" w:line="273" w:lineRule="auto"/>
        <w:sectPr>
          <w:type w:val="continuous"/>
          <w:pgSz w:w="11910" w:h="16840"/>
          <w:pgMar w:top="540" w:bottom="280" w:left="920" w:right="800"/>
          <w:cols w:num="2" w:equalWidth="0">
            <w:col w:w="2517" w:space="40"/>
            <w:col w:w="7633"/>
          </w:cols>
        </w:sectPr>
      </w:pPr>
    </w:p>
    <w:p>
      <w:pPr>
        <w:pStyle w:val="BodyText"/>
        <w:rPr>
          <w:sz w:val="20"/>
        </w:rPr>
      </w:pPr>
    </w:p>
    <w:p>
      <w:pPr>
        <w:pStyle w:val="BodyText"/>
        <w:rPr>
          <w:sz w:val="25"/>
        </w:rPr>
      </w:pPr>
    </w:p>
    <w:p>
      <w:pPr>
        <w:pStyle w:val="ListParagraph"/>
        <w:numPr>
          <w:ilvl w:val="1"/>
          <w:numId w:val="13"/>
        </w:numPr>
        <w:tabs>
          <w:tab w:pos="1048" w:val="left" w:leader="none"/>
        </w:tabs>
        <w:spacing w:line="273" w:lineRule="auto" w:before="34" w:after="0"/>
        <w:ind w:left="2939" w:right="212" w:hanging="2731"/>
        <w:jc w:val="both"/>
        <w:rPr>
          <w:sz w:val="21"/>
        </w:rPr>
      </w:pPr>
      <w:r>
        <w:rPr>
          <w:b/>
          <w:spacing w:val="8"/>
          <w:sz w:val="21"/>
        </w:rPr>
        <w:t>保险事故鉴定    </w:t>
      </w:r>
      <w:r>
        <w:rPr>
          <w:sz w:val="21"/>
        </w:rPr>
        <w:t>如果被保险人发生保险事故，您和我们均可以委托具有相应司法鉴定资质的</w:t>
      </w:r>
      <w:r>
        <w:rPr>
          <w:w w:val="95"/>
          <w:sz w:val="21"/>
        </w:rPr>
        <w:t>司法鉴定机构，对保险事故进行评估和鉴定。</w:t>
      </w:r>
    </w:p>
    <w:p>
      <w:pPr>
        <w:pStyle w:val="BodyText"/>
        <w:spacing w:before="5"/>
        <w:rPr>
          <w:sz w:val="24"/>
        </w:rPr>
      </w:pPr>
    </w:p>
    <w:p>
      <w:pPr>
        <w:pStyle w:val="ListParagraph"/>
        <w:numPr>
          <w:ilvl w:val="1"/>
          <w:numId w:val="13"/>
        </w:numPr>
        <w:tabs>
          <w:tab w:pos="1048" w:val="left" w:leader="none"/>
        </w:tabs>
        <w:spacing w:line="273" w:lineRule="auto" w:before="0"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1"/>
        <w:ind w:left="2939" w:right="212"/>
        <w:jc w:val="both"/>
      </w:pPr>
      <w:r>
        <w:rPr/>
        <w:t>我们未及时履行前款规定义务的，除支付保险金外，应当赔偿受益人因此受</w:t>
      </w:r>
      <w:r>
        <w:rPr>
          <w:w w:val="95"/>
        </w:rPr>
        <w:t>到的损失。</w:t>
      </w:r>
    </w:p>
    <w:p>
      <w:pPr>
        <w:pStyle w:val="BodyText"/>
        <w:spacing w:line="273" w:lineRule="auto" w:before="103"/>
        <w:ind w:left="2939" w:right="212"/>
        <w:jc w:val="both"/>
      </w:pPr>
      <w:r>
        <w:rPr/>
        <w:t>对不属于保险责任的，我们自作出核定之日起三日内向受益人发出拒绝给付</w:t>
      </w:r>
      <w:r>
        <w:rPr>
          <w:w w:val="95"/>
        </w:rPr>
        <w:t>保险金通知书，并说明理由。</w:t>
      </w:r>
    </w:p>
    <w:p>
      <w:pPr>
        <w:pStyle w:val="BodyText"/>
        <w:spacing w:line="273" w:lineRule="auto" w:before="101"/>
        <w:ind w:left="2939" w:right="212"/>
        <w:jc w:val="both"/>
      </w:pPr>
      <w:r>
        <w:rPr/>
        <w:t>我们在收到保险金给付申请书及有关证明和资料之日起六十日内，对给付保险金的数额不能确定的，根据已有证明和资料可以确定的数额先予支付，我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pStyle w:val="ListParagraph"/>
        <w:numPr>
          <w:ilvl w:val="1"/>
          <w:numId w:val="13"/>
        </w:numPr>
        <w:tabs>
          <w:tab w:pos="1048" w:val="left" w:leader="none"/>
        </w:tabs>
        <w:spacing w:line="273" w:lineRule="auto" w:before="1" w:after="0"/>
        <w:ind w:left="2939" w:right="212" w:hanging="2731"/>
        <w:jc w:val="both"/>
        <w:rPr>
          <w:sz w:val="21"/>
        </w:rPr>
      </w:pPr>
      <w:r>
        <w:rPr>
          <w:b/>
          <w:spacing w:val="7"/>
          <w:sz w:val="21"/>
        </w:rPr>
        <w:t>诉讼时效        </w:t>
      </w:r>
      <w:r>
        <w:rPr>
          <w:sz w:val="21"/>
        </w:rPr>
        <w:t>受益人向我们请求给付保险金的诉讼时效期间为二年，自其知道或者应当知</w:t>
      </w:r>
      <w:r>
        <w:rPr>
          <w:w w:val="95"/>
          <w:sz w:val="21"/>
        </w:rPr>
        <w:t>道保险事故发生之日起计算。</w:t>
      </w:r>
    </w:p>
    <w:p>
      <w:pPr>
        <w:pStyle w:val="BodyText"/>
        <w:rPr>
          <w:sz w:val="20"/>
        </w:rPr>
      </w:pPr>
    </w:p>
    <w:p>
      <w:pPr>
        <w:pStyle w:val="BodyText"/>
        <w:spacing w:before="7"/>
        <w:rPr>
          <w:sz w:val="17"/>
        </w:rPr>
      </w:pPr>
    </w:p>
    <w:p>
      <w:pPr>
        <w:pStyle w:val="Heading2"/>
        <w:tabs>
          <w:tab w:pos="1047" w:val="left" w:leader="none"/>
        </w:tabs>
      </w:pPr>
      <w:r>
        <w:rPr/>
        <w:pict>
          <v:line style="position:absolute;mso-position-horizontal-relative:page;mso-position-vertical-relative:paragraph;z-index:1216;mso-wrap-distance-left:0;mso-wrap-distance-right:0" from="51.049999pt,28.489759pt" to="549.999999pt,28.489759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3"/>
        <w:rPr>
          <w:b/>
          <w:sz w:val="9"/>
        </w:rPr>
      </w:pPr>
    </w:p>
    <w:p>
      <w:pPr>
        <w:spacing w:after="0"/>
        <w:rPr>
          <w:sz w:val="9"/>
        </w:rPr>
        <w:sectPr>
          <w:pgSz w:w="11910" w:h="16840"/>
          <w:pgMar w:header="607" w:footer="405" w:top="800" w:bottom="600" w:left="920" w:right="800"/>
        </w:sectPr>
      </w:pPr>
    </w:p>
    <w:p>
      <w:pPr>
        <w:pStyle w:val="Heading3"/>
        <w:spacing w:line="273" w:lineRule="auto" w:before="34"/>
        <w:ind w:left="1048"/>
      </w:pPr>
      <w:r>
        <w:rPr>
          <w:w w:val="95"/>
        </w:rPr>
        <w:t>您解除合同的手续及风险</w:t>
      </w:r>
    </w:p>
    <w:p>
      <w:pPr>
        <w:pStyle w:val="BodyText"/>
        <w:spacing w:before="34"/>
        <w:ind w:left="377"/>
      </w:pPr>
      <w:r>
        <w:rPr/>
        <w:br w:type="column"/>
      </w:r>
      <w:r>
        <w:rPr>
          <w:w w:val="95"/>
        </w:rPr>
        <w:t>您申请解除本合同的，请填写解除合同申请书并向我们提供下列资料：</w:t>
      </w:r>
    </w:p>
    <w:p>
      <w:pPr>
        <w:pStyle w:val="BodyText"/>
        <w:spacing w:before="130"/>
        <w:ind w:left="377"/>
      </w:pPr>
      <w:r>
        <w:rPr>
          <w:w w:val="95"/>
        </w:rPr>
        <w:t>（1）保险合同；</w:t>
      </w:r>
    </w:p>
    <w:p>
      <w:pPr>
        <w:pStyle w:val="BodyText"/>
        <w:spacing w:before="130"/>
        <w:ind w:left="377"/>
      </w:pPr>
      <w:r>
        <w:rPr>
          <w:w w:val="95"/>
        </w:rPr>
        <w:t>（2）您的有效身份证件。</w:t>
      </w:r>
    </w:p>
    <w:p>
      <w:pPr>
        <w:pStyle w:val="BodyText"/>
        <w:spacing w:line="273" w:lineRule="auto" w:before="130"/>
        <w:ind w:left="377" w:right="212"/>
      </w:pPr>
      <w:r>
        <w:rPr/>
        <w:t>自我们收到解除合同申请书时起，本合同终止，我们自收到解除合同申请书</w:t>
      </w:r>
      <w:r>
        <w:rPr>
          <w:w w:val="95"/>
        </w:rPr>
        <w:t>之日起三十日内向您退还本合同的未满期净保险费。</w:t>
      </w:r>
    </w:p>
    <w:p>
      <w:pPr>
        <w:pStyle w:val="Heading3"/>
        <w:spacing w:line="355" w:lineRule="auto" w:before="101"/>
        <w:ind w:left="377" w:right="1343"/>
      </w:pPr>
      <w:r>
        <w:rPr/>
        <w:t>若已发生过保险金给付的，您不得行使本条规定的合同解除权。</w:t>
      </w:r>
      <w:r>
        <w:rPr>
          <w:w w:val="95"/>
        </w:rPr>
        <w:t>您解除合同会遭受一定损失。</w:t>
      </w:r>
    </w:p>
    <w:p>
      <w:pPr>
        <w:spacing w:after="0" w:line="355" w:lineRule="auto"/>
        <w:sectPr>
          <w:type w:val="continuous"/>
          <w:pgSz w:w="11910" w:h="16840"/>
          <w:pgMar w:top="540" w:bottom="280" w:left="920" w:right="800"/>
          <w:cols w:num="2" w:equalWidth="0">
            <w:col w:w="2522" w:space="40"/>
            <w:col w:w="7628"/>
          </w:cols>
        </w:sectPr>
      </w:pPr>
    </w:p>
    <w:p>
      <w:pPr>
        <w:pStyle w:val="BodyText"/>
        <w:spacing w:before="2"/>
        <w:rPr>
          <w:b/>
          <w:sz w:val="20"/>
        </w:rPr>
      </w:pPr>
    </w:p>
    <w:p>
      <w:pPr>
        <w:tabs>
          <w:tab w:pos="1047" w:val="left" w:leader="none"/>
        </w:tabs>
        <w:spacing w:before="63"/>
        <w:ind w:left="208" w:right="0" w:firstLine="0"/>
        <w:jc w:val="left"/>
        <w:rPr>
          <w:b/>
          <w:sz w:val="24"/>
        </w:rPr>
      </w:pPr>
      <w:r>
        <w:rPr/>
        <w:pict>
          <v:line style="position:absolute;mso-position-horizontal-relative:page;mso-position-vertical-relative:paragraph;z-index:1240;mso-wrap-distance-left:0;mso-wrap-distance-right:0" from="51.049999pt,31.689772pt" to="549.999999pt,31.689772pt" stroked="true" strokeweight=".96pt" strokecolor="#000000">
            <v:stroke dashstyle="solid"/>
            <w10:wrap type="topAndBottom"/>
          </v:line>
        </w:pict>
      </w:r>
      <w:r>
        <w:rPr>
          <w:rFonts w:ascii="Arial" w:hAnsi="Arial" w:eastAsia="Arial"/>
          <w:b/>
          <w:position w:val="-3"/>
          <w:sz w:val="40"/>
        </w:rPr>
        <w:t></w:t>
        <w:tab/>
      </w:r>
      <w:r>
        <w:rPr>
          <w:b/>
          <w:w w:val="95"/>
          <w:sz w:val="24"/>
        </w:rPr>
        <w:t>其他需要注意的事项</w:t>
      </w:r>
    </w:p>
    <w:p>
      <w:pPr>
        <w:pStyle w:val="BodyText"/>
        <w:spacing w:before="12"/>
        <w:rPr>
          <w:b/>
          <w:sz w:val="17"/>
        </w:rPr>
      </w:pPr>
    </w:p>
    <w:p>
      <w:pPr>
        <w:spacing w:after="0"/>
        <w:rPr>
          <w:sz w:val="17"/>
        </w:rPr>
        <w:sectPr>
          <w:type w:val="continuous"/>
          <w:pgSz w:w="11910" w:h="16840"/>
          <w:pgMar w:top="540" w:bottom="280" w:left="920" w:right="800"/>
        </w:sectPr>
      </w:pPr>
    </w:p>
    <w:p>
      <w:pPr>
        <w:pStyle w:val="ListParagraph"/>
        <w:numPr>
          <w:ilvl w:val="1"/>
          <w:numId w:val="14"/>
        </w:numPr>
        <w:tabs>
          <w:tab w:pos="1047" w:val="left" w:leader="none"/>
          <w:tab w:pos="1048" w:val="left" w:leader="none"/>
        </w:tabs>
        <w:spacing w:line="273" w:lineRule="auto" w:before="35" w:after="0"/>
        <w:ind w:left="1048" w:right="0" w:hanging="840"/>
        <w:jc w:val="left"/>
        <w:rPr>
          <w:b/>
          <w:sz w:val="21"/>
        </w:rPr>
      </w:pPr>
      <w:r>
        <w:rPr>
          <w:b/>
          <w:w w:val="95"/>
          <w:sz w:val="21"/>
        </w:rPr>
        <w:t>年龄确定与错误处理</w:t>
      </w:r>
    </w:p>
    <w:p>
      <w:pPr>
        <w:pStyle w:val="BodyText"/>
        <w:spacing w:line="273" w:lineRule="auto" w:before="35"/>
        <w:ind w:left="208" w:right="212"/>
      </w:pPr>
      <w:r>
        <w:rPr/>
        <w:br w:type="column"/>
      </w:r>
      <w:r>
        <w:rPr/>
        <w:t>您在申请投保时，应将与有效身份证件相符的被保险人的出生日期在投保单</w:t>
      </w:r>
      <w:r>
        <w:rPr>
          <w:w w:val="95"/>
        </w:rPr>
        <w:t>或批单上填明，若发生错误按照下列方式办理：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年龄限制的，我们有权解除本合同，并向您退还本合同的未满期净保险  费。我们行使合同解除权适用“本公司合同解除权的限制”的规定。</w:t>
      </w:r>
    </w:p>
    <w:p>
      <w:pPr>
        <w:pStyle w:val="BodyText"/>
        <w:spacing w:line="273" w:lineRule="auto" w:before="101"/>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2"/>
      </w:pPr>
    </w:p>
    <w:p>
      <w:pPr>
        <w:pStyle w:val="ListParagraph"/>
        <w:numPr>
          <w:ilvl w:val="1"/>
          <w:numId w:val="14"/>
        </w:numPr>
        <w:tabs>
          <w:tab w:pos="1047" w:val="left" w:leader="none"/>
          <w:tab w:pos="1048" w:val="left" w:leader="none"/>
          <w:tab w:pos="2939" w:val="left" w:leader="none"/>
        </w:tabs>
        <w:spacing w:line="273" w:lineRule="auto" w:before="34"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9"/>
        <w:rPr>
          <w:sz w:val="24"/>
        </w:rPr>
      </w:pPr>
    </w:p>
    <w:p>
      <w:pPr>
        <w:pStyle w:val="ListParagraph"/>
        <w:numPr>
          <w:ilvl w:val="1"/>
          <w:numId w:val="14"/>
        </w:numPr>
        <w:tabs>
          <w:tab w:pos="1047" w:val="left" w:leader="none"/>
          <w:tab w:pos="1048" w:val="left" w:leader="none"/>
          <w:tab w:pos="2939" w:val="left" w:leader="none"/>
        </w:tabs>
        <w:spacing w:line="273" w:lineRule="auto" w:before="1"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rPr>
          <w:sz w:val="20"/>
        </w:rPr>
      </w:pPr>
    </w:p>
    <w:p>
      <w:pPr>
        <w:pStyle w:val="ListParagraph"/>
        <w:numPr>
          <w:ilvl w:val="1"/>
          <w:numId w:val="14"/>
        </w:numPr>
        <w:tabs>
          <w:tab w:pos="1047" w:val="left" w:leader="none"/>
          <w:tab w:pos="1048" w:val="left" w:leader="none"/>
          <w:tab w:pos="2939" w:val="left" w:leader="none"/>
        </w:tabs>
        <w:spacing w:line="240" w:lineRule="auto" w:before="142"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pStyle w:val="BodyText"/>
        <w:spacing w:line="273" w:lineRule="auto" w:before="101"/>
        <w:ind w:left="3464" w:right="210" w:hanging="526"/>
      </w:pPr>
      <w:r>
        <w:rPr>
          <w:w w:val="95"/>
        </w:rPr>
        <w:t>（2）因履行本合同发生的争议，由当事人协商解决，协商不成的，依法向有  管辖权的人民法院提起诉讼。</w:t>
      </w:r>
    </w:p>
    <w:p>
      <w:pPr>
        <w:pStyle w:val="BodyText"/>
        <w:rPr>
          <w:sz w:val="20"/>
        </w:rPr>
      </w:pPr>
    </w:p>
    <w:p>
      <w:pPr>
        <w:tabs>
          <w:tab w:pos="1047" w:val="left" w:leader="none"/>
        </w:tabs>
        <w:spacing w:before="136"/>
        <w:ind w:left="208" w:right="0" w:firstLine="0"/>
        <w:jc w:val="left"/>
        <w:rPr>
          <w:b/>
          <w:sz w:val="24"/>
        </w:rPr>
      </w:pPr>
      <w:r>
        <w:rPr/>
        <w:pict>
          <v:line style="position:absolute;mso-position-horizontal-relative:page;mso-position-vertical-relative:paragraph;z-index:1264;mso-wrap-distance-left:0;mso-wrap-distance-right:0" from="51.049999pt,35.329769pt" to="549.999999pt,35.329769pt" stroked="true" strokeweight=".96pt" strokecolor="#000000">
            <v:stroke dashstyle="solid"/>
            <w10:wrap type="topAndBottom"/>
          </v:line>
        </w:pict>
      </w:r>
      <w:r>
        <w:rPr>
          <w:rFonts w:ascii="Arial" w:hAnsi="Arial" w:eastAsia="Arial"/>
          <w:b/>
          <w:w w:val="105"/>
          <w:position w:val="-3"/>
          <w:sz w:val="40"/>
        </w:rPr>
        <w:t></w:t>
        <w:tab/>
      </w:r>
      <w:r>
        <w:rPr>
          <w:b/>
          <w:w w:val="95"/>
          <w:sz w:val="24"/>
        </w:rPr>
        <w:t>疾病定义</w:t>
      </w:r>
    </w:p>
    <w:p>
      <w:pPr>
        <w:pStyle w:val="Heading3"/>
        <w:spacing w:line="273" w:lineRule="auto" w:before="164"/>
        <w:ind w:right="186" w:hanging="1892"/>
        <w:jc w:val="both"/>
      </w:pPr>
      <w:r>
        <w:rPr>
          <w:spacing w:val="-7"/>
        </w:rPr>
        <w:t>重大疾病定义     本合同的 </w:t>
      </w:r>
      <w:r>
        <w:rPr/>
        <w:t>25</w:t>
      </w:r>
      <w:r>
        <w:rPr>
          <w:spacing w:val="-9"/>
        </w:rPr>
        <w:t> 种重大疾病，其定义来自于中国保险行业协会制定的《重大疾病</w:t>
      </w:r>
      <w:r>
        <w:rPr>
          <w:spacing w:val="1"/>
          <w:w w:val="95"/>
        </w:rPr>
        <w:t>保险的疾病定义使用规范》。被保险人发生符合以下疾病定义所述条件的疾  病，应当由专科医生明确诊断。</w:t>
      </w:r>
    </w:p>
    <w:p>
      <w:pPr>
        <w:pStyle w:val="BodyText"/>
        <w:spacing w:before="10"/>
        <w:rPr>
          <w:b/>
          <w:sz w:val="17"/>
        </w:rPr>
      </w:pPr>
    </w:p>
    <w:p>
      <w:pPr>
        <w:pStyle w:val="BodyText"/>
        <w:spacing w:line="273" w:lineRule="auto"/>
        <w:ind w:left="2939" w:right="212" w:hanging="1892"/>
        <w:jc w:val="both"/>
      </w:pPr>
      <w:r>
        <w:rPr/>
        <w:t>1.恶性肿瘤       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w w:val="95"/>
        </w:rPr>
        <w:t>类》（ICD-10）的恶性肿瘤范畴。</w:t>
      </w:r>
    </w:p>
    <w:p>
      <w:pPr>
        <w:pStyle w:val="Heading3"/>
        <w:spacing w:before="103"/>
      </w:pPr>
      <w:r>
        <w:rPr>
          <w:w w:val="95"/>
        </w:rPr>
        <w:t>下列疾病不在保障范围内：</w:t>
      </w:r>
    </w:p>
    <w:p>
      <w:pPr>
        <w:spacing w:before="130"/>
        <w:ind w:left="2939" w:right="0" w:firstLine="0"/>
        <w:jc w:val="left"/>
        <w:rPr>
          <w:b/>
          <w:sz w:val="21"/>
        </w:rPr>
      </w:pPr>
      <w:r>
        <w:rPr>
          <w:b/>
          <w:w w:val="95"/>
          <w:sz w:val="21"/>
        </w:rPr>
        <w:t>1.原位癌；</w:t>
      </w:r>
    </w:p>
    <w:p>
      <w:pPr>
        <w:spacing w:before="130"/>
        <w:ind w:left="2939" w:right="0" w:firstLine="0"/>
        <w:jc w:val="left"/>
        <w:rPr>
          <w:b/>
          <w:sz w:val="21"/>
        </w:rPr>
      </w:pPr>
      <w:r>
        <w:rPr>
          <w:b/>
          <w:sz w:val="21"/>
        </w:rPr>
        <w:t>2.相当于 Binet 分期方案 A 期程度的慢性淋巴细胞白血病；</w:t>
      </w:r>
    </w:p>
    <w:p>
      <w:pPr>
        <w:spacing w:before="130"/>
        <w:ind w:left="2939" w:right="0" w:firstLine="0"/>
        <w:jc w:val="left"/>
        <w:rPr>
          <w:b/>
          <w:sz w:val="21"/>
        </w:rPr>
      </w:pPr>
      <w:r>
        <w:rPr>
          <w:b/>
          <w:sz w:val="21"/>
        </w:rPr>
        <w:t>3.相当于 Ann Arbor 分期方案 I 期程度的何杰金氏病；</w:t>
      </w:r>
    </w:p>
    <w:p>
      <w:pPr>
        <w:spacing w:before="130"/>
        <w:ind w:left="2939" w:right="0" w:firstLine="0"/>
        <w:jc w:val="left"/>
        <w:rPr>
          <w:b/>
          <w:sz w:val="21"/>
        </w:rPr>
      </w:pPr>
      <w:r>
        <w:rPr>
          <w:b/>
          <w:w w:val="95"/>
          <w:sz w:val="21"/>
        </w:rPr>
        <w:t>4.皮肤癌（不包括恶性黑色素瘤及已发生转移的皮肤癌）；</w:t>
      </w:r>
    </w:p>
    <w:p>
      <w:pPr>
        <w:pStyle w:val="ListParagraph"/>
        <w:numPr>
          <w:ilvl w:val="0"/>
          <w:numId w:val="4"/>
        </w:numPr>
        <w:tabs>
          <w:tab w:pos="3153" w:val="left" w:leader="none"/>
        </w:tabs>
        <w:spacing w:line="240" w:lineRule="auto" w:before="130" w:after="0"/>
        <w:ind w:left="3152" w:right="0" w:hanging="213"/>
        <w:jc w:val="left"/>
        <w:rPr>
          <w:b/>
          <w:sz w:val="21"/>
        </w:rPr>
      </w:pPr>
      <w:r>
        <w:rPr>
          <w:b/>
          <w:spacing w:val="0"/>
          <w:w w:val="98"/>
          <w:sz w:val="21"/>
        </w:rPr>
        <w:t>TN</w:t>
      </w:r>
      <w:r>
        <w:rPr>
          <w:b/>
          <w:w w:val="98"/>
          <w:sz w:val="21"/>
        </w:rPr>
        <w:t>M</w:t>
      </w:r>
      <w:r>
        <w:rPr>
          <w:b/>
          <w:spacing w:val="-55"/>
          <w:sz w:val="21"/>
        </w:rPr>
        <w:t> </w:t>
      </w:r>
      <w:r>
        <w:rPr>
          <w:b/>
          <w:spacing w:val="0"/>
          <w:w w:val="99"/>
          <w:sz w:val="21"/>
        </w:rPr>
        <w:t>分期为</w:t>
      </w:r>
      <w:r>
        <w:rPr>
          <w:b/>
          <w:spacing w:val="-54"/>
          <w:sz w:val="21"/>
        </w:rPr>
        <w:t> </w:t>
      </w:r>
      <w:r>
        <w:rPr>
          <w:b/>
          <w:spacing w:val="2"/>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p>
      <w:pPr>
        <w:spacing w:before="118"/>
        <w:ind w:left="2939" w:right="0" w:firstLine="0"/>
        <w:jc w:val="left"/>
        <w:rPr>
          <w:b/>
          <w:sz w:val="21"/>
        </w:rPr>
      </w:pPr>
      <w:r>
        <w:rPr>
          <w:b/>
          <w:w w:val="95"/>
          <w:sz w:val="21"/>
        </w:rPr>
        <w:t>6.感染艾滋病病毒或患艾滋病期间所患恶性肿瘤。</w:t>
      </w:r>
    </w:p>
    <w:p>
      <w:pPr>
        <w:pStyle w:val="BodyText"/>
        <w:spacing w:before="3"/>
        <w:rPr>
          <w:b/>
          <w:sz w:val="27"/>
        </w:rPr>
      </w:pPr>
    </w:p>
    <w:p>
      <w:pPr>
        <w:pStyle w:val="BodyText"/>
        <w:spacing w:line="273" w:lineRule="auto"/>
        <w:ind w:left="2939" w:right="212" w:hanging="1892"/>
        <w:jc w:val="both"/>
      </w:pPr>
      <w:r>
        <w:rPr/>
        <w:t>2.急性心肌梗塞   指因冠状动脉阻塞导致的相应区域供血不足造成部分心肌坏死。须满足下列</w:t>
      </w:r>
      <w:r>
        <w:rPr>
          <w:w w:val="95"/>
        </w:rPr>
        <w:t>至少三项条件：</w:t>
      </w:r>
    </w:p>
    <w:p>
      <w:pPr>
        <w:pStyle w:val="BodyText"/>
        <w:spacing w:before="103"/>
        <w:ind w:left="2939"/>
      </w:pPr>
      <w:r>
        <w:rPr>
          <w:w w:val="95"/>
        </w:rPr>
        <w:t>1.典型临床表现，例如急性胸痛等；</w:t>
      </w:r>
    </w:p>
    <w:p>
      <w:pPr>
        <w:pStyle w:val="BodyText"/>
        <w:spacing w:before="130"/>
        <w:ind w:left="2939"/>
      </w:pPr>
      <w:r>
        <w:rPr>
          <w:w w:val="95"/>
        </w:rPr>
        <w:t>2.新近的心电图改变提示急性心肌梗塞；</w:t>
      </w:r>
    </w:p>
    <w:p>
      <w:pPr>
        <w:pStyle w:val="BodyText"/>
        <w:spacing w:line="273" w:lineRule="auto" w:before="130"/>
        <w:ind w:left="2939" w:right="212"/>
      </w:pPr>
      <w:r>
        <w:rPr/>
        <w:t>3.心肌酶或肌钙蛋白有诊断意义的升高，或呈符合急性心肌梗塞的动态性变</w:t>
      </w:r>
      <w:r>
        <w:rPr>
          <w:w w:val="95"/>
        </w:rPr>
        <w:t>化；</w:t>
      </w:r>
    </w:p>
    <w:p>
      <w:pPr>
        <w:pStyle w:val="BodyText"/>
        <w:spacing w:before="100"/>
        <w:ind w:left="2939"/>
      </w:pPr>
      <w:r>
        <w:rPr/>
        <w:t>4.发病 90 天后，经检查证实左心室功能降低，如左心室射血分数低于 50%。</w:t>
      </w:r>
    </w:p>
    <w:p>
      <w:pPr>
        <w:pStyle w:val="BodyText"/>
        <w:spacing w:before="4"/>
        <w:rPr>
          <w:sz w:val="27"/>
        </w:rPr>
      </w:pPr>
    </w:p>
    <w:p>
      <w:pPr>
        <w:pStyle w:val="BodyText"/>
        <w:spacing w:line="273" w:lineRule="auto" w:before="1"/>
        <w:ind w:left="2939" w:right="212" w:hanging="1892"/>
        <w:jc w:val="both"/>
      </w:pPr>
      <w:r>
        <w:rPr/>
        <w:t>3.脑中风后遗症   指因脑血管的突发病变引起脑血管出血、栓塞或梗塞，并导致神经系统永久</w:t>
      </w:r>
      <w:r>
        <w:rPr>
          <w:w w:val="95"/>
        </w:rPr>
        <w:t>性的功能障碍。</w:t>
      </w:r>
    </w:p>
    <w:p>
      <w:pPr>
        <w:spacing w:after="0" w:line="273" w:lineRule="auto"/>
        <w:jc w:val="both"/>
        <w:sectPr>
          <w:pgSz w:w="11910" w:h="16840"/>
          <w:pgMar w:header="607" w:footer="405" w:top="800" w:bottom="600" w:left="920" w:right="800"/>
        </w:sectPr>
      </w:pPr>
    </w:p>
    <w:p>
      <w:pPr>
        <w:pStyle w:val="BodyText"/>
        <w:spacing w:before="2"/>
      </w:pPr>
    </w:p>
    <w:p>
      <w:pPr>
        <w:pStyle w:val="BodyText"/>
        <w:spacing w:line="273" w:lineRule="auto" w:before="34"/>
        <w:ind w:left="2939" w:right="132"/>
      </w:pPr>
      <w:r>
        <w:rPr/>
        <w:t>神经系统永久性的功能障碍，指疾病确诊 180 天后，仍遗留下列一种或一种</w:t>
      </w:r>
      <w:r>
        <w:rPr>
          <w:w w:val="95"/>
        </w:rPr>
        <w:t>以上障碍：</w:t>
      </w:r>
    </w:p>
    <w:p>
      <w:pPr>
        <w:spacing w:before="100"/>
        <w:ind w:left="2939" w:right="0" w:firstLine="0"/>
        <w:jc w:val="left"/>
        <w:rPr>
          <w:sz w:val="21"/>
        </w:rPr>
      </w:pPr>
      <w:r>
        <w:rPr>
          <w:spacing w:val="0"/>
          <w:w w:val="99"/>
          <w:sz w:val="21"/>
        </w:rPr>
        <w:t>1</w:t>
      </w:r>
      <w:r>
        <w:rPr>
          <w:spacing w:val="-1"/>
          <w:w w:val="99"/>
          <w:sz w:val="21"/>
        </w:rPr>
        <w:t>.一肢或一肢以上</w:t>
      </w:r>
      <w:r>
        <w:rPr>
          <w:b/>
          <w:w w:val="99"/>
          <w:sz w:val="21"/>
        </w:rPr>
        <w:t>肢体机能完全丧失</w:t>
      </w:r>
      <w:r>
        <w:rPr>
          <w:b/>
          <w:spacing w:val="-54"/>
          <w:sz w:val="21"/>
        </w:rPr>
        <w:t> </w:t>
      </w:r>
      <w:r>
        <w:rPr>
          <w:spacing w:val="-1"/>
          <w:w w:val="106"/>
          <w:position w:val="10"/>
          <w:sz w:val="10"/>
        </w:rPr>
        <w:t>9.14</w:t>
      </w:r>
      <w:r>
        <w:rPr>
          <w:w w:val="99"/>
          <w:sz w:val="21"/>
        </w:rPr>
        <w:t>；</w:t>
      </w:r>
    </w:p>
    <w:p>
      <w:pPr>
        <w:spacing w:before="132"/>
        <w:ind w:left="2939" w:right="0" w:firstLine="0"/>
        <w:jc w:val="left"/>
        <w:rPr>
          <w:sz w:val="21"/>
        </w:rPr>
      </w:pPr>
      <w:r>
        <w:rPr>
          <w:spacing w:val="0"/>
          <w:w w:val="99"/>
          <w:sz w:val="21"/>
        </w:rPr>
        <w:t>2</w:t>
      </w:r>
      <w:r>
        <w:rPr>
          <w:spacing w:val="-2"/>
          <w:w w:val="99"/>
          <w:sz w:val="21"/>
        </w:rPr>
        <w:t>.</w:t>
      </w:r>
      <w:r>
        <w:rPr>
          <w:b/>
          <w:spacing w:val="-1"/>
          <w:w w:val="99"/>
          <w:sz w:val="21"/>
        </w:rPr>
        <w:t>语言能力或咀嚼吞咽能力完全丧失</w:t>
      </w:r>
      <w:r>
        <w:rPr>
          <w:b/>
          <w:spacing w:val="-51"/>
          <w:sz w:val="21"/>
        </w:rPr>
        <w:t> </w:t>
      </w:r>
      <w:r>
        <w:rPr>
          <w:spacing w:val="-1"/>
          <w:w w:val="105"/>
          <w:position w:val="11"/>
          <w:sz w:val="10"/>
        </w:rPr>
        <w:t>9.1</w:t>
      </w:r>
      <w:r>
        <w:rPr>
          <w:spacing w:val="-3"/>
          <w:w w:val="105"/>
          <w:position w:val="11"/>
          <w:sz w:val="10"/>
        </w:rPr>
        <w:t>5</w:t>
      </w:r>
      <w:r>
        <w:rPr>
          <w:w w:val="99"/>
          <w:sz w:val="21"/>
        </w:rPr>
        <w:t>；</w:t>
      </w:r>
    </w:p>
    <w:p>
      <w:pPr>
        <w:spacing w:line="273" w:lineRule="auto" w:before="130"/>
        <w:ind w:left="2939" w:right="64" w:firstLine="0"/>
        <w:jc w:val="left"/>
        <w:rPr>
          <w:sz w:val="21"/>
        </w:rPr>
      </w:pPr>
      <w:r>
        <w:rPr>
          <w:sz w:val="21"/>
        </w:rPr>
        <w:t>3.自主生活能力完全丧失，无法独立完成</w:t>
      </w:r>
      <w:r>
        <w:rPr>
          <w:b/>
          <w:sz w:val="21"/>
        </w:rPr>
        <w:t>六项基本日常生活活动 </w:t>
      </w:r>
      <w:r>
        <w:rPr>
          <w:position w:val="11"/>
          <w:sz w:val="10"/>
        </w:rPr>
        <w:t>9.16 </w:t>
      </w:r>
      <w:r>
        <w:rPr>
          <w:sz w:val="21"/>
        </w:rPr>
        <w:t>中的三项</w:t>
      </w:r>
      <w:r>
        <w:rPr>
          <w:w w:val="95"/>
          <w:sz w:val="21"/>
        </w:rPr>
        <w:t>或三项以上。</w:t>
      </w:r>
    </w:p>
    <w:p>
      <w:pPr>
        <w:pStyle w:val="BodyText"/>
        <w:spacing w:before="6"/>
        <w:rPr>
          <w:sz w:val="22"/>
        </w:rPr>
      </w:pPr>
    </w:p>
    <w:p>
      <w:pPr>
        <w:spacing w:after="0"/>
        <w:rPr>
          <w:sz w:val="22"/>
        </w:rPr>
        <w:sectPr>
          <w:pgSz w:w="11910" w:h="16840"/>
          <w:pgMar w:header="607" w:footer="405" w:top="800" w:bottom="600" w:left="920" w:right="880"/>
        </w:sectPr>
      </w:pPr>
    </w:p>
    <w:p>
      <w:pPr>
        <w:pStyle w:val="ListParagraph"/>
        <w:numPr>
          <w:ilvl w:val="0"/>
          <w:numId w:val="15"/>
        </w:numPr>
        <w:tabs>
          <w:tab w:pos="1293" w:val="left" w:leader="none"/>
        </w:tabs>
        <w:spacing w:line="273" w:lineRule="auto" w:before="35" w:after="0"/>
        <w:ind w:left="1048" w:right="0" w:firstLine="0"/>
        <w:jc w:val="both"/>
        <w:rPr>
          <w:sz w:val="21"/>
        </w:rPr>
      </w:pPr>
      <w:r>
        <w:rPr>
          <w:spacing w:val="25"/>
          <w:w w:val="95"/>
          <w:sz w:val="21"/>
        </w:rPr>
        <w:t>重大器官移植</w:t>
      </w:r>
      <w:r>
        <w:rPr>
          <w:spacing w:val="26"/>
          <w:w w:val="95"/>
          <w:sz w:val="21"/>
        </w:rPr>
        <w:t>术或造血干细胞移植术</w:t>
      </w:r>
    </w:p>
    <w:p>
      <w:pPr>
        <w:pStyle w:val="BodyText"/>
        <w:spacing w:line="273" w:lineRule="auto" w:before="35"/>
        <w:ind w:left="178" w:right="132"/>
        <w:jc w:val="both"/>
      </w:pPr>
      <w:r>
        <w:rPr/>
        <w:br w:type="column"/>
      </w:r>
      <w:r>
        <w:rPr/>
        <w:t>重大器官移植术，指因相应器官功能衰竭，已经实施了肾脏、肝脏、心脏或</w:t>
      </w:r>
      <w:r>
        <w:rPr>
          <w:w w:val="95"/>
        </w:rPr>
        <w:t>肺脏的异体移植手术。</w:t>
      </w:r>
    </w:p>
    <w:p>
      <w:pPr>
        <w:pStyle w:val="BodyText"/>
        <w:spacing w:line="273" w:lineRule="auto" w:before="101"/>
        <w:ind w:left="178" w:right="132"/>
        <w:jc w:val="both"/>
      </w:pP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4"/>
        <w:rPr>
          <w:sz w:val="22"/>
        </w:rPr>
      </w:pPr>
    </w:p>
    <w:p>
      <w:pPr>
        <w:spacing w:after="0"/>
        <w:rPr>
          <w:sz w:val="22"/>
        </w:rPr>
        <w:sectPr>
          <w:type w:val="continuous"/>
          <w:pgSz w:w="11910" w:h="16840"/>
          <w:pgMar w:top="540" w:bottom="280" w:left="920" w:right="880"/>
        </w:sectPr>
      </w:pPr>
    </w:p>
    <w:p>
      <w:pPr>
        <w:pStyle w:val="ListParagraph"/>
        <w:numPr>
          <w:ilvl w:val="0"/>
          <w:numId w:val="15"/>
        </w:numPr>
        <w:tabs>
          <w:tab w:pos="1293" w:val="left" w:leader="none"/>
        </w:tabs>
        <w:spacing w:line="273" w:lineRule="auto" w:before="35" w:after="0"/>
        <w:ind w:left="1048" w:right="0" w:firstLine="0"/>
        <w:jc w:val="both"/>
        <w:rPr>
          <w:sz w:val="21"/>
        </w:rPr>
      </w:pPr>
      <w:r>
        <w:rPr>
          <w:spacing w:val="25"/>
          <w:w w:val="95"/>
          <w:sz w:val="21"/>
        </w:rPr>
        <w:t>冠状动脉搭桥</w:t>
      </w:r>
      <w:r>
        <w:rPr>
          <w:spacing w:val="-5"/>
          <w:w w:val="95"/>
          <w:sz w:val="21"/>
        </w:rPr>
        <w:t>术</w:t>
      </w:r>
      <w:r>
        <w:rPr>
          <w:w w:val="95"/>
          <w:sz w:val="21"/>
        </w:rPr>
        <w:t>（或称冠状动脉旁路移植术</w:t>
      </w:r>
    </w:p>
    <w:p>
      <w:pPr>
        <w:pStyle w:val="BodyText"/>
        <w:spacing w:line="273" w:lineRule="auto" w:before="35"/>
        <w:ind w:left="178" w:right="132"/>
      </w:pPr>
      <w:r>
        <w:rPr/>
        <w:br w:type="column"/>
      </w:r>
      <w:r>
        <w:rPr/>
        <w:t>指为治疗严重的冠心病，实际实施了开胸进行的冠状动脉血管旁路移植的手</w:t>
      </w:r>
      <w:r>
        <w:rPr>
          <w:w w:val="95"/>
        </w:rPr>
        <w:t>术。</w:t>
      </w:r>
    </w:p>
    <w:p>
      <w:pPr>
        <w:pStyle w:val="Heading3"/>
        <w:spacing w:line="273" w:lineRule="auto" w:before="104"/>
        <w:ind w:left="178" w:right="106"/>
      </w:pPr>
      <w:r>
        <w:rPr>
          <w:spacing w:val="1"/>
          <w:w w:val="95"/>
        </w:rPr>
        <w:t>冠状动脉支架植入术、心导管球囊扩张术、激光射频技术及其他非开胸的介  入手术、腔镜手术不在保障范围内。</w:t>
      </w:r>
    </w:p>
    <w:p>
      <w:pPr>
        <w:spacing w:after="0" w:line="273" w:lineRule="auto"/>
        <w:sectPr>
          <w:type w:val="continuous"/>
          <w:pgSz w:w="11910" w:h="16840"/>
          <w:pgMar w:top="540" w:bottom="280" w:left="920" w:right="880"/>
          <w:cols w:num="2" w:equalWidth="0">
            <w:col w:w="2721" w:space="40"/>
            <w:col w:w="7349"/>
          </w:cols>
        </w:sectPr>
      </w:pPr>
    </w:p>
    <w:p>
      <w:pPr>
        <w:pStyle w:val="BodyText"/>
        <w:spacing w:before="4"/>
        <w:rPr>
          <w:b/>
          <w:sz w:val="22"/>
        </w:rPr>
      </w:pPr>
    </w:p>
    <w:p>
      <w:pPr>
        <w:spacing w:after="0"/>
        <w:rPr>
          <w:sz w:val="22"/>
        </w:rPr>
        <w:sectPr>
          <w:type w:val="continuous"/>
          <w:pgSz w:w="11910" w:h="16840"/>
          <w:pgMar w:top="540" w:bottom="280" w:left="920" w:right="880"/>
        </w:sectPr>
      </w:pPr>
    </w:p>
    <w:p>
      <w:pPr>
        <w:pStyle w:val="BodyText"/>
        <w:spacing w:line="273" w:lineRule="auto" w:before="35"/>
        <w:ind w:left="1048"/>
        <w:jc w:val="both"/>
      </w:pPr>
      <w:r>
        <w:rPr>
          <w:w w:val="95"/>
        </w:rPr>
        <w:t>6.终末期肾病（或称慢性肾功能衰竭尿毒症期）</w:t>
      </w:r>
    </w:p>
    <w:p>
      <w:pPr>
        <w:pStyle w:val="BodyText"/>
        <w:spacing w:line="273" w:lineRule="auto" w:before="35"/>
        <w:ind w:left="178" w:right="117"/>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880"/>
          <w:cols w:num="2" w:equalWidth="0">
            <w:col w:w="2722" w:space="40"/>
            <w:col w:w="7348"/>
          </w:cols>
        </w:sectPr>
      </w:pPr>
    </w:p>
    <w:p>
      <w:pPr>
        <w:pStyle w:val="BodyText"/>
        <w:spacing w:before="6"/>
        <w:rPr>
          <w:sz w:val="22"/>
        </w:rPr>
      </w:pPr>
    </w:p>
    <w:p>
      <w:pPr>
        <w:pStyle w:val="BodyText"/>
        <w:tabs>
          <w:tab w:pos="2939" w:val="left" w:leader="none"/>
        </w:tabs>
        <w:spacing w:line="273" w:lineRule="auto" w:before="35"/>
        <w:ind w:left="2939" w:right="132" w:hanging="1892"/>
      </w:pPr>
      <w:r>
        <w:rPr/>
        <w:t>7.多个肢体缺失</w:t>
        <w:tab/>
      </w:r>
      <w:r>
        <w:rPr>
          <w:spacing w:val="2"/>
        </w:rPr>
        <w:t>指因疾</w:t>
      </w:r>
      <w:r>
        <w:rPr/>
        <w:t>病</w:t>
      </w:r>
      <w:r>
        <w:rPr>
          <w:spacing w:val="2"/>
        </w:rPr>
        <w:t>或意外伤害</w:t>
      </w:r>
      <w:r>
        <w:rPr/>
        <w:t>导</w:t>
      </w:r>
      <w:r>
        <w:rPr>
          <w:spacing w:val="2"/>
        </w:rPr>
        <w:t>致两个或两</w:t>
      </w:r>
      <w:r>
        <w:rPr/>
        <w:t>个</w:t>
      </w:r>
      <w:r>
        <w:rPr>
          <w:spacing w:val="2"/>
        </w:rPr>
        <w:t>以上肢体自腕</w:t>
      </w:r>
      <w:r>
        <w:rPr/>
        <w:t>关</w:t>
      </w:r>
      <w:r>
        <w:rPr>
          <w:spacing w:val="2"/>
        </w:rPr>
        <w:t>节或踝关节</w:t>
      </w:r>
      <w:r>
        <w:rPr/>
        <w:t>近</w:t>
      </w:r>
      <w:r>
        <w:rPr>
          <w:spacing w:val="2"/>
        </w:rPr>
        <w:t>端（靠</w:t>
      </w:r>
      <w:r>
        <w:rPr/>
        <w:t>近 </w:t>
      </w:r>
      <w:r>
        <w:rPr>
          <w:w w:val="95"/>
        </w:rPr>
        <w:t>躯干端）以上完全性断离。</w:t>
      </w: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t>8. 急性或亚急性</w:t>
      </w:r>
      <w:r>
        <w:rPr>
          <w:w w:val="95"/>
        </w:rPr>
        <w:t>重症肝炎</w:t>
      </w:r>
    </w:p>
    <w:p>
      <w:pPr>
        <w:pStyle w:val="BodyText"/>
        <w:spacing w:line="273" w:lineRule="auto" w:before="35"/>
        <w:ind w:left="178" w:right="13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1"/>
        <w:ind w:left="178"/>
      </w:pPr>
      <w:r>
        <w:rPr>
          <w:w w:val="95"/>
        </w:rPr>
        <w:t>1.重度黄疸或黄疸迅速加重；</w:t>
      </w:r>
    </w:p>
    <w:p>
      <w:pPr>
        <w:pStyle w:val="BodyText"/>
        <w:spacing w:before="130"/>
        <w:ind w:left="178"/>
      </w:pPr>
      <w:r>
        <w:rPr>
          <w:w w:val="95"/>
        </w:rPr>
        <w:t>2.肝性脑病；</w:t>
      </w:r>
    </w:p>
    <w:p>
      <w:pPr>
        <w:pStyle w:val="BodyText"/>
        <w:spacing w:before="130"/>
        <w:ind w:left="178"/>
      </w:pPr>
      <w:r>
        <w:rPr/>
        <w:t>3.B 超或其他影像学检查显示肝脏体积急速萎缩；</w:t>
      </w:r>
    </w:p>
    <w:p>
      <w:pPr>
        <w:pStyle w:val="BodyText"/>
        <w:spacing w:before="133"/>
        <w:ind w:left="178"/>
      </w:pPr>
      <w:r>
        <w:rPr>
          <w:w w:val="95"/>
        </w:rPr>
        <w:t>4.肝功能指标进行性恶化。</w:t>
      </w:r>
    </w:p>
    <w:p>
      <w:pPr>
        <w:spacing w:after="0"/>
        <w:sectPr>
          <w:type w:val="continuous"/>
          <w:pgSz w:w="11910" w:h="16840"/>
          <w:pgMar w:top="540" w:bottom="280" w:left="920" w:right="880"/>
          <w:cols w:num="2" w:equalWidth="0">
            <w:col w:w="2721" w:space="40"/>
            <w:col w:w="7349"/>
          </w:cols>
        </w:sectPr>
      </w:pPr>
    </w:p>
    <w:p>
      <w:pPr>
        <w:pStyle w:val="BodyText"/>
        <w:spacing w:before="7"/>
        <w:rPr>
          <w:sz w:val="24"/>
        </w:rPr>
      </w:pPr>
    </w:p>
    <w:p>
      <w:pPr>
        <w:pStyle w:val="BodyText"/>
        <w:spacing w:line="273" w:lineRule="auto" w:before="35"/>
        <w:ind w:left="2939" w:right="132" w:hanging="1892"/>
        <w:jc w:val="both"/>
      </w:pPr>
      <w:r>
        <w:rPr/>
        <w:t>9.良性脑肿瘤     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1"/>
        <w:ind w:left="2939"/>
      </w:pPr>
      <w:r>
        <w:rPr>
          <w:w w:val="95"/>
        </w:rPr>
        <w:t>1.实际实施了开颅进行的脑肿瘤完全切除或部分切除的手术；</w:t>
      </w:r>
    </w:p>
    <w:p>
      <w:pPr>
        <w:pStyle w:val="BodyText"/>
        <w:spacing w:before="133"/>
        <w:ind w:left="2939"/>
      </w:pPr>
      <w:r>
        <w:rPr>
          <w:w w:val="95"/>
        </w:rPr>
        <w:t>2.实际实施了对脑肿瘤进行的放射治疗。</w:t>
      </w:r>
    </w:p>
    <w:p>
      <w:pPr>
        <w:pStyle w:val="Heading3"/>
      </w:pPr>
      <w:r>
        <w:rPr>
          <w:w w:val="95"/>
        </w:rPr>
        <w:t>脑垂体瘤、脑囊肿、脑血管性疾病不在保障范围内。</w:t>
      </w:r>
    </w:p>
    <w:p>
      <w:pPr>
        <w:pStyle w:val="BodyText"/>
        <w:spacing w:before="9"/>
        <w:rPr>
          <w:b/>
          <w:sz w:val="24"/>
        </w:rPr>
      </w:pPr>
    </w:p>
    <w:p>
      <w:pPr>
        <w:spacing w:after="0"/>
        <w:rPr>
          <w:sz w:val="24"/>
        </w:rPr>
        <w:sectPr>
          <w:type w:val="continuous"/>
          <w:pgSz w:w="11910" w:h="16840"/>
          <w:pgMar w:top="540" w:bottom="280" w:left="920" w:right="880"/>
        </w:sectPr>
      </w:pPr>
    </w:p>
    <w:p>
      <w:pPr>
        <w:pStyle w:val="BodyText"/>
        <w:spacing w:line="273" w:lineRule="auto" w:before="35"/>
        <w:ind w:left="1048"/>
      </w:pPr>
      <w:r>
        <w:rPr/>
        <w:t>10.慢性肝功能衰</w:t>
      </w:r>
      <w:r>
        <w:rPr>
          <w:w w:val="95"/>
        </w:rPr>
        <w:t>竭失代偿期</w:t>
      </w:r>
    </w:p>
    <w:p>
      <w:pPr>
        <w:pStyle w:val="BodyText"/>
        <w:spacing w:before="35"/>
        <w:ind w:left="178"/>
      </w:pPr>
      <w:r>
        <w:rPr/>
        <w:br w:type="column"/>
      </w:r>
      <w:r>
        <w:rPr>
          <w:w w:val="95"/>
        </w:rPr>
        <w:t>指因慢性肝脏疾病导致肝功能衰竭。须满足下列全部条件：</w:t>
      </w:r>
    </w:p>
    <w:p>
      <w:pPr>
        <w:pStyle w:val="BodyText"/>
        <w:spacing w:before="130"/>
        <w:ind w:left="178"/>
      </w:pPr>
      <w:r>
        <w:rPr>
          <w:w w:val="95"/>
        </w:rPr>
        <w:t>1.持续性黄疸；</w:t>
      </w:r>
    </w:p>
    <w:p>
      <w:pPr>
        <w:spacing w:after="0"/>
        <w:sectPr>
          <w:type w:val="continuous"/>
          <w:pgSz w:w="11910" w:h="16840"/>
          <w:pgMar w:top="540" w:bottom="280" w:left="920" w:right="880"/>
          <w:cols w:num="2" w:equalWidth="0">
            <w:col w:w="2721" w:space="40"/>
            <w:col w:w="7349"/>
          </w:cols>
        </w:sectPr>
      </w:pPr>
    </w:p>
    <w:p>
      <w:pPr>
        <w:pStyle w:val="BodyText"/>
        <w:spacing w:before="2"/>
      </w:pPr>
    </w:p>
    <w:p>
      <w:pPr>
        <w:pStyle w:val="BodyText"/>
        <w:spacing w:before="34"/>
        <w:ind w:left="2939"/>
      </w:pPr>
      <w:r>
        <w:rPr>
          <w:w w:val="95"/>
        </w:rPr>
        <w:t>2.腹水；</w:t>
      </w:r>
    </w:p>
    <w:p>
      <w:pPr>
        <w:pStyle w:val="BodyText"/>
        <w:spacing w:before="130"/>
        <w:ind w:left="2939"/>
      </w:pPr>
      <w:r>
        <w:rPr>
          <w:w w:val="95"/>
        </w:rPr>
        <w:t>3.肝性脑病；</w:t>
      </w:r>
    </w:p>
    <w:p>
      <w:pPr>
        <w:spacing w:line="355" w:lineRule="auto" w:before="133"/>
        <w:ind w:left="2939" w:right="2188" w:firstLine="0"/>
        <w:jc w:val="left"/>
        <w:rPr>
          <w:b/>
          <w:sz w:val="21"/>
        </w:rPr>
      </w:pPr>
      <w:r>
        <w:rPr>
          <w:sz w:val="21"/>
        </w:rPr>
        <w:t>4.充血性脾肿大伴脾功能亢进或食管胃底静脉曲张。 </w:t>
      </w:r>
      <w:r>
        <w:rPr>
          <w:b/>
          <w:w w:val="95"/>
          <w:sz w:val="21"/>
        </w:rPr>
        <w:t>因酗酒或药物滥用导致的肝功能衰竭不在保障范围内。</w:t>
      </w:r>
    </w:p>
    <w:p>
      <w:pPr>
        <w:pStyle w:val="BodyText"/>
        <w:spacing w:before="1"/>
        <w:rPr>
          <w:b/>
          <w:sz w:val="17"/>
        </w:rPr>
      </w:pPr>
    </w:p>
    <w:p>
      <w:pPr>
        <w:spacing w:after="0"/>
        <w:rPr>
          <w:sz w:val="17"/>
        </w:rPr>
        <w:sectPr>
          <w:pgSz w:w="11910" w:h="16840"/>
          <w:pgMar w:header="607" w:footer="405" w:top="800" w:bottom="600" w:left="920" w:right="800"/>
        </w:sectPr>
      </w:pPr>
    </w:p>
    <w:p>
      <w:pPr>
        <w:pStyle w:val="BodyText"/>
        <w:spacing w:line="273" w:lineRule="auto" w:before="34"/>
        <w:ind w:left="1048"/>
      </w:pPr>
      <w:r>
        <w:rPr/>
        <w:t>11.脑炎后遗症或</w:t>
      </w:r>
      <w:r>
        <w:rPr>
          <w:w w:val="95"/>
        </w:rPr>
        <w:t>脑膜炎后遗症</w:t>
      </w:r>
    </w:p>
    <w:p>
      <w:pPr>
        <w:pStyle w:val="BodyText"/>
        <w:spacing w:line="273" w:lineRule="auto" w:before="34"/>
        <w:ind w:left="178" w:right="21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78"/>
      </w:pPr>
      <w:r>
        <w:rPr>
          <w:w w:val="95"/>
        </w:rPr>
        <w:t>1.一肢或一肢以上肢体机能完全丧失；</w:t>
      </w:r>
    </w:p>
    <w:p>
      <w:pPr>
        <w:pStyle w:val="BodyText"/>
        <w:spacing w:before="131"/>
        <w:ind w:left="178"/>
      </w:pPr>
      <w:r>
        <w:rPr>
          <w:w w:val="95"/>
        </w:rPr>
        <w:t>2.语言能力或咀嚼吞咽能力完全丧失；</w:t>
      </w:r>
    </w:p>
    <w:p>
      <w:pPr>
        <w:pStyle w:val="BodyText"/>
        <w:spacing w:line="273" w:lineRule="auto" w:before="131"/>
        <w:ind w:left="178"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pStyle w:val="BodyText"/>
        <w:spacing w:line="273" w:lineRule="auto" w:before="34"/>
        <w:ind w:left="2939" w:right="210" w:hanging="1892"/>
        <w:jc w:val="both"/>
      </w:pPr>
      <w:r>
        <w:rPr/>
        <w:t>12.深度昏迷      指因疾病或意外伤害导致意识丧失,对外界刺激和体内需求均无反应,昏迷程</w:t>
      </w:r>
      <w:r>
        <w:rPr>
          <w:spacing w:val="2"/>
        </w:rPr>
        <w:t>度按照格拉斯哥昏迷分级</w:t>
      </w:r>
      <w:r>
        <w:rPr/>
        <w:t>（Glasgow</w:t>
      </w:r>
      <w:r>
        <w:rPr>
          <w:spacing w:val="3"/>
        </w:rPr>
        <w:t> </w:t>
      </w:r>
      <w:r>
        <w:rPr/>
        <w:t>coma</w:t>
      </w:r>
      <w:r>
        <w:rPr>
          <w:spacing w:val="3"/>
        </w:rPr>
        <w:t> </w:t>
      </w:r>
      <w:r>
        <w:rPr/>
        <w:t>scale）</w:t>
      </w:r>
      <w:r>
        <w:rPr>
          <w:spacing w:val="-11"/>
        </w:rPr>
        <w:t>结果为 </w:t>
      </w:r>
      <w:r>
        <w:rPr/>
        <w:t>5</w:t>
      </w:r>
      <w:r>
        <w:rPr>
          <w:spacing w:val="-24"/>
        </w:rPr>
        <w:t> 分或 </w:t>
      </w:r>
      <w:r>
        <w:rPr/>
        <w:t>5</w:t>
      </w:r>
      <w:r>
        <w:rPr>
          <w:spacing w:val="-8"/>
        </w:rPr>
        <w:t> 分以下， </w:t>
      </w:r>
      <w:r>
        <w:rPr>
          <w:spacing w:val="-11"/>
        </w:rPr>
        <w:t>且已经持续使用呼吸机及其他生命维持系统 </w:t>
      </w:r>
      <w:r>
        <w:rPr/>
        <w:t>96</w:t>
      </w:r>
      <w:r>
        <w:rPr>
          <w:spacing w:val="-10"/>
        </w:rPr>
        <w:t> 小时以上。</w:t>
      </w:r>
    </w:p>
    <w:p>
      <w:pPr>
        <w:pStyle w:val="Heading3"/>
        <w:spacing w:before="101"/>
      </w:pPr>
      <w:r>
        <w:rPr>
          <w:w w:val="95"/>
        </w:rPr>
        <w:t>因酗酒或药物滥用导致的深度昏迷不在保障范围内。</w:t>
      </w:r>
    </w:p>
    <w:p>
      <w:pPr>
        <w:pStyle w:val="BodyText"/>
        <w:spacing w:before="5"/>
        <w:rPr>
          <w:b/>
          <w:sz w:val="27"/>
        </w:rPr>
      </w:pPr>
    </w:p>
    <w:p>
      <w:pPr>
        <w:pStyle w:val="BodyText"/>
        <w:spacing w:line="273" w:lineRule="auto"/>
        <w:ind w:left="2939" w:right="210" w:hanging="1892"/>
        <w:jc w:val="both"/>
      </w:pPr>
      <w:r>
        <w:rPr/>
        <w:t>13.双耳失聪     指因疾病或意外伤害导致双耳听力</w:t>
      </w:r>
      <w:r>
        <w:rPr>
          <w:b/>
          <w:spacing w:val="-10"/>
        </w:rPr>
        <w:t>永久不可逆 </w:t>
      </w:r>
      <w:r>
        <w:rPr>
          <w:position w:val="11"/>
          <w:sz w:val="10"/>
        </w:rPr>
        <w:t>9.17</w:t>
      </w:r>
      <w:r>
        <w:rPr>
          <w:spacing w:val="-25"/>
          <w:position w:val="11"/>
          <w:sz w:val="10"/>
        </w:rPr>
        <w:t> </w:t>
      </w:r>
      <w:r>
        <w:rPr>
          <w:spacing w:val="-9"/>
        </w:rPr>
        <w:t>性丧失，在 </w:t>
      </w:r>
      <w:r>
        <w:rPr/>
        <w:t>500</w:t>
      </w:r>
      <w:r>
        <w:rPr>
          <w:spacing w:val="-15"/>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Heading3"/>
        <w:spacing w:before="101"/>
      </w:pPr>
      <w:r>
        <w:rPr/>
        <w:t>被保险人在 0 周岁至 3 周岁期间初患双耳失聪不在保障范围内。</w:t>
      </w:r>
    </w:p>
    <w:p>
      <w:pPr>
        <w:pStyle w:val="BodyText"/>
        <w:spacing w:before="5"/>
        <w:rPr>
          <w:b/>
          <w:sz w:val="27"/>
        </w:rPr>
      </w:pPr>
    </w:p>
    <w:p>
      <w:pPr>
        <w:pStyle w:val="BodyText"/>
        <w:spacing w:line="273" w:lineRule="auto"/>
        <w:ind w:left="2939" w:right="212" w:hanging="1892"/>
        <w:jc w:val="both"/>
      </w:pPr>
      <w:r>
        <w:rPr/>
        <w:t>14.双目失明      指因疾病或意外伤害导致双眼视力永久不可逆性丧失，双眼中较好眼须满足</w:t>
      </w:r>
      <w:r>
        <w:rPr>
          <w:w w:val="95"/>
        </w:rPr>
        <w:t>下列至少一项条件：</w:t>
      </w:r>
    </w:p>
    <w:p>
      <w:pPr>
        <w:pStyle w:val="BodyText"/>
        <w:spacing w:before="100"/>
        <w:ind w:left="2939"/>
      </w:pPr>
      <w:r>
        <w:rPr>
          <w:w w:val="95"/>
        </w:rPr>
        <w:t>1.眼球缺失或摘除；</w:t>
      </w:r>
    </w:p>
    <w:p>
      <w:pPr>
        <w:pStyle w:val="BodyText"/>
        <w:spacing w:before="130"/>
        <w:ind w:left="2939"/>
      </w:pPr>
      <w:r>
        <w:rPr>
          <w:spacing w:val="0"/>
          <w:w w:val="99"/>
        </w:rPr>
        <w:t>2</w:t>
      </w:r>
      <w:r>
        <w:rPr>
          <w:spacing w:val="-1"/>
          <w:w w:val="99"/>
        </w:rPr>
        <w:t>.矫正视力低于</w:t>
      </w:r>
      <w:r>
        <w:rPr>
          <w:spacing w:val="-50"/>
        </w:rPr>
        <w:t> </w:t>
      </w:r>
      <w:r>
        <w:rPr>
          <w:spacing w:val="0"/>
          <w:w w:val="99"/>
        </w:rPr>
        <w:t>0.0</w:t>
      </w:r>
      <w:r>
        <w:rPr>
          <w:spacing w:val="-81"/>
          <w:w w:val="99"/>
        </w:rPr>
        <w:t>2</w:t>
      </w:r>
      <w:r>
        <w:rPr>
          <w:spacing w:val="-1"/>
          <w:w w:val="99"/>
        </w:rPr>
        <w:t>（</w:t>
      </w:r>
      <w:r>
        <w:rPr>
          <w:spacing w:val="-9"/>
          <w:w w:val="99"/>
        </w:rPr>
        <w:t>采用国际标准视力表，如使用其他视力表应进行换算</w:t>
      </w:r>
      <w:r>
        <w:rPr>
          <w:spacing w:val="-104"/>
          <w:w w:val="99"/>
        </w:rPr>
        <w:t>）</w:t>
      </w:r>
      <w:r>
        <w:rPr>
          <w:w w:val="99"/>
        </w:rPr>
        <w:t>；</w:t>
      </w:r>
    </w:p>
    <w:p>
      <w:pPr>
        <w:pStyle w:val="BodyText"/>
        <w:spacing w:before="130"/>
        <w:ind w:left="2939"/>
      </w:pPr>
      <w:r>
        <w:rPr/>
        <w:t>3.视野半径小于 5 度。</w:t>
      </w:r>
    </w:p>
    <w:p>
      <w:pPr>
        <w:pStyle w:val="BodyText"/>
        <w:spacing w:before="4"/>
        <w:rPr>
          <w:sz w:val="27"/>
        </w:rPr>
      </w:pPr>
    </w:p>
    <w:p>
      <w:pPr>
        <w:pStyle w:val="BodyText"/>
        <w:tabs>
          <w:tab w:pos="2939" w:val="left" w:leader="none"/>
        </w:tabs>
        <w:ind w:left="1048"/>
      </w:pPr>
      <w:r>
        <w:rPr/>
        <w:t>15.瘫痪</w:t>
        <w:tab/>
      </w:r>
      <w:r>
        <w:rPr>
          <w:w w:val="95"/>
        </w:rPr>
        <w:t>指因疾病或意外伤害导致两肢或两肢以上肢体机能永久完全丧失。</w:t>
      </w:r>
    </w:p>
    <w:p>
      <w:pPr>
        <w:pStyle w:val="BodyText"/>
        <w:spacing w:line="273" w:lineRule="auto" w:before="130"/>
        <w:ind w:left="2939" w:right="210"/>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pStyle w:val="BodyText"/>
        <w:spacing w:before="2"/>
        <w:rPr>
          <w:sz w:val="25"/>
        </w:rPr>
      </w:pPr>
    </w:p>
    <w:p>
      <w:pPr>
        <w:pStyle w:val="BodyText"/>
        <w:tabs>
          <w:tab w:pos="2939" w:val="left" w:leader="none"/>
        </w:tabs>
        <w:ind w:left="1048"/>
      </w:pPr>
      <w:r>
        <w:rPr/>
        <w:t>16.心脏瓣膜手术</w:t>
        <w:tab/>
      </w:r>
      <w:r>
        <w:rPr>
          <w:w w:val="95"/>
        </w:rPr>
        <w:t>指为治疗心脏瓣膜疾病，实际实施了开胸进行的心脏瓣膜置换或修复的手术。</w:t>
      </w: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before="34"/>
        <w:ind w:left="1048"/>
      </w:pPr>
      <w:r>
        <w:rPr/>
        <w:t>17.严重阿尔茨海</w:t>
      </w:r>
      <w:r>
        <w:rPr>
          <w:w w:val="95"/>
        </w:rPr>
        <w:t>默病</w:t>
      </w:r>
    </w:p>
    <w:p>
      <w:pPr>
        <w:pStyle w:val="BodyText"/>
        <w:spacing w:line="273" w:lineRule="auto" w:before="34"/>
        <w:ind w:left="178"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3"/>
        <w:spacing w:before="101"/>
        <w:ind w:left="178"/>
        <w:jc w:val="both"/>
      </w:pPr>
      <w:r>
        <w:rPr>
          <w:w w:val="95"/>
        </w:rPr>
        <w:t>神经官能症和精神疾病不在保障范围内。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8"/>
        <w:rPr>
          <w:b/>
          <w:sz w:val="24"/>
        </w:rPr>
      </w:pPr>
    </w:p>
    <w:p>
      <w:pPr>
        <w:pStyle w:val="BodyText"/>
        <w:tabs>
          <w:tab w:pos="2939" w:val="left" w:leader="none"/>
        </w:tabs>
        <w:spacing w:before="34"/>
        <w:ind w:left="1048"/>
      </w:pPr>
      <w:r>
        <w:rPr/>
        <w:t>18.严重脑损伤</w:t>
        <w:tab/>
      </w:r>
      <w:r>
        <w:rPr>
          <w:spacing w:val="2"/>
        </w:rPr>
        <w:t>指因头</w:t>
      </w:r>
      <w:r>
        <w:rPr/>
        <w:t>部</w:t>
      </w:r>
      <w:r>
        <w:rPr>
          <w:spacing w:val="2"/>
        </w:rPr>
        <w:t>遭受机械性</w:t>
      </w:r>
      <w:r>
        <w:rPr/>
        <w:t>外</w:t>
      </w:r>
      <w:r>
        <w:rPr>
          <w:spacing w:val="2"/>
        </w:rPr>
        <w:t>力，引起脑</w:t>
      </w:r>
      <w:r>
        <w:rPr/>
        <w:t>重</w:t>
      </w:r>
      <w:r>
        <w:rPr>
          <w:spacing w:val="2"/>
        </w:rPr>
        <w:t>要部位损伤，</w:t>
      </w:r>
      <w:r>
        <w:rPr/>
        <w:t>导</w:t>
      </w:r>
      <w:r>
        <w:rPr>
          <w:spacing w:val="2"/>
        </w:rPr>
        <w:t>致神经系统</w:t>
      </w:r>
      <w:r>
        <w:rPr/>
        <w:t>永</w:t>
      </w:r>
      <w:r>
        <w:rPr>
          <w:spacing w:val="2"/>
        </w:rPr>
        <w:t>久性的</w:t>
      </w:r>
      <w:r>
        <w:rPr/>
        <w:t>功</w:t>
      </w:r>
    </w:p>
    <w:p>
      <w:pPr>
        <w:spacing w:after="0"/>
        <w:sectPr>
          <w:type w:val="continuous"/>
          <w:pgSz w:w="11910" w:h="16840"/>
          <w:pgMar w:top="540" w:bottom="280" w:left="920" w:right="800"/>
        </w:sectPr>
      </w:pPr>
    </w:p>
    <w:p>
      <w:pPr>
        <w:pStyle w:val="BodyText"/>
        <w:spacing w:before="2"/>
      </w:pPr>
    </w:p>
    <w:p>
      <w:pPr>
        <w:pStyle w:val="BodyText"/>
        <w:spacing w:line="273" w:lineRule="auto" w:before="34"/>
        <w:ind w:left="2939" w:right="207"/>
        <w:jc w:val="both"/>
      </w:pPr>
      <w:r>
        <w:rPr/>
        <w:t>能障碍。须由头颅断层扫描（CT）、核磁共振检查（MRI）或正电子发射断层扫描（PET）等影像学检查证实。神经系统永久性的功能障碍，指脑损伤 180 </w:t>
      </w:r>
      <w:r>
        <w:rPr>
          <w:w w:val="95"/>
        </w:rPr>
        <w:t>天后，仍遗留下列一种或一种以上障碍：</w:t>
      </w:r>
    </w:p>
    <w:p>
      <w:pPr>
        <w:pStyle w:val="BodyText"/>
        <w:spacing w:before="100"/>
        <w:ind w:left="2939"/>
      </w:pPr>
      <w:r>
        <w:rPr>
          <w:w w:val="95"/>
        </w:rPr>
        <w:t>1.一肢或一肢以上肢体机能完全丧失；</w:t>
      </w:r>
    </w:p>
    <w:p>
      <w:pPr>
        <w:pStyle w:val="BodyText"/>
        <w:spacing w:before="132"/>
        <w:ind w:left="2939"/>
      </w:pPr>
      <w:r>
        <w:rPr>
          <w:w w:val="95"/>
        </w:rPr>
        <w:t>2.语言能力或咀嚼吞咽能力完全丧失；</w:t>
      </w:r>
    </w:p>
    <w:p>
      <w:pPr>
        <w:pStyle w:val="BodyText"/>
        <w:spacing w:line="273" w:lineRule="auto" w:before="130"/>
        <w:ind w:left="2939" w:right="212"/>
      </w:pPr>
      <w:r>
        <w:rPr/>
        <w:t>3.自主生活能力完全丧失，无法独立完成六项基本日常生活活动中的三项或</w:t>
      </w:r>
      <w:r>
        <w:rPr>
          <w:w w:val="95"/>
        </w:rPr>
        <w:t>三项以上。</w:t>
      </w:r>
    </w:p>
    <w:p>
      <w:pPr>
        <w:pStyle w:val="BodyText"/>
        <w:spacing w:before="1"/>
        <w:rPr>
          <w:sz w:val="25"/>
        </w:rPr>
      </w:pPr>
    </w:p>
    <w:p>
      <w:pPr>
        <w:pStyle w:val="BodyText"/>
        <w:tabs>
          <w:tab w:pos="2939" w:val="left" w:leader="none"/>
        </w:tabs>
        <w:spacing w:line="273" w:lineRule="auto" w:before="1"/>
        <w:ind w:left="2939" w:right="212" w:hanging="1892"/>
      </w:pPr>
      <w:r>
        <w:rPr/>
        <w:t>19.严重帕金森病</w:t>
        <w:tab/>
      </w:r>
      <w:r>
        <w:rPr>
          <w:spacing w:val="2"/>
        </w:rPr>
        <w:t>是一种</w:t>
      </w:r>
      <w:r>
        <w:rPr/>
        <w:t>中</w:t>
      </w:r>
      <w:r>
        <w:rPr>
          <w:spacing w:val="2"/>
        </w:rPr>
        <w:t>枢神经系统</w:t>
      </w:r>
      <w:r>
        <w:rPr/>
        <w:t>的</w:t>
      </w:r>
      <w:r>
        <w:rPr>
          <w:spacing w:val="2"/>
        </w:rPr>
        <w:t>退行性疾病</w:t>
      </w:r>
      <w:r>
        <w:rPr/>
        <w:t>，</w:t>
      </w:r>
      <w:r>
        <w:rPr>
          <w:spacing w:val="2"/>
        </w:rPr>
        <w:t>临床表现为震</w:t>
      </w:r>
      <w:r>
        <w:rPr/>
        <w:t>颤</w:t>
      </w:r>
      <w:r>
        <w:rPr>
          <w:spacing w:val="2"/>
        </w:rPr>
        <w:t>麻痹、共济</w:t>
      </w:r>
      <w:r>
        <w:rPr/>
        <w:t>失</w:t>
      </w:r>
      <w:r>
        <w:rPr>
          <w:spacing w:val="2"/>
        </w:rPr>
        <w:t>调等。</w:t>
      </w:r>
      <w:r>
        <w:rPr/>
        <w:t>须 </w:t>
      </w:r>
      <w:r>
        <w:rPr>
          <w:w w:val="95"/>
        </w:rPr>
        <w:t>满足下列全部条件：</w:t>
      </w:r>
    </w:p>
    <w:p>
      <w:pPr>
        <w:pStyle w:val="BodyText"/>
        <w:spacing w:before="101"/>
        <w:ind w:left="2939"/>
      </w:pPr>
      <w:r>
        <w:rPr>
          <w:w w:val="95"/>
        </w:rPr>
        <w:t>1.药物治疗无法控制病情；</w:t>
      </w:r>
    </w:p>
    <w:p>
      <w:pPr>
        <w:pStyle w:val="BodyText"/>
        <w:spacing w:line="273" w:lineRule="auto" w:before="130"/>
        <w:ind w:left="2939" w:right="212"/>
      </w:pPr>
      <w:r>
        <w:rPr/>
        <w:t>2.自主生活能力完全丧失，无法独立完成六项基本日常生活活动中的三项或</w:t>
      </w:r>
      <w:r>
        <w:rPr>
          <w:w w:val="95"/>
        </w:rPr>
        <w:t>三项以上。</w:t>
      </w:r>
    </w:p>
    <w:p>
      <w:pPr>
        <w:pStyle w:val="Heading3"/>
        <w:spacing w:before="101"/>
      </w:pPr>
      <w:r>
        <w:rPr>
          <w:w w:val="95"/>
        </w:rPr>
        <w:t>继发性帕金森综合征不在保障范围内。</w:t>
      </w:r>
    </w:p>
    <w:p>
      <w:pPr>
        <w:pStyle w:val="BodyText"/>
        <w:spacing w:before="5"/>
        <w:rPr>
          <w:b/>
          <w:sz w:val="27"/>
        </w:rPr>
      </w:pPr>
    </w:p>
    <w:p>
      <w:pPr>
        <w:pStyle w:val="BodyText"/>
        <w:tabs>
          <w:tab w:pos="2939" w:val="left" w:leader="none"/>
        </w:tabs>
        <w:spacing w:line="273" w:lineRule="auto"/>
        <w:ind w:left="2939" w:right="210" w:hanging="1892"/>
      </w:pPr>
      <w:r>
        <w:rPr/>
        <w:t>20.严重Ⅲ度烧伤</w:t>
        <w:tab/>
        <w:t>指烧伤程度为Ⅲ度，且Ⅲ度烧伤的面积达到全身体表面积的</w:t>
      </w:r>
      <w:r>
        <w:rPr>
          <w:spacing w:val="-60"/>
        </w:rPr>
        <w:t> </w:t>
      </w:r>
      <w:r>
        <w:rPr/>
        <w:t>20%或</w:t>
      </w:r>
      <w:r>
        <w:rPr>
          <w:spacing w:val="-62"/>
        </w:rPr>
        <w:t> </w:t>
      </w:r>
      <w:r>
        <w:rPr/>
        <w:t>20%以上。</w:t>
      </w:r>
      <w:r>
        <w:rPr>
          <w:w w:val="95"/>
        </w:rPr>
        <w:t>体表面积根据《中国新九分法》计算。</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before="35"/>
        <w:ind w:left="1048"/>
      </w:pPr>
      <w:r>
        <w:rPr/>
        <w:t>21.严重原发性肺</w:t>
      </w:r>
      <w:r>
        <w:rPr>
          <w:w w:val="95"/>
        </w:rPr>
        <w:t>动脉高压</w:t>
      </w:r>
    </w:p>
    <w:p>
      <w:pPr>
        <w:pStyle w:val="BodyText"/>
        <w:spacing w:line="273" w:lineRule="auto" w:before="35"/>
        <w:ind w:left="178"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22.严重运动神经</w:t>
      </w:r>
      <w:r>
        <w:rPr>
          <w:w w:val="95"/>
        </w:rPr>
        <w:t>元病</w:t>
      </w:r>
    </w:p>
    <w:p>
      <w:pPr>
        <w:pStyle w:val="BodyText"/>
        <w:spacing w:line="273" w:lineRule="auto" w:before="35"/>
        <w:ind w:left="178"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pStyle w:val="BodyText"/>
        <w:tabs>
          <w:tab w:pos="2939" w:val="left" w:leader="none"/>
        </w:tabs>
        <w:spacing w:line="273" w:lineRule="auto" w:before="34"/>
        <w:ind w:left="2939" w:right="212" w:hanging="1892"/>
      </w:pPr>
      <w:r>
        <w:rPr/>
        <w:t>23.语言能力丧失</w:t>
        <w:tab/>
        <w:t>指因疾病或意外伤害导致完全丧失语言能力，经过积极治疗至少</w:t>
      </w:r>
      <w:r>
        <w:rPr>
          <w:spacing w:val="-59"/>
        </w:rPr>
        <w:t> </w:t>
      </w:r>
      <w:r>
        <w:rPr/>
        <w:t>12</w:t>
      </w:r>
      <w:r>
        <w:rPr>
          <w:spacing w:val="-62"/>
        </w:rPr>
        <w:t> </w:t>
      </w:r>
      <w:r>
        <w:rPr/>
        <w:t>个</w:t>
      </w:r>
      <w:r>
        <w:rPr>
          <w:spacing w:val="-3"/>
        </w:rPr>
        <w:t>月</w:t>
      </w:r>
      <w:r>
        <w:rPr/>
        <w:t>（声</w:t>
      </w:r>
      <w:r>
        <w:rPr>
          <w:w w:val="95"/>
        </w:rPr>
        <w:t>带完全切除不受此时间限制），仍无法通过现有医疗手段恢复。</w:t>
      </w:r>
    </w:p>
    <w:p>
      <w:pPr>
        <w:pStyle w:val="Heading3"/>
        <w:spacing w:before="101"/>
      </w:pPr>
      <w:r>
        <w:rPr>
          <w:w w:val="95"/>
        </w:rPr>
        <w:t>精神心理因素所致的语言能力丧失不在保障范围内。</w:t>
      </w:r>
    </w:p>
    <w:p>
      <w:pPr>
        <w:spacing w:before="131"/>
        <w:ind w:left="2939" w:right="0" w:firstLine="0"/>
        <w:jc w:val="left"/>
        <w:rPr>
          <w:b/>
          <w:sz w:val="21"/>
        </w:rPr>
      </w:pPr>
      <w:r>
        <w:rPr>
          <w:b/>
          <w:sz w:val="21"/>
        </w:rPr>
        <w:t>被保险人在 0 周岁至 3 周岁期间初患语言能力丧失不在保障范围内。</w:t>
      </w: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24.重型再生障碍</w:t>
      </w:r>
      <w:r>
        <w:rPr>
          <w:w w:val="95"/>
        </w:rPr>
        <w:t>性贫血</w:t>
      </w:r>
    </w:p>
    <w:p>
      <w:pPr>
        <w:pStyle w:val="BodyText"/>
        <w:spacing w:line="273" w:lineRule="auto" w:before="35"/>
        <w:ind w:left="178" w:right="212"/>
      </w:pPr>
      <w:r>
        <w:rPr/>
        <w:br w:type="column"/>
      </w:r>
      <w:r>
        <w:rPr/>
        <w:t>指因骨髓造血功能慢性持续性衰竭导致的贫血、中性粒细胞减少及血小板减</w:t>
      </w:r>
      <w:r>
        <w:rPr>
          <w:w w:val="95"/>
        </w:rPr>
        <w:t>少。须满足下列全部条件：</w:t>
      </w:r>
    </w:p>
    <w:p>
      <w:pPr>
        <w:pStyle w:val="BodyText"/>
        <w:spacing w:before="101"/>
        <w:ind w:left="178"/>
      </w:pPr>
      <w:r>
        <w:rPr>
          <w:w w:val="95"/>
        </w:rPr>
        <w:t>1.骨髓穿刺检查或骨髓活检结果支持诊断；</w:t>
      </w:r>
    </w:p>
    <w:p>
      <w:pPr>
        <w:pStyle w:val="BodyText"/>
        <w:spacing w:before="130"/>
        <w:ind w:left="178"/>
      </w:pPr>
      <w:r>
        <w:rPr>
          <w:w w:val="95"/>
        </w:rPr>
        <w:t>2.外周血象须具备以下三项条件：</w:t>
      </w:r>
    </w:p>
    <w:p>
      <w:pPr>
        <w:pStyle w:val="BodyText"/>
        <w:spacing w:before="133"/>
        <w:ind w:left="178"/>
      </w:pPr>
      <w:r>
        <w:rPr>
          <w:w w:val="95"/>
        </w:rPr>
        <w:t>（1）中性粒细胞绝对值≤0.5×10^9/L；</w:t>
      </w:r>
    </w:p>
    <w:p>
      <w:pPr>
        <w:pStyle w:val="BodyText"/>
        <w:spacing w:before="131"/>
        <w:ind w:left="178"/>
      </w:pPr>
      <w:r>
        <w:rPr>
          <w:w w:val="95"/>
        </w:rPr>
        <w:t>（2）网织红细胞＜1%；</w:t>
      </w:r>
    </w:p>
    <w:p>
      <w:pPr>
        <w:pStyle w:val="BodyText"/>
        <w:spacing w:before="131"/>
        <w:ind w:left="178"/>
      </w:pPr>
      <w:r>
        <w:rPr>
          <w:w w:val="95"/>
        </w:rPr>
        <w:t>（3）血小板绝对值≤20×10^9/L。</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pStyle w:val="BodyText"/>
        <w:tabs>
          <w:tab w:pos="2939" w:val="left" w:leader="none"/>
        </w:tabs>
        <w:spacing w:line="273" w:lineRule="auto" w:before="34"/>
        <w:ind w:left="2939" w:right="212" w:hanging="1892"/>
      </w:pPr>
      <w:r>
        <w:rPr/>
        <w:t>25.主动脉手术</w:t>
        <w:tab/>
      </w:r>
      <w:r>
        <w:rPr>
          <w:spacing w:val="2"/>
        </w:rPr>
        <w:t>指为治</w:t>
      </w:r>
      <w:r>
        <w:rPr/>
        <w:t>疗</w:t>
      </w:r>
      <w:r>
        <w:rPr>
          <w:spacing w:val="2"/>
        </w:rPr>
        <w:t>主动脉疾病</w:t>
      </w:r>
      <w:r>
        <w:rPr/>
        <w:t>，</w:t>
      </w:r>
      <w:r>
        <w:rPr>
          <w:spacing w:val="2"/>
        </w:rPr>
        <w:t>实际实施了</w:t>
      </w:r>
      <w:r>
        <w:rPr/>
        <w:t>开</w:t>
      </w:r>
      <w:r>
        <w:rPr>
          <w:spacing w:val="2"/>
        </w:rPr>
        <w:t>胸或开腹进行</w:t>
      </w:r>
      <w:r>
        <w:rPr/>
        <w:t>的</w:t>
      </w:r>
      <w:r>
        <w:rPr>
          <w:spacing w:val="2"/>
        </w:rPr>
        <w:t>切除、置换</w:t>
      </w:r>
      <w:r>
        <w:rPr/>
        <w:t>、</w:t>
      </w:r>
      <w:r>
        <w:rPr>
          <w:spacing w:val="2"/>
        </w:rPr>
        <w:t>修补病</w:t>
      </w:r>
      <w:r>
        <w:rPr/>
        <w:t>损 </w:t>
      </w:r>
      <w:r>
        <w:rPr>
          <w:spacing w:val="2"/>
        </w:rPr>
        <w:t>主动脉</w:t>
      </w:r>
      <w:r>
        <w:rPr/>
        <w:t>血</w:t>
      </w:r>
      <w:r>
        <w:rPr>
          <w:spacing w:val="2"/>
        </w:rPr>
        <w:t>管的手术。</w:t>
      </w:r>
      <w:r>
        <w:rPr/>
        <w:t>主</w:t>
      </w:r>
      <w:r>
        <w:rPr>
          <w:spacing w:val="2"/>
        </w:rPr>
        <w:t>动脉指胸主</w:t>
      </w:r>
      <w:r>
        <w:rPr/>
        <w:t>动</w:t>
      </w:r>
      <w:r>
        <w:rPr>
          <w:spacing w:val="2"/>
        </w:rPr>
        <w:t>脉和腹主动脉</w:t>
      </w:r>
      <w:r>
        <w:rPr/>
        <w:t>，</w:t>
      </w:r>
      <w:r>
        <w:rPr>
          <w:spacing w:val="2"/>
        </w:rPr>
        <w:t>不包括胸主</w:t>
      </w:r>
      <w:r>
        <w:rPr/>
        <w:t>动</w:t>
      </w:r>
      <w:r>
        <w:rPr>
          <w:spacing w:val="2"/>
        </w:rPr>
        <w:t>脉和腹</w:t>
      </w:r>
      <w:r>
        <w:rPr/>
        <w:t>主</w:t>
      </w:r>
    </w:p>
    <w:p>
      <w:pPr>
        <w:spacing w:after="0" w:line="273" w:lineRule="auto"/>
        <w:sectPr>
          <w:type w:val="continuous"/>
          <w:pgSz w:w="11910" w:h="16840"/>
          <w:pgMar w:top="540" w:bottom="280" w:left="920" w:right="800"/>
        </w:sectPr>
      </w:pPr>
    </w:p>
    <w:p>
      <w:pPr>
        <w:pStyle w:val="BodyText"/>
        <w:spacing w:before="2"/>
      </w:pPr>
    </w:p>
    <w:p>
      <w:pPr>
        <w:pStyle w:val="BodyText"/>
        <w:spacing w:before="34"/>
        <w:ind w:left="2939"/>
      </w:pPr>
      <w:r>
        <w:rPr>
          <w:w w:val="95"/>
        </w:rPr>
        <w:t>动脉的分支血管。</w:t>
      </w:r>
    </w:p>
    <w:p>
      <w:pPr>
        <w:pStyle w:val="Heading3"/>
      </w:pPr>
      <w:r>
        <w:rPr>
          <w:w w:val="95"/>
        </w:rPr>
        <w:t>动脉内血管成形术不在保障范围内。</w:t>
      </w:r>
    </w:p>
    <w:p>
      <w:pPr>
        <w:pStyle w:val="BodyText"/>
        <w:spacing w:before="8"/>
        <w:rPr>
          <w:b/>
          <w:sz w:val="28"/>
        </w:rPr>
      </w:pPr>
    </w:p>
    <w:p>
      <w:pPr>
        <w:tabs>
          <w:tab w:pos="1047" w:val="left" w:leader="none"/>
        </w:tabs>
        <w:spacing w:before="62"/>
        <w:ind w:left="208" w:right="0" w:firstLine="0"/>
        <w:jc w:val="left"/>
        <w:rPr>
          <w:b/>
          <w:sz w:val="24"/>
        </w:rPr>
      </w:pPr>
      <w:r>
        <w:rPr/>
        <w:pict>
          <v:line style="position:absolute;mso-position-horizontal-relative:page;mso-position-vertical-relative:paragraph;z-index:1288;mso-wrap-distance-left:0;mso-wrap-distance-right:0" from="51.049999pt,31.619783pt" to="549.999999pt,31.619783pt" stroked="true" strokeweight=".96pt" strokecolor="#000000">
            <v:stroke dashstyle="solid"/>
            <w10:wrap type="topAndBottom"/>
          </v:line>
        </w:pict>
      </w:r>
      <w:r>
        <w:rPr>
          <w:rFonts w:ascii="Arial" w:hAnsi="Arial" w:eastAsia="Arial"/>
          <w:b/>
          <w:w w:val="110"/>
          <w:position w:val="-3"/>
          <w:sz w:val="40"/>
        </w:rPr>
        <w:t></w:t>
        <w:tab/>
      </w:r>
      <w:r>
        <w:rPr>
          <w:b/>
          <w:w w:val="95"/>
          <w:sz w:val="24"/>
        </w:rPr>
        <w:t>释义</w:t>
      </w:r>
    </w:p>
    <w:p>
      <w:pPr>
        <w:pStyle w:val="ListParagraph"/>
        <w:numPr>
          <w:ilvl w:val="1"/>
          <w:numId w:val="16"/>
        </w:numPr>
        <w:tabs>
          <w:tab w:pos="1047" w:val="left" w:leader="none"/>
          <w:tab w:pos="1048" w:val="left" w:leader="none"/>
          <w:tab w:pos="2939" w:val="left" w:leader="none"/>
        </w:tabs>
        <w:spacing w:line="273" w:lineRule="auto" w:before="164" w:after="0"/>
        <w:ind w:left="2939" w:right="212" w:hanging="2731"/>
        <w:jc w:val="left"/>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10"/>
        <w:rPr>
          <w:sz w:val="17"/>
        </w:rPr>
      </w:pPr>
    </w:p>
    <w:p>
      <w:pPr>
        <w:pStyle w:val="ListParagraph"/>
        <w:numPr>
          <w:ilvl w:val="1"/>
          <w:numId w:val="16"/>
        </w:numPr>
        <w:tabs>
          <w:tab w:pos="1047" w:val="left" w:leader="none"/>
          <w:tab w:pos="1048" w:val="left" w:leader="none"/>
          <w:tab w:pos="2939" w:val="left" w:leader="none"/>
        </w:tabs>
        <w:spacing w:line="240" w:lineRule="auto" w:before="0"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6"/>
        <w:ind w:left="2939" w:right="2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12"/>
        <w:rPr>
          <w:sz w:val="12"/>
        </w:rPr>
      </w:pPr>
    </w:p>
    <w:p>
      <w:pPr>
        <w:spacing w:after="0"/>
        <w:rPr>
          <w:sz w:val="12"/>
        </w:rPr>
        <w:sectPr>
          <w:pgSz w:w="11910" w:h="16840"/>
          <w:pgMar w:header="607" w:footer="405" w:top="800" w:bottom="600" w:left="920" w:right="800"/>
        </w:sectPr>
      </w:pPr>
    </w:p>
    <w:p>
      <w:pPr>
        <w:pStyle w:val="Heading3"/>
        <w:numPr>
          <w:ilvl w:val="1"/>
          <w:numId w:val="16"/>
        </w:numPr>
        <w:tabs>
          <w:tab w:pos="1047" w:val="left" w:leader="none"/>
          <w:tab w:pos="1048" w:val="left" w:leader="none"/>
        </w:tabs>
        <w:spacing w:line="196" w:lineRule="auto" w:before="79" w:after="0"/>
        <w:ind w:left="1048" w:right="0" w:hanging="840"/>
        <w:jc w:val="left"/>
      </w:pPr>
      <w:r>
        <w:rPr/>
        <w:pict>
          <v:shape style="position:absolute;margin-left:53.900002pt;margin-top:26.869959pt;width:494.5pt;height:328.9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945"/>
                    <w:gridCol w:w="7318"/>
                  </w:tblGrid>
                  <w:tr>
                    <w:trPr>
                      <w:trHeight w:val="307" w:hRule="atLeast"/>
                    </w:trPr>
                    <w:tc>
                      <w:tcPr>
                        <w:tcW w:w="2573" w:type="dxa"/>
                        <w:gridSpan w:val="2"/>
                        <w:vMerge w:val="restart"/>
                      </w:tcPr>
                      <w:p>
                        <w:pPr>
                          <w:pStyle w:val="TableParagraph"/>
                          <w:rPr>
                            <w:rFonts w:ascii="Times New Roman"/>
                            <w:sz w:val="20"/>
                          </w:rPr>
                        </w:pPr>
                      </w:p>
                    </w:tc>
                    <w:tc>
                      <w:tcPr>
                        <w:tcW w:w="7318" w:type="dxa"/>
                      </w:tcPr>
                      <w:p>
                        <w:pPr>
                          <w:pStyle w:val="TableParagraph"/>
                          <w:spacing w:line="209" w:lineRule="exact"/>
                          <w:ind w:left="208"/>
                          <w:rPr>
                            <w:sz w:val="21"/>
                          </w:rPr>
                        </w:pPr>
                        <w:r>
                          <w:rPr>
                            <w:w w:val="95"/>
                            <w:sz w:val="21"/>
                          </w:rPr>
                          <w:t>（1）被保险人自出生后初次出现重大疾病之症状体征；</w:t>
                        </w:r>
                      </w:p>
                    </w:tc>
                  </w:tr>
                  <w:tr>
                    <w:trPr>
                      <w:trHeight w:val="717" w:hRule="atLeast"/>
                    </w:trPr>
                    <w:tc>
                      <w:tcPr>
                        <w:tcW w:w="2573" w:type="dxa"/>
                        <w:gridSpan w:val="2"/>
                        <w:vMerge/>
                        <w:tcBorders>
                          <w:top w:val="nil"/>
                        </w:tcBorders>
                      </w:tcPr>
                      <w:p>
                        <w:pPr>
                          <w:rPr>
                            <w:sz w:val="2"/>
                            <w:szCs w:val="2"/>
                          </w:rPr>
                        </w:pPr>
                      </w:p>
                    </w:tc>
                    <w:tc>
                      <w:tcPr>
                        <w:tcW w:w="7318" w:type="dxa"/>
                      </w:tcPr>
                      <w:p>
                        <w:pPr>
                          <w:pStyle w:val="TableParagraph"/>
                          <w:spacing w:line="273" w:lineRule="auto" w:before="32"/>
                          <w:ind w:left="208" w:right="78"/>
                          <w:rPr>
                            <w:sz w:val="21"/>
                          </w:rPr>
                        </w:pPr>
                        <w:r>
                          <w:rPr>
                            <w:w w:val="95"/>
                            <w:sz w:val="21"/>
                          </w:rPr>
                          <w:t>（2）被保险人在本合同有效期间内初次出现重大疾病之症状体征并被确诊患  该重大疾病；</w:t>
                        </w:r>
                      </w:p>
                    </w:tc>
                  </w:tr>
                  <w:tr>
                    <w:trPr>
                      <w:trHeight w:val="406" w:hRule="atLeast"/>
                    </w:trPr>
                    <w:tc>
                      <w:tcPr>
                        <w:tcW w:w="2573" w:type="dxa"/>
                        <w:gridSpan w:val="2"/>
                        <w:vMerge/>
                        <w:tcBorders>
                          <w:top w:val="nil"/>
                        </w:tcBorders>
                      </w:tcPr>
                      <w:p>
                        <w:pPr>
                          <w:rPr>
                            <w:sz w:val="2"/>
                            <w:szCs w:val="2"/>
                          </w:rPr>
                        </w:pPr>
                      </w:p>
                    </w:tc>
                    <w:tc>
                      <w:tcPr>
                        <w:tcW w:w="7318" w:type="dxa"/>
                      </w:tcPr>
                      <w:p>
                        <w:pPr>
                          <w:pStyle w:val="TableParagraph"/>
                          <w:spacing w:before="32"/>
                          <w:ind w:left="208"/>
                          <w:rPr>
                            <w:sz w:val="21"/>
                          </w:rPr>
                        </w:pPr>
                        <w:r>
                          <w:rPr>
                            <w:w w:val="95"/>
                            <w:sz w:val="21"/>
                          </w:rPr>
                          <w:t>（3）该重大疾病之症状体征符合本合同的定义；</w:t>
                        </w:r>
                      </w:p>
                    </w:tc>
                  </w:tr>
                  <w:tr>
                    <w:trPr>
                      <w:trHeight w:val="406" w:hRule="atLeast"/>
                    </w:trPr>
                    <w:tc>
                      <w:tcPr>
                        <w:tcW w:w="2573" w:type="dxa"/>
                        <w:gridSpan w:val="2"/>
                        <w:vMerge/>
                        <w:tcBorders>
                          <w:top w:val="nil"/>
                        </w:tcBorders>
                      </w:tcPr>
                      <w:p>
                        <w:pPr>
                          <w:rPr>
                            <w:sz w:val="2"/>
                            <w:szCs w:val="2"/>
                          </w:rPr>
                        </w:pPr>
                      </w:p>
                    </w:tc>
                    <w:tc>
                      <w:tcPr>
                        <w:tcW w:w="7318" w:type="dxa"/>
                      </w:tcPr>
                      <w:p>
                        <w:pPr>
                          <w:pStyle w:val="TableParagraph"/>
                          <w:spacing w:before="34"/>
                          <w:ind w:left="208"/>
                          <w:rPr>
                            <w:sz w:val="21"/>
                          </w:rPr>
                        </w:pPr>
                        <w:r>
                          <w:rPr>
                            <w:sz w:val="21"/>
                          </w:rPr>
                          <w:t>（4）该重大疾病已在本合同第 8 部分列明。</w:t>
                        </w:r>
                      </w:p>
                    </w:tc>
                  </w:tr>
                  <w:tr>
                    <w:trPr>
                      <w:trHeight w:val="831" w:hRule="atLeast"/>
                    </w:trPr>
                    <w:tc>
                      <w:tcPr>
                        <w:tcW w:w="2573" w:type="dxa"/>
                        <w:gridSpan w:val="2"/>
                        <w:vMerge/>
                        <w:tcBorders>
                          <w:top w:val="nil"/>
                        </w:tcBorders>
                      </w:tcPr>
                      <w:p>
                        <w:pPr>
                          <w:rPr>
                            <w:sz w:val="2"/>
                            <w:szCs w:val="2"/>
                          </w:rPr>
                        </w:pPr>
                      </w:p>
                    </w:tc>
                    <w:tc>
                      <w:tcPr>
                        <w:tcW w:w="7318" w:type="dxa"/>
                      </w:tcPr>
                      <w:p>
                        <w:pPr>
                          <w:pStyle w:val="TableParagraph"/>
                          <w:spacing w:line="273" w:lineRule="auto" w:before="32"/>
                          <w:ind w:left="208" w:right="49"/>
                          <w:rPr>
                            <w:b/>
                            <w:sz w:val="21"/>
                          </w:rPr>
                        </w:pPr>
                        <w:r>
                          <w:rPr>
                            <w:b/>
                            <w:spacing w:val="1"/>
                            <w:w w:val="95"/>
                            <w:sz w:val="21"/>
                          </w:rPr>
                          <w:t>对于被保险人在本合同生效日前出现的本合同所列重大疾病症状体征或所患  的重大疾病，本公司不承担保险责任。</w:t>
                        </w:r>
                      </w:p>
                    </w:tc>
                  </w:tr>
                  <w:tr>
                    <w:trPr>
                      <w:trHeight w:val="897" w:hRule="atLeast"/>
                    </w:trPr>
                    <w:tc>
                      <w:tcPr>
                        <w:tcW w:w="628" w:type="dxa"/>
                      </w:tcPr>
                      <w:p>
                        <w:pPr>
                          <w:pStyle w:val="TableParagraph"/>
                          <w:spacing w:before="146"/>
                          <w:ind w:left="50"/>
                          <w:rPr>
                            <w:b/>
                            <w:sz w:val="21"/>
                          </w:rPr>
                        </w:pPr>
                        <w:r>
                          <w:rPr>
                            <w:b/>
                            <w:sz w:val="21"/>
                          </w:rPr>
                          <w:t>9.4</w:t>
                        </w:r>
                      </w:p>
                    </w:tc>
                    <w:tc>
                      <w:tcPr>
                        <w:tcW w:w="1945" w:type="dxa"/>
                      </w:tcPr>
                      <w:p>
                        <w:pPr>
                          <w:pStyle w:val="TableParagraph"/>
                          <w:spacing w:before="146"/>
                          <w:ind w:left="261"/>
                          <w:rPr>
                            <w:b/>
                            <w:sz w:val="21"/>
                          </w:rPr>
                        </w:pPr>
                        <w:r>
                          <w:rPr>
                            <w:b/>
                            <w:w w:val="95"/>
                            <w:sz w:val="21"/>
                          </w:rPr>
                          <w:t>意外伤害</w:t>
                        </w:r>
                      </w:p>
                    </w:tc>
                    <w:tc>
                      <w:tcPr>
                        <w:tcW w:w="7318" w:type="dxa"/>
                      </w:tcPr>
                      <w:p>
                        <w:pPr>
                          <w:pStyle w:val="TableParagraph"/>
                          <w:spacing w:line="273" w:lineRule="auto" w:before="146"/>
                          <w:ind w:left="208" w:right="75"/>
                          <w:rPr>
                            <w:sz w:val="21"/>
                          </w:rPr>
                        </w:pPr>
                        <w:r>
                          <w:rPr>
                            <w:sz w:val="21"/>
                          </w:rPr>
                          <w:t>指遭受外来的、突发的、非本意的、非疾病的客观事件直接致使身体受到的</w:t>
                        </w:r>
                        <w:r>
                          <w:rPr>
                            <w:w w:val="95"/>
                            <w:sz w:val="21"/>
                          </w:rPr>
                          <w:t>伤害。</w:t>
                        </w:r>
                      </w:p>
                    </w:tc>
                  </w:tr>
                  <w:tr>
                    <w:trPr>
                      <w:trHeight w:val="1474" w:hRule="atLeast"/>
                    </w:trPr>
                    <w:tc>
                      <w:tcPr>
                        <w:tcW w:w="628" w:type="dxa"/>
                      </w:tcPr>
                      <w:p>
                        <w:pPr>
                          <w:pStyle w:val="TableParagraph"/>
                          <w:spacing w:before="98"/>
                          <w:ind w:left="50"/>
                          <w:rPr>
                            <w:b/>
                            <w:sz w:val="21"/>
                          </w:rPr>
                        </w:pPr>
                        <w:r>
                          <w:rPr>
                            <w:b/>
                            <w:sz w:val="21"/>
                          </w:rPr>
                          <w:t>9.5</w:t>
                        </w:r>
                      </w:p>
                    </w:tc>
                    <w:tc>
                      <w:tcPr>
                        <w:tcW w:w="1945" w:type="dxa"/>
                      </w:tcPr>
                      <w:p>
                        <w:pPr>
                          <w:pStyle w:val="TableParagraph"/>
                          <w:spacing w:before="98"/>
                          <w:ind w:left="261"/>
                          <w:rPr>
                            <w:b/>
                            <w:sz w:val="21"/>
                          </w:rPr>
                        </w:pPr>
                        <w:r>
                          <w:rPr>
                            <w:b/>
                            <w:w w:val="95"/>
                            <w:sz w:val="21"/>
                          </w:rPr>
                          <w:t>毒品</w:t>
                        </w:r>
                      </w:p>
                    </w:tc>
                    <w:tc>
                      <w:tcPr>
                        <w:tcW w:w="7318" w:type="dxa"/>
                      </w:tcPr>
                      <w:p>
                        <w:pPr>
                          <w:pStyle w:val="TableParagraph"/>
                          <w:spacing w:line="273" w:lineRule="auto" w:before="98"/>
                          <w:ind w:left="208" w:right="75"/>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w:t>
                        </w:r>
                        <w:r>
                          <w:rPr>
                            <w:w w:val="95"/>
                            <w:sz w:val="21"/>
                          </w:rPr>
                          <w:t>处方药品。</w:t>
                        </w:r>
                      </w:p>
                    </w:tc>
                  </w:tr>
                  <w:tr>
                    <w:trPr>
                      <w:trHeight w:val="1162" w:hRule="atLeast"/>
                    </w:trPr>
                    <w:tc>
                      <w:tcPr>
                        <w:tcW w:w="628" w:type="dxa"/>
                      </w:tcPr>
                      <w:p>
                        <w:pPr>
                          <w:pStyle w:val="TableParagraph"/>
                          <w:spacing w:before="100"/>
                          <w:ind w:left="50"/>
                          <w:rPr>
                            <w:b/>
                            <w:sz w:val="21"/>
                          </w:rPr>
                        </w:pPr>
                        <w:r>
                          <w:rPr>
                            <w:b/>
                            <w:sz w:val="21"/>
                          </w:rPr>
                          <w:t>9.6</w:t>
                        </w:r>
                      </w:p>
                    </w:tc>
                    <w:tc>
                      <w:tcPr>
                        <w:tcW w:w="1945" w:type="dxa"/>
                      </w:tcPr>
                      <w:p>
                        <w:pPr>
                          <w:pStyle w:val="TableParagraph"/>
                          <w:spacing w:before="100"/>
                          <w:ind w:left="261"/>
                          <w:rPr>
                            <w:b/>
                            <w:sz w:val="21"/>
                          </w:rPr>
                        </w:pPr>
                        <w:r>
                          <w:rPr>
                            <w:b/>
                            <w:w w:val="95"/>
                            <w:sz w:val="21"/>
                          </w:rPr>
                          <w:t>酒后驾驶</w:t>
                        </w:r>
                      </w:p>
                    </w:tc>
                    <w:tc>
                      <w:tcPr>
                        <w:tcW w:w="7318" w:type="dxa"/>
                      </w:tcPr>
                      <w:p>
                        <w:pPr>
                          <w:pStyle w:val="TableParagraph"/>
                          <w:spacing w:line="273" w:lineRule="auto" w:before="100"/>
                          <w:ind w:left="208" w:right="75"/>
                          <w:jc w:val="both"/>
                          <w:rPr>
                            <w:sz w:val="21"/>
                          </w:rPr>
                        </w:pP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tc>
                  </w:tr>
                  <w:tr>
                    <w:trPr>
                      <w:trHeight w:val="373" w:hRule="atLeast"/>
                    </w:trPr>
                    <w:tc>
                      <w:tcPr>
                        <w:tcW w:w="628" w:type="dxa"/>
                      </w:tcPr>
                      <w:p>
                        <w:pPr>
                          <w:pStyle w:val="TableParagraph"/>
                          <w:spacing w:line="255" w:lineRule="exact" w:before="98"/>
                          <w:ind w:left="50"/>
                          <w:rPr>
                            <w:b/>
                            <w:sz w:val="21"/>
                          </w:rPr>
                        </w:pPr>
                        <w:r>
                          <w:rPr>
                            <w:b/>
                            <w:sz w:val="21"/>
                          </w:rPr>
                          <w:t>9.7</w:t>
                        </w:r>
                      </w:p>
                    </w:tc>
                    <w:tc>
                      <w:tcPr>
                        <w:tcW w:w="1945" w:type="dxa"/>
                      </w:tcPr>
                      <w:p>
                        <w:pPr>
                          <w:pStyle w:val="TableParagraph"/>
                          <w:spacing w:line="255" w:lineRule="exact" w:before="98"/>
                          <w:ind w:left="261"/>
                          <w:rPr>
                            <w:b/>
                            <w:sz w:val="21"/>
                          </w:rPr>
                        </w:pPr>
                        <w:r>
                          <w:rPr>
                            <w:b/>
                            <w:w w:val="95"/>
                            <w:sz w:val="21"/>
                          </w:rPr>
                          <w:t>无合法有效驾驶</w:t>
                        </w:r>
                      </w:p>
                    </w:tc>
                    <w:tc>
                      <w:tcPr>
                        <w:tcW w:w="7318" w:type="dxa"/>
                      </w:tcPr>
                      <w:p>
                        <w:pPr>
                          <w:pStyle w:val="TableParagraph"/>
                          <w:spacing w:line="255" w:lineRule="exact" w:before="98"/>
                          <w:ind w:left="208"/>
                          <w:rPr>
                            <w:sz w:val="21"/>
                          </w:rPr>
                        </w:pPr>
                        <w:r>
                          <w:rPr>
                            <w:w w:val="95"/>
                            <w:sz w:val="21"/>
                          </w:rPr>
                          <w:t>指下列情形之一：</w:t>
                        </w:r>
                      </w:p>
                    </w:tc>
                  </w:tr>
                </w:tbl>
                <w:p>
                  <w:pPr>
                    <w:pStyle w:val="BodyText"/>
                  </w:pPr>
                </w:p>
              </w:txbxContent>
            </v:textbox>
            <w10:wrap type="none"/>
          </v:shape>
        </w:pict>
      </w:r>
      <w:r>
        <w:rPr>
          <w:w w:val="95"/>
        </w:rPr>
        <w:t>初次确诊本合同所列的重大疾病</w:t>
      </w:r>
    </w:p>
    <w:p>
      <w:pPr>
        <w:pStyle w:val="BodyText"/>
        <w:spacing w:before="66"/>
        <w:ind w:left="208"/>
      </w:pPr>
      <w:r>
        <w:rPr/>
        <w:br w:type="column"/>
      </w:r>
      <w:r>
        <w:rPr>
          <w:w w:val="95"/>
        </w:rPr>
        <w:t>指被保险人患同时符合以下条件的重大疾病：</w:t>
      </w:r>
    </w:p>
    <w:p>
      <w:pPr>
        <w:spacing w:after="0"/>
        <w:sectPr>
          <w:type w:val="continuous"/>
          <w:pgSz w:w="11910" w:h="16840"/>
          <w:pgMar w:top="540" w:bottom="280" w:left="920" w:right="800"/>
          <w:cols w:num="2" w:equalWidth="0">
            <w:col w:w="2522" w:space="209"/>
            <w:col w:w="745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spacing w:after="0"/>
        <w:sectPr>
          <w:type w:val="continuous"/>
          <w:pgSz w:w="11910" w:h="16840"/>
          <w:pgMar w:top="540" w:bottom="280" w:left="920" w:right="800"/>
        </w:sectPr>
      </w:pPr>
    </w:p>
    <w:p>
      <w:pPr>
        <w:pStyle w:val="Heading3"/>
        <w:spacing w:before="35"/>
        <w:ind w:left="1048"/>
      </w:pPr>
      <w:r>
        <w:rPr>
          <w:w w:val="95"/>
        </w:rPr>
        <w:t>证驾驶</w:t>
      </w:r>
    </w:p>
    <w:p>
      <w:pPr>
        <w:pStyle w:val="BodyText"/>
        <w:spacing w:before="128"/>
        <w:ind w:left="1048"/>
      </w:pPr>
      <w:r>
        <w:rPr/>
        <w:br w:type="column"/>
      </w:r>
      <w:r>
        <w:rPr>
          <w:w w:val="95"/>
        </w:rPr>
        <w:t>（1）没有取得驾驶资格；</w:t>
      </w:r>
    </w:p>
    <w:p>
      <w:pPr>
        <w:pStyle w:val="BodyText"/>
        <w:spacing w:before="132"/>
        <w:ind w:left="1048"/>
      </w:pPr>
      <w:r>
        <w:rPr>
          <w:w w:val="95"/>
        </w:rPr>
        <w:t>（2）驾驶与驾驶证准驾车型不相符合的车辆；</w:t>
      </w:r>
    </w:p>
    <w:p>
      <w:pPr>
        <w:pStyle w:val="BodyText"/>
        <w:spacing w:before="130"/>
        <w:ind w:left="1048"/>
      </w:pPr>
      <w:r>
        <w:rPr>
          <w:w w:val="95"/>
        </w:rPr>
        <w:t>（3）持审验不合格的驾驶证驾驶；</w:t>
      </w:r>
    </w:p>
    <w:p>
      <w:pPr>
        <w:pStyle w:val="BodyText"/>
        <w:spacing w:line="273" w:lineRule="auto" w:before="130"/>
        <w:ind w:left="1573" w:right="2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800"/>
          <w:cols w:num="2" w:equalWidth="0">
            <w:col w:w="1680" w:space="211"/>
            <w:col w:w="8299"/>
          </w:cols>
        </w:sectPr>
      </w:pPr>
    </w:p>
    <w:p>
      <w:pPr>
        <w:pStyle w:val="BodyText"/>
        <w:spacing w:before="4"/>
        <w:rPr>
          <w:sz w:val="15"/>
        </w:rPr>
      </w:pPr>
    </w:p>
    <w:p>
      <w:pPr>
        <w:pStyle w:val="ListParagraph"/>
        <w:numPr>
          <w:ilvl w:val="1"/>
          <w:numId w:val="17"/>
        </w:numPr>
        <w:tabs>
          <w:tab w:pos="1047" w:val="left" w:leader="none"/>
          <w:tab w:pos="1048" w:val="left" w:leader="none"/>
          <w:tab w:pos="2939" w:val="left" w:leader="none"/>
        </w:tabs>
        <w:spacing w:line="240" w:lineRule="auto" w:before="35" w:after="0"/>
        <w:ind w:left="2939" w:right="0" w:hanging="2731"/>
        <w:jc w:val="left"/>
        <w:rPr>
          <w:sz w:val="21"/>
        </w:rPr>
      </w:pPr>
      <w:r>
        <w:rPr>
          <w:b/>
          <w:sz w:val="21"/>
        </w:rPr>
        <w:t>无有效行驶证</w:t>
        <w:tab/>
      </w:r>
      <w:r>
        <w:rPr>
          <w:w w:val="95"/>
          <w:sz w:val="21"/>
        </w:rPr>
        <w:t>指下列情形之一：</w:t>
      </w:r>
    </w:p>
    <w:p>
      <w:pPr>
        <w:spacing w:after="0" w:line="240" w:lineRule="auto"/>
        <w:jc w:val="left"/>
        <w:rPr>
          <w:sz w:val="21"/>
        </w:rPr>
        <w:sectPr>
          <w:type w:val="continuous"/>
          <w:pgSz w:w="11910" w:h="16840"/>
          <w:pgMar w:top="540" w:bottom="280" w:left="920" w:right="800"/>
        </w:sectPr>
      </w:pPr>
    </w:p>
    <w:p>
      <w:pPr>
        <w:pStyle w:val="BodyText"/>
        <w:spacing w:before="2"/>
      </w:pPr>
    </w:p>
    <w:p>
      <w:pPr>
        <w:pStyle w:val="BodyText"/>
        <w:spacing w:before="34"/>
        <w:ind w:left="2939"/>
      </w:pPr>
      <w:r>
        <w:rPr>
          <w:w w:val="95"/>
        </w:rPr>
        <w:t>（1）机动车被依法注销登记的；</w:t>
      </w:r>
    </w:p>
    <w:p>
      <w:pPr>
        <w:pStyle w:val="BodyText"/>
        <w:spacing w:before="130"/>
        <w:ind w:left="2939"/>
      </w:pPr>
      <w:r>
        <w:rPr>
          <w:w w:val="95"/>
        </w:rPr>
        <w:t>（2）未依法按时进行或通过机动车安全技术检验。</w:t>
      </w:r>
    </w:p>
    <w:p>
      <w:pPr>
        <w:pStyle w:val="BodyText"/>
        <w:spacing w:before="3"/>
        <w:rPr>
          <w:sz w:val="20"/>
        </w:rPr>
      </w:pPr>
    </w:p>
    <w:p>
      <w:pPr>
        <w:pStyle w:val="ListParagraph"/>
        <w:numPr>
          <w:ilvl w:val="1"/>
          <w:numId w:val="17"/>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4"/>
        <w:rPr>
          <w:sz w:val="15"/>
        </w:rPr>
      </w:pPr>
    </w:p>
    <w:p>
      <w:pPr>
        <w:spacing w:after="0"/>
        <w:rPr>
          <w:sz w:val="15"/>
        </w:rPr>
        <w:sectPr>
          <w:footerReference w:type="default" r:id="rId9"/>
          <w:pgSz w:w="11910" w:h="16840"/>
          <w:pgMar w:footer="405" w:header="607" w:top="800" w:bottom="600" w:left="920" w:right="900"/>
        </w:sectPr>
      </w:pPr>
    </w:p>
    <w:p>
      <w:pPr>
        <w:pStyle w:val="Heading3"/>
        <w:numPr>
          <w:ilvl w:val="1"/>
          <w:numId w:val="17"/>
        </w:numPr>
        <w:tabs>
          <w:tab w:pos="1047" w:val="left" w:leader="none"/>
          <w:tab w:pos="1048" w:val="left" w:leader="none"/>
        </w:tabs>
        <w:spacing w:line="240" w:lineRule="auto" w:before="35" w:after="0"/>
        <w:ind w:left="2939" w:right="0" w:hanging="2731"/>
        <w:jc w:val="left"/>
      </w:pPr>
      <w:r>
        <w:rPr>
          <w:spacing w:val="-3"/>
          <w:w w:val="95"/>
        </w:rPr>
        <w:t>先天性畸形、变形</w:t>
      </w:r>
    </w:p>
    <w:p>
      <w:pPr>
        <w:spacing w:before="37"/>
        <w:ind w:left="1048" w:right="0" w:firstLine="0"/>
        <w:jc w:val="left"/>
        <w:rPr>
          <w:b/>
          <w:sz w:val="21"/>
        </w:rPr>
      </w:pPr>
      <w:r>
        <w:rPr>
          <w:b/>
          <w:w w:val="95"/>
          <w:sz w:val="21"/>
        </w:rPr>
        <w:t>或染色体异常</w:t>
      </w:r>
    </w:p>
    <w:p>
      <w:pPr>
        <w:pStyle w:val="BodyText"/>
        <w:spacing w:line="273" w:lineRule="auto" w:before="35"/>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7"/>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900"/>
          <w:cols w:num="2" w:equalWidth="0">
            <w:col w:w="2721" w:space="40"/>
            <w:col w:w="7329"/>
          </w:cols>
        </w:sectPr>
      </w:pPr>
    </w:p>
    <w:p>
      <w:pPr>
        <w:pStyle w:val="BodyText"/>
        <w:spacing w:before="2"/>
        <w:rPr>
          <w:sz w:val="16"/>
        </w:rPr>
      </w:pPr>
    </w:p>
    <w:p>
      <w:pPr>
        <w:spacing w:after="0"/>
        <w:rPr>
          <w:sz w:val="16"/>
        </w:rPr>
        <w:sectPr>
          <w:type w:val="continuous"/>
          <w:pgSz w:w="11910" w:h="16840"/>
          <w:pgMar w:top="540" w:bottom="280" w:left="920" w:right="900"/>
        </w:sectPr>
      </w:pPr>
    </w:p>
    <w:p>
      <w:pPr>
        <w:pStyle w:val="Heading3"/>
        <w:numPr>
          <w:ilvl w:val="1"/>
          <w:numId w:val="17"/>
        </w:numPr>
        <w:tabs>
          <w:tab w:pos="1047" w:val="left" w:leader="none"/>
          <w:tab w:pos="1048" w:val="left" w:leader="none"/>
        </w:tabs>
        <w:spacing w:line="240" w:lineRule="auto" w:before="35" w:after="0"/>
        <w:ind w:left="2939" w:right="0" w:hanging="2731"/>
        <w:jc w:val="left"/>
      </w:pPr>
      <w:r>
        <w:rPr>
          <w:w w:val="95"/>
        </w:rPr>
        <w:t>感染艾滋病病毒</w:t>
      </w:r>
    </w:p>
    <w:p>
      <w:pPr>
        <w:spacing w:before="37"/>
        <w:ind w:left="1048" w:right="0" w:firstLine="0"/>
        <w:jc w:val="left"/>
        <w:rPr>
          <w:b/>
          <w:sz w:val="21"/>
        </w:rPr>
      </w:pPr>
      <w:r>
        <w:rPr>
          <w:b/>
          <w:w w:val="95"/>
          <w:sz w:val="21"/>
        </w:rPr>
        <w:t>或患艾滋病</w:t>
      </w:r>
    </w:p>
    <w:p>
      <w:pPr>
        <w:pStyle w:val="BodyText"/>
        <w:spacing w:line="273" w:lineRule="auto" w:before="35"/>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5"/>
        <w:rPr>
          <w:sz w:val="15"/>
        </w:rPr>
      </w:pPr>
    </w:p>
    <w:p>
      <w:pPr>
        <w:pStyle w:val="ListParagraph"/>
        <w:numPr>
          <w:ilvl w:val="1"/>
          <w:numId w:val="17"/>
        </w:numPr>
        <w:tabs>
          <w:tab w:pos="1047" w:val="left" w:leader="none"/>
          <w:tab w:pos="1048" w:val="left" w:leader="none"/>
          <w:tab w:pos="2939" w:val="left" w:leader="none"/>
        </w:tabs>
        <w:spacing w:line="273" w:lineRule="auto" w:before="34" w:after="0"/>
        <w:ind w:left="2939" w:right="112" w:hanging="2731"/>
        <w:jc w:val="left"/>
        <w:rPr>
          <w:sz w:val="21"/>
        </w:rPr>
      </w:pPr>
      <w:r>
        <w:rPr>
          <w:b/>
          <w:sz w:val="21"/>
        </w:rPr>
        <w:t>未满期净保险费</w:t>
        <w:tab/>
      </w:r>
      <w:r>
        <w:rPr>
          <w:w w:val="95"/>
          <w:sz w:val="21"/>
        </w:rPr>
        <w:t>计算公式为“年保险费×(1-30%)÷本合同生效日至保险费交至日的天数×本    合同终止日至保险费交至日的剩余天数”。</w:t>
      </w:r>
    </w:p>
    <w:p>
      <w:pPr>
        <w:pStyle w:val="BodyText"/>
        <w:spacing w:before="9"/>
      </w:pPr>
    </w:p>
    <w:p>
      <w:pPr>
        <w:spacing w:after="0"/>
        <w:sectPr>
          <w:type w:val="continuous"/>
          <w:pgSz w:w="11910" w:h="16840"/>
          <w:pgMar w:top="540" w:bottom="280" w:left="920" w:right="900"/>
        </w:sectPr>
      </w:pPr>
    </w:p>
    <w:p>
      <w:pPr>
        <w:pStyle w:val="Heading3"/>
        <w:numPr>
          <w:ilvl w:val="1"/>
          <w:numId w:val="17"/>
        </w:numPr>
        <w:tabs>
          <w:tab w:pos="1047" w:val="left" w:leader="none"/>
          <w:tab w:pos="1048" w:val="left" w:leader="none"/>
        </w:tabs>
        <w:spacing w:line="273" w:lineRule="auto" w:before="35" w:after="0"/>
        <w:ind w:left="1048" w:right="0" w:hanging="840"/>
        <w:jc w:val="left"/>
      </w:pPr>
      <w:r>
        <w:rPr/>
        <w:t>本公司认可的医</w:t>
      </w:r>
      <w:r>
        <w:rPr>
          <w:w w:val="95"/>
        </w:rPr>
        <w:t>疗机构</w:t>
      </w:r>
    </w:p>
    <w:p>
      <w:pPr>
        <w:pStyle w:val="BodyText"/>
        <w:spacing w:line="273" w:lineRule="auto" w:before="35"/>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900"/>
          <w:cols w:num="2" w:equalWidth="0">
            <w:col w:w="2525" w:space="207"/>
            <w:col w:w="7358"/>
          </w:cols>
        </w:sectPr>
      </w:pP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17"/>
        </w:numPr>
        <w:tabs>
          <w:tab w:pos="1047" w:val="left" w:leader="none"/>
          <w:tab w:pos="1048" w:val="left" w:leader="none"/>
        </w:tabs>
        <w:spacing w:line="240" w:lineRule="auto" w:before="34" w:after="0"/>
        <w:ind w:left="2939" w:right="0" w:hanging="2731"/>
        <w:jc w:val="left"/>
      </w:pPr>
      <w:r>
        <w:rPr>
          <w:w w:val="95"/>
        </w:rPr>
        <w:t>肢体机能完全丧</w:t>
      </w:r>
    </w:p>
    <w:p>
      <w:pPr>
        <w:spacing w:before="36"/>
        <w:ind w:left="0" w:right="214" w:firstLine="0"/>
        <w:jc w:val="center"/>
        <w:rPr>
          <w:b/>
          <w:sz w:val="21"/>
        </w:rPr>
      </w:pPr>
      <w:r>
        <w:rPr>
          <w:b/>
          <w:w w:val="99"/>
          <w:sz w:val="21"/>
        </w:rPr>
        <w:t>失</w:t>
      </w:r>
    </w:p>
    <w:p>
      <w:pPr>
        <w:pStyle w:val="BodyText"/>
        <w:spacing w:line="273" w:lineRule="auto" w:before="34"/>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522" w:space="209"/>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17"/>
        </w:numPr>
        <w:tabs>
          <w:tab w:pos="1047" w:val="left" w:leader="none"/>
          <w:tab w:pos="1048" w:val="left" w:leader="none"/>
        </w:tabs>
        <w:spacing w:line="240" w:lineRule="auto" w:before="34" w:after="0"/>
        <w:ind w:left="2939" w:right="0" w:hanging="2731"/>
        <w:jc w:val="left"/>
      </w:pPr>
      <w:r>
        <w:rPr>
          <w:w w:val="95"/>
        </w:rPr>
        <w:t>语言能力或咀嚼</w:t>
      </w:r>
    </w:p>
    <w:p>
      <w:pPr>
        <w:spacing w:line="273" w:lineRule="auto" w:before="36"/>
        <w:ind w:left="1048" w:right="0" w:firstLine="0"/>
        <w:jc w:val="left"/>
        <w:rPr>
          <w:b/>
          <w:sz w:val="21"/>
        </w:rPr>
      </w:pPr>
      <w:r>
        <w:rPr>
          <w:b/>
          <w:w w:val="95"/>
          <w:sz w:val="21"/>
        </w:rPr>
        <w:t>吞咽能力完全丧</w:t>
      </w:r>
      <w:r>
        <w:rPr>
          <w:b/>
          <w:sz w:val="21"/>
        </w:rPr>
        <w:t>失</w:t>
      </w:r>
    </w:p>
    <w:p>
      <w:pPr>
        <w:pStyle w:val="BodyText"/>
        <w:spacing w:line="273" w:lineRule="auto" w:before="34"/>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17"/>
        </w:numPr>
        <w:tabs>
          <w:tab w:pos="1047" w:val="left" w:leader="none"/>
          <w:tab w:pos="1048" w:val="left" w:leader="none"/>
        </w:tabs>
        <w:spacing w:line="273" w:lineRule="auto" w:before="34" w:after="0"/>
        <w:ind w:left="1048" w:right="0" w:hanging="840"/>
        <w:jc w:val="left"/>
      </w:pPr>
      <w:r>
        <w:rPr>
          <w:w w:val="95"/>
        </w:rPr>
        <w:t>六项基本日常生活活动</w:t>
      </w:r>
    </w:p>
    <w:p>
      <w:pPr>
        <w:pStyle w:val="BodyText"/>
        <w:spacing w:line="273" w:lineRule="auto" w:before="34"/>
        <w:ind w:left="208" w:right="112"/>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w:t>
      </w:r>
      <w:r>
        <w:rPr>
          <w:w w:val="95"/>
        </w:rPr>
        <w:t>自己进行淋浴或盆浴。</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1"/>
        <w:rPr>
          <w:sz w:val="15"/>
        </w:rPr>
      </w:pPr>
    </w:p>
    <w:p>
      <w:pPr>
        <w:pStyle w:val="ListParagraph"/>
        <w:numPr>
          <w:ilvl w:val="1"/>
          <w:numId w:val="17"/>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pStyle w:val="BodyText"/>
        <w:rPr>
          <w:sz w:val="20"/>
        </w:rPr>
      </w:pPr>
    </w:p>
    <w:p>
      <w:pPr>
        <w:pStyle w:val="BodyText"/>
        <w:rPr>
          <w:sz w:val="20"/>
        </w:rPr>
      </w:pPr>
    </w:p>
    <w:p>
      <w:pPr>
        <w:pStyle w:val="BodyText"/>
        <w:spacing w:before="5"/>
        <w:rPr>
          <w:sz w:val="19"/>
        </w:rPr>
      </w:pPr>
    </w:p>
    <w:p>
      <w:pPr>
        <w:pStyle w:val="Heading3"/>
        <w:spacing w:before="1"/>
        <w:ind w:left="100"/>
      </w:pPr>
      <w:r>
        <w:rPr>
          <w:w w:val="95"/>
        </w:rPr>
        <w:t>&lt;本条款内容结束&gt;</w:t>
      </w:r>
    </w:p>
    <w:sectPr>
      <w:type w:val="continuous"/>
      <w:pgSz w:w="11910" w:h="16840"/>
      <w:pgMar w:top="54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99988pt;margin-top:810.664001pt;width:11.75pt;height:8.5pt;mso-position-horizontal-relative:page;mso-position-vertical-relative:page;z-index:-20368"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w:t>
                </w:r>
                <w:r>
                  <w:rPr/>
                  <w:fldChar w:fldCharType="end"/>
                </w:r>
                <w:r>
                  <w:rPr>
                    <w:sz w:val="13"/>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19507pt;margin-top:810.664001pt;width:15pt;height:8.5pt;mso-position-horizontal-relative:page;mso-position-vertical-relative:page;z-index:-20344" type="#_x0000_t202" filled="false" stroked="false">
          <v:textbox inset="0,0,0,0">
            <w:txbxContent>
              <w:p>
                <w:pPr>
                  <w:spacing w:line="150" w:lineRule="exact" w:before="0"/>
                  <w:ind w:left="20" w:right="0" w:firstLine="0"/>
                  <w:jc w:val="left"/>
                  <w:rPr>
                    <w:sz w:val="13"/>
                  </w:rPr>
                </w:pPr>
                <w:r>
                  <w:rPr>
                    <w:sz w:val="13"/>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92"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2939" w:hanging="840"/>
        <w:jc w:val="left"/>
      </w:pPr>
      <w:rPr>
        <w:rFonts w:hint="default"/>
      </w:rPr>
    </w:lvl>
    <w:lvl w:ilvl="1">
      <w:start w:val="8"/>
      <w:numFmt w:val="decimal"/>
      <w:lvlText w:val="%1.%2"/>
      <w:lvlJc w:val="left"/>
      <w:pPr>
        <w:ind w:left="2939" w:hanging="840"/>
        <w:jc w:val="left"/>
      </w:pPr>
      <w:rPr>
        <w:rFonts w:hint="default" w:ascii="宋体" w:hAnsi="宋体" w:eastAsia="宋体" w:cs="宋体"/>
        <w:b/>
        <w:bCs/>
        <w:spacing w:val="-2"/>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5">
    <w:multiLevelType w:val="hybridMultilevel"/>
    <w:lvl w:ilvl="0">
      <w:start w:val="9"/>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4">
    <w:multiLevelType w:val="hybridMultilevel"/>
    <w:lvl w:ilvl="0">
      <w:start w:val="4"/>
      <w:numFmt w:val="decimal"/>
      <w:lvlText w:val="%1."/>
      <w:lvlJc w:val="left"/>
      <w:pPr>
        <w:ind w:left="1048" w:hanging="245"/>
        <w:jc w:val="left"/>
      </w:pPr>
      <w:rPr>
        <w:rFonts w:hint="default" w:ascii="宋体" w:hAnsi="宋体" w:eastAsia="宋体" w:cs="宋体"/>
        <w:spacing w:val="0"/>
        <w:w w:val="99"/>
        <w:sz w:val="21"/>
        <w:szCs w:val="21"/>
      </w:rPr>
    </w:lvl>
    <w:lvl w:ilvl="1">
      <w:start w:val="0"/>
      <w:numFmt w:val="bullet"/>
      <w:lvlText w:val="•"/>
      <w:lvlJc w:val="left"/>
      <w:pPr>
        <w:ind w:left="1208" w:hanging="245"/>
      </w:pPr>
      <w:rPr>
        <w:rFonts w:hint="default"/>
      </w:rPr>
    </w:lvl>
    <w:lvl w:ilvl="2">
      <w:start w:val="0"/>
      <w:numFmt w:val="bullet"/>
      <w:lvlText w:val="•"/>
      <w:lvlJc w:val="left"/>
      <w:pPr>
        <w:ind w:left="1376" w:hanging="245"/>
      </w:pPr>
      <w:rPr>
        <w:rFonts w:hint="default"/>
      </w:rPr>
    </w:lvl>
    <w:lvl w:ilvl="3">
      <w:start w:val="0"/>
      <w:numFmt w:val="bullet"/>
      <w:lvlText w:val="•"/>
      <w:lvlJc w:val="left"/>
      <w:pPr>
        <w:ind w:left="1544" w:hanging="245"/>
      </w:pPr>
      <w:rPr>
        <w:rFonts w:hint="default"/>
      </w:rPr>
    </w:lvl>
    <w:lvl w:ilvl="4">
      <w:start w:val="0"/>
      <w:numFmt w:val="bullet"/>
      <w:lvlText w:val="•"/>
      <w:lvlJc w:val="left"/>
      <w:pPr>
        <w:ind w:left="1712" w:hanging="245"/>
      </w:pPr>
      <w:rPr>
        <w:rFonts w:hint="default"/>
      </w:rPr>
    </w:lvl>
    <w:lvl w:ilvl="5">
      <w:start w:val="0"/>
      <w:numFmt w:val="bullet"/>
      <w:lvlText w:val="•"/>
      <w:lvlJc w:val="left"/>
      <w:pPr>
        <w:ind w:left="1880" w:hanging="245"/>
      </w:pPr>
      <w:rPr>
        <w:rFonts w:hint="default"/>
      </w:rPr>
    </w:lvl>
    <w:lvl w:ilvl="6">
      <w:start w:val="0"/>
      <w:numFmt w:val="bullet"/>
      <w:lvlText w:val="•"/>
      <w:lvlJc w:val="left"/>
      <w:pPr>
        <w:ind w:left="2048" w:hanging="245"/>
      </w:pPr>
      <w:rPr>
        <w:rFonts w:hint="default"/>
      </w:rPr>
    </w:lvl>
    <w:lvl w:ilvl="7">
      <w:start w:val="0"/>
      <w:numFmt w:val="bullet"/>
      <w:lvlText w:val="•"/>
      <w:lvlJc w:val="left"/>
      <w:pPr>
        <w:ind w:left="2216" w:hanging="245"/>
      </w:pPr>
      <w:rPr>
        <w:rFonts w:hint="default"/>
      </w:rPr>
    </w:lvl>
    <w:lvl w:ilvl="8">
      <w:start w:val="0"/>
      <w:numFmt w:val="bullet"/>
      <w:lvlText w:val="•"/>
      <w:lvlJc w:val="left"/>
      <w:pPr>
        <w:ind w:left="2384" w:hanging="245"/>
      </w:pPr>
      <w:rPr>
        <w:rFonts w:hint="default"/>
      </w:rPr>
    </w:lvl>
  </w:abstractNum>
  <w:abstractNum w:abstractNumId="13">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12">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11">
    <w:multiLevelType w:val="hybridMultilevel"/>
    <w:lvl w:ilvl="0">
      <w:start w:val="4"/>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10">
    <w:multiLevelType w:val="hybridMultilevel"/>
    <w:lvl w:ilvl="0">
      <w:start w:val="2"/>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9">
    <w:multiLevelType w:val="hybridMultilevel"/>
    <w:lvl w:ilvl="0">
      <w:start w:val="9"/>
      <w:numFmt w:val="decimal"/>
      <w:lvlText w:val="%1"/>
      <w:lvlJc w:val="left"/>
      <w:pPr>
        <w:ind w:left="773" w:hanging="420"/>
        <w:jc w:val="left"/>
      </w:pPr>
      <w:rPr>
        <w:rFonts w:hint="default"/>
      </w:rPr>
    </w:lvl>
    <w:lvl w:ilvl="1">
      <w:start w:val="3"/>
      <w:numFmt w:val="decimal"/>
      <w:lvlText w:val="%1.%2"/>
      <w:lvlJc w:val="left"/>
      <w:pPr>
        <w:ind w:left="773" w:hanging="420"/>
        <w:jc w:val="left"/>
      </w:pPr>
      <w:rPr>
        <w:rFonts w:hint="default" w:ascii="宋体" w:hAnsi="宋体" w:eastAsia="宋体" w:cs="宋体"/>
        <w:spacing w:val="0"/>
        <w:w w:val="99"/>
        <w:sz w:val="21"/>
        <w:szCs w:val="21"/>
      </w:rPr>
    </w:lvl>
    <w:lvl w:ilvl="2">
      <w:start w:val="0"/>
      <w:numFmt w:val="bullet"/>
      <w:lvlText w:val="•"/>
      <w:lvlJc w:val="left"/>
      <w:pPr>
        <w:ind w:left="1968" w:hanging="420"/>
      </w:pPr>
      <w:rPr>
        <w:rFonts w:hint="default"/>
      </w:rPr>
    </w:lvl>
    <w:lvl w:ilvl="3">
      <w:start w:val="0"/>
      <w:numFmt w:val="bullet"/>
      <w:lvlText w:val="•"/>
      <w:lvlJc w:val="left"/>
      <w:pPr>
        <w:ind w:left="2562" w:hanging="420"/>
      </w:pPr>
      <w:rPr>
        <w:rFonts w:hint="default"/>
      </w:rPr>
    </w:lvl>
    <w:lvl w:ilvl="4">
      <w:start w:val="0"/>
      <w:numFmt w:val="bullet"/>
      <w:lvlText w:val="•"/>
      <w:lvlJc w:val="left"/>
      <w:pPr>
        <w:ind w:left="3156" w:hanging="420"/>
      </w:pPr>
      <w:rPr>
        <w:rFonts w:hint="default"/>
      </w:rPr>
    </w:lvl>
    <w:lvl w:ilvl="5">
      <w:start w:val="0"/>
      <w:numFmt w:val="bullet"/>
      <w:lvlText w:val="•"/>
      <w:lvlJc w:val="left"/>
      <w:pPr>
        <w:ind w:left="3750" w:hanging="420"/>
      </w:pPr>
      <w:rPr>
        <w:rFonts w:hint="default"/>
      </w:rPr>
    </w:lvl>
    <w:lvl w:ilvl="6">
      <w:start w:val="0"/>
      <w:numFmt w:val="bullet"/>
      <w:lvlText w:val="•"/>
      <w:lvlJc w:val="left"/>
      <w:pPr>
        <w:ind w:left="4345" w:hanging="420"/>
      </w:pPr>
      <w:rPr>
        <w:rFonts w:hint="default"/>
      </w:rPr>
    </w:lvl>
    <w:lvl w:ilvl="7">
      <w:start w:val="0"/>
      <w:numFmt w:val="bullet"/>
      <w:lvlText w:val="•"/>
      <w:lvlJc w:val="left"/>
      <w:pPr>
        <w:ind w:left="4939" w:hanging="420"/>
      </w:pPr>
      <w:rPr>
        <w:rFonts w:hint="default"/>
      </w:rPr>
    </w:lvl>
    <w:lvl w:ilvl="8">
      <w:start w:val="0"/>
      <w:numFmt w:val="bullet"/>
      <w:lvlText w:val="•"/>
      <w:lvlJc w:val="left"/>
      <w:pPr>
        <w:ind w:left="5533" w:hanging="420"/>
      </w:pPr>
      <w:rPr>
        <w:rFonts w:hint="default"/>
      </w:rPr>
    </w:lvl>
  </w:abstractNum>
  <w:abstractNum w:abstractNumId="8">
    <w:multiLevelType w:val="hybridMultilevel"/>
    <w:lvl w:ilvl="0">
      <w:start w:val="5"/>
      <w:numFmt w:val="decimal"/>
      <w:lvlText w:val="%1"/>
      <w:lvlJc w:val="left"/>
      <w:pPr>
        <w:ind w:left="1095" w:hanging="420"/>
        <w:jc w:val="left"/>
      </w:pPr>
      <w:rPr>
        <w:rFonts w:hint="default"/>
      </w:rPr>
    </w:lvl>
    <w:lvl w:ilvl="1">
      <w:start w:val="1"/>
      <w:numFmt w:val="decimal"/>
      <w:lvlText w:val="%1.%2"/>
      <w:lvlJc w:val="left"/>
      <w:pPr>
        <w:ind w:left="1095" w:hanging="420"/>
        <w:jc w:val="left"/>
      </w:pPr>
      <w:rPr>
        <w:rFonts w:hint="default" w:ascii="宋体" w:hAnsi="宋体" w:eastAsia="宋体" w:cs="宋体"/>
        <w:spacing w:val="0"/>
        <w:w w:val="99"/>
        <w:sz w:val="21"/>
        <w:szCs w:val="21"/>
      </w:rPr>
    </w:lvl>
    <w:lvl w:ilvl="2">
      <w:start w:val="0"/>
      <w:numFmt w:val="bullet"/>
      <w:lvlText w:val="•"/>
      <w:lvlJc w:val="left"/>
      <w:pPr>
        <w:ind w:left="1560" w:hanging="420"/>
      </w:pPr>
      <w:rPr>
        <w:rFonts w:hint="default"/>
      </w:rPr>
    </w:lvl>
    <w:lvl w:ilvl="3">
      <w:start w:val="0"/>
      <w:numFmt w:val="bullet"/>
      <w:lvlText w:val="•"/>
      <w:lvlJc w:val="left"/>
      <w:pPr>
        <w:ind w:left="1791" w:hanging="420"/>
      </w:pPr>
      <w:rPr>
        <w:rFonts w:hint="default"/>
      </w:rPr>
    </w:lvl>
    <w:lvl w:ilvl="4">
      <w:start w:val="0"/>
      <w:numFmt w:val="bullet"/>
      <w:lvlText w:val="•"/>
      <w:lvlJc w:val="left"/>
      <w:pPr>
        <w:ind w:left="2021" w:hanging="420"/>
      </w:pPr>
      <w:rPr>
        <w:rFonts w:hint="default"/>
      </w:rPr>
    </w:lvl>
    <w:lvl w:ilvl="5">
      <w:start w:val="0"/>
      <w:numFmt w:val="bullet"/>
      <w:lvlText w:val="•"/>
      <w:lvlJc w:val="left"/>
      <w:pPr>
        <w:ind w:left="2252" w:hanging="420"/>
      </w:pPr>
      <w:rPr>
        <w:rFonts w:hint="default"/>
      </w:rPr>
    </w:lvl>
    <w:lvl w:ilvl="6">
      <w:start w:val="0"/>
      <w:numFmt w:val="bullet"/>
      <w:lvlText w:val="•"/>
      <w:lvlJc w:val="left"/>
      <w:pPr>
        <w:ind w:left="2482" w:hanging="420"/>
      </w:pPr>
      <w:rPr>
        <w:rFonts w:hint="default"/>
      </w:rPr>
    </w:lvl>
    <w:lvl w:ilvl="7">
      <w:start w:val="0"/>
      <w:numFmt w:val="bullet"/>
      <w:lvlText w:val="•"/>
      <w:lvlJc w:val="left"/>
      <w:pPr>
        <w:ind w:left="2712" w:hanging="420"/>
      </w:pPr>
      <w:rPr>
        <w:rFonts w:hint="default"/>
      </w:rPr>
    </w:lvl>
    <w:lvl w:ilvl="8">
      <w:start w:val="0"/>
      <w:numFmt w:val="bullet"/>
      <w:lvlText w:val="•"/>
      <w:lvlJc w:val="left"/>
      <w:pPr>
        <w:ind w:left="2943" w:hanging="420"/>
      </w:pPr>
      <w:rPr>
        <w:rFonts w:hint="default"/>
      </w:rPr>
    </w:lvl>
  </w:abstractNum>
  <w:abstractNum w:abstractNumId="7">
    <w:multiLevelType w:val="hybridMultilevel"/>
    <w:lvl w:ilvl="0">
      <w:start w:val="9"/>
      <w:numFmt w:val="decimal"/>
      <w:lvlText w:val="%1"/>
      <w:lvlJc w:val="left"/>
      <w:pPr>
        <w:ind w:left="884" w:hanging="420"/>
        <w:jc w:val="left"/>
      </w:pPr>
      <w:rPr>
        <w:rFonts w:hint="default"/>
      </w:rPr>
    </w:lvl>
    <w:lvl w:ilvl="1">
      <w:start w:val="7"/>
      <w:numFmt w:val="decimal"/>
      <w:lvlText w:val="%1.%2"/>
      <w:lvlJc w:val="left"/>
      <w:pPr>
        <w:ind w:left="989" w:hanging="420"/>
        <w:jc w:val="left"/>
      </w:pPr>
      <w:rPr>
        <w:rFonts w:hint="default" w:ascii="宋体" w:hAnsi="宋体" w:eastAsia="宋体" w:cs="宋体"/>
        <w:spacing w:val="0"/>
        <w:w w:val="99"/>
        <w:sz w:val="21"/>
        <w:szCs w:val="21"/>
      </w:rPr>
    </w:lvl>
    <w:lvl w:ilvl="2">
      <w:start w:val="0"/>
      <w:numFmt w:val="bullet"/>
      <w:lvlText w:val="•"/>
      <w:lvlJc w:val="left"/>
      <w:pPr>
        <w:ind w:left="1263" w:hanging="420"/>
      </w:pPr>
      <w:rPr>
        <w:rFonts w:hint="default"/>
      </w:rPr>
    </w:lvl>
    <w:lvl w:ilvl="3">
      <w:start w:val="0"/>
      <w:numFmt w:val="bullet"/>
      <w:lvlText w:val="•"/>
      <w:lvlJc w:val="left"/>
      <w:pPr>
        <w:ind w:left="1546" w:hanging="420"/>
      </w:pPr>
      <w:rPr>
        <w:rFonts w:hint="default"/>
      </w:rPr>
    </w:lvl>
    <w:lvl w:ilvl="4">
      <w:start w:val="0"/>
      <w:numFmt w:val="bullet"/>
      <w:lvlText w:val="•"/>
      <w:lvlJc w:val="left"/>
      <w:pPr>
        <w:ind w:left="1830" w:hanging="420"/>
      </w:pPr>
      <w:rPr>
        <w:rFonts w:hint="default"/>
      </w:rPr>
    </w:lvl>
    <w:lvl w:ilvl="5">
      <w:start w:val="0"/>
      <w:numFmt w:val="bullet"/>
      <w:lvlText w:val="•"/>
      <w:lvlJc w:val="left"/>
      <w:pPr>
        <w:ind w:left="2113" w:hanging="420"/>
      </w:pPr>
      <w:rPr>
        <w:rFonts w:hint="default"/>
      </w:rPr>
    </w:lvl>
    <w:lvl w:ilvl="6">
      <w:start w:val="0"/>
      <w:numFmt w:val="bullet"/>
      <w:lvlText w:val="•"/>
      <w:lvlJc w:val="left"/>
      <w:pPr>
        <w:ind w:left="2396" w:hanging="420"/>
      </w:pPr>
      <w:rPr>
        <w:rFonts w:hint="default"/>
      </w:rPr>
    </w:lvl>
    <w:lvl w:ilvl="7">
      <w:start w:val="0"/>
      <w:numFmt w:val="bullet"/>
      <w:lvlText w:val="•"/>
      <w:lvlJc w:val="left"/>
      <w:pPr>
        <w:ind w:left="2680" w:hanging="420"/>
      </w:pPr>
      <w:rPr>
        <w:rFonts w:hint="default"/>
      </w:rPr>
    </w:lvl>
    <w:lvl w:ilvl="8">
      <w:start w:val="0"/>
      <w:numFmt w:val="bullet"/>
      <w:lvlText w:val="•"/>
      <w:lvlJc w:val="left"/>
      <w:pPr>
        <w:ind w:left="2963" w:hanging="420"/>
      </w:pPr>
      <w:rPr>
        <w:rFonts w:hint="default"/>
      </w:rPr>
    </w:lvl>
  </w:abstractNum>
  <w:abstractNum w:abstractNumId="6">
    <w:multiLevelType w:val="hybridMultilevel"/>
    <w:lvl w:ilvl="0">
      <w:start w:val="9"/>
      <w:numFmt w:val="decimal"/>
      <w:lvlText w:val="%1"/>
      <w:lvlJc w:val="left"/>
      <w:pPr>
        <w:ind w:left="1092" w:hanging="420"/>
        <w:jc w:val="left"/>
      </w:pPr>
      <w:rPr>
        <w:rFonts w:hint="default"/>
      </w:rPr>
    </w:lvl>
    <w:lvl w:ilvl="1">
      <w:start w:val="1"/>
      <w:numFmt w:val="decimal"/>
      <w:lvlText w:val="%1.%2"/>
      <w:lvlJc w:val="left"/>
      <w:pPr>
        <w:ind w:left="1092" w:hanging="420"/>
        <w:jc w:val="left"/>
      </w:pPr>
      <w:rPr>
        <w:rFonts w:hint="default" w:ascii="宋体" w:hAnsi="宋体" w:eastAsia="宋体" w:cs="宋体"/>
        <w:spacing w:val="0"/>
        <w:w w:val="99"/>
        <w:sz w:val="21"/>
        <w:szCs w:val="21"/>
      </w:rPr>
    </w:lvl>
    <w:lvl w:ilvl="2">
      <w:start w:val="0"/>
      <w:numFmt w:val="bullet"/>
      <w:lvlText w:val="•"/>
      <w:lvlJc w:val="left"/>
      <w:pPr>
        <w:ind w:left="1499" w:hanging="420"/>
      </w:pPr>
      <w:rPr>
        <w:rFonts w:hint="default"/>
      </w:rPr>
    </w:lvl>
    <w:lvl w:ilvl="3">
      <w:start w:val="0"/>
      <w:numFmt w:val="bullet"/>
      <w:lvlText w:val="•"/>
      <w:lvlJc w:val="left"/>
      <w:pPr>
        <w:ind w:left="1699" w:hanging="420"/>
      </w:pPr>
      <w:rPr>
        <w:rFonts w:hint="default"/>
      </w:rPr>
    </w:lvl>
    <w:lvl w:ilvl="4">
      <w:start w:val="0"/>
      <w:numFmt w:val="bullet"/>
      <w:lvlText w:val="•"/>
      <w:lvlJc w:val="left"/>
      <w:pPr>
        <w:ind w:left="1898" w:hanging="420"/>
      </w:pPr>
      <w:rPr>
        <w:rFonts w:hint="default"/>
      </w:rPr>
    </w:lvl>
    <w:lvl w:ilvl="5">
      <w:start w:val="0"/>
      <w:numFmt w:val="bullet"/>
      <w:lvlText w:val="•"/>
      <w:lvlJc w:val="left"/>
      <w:pPr>
        <w:ind w:left="2098" w:hanging="420"/>
      </w:pPr>
      <w:rPr>
        <w:rFonts w:hint="default"/>
      </w:rPr>
    </w:lvl>
    <w:lvl w:ilvl="6">
      <w:start w:val="0"/>
      <w:numFmt w:val="bullet"/>
      <w:lvlText w:val="•"/>
      <w:lvlJc w:val="left"/>
      <w:pPr>
        <w:ind w:left="2298" w:hanging="420"/>
      </w:pPr>
      <w:rPr>
        <w:rFonts w:hint="default"/>
      </w:rPr>
    </w:lvl>
    <w:lvl w:ilvl="7">
      <w:start w:val="0"/>
      <w:numFmt w:val="bullet"/>
      <w:lvlText w:val="•"/>
      <w:lvlJc w:val="left"/>
      <w:pPr>
        <w:ind w:left="2497" w:hanging="420"/>
      </w:pPr>
      <w:rPr>
        <w:rFonts w:hint="default"/>
      </w:rPr>
    </w:lvl>
    <w:lvl w:ilvl="8">
      <w:start w:val="0"/>
      <w:numFmt w:val="bullet"/>
      <w:lvlText w:val="•"/>
      <w:lvlJc w:val="left"/>
      <w:pPr>
        <w:ind w:left="2697" w:hanging="420"/>
      </w:pPr>
      <w:rPr>
        <w:rFonts w:hint="default"/>
      </w:rPr>
    </w:lvl>
  </w:abstractNum>
  <w:abstractNum w:abstractNumId="5">
    <w:multiLevelType w:val="hybridMultilevel"/>
    <w:lvl w:ilvl="0">
      <w:start w:val="7"/>
      <w:numFmt w:val="decimal"/>
      <w:lvlText w:val="%1"/>
      <w:lvlJc w:val="left"/>
      <w:pPr>
        <w:ind w:left="1092" w:hanging="420"/>
        <w:jc w:val="left"/>
      </w:pPr>
      <w:rPr>
        <w:rFonts w:hint="default"/>
      </w:rPr>
    </w:lvl>
    <w:lvl w:ilvl="1">
      <w:start w:val="1"/>
      <w:numFmt w:val="decimal"/>
      <w:lvlText w:val="%1.%2"/>
      <w:lvlJc w:val="left"/>
      <w:pPr>
        <w:ind w:left="1092" w:hanging="420"/>
        <w:jc w:val="left"/>
      </w:pPr>
      <w:rPr>
        <w:rFonts w:hint="default" w:ascii="宋体" w:hAnsi="宋体" w:eastAsia="宋体" w:cs="宋体"/>
        <w:spacing w:val="0"/>
        <w:w w:val="99"/>
        <w:sz w:val="21"/>
        <w:szCs w:val="21"/>
      </w:rPr>
    </w:lvl>
    <w:lvl w:ilvl="2">
      <w:start w:val="0"/>
      <w:numFmt w:val="bullet"/>
      <w:lvlText w:val="•"/>
      <w:lvlJc w:val="left"/>
      <w:pPr>
        <w:ind w:left="1499" w:hanging="420"/>
      </w:pPr>
      <w:rPr>
        <w:rFonts w:hint="default"/>
      </w:rPr>
    </w:lvl>
    <w:lvl w:ilvl="3">
      <w:start w:val="0"/>
      <w:numFmt w:val="bullet"/>
      <w:lvlText w:val="•"/>
      <w:lvlJc w:val="left"/>
      <w:pPr>
        <w:ind w:left="1699" w:hanging="420"/>
      </w:pPr>
      <w:rPr>
        <w:rFonts w:hint="default"/>
      </w:rPr>
    </w:lvl>
    <w:lvl w:ilvl="4">
      <w:start w:val="0"/>
      <w:numFmt w:val="bullet"/>
      <w:lvlText w:val="•"/>
      <w:lvlJc w:val="left"/>
      <w:pPr>
        <w:ind w:left="1898" w:hanging="420"/>
      </w:pPr>
      <w:rPr>
        <w:rFonts w:hint="default"/>
      </w:rPr>
    </w:lvl>
    <w:lvl w:ilvl="5">
      <w:start w:val="0"/>
      <w:numFmt w:val="bullet"/>
      <w:lvlText w:val="•"/>
      <w:lvlJc w:val="left"/>
      <w:pPr>
        <w:ind w:left="2098" w:hanging="420"/>
      </w:pPr>
      <w:rPr>
        <w:rFonts w:hint="default"/>
      </w:rPr>
    </w:lvl>
    <w:lvl w:ilvl="6">
      <w:start w:val="0"/>
      <w:numFmt w:val="bullet"/>
      <w:lvlText w:val="•"/>
      <w:lvlJc w:val="left"/>
      <w:pPr>
        <w:ind w:left="2298" w:hanging="420"/>
      </w:pPr>
      <w:rPr>
        <w:rFonts w:hint="default"/>
      </w:rPr>
    </w:lvl>
    <w:lvl w:ilvl="7">
      <w:start w:val="0"/>
      <w:numFmt w:val="bullet"/>
      <w:lvlText w:val="•"/>
      <w:lvlJc w:val="left"/>
      <w:pPr>
        <w:ind w:left="2497" w:hanging="420"/>
      </w:pPr>
      <w:rPr>
        <w:rFonts w:hint="default"/>
      </w:rPr>
    </w:lvl>
    <w:lvl w:ilvl="8">
      <w:start w:val="0"/>
      <w:numFmt w:val="bullet"/>
      <w:lvlText w:val="•"/>
      <w:lvlJc w:val="left"/>
      <w:pPr>
        <w:ind w:left="2697" w:hanging="420"/>
      </w:pPr>
      <w:rPr>
        <w:rFonts w:hint="default"/>
      </w:rPr>
    </w:lvl>
  </w:abstractNum>
  <w:abstractNum w:abstractNumId="4">
    <w:multiLevelType w:val="hybridMultilevel"/>
    <w:lvl w:ilvl="0">
      <w:start w:val="5"/>
      <w:numFmt w:val="decimal"/>
      <w:lvlText w:val="%1"/>
      <w:lvlJc w:val="left"/>
      <w:pPr>
        <w:ind w:left="1092" w:hanging="420"/>
        <w:jc w:val="left"/>
      </w:pPr>
      <w:rPr>
        <w:rFonts w:hint="default"/>
      </w:rPr>
    </w:lvl>
    <w:lvl w:ilvl="1">
      <w:start w:val="3"/>
      <w:numFmt w:val="decimal"/>
      <w:lvlText w:val="%1.%2"/>
      <w:lvlJc w:val="left"/>
      <w:pPr>
        <w:ind w:left="1092" w:hanging="420"/>
        <w:jc w:val="left"/>
      </w:pPr>
      <w:rPr>
        <w:rFonts w:hint="default" w:ascii="宋体" w:hAnsi="宋体" w:eastAsia="宋体" w:cs="宋体"/>
        <w:spacing w:val="0"/>
        <w:w w:val="99"/>
        <w:sz w:val="21"/>
        <w:szCs w:val="21"/>
      </w:rPr>
    </w:lvl>
    <w:lvl w:ilvl="2">
      <w:start w:val="0"/>
      <w:numFmt w:val="bullet"/>
      <w:lvlText w:val="•"/>
      <w:lvlJc w:val="left"/>
      <w:pPr>
        <w:ind w:left="1499" w:hanging="420"/>
      </w:pPr>
      <w:rPr>
        <w:rFonts w:hint="default"/>
      </w:rPr>
    </w:lvl>
    <w:lvl w:ilvl="3">
      <w:start w:val="0"/>
      <w:numFmt w:val="bullet"/>
      <w:lvlText w:val="•"/>
      <w:lvlJc w:val="left"/>
      <w:pPr>
        <w:ind w:left="1699" w:hanging="420"/>
      </w:pPr>
      <w:rPr>
        <w:rFonts w:hint="default"/>
      </w:rPr>
    </w:lvl>
    <w:lvl w:ilvl="4">
      <w:start w:val="0"/>
      <w:numFmt w:val="bullet"/>
      <w:lvlText w:val="•"/>
      <w:lvlJc w:val="left"/>
      <w:pPr>
        <w:ind w:left="1898" w:hanging="420"/>
      </w:pPr>
      <w:rPr>
        <w:rFonts w:hint="default"/>
      </w:rPr>
    </w:lvl>
    <w:lvl w:ilvl="5">
      <w:start w:val="0"/>
      <w:numFmt w:val="bullet"/>
      <w:lvlText w:val="•"/>
      <w:lvlJc w:val="left"/>
      <w:pPr>
        <w:ind w:left="2098" w:hanging="420"/>
      </w:pPr>
      <w:rPr>
        <w:rFonts w:hint="default"/>
      </w:rPr>
    </w:lvl>
    <w:lvl w:ilvl="6">
      <w:start w:val="0"/>
      <w:numFmt w:val="bullet"/>
      <w:lvlText w:val="•"/>
      <w:lvlJc w:val="left"/>
      <w:pPr>
        <w:ind w:left="2298" w:hanging="420"/>
      </w:pPr>
      <w:rPr>
        <w:rFonts w:hint="default"/>
      </w:rPr>
    </w:lvl>
    <w:lvl w:ilvl="7">
      <w:start w:val="0"/>
      <w:numFmt w:val="bullet"/>
      <w:lvlText w:val="•"/>
      <w:lvlJc w:val="left"/>
      <w:pPr>
        <w:ind w:left="2497" w:hanging="420"/>
      </w:pPr>
      <w:rPr>
        <w:rFonts w:hint="default"/>
      </w:rPr>
    </w:lvl>
    <w:lvl w:ilvl="8">
      <w:start w:val="0"/>
      <w:numFmt w:val="bullet"/>
      <w:lvlText w:val="•"/>
      <w:lvlJc w:val="left"/>
      <w:pPr>
        <w:ind w:left="2697" w:hanging="420"/>
      </w:pPr>
      <w:rPr>
        <w:rFonts w:hint="default"/>
      </w:rPr>
    </w:lvl>
  </w:abstractNum>
  <w:abstractNum w:abstractNumId="3">
    <w:multiLevelType w:val="hybridMultilevel"/>
    <w:lvl w:ilvl="0">
      <w:start w:val="4"/>
      <w:numFmt w:val="decimal"/>
      <w:lvlText w:val="%1."/>
      <w:lvlJc w:val="left"/>
      <w:pPr>
        <w:ind w:left="780" w:hanging="317"/>
        <w:jc w:val="right"/>
      </w:pPr>
      <w:rPr>
        <w:rFonts w:hint="default" w:ascii="宋体" w:hAnsi="宋体" w:eastAsia="宋体" w:cs="宋体"/>
        <w:b/>
        <w:bCs/>
        <w:spacing w:val="0"/>
        <w:w w:val="98"/>
        <w:sz w:val="21"/>
        <w:szCs w:val="21"/>
      </w:rPr>
    </w:lvl>
    <w:lvl w:ilvl="1">
      <w:start w:val="1"/>
      <w:numFmt w:val="decimal"/>
      <w:lvlText w:val="%1.%2"/>
      <w:lvlJc w:val="left"/>
      <w:pPr>
        <w:ind w:left="1095" w:hanging="420"/>
        <w:jc w:val="left"/>
      </w:pPr>
      <w:rPr>
        <w:rFonts w:hint="default" w:ascii="宋体" w:hAnsi="宋体" w:eastAsia="宋体" w:cs="宋体"/>
        <w:spacing w:val="0"/>
        <w:w w:val="99"/>
        <w:sz w:val="21"/>
        <w:szCs w:val="21"/>
      </w:rPr>
    </w:lvl>
    <w:lvl w:ilvl="2">
      <w:start w:val="0"/>
      <w:numFmt w:val="bullet"/>
      <w:lvlText w:val="•"/>
      <w:lvlJc w:val="left"/>
      <w:pPr>
        <w:ind w:left="1275" w:hanging="420"/>
      </w:pPr>
      <w:rPr>
        <w:rFonts w:hint="default"/>
      </w:rPr>
    </w:lvl>
    <w:lvl w:ilvl="3">
      <w:start w:val="0"/>
      <w:numFmt w:val="bullet"/>
      <w:lvlText w:val="•"/>
      <w:lvlJc w:val="left"/>
      <w:pPr>
        <w:ind w:left="1450" w:hanging="420"/>
      </w:pPr>
      <w:rPr>
        <w:rFonts w:hint="default"/>
      </w:rPr>
    </w:lvl>
    <w:lvl w:ilvl="4">
      <w:start w:val="0"/>
      <w:numFmt w:val="bullet"/>
      <w:lvlText w:val="•"/>
      <w:lvlJc w:val="left"/>
      <w:pPr>
        <w:ind w:left="1625" w:hanging="420"/>
      </w:pPr>
      <w:rPr>
        <w:rFonts w:hint="default"/>
      </w:rPr>
    </w:lvl>
    <w:lvl w:ilvl="5">
      <w:start w:val="0"/>
      <w:numFmt w:val="bullet"/>
      <w:lvlText w:val="•"/>
      <w:lvlJc w:val="left"/>
      <w:pPr>
        <w:ind w:left="1800" w:hanging="420"/>
      </w:pPr>
      <w:rPr>
        <w:rFonts w:hint="default"/>
      </w:rPr>
    </w:lvl>
    <w:lvl w:ilvl="6">
      <w:start w:val="0"/>
      <w:numFmt w:val="bullet"/>
      <w:lvlText w:val="•"/>
      <w:lvlJc w:val="left"/>
      <w:pPr>
        <w:ind w:left="1976" w:hanging="420"/>
      </w:pPr>
      <w:rPr>
        <w:rFonts w:hint="default"/>
      </w:rPr>
    </w:lvl>
    <w:lvl w:ilvl="7">
      <w:start w:val="0"/>
      <w:numFmt w:val="bullet"/>
      <w:lvlText w:val="•"/>
      <w:lvlJc w:val="left"/>
      <w:pPr>
        <w:ind w:left="2151" w:hanging="420"/>
      </w:pPr>
      <w:rPr>
        <w:rFonts w:hint="default"/>
      </w:rPr>
    </w:lvl>
    <w:lvl w:ilvl="8">
      <w:start w:val="0"/>
      <w:numFmt w:val="bullet"/>
      <w:lvlText w:val="•"/>
      <w:lvlJc w:val="left"/>
      <w:pPr>
        <w:ind w:left="2326" w:hanging="420"/>
      </w:pPr>
      <w:rPr>
        <w:rFonts w:hint="default"/>
      </w:rPr>
    </w:lvl>
  </w:abstractNum>
  <w:abstractNum w:abstractNumId="2">
    <w:multiLevelType w:val="hybridMultilevel"/>
    <w:lvl w:ilvl="0">
      <w:start w:val="2"/>
      <w:numFmt w:val="decimal"/>
      <w:lvlText w:val="%1"/>
      <w:lvlJc w:val="left"/>
      <w:pPr>
        <w:ind w:left="1095" w:hanging="420"/>
        <w:jc w:val="left"/>
      </w:pPr>
      <w:rPr>
        <w:rFonts w:hint="default"/>
      </w:rPr>
    </w:lvl>
    <w:lvl w:ilvl="1">
      <w:start w:val="1"/>
      <w:numFmt w:val="decimal"/>
      <w:lvlText w:val="%1.%2"/>
      <w:lvlJc w:val="left"/>
      <w:pPr>
        <w:ind w:left="1095" w:hanging="420"/>
        <w:jc w:val="left"/>
      </w:pPr>
      <w:rPr>
        <w:rFonts w:hint="default" w:ascii="宋体" w:hAnsi="宋体" w:eastAsia="宋体" w:cs="宋体"/>
        <w:spacing w:val="0"/>
        <w:w w:val="99"/>
        <w:sz w:val="21"/>
        <w:szCs w:val="21"/>
      </w:rPr>
    </w:lvl>
    <w:lvl w:ilvl="2">
      <w:start w:val="0"/>
      <w:numFmt w:val="bullet"/>
      <w:lvlText w:val="•"/>
      <w:lvlJc w:val="left"/>
      <w:pPr>
        <w:ind w:left="1415" w:hanging="420"/>
      </w:pPr>
      <w:rPr>
        <w:rFonts w:hint="default"/>
      </w:rPr>
    </w:lvl>
    <w:lvl w:ilvl="3">
      <w:start w:val="0"/>
      <w:numFmt w:val="bullet"/>
      <w:lvlText w:val="•"/>
      <w:lvlJc w:val="left"/>
      <w:pPr>
        <w:ind w:left="1573" w:hanging="420"/>
      </w:pPr>
      <w:rPr>
        <w:rFonts w:hint="default"/>
      </w:rPr>
    </w:lvl>
    <w:lvl w:ilvl="4">
      <w:start w:val="0"/>
      <w:numFmt w:val="bullet"/>
      <w:lvlText w:val="•"/>
      <w:lvlJc w:val="left"/>
      <w:pPr>
        <w:ind w:left="1730" w:hanging="420"/>
      </w:pPr>
      <w:rPr>
        <w:rFonts w:hint="default"/>
      </w:rPr>
    </w:lvl>
    <w:lvl w:ilvl="5">
      <w:start w:val="0"/>
      <w:numFmt w:val="bullet"/>
      <w:lvlText w:val="•"/>
      <w:lvlJc w:val="left"/>
      <w:pPr>
        <w:ind w:left="1888" w:hanging="420"/>
      </w:pPr>
      <w:rPr>
        <w:rFonts w:hint="default"/>
      </w:rPr>
    </w:lvl>
    <w:lvl w:ilvl="6">
      <w:start w:val="0"/>
      <w:numFmt w:val="bullet"/>
      <w:lvlText w:val="•"/>
      <w:lvlJc w:val="left"/>
      <w:pPr>
        <w:ind w:left="2046" w:hanging="420"/>
      </w:pPr>
      <w:rPr>
        <w:rFonts w:hint="default"/>
      </w:rPr>
    </w:lvl>
    <w:lvl w:ilvl="7">
      <w:start w:val="0"/>
      <w:numFmt w:val="bullet"/>
      <w:lvlText w:val="•"/>
      <w:lvlJc w:val="left"/>
      <w:pPr>
        <w:ind w:left="2203" w:hanging="420"/>
      </w:pPr>
      <w:rPr>
        <w:rFonts w:hint="default"/>
      </w:rPr>
    </w:lvl>
    <w:lvl w:ilvl="8">
      <w:start w:val="0"/>
      <w:numFmt w:val="bullet"/>
      <w:lvlText w:val="•"/>
      <w:lvlJc w:val="left"/>
      <w:pPr>
        <w:ind w:left="2361" w:hanging="420"/>
      </w:pPr>
      <w:rPr>
        <w:rFonts w:hint="default"/>
      </w:rPr>
    </w:lvl>
  </w:abstractNum>
  <w:abstractNum w:abstractNumId="1">
    <w:multiLevelType w:val="hybridMultilevel"/>
    <w:lvl w:ilvl="0">
      <w:start w:val="1"/>
      <w:numFmt w:val="decimal"/>
      <w:lvlText w:val="%1"/>
      <w:lvlJc w:val="left"/>
      <w:pPr>
        <w:ind w:left="1095" w:hanging="420"/>
        <w:jc w:val="left"/>
      </w:pPr>
      <w:rPr>
        <w:rFonts w:hint="default"/>
      </w:rPr>
    </w:lvl>
    <w:lvl w:ilvl="1">
      <w:start w:val="1"/>
      <w:numFmt w:val="decimal"/>
      <w:lvlText w:val="%1.%2"/>
      <w:lvlJc w:val="left"/>
      <w:pPr>
        <w:ind w:left="1095" w:hanging="420"/>
        <w:jc w:val="left"/>
      </w:pPr>
      <w:rPr>
        <w:rFonts w:hint="default" w:ascii="宋体" w:hAnsi="宋体" w:eastAsia="宋体" w:cs="宋体"/>
        <w:spacing w:val="0"/>
        <w:w w:val="99"/>
        <w:sz w:val="21"/>
        <w:szCs w:val="21"/>
      </w:rPr>
    </w:lvl>
    <w:lvl w:ilvl="2">
      <w:start w:val="0"/>
      <w:numFmt w:val="bullet"/>
      <w:lvlText w:val="•"/>
      <w:lvlJc w:val="left"/>
      <w:pPr>
        <w:ind w:left="1415" w:hanging="420"/>
      </w:pPr>
      <w:rPr>
        <w:rFonts w:hint="default"/>
      </w:rPr>
    </w:lvl>
    <w:lvl w:ilvl="3">
      <w:start w:val="0"/>
      <w:numFmt w:val="bullet"/>
      <w:lvlText w:val="•"/>
      <w:lvlJc w:val="left"/>
      <w:pPr>
        <w:ind w:left="1573" w:hanging="420"/>
      </w:pPr>
      <w:rPr>
        <w:rFonts w:hint="default"/>
      </w:rPr>
    </w:lvl>
    <w:lvl w:ilvl="4">
      <w:start w:val="0"/>
      <w:numFmt w:val="bullet"/>
      <w:lvlText w:val="•"/>
      <w:lvlJc w:val="left"/>
      <w:pPr>
        <w:ind w:left="1730" w:hanging="420"/>
      </w:pPr>
      <w:rPr>
        <w:rFonts w:hint="default"/>
      </w:rPr>
    </w:lvl>
    <w:lvl w:ilvl="5">
      <w:start w:val="0"/>
      <w:numFmt w:val="bullet"/>
      <w:lvlText w:val="•"/>
      <w:lvlJc w:val="left"/>
      <w:pPr>
        <w:ind w:left="1888" w:hanging="420"/>
      </w:pPr>
      <w:rPr>
        <w:rFonts w:hint="default"/>
      </w:rPr>
    </w:lvl>
    <w:lvl w:ilvl="6">
      <w:start w:val="0"/>
      <w:numFmt w:val="bullet"/>
      <w:lvlText w:val="•"/>
      <w:lvlJc w:val="left"/>
      <w:pPr>
        <w:ind w:left="2046" w:hanging="420"/>
      </w:pPr>
      <w:rPr>
        <w:rFonts w:hint="default"/>
      </w:rPr>
    </w:lvl>
    <w:lvl w:ilvl="7">
      <w:start w:val="0"/>
      <w:numFmt w:val="bullet"/>
      <w:lvlText w:val="•"/>
      <w:lvlJc w:val="left"/>
      <w:pPr>
        <w:ind w:left="2203" w:hanging="420"/>
      </w:pPr>
      <w:rPr>
        <w:rFonts w:hint="default"/>
      </w:rPr>
    </w:lvl>
    <w:lvl w:ilvl="8">
      <w:start w:val="0"/>
      <w:numFmt w:val="bullet"/>
      <w:lvlText w:val="•"/>
      <w:lvlJc w:val="left"/>
      <w:pPr>
        <w:ind w:left="2361" w:hanging="420"/>
      </w:pPr>
      <w:rPr>
        <w:rFonts w:hint="default"/>
      </w:rPr>
    </w:lvl>
  </w:abstractNum>
  <w:abstractNum w:abstractNumId="0">
    <w:multiLevelType w:val="hybridMultilevel"/>
    <w:lvl w:ilvl="0">
      <w:start w:val="0"/>
      <w:numFmt w:val="bullet"/>
      <w:lvlText w:val=""/>
      <w:lvlJc w:val="left"/>
      <w:pPr>
        <w:ind w:left="1592" w:hanging="420"/>
      </w:pPr>
      <w:rPr>
        <w:rFonts w:hint="default" w:ascii="Wingdings" w:hAnsi="Wingdings" w:eastAsia="Wingdings" w:cs="Wingdings"/>
        <w:w w:val="99"/>
        <w:sz w:val="21"/>
        <w:szCs w:val="21"/>
      </w:rPr>
    </w:lvl>
    <w:lvl w:ilvl="1">
      <w:start w:val="0"/>
      <w:numFmt w:val="bullet"/>
      <w:lvlText w:val="•"/>
      <w:lvlJc w:val="left"/>
      <w:pPr>
        <w:ind w:left="2456" w:hanging="420"/>
      </w:pPr>
      <w:rPr>
        <w:rFonts w:hint="default"/>
      </w:rPr>
    </w:lvl>
    <w:lvl w:ilvl="2">
      <w:start w:val="0"/>
      <w:numFmt w:val="bullet"/>
      <w:lvlText w:val="•"/>
      <w:lvlJc w:val="left"/>
      <w:pPr>
        <w:ind w:left="3313" w:hanging="420"/>
      </w:pPr>
      <w:rPr>
        <w:rFonts w:hint="default"/>
      </w:rPr>
    </w:lvl>
    <w:lvl w:ilvl="3">
      <w:start w:val="0"/>
      <w:numFmt w:val="bullet"/>
      <w:lvlText w:val="•"/>
      <w:lvlJc w:val="left"/>
      <w:pPr>
        <w:ind w:left="4169" w:hanging="420"/>
      </w:pPr>
      <w:rPr>
        <w:rFonts w:hint="default"/>
      </w:rPr>
    </w:lvl>
    <w:lvl w:ilvl="4">
      <w:start w:val="0"/>
      <w:numFmt w:val="bullet"/>
      <w:lvlText w:val="•"/>
      <w:lvlJc w:val="left"/>
      <w:pPr>
        <w:ind w:left="5026" w:hanging="420"/>
      </w:pPr>
      <w:rPr>
        <w:rFonts w:hint="default"/>
      </w:rPr>
    </w:lvl>
    <w:lvl w:ilvl="5">
      <w:start w:val="0"/>
      <w:numFmt w:val="bullet"/>
      <w:lvlText w:val="•"/>
      <w:lvlJc w:val="left"/>
      <w:pPr>
        <w:ind w:left="5883" w:hanging="420"/>
      </w:pPr>
      <w:rPr>
        <w:rFonts w:hint="default"/>
      </w:rPr>
    </w:lvl>
    <w:lvl w:ilvl="6">
      <w:start w:val="0"/>
      <w:numFmt w:val="bullet"/>
      <w:lvlText w:val="•"/>
      <w:lvlJc w:val="left"/>
      <w:pPr>
        <w:ind w:left="6739" w:hanging="420"/>
      </w:pPr>
      <w:rPr>
        <w:rFonts w:hint="default"/>
      </w:rPr>
    </w:lvl>
    <w:lvl w:ilvl="7">
      <w:start w:val="0"/>
      <w:numFmt w:val="bullet"/>
      <w:lvlText w:val="•"/>
      <w:lvlJc w:val="left"/>
      <w:pPr>
        <w:ind w:left="7596" w:hanging="420"/>
      </w:pPr>
      <w:rPr>
        <w:rFonts w:hint="default"/>
      </w:rPr>
    </w:lvl>
    <w:lvl w:ilvl="8">
      <w:start w:val="0"/>
      <w:numFmt w:val="bullet"/>
      <w:lvlText w:val="•"/>
      <w:lvlJc w:val="left"/>
      <w:pPr>
        <w:ind w:left="8452"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624"/>
      <w:outlineLvl w:val="1"/>
    </w:pPr>
    <w:rPr>
      <w:rFonts w:ascii="黑体" w:hAnsi="黑体" w:eastAsia="黑体" w:cs="黑体"/>
      <w:b/>
      <w:bCs/>
      <w:sz w:val="30"/>
      <w:szCs w:val="30"/>
    </w:rPr>
  </w:style>
  <w:style w:styleId="Heading2" w:type="paragraph">
    <w:name w:val="Heading 2"/>
    <w:basedOn w:val="Normal"/>
    <w:uiPriority w:val="1"/>
    <w:qFormat/>
    <w:pPr>
      <w:ind w:left="208"/>
      <w:outlineLvl w:val="2"/>
    </w:pPr>
    <w:rPr>
      <w:rFonts w:ascii="宋体" w:hAnsi="宋体" w:eastAsia="宋体" w:cs="宋体"/>
      <w:b/>
      <w:bCs/>
      <w:sz w:val="24"/>
      <w:szCs w:val="24"/>
    </w:rPr>
  </w:style>
  <w:style w:styleId="Heading3" w:type="paragraph">
    <w:name w:val="Heading 3"/>
    <w:basedOn w:val="Normal"/>
    <w:uiPriority w:val="1"/>
    <w:qFormat/>
    <w:pPr>
      <w:spacing w:before="130"/>
      <w:ind w:left="2939"/>
      <w:outlineLvl w:val="3"/>
    </w:pPr>
    <w:rPr>
      <w:rFonts w:ascii="宋体" w:hAnsi="宋体" w:eastAsia="宋体" w:cs="宋体"/>
      <w:b/>
      <w:bCs/>
      <w:sz w:val="21"/>
      <w:szCs w:val="21"/>
    </w:rPr>
  </w:style>
  <w:style w:styleId="ListParagraph" w:type="paragraph">
    <w:name w:val="List Paragraph"/>
    <w:basedOn w:val="Normal"/>
    <w:uiPriority w:val="1"/>
    <w:qFormat/>
    <w:pPr>
      <w:spacing w:line="240" w:lineRule="exact"/>
      <w:ind w:left="29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2018-10-20T04:43:47Z</dcterms:created>
  <dcterms:modified xsi:type="dcterms:W3CDTF">2018-10-20T04:43:47Z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2017-09-06T00:00:00Z</vt:filetime>
  </property>
  <property fmtid="{D5CDD505-2E9C-101B-9397-08002B2CF9AE}" pid="3" name="Creator">
    <vt:lpwstr>WPS Office</vt:lpwstr>
  </property>
  <property fmtid="{D5CDD505-2E9C-101B-9397-08002B2CF9AE}" pid="4" name="LastSaved">
    <vt:filetime>2018-10-19T00:00:00Z</vt:filetime>
  </property>
</Properties>
</file>