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2"/>
        <w:ind w:right="297"/>
        <w:jc w:val="right"/>
      </w:pPr>
      <w:r>
        <w:rPr/>
        <w:drawing>
          <wp:anchor distT="0" distB="0" distL="0" distR="0" allowOverlap="1" layoutInCell="1" locked="0" behindDoc="0" simplePos="0" relativeHeight="0">
            <wp:simplePos x="0" y="0"/>
            <wp:positionH relativeFrom="page">
              <wp:posOffset>6188202</wp:posOffset>
            </wp:positionH>
            <wp:positionV relativeFrom="paragraph">
              <wp:posOffset>202234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交银康联[2013]疾病保险 032 号</w:t>
      </w:r>
    </w:p>
    <w:p>
      <w:pPr>
        <w:pStyle w:val="BodyText"/>
        <w:ind w:right="297"/>
        <w:jc w:val="right"/>
      </w:pPr>
      <w:r>
        <w:rPr/>
        <w:t>请扫描以查询验证条款</w:t>
      </w:r>
    </w:p>
    <w:p>
      <w:pPr>
        <w:pStyle w:val="Heading1"/>
        <w:spacing w:before="20"/>
        <w:ind w:right="1330"/>
        <w:jc w:val="center"/>
      </w:pPr>
      <w:r>
        <w:rPr/>
        <w:pict>
          <v:line style="position:absolute;mso-position-horizontal-relative:page;mso-position-vertical-relative:paragraph;z-index:-37288" from="49.560001pt,2.966659pt" to="545.760001pt,2.966659pt" stroked="true" strokeweight=".71997pt" strokecolor="#000000">
            <v:stroke dashstyle="solid"/>
            <w10:wrap type="none"/>
          </v:line>
        </w:pict>
      </w:r>
      <w:r>
        <w:rPr>
          <w:w w:val="95"/>
        </w:rPr>
        <w:t>交银康联附加交银康乐保重大疾病保险条款</w:t>
      </w:r>
      <w:r>
        <w:rPr>
          <w:w w:val="95"/>
          <w:vertAlign w:val="subscript"/>
        </w:rPr>
        <w:t>（2013</w:t>
      </w:r>
      <w:r>
        <w:rPr>
          <w:w w:val="95"/>
          <w:vertAlign w:val="baseline"/>
        </w:rPr>
        <w:t> 年 </w:t>
      </w:r>
      <w:r>
        <w:rPr>
          <w:w w:val="95"/>
          <w:vertAlign w:val="subscript"/>
        </w:rPr>
        <w:t>4</w:t>
      </w:r>
      <w:r>
        <w:rPr>
          <w:w w:val="95"/>
          <w:vertAlign w:val="baseline"/>
        </w:rPr>
        <w:t> 月</w:t>
      </w:r>
      <w:r>
        <w:rPr>
          <w:w w:val="95"/>
          <w:vertAlign w:val="baseline"/>
        </w:rPr>
        <w:t>）</w:t>
      </w:r>
      <w:r>
        <w:rPr>
          <w:w w:val="95"/>
          <w:vertAlign w:val="baseline"/>
        </w:rPr>
      </w:r>
    </w:p>
    <w:p>
      <w:pPr>
        <w:spacing w:before="71"/>
        <w:ind w:left="1173" w:right="1329"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02"/>
        <w:ind w:right="291"/>
        <w:jc w:val="right"/>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w:t>
      </w:r>
      <w:r>
        <w:rPr>
          <w:spacing w:val="-63"/>
          <w:position w:val="-7"/>
        </w:rPr>
        <w:t>．</w:t>
      </w:r>
      <w:r>
        <w:rPr>
          <w:spacing w:val="-148"/>
        </w:rPr>
        <w:t>交</w:t>
      </w:r>
      <w:r>
        <w:rPr>
          <w:spacing w:val="-63"/>
          <w:position w:val="-7"/>
        </w:rPr>
        <w:t>．</w:t>
      </w:r>
      <w:r>
        <w:rPr>
          <w:spacing w:val="-148"/>
        </w:rPr>
        <w:t>银</w:t>
      </w:r>
      <w:r>
        <w:rPr>
          <w:spacing w:val="-63"/>
          <w:position w:val="-7"/>
        </w:rPr>
        <w:t>．</w:t>
      </w:r>
      <w:r>
        <w:rPr>
          <w:spacing w:val="-148"/>
        </w:rPr>
        <w:t>康</w:t>
      </w:r>
      <w:r>
        <w:rPr>
          <w:spacing w:val="-63"/>
          <w:position w:val="-7"/>
        </w:rPr>
        <w:t>．</w:t>
      </w:r>
      <w:r>
        <w:rPr>
          <w:spacing w:val="-148"/>
        </w:rPr>
        <w:t>联</w:t>
      </w:r>
      <w:r>
        <w:rPr>
          <w:spacing w:val="-63"/>
          <w:position w:val="-7"/>
        </w:rPr>
        <w:t>．</w:t>
      </w:r>
      <w:r>
        <w:rPr>
          <w:spacing w:val="-148"/>
        </w:rPr>
        <w:t>附</w:t>
      </w:r>
      <w:r>
        <w:rPr>
          <w:spacing w:val="-63"/>
          <w:position w:val="-7"/>
        </w:rPr>
        <w:t>．</w:t>
      </w:r>
      <w:r>
        <w:rPr>
          <w:spacing w:val="-148"/>
        </w:rPr>
        <w:t>加</w:t>
      </w:r>
      <w:r>
        <w:rPr>
          <w:spacing w:val="-63"/>
          <w:position w:val="-7"/>
        </w:rPr>
        <w:t>．</w:t>
      </w:r>
      <w:r>
        <w:rPr>
          <w:spacing w:val="-148"/>
        </w:rPr>
        <w:t>交</w:t>
      </w:r>
      <w:r>
        <w:rPr>
          <w:spacing w:val="-63"/>
          <w:position w:val="-7"/>
        </w:rPr>
        <w:t>．</w:t>
      </w:r>
      <w:r>
        <w:rPr>
          <w:spacing w:val="-148"/>
        </w:rPr>
        <w:t>银</w:t>
      </w:r>
      <w:r>
        <w:rPr>
          <w:spacing w:val="-63"/>
          <w:position w:val="-7"/>
        </w:rPr>
        <w:t>．</w:t>
      </w:r>
      <w:r>
        <w:rPr>
          <w:spacing w:val="-148"/>
        </w:rPr>
        <w:t>康</w:t>
      </w:r>
      <w:r>
        <w:rPr>
          <w:spacing w:val="-63"/>
          <w:position w:val="-7"/>
        </w:rPr>
        <w:t>．</w:t>
      </w:r>
      <w:r>
        <w:rPr>
          <w:spacing w:val="-148"/>
        </w:rPr>
        <w:t>乐</w:t>
      </w:r>
      <w:r>
        <w:rPr>
          <w:spacing w:val="-63"/>
          <w:position w:val="-7"/>
        </w:rPr>
        <w:t>．</w:t>
      </w:r>
      <w:r>
        <w:rPr>
          <w:spacing w:val="-148"/>
        </w:rPr>
        <w:t>保</w:t>
      </w:r>
      <w:r>
        <w:rPr>
          <w:spacing w:val="-63"/>
          <w:position w:val="-7"/>
        </w:rPr>
        <w:t>．</w:t>
      </w:r>
      <w:r>
        <w:rPr>
          <w:spacing w:val="-148"/>
        </w:rPr>
        <w:t>重</w:t>
      </w:r>
      <w:r>
        <w:rPr>
          <w:spacing w:val="-63"/>
          <w:position w:val="-7"/>
        </w:rPr>
        <w:t>．</w:t>
      </w:r>
      <w:r>
        <w:rPr>
          <w:spacing w:val="-148"/>
        </w:rPr>
        <w:t>大</w:t>
      </w:r>
      <w:r>
        <w:rPr>
          <w:spacing w:val="-63"/>
          <w:position w:val="-7"/>
        </w:rPr>
        <w:t>．</w:t>
      </w:r>
      <w:r>
        <w:rPr>
          <w:spacing w:val="-148"/>
        </w:rPr>
        <w:t>疾</w:t>
      </w:r>
      <w:r>
        <w:rPr>
          <w:spacing w:val="-63"/>
          <w:position w:val="-7"/>
        </w:rPr>
        <w:t>．</w:t>
      </w:r>
      <w:r>
        <w:rPr>
          <w:spacing w:val="-148"/>
        </w:rPr>
        <w:t>病</w:t>
      </w:r>
      <w:r>
        <w:rPr>
          <w:spacing w:val="-63"/>
          <w:position w:val="-7"/>
        </w:rPr>
        <w:t>．</w:t>
      </w:r>
      <w:r>
        <w:rPr>
          <w:spacing w:val="-148"/>
        </w:rPr>
        <w:t>保</w:t>
      </w:r>
      <w:r>
        <w:rPr>
          <w:spacing w:val="-63"/>
          <w:position w:val="-7"/>
        </w:rPr>
        <w:t>．</w:t>
      </w:r>
      <w:r>
        <w:rPr>
          <w:spacing w:val="-148"/>
        </w:rPr>
        <w:t>险</w:t>
      </w:r>
      <w:r>
        <w:rPr>
          <w:spacing w:val="-63"/>
          <w:position w:val="-7"/>
        </w:rPr>
        <w:t>．</w:t>
      </w:r>
      <w:r>
        <w:rPr>
          <w:spacing w:val="-148"/>
        </w:rPr>
        <w:t>合</w:t>
      </w:r>
      <w:r>
        <w:rPr>
          <w:spacing w:val="-63"/>
          <w:position w:val="-7"/>
        </w:rPr>
        <w:t>．</w:t>
      </w:r>
      <w:r>
        <w:rPr>
          <w:spacing w:val="-148"/>
        </w:rPr>
        <w:t>同</w:t>
      </w:r>
      <w:r>
        <w:rPr>
          <w:spacing w:val="-63"/>
          <w:position w:val="-7"/>
        </w:rPr>
        <w:t>．</w:t>
      </w:r>
      <w:r>
        <w:rPr>
          <w:spacing w:val="-148"/>
        </w:rPr>
        <w:t>”</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Heading3"/>
        <w:tabs>
          <w:tab w:pos="1315" w:val="left" w:leader="none"/>
        </w:tabs>
        <w:spacing w:before="27"/>
        <w:ind w:left="305"/>
      </w:pPr>
      <w:r>
        <w:rPr>
          <w:rFonts w:ascii="Arial" w:hAnsi="Arial" w:eastAsia="Arial"/>
          <w:w w:val="105"/>
          <w:position w:val="-11"/>
          <w:sz w:val="52"/>
        </w:rPr>
        <w:t></w:t>
        <w:tab/>
      </w:r>
      <w:r>
        <w:rPr>
          <w:w w:val="95"/>
        </w:rPr>
        <w:t>您拥有的重要权益</w:t>
      </w:r>
    </w:p>
    <w:p>
      <w:pPr>
        <w:pStyle w:val="ListParagraph"/>
        <w:numPr>
          <w:ilvl w:val="0"/>
          <w:numId w:val="1"/>
        </w:numPr>
        <w:tabs>
          <w:tab w:pos="1697" w:val="left" w:leader="none"/>
          <w:tab w:pos="1698" w:val="left" w:leader="none"/>
          <w:tab w:pos="9886" w:val="right" w:leader="dot"/>
        </w:tabs>
        <w:spacing w:line="240" w:lineRule="auto" w:before="22" w:after="0"/>
        <w:ind w:left="1697" w:right="0" w:hanging="420"/>
        <w:jc w:val="left"/>
        <w:rPr>
          <w:sz w:val="21"/>
        </w:rPr>
      </w:pPr>
      <w:r>
        <w:rPr>
          <w:sz w:val="21"/>
        </w:rPr>
        <w:t>本附加合同必须与《交银康联交银康乐保两全保险（分红型</w:t>
      </w:r>
      <w:r>
        <w:rPr>
          <w:spacing w:val="-105"/>
          <w:sz w:val="21"/>
        </w:rPr>
        <w:t>）</w:t>
      </w:r>
      <w:r>
        <w:rPr>
          <w:sz w:val="21"/>
        </w:rPr>
        <w:t>》同时投保</w:t>
        <w:tab/>
        <w:t>1.1</w:t>
      </w:r>
    </w:p>
    <w:p>
      <w:pPr>
        <w:pStyle w:val="ListParagraph"/>
        <w:numPr>
          <w:ilvl w:val="0"/>
          <w:numId w:val="1"/>
        </w:numPr>
        <w:tabs>
          <w:tab w:pos="1697" w:val="left" w:leader="none"/>
          <w:tab w:pos="1698" w:val="left" w:leader="none"/>
          <w:tab w:pos="9885" w:val="right" w:leader="dot"/>
        </w:tabs>
        <w:spacing w:line="240" w:lineRule="auto" w:before="22" w:after="0"/>
        <w:ind w:left="1697" w:right="0" w:hanging="420"/>
        <w:jc w:val="left"/>
        <w:rPr>
          <w:sz w:val="21"/>
        </w:rPr>
      </w:pPr>
      <w:r>
        <w:rPr>
          <w:sz w:val="21"/>
        </w:rPr>
        <w:t>被保险人可以享受本附加合同提供的保障</w:t>
        <w:tab/>
        <w:t>2.2</w:t>
      </w:r>
    </w:p>
    <w:p>
      <w:pPr>
        <w:pStyle w:val="ListParagraph"/>
        <w:numPr>
          <w:ilvl w:val="0"/>
          <w:numId w:val="1"/>
        </w:numPr>
        <w:tabs>
          <w:tab w:pos="1697" w:val="left" w:leader="none"/>
          <w:tab w:pos="1698" w:val="left" w:leader="none"/>
          <w:tab w:pos="9884" w:val="right" w:leader="dot"/>
        </w:tabs>
        <w:spacing w:line="240" w:lineRule="auto" w:before="22" w:after="0"/>
        <w:ind w:left="1697" w:right="0" w:hanging="420"/>
        <w:jc w:val="left"/>
        <w:rPr>
          <w:sz w:val="21"/>
        </w:rPr>
      </w:pPr>
      <w:r>
        <w:rPr>
          <w:sz w:val="21"/>
        </w:rPr>
        <w:t>您有退保的权利</w:t>
        <w:tab/>
        <w:t>7.1</w:t>
      </w:r>
    </w:p>
    <w:p>
      <w:pPr>
        <w:pStyle w:val="Heading3"/>
        <w:tabs>
          <w:tab w:pos="1315" w:val="left" w:leader="none"/>
        </w:tabs>
        <w:spacing w:before="25"/>
        <w:ind w:left="305"/>
      </w:pPr>
      <w:r>
        <w:rPr>
          <w:rFonts w:ascii="Arial" w:hAnsi="Arial" w:eastAsia="Arial"/>
          <w:w w:val="105"/>
          <w:position w:val="-11"/>
          <w:sz w:val="52"/>
        </w:rPr>
        <w:t></w:t>
        <w:tab/>
      </w:r>
      <w:r>
        <w:rPr>
          <w:w w:val="95"/>
        </w:rPr>
        <w:t>您应当特别注意的事项</w:t>
      </w:r>
    </w:p>
    <w:p>
      <w:pPr>
        <w:pStyle w:val="ListParagraph"/>
        <w:numPr>
          <w:ilvl w:val="0"/>
          <w:numId w:val="1"/>
        </w:numPr>
        <w:tabs>
          <w:tab w:pos="1697" w:val="left" w:leader="none"/>
          <w:tab w:pos="1698" w:val="left" w:leader="none"/>
          <w:tab w:pos="9886" w:val="right" w:leader="dot"/>
        </w:tabs>
        <w:spacing w:line="240" w:lineRule="auto" w:before="21" w:after="0"/>
        <w:ind w:left="1697" w:right="0" w:hanging="420"/>
        <w:jc w:val="left"/>
        <w:rPr>
          <w:sz w:val="21"/>
        </w:rPr>
      </w:pPr>
      <w:r>
        <w:rPr>
          <w:sz w:val="21"/>
        </w:rPr>
        <w:t>有些情况本公司不承担保险责任，请您仔细阅读责任免除条款</w:t>
        <w:tab/>
        <w:t>2.3</w:t>
      </w:r>
    </w:p>
    <w:p>
      <w:pPr>
        <w:pStyle w:val="ListParagraph"/>
        <w:numPr>
          <w:ilvl w:val="0"/>
          <w:numId w:val="1"/>
        </w:numPr>
        <w:tabs>
          <w:tab w:pos="1697" w:val="left" w:leader="none"/>
          <w:tab w:pos="1698" w:val="left" w:leader="none"/>
          <w:tab w:pos="9884" w:val="right" w:leader="dot"/>
        </w:tabs>
        <w:spacing w:line="240" w:lineRule="auto" w:before="21" w:after="0"/>
        <w:ind w:left="1697" w:right="0" w:hanging="420"/>
        <w:jc w:val="left"/>
        <w:rPr>
          <w:sz w:val="21"/>
        </w:rPr>
      </w:pPr>
      <w:r>
        <w:rPr>
          <w:sz w:val="21"/>
        </w:rPr>
        <w:t>您应当按时交纳保险费</w:t>
        <w:tab/>
        <w:t>4.1</w:t>
      </w:r>
    </w:p>
    <w:p>
      <w:pPr>
        <w:pStyle w:val="ListParagraph"/>
        <w:numPr>
          <w:ilvl w:val="0"/>
          <w:numId w:val="1"/>
        </w:numPr>
        <w:tabs>
          <w:tab w:pos="1697" w:val="left" w:leader="none"/>
          <w:tab w:pos="1698" w:val="left" w:leader="none"/>
          <w:tab w:pos="9886" w:val="right" w:leader="dot"/>
        </w:tabs>
        <w:spacing w:line="240" w:lineRule="auto" w:before="21" w:after="0"/>
        <w:ind w:left="1697" w:right="0" w:hanging="420"/>
        <w:jc w:val="left"/>
        <w:rPr>
          <w:sz w:val="21"/>
        </w:rPr>
      </w:pPr>
      <w:r>
        <w:rPr>
          <w:sz w:val="21"/>
        </w:rPr>
        <w:t>本公司保留提高或降低保险费率的权利，但不影响您已经交纳的保险费</w:t>
        <w:tab/>
        <w:t>4.3</w:t>
      </w:r>
    </w:p>
    <w:p>
      <w:pPr>
        <w:pStyle w:val="ListParagraph"/>
        <w:numPr>
          <w:ilvl w:val="0"/>
          <w:numId w:val="1"/>
        </w:numPr>
        <w:tabs>
          <w:tab w:pos="1697" w:val="left" w:leader="none"/>
          <w:tab w:pos="1698" w:val="left" w:leader="none"/>
          <w:tab w:pos="9885" w:val="right" w:leader="dot"/>
        </w:tabs>
        <w:spacing w:line="240" w:lineRule="auto" w:before="21" w:after="0"/>
        <w:ind w:left="1697" w:right="0" w:hanging="420"/>
        <w:jc w:val="left"/>
        <w:rPr>
          <w:sz w:val="21"/>
        </w:rPr>
      </w:pPr>
      <w:r>
        <w:rPr>
          <w:sz w:val="21"/>
        </w:rPr>
        <w:t>退保会给您造成一定的损失，请您慎重决策</w:t>
        <w:tab/>
        <w:t>7.1</w:t>
      </w:r>
    </w:p>
    <w:p>
      <w:pPr>
        <w:pStyle w:val="ListParagraph"/>
        <w:numPr>
          <w:ilvl w:val="0"/>
          <w:numId w:val="1"/>
        </w:numPr>
        <w:tabs>
          <w:tab w:pos="1697" w:val="left" w:leader="none"/>
          <w:tab w:pos="1698" w:val="left" w:leader="none"/>
          <w:tab w:pos="9885" w:val="right" w:leader="dot"/>
        </w:tabs>
        <w:spacing w:line="240" w:lineRule="auto" w:before="21" w:after="0"/>
        <w:ind w:left="1697" w:right="0" w:hanging="420"/>
        <w:jc w:val="left"/>
        <w:rPr>
          <w:sz w:val="21"/>
        </w:rPr>
      </w:pPr>
      <w:r>
        <w:rPr>
          <w:sz w:val="21"/>
        </w:rPr>
        <w:t>主合同的部分条款适用于本附加合同，请您仔细阅读</w:t>
        <w:tab/>
        <w:t>8.2</w:t>
      </w:r>
    </w:p>
    <w:p>
      <w:pPr>
        <w:pStyle w:val="ListParagraph"/>
        <w:numPr>
          <w:ilvl w:val="0"/>
          <w:numId w:val="1"/>
        </w:numPr>
        <w:tabs>
          <w:tab w:pos="1697" w:val="left" w:leader="none"/>
          <w:tab w:pos="1698" w:val="left" w:leader="none"/>
          <w:tab w:pos="9676" w:val="right" w:leader="dot"/>
        </w:tabs>
        <w:spacing w:line="240" w:lineRule="auto" w:before="21" w:after="0"/>
        <w:ind w:left="1697" w:right="0" w:hanging="420"/>
        <w:jc w:val="left"/>
        <w:rPr>
          <w:sz w:val="21"/>
        </w:rPr>
      </w:pPr>
      <w:r>
        <w:rPr>
          <w:sz w:val="21"/>
        </w:rPr>
        <w:t>本公司对一些重要术语进行了解释，并作了显著标识，请您注意</w:t>
        <w:tab/>
        <w:t>9</w:t>
      </w:r>
    </w:p>
    <w:p>
      <w:pPr>
        <w:pStyle w:val="ListParagraph"/>
        <w:numPr>
          <w:ilvl w:val="0"/>
          <w:numId w:val="1"/>
        </w:numPr>
        <w:tabs>
          <w:tab w:pos="1697" w:val="left" w:leader="none"/>
          <w:tab w:pos="1698" w:val="left" w:leader="none"/>
        </w:tabs>
        <w:spacing w:line="240" w:lineRule="auto" w:before="21" w:after="0"/>
        <w:ind w:left="1697" w:right="0" w:hanging="420"/>
        <w:jc w:val="left"/>
        <w:rPr>
          <w:sz w:val="21"/>
        </w:rPr>
      </w:pPr>
      <w:r>
        <w:rPr>
          <w:spacing w:val="-1"/>
          <w:sz w:val="21"/>
        </w:rPr>
        <w:t>本公司对保障范围内的第一类重大疾病做了定义，请您仔细阅读...................附录一</w:t>
      </w:r>
    </w:p>
    <w:p>
      <w:pPr>
        <w:pStyle w:val="ListParagraph"/>
        <w:numPr>
          <w:ilvl w:val="0"/>
          <w:numId w:val="1"/>
        </w:numPr>
        <w:tabs>
          <w:tab w:pos="1697" w:val="left" w:leader="none"/>
          <w:tab w:pos="1698" w:val="left" w:leader="none"/>
        </w:tabs>
        <w:spacing w:line="240" w:lineRule="auto" w:before="21" w:after="0"/>
        <w:ind w:left="1697" w:right="0" w:hanging="420"/>
        <w:jc w:val="left"/>
        <w:rPr>
          <w:sz w:val="21"/>
        </w:rPr>
      </w:pPr>
      <w:r>
        <w:rPr>
          <w:spacing w:val="-1"/>
          <w:sz w:val="21"/>
        </w:rPr>
        <w:t>本公司对保障范围内的第二类重大疾病做了定义，请您仔细阅读...................附录二</w:t>
      </w:r>
    </w:p>
    <w:p>
      <w:pPr>
        <w:pStyle w:val="Heading3"/>
        <w:tabs>
          <w:tab w:pos="1315" w:val="left" w:leader="none"/>
        </w:tabs>
        <w:spacing w:before="25"/>
        <w:ind w:left="305"/>
      </w:pPr>
      <w:r>
        <w:rPr>
          <w:rFonts w:ascii="Arial" w:hAnsi="Arial" w:eastAsia="Arial"/>
          <w:w w:val="105"/>
          <w:position w:val="-11"/>
          <w:sz w:val="52"/>
        </w:rPr>
        <w:t></w:t>
        <w:tab/>
      </w:r>
      <w:r>
        <w:rPr>
          <w:w w:val="95"/>
        </w:rPr>
        <w:t>条款是保险合同的重要内容，为充分保障您的权益，请您仔细阅读本条款。</w:t>
      </w:r>
    </w:p>
    <w:p>
      <w:pPr>
        <w:tabs>
          <w:tab w:pos="1315" w:val="left" w:leader="none"/>
        </w:tabs>
        <w:spacing w:before="25"/>
        <w:ind w:left="305" w:right="0" w:firstLine="0"/>
        <w:jc w:val="left"/>
        <w:rPr>
          <w:b/>
          <w:sz w:val="21"/>
        </w:rPr>
      </w:pPr>
      <w:r>
        <w:rPr/>
        <w:pict>
          <v:rect style="position:absolute;margin-left:77.160004pt;margin-top:24.55801pt;width:459.6pt;height:269.64pt;mso-position-horizontal-relative:page;mso-position-vertical-relative:paragraph;z-index:-37264" filled="false" stroked="true" strokeweight=".75pt" strokecolor="#000000">
            <v:stroke dashstyle="dot"/>
            <w10:wrap type="none"/>
          </v:rect>
        </w:pict>
      </w:r>
      <w:r>
        <w:rPr>
          <w:rFonts w:ascii="Arial" w:hAnsi="Arial" w:eastAsia="Arial"/>
          <w:b/>
          <w:w w:val="110"/>
          <w:position w:val="-11"/>
          <w:sz w:val="52"/>
        </w:rPr>
        <w:t></w:t>
        <w:tab/>
      </w:r>
      <w:r>
        <w:rPr>
          <w:b/>
          <w:w w:val="95"/>
          <w:sz w:val="21"/>
        </w:rPr>
        <w:t>条款目录</w:t>
      </w:r>
    </w:p>
    <w:p>
      <w:pPr>
        <w:spacing w:after="0"/>
        <w:jc w:val="left"/>
        <w:rPr>
          <w:sz w:val="21"/>
        </w:rPr>
        <w:sectPr>
          <w:type w:val="continuous"/>
          <w:pgSz w:w="11910" w:h="16840"/>
          <w:pgMar w:top="520" w:bottom="280" w:left="880" w:right="720"/>
        </w:sectPr>
      </w:pPr>
    </w:p>
    <w:p>
      <w:pPr>
        <w:pStyle w:val="Heading3"/>
        <w:spacing w:line="341" w:lineRule="exact" w:before="28"/>
        <w:ind w:left="1119"/>
        <w:rPr>
          <w:rFonts w:ascii="Microsoft JhengHei" w:eastAsia="Microsoft JhengHei" w:hint="eastAsia"/>
        </w:rPr>
      </w:pPr>
      <w:r>
        <w:rPr>
          <w:rFonts w:ascii="Microsoft JhengHei" w:eastAsia="Microsoft JhengHei" w:hint="eastAsia"/>
          <w:w w:val="95"/>
        </w:rPr>
        <w:t>1．您与本公司订立的合同</w:t>
      </w:r>
    </w:p>
    <w:p>
      <w:pPr>
        <w:pStyle w:val="BodyText"/>
        <w:spacing w:line="204" w:lineRule="exact"/>
        <w:ind w:left="1329"/>
      </w:pPr>
      <w:r>
        <w:rPr/>
        <w:t>1.1 合同构成</w:t>
      </w:r>
    </w:p>
    <w:p>
      <w:pPr>
        <w:pStyle w:val="Heading3"/>
        <w:spacing w:line="296" w:lineRule="exact"/>
        <w:ind w:left="1119"/>
        <w:rPr>
          <w:rFonts w:ascii="Microsoft JhengHei" w:eastAsia="Microsoft JhengHei" w:hint="eastAsia"/>
        </w:rPr>
      </w:pPr>
      <w:r>
        <w:rPr>
          <w:rFonts w:ascii="Microsoft JhengHei" w:eastAsia="Microsoft JhengHei" w:hint="eastAsia"/>
          <w:w w:val="95"/>
        </w:rPr>
        <w:t>2．本公司提供的保障</w:t>
      </w:r>
    </w:p>
    <w:p>
      <w:pPr>
        <w:pStyle w:val="ListParagraph"/>
        <w:numPr>
          <w:ilvl w:val="1"/>
          <w:numId w:val="2"/>
        </w:numPr>
        <w:tabs>
          <w:tab w:pos="1750" w:val="left" w:leader="none"/>
        </w:tabs>
        <w:spacing w:line="238" w:lineRule="exact" w:before="0" w:after="0"/>
        <w:ind w:left="1749" w:right="0" w:hanging="420"/>
        <w:jc w:val="left"/>
        <w:rPr>
          <w:sz w:val="21"/>
        </w:rPr>
      </w:pPr>
      <w:r>
        <w:rPr>
          <w:sz w:val="21"/>
        </w:rPr>
        <w:t>基本保险金额</w:t>
      </w:r>
    </w:p>
    <w:p>
      <w:pPr>
        <w:pStyle w:val="ListParagraph"/>
        <w:numPr>
          <w:ilvl w:val="1"/>
          <w:numId w:val="2"/>
        </w:numPr>
        <w:tabs>
          <w:tab w:pos="1750" w:val="left" w:leader="none"/>
        </w:tabs>
        <w:spacing w:line="250" w:lineRule="exact" w:before="0" w:after="0"/>
        <w:ind w:left="1749" w:right="0" w:hanging="420"/>
        <w:jc w:val="left"/>
        <w:rPr>
          <w:sz w:val="21"/>
        </w:rPr>
      </w:pPr>
      <w:r>
        <w:rPr>
          <w:sz w:val="21"/>
        </w:rPr>
        <w:t>保险责任</w:t>
      </w:r>
    </w:p>
    <w:p>
      <w:pPr>
        <w:pStyle w:val="ListParagraph"/>
        <w:numPr>
          <w:ilvl w:val="1"/>
          <w:numId w:val="2"/>
        </w:numPr>
        <w:tabs>
          <w:tab w:pos="1750" w:val="left" w:leader="none"/>
        </w:tabs>
        <w:spacing w:line="217" w:lineRule="exact" w:before="0" w:after="0"/>
        <w:ind w:left="1749" w:right="0" w:hanging="420"/>
        <w:jc w:val="left"/>
        <w:rPr>
          <w:sz w:val="21"/>
        </w:rPr>
      </w:pPr>
      <w:r>
        <w:rPr>
          <w:sz w:val="21"/>
        </w:rPr>
        <w:t>责任免除</w:t>
      </w:r>
    </w:p>
    <w:p>
      <w:pPr>
        <w:pStyle w:val="Heading3"/>
        <w:spacing w:line="296" w:lineRule="exact"/>
        <w:ind w:left="1119"/>
        <w:rPr>
          <w:rFonts w:ascii="Microsoft JhengHei" w:eastAsia="Microsoft JhengHei" w:hint="eastAsia"/>
        </w:rPr>
      </w:pPr>
      <w:r>
        <w:rPr>
          <w:rFonts w:ascii="Microsoft JhengHei" w:eastAsia="Microsoft JhengHei" w:hint="eastAsia"/>
          <w:w w:val="95"/>
        </w:rPr>
        <w:t>3．保险金的申请</w:t>
      </w:r>
    </w:p>
    <w:p>
      <w:pPr>
        <w:pStyle w:val="ListParagraph"/>
        <w:numPr>
          <w:ilvl w:val="1"/>
          <w:numId w:val="3"/>
        </w:numPr>
        <w:tabs>
          <w:tab w:pos="1750" w:val="left" w:leader="none"/>
        </w:tabs>
        <w:spacing w:line="238" w:lineRule="exact" w:before="0" w:after="0"/>
        <w:ind w:left="1749" w:right="0" w:hanging="420"/>
        <w:jc w:val="left"/>
        <w:rPr>
          <w:sz w:val="21"/>
        </w:rPr>
      </w:pPr>
      <w:r>
        <w:rPr>
          <w:sz w:val="21"/>
        </w:rPr>
        <w:t>受益人</w:t>
      </w:r>
    </w:p>
    <w:p>
      <w:pPr>
        <w:pStyle w:val="ListParagraph"/>
        <w:numPr>
          <w:ilvl w:val="1"/>
          <w:numId w:val="3"/>
        </w:numPr>
        <w:tabs>
          <w:tab w:pos="1750" w:val="left" w:leader="none"/>
        </w:tabs>
        <w:spacing w:line="250" w:lineRule="exact" w:before="0" w:after="0"/>
        <w:ind w:left="1749" w:right="0" w:hanging="420"/>
        <w:jc w:val="left"/>
        <w:rPr>
          <w:sz w:val="21"/>
        </w:rPr>
      </w:pPr>
      <w:r>
        <w:rPr>
          <w:sz w:val="21"/>
        </w:rPr>
        <w:t>保险金申请</w:t>
      </w:r>
    </w:p>
    <w:p>
      <w:pPr>
        <w:pStyle w:val="ListParagraph"/>
        <w:numPr>
          <w:ilvl w:val="1"/>
          <w:numId w:val="3"/>
        </w:numPr>
        <w:tabs>
          <w:tab w:pos="1750" w:val="left" w:leader="none"/>
        </w:tabs>
        <w:spacing w:line="217" w:lineRule="exact" w:before="0" w:after="0"/>
        <w:ind w:left="1749" w:right="0" w:hanging="420"/>
        <w:jc w:val="left"/>
        <w:rPr>
          <w:sz w:val="21"/>
        </w:rPr>
      </w:pPr>
      <w:r>
        <w:rPr>
          <w:sz w:val="21"/>
        </w:rPr>
        <w:t>诉讼时效</w:t>
      </w:r>
    </w:p>
    <w:p>
      <w:pPr>
        <w:pStyle w:val="Heading3"/>
        <w:numPr>
          <w:ilvl w:val="0"/>
          <w:numId w:val="4"/>
        </w:numPr>
        <w:tabs>
          <w:tab w:pos="1436" w:val="left" w:leader="none"/>
        </w:tabs>
        <w:spacing w:line="295" w:lineRule="exact" w:before="0" w:after="0"/>
        <w:ind w:left="1435" w:right="0" w:hanging="316"/>
        <w:jc w:val="left"/>
        <w:rPr>
          <w:rFonts w:ascii="Microsoft JhengHei" w:eastAsia="Microsoft JhengHei" w:hint="eastAsia"/>
        </w:rPr>
      </w:pPr>
      <w:r>
        <w:rPr>
          <w:rFonts w:ascii="Microsoft JhengHei" w:eastAsia="Microsoft JhengHei" w:hint="eastAsia"/>
        </w:rPr>
        <w:t>保险费的交纳</w:t>
      </w:r>
    </w:p>
    <w:p>
      <w:pPr>
        <w:pStyle w:val="ListParagraph"/>
        <w:numPr>
          <w:ilvl w:val="1"/>
          <w:numId w:val="4"/>
        </w:numPr>
        <w:tabs>
          <w:tab w:pos="1750" w:val="left" w:leader="none"/>
        </w:tabs>
        <w:spacing w:line="238" w:lineRule="exact" w:before="0" w:after="0"/>
        <w:ind w:left="1749" w:right="0" w:hanging="420"/>
        <w:jc w:val="left"/>
        <w:rPr>
          <w:sz w:val="21"/>
        </w:rPr>
      </w:pPr>
      <w:r>
        <w:rPr>
          <w:sz w:val="21"/>
        </w:rPr>
        <w:t>保险费的交纳</w:t>
      </w:r>
    </w:p>
    <w:p>
      <w:pPr>
        <w:pStyle w:val="ListParagraph"/>
        <w:numPr>
          <w:ilvl w:val="1"/>
          <w:numId w:val="4"/>
        </w:numPr>
        <w:tabs>
          <w:tab w:pos="1750" w:val="left" w:leader="none"/>
        </w:tabs>
        <w:spacing w:line="250" w:lineRule="exact" w:before="0" w:after="0"/>
        <w:ind w:left="1749" w:right="0" w:hanging="420"/>
        <w:jc w:val="left"/>
        <w:rPr>
          <w:sz w:val="21"/>
        </w:rPr>
      </w:pPr>
      <w:r>
        <w:rPr>
          <w:sz w:val="21"/>
        </w:rPr>
        <w:t>宽限期</w:t>
      </w:r>
    </w:p>
    <w:p>
      <w:pPr>
        <w:pStyle w:val="ListParagraph"/>
        <w:numPr>
          <w:ilvl w:val="1"/>
          <w:numId w:val="4"/>
        </w:numPr>
        <w:tabs>
          <w:tab w:pos="1750" w:val="left" w:leader="none"/>
        </w:tabs>
        <w:spacing w:line="216" w:lineRule="exact" w:before="0" w:after="0"/>
        <w:ind w:left="1749" w:right="0" w:hanging="420"/>
        <w:jc w:val="left"/>
        <w:rPr>
          <w:sz w:val="21"/>
        </w:rPr>
      </w:pPr>
      <w:r>
        <w:rPr>
          <w:sz w:val="21"/>
        </w:rPr>
        <w:t>保险费率调整</w:t>
      </w:r>
    </w:p>
    <w:p>
      <w:pPr>
        <w:pStyle w:val="Heading3"/>
        <w:spacing w:line="296" w:lineRule="exact"/>
        <w:ind w:left="1119"/>
        <w:rPr>
          <w:rFonts w:ascii="Microsoft JhengHei" w:eastAsia="Microsoft JhengHei" w:hint="eastAsia"/>
        </w:rPr>
      </w:pPr>
      <w:r>
        <w:rPr>
          <w:b w:val="0"/>
        </w:rPr>
        <w:t>5</w:t>
      </w:r>
      <w:r>
        <w:rPr>
          <w:rFonts w:ascii="Microsoft JhengHei" w:eastAsia="Microsoft JhengHei" w:hint="eastAsia"/>
        </w:rPr>
        <w:t>．现金价值权益</w:t>
      </w:r>
    </w:p>
    <w:p>
      <w:pPr>
        <w:pStyle w:val="BodyText"/>
        <w:spacing w:line="205" w:lineRule="exact"/>
        <w:ind w:left="1329"/>
      </w:pPr>
      <w:r>
        <w:rPr/>
        <w:t>5.1 现金价值</w:t>
      </w:r>
    </w:p>
    <w:p>
      <w:pPr>
        <w:pStyle w:val="Heading3"/>
        <w:spacing w:line="295" w:lineRule="exact"/>
        <w:ind w:left="1119"/>
        <w:rPr>
          <w:rFonts w:ascii="Microsoft JhengHei" w:eastAsia="Microsoft JhengHei" w:hint="eastAsia"/>
        </w:rPr>
      </w:pPr>
      <w:r>
        <w:rPr>
          <w:rFonts w:ascii="Microsoft JhengHei" w:eastAsia="Microsoft JhengHei" w:hint="eastAsia"/>
          <w:w w:val="95"/>
        </w:rPr>
        <w:t>6．合同效力的中止及恢复</w:t>
      </w:r>
    </w:p>
    <w:p>
      <w:pPr>
        <w:pStyle w:val="ListParagraph"/>
        <w:numPr>
          <w:ilvl w:val="1"/>
          <w:numId w:val="5"/>
        </w:numPr>
        <w:tabs>
          <w:tab w:pos="1750" w:val="left" w:leader="none"/>
        </w:tabs>
        <w:spacing w:line="238" w:lineRule="exact" w:before="0" w:after="0"/>
        <w:ind w:left="1749" w:right="0" w:hanging="420"/>
        <w:jc w:val="left"/>
        <w:rPr>
          <w:sz w:val="21"/>
        </w:rPr>
      </w:pPr>
      <w:r>
        <w:rPr>
          <w:sz w:val="21"/>
        </w:rPr>
        <w:t>效力中止</w:t>
      </w:r>
    </w:p>
    <w:p>
      <w:pPr>
        <w:pStyle w:val="ListParagraph"/>
        <w:numPr>
          <w:ilvl w:val="1"/>
          <w:numId w:val="5"/>
        </w:numPr>
        <w:tabs>
          <w:tab w:pos="1750" w:val="left" w:leader="none"/>
        </w:tabs>
        <w:spacing w:line="263" w:lineRule="exact" w:before="0" w:after="0"/>
        <w:ind w:left="1749" w:right="0" w:hanging="420"/>
        <w:jc w:val="left"/>
        <w:rPr>
          <w:sz w:val="21"/>
        </w:rPr>
      </w:pPr>
      <w:r>
        <w:rPr>
          <w:sz w:val="21"/>
        </w:rPr>
        <w:t>效力恢复</w:t>
      </w:r>
    </w:p>
    <w:p>
      <w:pPr>
        <w:pStyle w:val="Heading3"/>
        <w:spacing w:line="341" w:lineRule="exact" w:before="27"/>
        <w:ind w:left="373"/>
        <w:rPr>
          <w:rFonts w:ascii="Microsoft JhengHei" w:eastAsia="Microsoft JhengHei" w:hint="eastAsia"/>
        </w:rPr>
      </w:pPr>
      <w:r>
        <w:rPr>
          <w:b w:val="0"/>
        </w:rPr>
        <w:br w:type="column"/>
      </w:r>
      <w:r>
        <w:rPr>
          <w:rFonts w:ascii="Microsoft JhengHei" w:eastAsia="Microsoft JhengHei" w:hint="eastAsia"/>
          <w:w w:val="95"/>
        </w:rPr>
        <w:t>7．合同解除</w:t>
      </w:r>
    </w:p>
    <w:p>
      <w:pPr>
        <w:pStyle w:val="BodyText"/>
        <w:spacing w:line="218" w:lineRule="auto"/>
        <w:ind w:left="1003" w:right="3615" w:hanging="420"/>
      </w:pPr>
      <w:r>
        <w:rPr/>
        <w:t>7.1 您解除合同的手续及风险</w:t>
      </w:r>
    </w:p>
    <w:p>
      <w:pPr>
        <w:pStyle w:val="Heading3"/>
        <w:spacing w:line="250" w:lineRule="exact"/>
        <w:ind w:left="373"/>
        <w:rPr>
          <w:rFonts w:ascii="Microsoft JhengHei" w:eastAsia="Microsoft JhengHei" w:hint="eastAsia"/>
        </w:rPr>
      </w:pPr>
      <w:r>
        <w:rPr>
          <w:rFonts w:ascii="Microsoft JhengHei" w:eastAsia="Microsoft JhengHei" w:hint="eastAsia"/>
          <w:w w:val="95"/>
        </w:rPr>
        <w:t>8．其他需要关注的事项</w:t>
      </w:r>
    </w:p>
    <w:p>
      <w:pPr>
        <w:pStyle w:val="ListParagraph"/>
        <w:numPr>
          <w:ilvl w:val="1"/>
          <w:numId w:val="6"/>
        </w:numPr>
        <w:tabs>
          <w:tab w:pos="1004" w:val="left" w:leader="none"/>
        </w:tabs>
        <w:spacing w:line="238" w:lineRule="exact" w:before="0" w:after="0"/>
        <w:ind w:left="373" w:right="0" w:firstLine="210"/>
        <w:jc w:val="left"/>
        <w:rPr>
          <w:sz w:val="21"/>
        </w:rPr>
      </w:pPr>
      <w:r>
        <w:rPr>
          <w:sz w:val="21"/>
        </w:rPr>
        <w:t>效力终止</w:t>
      </w:r>
    </w:p>
    <w:p>
      <w:pPr>
        <w:pStyle w:val="ListParagraph"/>
        <w:numPr>
          <w:ilvl w:val="1"/>
          <w:numId w:val="6"/>
        </w:numPr>
        <w:tabs>
          <w:tab w:pos="1004" w:val="left" w:leader="none"/>
        </w:tabs>
        <w:spacing w:line="175" w:lineRule="auto" w:before="61" w:after="0"/>
        <w:ind w:left="373" w:right="4245" w:firstLine="210"/>
        <w:jc w:val="left"/>
        <w:rPr>
          <w:rFonts w:ascii="Microsoft JhengHei" w:eastAsia="Microsoft JhengHei" w:hint="eastAsia"/>
          <w:b/>
          <w:sz w:val="21"/>
        </w:rPr>
      </w:pPr>
      <w:r>
        <w:rPr>
          <w:sz w:val="21"/>
        </w:rPr>
        <w:t>适用主合同条款</w:t>
      </w:r>
      <w:r>
        <w:rPr>
          <w:rFonts w:ascii="Microsoft JhengHei" w:eastAsia="Microsoft JhengHei" w:hint="eastAsia"/>
          <w:b/>
          <w:w w:val="95"/>
          <w:sz w:val="21"/>
        </w:rPr>
        <w:t>9．释义</w:t>
      </w:r>
    </w:p>
    <w:p>
      <w:pPr>
        <w:pStyle w:val="ListParagraph"/>
        <w:numPr>
          <w:ilvl w:val="1"/>
          <w:numId w:val="7"/>
        </w:numPr>
        <w:tabs>
          <w:tab w:pos="1004" w:val="left" w:leader="none"/>
        </w:tabs>
        <w:spacing w:line="213" w:lineRule="exact" w:before="0" w:after="0"/>
        <w:ind w:left="1003" w:right="0" w:hanging="420"/>
        <w:jc w:val="left"/>
        <w:rPr>
          <w:sz w:val="21"/>
        </w:rPr>
      </w:pPr>
      <w:r>
        <w:rPr>
          <w:sz w:val="21"/>
        </w:rPr>
        <w:t>医院</w:t>
      </w:r>
    </w:p>
    <w:p>
      <w:pPr>
        <w:pStyle w:val="ListParagraph"/>
        <w:numPr>
          <w:ilvl w:val="1"/>
          <w:numId w:val="7"/>
        </w:numPr>
        <w:tabs>
          <w:tab w:pos="1004" w:val="left" w:leader="none"/>
        </w:tabs>
        <w:spacing w:line="250" w:lineRule="exact" w:before="0" w:after="0"/>
        <w:ind w:left="1003" w:right="0" w:hanging="420"/>
        <w:jc w:val="left"/>
        <w:rPr>
          <w:sz w:val="21"/>
        </w:rPr>
      </w:pPr>
      <w:r>
        <w:rPr>
          <w:sz w:val="21"/>
        </w:rPr>
        <w:t>专科医生</w:t>
      </w:r>
    </w:p>
    <w:p>
      <w:pPr>
        <w:pStyle w:val="ListParagraph"/>
        <w:numPr>
          <w:ilvl w:val="1"/>
          <w:numId w:val="7"/>
        </w:numPr>
        <w:tabs>
          <w:tab w:pos="1026" w:val="left" w:leader="none"/>
        </w:tabs>
        <w:spacing w:line="218" w:lineRule="auto" w:before="12" w:after="0"/>
        <w:ind w:left="1003" w:right="3386" w:hanging="420"/>
        <w:jc w:val="left"/>
        <w:rPr>
          <w:sz w:val="21"/>
        </w:rPr>
      </w:pPr>
      <w:r>
        <w:rPr>
          <w:spacing w:val="20"/>
          <w:sz w:val="21"/>
        </w:rPr>
        <w:t>感染艾滋病病毒或患艾</w:t>
      </w:r>
      <w:r>
        <w:rPr>
          <w:sz w:val="21"/>
        </w:rPr>
        <w:t>滋病</w:t>
      </w:r>
    </w:p>
    <w:p>
      <w:pPr>
        <w:pStyle w:val="ListParagraph"/>
        <w:numPr>
          <w:ilvl w:val="1"/>
          <w:numId w:val="7"/>
        </w:numPr>
        <w:tabs>
          <w:tab w:pos="1004" w:val="left" w:leader="none"/>
        </w:tabs>
        <w:spacing w:line="238" w:lineRule="exact" w:before="0" w:after="0"/>
        <w:ind w:left="1003" w:right="0" w:hanging="420"/>
        <w:jc w:val="left"/>
        <w:rPr>
          <w:sz w:val="21"/>
        </w:rPr>
      </w:pPr>
      <w:r>
        <w:rPr>
          <w:sz w:val="21"/>
        </w:rPr>
        <w:t>遗传性疾病</w:t>
      </w:r>
    </w:p>
    <w:p>
      <w:pPr>
        <w:pStyle w:val="ListParagraph"/>
        <w:numPr>
          <w:ilvl w:val="1"/>
          <w:numId w:val="7"/>
        </w:numPr>
        <w:tabs>
          <w:tab w:pos="1004" w:val="left" w:leader="none"/>
        </w:tabs>
        <w:spacing w:line="218" w:lineRule="auto" w:before="13" w:after="0"/>
        <w:ind w:left="1003" w:right="3406" w:hanging="420"/>
        <w:jc w:val="left"/>
        <w:rPr>
          <w:sz w:val="21"/>
        </w:rPr>
      </w:pPr>
      <w:r>
        <w:rPr>
          <w:sz w:val="21"/>
        </w:rPr>
        <w:t>先天性畸形、变形或染色体异常</w:t>
      </w:r>
    </w:p>
    <w:p>
      <w:pPr>
        <w:pStyle w:val="ListParagraph"/>
        <w:numPr>
          <w:ilvl w:val="1"/>
          <w:numId w:val="7"/>
        </w:numPr>
        <w:tabs>
          <w:tab w:pos="1004" w:val="left" w:leader="none"/>
        </w:tabs>
        <w:spacing w:line="204" w:lineRule="exact" w:before="0" w:after="0"/>
        <w:ind w:left="1003" w:right="0" w:hanging="420"/>
        <w:jc w:val="left"/>
        <w:rPr>
          <w:sz w:val="21"/>
        </w:rPr>
      </w:pPr>
      <w:r>
        <w:rPr>
          <w:sz w:val="21"/>
        </w:rPr>
        <w:t>适用主合同释义</w:t>
      </w:r>
    </w:p>
    <w:p>
      <w:pPr>
        <w:pStyle w:val="Heading3"/>
        <w:spacing w:line="163" w:lineRule="auto" w:before="71"/>
        <w:ind w:left="373" w:right="3711"/>
        <w:rPr>
          <w:rFonts w:ascii="Microsoft JhengHei" w:eastAsia="Microsoft JhengHei" w:hint="eastAsia"/>
        </w:rPr>
      </w:pPr>
      <w:r>
        <w:rPr>
          <w:rFonts w:ascii="Microsoft JhengHei" w:eastAsia="Microsoft JhengHei" w:hint="eastAsia"/>
        </w:rPr>
        <w:t>附录一 第一类重大疾病列表附录二  第二类重大疾病列表</w:t>
      </w:r>
    </w:p>
    <w:p>
      <w:pPr>
        <w:spacing w:after="0" w:line="163" w:lineRule="auto"/>
        <w:rPr>
          <w:rFonts w:ascii="Microsoft JhengHei" w:eastAsia="Microsoft JhengHei" w:hint="eastAsia"/>
        </w:rPr>
        <w:sectPr>
          <w:type w:val="continuous"/>
          <w:pgSz w:w="11910" w:h="16840"/>
          <w:pgMar w:top="520" w:bottom="280" w:left="880" w:right="720"/>
          <w:cols w:num="2" w:equalWidth="0">
            <w:col w:w="3544" w:space="40"/>
            <w:col w:w="6726"/>
          </w:cols>
        </w:sectPr>
      </w:pPr>
    </w:p>
    <w:p>
      <w:pPr>
        <w:spacing w:line="480" w:lineRule="exact" w:before="0"/>
        <w:ind w:left="3230" w:right="0" w:firstLine="0"/>
        <w:jc w:val="left"/>
        <w:rPr>
          <w:rFonts w:ascii="微软雅黑" w:eastAsia="微软雅黑" w:hint="eastAsia"/>
          <w:b/>
          <w:sz w:val="32"/>
        </w:rPr>
      </w:pPr>
      <w:r>
        <w:rPr>
          <w:rFonts w:ascii="微软雅黑" w:eastAsia="微软雅黑" w:hint="eastAsia"/>
          <w:b/>
          <w:sz w:val="32"/>
        </w:rPr>
        <w:t>交银康联人寿保险有限公司</w:t>
      </w:r>
    </w:p>
    <w:p>
      <w:pPr>
        <w:spacing w:before="71"/>
        <w:ind w:left="1165" w:right="0" w:firstLine="0"/>
        <w:jc w:val="left"/>
        <w:rPr>
          <w:rFonts w:ascii="微软雅黑" w:eastAsia="微软雅黑" w:hint="eastAsia"/>
          <w:b/>
          <w:sz w:val="32"/>
        </w:rPr>
      </w:pPr>
      <w:r>
        <w:rPr>
          <w:rFonts w:ascii="微软雅黑" w:eastAsia="微软雅黑" w:hint="eastAsia"/>
          <w:b/>
          <w:w w:val="95"/>
          <w:sz w:val="32"/>
        </w:rPr>
        <w:t>交银康联附加交银康乐保重大疾病保险条款</w:t>
      </w:r>
      <w:r>
        <w:rPr>
          <w:rFonts w:ascii="微软雅黑" w:eastAsia="微软雅黑" w:hint="eastAsia"/>
          <w:b/>
          <w:w w:val="95"/>
          <w:sz w:val="32"/>
          <w:vertAlign w:val="subscript"/>
        </w:rPr>
        <w:t>（2013</w:t>
      </w:r>
      <w:r>
        <w:rPr>
          <w:rFonts w:ascii="微软雅黑" w:eastAsia="微软雅黑" w:hint="eastAsia"/>
          <w:b/>
          <w:w w:val="95"/>
          <w:sz w:val="32"/>
          <w:vertAlign w:val="baseline"/>
        </w:rPr>
        <w:t> 年 </w:t>
      </w:r>
      <w:r>
        <w:rPr>
          <w:rFonts w:ascii="微软雅黑" w:eastAsia="微软雅黑" w:hint="eastAsia"/>
          <w:b/>
          <w:w w:val="95"/>
          <w:sz w:val="32"/>
          <w:vertAlign w:val="subscript"/>
        </w:rPr>
        <w:t>4</w:t>
      </w:r>
      <w:r>
        <w:rPr>
          <w:rFonts w:ascii="微软雅黑" w:eastAsia="微软雅黑" w:hint="eastAsia"/>
          <w:b/>
          <w:w w:val="95"/>
          <w:sz w:val="32"/>
          <w:vertAlign w:val="baseline"/>
        </w:rPr>
        <w:t> 月</w:t>
      </w:r>
      <w:r>
        <w:rPr>
          <w:rFonts w:ascii="微软雅黑" w:eastAsia="微软雅黑" w:hint="eastAsia"/>
          <w:b/>
          <w:w w:val="95"/>
          <w:sz w:val="32"/>
          <w:vertAlign w:val="baseline"/>
        </w:rPr>
        <w:t>）</w:t>
      </w:r>
      <w:r>
        <w:rPr>
          <w:rFonts w:ascii="微软雅黑" w:eastAsia="微软雅黑" w:hint="eastAsia"/>
          <w:b/>
          <w:w w:val="95"/>
          <w:sz w:val="32"/>
          <w:vertAlign w:val="baseline"/>
        </w:rPr>
      </w:r>
    </w:p>
    <w:p>
      <w:pPr>
        <w:pStyle w:val="BodyText"/>
        <w:spacing w:line="273" w:lineRule="auto" w:before="102"/>
        <w:ind w:left="221" w:right="316"/>
      </w:pPr>
      <w:r>
        <w:rPr>
          <w:spacing w:val="-4"/>
        </w:rPr>
        <w:t>在本条款中，“您”指投保人，“本公司”指交银康联人寿保险有限公司，“本附加合同”指您与本公司之间订立的“交银康联附加交银康乐保重大疾病保险合同”。</w:t>
      </w:r>
    </w:p>
    <w:p>
      <w:pPr>
        <w:pStyle w:val="BodyText"/>
        <w:rPr>
          <w:sz w:val="20"/>
        </w:rPr>
      </w:pPr>
    </w:p>
    <w:p>
      <w:pPr>
        <w:pStyle w:val="BodyText"/>
        <w:spacing w:before="1"/>
      </w:pPr>
    </w:p>
    <w:p>
      <w:pPr>
        <w:tabs>
          <w:tab w:pos="1073" w:val="left" w:leader="none"/>
        </w:tabs>
        <w:spacing w:before="0"/>
        <w:ind w:left="221" w:right="0" w:firstLine="0"/>
        <w:jc w:val="left"/>
        <w:rPr>
          <w:b/>
          <w:sz w:val="24"/>
        </w:rPr>
      </w:pPr>
      <w:r>
        <w:rPr/>
        <w:pict>
          <v:line style="position:absolute;mso-position-horizontal-relative:page;mso-position-vertical-relative:paragraph;z-index:1096;mso-wrap-distance-left:0;mso-wrap-distance-right:0" from="45.66pt,28.580065pt" to="550.14pt,28.580065pt" stroked="true" strokeweight=".95996pt" strokecolor="#000000">
            <v:stroke dashstyle="solid"/>
            <w10:wrap type="topAndBottom"/>
          </v:line>
        </w:pict>
      </w:r>
      <w:r>
        <w:rPr>
          <w:rFonts w:ascii="Arial" w:hAnsi="Arial" w:eastAsia="Arial"/>
          <w:b/>
          <w:position w:val="-3"/>
          <w:sz w:val="40"/>
        </w:rPr>
        <w:t></w:t>
        <w:tab/>
      </w:r>
      <w:r>
        <w:rPr>
          <w:b/>
          <w:w w:val="95"/>
          <w:sz w:val="24"/>
        </w:rPr>
        <w:t>您与本公司订立的合同</w:t>
      </w:r>
    </w:p>
    <w:p>
      <w:pPr>
        <w:pStyle w:val="BodyText"/>
        <w:spacing w:before="10"/>
        <w:rPr>
          <w:b/>
          <w:sz w:val="9"/>
        </w:rPr>
      </w:pPr>
    </w:p>
    <w:p>
      <w:pPr>
        <w:pStyle w:val="BodyText"/>
        <w:spacing w:line="273" w:lineRule="auto" w:before="35"/>
        <w:ind w:left="3003" w:right="158" w:hanging="2783"/>
        <w:jc w:val="both"/>
      </w:pPr>
      <w:r>
        <w:rPr>
          <w:b/>
        </w:rPr>
        <w:t>1.1</w:t>
      </w:r>
      <w:r>
        <w:rPr>
          <w:b/>
          <w:spacing w:val="0"/>
        </w:rPr>
        <w:t>     合同构成          </w:t>
      </w:r>
      <w:r>
        <w:rPr/>
        <w:t>本附加合同须附加在主合同《交银康联交银康乐保两全保险（分红型</w:t>
      </w:r>
      <w:r>
        <w:rPr>
          <w:spacing w:val="-106"/>
        </w:rPr>
        <w:t>）</w:t>
      </w:r>
      <w:r>
        <w:rPr/>
        <w:t>》上， </w:t>
      </w:r>
      <w:r>
        <w:rPr>
          <w:spacing w:val="-3"/>
        </w:rPr>
        <w:t>经本公司在保险单中列明后始得生效，并成为主合同不可分割的一部分。主合同所附的各条款、投保单及与本附加合同有关的其他投保文件、声明、批注、附贴批单和其他协议，均为本附加合同的构成部分。</w:t>
      </w:r>
    </w:p>
    <w:p>
      <w:pPr>
        <w:pStyle w:val="BodyText"/>
        <w:spacing w:before="7"/>
        <w:rPr>
          <w:sz w:val="20"/>
        </w:rPr>
      </w:pPr>
    </w:p>
    <w:p>
      <w:pPr>
        <w:pStyle w:val="Heading2"/>
        <w:tabs>
          <w:tab w:pos="1073" w:val="left" w:leader="none"/>
        </w:tabs>
        <w:spacing w:before="61"/>
      </w:pPr>
      <w:r>
        <w:rPr/>
        <w:pict>
          <v:line style="position:absolute;mso-position-horizontal-relative:page;mso-position-vertical-relative:paragraph;z-index:1120;mso-wrap-distance-left:0;mso-wrap-distance-right:0" from="45.66pt,31.630043pt" to="550.14pt,31.630043pt" stroked="true" strokeweight=".96002pt" strokecolor="#000000">
            <v:stroke dashstyle="solid"/>
            <w10:wrap type="topAndBottom"/>
          </v:line>
        </w:pict>
      </w:r>
      <w:r>
        <w:rPr>
          <w:rFonts w:ascii="Arial" w:hAnsi="Arial" w:eastAsia="Arial"/>
          <w:position w:val="-3"/>
          <w:sz w:val="40"/>
        </w:rPr>
        <w:t></w:t>
        <w:tab/>
      </w:r>
      <w:r>
        <w:rPr>
          <w:w w:val="95"/>
        </w:rPr>
        <w:t>本公司提供的保障</w:t>
      </w:r>
    </w:p>
    <w:p>
      <w:pPr>
        <w:pStyle w:val="BodyText"/>
        <w:spacing w:before="12"/>
        <w:rPr>
          <w:b/>
          <w:sz w:val="5"/>
        </w:rPr>
      </w:pPr>
    </w:p>
    <w:p>
      <w:pPr>
        <w:pStyle w:val="ListParagraph"/>
        <w:numPr>
          <w:ilvl w:val="1"/>
          <w:numId w:val="8"/>
        </w:numPr>
        <w:tabs>
          <w:tab w:pos="1073" w:val="left" w:leader="none"/>
          <w:tab w:pos="1074" w:val="left" w:leader="none"/>
          <w:tab w:pos="3003" w:val="left" w:leader="none"/>
        </w:tabs>
        <w:spacing w:line="273" w:lineRule="auto" w:before="35" w:after="0"/>
        <w:ind w:left="3003" w:right="208" w:hanging="2782"/>
        <w:jc w:val="left"/>
        <w:rPr>
          <w:sz w:val="21"/>
        </w:rPr>
      </w:pPr>
      <w:r>
        <w:rPr>
          <w:b/>
          <w:sz w:val="21"/>
        </w:rPr>
        <w:t>基本保险金额</w:t>
        <w:tab/>
      </w:r>
      <w:r>
        <w:rPr>
          <w:sz w:val="21"/>
        </w:rPr>
        <w:t>本附加合同的基本保险金额由您在投保时与本公司约定</w:t>
      </w:r>
      <w:r>
        <w:rPr>
          <w:spacing w:val="-51"/>
          <w:sz w:val="21"/>
        </w:rPr>
        <w:t>，</w:t>
      </w:r>
      <w:r>
        <w:rPr>
          <w:sz w:val="21"/>
        </w:rPr>
        <w:t>为本附加合同保险费的计算基础，并载明于保险单或批注上。</w:t>
      </w:r>
    </w:p>
    <w:p>
      <w:pPr>
        <w:pStyle w:val="BodyText"/>
        <w:spacing w:before="11"/>
        <w:rPr>
          <w:sz w:val="17"/>
        </w:rPr>
      </w:pPr>
    </w:p>
    <w:p>
      <w:pPr>
        <w:pStyle w:val="ListParagraph"/>
        <w:numPr>
          <w:ilvl w:val="1"/>
          <w:numId w:val="8"/>
        </w:numPr>
        <w:tabs>
          <w:tab w:pos="1072" w:val="left" w:leader="none"/>
          <w:tab w:pos="1073" w:val="left" w:leader="none"/>
          <w:tab w:pos="3003" w:val="left" w:leader="none"/>
        </w:tabs>
        <w:spacing w:line="273" w:lineRule="auto" w:before="0" w:after="0"/>
        <w:ind w:left="3003" w:right="208" w:hanging="2782"/>
        <w:jc w:val="left"/>
        <w:rPr>
          <w:sz w:val="21"/>
        </w:rPr>
      </w:pPr>
      <w:r>
        <w:rPr>
          <w:b/>
          <w:sz w:val="21"/>
        </w:rPr>
        <w:t>保险责任</w:t>
        <w:tab/>
      </w:r>
      <w:r>
        <w:rPr>
          <w:sz w:val="21"/>
        </w:rPr>
        <w:t>在本附加合同保险期间内</w:t>
      </w:r>
      <w:r>
        <w:rPr>
          <w:spacing w:val="-26"/>
          <w:sz w:val="21"/>
        </w:rPr>
        <w:t>，</w:t>
      </w:r>
      <w:r>
        <w:rPr>
          <w:sz w:val="21"/>
        </w:rPr>
        <w:t>且本附加合同有效的前提下</w:t>
      </w:r>
      <w:r>
        <w:rPr>
          <w:spacing w:val="-26"/>
          <w:sz w:val="21"/>
        </w:rPr>
        <w:t>，</w:t>
      </w:r>
      <w:r>
        <w:rPr>
          <w:sz w:val="21"/>
        </w:rPr>
        <w:t>本公司承担下列保险责任：</w:t>
      </w:r>
    </w:p>
    <w:p>
      <w:pPr>
        <w:pStyle w:val="BodyText"/>
        <w:spacing w:before="2"/>
        <w:rPr>
          <w:sz w:val="15"/>
        </w:rPr>
      </w:pPr>
    </w:p>
    <w:p>
      <w:pPr>
        <w:spacing w:after="0"/>
        <w:rPr>
          <w:sz w:val="15"/>
        </w:rPr>
        <w:sectPr>
          <w:pgSz w:w="11910" w:h="16840"/>
          <w:pgMar w:top="1160" w:bottom="280" w:left="800" w:right="800"/>
        </w:sectPr>
      </w:pPr>
    </w:p>
    <w:p>
      <w:pPr>
        <w:pStyle w:val="Heading3"/>
        <w:numPr>
          <w:ilvl w:val="2"/>
          <w:numId w:val="8"/>
        </w:numPr>
        <w:tabs>
          <w:tab w:pos="1073" w:val="left" w:leader="none"/>
          <w:tab w:pos="1074" w:val="left" w:leader="none"/>
        </w:tabs>
        <w:spacing w:line="240" w:lineRule="auto" w:before="35" w:after="0"/>
        <w:ind w:left="1073" w:right="0" w:hanging="852"/>
        <w:jc w:val="left"/>
      </w:pPr>
      <w:r>
        <w:rPr>
          <w:w w:val="95"/>
        </w:rPr>
        <w:t>第一类重大疾病保</w:t>
      </w:r>
    </w:p>
    <w:p>
      <w:pPr>
        <w:spacing w:before="36"/>
        <w:ind w:left="1065" w:right="1255" w:firstLine="0"/>
        <w:jc w:val="center"/>
        <w:rPr>
          <w:b/>
          <w:sz w:val="21"/>
        </w:rPr>
      </w:pPr>
      <w:r>
        <w:rPr>
          <w:b/>
          <w:w w:val="95"/>
          <w:sz w:val="21"/>
        </w:rPr>
        <w:t>险金</w:t>
      </w:r>
    </w:p>
    <w:p>
      <w:pPr>
        <w:pStyle w:val="BodyText"/>
        <w:spacing w:line="273" w:lineRule="auto" w:before="35"/>
        <w:ind w:left="203" w:right="208"/>
        <w:jc w:val="both"/>
      </w:pPr>
      <w:r>
        <w:rPr/>
        <w:br w:type="column"/>
      </w:r>
      <w:r>
        <w:rPr/>
        <w:t>如果被保险人于本附加合同生效日或最后复效日（以较迟者为准）</w:t>
      </w:r>
      <w:r>
        <w:rPr>
          <w:spacing w:val="-31"/>
        </w:rPr>
        <w:t>起 </w:t>
      </w:r>
      <w:r>
        <w:rPr/>
        <w:t>90</w:t>
      </w:r>
      <w:r>
        <w:rPr>
          <w:spacing w:val="-21"/>
        </w:rPr>
        <w:t> 日以</w:t>
      </w:r>
      <w:r>
        <w:rPr>
          <w:spacing w:val="-10"/>
        </w:rPr>
        <w:t>后</w:t>
      </w:r>
      <w:r>
        <w:rPr/>
        <w:t>（含当日</w:t>
      </w:r>
      <w:r>
        <w:rPr>
          <w:spacing w:val="-10"/>
        </w:rPr>
        <w:t>）</w:t>
      </w:r>
      <w:r>
        <w:rPr/>
        <w:t>经</w:t>
      </w:r>
      <w:r>
        <w:rPr>
          <w:b/>
          <w:spacing w:val="-5"/>
        </w:rPr>
        <w:t>医院</w:t>
      </w:r>
      <w:r>
        <w:rPr/>
        <w:t>（见释义</w:t>
      </w:r>
      <w:r>
        <w:rPr>
          <w:spacing w:val="-10"/>
        </w:rPr>
        <w:t>）</w:t>
      </w:r>
      <w:r>
        <w:rPr/>
        <w:t>的</w:t>
      </w:r>
      <w:r>
        <w:rPr>
          <w:b/>
          <w:spacing w:val="-3"/>
        </w:rPr>
        <w:t>专科医生</w:t>
      </w:r>
      <w:r>
        <w:rPr/>
        <w:t>（见释义</w:t>
      </w:r>
      <w:r>
        <w:rPr>
          <w:spacing w:val="-10"/>
        </w:rPr>
        <w:t>）</w:t>
      </w:r>
      <w:r>
        <w:rPr/>
        <w:t>确诊初次患上本附加合</w:t>
      </w:r>
      <w:r>
        <w:rPr>
          <w:spacing w:val="-2"/>
        </w:rPr>
        <w:t>同第一类重大疾病列表</w:t>
      </w:r>
      <w:r>
        <w:rPr/>
        <w:t>（见附录一</w:t>
      </w:r>
      <w:r>
        <w:rPr>
          <w:spacing w:val="-17"/>
        </w:rPr>
        <w:t>）</w:t>
      </w:r>
      <w:r>
        <w:rPr>
          <w:spacing w:val="-2"/>
        </w:rPr>
        <w:t>内所界定的任何一种疾病，本公司给付第一类重大疾病保险金。</w:t>
      </w:r>
    </w:p>
    <w:p>
      <w:pPr>
        <w:pStyle w:val="BodyText"/>
        <w:spacing w:before="7"/>
        <w:ind w:left="203"/>
        <w:jc w:val="both"/>
      </w:pPr>
      <w:r>
        <w:rPr/>
        <w:t>第一类重大疾病保险金等于本附加合同基本保险金额的 20%。</w:t>
      </w:r>
    </w:p>
    <w:p>
      <w:pPr>
        <w:spacing w:after="0"/>
        <w:jc w:val="both"/>
        <w:sectPr>
          <w:type w:val="continuous"/>
          <w:pgSz w:w="11910" w:h="16840"/>
          <w:pgMar w:top="520" w:bottom="280" w:left="800" w:right="800"/>
          <w:cols w:num="2" w:equalWidth="0">
            <w:col w:w="2761" w:space="40"/>
            <w:col w:w="7509"/>
          </w:cols>
        </w:sectPr>
      </w:pPr>
    </w:p>
    <w:p>
      <w:pPr>
        <w:pStyle w:val="BodyText"/>
        <w:spacing w:before="7"/>
        <w:rPr>
          <w:sz w:val="17"/>
        </w:rPr>
      </w:pPr>
    </w:p>
    <w:p>
      <w:pPr>
        <w:spacing w:after="0"/>
        <w:rPr>
          <w:sz w:val="17"/>
        </w:rPr>
        <w:sectPr>
          <w:type w:val="continuous"/>
          <w:pgSz w:w="11910" w:h="16840"/>
          <w:pgMar w:top="520" w:bottom="280" w:left="800" w:right="800"/>
        </w:sectPr>
      </w:pPr>
    </w:p>
    <w:p>
      <w:pPr>
        <w:pStyle w:val="Heading3"/>
        <w:numPr>
          <w:ilvl w:val="2"/>
          <w:numId w:val="8"/>
        </w:numPr>
        <w:tabs>
          <w:tab w:pos="1073" w:val="left" w:leader="none"/>
          <w:tab w:pos="1074" w:val="left" w:leader="none"/>
        </w:tabs>
        <w:spacing w:line="240" w:lineRule="auto" w:before="35" w:after="0"/>
        <w:ind w:left="1073" w:right="0" w:hanging="852"/>
        <w:jc w:val="left"/>
      </w:pPr>
      <w:r>
        <w:rPr>
          <w:w w:val="95"/>
        </w:rPr>
        <w:t>第二类重大疾病保</w:t>
      </w:r>
    </w:p>
    <w:p>
      <w:pPr>
        <w:spacing w:before="36"/>
        <w:ind w:left="1065" w:right="1255" w:firstLine="0"/>
        <w:jc w:val="center"/>
        <w:rPr>
          <w:b/>
          <w:sz w:val="21"/>
        </w:rPr>
      </w:pPr>
      <w:r>
        <w:rPr>
          <w:b/>
          <w:w w:val="95"/>
          <w:sz w:val="21"/>
        </w:rPr>
        <w:t>险金</w:t>
      </w:r>
    </w:p>
    <w:p>
      <w:pPr>
        <w:pStyle w:val="BodyText"/>
        <w:spacing w:line="273" w:lineRule="auto" w:before="35"/>
        <w:ind w:left="203" w:right="207"/>
      </w:pPr>
      <w:r>
        <w:rPr/>
        <w:br w:type="column"/>
      </w:r>
      <w:r>
        <w:rPr/>
        <w:t>如果被保险人经</w:t>
      </w:r>
      <w:r>
        <w:rPr>
          <w:b/>
        </w:rPr>
        <w:t>医院</w:t>
      </w:r>
      <w:r>
        <w:rPr/>
        <w:t>的</w:t>
      </w:r>
      <w:r>
        <w:rPr>
          <w:b/>
        </w:rPr>
        <w:t>专科医生</w:t>
      </w:r>
      <w:r>
        <w:rPr/>
        <w:t>确诊初次患上本附加合同第二类重大疾病列</w:t>
      </w:r>
      <w:r>
        <w:rPr>
          <w:spacing w:val="-12"/>
        </w:rPr>
        <w:t>表</w:t>
      </w:r>
      <w:r>
        <w:rPr/>
        <w:t>（见附录二</w:t>
      </w:r>
      <w:r>
        <w:rPr>
          <w:spacing w:val="-12"/>
        </w:rPr>
        <w:t>）</w:t>
      </w:r>
      <w:r>
        <w:rPr>
          <w:spacing w:val="-2"/>
        </w:rPr>
        <w:t>内所界定的任何一种重大疾病，本附加合同及主合同终止，本公司给付第二类重大疾病保险金。</w:t>
      </w:r>
    </w:p>
    <w:p>
      <w:pPr>
        <w:pStyle w:val="BodyText"/>
        <w:spacing w:line="273" w:lineRule="auto" w:before="7"/>
        <w:ind w:left="203" w:right="158"/>
      </w:pPr>
      <w:r>
        <w:rPr/>
        <w:t>如果被保险人于本附加合同生效日或最后复效日（以较迟者为准）</w:t>
      </w:r>
      <w:r>
        <w:rPr>
          <w:spacing w:val="-30"/>
        </w:rPr>
        <w:t>起 </w:t>
      </w:r>
      <w:r>
        <w:rPr/>
        <w:t>90</w:t>
      </w:r>
      <w:r>
        <w:rPr>
          <w:spacing w:val="-20"/>
        </w:rPr>
        <w:t> 日内确诊初次患上本附加合同第二类重大疾病列表内所界定的任何一种重大疾病， 第二类重大疾病保险金等于本附加合同及主合同的累计已交保险费之和。</w:t>
      </w:r>
    </w:p>
    <w:p>
      <w:pPr>
        <w:pStyle w:val="BodyText"/>
        <w:spacing w:line="273" w:lineRule="auto" w:before="7"/>
        <w:ind w:left="203" w:right="208"/>
        <w:jc w:val="both"/>
      </w:pPr>
      <w:r>
        <w:rPr/>
        <w:t>如果被保险人于本附加合同生效日或最后复效日（以较迟者为准）</w:t>
      </w:r>
      <w:r>
        <w:rPr>
          <w:spacing w:val="-31"/>
        </w:rPr>
        <w:t>起 </w:t>
      </w:r>
      <w:r>
        <w:rPr/>
        <w:t>90</w:t>
      </w:r>
      <w:r>
        <w:rPr>
          <w:spacing w:val="-21"/>
        </w:rPr>
        <w:t> 日以</w:t>
      </w:r>
      <w:r>
        <w:rPr>
          <w:spacing w:val="-26"/>
        </w:rPr>
        <w:t>后</w:t>
      </w:r>
      <w:r>
        <w:rPr/>
        <w:t>（含当日</w:t>
      </w:r>
      <w:r>
        <w:rPr>
          <w:spacing w:val="-26"/>
        </w:rPr>
        <w:t>）</w:t>
      </w:r>
      <w:r>
        <w:rPr/>
        <w:t>确诊初次患上本附加合同第二类重大疾病列表内所界定的任何一种重大疾病，第二类重大疾病保险金为以下两项之较大者：</w:t>
      </w:r>
    </w:p>
    <w:p>
      <w:pPr>
        <w:pStyle w:val="BodyText"/>
        <w:spacing w:before="7"/>
        <w:ind w:left="203"/>
      </w:pPr>
      <w:r>
        <w:rPr/>
        <w:t>（1）本附加合同的基本保险金额；</w:t>
      </w:r>
    </w:p>
    <w:p>
      <w:pPr>
        <w:pStyle w:val="BodyText"/>
        <w:spacing w:before="37"/>
        <w:ind w:left="203"/>
      </w:pPr>
      <w:r>
        <w:rPr/>
        <w:t>（2）本附加合同及主合同的累计已交保险费之和。</w:t>
      </w:r>
    </w:p>
    <w:p>
      <w:pPr>
        <w:pStyle w:val="BodyText"/>
        <w:spacing w:before="2"/>
        <w:rPr>
          <w:sz w:val="20"/>
        </w:rPr>
      </w:pPr>
    </w:p>
    <w:p>
      <w:pPr>
        <w:pStyle w:val="BodyText"/>
        <w:spacing w:line="273" w:lineRule="auto"/>
        <w:ind w:left="203" w:right="368"/>
        <w:rPr>
          <w:rFonts w:ascii="黑体" w:eastAsia="黑体" w:hint="eastAsia"/>
        </w:rPr>
      </w:pPr>
      <w:r>
        <w:rPr>
          <w:rFonts w:ascii="黑体" w:eastAsia="黑体" w:hint="eastAsia"/>
        </w:rPr>
        <w:t>本附加合同的第一类重大疾病保险金及第二类重大疾病保险金的给付责任均以一次为限。</w:t>
      </w:r>
    </w:p>
    <w:p>
      <w:pPr>
        <w:spacing w:after="0" w:line="273" w:lineRule="auto"/>
        <w:rPr>
          <w:rFonts w:ascii="黑体" w:eastAsia="黑体" w:hint="eastAsia"/>
        </w:rPr>
        <w:sectPr>
          <w:type w:val="continuous"/>
          <w:pgSz w:w="11910" w:h="16840"/>
          <w:pgMar w:top="520" w:bottom="280" w:left="800" w:right="800"/>
          <w:cols w:num="2" w:equalWidth="0">
            <w:col w:w="2761" w:space="40"/>
            <w:col w:w="7509"/>
          </w:cols>
        </w:sectPr>
      </w:pPr>
    </w:p>
    <w:p>
      <w:pPr>
        <w:pStyle w:val="BodyText"/>
        <w:spacing w:before="2"/>
        <w:rPr>
          <w:rFonts w:ascii="黑体"/>
          <w:sz w:val="15"/>
        </w:rPr>
      </w:pPr>
    </w:p>
    <w:p>
      <w:pPr>
        <w:pStyle w:val="ListParagraph"/>
        <w:numPr>
          <w:ilvl w:val="1"/>
          <w:numId w:val="8"/>
        </w:numPr>
        <w:tabs>
          <w:tab w:pos="1073" w:val="left" w:leader="none"/>
          <w:tab w:pos="1074" w:val="left" w:leader="none"/>
          <w:tab w:pos="3003" w:val="left" w:leader="none"/>
        </w:tabs>
        <w:spacing w:line="273" w:lineRule="auto" w:before="36" w:after="0"/>
        <w:ind w:left="3004" w:right="208" w:hanging="2783"/>
        <w:jc w:val="left"/>
        <w:rPr>
          <w:rFonts w:ascii="黑体" w:eastAsia="黑体" w:hint="eastAsia"/>
          <w:sz w:val="21"/>
        </w:rPr>
      </w:pPr>
      <w:r>
        <w:rPr>
          <w:b/>
          <w:sz w:val="21"/>
        </w:rPr>
        <w:t>责任免除</w:t>
        <w:tab/>
      </w:r>
      <w:r>
        <w:rPr>
          <w:rFonts w:ascii="黑体" w:eastAsia="黑体" w:hint="eastAsia"/>
          <w:sz w:val="21"/>
        </w:rPr>
        <w:t>因下列情形之一</w:t>
      </w:r>
      <w:r>
        <w:rPr>
          <w:rFonts w:ascii="黑体" w:eastAsia="黑体" w:hint="eastAsia"/>
          <w:spacing w:val="-17"/>
          <w:sz w:val="21"/>
        </w:rPr>
        <w:t>，</w:t>
      </w:r>
      <w:r>
        <w:rPr>
          <w:rFonts w:ascii="黑体" w:eastAsia="黑体" w:hint="eastAsia"/>
          <w:sz w:val="21"/>
        </w:rPr>
        <w:t>导致被保险人发Th疾病</w:t>
      </w:r>
      <w:r>
        <w:rPr>
          <w:rFonts w:ascii="黑体" w:eastAsia="黑体" w:hint="eastAsia"/>
          <w:spacing w:val="-17"/>
          <w:sz w:val="21"/>
        </w:rPr>
        <w:t>、</w:t>
      </w:r>
      <w:r>
        <w:rPr>
          <w:rFonts w:ascii="黑体" w:eastAsia="黑体" w:hint="eastAsia"/>
          <w:sz w:val="21"/>
        </w:rPr>
        <w:t>达到疾病状态或进行手术的</w:t>
      </w:r>
      <w:r>
        <w:rPr>
          <w:rFonts w:ascii="黑体" w:eastAsia="黑体" w:hint="eastAsia"/>
          <w:spacing w:val="-17"/>
          <w:sz w:val="21"/>
        </w:rPr>
        <w:t>，</w:t>
      </w:r>
      <w:r>
        <w:rPr>
          <w:rFonts w:ascii="黑体" w:eastAsia="黑体" w:hint="eastAsia"/>
          <w:sz w:val="21"/>
        </w:rPr>
        <w:t>本公司不承担给付保险金的责任：</w:t>
      </w:r>
    </w:p>
    <w:p>
      <w:pPr>
        <w:pStyle w:val="BodyText"/>
        <w:spacing w:before="7"/>
        <w:ind w:left="3004"/>
        <w:rPr>
          <w:rFonts w:ascii="黑体" w:eastAsia="黑体" w:hint="eastAsia"/>
        </w:rPr>
      </w:pPr>
      <w:r>
        <w:rPr>
          <w:rFonts w:ascii="黑体" w:eastAsia="黑体" w:hint="eastAsia"/>
        </w:rPr>
        <w:t>（1）投保人对被保险人的故意杀害、故意伤害；</w:t>
      </w:r>
    </w:p>
    <w:p>
      <w:pPr>
        <w:spacing w:after="0"/>
        <w:rPr>
          <w:rFonts w:ascii="黑体" w:eastAsia="黑体" w:hint="eastAsia"/>
        </w:rPr>
        <w:sectPr>
          <w:type w:val="continuous"/>
          <w:pgSz w:w="11910" w:h="16840"/>
          <w:pgMar w:top="520" w:bottom="280" w:left="800" w:right="800"/>
        </w:sectPr>
      </w:pPr>
    </w:p>
    <w:p>
      <w:pPr>
        <w:pStyle w:val="BodyText"/>
        <w:rPr>
          <w:rFonts w:ascii="黑体"/>
          <w:sz w:val="42"/>
        </w:rPr>
      </w:pPr>
    </w:p>
    <w:p>
      <w:pPr>
        <w:pStyle w:val="BodyText"/>
        <w:rPr>
          <w:rFonts w:ascii="黑体"/>
          <w:sz w:val="42"/>
        </w:rPr>
      </w:pPr>
    </w:p>
    <w:p>
      <w:pPr>
        <w:pStyle w:val="BodyText"/>
        <w:rPr>
          <w:rFonts w:ascii="黑体"/>
          <w:sz w:val="42"/>
        </w:rPr>
      </w:pPr>
    </w:p>
    <w:p>
      <w:pPr>
        <w:pStyle w:val="BodyText"/>
        <w:rPr>
          <w:rFonts w:ascii="黑体"/>
          <w:sz w:val="42"/>
        </w:rPr>
      </w:pPr>
    </w:p>
    <w:p>
      <w:pPr>
        <w:pStyle w:val="BodyText"/>
        <w:rPr>
          <w:rFonts w:ascii="黑体"/>
          <w:sz w:val="42"/>
        </w:rPr>
      </w:pPr>
    </w:p>
    <w:p>
      <w:pPr>
        <w:pStyle w:val="BodyText"/>
        <w:spacing w:before="4"/>
        <w:rPr>
          <w:rFonts w:ascii="黑体"/>
          <w:sz w:val="30"/>
        </w:rPr>
      </w:pPr>
    </w:p>
    <w:p>
      <w:pPr>
        <w:tabs>
          <w:tab w:pos="1073" w:val="left" w:leader="none"/>
        </w:tabs>
        <w:spacing w:before="0"/>
        <w:ind w:left="221" w:right="0" w:firstLine="0"/>
        <w:jc w:val="left"/>
        <w:rPr>
          <w:b/>
          <w:sz w:val="24"/>
        </w:rPr>
      </w:pPr>
      <w:r>
        <w:rPr>
          <w:rFonts w:ascii="Arial" w:hAnsi="Arial" w:eastAsia="Arial"/>
          <w:b/>
          <w:position w:val="-3"/>
          <w:sz w:val="40"/>
        </w:rPr>
        <w:t></w:t>
        <w:tab/>
      </w:r>
      <w:r>
        <w:rPr>
          <w:b/>
          <w:w w:val="95"/>
          <w:sz w:val="24"/>
        </w:rPr>
        <w:t>保险金的申请</w:t>
      </w:r>
    </w:p>
    <w:p>
      <w:pPr>
        <w:pStyle w:val="BodyText"/>
        <w:spacing w:before="19"/>
        <w:ind w:left="221"/>
        <w:rPr>
          <w:rFonts w:ascii="黑体" w:eastAsia="黑体" w:hint="eastAsia"/>
        </w:rPr>
      </w:pPr>
      <w:r>
        <w:rPr/>
        <w:br w:type="column"/>
      </w:r>
      <w:r>
        <w:rPr>
          <w:rFonts w:ascii="黑体" w:eastAsia="黑体" w:hint="eastAsia"/>
        </w:rPr>
        <w:t>（2）被保险人故意自伤、故意犯罪或者抗拒依法采取的刑事强制措施；</w:t>
      </w:r>
    </w:p>
    <w:p>
      <w:pPr>
        <w:pStyle w:val="BodyText"/>
        <w:spacing w:before="37"/>
        <w:ind w:left="221"/>
        <w:rPr>
          <w:rFonts w:ascii="黑体" w:eastAsia="黑体" w:hint="eastAsia"/>
        </w:rPr>
      </w:pPr>
      <w:r>
        <w:rPr>
          <w:rFonts w:ascii="黑体" w:eastAsia="黑体" w:hint="eastAsia"/>
        </w:rPr>
        <w:t>（3）</w:t>
      </w:r>
      <w:r>
        <w:rPr>
          <w:rFonts w:ascii="黑体" w:eastAsia="黑体" w:hint="eastAsia"/>
          <w:spacing w:val="-1"/>
        </w:rPr>
        <w:t>被保险人主动吸食或注射</w:t>
      </w:r>
      <w:r>
        <w:rPr>
          <w:rFonts w:ascii="黑体" w:eastAsia="黑体" w:hint="eastAsia"/>
          <w:b/>
          <w:w w:val="99"/>
        </w:rPr>
        <w:t>毒品</w:t>
      </w:r>
      <w:r>
        <w:rPr>
          <w:rFonts w:ascii="黑体" w:eastAsia="黑体" w:hint="eastAsia"/>
        </w:rPr>
        <w:t>（见主合同释义</w:t>
      </w:r>
      <w:r>
        <w:rPr>
          <w:rFonts w:ascii="黑体" w:eastAsia="黑体" w:hint="eastAsia"/>
          <w:spacing w:val="-105"/>
        </w:rPr>
        <w:t>）</w:t>
      </w:r>
      <w:r>
        <w:rPr>
          <w:rFonts w:ascii="黑体" w:eastAsia="黑体" w:hint="eastAsia"/>
        </w:rPr>
        <w:t>；</w:t>
      </w:r>
    </w:p>
    <w:p>
      <w:pPr>
        <w:spacing w:line="273" w:lineRule="auto" w:before="37"/>
        <w:ind w:left="725" w:right="103" w:hanging="505"/>
        <w:jc w:val="left"/>
        <w:rPr>
          <w:rFonts w:ascii="黑体" w:eastAsia="黑体" w:hint="eastAsia"/>
          <w:sz w:val="21"/>
        </w:rPr>
      </w:pPr>
      <w:r>
        <w:rPr>
          <w:rFonts w:ascii="黑体" w:eastAsia="黑体" w:hint="eastAsia"/>
          <w:spacing w:val="-6"/>
          <w:sz w:val="21"/>
        </w:rPr>
        <w:t>（4）</w:t>
      </w:r>
      <w:r>
        <w:rPr>
          <w:rFonts w:ascii="黑体" w:eastAsia="黑体" w:hint="eastAsia"/>
          <w:sz w:val="21"/>
        </w:rPr>
        <w:t>被保险人</w:t>
      </w:r>
      <w:r>
        <w:rPr>
          <w:rFonts w:ascii="黑体" w:eastAsia="黑体" w:hint="eastAsia"/>
          <w:b/>
          <w:spacing w:val="-4"/>
          <w:sz w:val="21"/>
        </w:rPr>
        <w:t>酒后驾驶</w:t>
      </w:r>
      <w:r>
        <w:rPr>
          <w:rFonts w:ascii="黑体" w:eastAsia="黑体" w:hint="eastAsia"/>
          <w:sz w:val="21"/>
        </w:rPr>
        <w:t>（见主合同释义</w:t>
      </w:r>
      <w:r>
        <w:rPr>
          <w:rFonts w:ascii="黑体" w:eastAsia="黑体" w:hint="eastAsia"/>
          <w:spacing w:val="-105"/>
          <w:sz w:val="21"/>
        </w:rPr>
        <w:t>）</w:t>
      </w:r>
      <w:r>
        <w:rPr>
          <w:rFonts w:ascii="黑体" w:eastAsia="黑体" w:hint="eastAsia"/>
          <w:spacing w:val="-16"/>
          <w:sz w:val="21"/>
        </w:rPr>
        <w:t>、</w:t>
      </w:r>
      <w:r>
        <w:rPr>
          <w:rFonts w:ascii="黑体" w:eastAsia="黑体" w:hint="eastAsia"/>
          <w:b/>
          <w:spacing w:val="-2"/>
          <w:sz w:val="21"/>
        </w:rPr>
        <w:t>无合法有效驾驶证驾驶</w:t>
      </w:r>
      <w:r>
        <w:rPr>
          <w:rFonts w:ascii="黑体" w:eastAsia="黑体" w:hint="eastAsia"/>
          <w:sz w:val="21"/>
        </w:rPr>
        <w:t>（见主合同释义</w:t>
      </w:r>
      <w:r>
        <w:rPr>
          <w:rFonts w:ascii="黑体" w:eastAsia="黑体" w:hint="eastAsia"/>
          <w:spacing w:val="-105"/>
          <w:sz w:val="21"/>
        </w:rPr>
        <w:t>）</w:t>
      </w:r>
      <w:r>
        <w:rPr>
          <w:rFonts w:ascii="黑体" w:eastAsia="黑体" w:hint="eastAsia"/>
          <w:spacing w:val="-17"/>
          <w:sz w:val="21"/>
        </w:rPr>
        <w:t>，或驾驶</w:t>
      </w:r>
      <w:r>
        <w:rPr>
          <w:rFonts w:ascii="黑体" w:eastAsia="黑体" w:hint="eastAsia"/>
          <w:b/>
          <w:spacing w:val="-10"/>
          <w:w w:val="99"/>
          <w:sz w:val="21"/>
        </w:rPr>
        <w:t>无有效行驶证</w:t>
      </w:r>
      <w:r>
        <w:rPr>
          <w:rFonts w:ascii="黑体" w:eastAsia="黑体" w:hint="eastAsia"/>
          <w:sz w:val="21"/>
        </w:rPr>
        <w:t>（</w:t>
      </w:r>
      <w:r>
        <w:rPr>
          <w:rFonts w:ascii="黑体" w:eastAsia="黑体" w:hint="eastAsia"/>
          <w:spacing w:val="-1"/>
          <w:sz w:val="21"/>
        </w:rPr>
        <w:t>见主合同释义</w:t>
      </w:r>
      <w:r>
        <w:rPr>
          <w:rFonts w:ascii="黑体" w:eastAsia="黑体" w:hint="eastAsia"/>
          <w:spacing w:val="-62"/>
          <w:sz w:val="21"/>
        </w:rPr>
        <w:t>）</w:t>
      </w:r>
      <w:r>
        <w:rPr>
          <w:rFonts w:ascii="黑体" w:eastAsia="黑体" w:hint="eastAsia"/>
          <w:sz w:val="21"/>
        </w:rPr>
        <w:t>的</w:t>
      </w:r>
      <w:r>
        <w:rPr>
          <w:rFonts w:ascii="黑体" w:eastAsia="黑体" w:hint="eastAsia"/>
          <w:b/>
          <w:spacing w:val="-20"/>
          <w:w w:val="99"/>
          <w:sz w:val="21"/>
        </w:rPr>
        <w:t>机动车</w:t>
      </w:r>
      <w:r>
        <w:rPr>
          <w:rFonts w:ascii="黑体" w:eastAsia="黑体" w:hint="eastAsia"/>
          <w:sz w:val="21"/>
        </w:rPr>
        <w:t>（</w:t>
      </w:r>
      <w:r>
        <w:rPr>
          <w:rFonts w:ascii="黑体" w:eastAsia="黑体" w:hint="eastAsia"/>
          <w:spacing w:val="-1"/>
          <w:sz w:val="21"/>
        </w:rPr>
        <w:t>见主合同释义</w:t>
      </w:r>
      <w:r>
        <w:rPr>
          <w:rFonts w:ascii="黑体" w:eastAsia="黑体" w:hint="eastAsia"/>
          <w:spacing w:val="-105"/>
          <w:sz w:val="21"/>
        </w:rPr>
        <w:t>）</w:t>
      </w:r>
      <w:r>
        <w:rPr>
          <w:rFonts w:ascii="黑体" w:eastAsia="黑体" w:hint="eastAsia"/>
          <w:sz w:val="21"/>
        </w:rPr>
        <w:t>；</w:t>
      </w:r>
    </w:p>
    <w:p>
      <w:pPr>
        <w:pStyle w:val="BodyText"/>
        <w:spacing w:line="273" w:lineRule="auto" w:before="7"/>
        <w:ind w:left="725" w:right="208" w:hanging="504"/>
        <w:rPr>
          <w:rFonts w:ascii="黑体" w:hAnsi="黑体" w:eastAsia="黑体" w:hint="eastAsia"/>
        </w:rPr>
      </w:pPr>
      <w:r>
        <w:rPr>
          <w:rFonts w:ascii="黑体" w:hAnsi="黑体" w:eastAsia="黑体" w:hint="eastAsia"/>
        </w:rPr>
        <w:t>（5</w:t>
      </w:r>
      <w:r>
        <w:rPr>
          <w:rFonts w:ascii="黑体" w:hAnsi="黑体" w:eastAsia="黑体" w:hint="eastAsia"/>
          <w:spacing w:val="-15"/>
        </w:rPr>
        <w:t>）</w:t>
      </w:r>
      <w:r>
        <w:rPr>
          <w:rFonts w:ascii="黑体" w:hAnsi="黑体" w:eastAsia="黑体" w:hint="eastAsia"/>
          <w:spacing w:val="-1"/>
        </w:rPr>
        <w:t>被保险人</w:t>
      </w:r>
      <w:r>
        <w:rPr>
          <w:rFonts w:ascii="黑体" w:hAnsi="黑体" w:eastAsia="黑体" w:hint="eastAsia"/>
          <w:b/>
          <w:spacing w:val="-2"/>
          <w:w w:val="99"/>
        </w:rPr>
        <w:t>感染艾滋病病毒或患艾滋病</w:t>
      </w:r>
      <w:r>
        <w:rPr>
          <w:rFonts w:ascii="黑体" w:hAnsi="黑体" w:eastAsia="黑体" w:hint="eastAsia"/>
        </w:rPr>
        <w:t>（</w:t>
      </w:r>
      <w:r>
        <w:rPr>
          <w:rFonts w:ascii="黑体" w:hAnsi="黑体" w:eastAsia="黑体" w:hint="eastAsia"/>
          <w:spacing w:val="-1"/>
        </w:rPr>
        <w:t>见释义</w:t>
      </w:r>
      <w:r>
        <w:rPr>
          <w:rFonts w:ascii="黑体" w:hAnsi="黑体" w:eastAsia="黑体" w:hint="eastAsia"/>
          <w:spacing w:val="-105"/>
        </w:rPr>
        <w:t>）</w:t>
      </w:r>
      <w:r>
        <w:rPr>
          <w:rFonts w:ascii="黑体" w:hAnsi="黑体" w:eastAsia="黑体" w:hint="eastAsia"/>
          <w:spacing w:val="-6"/>
        </w:rPr>
        <w:t>，但对“经输血导致的人类免疫缺陷病毒感染”本公司仍负重大疾病保险金的给付责任；</w:t>
      </w:r>
    </w:p>
    <w:p>
      <w:pPr>
        <w:pStyle w:val="BodyText"/>
        <w:spacing w:before="7"/>
        <w:ind w:left="221"/>
        <w:rPr>
          <w:rFonts w:ascii="黑体" w:eastAsia="黑体" w:hint="eastAsia"/>
        </w:rPr>
      </w:pPr>
      <w:r>
        <w:rPr>
          <w:rFonts w:ascii="黑体" w:eastAsia="黑体" w:hint="eastAsia"/>
        </w:rPr>
        <w:t>（6）战争、军事冲突、暴乱或武装叛乱；</w:t>
      </w:r>
    </w:p>
    <w:p>
      <w:pPr>
        <w:pStyle w:val="BodyText"/>
        <w:spacing w:before="37"/>
        <w:ind w:left="221"/>
        <w:rPr>
          <w:rFonts w:ascii="黑体" w:eastAsia="黑体" w:hint="eastAsia"/>
        </w:rPr>
      </w:pPr>
      <w:r>
        <w:rPr>
          <w:rFonts w:ascii="黑体" w:eastAsia="黑体" w:hint="eastAsia"/>
        </w:rPr>
        <w:t>（7）核爆炸、核辐射或核污染；</w:t>
      </w:r>
    </w:p>
    <w:p>
      <w:pPr>
        <w:spacing w:before="18"/>
        <w:ind w:left="221" w:right="0" w:firstLine="0"/>
        <w:jc w:val="left"/>
        <w:rPr>
          <w:rFonts w:ascii="黑体" w:eastAsia="黑体" w:hint="eastAsia"/>
          <w:sz w:val="21"/>
        </w:rPr>
      </w:pPr>
      <w:r>
        <w:rPr>
          <w:rFonts w:ascii="黑体" w:eastAsia="黑体" w:hint="eastAsia"/>
          <w:sz w:val="21"/>
        </w:rPr>
        <w:t>（8</w:t>
      </w:r>
      <w:r>
        <w:rPr>
          <w:rFonts w:ascii="黑体" w:eastAsia="黑体" w:hint="eastAsia"/>
          <w:spacing w:val="-1"/>
          <w:sz w:val="21"/>
        </w:rPr>
        <w:t>）</w:t>
      </w:r>
      <w:r>
        <w:rPr>
          <w:rFonts w:ascii="黑体" w:eastAsia="黑体" w:hint="eastAsia"/>
          <w:b/>
          <w:w w:val="99"/>
          <w:sz w:val="21"/>
        </w:rPr>
        <w:t>遗传性疾病</w:t>
      </w:r>
      <w:r>
        <w:rPr>
          <w:rFonts w:ascii="黑体" w:eastAsia="黑体" w:hint="eastAsia"/>
          <w:sz w:val="21"/>
        </w:rPr>
        <w:t>（</w:t>
      </w:r>
      <w:r>
        <w:rPr>
          <w:rFonts w:ascii="黑体" w:eastAsia="黑体" w:hint="eastAsia"/>
          <w:spacing w:val="-1"/>
          <w:sz w:val="21"/>
        </w:rPr>
        <w:t>见释义</w:t>
      </w:r>
      <w:r>
        <w:rPr>
          <w:rFonts w:ascii="黑体" w:eastAsia="黑体" w:hint="eastAsia"/>
          <w:spacing w:val="-105"/>
          <w:sz w:val="21"/>
        </w:rPr>
        <w:t>）</w:t>
      </w:r>
      <w:r>
        <w:rPr>
          <w:rFonts w:ascii="黑体" w:eastAsia="黑体" w:hint="eastAsia"/>
          <w:sz w:val="21"/>
        </w:rPr>
        <w:t>，</w:t>
      </w:r>
      <w:r>
        <w:rPr>
          <w:rFonts w:ascii="黑体" w:eastAsia="黑体" w:hint="eastAsia"/>
          <w:b/>
          <w:w w:val="99"/>
          <w:sz w:val="21"/>
        </w:rPr>
        <w:t>先天性畸形、变形或染色体异常</w:t>
      </w:r>
      <w:r>
        <w:rPr>
          <w:rFonts w:ascii="黑体" w:eastAsia="黑体" w:hint="eastAsia"/>
          <w:sz w:val="21"/>
        </w:rPr>
        <w:t>（见释义</w:t>
      </w:r>
      <w:r>
        <w:rPr>
          <w:rFonts w:ascii="黑体" w:eastAsia="黑体" w:hint="eastAsia"/>
          <w:spacing w:val="-106"/>
          <w:sz w:val="21"/>
        </w:rPr>
        <w:t>）</w:t>
      </w:r>
      <w:r>
        <w:rPr>
          <w:rFonts w:ascii="黑体" w:eastAsia="黑体" w:hint="eastAsia"/>
          <w:sz w:val="21"/>
        </w:rPr>
        <w:t>。</w:t>
      </w:r>
    </w:p>
    <w:p>
      <w:pPr>
        <w:spacing w:after="0"/>
        <w:jc w:val="left"/>
        <w:rPr>
          <w:rFonts w:ascii="黑体" w:eastAsia="黑体" w:hint="eastAsia"/>
          <w:sz w:val="21"/>
        </w:rPr>
        <w:sectPr>
          <w:pgSz w:w="11910" w:h="16840"/>
          <w:pgMar w:top="1100" w:bottom="280" w:left="800" w:right="800"/>
          <w:cols w:num="2" w:equalWidth="0">
            <w:col w:w="2517" w:space="266"/>
            <w:col w:w="7527"/>
          </w:cols>
        </w:sectPr>
      </w:pPr>
    </w:p>
    <w:p>
      <w:pPr>
        <w:pStyle w:val="BodyText"/>
        <w:spacing w:before="9"/>
        <w:rPr>
          <w:rFonts w:ascii="黑体"/>
          <w:sz w:val="7"/>
        </w:rPr>
      </w:pPr>
    </w:p>
    <w:p>
      <w:pPr>
        <w:pStyle w:val="BodyText"/>
        <w:spacing w:line="20" w:lineRule="exact"/>
        <w:ind w:left="103"/>
        <w:rPr>
          <w:rFonts w:ascii="黑体"/>
          <w:sz w:val="2"/>
        </w:rPr>
      </w:pPr>
      <w:r>
        <w:rPr>
          <w:rFonts w:ascii="Times New Roman"/>
          <w:spacing w:val="6"/>
          <w:sz w:val="2"/>
        </w:rPr>
        <w:t> </w:t>
      </w:r>
      <w:r>
        <w:rPr>
          <w:rFonts w:ascii="黑体"/>
          <w:spacing w:val="6"/>
          <w:sz w:val="2"/>
        </w:rPr>
        <w:pict>
          <v:group style="width:504.5pt;height:1pt;mso-position-horizontal-relative:char;mso-position-vertical-relative:line" coordorigin="0,0" coordsize="10090,20">
            <v:line style="position:absolute" from="0,10" to="10090,10" stroked="true" strokeweight=".96002pt" strokecolor="#000000">
              <v:stroke dashstyle="solid"/>
            </v:line>
          </v:group>
        </w:pict>
      </w:r>
      <w:r>
        <w:rPr>
          <w:rFonts w:ascii="黑体"/>
          <w:spacing w:val="6"/>
          <w:sz w:val="2"/>
        </w:rPr>
      </w:r>
    </w:p>
    <w:p>
      <w:pPr>
        <w:pStyle w:val="BodyText"/>
        <w:spacing w:before="1"/>
        <w:rPr>
          <w:rFonts w:ascii="黑体"/>
          <w:sz w:val="12"/>
        </w:rPr>
      </w:pPr>
    </w:p>
    <w:p>
      <w:pPr>
        <w:pStyle w:val="ListParagraph"/>
        <w:numPr>
          <w:ilvl w:val="1"/>
          <w:numId w:val="9"/>
        </w:numPr>
        <w:tabs>
          <w:tab w:pos="1073" w:val="left" w:leader="none"/>
          <w:tab w:pos="1074" w:val="left" w:leader="none"/>
          <w:tab w:pos="3003" w:val="left" w:leader="none"/>
        </w:tabs>
        <w:spacing w:line="273" w:lineRule="auto" w:before="35" w:after="0"/>
        <w:ind w:left="3003" w:right="208" w:hanging="2782"/>
        <w:jc w:val="left"/>
        <w:rPr>
          <w:sz w:val="21"/>
        </w:rPr>
      </w:pPr>
      <w:r>
        <w:rPr>
          <w:b/>
          <w:sz w:val="21"/>
        </w:rPr>
        <w:t>受益人</w:t>
        <w:tab/>
      </w:r>
      <w:r>
        <w:rPr>
          <w:sz w:val="21"/>
        </w:rPr>
        <w:t>除另有约定外</w:t>
      </w:r>
      <w:r>
        <w:rPr>
          <w:spacing w:val="-26"/>
          <w:sz w:val="21"/>
        </w:rPr>
        <w:t>，</w:t>
      </w:r>
      <w:r>
        <w:rPr>
          <w:sz w:val="21"/>
        </w:rPr>
        <w:t>第一类重大疾病保险金</w:t>
      </w:r>
      <w:r>
        <w:rPr>
          <w:spacing w:val="-26"/>
          <w:sz w:val="21"/>
        </w:rPr>
        <w:t>、</w:t>
      </w:r>
      <w:r>
        <w:rPr>
          <w:sz w:val="21"/>
        </w:rPr>
        <w:t>第二类重大疾病保险金的受益人均为被保险人本人。</w:t>
      </w:r>
    </w:p>
    <w:p>
      <w:pPr>
        <w:pStyle w:val="BodyText"/>
        <w:spacing w:before="11"/>
        <w:rPr>
          <w:sz w:val="17"/>
        </w:rPr>
      </w:pPr>
    </w:p>
    <w:p>
      <w:pPr>
        <w:pStyle w:val="ListParagraph"/>
        <w:numPr>
          <w:ilvl w:val="1"/>
          <w:numId w:val="9"/>
        </w:numPr>
        <w:tabs>
          <w:tab w:pos="1073" w:val="left" w:leader="none"/>
          <w:tab w:pos="1074" w:val="left" w:leader="none"/>
          <w:tab w:pos="3003" w:val="left" w:leader="none"/>
        </w:tabs>
        <w:spacing w:line="273" w:lineRule="auto" w:before="0" w:after="0"/>
        <w:ind w:left="3003" w:right="208" w:hanging="2782"/>
        <w:jc w:val="left"/>
        <w:rPr>
          <w:sz w:val="21"/>
        </w:rPr>
      </w:pPr>
      <w:r>
        <w:rPr>
          <w:b/>
          <w:sz w:val="21"/>
        </w:rPr>
        <w:t>保险金申请</w:t>
        <w:tab/>
      </w:r>
      <w:r>
        <w:rPr>
          <w:sz w:val="21"/>
        </w:rPr>
        <w:t>在申请保险金时</w:t>
      </w:r>
      <w:r>
        <w:rPr>
          <w:spacing w:val="-26"/>
          <w:sz w:val="21"/>
        </w:rPr>
        <w:t>，</w:t>
      </w:r>
      <w:r>
        <w:rPr>
          <w:sz w:val="21"/>
        </w:rPr>
        <w:t>受益人作为申请人填写保险金给付申请书</w:t>
      </w:r>
      <w:r>
        <w:rPr>
          <w:spacing w:val="-26"/>
          <w:sz w:val="21"/>
        </w:rPr>
        <w:t>，</w:t>
      </w:r>
      <w:r>
        <w:rPr>
          <w:sz w:val="21"/>
        </w:rPr>
        <w:t>并须提供下列证明和资料：</w:t>
      </w:r>
    </w:p>
    <w:p>
      <w:pPr>
        <w:pStyle w:val="BodyText"/>
        <w:spacing w:before="7"/>
        <w:ind w:left="3003"/>
      </w:pPr>
      <w:r>
        <w:rPr/>
        <w:t>（1）保险合同；</w:t>
      </w:r>
    </w:p>
    <w:p>
      <w:pPr>
        <w:spacing w:before="37"/>
        <w:ind w:left="3003" w:right="0" w:firstLine="0"/>
        <w:jc w:val="left"/>
        <w:rPr>
          <w:sz w:val="21"/>
        </w:rPr>
      </w:pPr>
      <w:r>
        <w:rPr>
          <w:sz w:val="21"/>
        </w:rPr>
        <w:t>（2）</w:t>
      </w:r>
      <w:r>
        <w:rPr>
          <w:spacing w:val="-1"/>
          <w:sz w:val="21"/>
        </w:rPr>
        <w:t>受益人的</w:t>
      </w:r>
      <w:r>
        <w:rPr>
          <w:b/>
          <w:w w:val="99"/>
          <w:sz w:val="21"/>
        </w:rPr>
        <w:t>有效身份证明</w:t>
      </w:r>
      <w:r>
        <w:rPr>
          <w:sz w:val="21"/>
        </w:rPr>
        <w:t>（</w:t>
      </w:r>
      <w:r>
        <w:rPr>
          <w:spacing w:val="-1"/>
          <w:sz w:val="21"/>
        </w:rPr>
        <w:t>见主合同释义</w:t>
      </w:r>
      <w:r>
        <w:rPr>
          <w:spacing w:val="-105"/>
          <w:sz w:val="21"/>
        </w:rPr>
        <w:t>）</w:t>
      </w:r>
      <w:r>
        <w:rPr>
          <w:sz w:val="21"/>
        </w:rPr>
        <w:t>；</w:t>
      </w:r>
    </w:p>
    <w:p>
      <w:pPr>
        <w:pStyle w:val="BodyText"/>
        <w:spacing w:line="273" w:lineRule="auto" w:before="37"/>
        <w:ind w:left="3522" w:right="243" w:hanging="503"/>
      </w:pPr>
      <w:r>
        <w:rPr/>
        <w:t>（3）本公司认可</w:t>
      </w:r>
      <w:r>
        <w:rPr>
          <w:b/>
        </w:rPr>
        <w:t>医院</w:t>
      </w:r>
      <w:r>
        <w:rPr/>
        <w:t>的</w:t>
      </w:r>
      <w:r>
        <w:rPr>
          <w:b/>
        </w:rPr>
        <w:t>专科医生</w:t>
      </w:r>
      <w:r>
        <w:rPr/>
        <w:t>出具的附有被保险人病历、病理、血液及其他科学方法检验报告的诊断证明文件；</w:t>
      </w:r>
    </w:p>
    <w:p>
      <w:pPr>
        <w:pStyle w:val="BodyText"/>
        <w:spacing w:before="7"/>
        <w:rPr>
          <w:sz w:val="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2"/>
        <w:gridCol w:w="1936"/>
        <w:gridCol w:w="7443"/>
      </w:tblGrid>
      <w:tr>
        <w:trPr>
          <w:trHeight w:val="1310" w:hRule="atLeast"/>
        </w:trPr>
        <w:tc>
          <w:tcPr>
            <w:tcW w:w="2648" w:type="dxa"/>
            <w:gridSpan w:val="2"/>
          </w:tcPr>
          <w:p>
            <w:pPr>
              <w:pStyle w:val="TableParagraph"/>
              <w:ind w:left="0"/>
              <w:rPr>
                <w:rFonts w:ascii="Times New Roman"/>
                <w:sz w:val="20"/>
              </w:rPr>
            </w:pPr>
          </w:p>
        </w:tc>
        <w:tc>
          <w:tcPr>
            <w:tcW w:w="7443" w:type="dxa"/>
          </w:tcPr>
          <w:p>
            <w:pPr>
              <w:pStyle w:val="TableParagraph"/>
              <w:spacing w:line="210" w:lineRule="exact"/>
              <w:ind w:left="242"/>
              <w:rPr>
                <w:sz w:val="21"/>
              </w:rPr>
            </w:pPr>
            <w:r>
              <w:rPr>
                <w:sz w:val="21"/>
              </w:rPr>
              <w:t>（4）所能提供的与确认保险事故的性质、原因等有关的其他证明和资料；</w:t>
            </w:r>
          </w:p>
          <w:p>
            <w:pPr>
              <w:pStyle w:val="TableParagraph"/>
              <w:spacing w:before="37"/>
              <w:ind w:left="242"/>
              <w:rPr>
                <w:sz w:val="21"/>
              </w:rPr>
            </w:pPr>
            <w:r>
              <w:rPr>
                <w:sz w:val="21"/>
              </w:rPr>
              <w:t>（5）本公司需要的其他有关文件和资料。</w:t>
            </w:r>
          </w:p>
          <w:p>
            <w:pPr>
              <w:pStyle w:val="TableParagraph"/>
              <w:spacing w:line="273" w:lineRule="auto" w:before="37"/>
              <w:ind w:left="242" w:right="44"/>
              <w:rPr>
                <w:sz w:val="21"/>
              </w:rPr>
            </w:pPr>
            <w:r>
              <w:rPr>
                <w:sz w:val="21"/>
              </w:rPr>
              <w:t>以上证明和资料不完整的，本公司将及时一次性通知申请人补充提供有关的证明和资料。</w:t>
            </w:r>
          </w:p>
        </w:tc>
      </w:tr>
      <w:tr>
        <w:trPr>
          <w:trHeight w:val="874" w:hRule="atLeast"/>
        </w:trPr>
        <w:tc>
          <w:tcPr>
            <w:tcW w:w="712" w:type="dxa"/>
          </w:tcPr>
          <w:p>
            <w:pPr>
              <w:pStyle w:val="TableParagraph"/>
              <w:spacing w:before="99"/>
              <w:rPr>
                <w:b/>
                <w:sz w:val="21"/>
              </w:rPr>
            </w:pPr>
            <w:r>
              <w:rPr>
                <w:b/>
                <w:sz w:val="21"/>
              </w:rPr>
              <w:t>3.3</w:t>
            </w:r>
          </w:p>
        </w:tc>
        <w:tc>
          <w:tcPr>
            <w:tcW w:w="1936" w:type="dxa"/>
          </w:tcPr>
          <w:p>
            <w:pPr>
              <w:pStyle w:val="TableParagraph"/>
              <w:spacing w:before="99"/>
              <w:ind w:left="247"/>
              <w:rPr>
                <w:b/>
                <w:sz w:val="21"/>
              </w:rPr>
            </w:pPr>
            <w:r>
              <w:rPr>
                <w:b/>
                <w:w w:val="95"/>
                <w:sz w:val="21"/>
              </w:rPr>
              <w:t>诉讼时效</w:t>
            </w:r>
          </w:p>
        </w:tc>
        <w:tc>
          <w:tcPr>
            <w:tcW w:w="7443" w:type="dxa"/>
          </w:tcPr>
          <w:p>
            <w:pPr>
              <w:pStyle w:val="TableParagraph"/>
              <w:spacing w:line="273" w:lineRule="auto" w:before="99"/>
              <w:ind w:left="242" w:right="108"/>
              <w:rPr>
                <w:sz w:val="21"/>
              </w:rPr>
            </w:pPr>
            <w:r>
              <w:rPr>
                <w:spacing w:val="-2"/>
                <w:sz w:val="21"/>
              </w:rPr>
              <w:t>受益人向本公司请求给付本附加合同保险金的诉讼时效期间为 </w:t>
            </w:r>
            <w:r>
              <w:rPr>
                <w:sz w:val="21"/>
              </w:rPr>
              <w:t>2</w:t>
            </w:r>
            <w:r>
              <w:rPr>
                <w:spacing w:val="-17"/>
                <w:sz w:val="21"/>
              </w:rPr>
              <w:t> 年，自其知道或者应当知道保险事故发生之日起计算。</w:t>
            </w:r>
          </w:p>
        </w:tc>
      </w:tr>
      <w:tr>
        <w:trPr>
          <w:trHeight w:val="721" w:hRule="atLeast"/>
        </w:trPr>
        <w:tc>
          <w:tcPr>
            <w:tcW w:w="712" w:type="dxa"/>
            <w:tcBorders>
              <w:bottom w:val="single" w:sz="8" w:space="0" w:color="000000"/>
            </w:tcBorders>
          </w:tcPr>
          <w:p>
            <w:pPr>
              <w:pStyle w:val="TableParagraph"/>
              <w:spacing w:before="187"/>
              <w:ind w:left="108"/>
              <w:rPr>
                <w:rFonts w:ascii="Wingdings" w:hAnsi="Wingdings"/>
                <w:sz w:val="40"/>
              </w:rPr>
            </w:pPr>
            <w:r>
              <w:rPr>
                <w:rFonts w:ascii="Wingdings" w:hAnsi="Wingdings"/>
                <w:w w:val="99"/>
                <w:sz w:val="40"/>
              </w:rPr>
              <w:t></w:t>
            </w:r>
          </w:p>
        </w:tc>
        <w:tc>
          <w:tcPr>
            <w:tcW w:w="1936" w:type="dxa"/>
            <w:tcBorders>
              <w:bottom w:val="single" w:sz="8" w:space="0" w:color="000000"/>
            </w:tcBorders>
          </w:tcPr>
          <w:p>
            <w:pPr>
              <w:pStyle w:val="TableParagraph"/>
              <w:spacing w:before="215"/>
              <w:ind w:left="248"/>
              <w:rPr>
                <w:b/>
                <w:sz w:val="24"/>
              </w:rPr>
            </w:pPr>
            <w:r>
              <w:rPr>
                <w:b/>
                <w:w w:val="95"/>
                <w:sz w:val="24"/>
              </w:rPr>
              <w:t>保险费的交纳</w:t>
            </w:r>
          </w:p>
        </w:tc>
        <w:tc>
          <w:tcPr>
            <w:tcW w:w="7443" w:type="dxa"/>
            <w:tcBorders>
              <w:bottom w:val="single" w:sz="8" w:space="0" w:color="000000"/>
            </w:tcBorders>
          </w:tcPr>
          <w:p>
            <w:pPr>
              <w:pStyle w:val="TableParagraph"/>
              <w:ind w:left="0"/>
              <w:rPr>
                <w:rFonts w:ascii="Times New Roman"/>
                <w:sz w:val="20"/>
              </w:rPr>
            </w:pPr>
          </w:p>
        </w:tc>
      </w:tr>
      <w:tr>
        <w:trPr>
          <w:trHeight w:val="1567" w:hRule="atLeast"/>
        </w:trPr>
        <w:tc>
          <w:tcPr>
            <w:tcW w:w="712" w:type="dxa"/>
            <w:tcBorders>
              <w:top w:val="single" w:sz="8" w:space="0" w:color="000000"/>
            </w:tcBorders>
          </w:tcPr>
          <w:p>
            <w:pPr>
              <w:pStyle w:val="TableParagraph"/>
              <w:spacing w:before="9"/>
              <w:ind w:left="0"/>
              <w:rPr>
                <w:sz w:val="14"/>
              </w:rPr>
            </w:pPr>
          </w:p>
          <w:p>
            <w:pPr>
              <w:pStyle w:val="TableParagraph"/>
              <w:ind w:left="108"/>
              <w:rPr>
                <w:b/>
                <w:sz w:val="21"/>
              </w:rPr>
            </w:pPr>
            <w:r>
              <w:rPr>
                <w:b/>
                <w:sz w:val="21"/>
              </w:rPr>
              <w:t>4.1</w:t>
            </w:r>
          </w:p>
        </w:tc>
        <w:tc>
          <w:tcPr>
            <w:tcW w:w="1936" w:type="dxa"/>
            <w:tcBorders>
              <w:top w:val="single" w:sz="8" w:space="0" w:color="000000"/>
            </w:tcBorders>
          </w:tcPr>
          <w:p>
            <w:pPr>
              <w:pStyle w:val="TableParagraph"/>
              <w:spacing w:before="9"/>
              <w:ind w:left="0"/>
              <w:rPr>
                <w:sz w:val="14"/>
              </w:rPr>
            </w:pPr>
          </w:p>
          <w:p>
            <w:pPr>
              <w:pStyle w:val="TableParagraph"/>
              <w:ind w:left="248"/>
              <w:rPr>
                <w:b/>
                <w:sz w:val="21"/>
              </w:rPr>
            </w:pPr>
            <w:r>
              <w:rPr>
                <w:b/>
                <w:w w:val="95"/>
                <w:sz w:val="21"/>
              </w:rPr>
              <w:t>保险费的交纳</w:t>
            </w:r>
          </w:p>
        </w:tc>
        <w:tc>
          <w:tcPr>
            <w:tcW w:w="7443" w:type="dxa"/>
            <w:tcBorders>
              <w:top w:val="single" w:sz="8" w:space="0" w:color="000000"/>
            </w:tcBorders>
          </w:tcPr>
          <w:p>
            <w:pPr>
              <w:pStyle w:val="TableParagraph"/>
              <w:spacing w:before="9"/>
              <w:ind w:left="0"/>
              <w:rPr>
                <w:sz w:val="14"/>
              </w:rPr>
            </w:pPr>
          </w:p>
          <w:p>
            <w:pPr>
              <w:pStyle w:val="TableParagraph"/>
              <w:spacing w:line="273" w:lineRule="auto"/>
              <w:ind w:left="242" w:right="268"/>
              <w:rPr>
                <w:sz w:val="21"/>
              </w:rPr>
            </w:pPr>
            <w:r>
              <w:rPr>
                <w:sz w:val="21"/>
              </w:rPr>
              <w:t>本附加合同的交费方式和交费期间由您和本公司约定并载明于保险单或批注上。</w:t>
            </w:r>
          </w:p>
          <w:p>
            <w:pPr>
              <w:pStyle w:val="TableParagraph"/>
              <w:spacing w:line="273" w:lineRule="auto" w:before="7"/>
              <w:ind w:left="242" w:right="42"/>
              <w:rPr>
                <w:sz w:val="21"/>
              </w:rPr>
            </w:pPr>
            <w:r>
              <w:rPr>
                <w:sz w:val="21"/>
              </w:rPr>
              <w:t>分期支付保险费的，在交纳首期保险费后，您应当按照约定，在每个</w:t>
            </w:r>
            <w:r>
              <w:rPr>
                <w:b/>
                <w:sz w:val="21"/>
              </w:rPr>
              <w:t>保险费约</w:t>
            </w:r>
            <w:r>
              <w:rPr>
                <w:b/>
                <w:w w:val="95"/>
                <w:sz w:val="21"/>
              </w:rPr>
              <w:t>定交纳日</w:t>
            </w:r>
            <w:r>
              <w:rPr>
                <w:w w:val="95"/>
                <w:sz w:val="21"/>
              </w:rPr>
              <w:t>（见主合同释义）交纳当期的保险费。</w:t>
            </w:r>
          </w:p>
        </w:tc>
      </w:tr>
      <w:tr>
        <w:trPr>
          <w:trHeight w:val="2098" w:hRule="atLeast"/>
        </w:trPr>
        <w:tc>
          <w:tcPr>
            <w:tcW w:w="712" w:type="dxa"/>
          </w:tcPr>
          <w:p>
            <w:pPr>
              <w:pStyle w:val="TableParagraph"/>
              <w:spacing w:before="99"/>
              <w:ind w:left="108"/>
              <w:rPr>
                <w:b/>
                <w:sz w:val="21"/>
              </w:rPr>
            </w:pPr>
            <w:r>
              <w:rPr>
                <w:b/>
                <w:sz w:val="21"/>
              </w:rPr>
              <w:t>4.2</w:t>
            </w:r>
          </w:p>
        </w:tc>
        <w:tc>
          <w:tcPr>
            <w:tcW w:w="1936" w:type="dxa"/>
          </w:tcPr>
          <w:p>
            <w:pPr>
              <w:pStyle w:val="TableParagraph"/>
              <w:spacing w:before="99"/>
              <w:ind w:left="248"/>
              <w:rPr>
                <w:b/>
                <w:sz w:val="21"/>
              </w:rPr>
            </w:pPr>
            <w:r>
              <w:rPr>
                <w:b/>
                <w:w w:val="95"/>
                <w:sz w:val="21"/>
              </w:rPr>
              <w:t>宽限期</w:t>
            </w:r>
          </w:p>
        </w:tc>
        <w:tc>
          <w:tcPr>
            <w:tcW w:w="7443" w:type="dxa"/>
          </w:tcPr>
          <w:p>
            <w:pPr>
              <w:pStyle w:val="TableParagraph"/>
              <w:spacing w:line="273" w:lineRule="auto" w:before="99"/>
              <w:ind w:left="242" w:right="108"/>
              <w:jc w:val="both"/>
              <w:rPr>
                <w:sz w:val="21"/>
              </w:rPr>
            </w:pPr>
            <w:r>
              <w:rPr>
                <w:spacing w:val="-4"/>
                <w:sz w:val="21"/>
              </w:rPr>
              <w:t>分期支付保险费的，您交纳首期保险费后，除另有约定外，如果您到期未交纳保险费，自您首次欠费的</w:t>
            </w:r>
            <w:r>
              <w:rPr>
                <w:b/>
                <w:spacing w:val="-4"/>
                <w:sz w:val="21"/>
              </w:rPr>
              <w:t>保险费约定交纳日</w:t>
            </w:r>
            <w:r>
              <w:rPr>
                <w:spacing w:val="-12"/>
                <w:sz w:val="21"/>
              </w:rPr>
              <w:t>的次日零时起 </w:t>
            </w:r>
            <w:r>
              <w:rPr>
                <w:sz w:val="21"/>
              </w:rPr>
              <w:t>60</w:t>
            </w:r>
            <w:r>
              <w:rPr>
                <w:spacing w:val="-8"/>
                <w:sz w:val="21"/>
              </w:rPr>
              <w:t> 日为宽限期。宽</w:t>
            </w:r>
            <w:r>
              <w:rPr>
                <w:spacing w:val="-11"/>
                <w:sz w:val="21"/>
              </w:rPr>
              <w:t>限期内发生的保险事故，本公司仍会承担保险责任，但在给付保险金时会扣减您欠交的保险费。</w:t>
            </w:r>
          </w:p>
          <w:p>
            <w:pPr>
              <w:pStyle w:val="TableParagraph"/>
              <w:spacing w:line="273" w:lineRule="auto" w:before="7"/>
              <w:ind w:left="242" w:right="108"/>
              <w:jc w:val="both"/>
              <w:rPr>
                <w:sz w:val="21"/>
              </w:rPr>
            </w:pPr>
            <w:r>
              <w:rPr>
                <w:spacing w:val="-3"/>
                <w:sz w:val="21"/>
              </w:rPr>
              <w:t>如果您在宽限期结束之后仍未交纳保险费，除另有约定外，本附加合同自宽限期满的次日零时起效力中止。</w:t>
            </w:r>
          </w:p>
        </w:tc>
      </w:tr>
      <w:tr>
        <w:trPr>
          <w:trHeight w:val="425" w:hRule="atLeast"/>
        </w:trPr>
        <w:tc>
          <w:tcPr>
            <w:tcW w:w="712" w:type="dxa"/>
          </w:tcPr>
          <w:p>
            <w:pPr>
              <w:pStyle w:val="TableParagraph"/>
              <w:spacing w:before="99"/>
              <w:rPr>
                <w:b/>
                <w:sz w:val="21"/>
              </w:rPr>
            </w:pPr>
            <w:r>
              <w:rPr>
                <w:b/>
                <w:sz w:val="21"/>
              </w:rPr>
              <w:t>4.3</w:t>
            </w:r>
          </w:p>
        </w:tc>
        <w:tc>
          <w:tcPr>
            <w:tcW w:w="1936" w:type="dxa"/>
          </w:tcPr>
          <w:p>
            <w:pPr>
              <w:pStyle w:val="TableParagraph"/>
              <w:spacing w:before="99"/>
              <w:ind w:left="248"/>
              <w:rPr>
                <w:b/>
                <w:sz w:val="21"/>
              </w:rPr>
            </w:pPr>
            <w:r>
              <w:rPr>
                <w:b/>
                <w:w w:val="95"/>
                <w:sz w:val="21"/>
              </w:rPr>
              <w:t>保险费率调整</w:t>
            </w:r>
          </w:p>
        </w:tc>
        <w:tc>
          <w:tcPr>
            <w:tcW w:w="7443" w:type="dxa"/>
          </w:tcPr>
          <w:p>
            <w:pPr>
              <w:pStyle w:val="TableParagraph"/>
              <w:spacing w:before="99"/>
              <w:ind w:left="242"/>
              <w:rPr>
                <w:rFonts w:ascii="黑体" w:eastAsia="黑体" w:hint="eastAsia"/>
                <w:sz w:val="21"/>
              </w:rPr>
            </w:pPr>
            <w:r>
              <w:rPr>
                <w:rFonts w:ascii="黑体" w:eastAsia="黑体" w:hint="eastAsia"/>
                <w:sz w:val="21"/>
              </w:rPr>
              <w:t>本公司保留提高或降低保险费率的权利，但须报送国务院保险监督管理机构备</w:t>
            </w:r>
          </w:p>
        </w:tc>
      </w:tr>
      <w:tr>
        <w:trPr>
          <w:trHeight w:val="311" w:hRule="atLeast"/>
        </w:trPr>
        <w:tc>
          <w:tcPr>
            <w:tcW w:w="712" w:type="dxa"/>
          </w:tcPr>
          <w:p>
            <w:pPr>
              <w:pStyle w:val="TableParagraph"/>
              <w:ind w:left="0"/>
              <w:rPr>
                <w:rFonts w:ascii="Times New Roman"/>
                <w:sz w:val="20"/>
              </w:rPr>
            </w:pPr>
          </w:p>
        </w:tc>
        <w:tc>
          <w:tcPr>
            <w:tcW w:w="1936" w:type="dxa"/>
          </w:tcPr>
          <w:p>
            <w:pPr>
              <w:pStyle w:val="TableParagraph"/>
              <w:ind w:left="0"/>
              <w:rPr>
                <w:rFonts w:ascii="Times New Roman"/>
                <w:sz w:val="20"/>
              </w:rPr>
            </w:pPr>
          </w:p>
        </w:tc>
        <w:tc>
          <w:tcPr>
            <w:tcW w:w="7443" w:type="dxa"/>
          </w:tcPr>
          <w:p>
            <w:pPr>
              <w:pStyle w:val="TableParagraph"/>
              <w:spacing w:line="261" w:lineRule="exact"/>
              <w:ind w:left="242"/>
              <w:rPr>
                <w:rFonts w:ascii="黑体" w:eastAsia="黑体" w:hint="eastAsia"/>
                <w:sz w:val="21"/>
              </w:rPr>
            </w:pPr>
            <w:r>
              <w:rPr>
                <w:rFonts w:ascii="黑体" w:eastAsia="黑体" w:hint="eastAsia"/>
                <w:sz w:val="21"/>
              </w:rPr>
              <w:t>案。保险费率的调整适用于相同产品项下的所有被保险人或同一投保年龄和性</w:t>
            </w:r>
          </w:p>
        </w:tc>
      </w:tr>
      <w:tr>
        <w:trPr>
          <w:trHeight w:val="260" w:hRule="atLeast"/>
        </w:trPr>
        <w:tc>
          <w:tcPr>
            <w:tcW w:w="712" w:type="dxa"/>
          </w:tcPr>
          <w:p>
            <w:pPr>
              <w:pStyle w:val="TableParagraph"/>
              <w:ind w:left="0"/>
              <w:rPr>
                <w:rFonts w:ascii="Times New Roman"/>
                <w:sz w:val="18"/>
              </w:rPr>
            </w:pPr>
          </w:p>
        </w:tc>
        <w:tc>
          <w:tcPr>
            <w:tcW w:w="1936" w:type="dxa"/>
          </w:tcPr>
          <w:p>
            <w:pPr>
              <w:pStyle w:val="TableParagraph"/>
              <w:ind w:left="0"/>
              <w:rPr>
                <w:rFonts w:ascii="Times New Roman"/>
                <w:sz w:val="18"/>
              </w:rPr>
            </w:pPr>
          </w:p>
        </w:tc>
        <w:tc>
          <w:tcPr>
            <w:tcW w:w="7443" w:type="dxa"/>
          </w:tcPr>
          <w:p>
            <w:pPr>
              <w:pStyle w:val="TableParagraph"/>
              <w:spacing w:line="241" w:lineRule="exact"/>
              <w:ind w:left="242"/>
              <w:rPr>
                <w:rFonts w:ascii="黑体" w:eastAsia="黑体" w:hint="eastAsia"/>
                <w:sz w:val="21"/>
              </w:rPr>
            </w:pPr>
            <w:r>
              <w:rPr>
                <w:rFonts w:ascii="黑体" w:eastAsia="黑体" w:hint="eastAsia"/>
                <w:sz w:val="21"/>
              </w:rPr>
              <w:t>别的所有被保险人。</w:t>
            </w:r>
          </w:p>
        </w:tc>
      </w:tr>
    </w:tbl>
    <w:p>
      <w:pPr>
        <w:spacing w:after="0" w:line="241" w:lineRule="exact"/>
        <w:rPr>
          <w:rFonts w:ascii="黑体" w:eastAsia="黑体" w:hint="eastAsia"/>
          <w:sz w:val="21"/>
        </w:rPr>
        <w:sectPr>
          <w:type w:val="continuous"/>
          <w:pgSz w:w="11910" w:h="16840"/>
          <w:pgMar w:top="520" w:bottom="280" w:left="800" w:right="800"/>
        </w:sectPr>
      </w:pPr>
    </w:p>
    <w:p>
      <w:pPr>
        <w:pStyle w:val="BodyText"/>
        <w:rPr>
          <w:sz w:val="42"/>
        </w:rPr>
      </w:pPr>
    </w:p>
    <w:p>
      <w:pPr>
        <w:pStyle w:val="BodyText"/>
        <w:spacing w:before="4"/>
        <w:rPr>
          <w:sz w:val="30"/>
        </w:rPr>
      </w:pPr>
    </w:p>
    <w:p>
      <w:pPr>
        <w:tabs>
          <w:tab w:pos="1073" w:val="left" w:leader="none"/>
        </w:tabs>
        <w:spacing w:before="0"/>
        <w:ind w:left="221" w:right="0" w:firstLine="0"/>
        <w:jc w:val="left"/>
        <w:rPr>
          <w:b/>
          <w:sz w:val="24"/>
        </w:rPr>
      </w:pPr>
      <w:r>
        <w:rPr>
          <w:rFonts w:ascii="Arial" w:hAnsi="Arial" w:eastAsia="Arial"/>
          <w:b/>
          <w:position w:val="-3"/>
          <w:sz w:val="40"/>
        </w:rPr>
        <w:t></w:t>
        <w:tab/>
      </w:r>
      <w:r>
        <w:rPr>
          <w:b/>
          <w:w w:val="95"/>
          <w:sz w:val="24"/>
        </w:rPr>
        <w:t>现金价值权益</w:t>
      </w:r>
    </w:p>
    <w:p>
      <w:pPr>
        <w:pStyle w:val="BodyText"/>
        <w:spacing w:line="273" w:lineRule="auto" w:before="19"/>
        <w:ind w:left="221" w:right="146"/>
        <w:rPr>
          <w:rFonts w:ascii="黑体" w:eastAsia="黑体" w:hint="eastAsia"/>
        </w:rPr>
      </w:pPr>
      <w:r>
        <w:rPr/>
        <w:br w:type="column"/>
      </w:r>
      <w:r>
        <w:rPr>
          <w:rFonts w:ascii="黑体" w:eastAsia="黑体" w:hint="eastAsia"/>
        </w:rPr>
        <w:t>本公司调整保险费率后，您须按调整后的保险费率交纳续期保险费，调整前您已经交纳的保险费不受影响。</w:t>
      </w:r>
    </w:p>
    <w:p>
      <w:pPr>
        <w:spacing w:after="0" w:line="273" w:lineRule="auto"/>
        <w:rPr>
          <w:rFonts w:ascii="黑体" w:eastAsia="黑体" w:hint="eastAsia"/>
        </w:rPr>
        <w:sectPr>
          <w:pgSz w:w="11910" w:h="16840"/>
          <w:pgMar w:top="1100" w:bottom="280" w:left="800" w:right="800"/>
          <w:cols w:num="2" w:equalWidth="0">
            <w:col w:w="2517" w:space="266"/>
            <w:col w:w="7527"/>
          </w:cols>
        </w:sectPr>
      </w:pPr>
    </w:p>
    <w:p>
      <w:pPr>
        <w:pStyle w:val="BodyText"/>
        <w:spacing w:before="9"/>
        <w:rPr>
          <w:rFonts w:ascii="黑体"/>
          <w:sz w:val="7"/>
        </w:rPr>
      </w:pPr>
    </w:p>
    <w:p>
      <w:pPr>
        <w:pStyle w:val="BodyText"/>
        <w:spacing w:line="20" w:lineRule="exact"/>
        <w:ind w:left="103"/>
        <w:rPr>
          <w:rFonts w:ascii="黑体"/>
          <w:sz w:val="2"/>
        </w:rPr>
      </w:pPr>
      <w:r>
        <w:rPr>
          <w:rFonts w:ascii="Times New Roman"/>
          <w:spacing w:val="6"/>
          <w:sz w:val="2"/>
        </w:rPr>
        <w:t> </w:t>
      </w:r>
      <w:r>
        <w:rPr>
          <w:rFonts w:ascii="黑体"/>
          <w:spacing w:val="6"/>
          <w:sz w:val="2"/>
        </w:rPr>
        <w:pict>
          <v:group style="width:504.5pt;height:1pt;mso-position-horizontal-relative:char;mso-position-vertical-relative:line" coordorigin="0,0" coordsize="10090,20">
            <v:line style="position:absolute" from="0,10" to="10090,10" stroked="true" strokeweight=".95996pt" strokecolor="#000000">
              <v:stroke dashstyle="solid"/>
            </v:line>
          </v:group>
        </w:pict>
      </w:r>
      <w:r>
        <w:rPr>
          <w:rFonts w:ascii="黑体"/>
          <w:spacing w:val="6"/>
          <w:sz w:val="2"/>
        </w:rPr>
      </w:r>
    </w:p>
    <w:p>
      <w:pPr>
        <w:pStyle w:val="BodyText"/>
        <w:rPr>
          <w:rFonts w:ascii="黑体"/>
          <w:sz w:val="12"/>
        </w:rPr>
      </w:pPr>
    </w:p>
    <w:p>
      <w:pPr>
        <w:pStyle w:val="BodyText"/>
        <w:tabs>
          <w:tab w:pos="1072" w:val="left" w:leader="none"/>
          <w:tab w:pos="3003" w:val="left" w:leader="none"/>
        </w:tabs>
        <w:spacing w:line="273" w:lineRule="auto" w:before="35"/>
        <w:ind w:left="3003" w:right="208" w:hanging="2783"/>
      </w:pPr>
      <w:r>
        <w:rPr>
          <w:b/>
        </w:rPr>
        <w:t>5.1</w:t>
        <w:tab/>
        <w:t>现金价值</w:t>
        <w:tab/>
      </w:r>
      <w:r>
        <w:rPr/>
        <w:t>本附加合同具有现金价值</w:t>
      </w:r>
      <w:r>
        <w:rPr>
          <w:spacing w:val="-51"/>
        </w:rPr>
        <w:t>，</w:t>
      </w:r>
      <w:r>
        <w:rPr/>
        <w:t>并已包含在主合同的现金价值中载明于保险单或批注上。</w:t>
      </w:r>
    </w:p>
    <w:p>
      <w:pPr>
        <w:pStyle w:val="BodyText"/>
        <w:spacing w:before="10"/>
        <w:rPr>
          <w:sz w:val="23"/>
        </w:rPr>
      </w:pPr>
    </w:p>
    <w:p>
      <w:pPr>
        <w:pStyle w:val="Heading2"/>
        <w:tabs>
          <w:tab w:pos="1073" w:val="left" w:leader="none"/>
        </w:tabs>
      </w:pPr>
      <w:r>
        <w:rPr/>
        <w:pict>
          <v:line style="position:absolute;mso-position-horizontal-relative:page;mso-position-vertical-relative:paragraph;z-index:1192;mso-wrap-distance-left:0;mso-wrap-distance-right:0" from="45.66pt,28.580069pt" to="550.14pt,28.580069pt" stroked="true" strokeweight=".96002pt" strokecolor="#000000">
            <v:stroke dashstyle="solid"/>
            <w10:wrap type="topAndBottom"/>
          </v:line>
        </w:pict>
      </w:r>
      <w:r>
        <w:rPr>
          <w:rFonts w:ascii="Arial" w:hAnsi="Arial" w:eastAsia="Arial"/>
          <w:position w:val="-3"/>
          <w:sz w:val="40"/>
        </w:rPr>
        <w:t></w:t>
        <w:tab/>
      </w:r>
      <w:r>
        <w:rPr>
          <w:w w:val="95"/>
        </w:rPr>
        <w:t>合同效力的中止及恢复</w:t>
      </w:r>
    </w:p>
    <w:p>
      <w:pPr>
        <w:pStyle w:val="BodyText"/>
        <w:spacing w:before="11"/>
        <w:rPr>
          <w:b/>
          <w:sz w:val="9"/>
        </w:rPr>
      </w:pPr>
    </w:p>
    <w:p>
      <w:pPr>
        <w:pStyle w:val="ListParagraph"/>
        <w:numPr>
          <w:ilvl w:val="1"/>
          <w:numId w:val="10"/>
        </w:numPr>
        <w:tabs>
          <w:tab w:pos="1072" w:val="left" w:leader="none"/>
          <w:tab w:pos="1073" w:val="left" w:leader="none"/>
          <w:tab w:pos="3003" w:val="left" w:leader="none"/>
        </w:tabs>
        <w:spacing w:line="273" w:lineRule="auto" w:before="35" w:after="0"/>
        <w:ind w:left="3003" w:right="368" w:hanging="2782"/>
        <w:jc w:val="left"/>
        <w:rPr>
          <w:sz w:val="21"/>
        </w:rPr>
      </w:pPr>
      <w:r>
        <w:rPr>
          <w:b/>
          <w:sz w:val="21"/>
        </w:rPr>
        <w:t>效力中止</w:t>
        <w:tab/>
      </w:r>
      <w:r>
        <w:rPr>
          <w:sz w:val="21"/>
        </w:rPr>
        <w:t>除主合同或本附加合同另有约定外，本附加合同效力的中止与主合同一致。在本附加合同效力中止期间，本公司不承担保险责任。</w:t>
      </w:r>
    </w:p>
    <w:p>
      <w:pPr>
        <w:pStyle w:val="BodyText"/>
        <w:spacing w:before="12"/>
        <w:rPr>
          <w:sz w:val="17"/>
        </w:rPr>
      </w:pPr>
    </w:p>
    <w:p>
      <w:pPr>
        <w:pStyle w:val="ListParagraph"/>
        <w:numPr>
          <w:ilvl w:val="1"/>
          <w:numId w:val="10"/>
        </w:numPr>
        <w:tabs>
          <w:tab w:pos="1072" w:val="left" w:leader="none"/>
          <w:tab w:pos="1073" w:val="left" w:leader="none"/>
          <w:tab w:pos="3003" w:val="left" w:leader="none"/>
        </w:tabs>
        <w:spacing w:line="240" w:lineRule="auto" w:before="0" w:after="0"/>
        <w:ind w:left="3003" w:right="0" w:hanging="2782"/>
        <w:jc w:val="left"/>
        <w:rPr>
          <w:sz w:val="21"/>
        </w:rPr>
      </w:pPr>
      <w:r>
        <w:rPr>
          <w:b/>
          <w:sz w:val="21"/>
        </w:rPr>
        <w:t>效力恢复</w:t>
        <w:tab/>
      </w:r>
      <w:r>
        <w:rPr>
          <w:sz w:val="21"/>
        </w:rPr>
        <w:t>除主合同或本附加合同另有约定外，本附加合同效力的恢复与主合同一致。</w:t>
      </w:r>
    </w:p>
    <w:p>
      <w:pPr>
        <w:pStyle w:val="BodyText"/>
        <w:spacing w:before="1"/>
        <w:rPr>
          <w:sz w:val="26"/>
        </w:rPr>
      </w:pPr>
    </w:p>
    <w:p>
      <w:pPr>
        <w:tabs>
          <w:tab w:pos="1073" w:val="left" w:leader="none"/>
        </w:tabs>
        <w:spacing w:before="0"/>
        <w:ind w:left="221" w:right="0" w:firstLine="0"/>
        <w:jc w:val="left"/>
        <w:rPr>
          <w:b/>
          <w:sz w:val="24"/>
        </w:rPr>
      </w:pPr>
      <w:r>
        <w:rPr/>
        <w:pict>
          <v:line style="position:absolute;mso-position-horizontal-relative:page;mso-position-vertical-relative:paragraph;z-index:1216;mso-wrap-distance-left:0;mso-wrap-distance-right:0" from="45.66pt,28.580055pt" to="550.14pt,28.580055pt" stroked="true" strokeweight=".96002pt" strokecolor="#000000">
            <v:stroke dashstyle="solid"/>
            <w10:wrap type="topAndBottom"/>
          </v:line>
        </w:pict>
      </w:r>
      <w:r>
        <w:rPr>
          <w:rFonts w:ascii="Arial" w:hAnsi="Arial" w:eastAsia="Arial"/>
          <w:b/>
          <w:w w:val="105"/>
          <w:position w:val="-3"/>
          <w:sz w:val="40"/>
        </w:rPr>
        <w:t></w:t>
        <w:tab/>
      </w:r>
      <w:r>
        <w:rPr>
          <w:b/>
          <w:w w:val="95"/>
          <w:sz w:val="24"/>
        </w:rPr>
        <w:t>合同解除</w:t>
      </w:r>
    </w:p>
    <w:p>
      <w:pPr>
        <w:pStyle w:val="BodyText"/>
        <w:spacing w:before="10"/>
        <w:rPr>
          <w:b/>
          <w:sz w:val="9"/>
        </w:rPr>
      </w:pPr>
    </w:p>
    <w:p>
      <w:pPr>
        <w:spacing w:after="0"/>
        <w:rPr>
          <w:sz w:val="9"/>
        </w:rPr>
        <w:sectPr>
          <w:type w:val="continuous"/>
          <w:pgSz w:w="11910" w:h="16840"/>
          <w:pgMar w:top="520" w:bottom="280" w:left="800" w:right="800"/>
        </w:sectPr>
      </w:pPr>
    </w:p>
    <w:p>
      <w:pPr>
        <w:pStyle w:val="Heading3"/>
        <w:tabs>
          <w:tab w:pos="1073" w:val="left" w:leader="none"/>
        </w:tabs>
        <w:spacing w:line="273" w:lineRule="auto" w:before="35"/>
        <w:ind w:hanging="852"/>
      </w:pPr>
      <w:r>
        <w:rPr/>
        <w:t>7.1</w:t>
        <w:tab/>
      </w:r>
      <w:r>
        <w:rPr>
          <w:w w:val="95"/>
        </w:rPr>
        <w:t>您解除合同的手续 及风险</w:t>
      </w:r>
    </w:p>
    <w:p>
      <w:pPr>
        <w:pStyle w:val="BodyText"/>
        <w:spacing w:line="273" w:lineRule="auto" w:before="35"/>
        <w:ind w:left="203" w:right="146"/>
      </w:pPr>
      <w:r>
        <w:rPr/>
        <w:br w:type="column"/>
      </w:r>
      <w:r>
        <w:rPr/>
        <w:t>如您在犹豫期后申请解除本附加合同，请填写解除合同申请书并向本公司提供下列资料：</w:t>
      </w:r>
    </w:p>
    <w:p>
      <w:pPr>
        <w:pStyle w:val="BodyText"/>
        <w:spacing w:before="7"/>
        <w:ind w:left="203"/>
      </w:pPr>
      <w:r>
        <w:rPr/>
        <w:t>（1）保险合同；</w:t>
      </w:r>
    </w:p>
    <w:p>
      <w:pPr>
        <w:spacing w:before="37"/>
        <w:ind w:left="203" w:right="0" w:firstLine="0"/>
        <w:jc w:val="left"/>
        <w:rPr>
          <w:sz w:val="21"/>
        </w:rPr>
      </w:pPr>
      <w:r>
        <w:rPr>
          <w:w w:val="95"/>
          <w:sz w:val="21"/>
        </w:rPr>
        <w:t>（2）您的</w:t>
      </w:r>
      <w:r>
        <w:rPr>
          <w:b/>
          <w:w w:val="95"/>
          <w:sz w:val="21"/>
        </w:rPr>
        <w:t>有效身份证明</w:t>
      </w:r>
      <w:r>
        <w:rPr>
          <w:w w:val="95"/>
          <w:sz w:val="21"/>
        </w:rPr>
        <w:t>。</w:t>
      </w:r>
    </w:p>
    <w:p>
      <w:pPr>
        <w:pStyle w:val="BodyText"/>
        <w:spacing w:before="37"/>
        <w:ind w:left="203"/>
      </w:pPr>
      <w:r>
        <w:rPr/>
        <w:t>您在解除本附加合同时，须同时申请解除主合同。</w:t>
      </w:r>
    </w:p>
    <w:p>
      <w:pPr>
        <w:pStyle w:val="BodyText"/>
        <w:spacing w:line="273" w:lineRule="auto" w:before="37"/>
        <w:ind w:left="203" w:right="146"/>
      </w:pPr>
      <w:r>
        <w:rPr/>
        <w:t>自本公司收到解除合同申请书之日起，本附加合同终止。本公司自收到解除合同申请书之日起 30 日内向您退还本附加合同的现金价值。</w:t>
      </w:r>
    </w:p>
    <w:p>
      <w:pPr>
        <w:pStyle w:val="BodyText"/>
        <w:spacing w:before="8"/>
        <w:ind w:left="203"/>
        <w:rPr>
          <w:rFonts w:ascii="黑体" w:eastAsia="黑体" w:hint="eastAsia"/>
        </w:rPr>
      </w:pPr>
      <w:r>
        <w:rPr>
          <w:rFonts w:ascii="黑体" w:eastAsia="黑体" w:hint="eastAsia"/>
        </w:rPr>
        <w:t>您在犹豫期后解除合同会遭受一定损失。</w:t>
      </w:r>
    </w:p>
    <w:p>
      <w:pPr>
        <w:spacing w:after="0"/>
        <w:rPr>
          <w:rFonts w:ascii="黑体" w:eastAsia="黑体" w:hint="eastAsia"/>
        </w:rPr>
        <w:sectPr>
          <w:type w:val="continuous"/>
          <w:pgSz w:w="11910" w:h="16840"/>
          <w:pgMar w:top="520" w:bottom="280" w:left="800" w:right="800"/>
          <w:cols w:num="2" w:equalWidth="0">
            <w:col w:w="2761" w:space="40"/>
            <w:col w:w="7509"/>
          </w:cols>
        </w:sectPr>
      </w:pPr>
    </w:p>
    <w:p>
      <w:pPr>
        <w:pStyle w:val="BodyText"/>
        <w:spacing w:before="5"/>
        <w:rPr>
          <w:rFonts w:ascii="黑体"/>
        </w:rPr>
      </w:pPr>
    </w:p>
    <w:p>
      <w:pPr>
        <w:pStyle w:val="Heading2"/>
        <w:tabs>
          <w:tab w:pos="1073" w:val="left" w:leader="none"/>
        </w:tabs>
        <w:spacing w:before="61"/>
      </w:pPr>
      <w:r>
        <w:rPr/>
        <w:pict>
          <v:line style="position:absolute;mso-position-horizontal-relative:page;mso-position-vertical-relative:paragraph;z-index:1240;mso-wrap-distance-left:0;mso-wrap-distance-right:0" from="45.66pt,31.630077pt" to="550.14pt,31.630077pt" stroked="true" strokeweight=".95999pt" strokecolor="#000000">
            <v:stroke dashstyle="solid"/>
            <w10:wrap type="topAndBottom"/>
          </v:line>
        </w:pict>
      </w:r>
      <w:r>
        <w:rPr>
          <w:rFonts w:ascii="Arial" w:hAnsi="Arial" w:eastAsia="Arial"/>
          <w:position w:val="-3"/>
          <w:sz w:val="40"/>
        </w:rPr>
        <w:t></w:t>
        <w:tab/>
      </w:r>
      <w:r>
        <w:rPr>
          <w:w w:val="95"/>
        </w:rPr>
        <w:t>其他需要关注的事项</w:t>
      </w:r>
    </w:p>
    <w:p>
      <w:pPr>
        <w:pStyle w:val="BodyText"/>
        <w:spacing w:before="10"/>
        <w:rPr>
          <w:b/>
          <w:sz w:val="9"/>
        </w:rPr>
      </w:pPr>
    </w:p>
    <w:p>
      <w:pPr>
        <w:pStyle w:val="ListParagraph"/>
        <w:numPr>
          <w:ilvl w:val="1"/>
          <w:numId w:val="11"/>
        </w:numPr>
        <w:tabs>
          <w:tab w:pos="1073" w:val="left" w:leader="none"/>
          <w:tab w:pos="1074" w:val="left" w:leader="none"/>
          <w:tab w:pos="3003" w:val="left" w:leader="none"/>
        </w:tabs>
        <w:spacing w:line="273" w:lineRule="auto" w:before="35" w:after="0"/>
        <w:ind w:left="3003" w:right="158" w:hanging="2782"/>
        <w:jc w:val="left"/>
        <w:rPr>
          <w:sz w:val="21"/>
        </w:rPr>
      </w:pPr>
      <w:r>
        <w:rPr>
          <w:b/>
          <w:sz w:val="21"/>
        </w:rPr>
        <w:t>效力终止</w:t>
        <w:tab/>
      </w:r>
      <w:r>
        <w:rPr>
          <w:sz w:val="21"/>
        </w:rPr>
        <w:t>除主合同或本附加合同另有约定外，本附加合同的效力在主合同撤销、解除、期满、终止时自动终止。</w:t>
      </w:r>
    </w:p>
    <w:p>
      <w:pPr>
        <w:pStyle w:val="BodyText"/>
        <w:spacing w:before="11"/>
        <w:rPr>
          <w:sz w:val="17"/>
        </w:rPr>
      </w:pPr>
    </w:p>
    <w:p>
      <w:pPr>
        <w:pStyle w:val="ListParagraph"/>
        <w:numPr>
          <w:ilvl w:val="1"/>
          <w:numId w:val="11"/>
        </w:numPr>
        <w:tabs>
          <w:tab w:pos="1073" w:val="left" w:leader="none"/>
          <w:tab w:pos="1074" w:val="left" w:leader="none"/>
          <w:tab w:pos="3003" w:val="left" w:leader="none"/>
        </w:tabs>
        <w:spacing w:line="240" w:lineRule="auto" w:before="0" w:after="0"/>
        <w:ind w:left="1073" w:right="0" w:hanging="852"/>
        <w:jc w:val="left"/>
        <w:rPr>
          <w:sz w:val="21"/>
        </w:rPr>
      </w:pPr>
      <w:r>
        <w:rPr>
          <w:b/>
          <w:sz w:val="21"/>
        </w:rPr>
        <w:t>适用主合同条款</w:t>
        <w:tab/>
      </w:r>
      <w:r>
        <w:rPr>
          <w:sz w:val="21"/>
        </w:rPr>
        <w:t>主合同订立的下列各项条款适用于本附加合同：</w:t>
      </w:r>
    </w:p>
    <w:p>
      <w:pPr>
        <w:pStyle w:val="BodyText"/>
        <w:spacing w:before="36"/>
        <w:ind w:left="3003"/>
      </w:pPr>
      <w:r>
        <w:rPr/>
        <w:t>（1）合同成立与生效</w:t>
      </w:r>
    </w:p>
    <w:p>
      <w:pPr>
        <w:pStyle w:val="BodyText"/>
        <w:spacing w:before="36"/>
        <w:ind w:left="3003"/>
      </w:pPr>
      <w:r>
        <w:rPr/>
        <w:t>（2）保险期间</w:t>
      </w:r>
    </w:p>
    <w:p>
      <w:pPr>
        <w:pStyle w:val="BodyText"/>
        <w:spacing w:before="36"/>
        <w:ind w:left="3003"/>
      </w:pPr>
      <w:r>
        <w:rPr/>
        <w:t>（3）保险事故通知</w:t>
      </w:r>
    </w:p>
    <w:p>
      <w:pPr>
        <w:pStyle w:val="BodyText"/>
        <w:spacing w:before="36"/>
        <w:ind w:left="3003"/>
      </w:pPr>
      <w:r>
        <w:rPr/>
        <w:t>（4）保险金给付</w:t>
      </w:r>
    </w:p>
    <w:p>
      <w:pPr>
        <w:pStyle w:val="BodyText"/>
        <w:spacing w:before="36"/>
        <w:ind w:left="3003"/>
      </w:pPr>
      <w:r>
        <w:rPr/>
        <w:t>（5）保单贷款</w:t>
      </w:r>
    </w:p>
    <w:p>
      <w:pPr>
        <w:pStyle w:val="BodyText"/>
        <w:spacing w:before="36"/>
        <w:ind w:left="3003"/>
      </w:pPr>
      <w:r>
        <w:rPr/>
        <w:t>（6）保险费自动垫交</w:t>
      </w:r>
    </w:p>
    <w:p>
      <w:pPr>
        <w:pStyle w:val="BodyText"/>
        <w:spacing w:before="36"/>
        <w:ind w:left="3003"/>
      </w:pPr>
      <w:r>
        <w:rPr/>
        <w:t>（7）明确说明与如实告知</w:t>
      </w:r>
    </w:p>
    <w:p>
      <w:pPr>
        <w:pStyle w:val="BodyText"/>
        <w:spacing w:before="36"/>
        <w:ind w:left="3003"/>
      </w:pPr>
      <w:r>
        <w:rPr/>
        <w:t>（8）本公司合同解除权的限制</w:t>
      </w:r>
    </w:p>
    <w:p>
      <w:pPr>
        <w:pStyle w:val="BodyText"/>
        <w:spacing w:before="36"/>
        <w:ind w:left="3003"/>
      </w:pPr>
      <w:r>
        <w:rPr/>
        <w:t>（9）年龄性别错误</w:t>
      </w:r>
    </w:p>
    <w:p>
      <w:pPr>
        <w:pStyle w:val="BodyText"/>
        <w:spacing w:before="36"/>
        <w:ind w:left="3003"/>
      </w:pPr>
      <w:r>
        <w:rPr/>
        <w:t>（10）未还款项</w:t>
      </w:r>
    </w:p>
    <w:p>
      <w:pPr>
        <w:pStyle w:val="BodyText"/>
        <w:spacing w:before="36"/>
        <w:ind w:left="3003"/>
      </w:pPr>
      <w:r>
        <w:rPr/>
        <w:t>（11）合同内容变更</w:t>
      </w:r>
    </w:p>
    <w:p>
      <w:pPr>
        <w:pStyle w:val="BodyText"/>
        <w:spacing w:before="36"/>
        <w:ind w:left="3003"/>
      </w:pPr>
      <w:r>
        <w:rPr/>
        <w:t>（12）争议处理</w:t>
      </w:r>
    </w:p>
    <w:p>
      <w:pPr>
        <w:pStyle w:val="BodyText"/>
        <w:spacing w:before="36"/>
        <w:ind w:left="3003"/>
      </w:pPr>
      <w:r>
        <w:rPr/>
        <w:t>如果本附加合同的条款与主合同不一致，则以本附加合同的条款为准。</w:t>
      </w:r>
    </w:p>
    <w:p>
      <w:pPr>
        <w:spacing w:after="0"/>
        <w:sectPr>
          <w:type w:val="continuous"/>
          <w:pgSz w:w="11910" w:h="16840"/>
          <w:pgMar w:top="520" w:bottom="280" w:left="800" w:right="800"/>
        </w:sectPr>
      </w:pPr>
    </w:p>
    <w:p>
      <w:pPr>
        <w:tabs>
          <w:tab w:pos="1073" w:val="left" w:leader="none"/>
        </w:tabs>
        <w:spacing w:before="42"/>
        <w:ind w:left="221" w:right="0" w:firstLine="0"/>
        <w:jc w:val="left"/>
        <w:rPr>
          <w:b/>
          <w:sz w:val="24"/>
        </w:rPr>
      </w:pPr>
      <w:r>
        <w:rPr/>
        <w:pict>
          <v:line style="position:absolute;mso-position-horizontal-relative:page;mso-position-vertical-relative:paragraph;z-index:1264;mso-wrap-distance-left:0;mso-wrap-distance-right:0" from="45.66pt,30.680037pt" to="550.14pt,30.680037pt" stroked="true" strokeweight=".96002pt" strokecolor="#000000">
            <v:stroke dashstyle="solid"/>
            <w10:wrap type="topAndBottom"/>
          </v:line>
        </w:pict>
      </w:r>
      <w:r>
        <w:rPr>
          <w:rFonts w:ascii="Arial" w:hAnsi="Arial" w:eastAsia="Arial"/>
          <w:b/>
          <w:w w:val="110"/>
          <w:position w:val="-3"/>
          <w:sz w:val="40"/>
        </w:rPr>
        <w:t></w:t>
        <w:tab/>
      </w:r>
      <w:r>
        <w:rPr>
          <w:b/>
          <w:w w:val="95"/>
          <w:sz w:val="24"/>
        </w:rPr>
        <w:t>释义</w:t>
      </w:r>
    </w:p>
    <w:p>
      <w:pPr>
        <w:pStyle w:val="BodyText"/>
        <w:spacing w:before="10"/>
        <w:rPr>
          <w:b/>
          <w:sz w:val="9"/>
        </w:rPr>
      </w:pPr>
    </w:p>
    <w:p>
      <w:pPr>
        <w:pStyle w:val="ListParagraph"/>
        <w:numPr>
          <w:ilvl w:val="1"/>
          <w:numId w:val="12"/>
        </w:numPr>
        <w:tabs>
          <w:tab w:pos="1073" w:val="left" w:leader="none"/>
          <w:tab w:pos="1074" w:val="left" w:leader="none"/>
          <w:tab w:pos="3003" w:val="left" w:leader="none"/>
        </w:tabs>
        <w:spacing w:line="273" w:lineRule="auto" w:before="35" w:after="0"/>
        <w:ind w:left="3004" w:right="124" w:hanging="2783"/>
        <w:jc w:val="left"/>
        <w:rPr>
          <w:sz w:val="21"/>
        </w:rPr>
      </w:pPr>
      <w:r>
        <w:rPr>
          <w:b/>
          <w:sz w:val="21"/>
        </w:rPr>
        <w:t>医院</w:t>
        <w:tab/>
      </w:r>
      <w:r>
        <w:rPr>
          <w:sz w:val="21"/>
        </w:rPr>
        <w:t>指国家卫生行政管理部门医院等级分类中的二级或二级以上的公立医院</w:t>
      </w:r>
      <w:r>
        <w:rPr>
          <w:spacing w:val="-51"/>
          <w:sz w:val="21"/>
        </w:rPr>
        <w:t>，</w:t>
      </w:r>
      <w:r>
        <w:rPr>
          <w:sz w:val="21"/>
        </w:rPr>
        <w:t>但不包括主要提供门诊</w:t>
      </w:r>
      <w:r>
        <w:rPr>
          <w:spacing w:val="-32"/>
          <w:sz w:val="21"/>
        </w:rPr>
        <w:t>、</w:t>
      </w:r>
      <w:r>
        <w:rPr>
          <w:sz w:val="21"/>
        </w:rPr>
        <w:t>康复</w:t>
      </w:r>
      <w:r>
        <w:rPr>
          <w:spacing w:val="-32"/>
          <w:sz w:val="21"/>
        </w:rPr>
        <w:t>、</w:t>
      </w:r>
      <w:r>
        <w:rPr>
          <w:sz w:val="21"/>
        </w:rPr>
        <w:t>护理</w:t>
      </w:r>
      <w:r>
        <w:rPr>
          <w:spacing w:val="-32"/>
          <w:sz w:val="21"/>
        </w:rPr>
        <w:t>、</w:t>
      </w:r>
      <w:r>
        <w:rPr>
          <w:sz w:val="21"/>
        </w:rPr>
        <w:t>疗养</w:t>
      </w:r>
      <w:r>
        <w:rPr>
          <w:spacing w:val="-32"/>
          <w:sz w:val="21"/>
        </w:rPr>
        <w:t>、</w:t>
      </w:r>
      <w:r>
        <w:rPr>
          <w:sz w:val="21"/>
        </w:rPr>
        <w:t>戒酒</w:t>
      </w:r>
      <w:r>
        <w:rPr>
          <w:spacing w:val="-32"/>
          <w:sz w:val="21"/>
        </w:rPr>
        <w:t>、</w:t>
      </w:r>
      <w:r>
        <w:rPr>
          <w:sz w:val="21"/>
        </w:rPr>
        <w:t>戒毒或相类似服务之医疗机构。同时该医院必须具有符合有关医院管理规定设置标准的医疗设备</w:t>
      </w:r>
      <w:r>
        <w:rPr>
          <w:spacing w:val="-51"/>
          <w:sz w:val="21"/>
        </w:rPr>
        <w:t>，</w:t>
      </w:r>
      <w:r>
        <w:rPr>
          <w:sz w:val="21"/>
        </w:rPr>
        <w:t>并且提供二十四小时有合格专科医生及护士驻院的医疗和护理等服务。</w:t>
      </w:r>
    </w:p>
    <w:p>
      <w:pPr>
        <w:pStyle w:val="BodyText"/>
        <w:spacing w:before="11"/>
        <w:rPr>
          <w:sz w:val="17"/>
        </w:rPr>
      </w:pPr>
    </w:p>
    <w:p>
      <w:pPr>
        <w:pStyle w:val="ListParagraph"/>
        <w:numPr>
          <w:ilvl w:val="1"/>
          <w:numId w:val="12"/>
        </w:numPr>
        <w:tabs>
          <w:tab w:pos="1073" w:val="left" w:leader="none"/>
          <w:tab w:pos="1074" w:val="left" w:leader="none"/>
          <w:tab w:pos="3003" w:val="left" w:leader="none"/>
        </w:tabs>
        <w:spacing w:line="240" w:lineRule="auto" w:before="0" w:after="0"/>
        <w:ind w:left="1073" w:right="0" w:hanging="852"/>
        <w:jc w:val="left"/>
        <w:rPr>
          <w:sz w:val="21"/>
        </w:rPr>
      </w:pPr>
      <w:r>
        <w:rPr>
          <w:b/>
          <w:sz w:val="21"/>
        </w:rPr>
        <w:t>专科医生</w:t>
        <w:tab/>
      </w:r>
      <w:r>
        <w:rPr>
          <w:sz w:val="21"/>
        </w:rPr>
        <w:t>专科医生应当同时满足以下四项资格条件：</w:t>
      </w:r>
    </w:p>
    <w:p>
      <w:pPr>
        <w:pStyle w:val="BodyText"/>
        <w:spacing w:before="36"/>
        <w:ind w:left="3004"/>
      </w:pPr>
      <w:r>
        <w:rPr/>
        <w:t>（1）具有有效的中华人民共和国《医师资格证书》；</w:t>
      </w:r>
    </w:p>
    <w:p>
      <w:pPr>
        <w:pStyle w:val="BodyText"/>
        <w:spacing w:line="273" w:lineRule="auto" w:before="36"/>
        <w:ind w:left="3529" w:right="227" w:hanging="526"/>
      </w:pPr>
      <w:r>
        <w:rPr>
          <w:spacing w:val="-6"/>
        </w:rPr>
        <w:t>（2）</w:t>
      </w:r>
      <w:r>
        <w:rPr>
          <w:spacing w:val="-9"/>
        </w:rPr>
        <w:t>具有有效的中华人民共和国《医师执业证书》，并按期到相关部门登记注册；</w:t>
      </w:r>
    </w:p>
    <w:p>
      <w:pPr>
        <w:pStyle w:val="BodyText"/>
        <w:spacing w:line="273" w:lineRule="auto" w:before="7"/>
        <w:ind w:left="3529" w:right="283" w:hanging="526"/>
      </w:pPr>
      <w:r>
        <w:rPr/>
        <w:t>（3）具有有效的中华人民共和国主治医师或主治医师以上职称的《医师职称证书》；</w:t>
      </w:r>
    </w:p>
    <w:p>
      <w:pPr>
        <w:pStyle w:val="BodyText"/>
        <w:spacing w:line="273" w:lineRule="auto" w:before="7"/>
        <w:ind w:left="3004" w:right="1543"/>
      </w:pPr>
      <w:r>
        <w:rPr/>
        <w:t>（4）在二级或二级以上公立医院从事专业临床工作三年以上。专科医生不包括被保险人本人及其直系亲属。</w:t>
      </w:r>
    </w:p>
    <w:p>
      <w:pPr>
        <w:pStyle w:val="BodyText"/>
        <w:spacing w:before="10"/>
        <w:rPr>
          <w:sz w:val="14"/>
        </w:rPr>
      </w:pPr>
    </w:p>
    <w:p>
      <w:pPr>
        <w:spacing w:after="0"/>
        <w:rPr>
          <w:sz w:val="14"/>
        </w:rPr>
        <w:sectPr>
          <w:pgSz w:w="11910" w:h="16840"/>
          <w:pgMar w:top="1380" w:bottom="280" w:left="800" w:right="780"/>
        </w:sectPr>
      </w:pPr>
    </w:p>
    <w:p>
      <w:pPr>
        <w:pStyle w:val="Heading3"/>
        <w:numPr>
          <w:ilvl w:val="1"/>
          <w:numId w:val="12"/>
        </w:numPr>
        <w:tabs>
          <w:tab w:pos="1073" w:val="left" w:leader="none"/>
          <w:tab w:pos="1074" w:val="left" w:leader="none"/>
        </w:tabs>
        <w:spacing w:line="273" w:lineRule="auto" w:before="42" w:after="0"/>
        <w:ind w:left="1073" w:right="0" w:hanging="852"/>
        <w:jc w:val="left"/>
      </w:pPr>
      <w:r>
        <w:rPr/>
        <w:t>感染艾滋病病毒或</w:t>
      </w:r>
      <w:r>
        <w:rPr>
          <w:w w:val="95"/>
        </w:rPr>
        <w:t>患艾滋病</w:t>
      </w:r>
    </w:p>
    <w:p>
      <w:pPr>
        <w:pStyle w:val="BodyText"/>
        <w:spacing w:line="256" w:lineRule="auto" w:before="42"/>
        <w:ind w:left="203" w:right="227"/>
        <w:jc w:val="both"/>
      </w:pPr>
      <w:r>
        <w:rPr/>
        <w:br w:type="column"/>
      </w:r>
      <w:r>
        <w:rPr>
          <w:spacing w:val="-5"/>
        </w:rPr>
        <w:t>艾滋病病毒指人类免疫缺陷病毒，英文缩写为 </w:t>
      </w:r>
      <w:r>
        <w:rPr>
          <w:rFonts w:ascii="Times New Roman" w:eastAsia="Times New Roman"/>
        </w:rPr>
        <w:t>HIV</w:t>
      </w:r>
      <w:r>
        <w:rPr>
          <w:spacing w:val="-6"/>
        </w:rPr>
        <w:t>。艾滋病指人类免疫缺陷病</w:t>
      </w:r>
      <w:r>
        <w:rPr>
          <w:spacing w:val="-9"/>
        </w:rPr>
        <w:t>毒引起的获得性免疫缺陷综合征，英文缩写为 </w:t>
      </w:r>
      <w:r>
        <w:rPr>
          <w:rFonts w:ascii="Times New Roman" w:eastAsia="Times New Roman"/>
        </w:rPr>
        <w:t>AIDS</w:t>
      </w:r>
      <w:r>
        <w:rPr/>
        <w:t>。</w:t>
      </w:r>
    </w:p>
    <w:p>
      <w:pPr>
        <w:pStyle w:val="BodyText"/>
        <w:spacing w:line="273" w:lineRule="auto" w:before="5"/>
        <w:ind w:left="203" w:right="228"/>
        <w:jc w:val="both"/>
      </w:pPr>
      <w:r>
        <w:rPr>
          <w:spacing w:val="-2"/>
        </w:rPr>
        <w:t>在人体血液或其他样本中检测到艾滋病病毒或其抗体呈阳性，没有出现临床症</w:t>
      </w:r>
      <w:r>
        <w:rPr>
          <w:spacing w:val="-7"/>
        </w:rPr>
        <w:t>状或体征的，为感染艾滋病病毒；如果同时出现了明显临床症状或体征的，为患艾滋病。</w:t>
      </w:r>
    </w:p>
    <w:p>
      <w:pPr>
        <w:spacing w:after="0" w:line="273" w:lineRule="auto"/>
        <w:jc w:val="both"/>
        <w:sectPr>
          <w:type w:val="continuous"/>
          <w:pgSz w:w="11910" w:h="16840"/>
          <w:pgMar w:top="520" w:bottom="280" w:left="800" w:right="780"/>
          <w:cols w:num="2" w:equalWidth="0">
            <w:col w:w="2761" w:space="40"/>
            <w:col w:w="7529"/>
          </w:cols>
        </w:sectPr>
      </w:pPr>
    </w:p>
    <w:p>
      <w:pPr>
        <w:pStyle w:val="BodyText"/>
        <w:spacing w:before="3"/>
        <w:rPr>
          <w:sz w:val="15"/>
        </w:rPr>
      </w:pPr>
    </w:p>
    <w:p>
      <w:pPr>
        <w:pStyle w:val="ListParagraph"/>
        <w:numPr>
          <w:ilvl w:val="1"/>
          <w:numId w:val="12"/>
        </w:numPr>
        <w:tabs>
          <w:tab w:pos="1073" w:val="left" w:leader="none"/>
          <w:tab w:pos="1074" w:val="left" w:leader="none"/>
          <w:tab w:pos="3003" w:val="left" w:leader="none"/>
        </w:tabs>
        <w:spacing w:line="273" w:lineRule="auto" w:before="35" w:after="0"/>
        <w:ind w:left="3004" w:right="228" w:hanging="2783"/>
        <w:jc w:val="left"/>
        <w:rPr>
          <w:sz w:val="21"/>
        </w:rPr>
      </w:pPr>
      <w:r>
        <w:rPr>
          <w:b/>
          <w:sz w:val="21"/>
        </w:rPr>
        <w:t>遗传性疾病</w:t>
        <w:tab/>
      </w:r>
      <w:r>
        <w:rPr>
          <w:sz w:val="21"/>
        </w:rPr>
        <w:t>指生殖细胞或受精卵的遗传物</w:t>
      </w:r>
      <w:r>
        <w:rPr>
          <w:spacing w:val="-26"/>
          <w:sz w:val="21"/>
        </w:rPr>
        <w:t>质</w:t>
      </w:r>
      <w:r>
        <w:rPr>
          <w:sz w:val="21"/>
        </w:rPr>
        <w:t>（染色体和基因</w:t>
      </w:r>
      <w:r>
        <w:rPr>
          <w:spacing w:val="-26"/>
          <w:sz w:val="21"/>
        </w:rPr>
        <w:t>）</w:t>
      </w:r>
      <w:r>
        <w:rPr>
          <w:sz w:val="21"/>
        </w:rPr>
        <w:t>发生突变或畸变所引起的疾病，通常具有由亲代传至后代的垂直传递的特征。</w:t>
      </w:r>
    </w:p>
    <w:p>
      <w:pPr>
        <w:pStyle w:val="BodyText"/>
        <w:spacing w:before="2"/>
        <w:rPr>
          <w:sz w:val="15"/>
        </w:rPr>
      </w:pPr>
    </w:p>
    <w:p>
      <w:pPr>
        <w:spacing w:after="0"/>
        <w:rPr>
          <w:sz w:val="15"/>
        </w:rPr>
        <w:sectPr>
          <w:type w:val="continuous"/>
          <w:pgSz w:w="11910" w:h="16840"/>
          <w:pgMar w:top="520" w:bottom="280" w:left="800" w:right="780"/>
        </w:sectPr>
      </w:pPr>
    </w:p>
    <w:p>
      <w:pPr>
        <w:pStyle w:val="Heading3"/>
        <w:numPr>
          <w:ilvl w:val="1"/>
          <w:numId w:val="12"/>
        </w:numPr>
        <w:tabs>
          <w:tab w:pos="1073" w:val="left" w:leader="none"/>
          <w:tab w:pos="1074" w:val="left" w:leader="none"/>
        </w:tabs>
        <w:spacing w:line="273" w:lineRule="auto" w:before="36" w:after="0"/>
        <w:ind w:left="1073" w:right="0" w:hanging="852"/>
        <w:jc w:val="left"/>
      </w:pPr>
      <w:r>
        <w:rPr/>
        <w:t>先天性畸形、变形</w:t>
      </w:r>
      <w:r>
        <w:rPr>
          <w:w w:val="95"/>
        </w:rPr>
        <w:t>或染色体异常</w:t>
      </w:r>
    </w:p>
    <w:p>
      <w:pPr>
        <w:pStyle w:val="BodyText"/>
        <w:spacing w:line="273" w:lineRule="auto" w:before="36"/>
        <w:ind w:left="203" w:right="123"/>
      </w:pPr>
      <w:r>
        <w:rPr/>
        <w:br w:type="column"/>
      </w:r>
      <w:r>
        <w:rPr>
          <w:spacing w:val="-4"/>
        </w:rPr>
        <w:t>指被保险人出生时就具有的畸形、变形或染色体异常。先天性畸形、变形和染</w:t>
      </w:r>
      <w:r>
        <w:rPr>
          <w:spacing w:val="-6"/>
        </w:rPr>
        <w:t>色体异常依照世界卫生组织《疾病和有关健康问题的国际统计分类</w:t>
      </w:r>
      <w:r>
        <w:rPr>
          <w:spacing w:val="-130"/>
        </w:rPr>
        <w:t>》</w:t>
      </w:r>
      <w:r>
        <w:rPr/>
        <w:t>（ICD-10） 确定。</w:t>
      </w:r>
    </w:p>
    <w:p>
      <w:pPr>
        <w:spacing w:after="0" w:line="273" w:lineRule="auto"/>
        <w:sectPr>
          <w:type w:val="continuous"/>
          <w:pgSz w:w="11910" w:h="16840"/>
          <w:pgMar w:top="520" w:bottom="280" w:left="800" w:right="780"/>
          <w:cols w:num="2" w:equalWidth="0">
            <w:col w:w="2761" w:space="40"/>
            <w:col w:w="7529"/>
          </w:cols>
        </w:sectPr>
      </w:pPr>
    </w:p>
    <w:p>
      <w:pPr>
        <w:pStyle w:val="BodyText"/>
        <w:spacing w:before="3"/>
        <w:rPr>
          <w:sz w:val="15"/>
        </w:rPr>
      </w:pPr>
    </w:p>
    <w:p>
      <w:pPr>
        <w:pStyle w:val="ListParagraph"/>
        <w:numPr>
          <w:ilvl w:val="1"/>
          <w:numId w:val="12"/>
        </w:numPr>
        <w:tabs>
          <w:tab w:pos="1073" w:val="left" w:leader="none"/>
          <w:tab w:pos="1074" w:val="left" w:leader="none"/>
          <w:tab w:pos="3003" w:val="left" w:leader="none"/>
        </w:tabs>
        <w:spacing w:line="240" w:lineRule="auto" w:before="35" w:after="0"/>
        <w:ind w:left="1073" w:right="0" w:hanging="852"/>
        <w:jc w:val="left"/>
        <w:rPr>
          <w:sz w:val="21"/>
        </w:rPr>
      </w:pPr>
      <w:r>
        <w:rPr>
          <w:b/>
          <w:sz w:val="21"/>
        </w:rPr>
        <w:t>适用主合同释义</w:t>
        <w:tab/>
      </w:r>
      <w:r>
        <w:rPr>
          <w:sz w:val="21"/>
        </w:rPr>
        <w:t>本附加合同中其他重要术语的释义请参看主合同释义条款。</w:t>
      </w:r>
    </w:p>
    <w:p>
      <w:pPr>
        <w:pStyle w:val="BodyText"/>
        <w:spacing w:before="10"/>
        <w:rPr>
          <w:sz w:val="24"/>
        </w:rPr>
      </w:pPr>
    </w:p>
    <w:p>
      <w:pPr>
        <w:pStyle w:val="Heading2"/>
        <w:spacing w:after="36"/>
      </w:pPr>
      <w:r>
        <w:rPr/>
        <w:t>附录一 第一类重大疾病列表</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1931"/>
        <w:gridCol w:w="7307"/>
      </w:tblGrid>
      <w:tr>
        <w:trPr>
          <w:trHeight w:val="310" w:hRule="atLeast"/>
        </w:trPr>
        <w:tc>
          <w:tcPr>
            <w:tcW w:w="852" w:type="dxa"/>
            <w:tcBorders>
              <w:bottom w:val="nil"/>
            </w:tcBorders>
          </w:tcPr>
          <w:p>
            <w:pPr>
              <w:pStyle w:val="TableParagraph"/>
              <w:spacing w:line="260" w:lineRule="exact"/>
              <w:rPr>
                <w:b/>
                <w:sz w:val="21"/>
              </w:rPr>
            </w:pPr>
            <w:r>
              <w:rPr>
                <w:b/>
                <w:w w:val="99"/>
                <w:sz w:val="21"/>
              </w:rPr>
              <w:t>一</w:t>
            </w:r>
          </w:p>
        </w:tc>
        <w:tc>
          <w:tcPr>
            <w:tcW w:w="1931" w:type="dxa"/>
            <w:tcBorders>
              <w:bottom w:val="nil"/>
            </w:tcBorders>
          </w:tcPr>
          <w:p>
            <w:pPr>
              <w:pStyle w:val="TableParagraph"/>
              <w:spacing w:line="260" w:lineRule="exact"/>
              <w:rPr>
                <w:b/>
                <w:sz w:val="21"/>
              </w:rPr>
            </w:pPr>
            <w:r>
              <w:rPr>
                <w:b/>
                <w:w w:val="95"/>
                <w:sz w:val="21"/>
              </w:rPr>
              <w:t>极早期恶性肿瘤或</w:t>
            </w:r>
          </w:p>
        </w:tc>
        <w:tc>
          <w:tcPr>
            <w:tcW w:w="7307" w:type="dxa"/>
            <w:tcBorders>
              <w:bottom w:val="nil"/>
            </w:tcBorders>
          </w:tcPr>
          <w:p>
            <w:pPr>
              <w:pStyle w:val="TableParagraph"/>
              <w:spacing w:line="260" w:lineRule="exact"/>
              <w:rPr>
                <w:sz w:val="21"/>
              </w:rPr>
            </w:pPr>
            <w:r>
              <w:rPr>
                <w:sz w:val="21"/>
              </w:rPr>
              <w:t>指经组织病理学检查被明确诊断为下列恶性病变，并且接受了相应的治疗。</w:t>
            </w:r>
          </w:p>
        </w:tc>
      </w:tr>
      <w:tr>
        <w:trPr>
          <w:trHeight w:val="311" w:hRule="atLeast"/>
        </w:trPr>
        <w:tc>
          <w:tcPr>
            <w:tcW w:w="852" w:type="dxa"/>
            <w:tcBorders>
              <w:top w:val="nil"/>
              <w:bottom w:val="nil"/>
            </w:tcBorders>
          </w:tcPr>
          <w:p>
            <w:pPr>
              <w:pStyle w:val="TableParagraph"/>
              <w:ind w:left="0"/>
              <w:rPr>
                <w:rFonts w:ascii="Times New Roman"/>
                <w:sz w:val="20"/>
              </w:rPr>
            </w:pPr>
          </w:p>
        </w:tc>
        <w:tc>
          <w:tcPr>
            <w:tcW w:w="1931" w:type="dxa"/>
            <w:tcBorders>
              <w:top w:val="nil"/>
              <w:bottom w:val="nil"/>
            </w:tcBorders>
          </w:tcPr>
          <w:p>
            <w:pPr>
              <w:pStyle w:val="TableParagraph"/>
              <w:spacing w:line="261" w:lineRule="exact"/>
              <w:rPr>
                <w:b/>
                <w:sz w:val="21"/>
              </w:rPr>
            </w:pPr>
            <w:r>
              <w:rPr>
                <w:b/>
                <w:sz w:val="21"/>
              </w:rPr>
              <w:t>恶性病变</w:t>
            </w:r>
          </w:p>
        </w:tc>
        <w:tc>
          <w:tcPr>
            <w:tcW w:w="7307" w:type="dxa"/>
            <w:tcBorders>
              <w:top w:val="nil"/>
              <w:bottom w:val="nil"/>
            </w:tcBorders>
          </w:tcPr>
          <w:p>
            <w:pPr>
              <w:pStyle w:val="TableParagraph"/>
              <w:spacing w:line="261" w:lineRule="exact"/>
              <w:rPr>
                <w:sz w:val="21"/>
              </w:rPr>
            </w:pPr>
            <w:r>
              <w:rPr>
                <w:sz w:val="21"/>
              </w:rPr>
              <w:t>（1）原位癌*；</w:t>
            </w:r>
          </w:p>
        </w:tc>
      </w:tr>
      <w:tr>
        <w:trPr>
          <w:trHeight w:val="311" w:hRule="atLeast"/>
        </w:trPr>
        <w:tc>
          <w:tcPr>
            <w:tcW w:w="852" w:type="dxa"/>
            <w:tcBorders>
              <w:top w:val="nil"/>
              <w:bottom w:val="nil"/>
            </w:tcBorders>
          </w:tcPr>
          <w:p>
            <w:pPr>
              <w:pStyle w:val="TableParagraph"/>
              <w:ind w:left="0"/>
              <w:rPr>
                <w:rFonts w:ascii="Times New Roman"/>
                <w:sz w:val="20"/>
              </w:rPr>
            </w:pPr>
          </w:p>
        </w:tc>
        <w:tc>
          <w:tcPr>
            <w:tcW w:w="1931" w:type="dxa"/>
            <w:tcBorders>
              <w:top w:val="nil"/>
              <w:bottom w:val="nil"/>
            </w:tcBorders>
          </w:tcPr>
          <w:p>
            <w:pPr>
              <w:pStyle w:val="TableParagraph"/>
              <w:ind w:left="0"/>
              <w:rPr>
                <w:rFonts w:ascii="Times New Roman"/>
                <w:sz w:val="20"/>
              </w:rPr>
            </w:pPr>
          </w:p>
        </w:tc>
        <w:tc>
          <w:tcPr>
            <w:tcW w:w="7307" w:type="dxa"/>
            <w:tcBorders>
              <w:top w:val="nil"/>
              <w:bottom w:val="nil"/>
            </w:tcBorders>
          </w:tcPr>
          <w:p>
            <w:pPr>
              <w:pStyle w:val="TableParagraph"/>
              <w:spacing w:line="261" w:lineRule="exact"/>
              <w:rPr>
                <w:sz w:val="21"/>
              </w:rPr>
            </w:pPr>
            <w:r>
              <w:rPr>
                <w:sz w:val="21"/>
              </w:rPr>
              <w:t>（2）相当于Binet 分期方案 A 期程度的慢性淋巴细胞白血病；</w:t>
            </w:r>
          </w:p>
        </w:tc>
      </w:tr>
      <w:tr>
        <w:trPr>
          <w:trHeight w:val="311" w:hRule="atLeast"/>
        </w:trPr>
        <w:tc>
          <w:tcPr>
            <w:tcW w:w="852" w:type="dxa"/>
            <w:tcBorders>
              <w:top w:val="nil"/>
              <w:bottom w:val="nil"/>
            </w:tcBorders>
          </w:tcPr>
          <w:p>
            <w:pPr>
              <w:pStyle w:val="TableParagraph"/>
              <w:ind w:left="0"/>
              <w:rPr>
                <w:rFonts w:ascii="Times New Roman"/>
                <w:sz w:val="20"/>
              </w:rPr>
            </w:pPr>
          </w:p>
        </w:tc>
        <w:tc>
          <w:tcPr>
            <w:tcW w:w="1931" w:type="dxa"/>
            <w:tcBorders>
              <w:top w:val="nil"/>
              <w:bottom w:val="nil"/>
            </w:tcBorders>
          </w:tcPr>
          <w:p>
            <w:pPr>
              <w:pStyle w:val="TableParagraph"/>
              <w:ind w:left="0"/>
              <w:rPr>
                <w:rFonts w:ascii="Times New Roman"/>
                <w:sz w:val="20"/>
              </w:rPr>
            </w:pPr>
          </w:p>
        </w:tc>
        <w:tc>
          <w:tcPr>
            <w:tcW w:w="7307" w:type="dxa"/>
            <w:tcBorders>
              <w:top w:val="nil"/>
              <w:bottom w:val="nil"/>
            </w:tcBorders>
          </w:tcPr>
          <w:p>
            <w:pPr>
              <w:pStyle w:val="TableParagraph"/>
              <w:spacing w:line="261" w:lineRule="exact"/>
              <w:rPr>
                <w:sz w:val="21"/>
              </w:rPr>
            </w:pPr>
            <w:r>
              <w:rPr>
                <w:sz w:val="21"/>
              </w:rPr>
              <w:t>（3）相当于Ann Arbor 分期方案 I 期程度的何杰金氏病；</w:t>
            </w:r>
          </w:p>
        </w:tc>
      </w:tr>
      <w:tr>
        <w:trPr>
          <w:trHeight w:val="311" w:hRule="atLeast"/>
        </w:trPr>
        <w:tc>
          <w:tcPr>
            <w:tcW w:w="852" w:type="dxa"/>
            <w:tcBorders>
              <w:top w:val="nil"/>
              <w:bottom w:val="nil"/>
            </w:tcBorders>
          </w:tcPr>
          <w:p>
            <w:pPr>
              <w:pStyle w:val="TableParagraph"/>
              <w:ind w:left="0"/>
              <w:rPr>
                <w:rFonts w:ascii="Times New Roman"/>
                <w:sz w:val="20"/>
              </w:rPr>
            </w:pPr>
          </w:p>
        </w:tc>
        <w:tc>
          <w:tcPr>
            <w:tcW w:w="1931" w:type="dxa"/>
            <w:tcBorders>
              <w:top w:val="nil"/>
              <w:bottom w:val="nil"/>
            </w:tcBorders>
          </w:tcPr>
          <w:p>
            <w:pPr>
              <w:pStyle w:val="TableParagraph"/>
              <w:ind w:left="0"/>
              <w:rPr>
                <w:rFonts w:ascii="Times New Roman"/>
                <w:sz w:val="20"/>
              </w:rPr>
            </w:pPr>
          </w:p>
        </w:tc>
        <w:tc>
          <w:tcPr>
            <w:tcW w:w="7307" w:type="dxa"/>
            <w:tcBorders>
              <w:top w:val="nil"/>
              <w:bottom w:val="nil"/>
            </w:tcBorders>
          </w:tcPr>
          <w:p>
            <w:pPr>
              <w:pStyle w:val="TableParagraph"/>
              <w:spacing w:line="261" w:lineRule="exact"/>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tc>
      </w:tr>
      <w:tr>
        <w:trPr>
          <w:trHeight w:val="312" w:hRule="atLeast"/>
        </w:trPr>
        <w:tc>
          <w:tcPr>
            <w:tcW w:w="852" w:type="dxa"/>
            <w:tcBorders>
              <w:top w:val="nil"/>
              <w:bottom w:val="nil"/>
            </w:tcBorders>
          </w:tcPr>
          <w:p>
            <w:pPr>
              <w:pStyle w:val="TableParagraph"/>
              <w:ind w:left="0"/>
              <w:rPr>
                <w:rFonts w:ascii="Times New Roman"/>
                <w:sz w:val="20"/>
              </w:rPr>
            </w:pPr>
          </w:p>
        </w:tc>
        <w:tc>
          <w:tcPr>
            <w:tcW w:w="1931" w:type="dxa"/>
            <w:tcBorders>
              <w:top w:val="nil"/>
              <w:bottom w:val="nil"/>
            </w:tcBorders>
          </w:tcPr>
          <w:p>
            <w:pPr>
              <w:pStyle w:val="TableParagraph"/>
              <w:ind w:left="0"/>
              <w:rPr>
                <w:rFonts w:ascii="Times New Roman"/>
                <w:sz w:val="20"/>
              </w:rPr>
            </w:pPr>
          </w:p>
        </w:tc>
        <w:tc>
          <w:tcPr>
            <w:tcW w:w="7307" w:type="dxa"/>
            <w:tcBorders>
              <w:top w:val="nil"/>
              <w:bottom w:val="nil"/>
            </w:tcBorders>
          </w:tcPr>
          <w:p>
            <w:pPr>
              <w:pStyle w:val="TableParagraph"/>
              <w:spacing w:line="261" w:lineRule="exact"/>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311" w:hRule="atLeast"/>
        </w:trPr>
        <w:tc>
          <w:tcPr>
            <w:tcW w:w="852" w:type="dxa"/>
            <w:tcBorders>
              <w:top w:val="nil"/>
              <w:bottom w:val="nil"/>
            </w:tcBorders>
          </w:tcPr>
          <w:p>
            <w:pPr>
              <w:pStyle w:val="TableParagraph"/>
              <w:ind w:left="0"/>
              <w:rPr>
                <w:rFonts w:ascii="Times New Roman"/>
                <w:sz w:val="20"/>
              </w:rPr>
            </w:pPr>
          </w:p>
        </w:tc>
        <w:tc>
          <w:tcPr>
            <w:tcW w:w="1931" w:type="dxa"/>
            <w:tcBorders>
              <w:top w:val="nil"/>
              <w:bottom w:val="nil"/>
            </w:tcBorders>
          </w:tcPr>
          <w:p>
            <w:pPr>
              <w:pStyle w:val="TableParagraph"/>
              <w:ind w:left="0"/>
              <w:rPr>
                <w:rFonts w:ascii="Times New Roman"/>
                <w:sz w:val="20"/>
              </w:rPr>
            </w:pPr>
          </w:p>
        </w:tc>
        <w:tc>
          <w:tcPr>
            <w:tcW w:w="7307" w:type="dxa"/>
            <w:tcBorders>
              <w:top w:val="nil"/>
              <w:bottom w:val="nil"/>
            </w:tcBorders>
          </w:tcPr>
          <w:p>
            <w:pPr>
              <w:pStyle w:val="TableParagraph"/>
              <w:spacing w:line="261" w:lineRule="exact"/>
              <w:rPr>
                <w:sz w:val="21"/>
              </w:rPr>
            </w:pPr>
            <w:r>
              <w:rPr>
                <w:sz w:val="21"/>
              </w:rPr>
              <w:t>* 原位癌：指恶性细胞局限于上皮内尚未穿破基底膜浸润周围正常组织的癌细</w:t>
            </w:r>
          </w:p>
        </w:tc>
      </w:tr>
      <w:tr>
        <w:trPr>
          <w:trHeight w:val="311" w:hRule="atLeast"/>
        </w:trPr>
        <w:tc>
          <w:tcPr>
            <w:tcW w:w="852" w:type="dxa"/>
            <w:tcBorders>
              <w:top w:val="nil"/>
              <w:bottom w:val="nil"/>
            </w:tcBorders>
          </w:tcPr>
          <w:p>
            <w:pPr>
              <w:pStyle w:val="TableParagraph"/>
              <w:ind w:left="0"/>
              <w:rPr>
                <w:rFonts w:ascii="Times New Roman"/>
                <w:sz w:val="20"/>
              </w:rPr>
            </w:pPr>
          </w:p>
        </w:tc>
        <w:tc>
          <w:tcPr>
            <w:tcW w:w="1931" w:type="dxa"/>
            <w:tcBorders>
              <w:top w:val="nil"/>
              <w:bottom w:val="nil"/>
            </w:tcBorders>
          </w:tcPr>
          <w:p>
            <w:pPr>
              <w:pStyle w:val="TableParagraph"/>
              <w:ind w:left="0"/>
              <w:rPr>
                <w:rFonts w:ascii="Times New Roman"/>
                <w:sz w:val="20"/>
              </w:rPr>
            </w:pPr>
          </w:p>
        </w:tc>
        <w:tc>
          <w:tcPr>
            <w:tcW w:w="7307" w:type="dxa"/>
            <w:tcBorders>
              <w:top w:val="nil"/>
              <w:bottom w:val="nil"/>
            </w:tcBorders>
          </w:tcPr>
          <w:p>
            <w:pPr>
              <w:pStyle w:val="TableParagraph"/>
              <w:spacing w:line="261" w:lineRule="exact"/>
              <w:rPr>
                <w:sz w:val="21"/>
              </w:rPr>
            </w:pPr>
            <w:r>
              <w:rPr>
                <w:sz w:val="21"/>
              </w:rPr>
              <w:t>胞新生物。原位癌必须经对固定活组织的组织病理学检查明确诊断。被保险人</w:t>
            </w:r>
          </w:p>
        </w:tc>
      </w:tr>
      <w:tr>
        <w:trPr>
          <w:trHeight w:val="312" w:hRule="atLeast"/>
        </w:trPr>
        <w:tc>
          <w:tcPr>
            <w:tcW w:w="852" w:type="dxa"/>
            <w:tcBorders>
              <w:top w:val="nil"/>
            </w:tcBorders>
          </w:tcPr>
          <w:p>
            <w:pPr>
              <w:pStyle w:val="TableParagraph"/>
              <w:ind w:left="0"/>
              <w:rPr>
                <w:rFonts w:ascii="Times New Roman"/>
                <w:sz w:val="20"/>
              </w:rPr>
            </w:pPr>
          </w:p>
        </w:tc>
        <w:tc>
          <w:tcPr>
            <w:tcW w:w="1931" w:type="dxa"/>
            <w:tcBorders>
              <w:top w:val="nil"/>
            </w:tcBorders>
          </w:tcPr>
          <w:p>
            <w:pPr>
              <w:pStyle w:val="TableParagraph"/>
              <w:ind w:left="0"/>
              <w:rPr>
                <w:rFonts w:ascii="Times New Roman"/>
                <w:sz w:val="20"/>
              </w:rPr>
            </w:pPr>
          </w:p>
        </w:tc>
        <w:tc>
          <w:tcPr>
            <w:tcW w:w="7307" w:type="dxa"/>
            <w:tcBorders>
              <w:top w:val="nil"/>
            </w:tcBorders>
          </w:tcPr>
          <w:p>
            <w:pPr>
              <w:pStyle w:val="TableParagraph"/>
              <w:spacing w:line="261" w:lineRule="exact"/>
              <w:rPr>
                <w:sz w:val="21"/>
              </w:rPr>
            </w:pPr>
            <w:r>
              <w:rPr>
                <w:sz w:val="21"/>
              </w:rPr>
              <w:t>必须已经在医院接受了针对原位癌病灶的治疗。</w:t>
            </w:r>
          </w:p>
        </w:tc>
      </w:tr>
      <w:tr>
        <w:trPr>
          <w:trHeight w:val="217"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247" w:hRule="atLeast"/>
        </w:trPr>
        <w:tc>
          <w:tcPr>
            <w:tcW w:w="852" w:type="dxa"/>
          </w:tcPr>
          <w:p>
            <w:pPr>
              <w:pStyle w:val="TableParagraph"/>
              <w:spacing w:line="260" w:lineRule="exact"/>
              <w:rPr>
                <w:b/>
                <w:sz w:val="21"/>
              </w:rPr>
            </w:pPr>
            <w:r>
              <w:rPr>
                <w:b/>
                <w:w w:val="99"/>
                <w:sz w:val="21"/>
              </w:rPr>
              <w:t>二</w:t>
            </w:r>
          </w:p>
        </w:tc>
        <w:tc>
          <w:tcPr>
            <w:tcW w:w="1931" w:type="dxa"/>
          </w:tcPr>
          <w:p>
            <w:pPr>
              <w:pStyle w:val="TableParagraph"/>
              <w:spacing w:line="260" w:lineRule="exact"/>
              <w:rPr>
                <w:b/>
                <w:sz w:val="21"/>
              </w:rPr>
            </w:pPr>
            <w:r>
              <w:rPr>
                <w:b/>
                <w:w w:val="95"/>
                <w:sz w:val="21"/>
              </w:rPr>
              <w:t>轻微脑中风</w:t>
            </w:r>
          </w:p>
        </w:tc>
        <w:tc>
          <w:tcPr>
            <w:tcW w:w="7307" w:type="dxa"/>
          </w:tcPr>
          <w:p>
            <w:pPr>
              <w:pStyle w:val="TableParagraph"/>
              <w:spacing w:line="260" w:lineRule="exact"/>
              <w:rPr>
                <w:sz w:val="21"/>
              </w:rPr>
            </w:pPr>
            <w:r>
              <w:rPr>
                <w:sz w:val="21"/>
              </w:rPr>
              <w:t>指实际发生了脑血管的突发病变，出现了神经系统功能障碍表现，并住院接受</w:t>
            </w:r>
          </w:p>
          <w:p>
            <w:pPr>
              <w:pStyle w:val="TableParagraph"/>
              <w:spacing w:line="273" w:lineRule="auto" w:before="37"/>
              <w:ind w:right="-15"/>
              <w:rPr>
                <w:sz w:val="21"/>
              </w:rPr>
            </w:pPr>
            <w:r>
              <w:rPr>
                <w:spacing w:val="-9"/>
                <w:sz w:val="21"/>
              </w:rPr>
              <w:t>治疗，头颅断层扫描</w:t>
            </w:r>
            <w:r>
              <w:rPr>
                <w:sz w:val="21"/>
              </w:rPr>
              <w:t>（CT</w:t>
            </w:r>
            <w:r>
              <w:rPr>
                <w:spacing w:val="-105"/>
                <w:sz w:val="21"/>
              </w:rPr>
              <w:t>）</w:t>
            </w:r>
            <w:r>
              <w:rPr>
                <w:spacing w:val="-14"/>
                <w:sz w:val="21"/>
              </w:rPr>
              <w:t>、核磁共振</w:t>
            </w:r>
            <w:r>
              <w:rPr>
                <w:sz w:val="21"/>
              </w:rPr>
              <w:t>（MRI</w:t>
            </w:r>
            <w:r>
              <w:rPr>
                <w:spacing w:val="-32"/>
                <w:sz w:val="21"/>
              </w:rPr>
              <w:t>）</w:t>
            </w:r>
            <w:r>
              <w:rPr>
                <w:spacing w:val="-1"/>
                <w:sz w:val="21"/>
              </w:rPr>
              <w:t>等影像学检查证实存在对应病灶，</w:t>
            </w:r>
            <w:r>
              <w:rPr>
                <w:spacing w:val="-10"/>
                <w:sz w:val="21"/>
              </w:rPr>
              <w:t>确诊为脑出血、脑栓塞或脑梗塞，在确诊 </w:t>
            </w:r>
            <w:r>
              <w:rPr>
                <w:sz w:val="21"/>
              </w:rPr>
              <w:t>180</w:t>
            </w:r>
            <w:r>
              <w:rPr>
                <w:spacing w:val="-8"/>
                <w:sz w:val="21"/>
              </w:rPr>
              <w:t> 天后神经系统功能障碍程度未达</w:t>
            </w:r>
            <w:r>
              <w:rPr>
                <w:spacing w:val="-1"/>
                <w:sz w:val="21"/>
              </w:rPr>
              <w:t>到重大疾病“脑中风后遗症”的给付标准。短暂性脑缺血发作</w:t>
            </w:r>
            <w:r>
              <w:rPr>
                <w:sz w:val="21"/>
              </w:rPr>
              <w:t>（TIA）和腔隙</w:t>
            </w:r>
          </w:p>
        </w:tc>
      </w:tr>
    </w:tbl>
    <w:p>
      <w:pPr>
        <w:spacing w:after="0" w:line="273" w:lineRule="auto"/>
        <w:rPr>
          <w:sz w:val="21"/>
        </w:rPr>
        <w:sectPr>
          <w:type w:val="continuous"/>
          <w:pgSz w:w="11910" w:h="16840"/>
          <w:pgMar w:top="520" w:bottom="280" w:left="800" w:right="78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1931"/>
        <w:gridCol w:w="7307"/>
      </w:tblGrid>
      <w:tr>
        <w:trPr>
          <w:trHeight w:val="311" w:hRule="atLeast"/>
        </w:trPr>
        <w:tc>
          <w:tcPr>
            <w:tcW w:w="852" w:type="dxa"/>
          </w:tcPr>
          <w:p>
            <w:pPr>
              <w:pStyle w:val="TableParagraph"/>
              <w:ind w:left="0"/>
              <w:rPr>
                <w:rFonts w:ascii="Times New Roman"/>
                <w:sz w:val="20"/>
              </w:rPr>
            </w:pPr>
          </w:p>
        </w:tc>
        <w:tc>
          <w:tcPr>
            <w:tcW w:w="1931" w:type="dxa"/>
          </w:tcPr>
          <w:p>
            <w:pPr>
              <w:pStyle w:val="TableParagraph"/>
              <w:ind w:left="0"/>
              <w:rPr>
                <w:rFonts w:ascii="Times New Roman"/>
                <w:sz w:val="20"/>
              </w:rPr>
            </w:pPr>
          </w:p>
        </w:tc>
        <w:tc>
          <w:tcPr>
            <w:tcW w:w="7307" w:type="dxa"/>
          </w:tcPr>
          <w:p>
            <w:pPr>
              <w:pStyle w:val="TableParagraph"/>
              <w:spacing w:line="254" w:lineRule="exact"/>
              <w:rPr>
                <w:sz w:val="21"/>
              </w:rPr>
            </w:pPr>
            <w:r>
              <w:rPr>
                <w:sz w:val="21"/>
              </w:rPr>
              <w:t>性脑梗塞不在保障范围。</w:t>
            </w:r>
          </w:p>
        </w:tc>
      </w:tr>
      <w:tr>
        <w:trPr>
          <w:trHeight w:val="216"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248" w:hRule="atLeast"/>
        </w:trPr>
        <w:tc>
          <w:tcPr>
            <w:tcW w:w="852" w:type="dxa"/>
          </w:tcPr>
          <w:p>
            <w:pPr>
              <w:pStyle w:val="TableParagraph"/>
              <w:spacing w:line="255" w:lineRule="exact"/>
              <w:rPr>
                <w:b/>
                <w:sz w:val="21"/>
              </w:rPr>
            </w:pPr>
            <w:r>
              <w:rPr>
                <w:b/>
                <w:w w:val="99"/>
                <w:sz w:val="21"/>
              </w:rPr>
              <w:t>三</w:t>
            </w:r>
          </w:p>
        </w:tc>
        <w:tc>
          <w:tcPr>
            <w:tcW w:w="1931" w:type="dxa"/>
          </w:tcPr>
          <w:p>
            <w:pPr>
              <w:pStyle w:val="TableParagraph"/>
              <w:spacing w:line="255" w:lineRule="exact"/>
              <w:rPr>
                <w:b/>
                <w:sz w:val="21"/>
              </w:rPr>
            </w:pPr>
            <w:r>
              <w:rPr>
                <w:b/>
                <w:w w:val="95"/>
                <w:sz w:val="21"/>
              </w:rPr>
              <w:t>不典型心肌梗塞</w:t>
            </w:r>
          </w:p>
        </w:tc>
        <w:tc>
          <w:tcPr>
            <w:tcW w:w="7307" w:type="dxa"/>
          </w:tcPr>
          <w:p>
            <w:pPr>
              <w:pStyle w:val="TableParagraph"/>
              <w:spacing w:line="255" w:lineRule="exact"/>
              <w:rPr>
                <w:sz w:val="21"/>
              </w:rPr>
            </w:pPr>
            <w:r>
              <w:rPr>
                <w:sz w:val="21"/>
              </w:rPr>
              <w:t>指被临床诊断为急性心肌梗塞并接受了急性心肌梗塞治疗虽然未达到重大疾</w:t>
            </w:r>
          </w:p>
          <w:p>
            <w:pPr>
              <w:pStyle w:val="TableParagraph"/>
              <w:spacing w:before="37"/>
              <w:rPr>
                <w:sz w:val="21"/>
              </w:rPr>
            </w:pPr>
            <w:r>
              <w:rPr>
                <w:sz w:val="21"/>
              </w:rPr>
              <w:t>病“急性心肌梗塞”的给付标准，但满足下列全部条件：</w:t>
            </w:r>
          </w:p>
          <w:p>
            <w:pPr>
              <w:pStyle w:val="TableParagraph"/>
              <w:spacing w:before="37"/>
              <w:rPr>
                <w:sz w:val="21"/>
              </w:rPr>
            </w:pPr>
            <w:r>
              <w:rPr>
                <w:sz w:val="21"/>
              </w:rPr>
              <w:t>（1）肌钙蛋白有诊断意义的升高；</w:t>
            </w:r>
          </w:p>
          <w:p>
            <w:pPr>
              <w:pStyle w:val="TableParagraph"/>
              <w:spacing w:before="37"/>
              <w:rPr>
                <w:sz w:val="21"/>
              </w:rPr>
            </w:pPr>
            <w:r>
              <w:rPr>
                <w:sz w:val="21"/>
              </w:rPr>
              <w:t>（2）心电图有损伤性的 ST 段改变但未出现病理 Q 波。</w:t>
            </w:r>
          </w:p>
        </w:tc>
      </w:tr>
      <w:tr>
        <w:trPr>
          <w:trHeight w:val="216"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2183" w:hRule="atLeast"/>
        </w:trPr>
        <w:tc>
          <w:tcPr>
            <w:tcW w:w="852" w:type="dxa"/>
          </w:tcPr>
          <w:p>
            <w:pPr>
              <w:pStyle w:val="TableParagraph"/>
              <w:spacing w:line="254" w:lineRule="exact"/>
              <w:rPr>
                <w:b/>
                <w:sz w:val="21"/>
              </w:rPr>
            </w:pPr>
            <w:r>
              <w:rPr>
                <w:b/>
                <w:w w:val="99"/>
                <w:sz w:val="21"/>
              </w:rPr>
              <w:t>四</w:t>
            </w:r>
          </w:p>
        </w:tc>
        <w:tc>
          <w:tcPr>
            <w:tcW w:w="1931" w:type="dxa"/>
          </w:tcPr>
          <w:p>
            <w:pPr>
              <w:pStyle w:val="TableParagraph"/>
              <w:spacing w:line="254" w:lineRule="exact"/>
              <w:rPr>
                <w:b/>
                <w:sz w:val="21"/>
              </w:rPr>
            </w:pPr>
            <w:r>
              <w:rPr>
                <w:b/>
                <w:w w:val="95"/>
                <w:sz w:val="21"/>
              </w:rPr>
              <w:t>视力严重受损</w:t>
            </w:r>
          </w:p>
        </w:tc>
        <w:tc>
          <w:tcPr>
            <w:tcW w:w="7307" w:type="dxa"/>
          </w:tcPr>
          <w:p>
            <w:pPr>
              <w:pStyle w:val="TableParagraph"/>
              <w:spacing w:line="254" w:lineRule="exact"/>
              <w:rPr>
                <w:sz w:val="21"/>
              </w:rPr>
            </w:pPr>
            <w:r>
              <w:rPr>
                <w:sz w:val="21"/>
              </w:rPr>
              <w:t>指因疾病或意外伤害导致双目视力</w:t>
            </w:r>
            <w:r>
              <w:rPr>
                <w:b/>
                <w:sz w:val="21"/>
              </w:rPr>
              <w:t>永久不可逆</w:t>
            </w:r>
            <w:r>
              <w:rPr>
                <w:sz w:val="21"/>
              </w:rPr>
              <w:t>（见附录二注 4）性丧失，虽然</w:t>
            </w:r>
          </w:p>
          <w:p>
            <w:pPr>
              <w:pStyle w:val="TableParagraph"/>
              <w:spacing w:before="37"/>
              <w:rPr>
                <w:sz w:val="21"/>
              </w:rPr>
            </w:pPr>
            <w:r>
              <w:rPr>
                <w:sz w:val="21"/>
              </w:rPr>
              <w:t>未达到重大疾病“双目失明”的给付标准，但满足下列全部条件：</w:t>
            </w:r>
          </w:p>
          <w:p>
            <w:pPr>
              <w:pStyle w:val="TableParagraph"/>
              <w:spacing w:line="273" w:lineRule="auto" w:before="37"/>
              <w:ind w:left="633" w:right="99" w:hanging="526"/>
              <w:rPr>
                <w:sz w:val="21"/>
              </w:rPr>
            </w:pPr>
            <w:r>
              <w:rPr>
                <w:spacing w:val="-12"/>
                <w:sz w:val="21"/>
              </w:rPr>
              <w:t>（1）</w:t>
            </w:r>
            <w:r>
              <w:rPr>
                <w:spacing w:val="-5"/>
                <w:sz w:val="21"/>
              </w:rPr>
              <w:t>双眼中较好眼矫正视力低于 </w:t>
            </w:r>
            <w:r>
              <w:rPr>
                <w:spacing w:val="-9"/>
                <w:sz w:val="21"/>
              </w:rPr>
              <w:t>0.1（</w:t>
            </w:r>
            <w:r>
              <w:rPr>
                <w:spacing w:val="-4"/>
                <w:sz w:val="21"/>
              </w:rPr>
              <w:t>采用国际标准视力表，如果使用其他视力表应进行换算</w:t>
            </w:r>
            <w:r>
              <w:rPr>
                <w:spacing w:val="-105"/>
                <w:sz w:val="21"/>
              </w:rPr>
              <w:t>）</w:t>
            </w:r>
            <w:r>
              <w:rPr>
                <w:sz w:val="21"/>
              </w:rPr>
              <w:t>；</w:t>
            </w:r>
          </w:p>
          <w:p>
            <w:pPr>
              <w:pStyle w:val="TableParagraph"/>
              <w:spacing w:before="7"/>
              <w:rPr>
                <w:sz w:val="21"/>
              </w:rPr>
            </w:pPr>
            <w:r>
              <w:rPr>
                <w:sz w:val="21"/>
              </w:rPr>
              <w:t>（2）双眼中较好眼视野半径小于 20 度。</w:t>
            </w:r>
          </w:p>
          <w:p>
            <w:pPr>
              <w:pStyle w:val="TableParagraph"/>
              <w:spacing w:line="237" w:lineRule="auto" w:before="15"/>
              <w:ind w:right="198"/>
              <w:rPr>
                <w:b/>
                <w:sz w:val="24"/>
              </w:rPr>
            </w:pPr>
            <w:r>
              <w:rPr>
                <w:b/>
                <w:spacing w:val="-5"/>
                <w:sz w:val="24"/>
              </w:rPr>
              <w:t>被保险人申请理赔时年龄必须在 </w:t>
            </w:r>
            <w:r>
              <w:rPr>
                <w:b/>
                <w:sz w:val="24"/>
              </w:rPr>
              <w:t>3</w:t>
            </w:r>
            <w:r>
              <w:rPr>
                <w:b/>
                <w:spacing w:val="-8"/>
                <w:sz w:val="24"/>
              </w:rPr>
              <w:t> 周岁以上，并且提供理赔当时的视力丧失诊断及检查证据。</w:t>
            </w:r>
          </w:p>
        </w:tc>
      </w:tr>
      <w:tr>
        <w:trPr>
          <w:trHeight w:val="216"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624" w:hRule="atLeast"/>
        </w:trPr>
        <w:tc>
          <w:tcPr>
            <w:tcW w:w="852" w:type="dxa"/>
          </w:tcPr>
          <w:p>
            <w:pPr>
              <w:pStyle w:val="TableParagraph"/>
              <w:spacing w:line="255" w:lineRule="exact"/>
              <w:rPr>
                <w:b/>
                <w:sz w:val="21"/>
              </w:rPr>
            </w:pPr>
            <w:r>
              <w:rPr>
                <w:b/>
                <w:w w:val="99"/>
                <w:sz w:val="21"/>
              </w:rPr>
              <w:t>五</w:t>
            </w:r>
          </w:p>
        </w:tc>
        <w:tc>
          <w:tcPr>
            <w:tcW w:w="1931" w:type="dxa"/>
          </w:tcPr>
          <w:p>
            <w:pPr>
              <w:pStyle w:val="TableParagraph"/>
              <w:spacing w:line="255" w:lineRule="exact"/>
              <w:rPr>
                <w:b/>
                <w:sz w:val="21"/>
              </w:rPr>
            </w:pPr>
            <w:r>
              <w:rPr>
                <w:b/>
                <w:w w:val="95"/>
                <w:sz w:val="21"/>
              </w:rPr>
              <w:t>心脏瓣膜介入手术</w:t>
            </w:r>
          </w:p>
          <w:p>
            <w:pPr>
              <w:pStyle w:val="TableParagraph"/>
              <w:spacing w:before="37"/>
              <w:rPr>
                <w:b/>
                <w:sz w:val="21"/>
              </w:rPr>
            </w:pPr>
            <w:r>
              <w:rPr>
                <w:b/>
                <w:w w:val="95"/>
                <w:sz w:val="21"/>
              </w:rPr>
              <w:t>（非开胸手术）</w:t>
            </w:r>
          </w:p>
        </w:tc>
        <w:tc>
          <w:tcPr>
            <w:tcW w:w="7307" w:type="dxa"/>
          </w:tcPr>
          <w:p>
            <w:pPr>
              <w:pStyle w:val="TableParagraph"/>
              <w:spacing w:line="255" w:lineRule="exact"/>
              <w:rPr>
                <w:sz w:val="21"/>
              </w:rPr>
            </w:pPr>
            <w:r>
              <w:rPr>
                <w:sz w:val="21"/>
              </w:rPr>
              <w:t>为了治疗心脏瓣膜疾病，实际实施了非开胸的经胸壁打孔内镜手术或经皮经导</w:t>
            </w:r>
          </w:p>
          <w:p>
            <w:pPr>
              <w:pStyle w:val="TableParagraph"/>
              <w:spacing w:before="37"/>
              <w:rPr>
                <w:sz w:val="21"/>
              </w:rPr>
            </w:pPr>
            <w:r>
              <w:rPr>
                <w:sz w:val="21"/>
              </w:rPr>
              <w:t>管介入手术进行的心脏瓣膜置换或修复手术。</w:t>
            </w:r>
          </w:p>
        </w:tc>
      </w:tr>
      <w:tr>
        <w:trPr>
          <w:trHeight w:val="216"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623" w:hRule="atLeast"/>
        </w:trPr>
        <w:tc>
          <w:tcPr>
            <w:tcW w:w="852" w:type="dxa"/>
          </w:tcPr>
          <w:p>
            <w:pPr>
              <w:pStyle w:val="TableParagraph"/>
              <w:spacing w:line="254" w:lineRule="exact"/>
              <w:rPr>
                <w:b/>
                <w:sz w:val="21"/>
              </w:rPr>
            </w:pPr>
            <w:r>
              <w:rPr>
                <w:b/>
                <w:w w:val="99"/>
                <w:sz w:val="21"/>
              </w:rPr>
              <w:t>六</w:t>
            </w:r>
          </w:p>
        </w:tc>
        <w:tc>
          <w:tcPr>
            <w:tcW w:w="1931" w:type="dxa"/>
          </w:tcPr>
          <w:p>
            <w:pPr>
              <w:pStyle w:val="TableParagraph"/>
              <w:spacing w:line="254" w:lineRule="exact"/>
              <w:rPr>
                <w:b/>
                <w:sz w:val="21"/>
              </w:rPr>
            </w:pPr>
            <w:r>
              <w:rPr>
                <w:b/>
                <w:sz w:val="21"/>
              </w:rPr>
              <w:t>较小面积III 度烧</w:t>
            </w:r>
          </w:p>
          <w:p>
            <w:pPr>
              <w:pStyle w:val="TableParagraph"/>
              <w:spacing w:before="37"/>
              <w:rPr>
                <w:b/>
                <w:sz w:val="21"/>
              </w:rPr>
            </w:pPr>
            <w:r>
              <w:rPr>
                <w:b/>
                <w:w w:val="99"/>
                <w:sz w:val="21"/>
              </w:rPr>
              <w:t>伤</w:t>
            </w:r>
          </w:p>
        </w:tc>
        <w:tc>
          <w:tcPr>
            <w:tcW w:w="7307" w:type="dxa"/>
          </w:tcPr>
          <w:p>
            <w:pPr>
              <w:pStyle w:val="TableParagraph"/>
              <w:spacing w:line="254" w:lineRule="exact"/>
              <w:rPr>
                <w:sz w:val="21"/>
              </w:rPr>
            </w:pPr>
            <w:r>
              <w:rPr>
                <w:spacing w:val="-2"/>
                <w:sz w:val="21"/>
              </w:rPr>
              <w:t>指烧伤程度为Ⅲ度，且Ⅲ度烧伤的面积达到全身体表面积的 </w:t>
            </w:r>
            <w:r>
              <w:rPr>
                <w:sz w:val="21"/>
              </w:rPr>
              <w:t>10％</w:t>
            </w:r>
            <w:r>
              <w:rPr>
                <w:spacing w:val="-14"/>
                <w:sz w:val="21"/>
              </w:rPr>
              <w:t>但少于 </w:t>
            </w:r>
            <w:r>
              <w:rPr>
                <w:sz w:val="21"/>
              </w:rPr>
              <w:t>20%。</w:t>
            </w:r>
          </w:p>
          <w:p>
            <w:pPr>
              <w:pStyle w:val="TableParagraph"/>
              <w:spacing w:before="37"/>
              <w:rPr>
                <w:sz w:val="21"/>
              </w:rPr>
            </w:pPr>
            <w:r>
              <w:rPr>
                <w:sz w:val="21"/>
              </w:rPr>
              <w:t>体表面积根据《中国新九分法》计算。</w:t>
            </w:r>
          </w:p>
        </w:tc>
      </w:tr>
      <w:tr>
        <w:trPr>
          <w:trHeight w:val="216"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560" w:hRule="atLeast"/>
        </w:trPr>
        <w:tc>
          <w:tcPr>
            <w:tcW w:w="852" w:type="dxa"/>
          </w:tcPr>
          <w:p>
            <w:pPr>
              <w:pStyle w:val="TableParagraph"/>
              <w:spacing w:line="255" w:lineRule="exact"/>
              <w:rPr>
                <w:b/>
                <w:sz w:val="21"/>
              </w:rPr>
            </w:pPr>
            <w:r>
              <w:rPr>
                <w:b/>
                <w:w w:val="99"/>
                <w:sz w:val="21"/>
              </w:rPr>
              <w:t>七</w:t>
            </w:r>
          </w:p>
        </w:tc>
        <w:tc>
          <w:tcPr>
            <w:tcW w:w="1931" w:type="dxa"/>
          </w:tcPr>
          <w:p>
            <w:pPr>
              <w:pStyle w:val="TableParagraph"/>
              <w:spacing w:line="255" w:lineRule="exact"/>
              <w:rPr>
                <w:b/>
                <w:sz w:val="21"/>
              </w:rPr>
            </w:pPr>
            <w:r>
              <w:rPr>
                <w:b/>
                <w:w w:val="95"/>
                <w:sz w:val="21"/>
              </w:rPr>
              <w:t>重度头部外伤</w:t>
            </w:r>
          </w:p>
        </w:tc>
        <w:tc>
          <w:tcPr>
            <w:tcW w:w="7307" w:type="dxa"/>
          </w:tcPr>
          <w:p>
            <w:pPr>
              <w:pStyle w:val="TableParagraph"/>
              <w:spacing w:line="255" w:lineRule="exact"/>
              <w:rPr>
                <w:sz w:val="21"/>
              </w:rPr>
            </w:pPr>
            <w:r>
              <w:rPr>
                <w:sz w:val="21"/>
              </w:rPr>
              <w:t>指因头部遭受机械性外力，引起脑重要部位损伤，导致神经系统永久性的功能</w:t>
            </w:r>
          </w:p>
          <w:p>
            <w:pPr>
              <w:pStyle w:val="TableParagraph"/>
              <w:spacing w:line="273" w:lineRule="auto" w:before="37"/>
              <w:ind w:right="-15" w:hanging="1"/>
              <w:rPr>
                <w:sz w:val="21"/>
              </w:rPr>
            </w:pPr>
            <w:r>
              <w:rPr>
                <w:spacing w:val="-17"/>
                <w:sz w:val="21"/>
              </w:rPr>
              <w:t>障碍。须由颅断层扫描</w:t>
            </w:r>
            <w:r>
              <w:rPr>
                <w:spacing w:val="-1"/>
                <w:sz w:val="21"/>
              </w:rPr>
              <w:t>（CT</w:t>
            </w:r>
            <w:r>
              <w:rPr>
                <w:spacing w:val="-104"/>
                <w:sz w:val="21"/>
              </w:rPr>
              <w:t>）</w:t>
            </w:r>
            <w:r>
              <w:rPr>
                <w:spacing w:val="-24"/>
                <w:sz w:val="21"/>
              </w:rPr>
              <w:t>、核磁共振检查</w:t>
            </w:r>
            <w:r>
              <w:rPr>
                <w:sz w:val="21"/>
              </w:rPr>
              <w:t>（MRI</w:t>
            </w:r>
            <w:r>
              <w:rPr>
                <w:spacing w:val="-78"/>
                <w:sz w:val="21"/>
              </w:rPr>
              <w:t>）</w:t>
            </w:r>
            <w:r>
              <w:rPr>
                <w:spacing w:val="-9"/>
                <w:sz w:val="21"/>
              </w:rPr>
              <w:t>或正电子发射断层扫描</w:t>
            </w:r>
            <w:r>
              <w:rPr>
                <w:sz w:val="21"/>
              </w:rPr>
              <w:t>（PET）</w:t>
            </w:r>
            <w:r>
              <w:rPr>
                <w:spacing w:val="-5"/>
                <w:sz w:val="21"/>
              </w:rPr>
              <w:t>等影像学检查证实。神经系统永久性的功能障碍，指脑损伤 </w:t>
            </w:r>
            <w:r>
              <w:rPr>
                <w:sz w:val="21"/>
              </w:rPr>
              <w:t>180</w:t>
            </w:r>
            <w:r>
              <w:rPr>
                <w:spacing w:val="-12"/>
                <w:sz w:val="21"/>
              </w:rPr>
              <w:t> 天后，仍完全</w:t>
            </w:r>
            <w:r>
              <w:rPr>
                <w:spacing w:val="-10"/>
                <w:sz w:val="21"/>
              </w:rPr>
              <w:t>丧失自主生活能力，无法独立完成</w:t>
            </w:r>
            <w:r>
              <w:rPr>
                <w:b/>
                <w:spacing w:val="-1"/>
                <w:sz w:val="21"/>
              </w:rPr>
              <w:t>六项基本日常生活活动</w:t>
            </w:r>
            <w:r>
              <w:rPr>
                <w:sz w:val="21"/>
              </w:rPr>
              <w:t>（</w:t>
            </w:r>
            <w:r>
              <w:rPr>
                <w:spacing w:val="-10"/>
                <w:sz w:val="21"/>
              </w:rPr>
              <w:t>见附录二注 </w:t>
            </w:r>
            <w:r>
              <w:rPr>
                <w:sz w:val="21"/>
              </w:rPr>
              <w:t>1）中的二项或以上。</w:t>
            </w:r>
          </w:p>
        </w:tc>
      </w:tr>
      <w:tr>
        <w:trPr>
          <w:trHeight w:val="216"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559" w:hRule="atLeast"/>
        </w:trPr>
        <w:tc>
          <w:tcPr>
            <w:tcW w:w="852" w:type="dxa"/>
          </w:tcPr>
          <w:p>
            <w:pPr>
              <w:pStyle w:val="TableParagraph"/>
              <w:spacing w:line="254" w:lineRule="exact"/>
              <w:rPr>
                <w:b/>
                <w:sz w:val="21"/>
              </w:rPr>
            </w:pPr>
            <w:r>
              <w:rPr>
                <w:b/>
                <w:w w:val="99"/>
                <w:sz w:val="21"/>
              </w:rPr>
              <w:t>八</w:t>
            </w:r>
          </w:p>
        </w:tc>
        <w:tc>
          <w:tcPr>
            <w:tcW w:w="1931" w:type="dxa"/>
          </w:tcPr>
          <w:p>
            <w:pPr>
              <w:pStyle w:val="TableParagraph"/>
              <w:spacing w:line="254" w:lineRule="exact"/>
              <w:ind w:right="-15"/>
              <w:rPr>
                <w:b/>
                <w:sz w:val="21"/>
              </w:rPr>
            </w:pPr>
            <w:r>
              <w:rPr>
                <w:b/>
                <w:spacing w:val="-10"/>
                <w:w w:val="95"/>
                <w:sz w:val="21"/>
              </w:rPr>
              <w:t>脑垂体瘤、脑囊肿、</w:t>
            </w:r>
          </w:p>
          <w:p>
            <w:pPr>
              <w:pStyle w:val="TableParagraph"/>
              <w:spacing w:line="273" w:lineRule="auto" w:before="37"/>
              <w:ind w:right="124"/>
              <w:rPr>
                <w:b/>
                <w:sz w:val="21"/>
              </w:rPr>
            </w:pPr>
            <w:r>
              <w:rPr>
                <w:b/>
                <w:sz w:val="21"/>
              </w:rPr>
              <w:t>脑动脉瘤及脑血管瘤</w:t>
            </w:r>
          </w:p>
        </w:tc>
        <w:tc>
          <w:tcPr>
            <w:tcW w:w="7307" w:type="dxa"/>
          </w:tcPr>
          <w:p>
            <w:pPr>
              <w:pStyle w:val="TableParagraph"/>
              <w:spacing w:line="254" w:lineRule="exact"/>
              <w:rPr>
                <w:sz w:val="21"/>
              </w:rPr>
            </w:pPr>
            <w:r>
              <w:rPr>
                <w:spacing w:val="-3"/>
                <w:sz w:val="21"/>
              </w:rPr>
              <w:t>指经头颅断层扫描</w:t>
            </w:r>
            <w:r>
              <w:rPr>
                <w:spacing w:val="-1"/>
                <w:sz w:val="21"/>
              </w:rPr>
              <w:t>（CT</w:t>
            </w:r>
            <w:r>
              <w:rPr>
                <w:spacing w:val="-106"/>
                <w:sz w:val="21"/>
              </w:rPr>
              <w:t>）</w:t>
            </w:r>
            <w:r>
              <w:rPr>
                <w:spacing w:val="-5"/>
                <w:sz w:val="21"/>
              </w:rPr>
              <w:t>、核磁共振</w:t>
            </w:r>
            <w:r>
              <w:rPr>
                <w:sz w:val="21"/>
              </w:rPr>
              <w:t>（MRI</w:t>
            </w:r>
            <w:r>
              <w:rPr>
                <w:spacing w:val="-12"/>
                <w:sz w:val="21"/>
              </w:rPr>
              <w:t>）</w:t>
            </w:r>
            <w:r>
              <w:rPr>
                <w:spacing w:val="-1"/>
                <w:sz w:val="21"/>
              </w:rPr>
              <w:t>或其他影像学检查被确诊为下列病</w:t>
            </w:r>
          </w:p>
          <w:p>
            <w:pPr>
              <w:pStyle w:val="TableParagraph"/>
              <w:spacing w:before="37"/>
              <w:rPr>
                <w:sz w:val="21"/>
              </w:rPr>
            </w:pPr>
            <w:r>
              <w:rPr>
                <w:sz w:val="21"/>
              </w:rPr>
              <w:t>变，并实际接受了手术或放射治疗。</w:t>
            </w:r>
          </w:p>
          <w:p>
            <w:pPr>
              <w:pStyle w:val="TableParagraph"/>
              <w:spacing w:before="37"/>
              <w:rPr>
                <w:sz w:val="21"/>
              </w:rPr>
            </w:pPr>
            <w:r>
              <w:rPr>
                <w:sz w:val="21"/>
              </w:rPr>
              <w:t>（1）脑垂体瘤；</w:t>
            </w:r>
          </w:p>
          <w:p>
            <w:pPr>
              <w:pStyle w:val="TableParagraph"/>
              <w:spacing w:before="37"/>
              <w:rPr>
                <w:sz w:val="21"/>
              </w:rPr>
            </w:pPr>
            <w:r>
              <w:rPr>
                <w:sz w:val="21"/>
              </w:rPr>
              <w:t>（2）脑囊肿；</w:t>
            </w:r>
          </w:p>
          <w:p>
            <w:pPr>
              <w:pStyle w:val="TableParagraph"/>
              <w:spacing w:before="37"/>
              <w:rPr>
                <w:sz w:val="21"/>
              </w:rPr>
            </w:pPr>
            <w:r>
              <w:rPr>
                <w:sz w:val="21"/>
              </w:rPr>
              <w:t>（3）脑动脉瘤、脑血管瘤。</w:t>
            </w:r>
          </w:p>
        </w:tc>
      </w:tr>
      <w:tr>
        <w:trPr>
          <w:trHeight w:val="216"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624" w:hRule="atLeast"/>
        </w:trPr>
        <w:tc>
          <w:tcPr>
            <w:tcW w:w="852" w:type="dxa"/>
          </w:tcPr>
          <w:p>
            <w:pPr>
              <w:pStyle w:val="TableParagraph"/>
              <w:spacing w:line="255" w:lineRule="exact"/>
              <w:rPr>
                <w:b/>
                <w:sz w:val="21"/>
              </w:rPr>
            </w:pPr>
            <w:r>
              <w:rPr>
                <w:b/>
                <w:w w:val="99"/>
                <w:sz w:val="21"/>
              </w:rPr>
              <w:t>九</w:t>
            </w:r>
          </w:p>
        </w:tc>
        <w:tc>
          <w:tcPr>
            <w:tcW w:w="1931" w:type="dxa"/>
          </w:tcPr>
          <w:p>
            <w:pPr>
              <w:pStyle w:val="TableParagraph"/>
              <w:spacing w:line="255" w:lineRule="exact"/>
              <w:rPr>
                <w:b/>
                <w:sz w:val="21"/>
              </w:rPr>
            </w:pPr>
            <w:r>
              <w:rPr>
                <w:b/>
                <w:w w:val="95"/>
                <w:sz w:val="21"/>
              </w:rPr>
              <w:t>主动脉内手术（非</w:t>
            </w:r>
          </w:p>
          <w:p>
            <w:pPr>
              <w:pStyle w:val="TableParagraph"/>
              <w:spacing w:before="37"/>
              <w:rPr>
                <w:b/>
                <w:sz w:val="21"/>
              </w:rPr>
            </w:pPr>
            <w:r>
              <w:rPr>
                <w:b/>
                <w:w w:val="95"/>
                <w:sz w:val="21"/>
              </w:rPr>
              <w:t>开胸手术）</w:t>
            </w:r>
          </w:p>
        </w:tc>
        <w:tc>
          <w:tcPr>
            <w:tcW w:w="7307" w:type="dxa"/>
          </w:tcPr>
          <w:p>
            <w:pPr>
              <w:pStyle w:val="TableParagraph"/>
              <w:spacing w:line="255" w:lineRule="exact"/>
              <w:rPr>
                <w:sz w:val="21"/>
              </w:rPr>
            </w:pPr>
            <w:r>
              <w:rPr>
                <w:sz w:val="21"/>
              </w:rPr>
              <w:t>为了治疗主动脉疾病实际实施了经皮经导管进行的动脉内手术。主动脉指胸主</w:t>
            </w:r>
          </w:p>
          <w:p>
            <w:pPr>
              <w:pStyle w:val="TableParagraph"/>
              <w:spacing w:before="37"/>
              <w:rPr>
                <w:sz w:val="21"/>
              </w:rPr>
            </w:pPr>
            <w:r>
              <w:rPr>
                <w:sz w:val="21"/>
              </w:rPr>
              <w:t>动脉和腹主动脉，不包括胸主动脉和腹主动脉的分支血管。</w:t>
            </w:r>
          </w:p>
        </w:tc>
      </w:tr>
    </w:tbl>
    <w:p>
      <w:pPr>
        <w:pStyle w:val="BodyText"/>
        <w:spacing w:before="5"/>
        <w:rPr>
          <w:b/>
          <w:sz w:val="18"/>
        </w:rPr>
      </w:pPr>
    </w:p>
    <w:p>
      <w:pPr>
        <w:spacing w:before="26" w:after="37"/>
        <w:ind w:left="221" w:right="0" w:firstLine="0"/>
        <w:jc w:val="left"/>
        <w:rPr>
          <w:b/>
          <w:sz w:val="24"/>
        </w:rPr>
      </w:pPr>
      <w:r>
        <w:rPr>
          <w:b/>
          <w:sz w:val="24"/>
        </w:rPr>
        <w:t>附录二 第二类重大疾病列表</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1931"/>
        <w:gridCol w:w="7307"/>
      </w:tblGrid>
      <w:tr>
        <w:trPr>
          <w:trHeight w:val="3432" w:hRule="atLeast"/>
        </w:trPr>
        <w:tc>
          <w:tcPr>
            <w:tcW w:w="852" w:type="dxa"/>
          </w:tcPr>
          <w:p>
            <w:pPr>
              <w:pStyle w:val="TableParagraph"/>
              <w:spacing w:line="260" w:lineRule="exact"/>
              <w:rPr>
                <w:b/>
                <w:sz w:val="21"/>
              </w:rPr>
            </w:pPr>
            <w:r>
              <w:rPr>
                <w:b/>
                <w:w w:val="99"/>
                <w:sz w:val="21"/>
              </w:rPr>
              <w:t>一</w:t>
            </w:r>
          </w:p>
        </w:tc>
        <w:tc>
          <w:tcPr>
            <w:tcW w:w="1931" w:type="dxa"/>
          </w:tcPr>
          <w:p>
            <w:pPr>
              <w:pStyle w:val="TableParagraph"/>
              <w:spacing w:line="260" w:lineRule="exact"/>
              <w:rPr>
                <w:b/>
                <w:sz w:val="21"/>
              </w:rPr>
            </w:pPr>
            <w:r>
              <w:rPr>
                <w:b/>
                <w:sz w:val="21"/>
              </w:rPr>
              <w:t>恶性肿瘤</w:t>
            </w:r>
          </w:p>
        </w:tc>
        <w:tc>
          <w:tcPr>
            <w:tcW w:w="7307" w:type="dxa"/>
          </w:tcPr>
          <w:p>
            <w:pPr>
              <w:pStyle w:val="TableParagraph"/>
              <w:spacing w:line="260" w:lineRule="exact"/>
              <w:rPr>
                <w:sz w:val="21"/>
              </w:rPr>
            </w:pPr>
            <w:r>
              <w:rPr>
                <w:sz w:val="21"/>
              </w:rPr>
              <w:t>指恶性细胞不受控制的进行性增长和扩散，浸润和破坏周围正常组织，可以经</w:t>
            </w:r>
          </w:p>
          <w:p>
            <w:pPr>
              <w:pStyle w:val="TableParagraph"/>
              <w:spacing w:line="273" w:lineRule="auto" w:before="37"/>
              <w:ind w:right="97"/>
              <w:rPr>
                <w:sz w:val="21"/>
              </w:rPr>
            </w:pPr>
            <w:r>
              <w:rPr>
                <w:spacing w:val="-6"/>
                <w:sz w:val="21"/>
              </w:rPr>
              <w:t>血管、淋巴管和体腔扩散转移到身体其它部位的疾病。经病理学检查结果明确诊断，临床诊断属于世界卫生组织《疾病和有关健康问题的国际统计分类》</w:t>
            </w:r>
          </w:p>
          <w:p>
            <w:pPr>
              <w:pStyle w:val="TableParagraph"/>
              <w:spacing w:line="273" w:lineRule="auto" w:before="7"/>
              <w:ind w:right="4457"/>
              <w:rPr>
                <w:sz w:val="21"/>
              </w:rPr>
            </w:pPr>
            <w:r>
              <w:rPr>
                <w:sz w:val="21"/>
              </w:rPr>
              <w:t>（ICD-10）的恶性肿瘤范畴。下列疾病不在保障范围内：</w:t>
            </w:r>
          </w:p>
          <w:p>
            <w:pPr>
              <w:pStyle w:val="TableParagraph"/>
              <w:spacing w:before="7"/>
              <w:rPr>
                <w:sz w:val="21"/>
              </w:rPr>
            </w:pPr>
            <w:r>
              <w:rPr>
                <w:sz w:val="21"/>
              </w:rPr>
              <w:t>（1）原位癌；</w:t>
            </w:r>
          </w:p>
          <w:p>
            <w:pPr>
              <w:pStyle w:val="TableParagraph"/>
              <w:spacing w:before="37"/>
              <w:rPr>
                <w:sz w:val="21"/>
              </w:rPr>
            </w:pPr>
            <w:r>
              <w:rPr>
                <w:sz w:val="21"/>
              </w:rPr>
              <w:t>（2）相当于Binet 分期方案 A 期程度的慢性淋巴细胞白血病；</w:t>
            </w:r>
          </w:p>
          <w:p>
            <w:pPr>
              <w:pStyle w:val="TableParagraph"/>
              <w:spacing w:before="37"/>
              <w:rPr>
                <w:sz w:val="21"/>
              </w:rPr>
            </w:pPr>
            <w:r>
              <w:rPr>
                <w:sz w:val="21"/>
              </w:rPr>
              <w:t>（3）相当于Ann Arbor 分期方案 I 期程度的何杰金氏病；</w:t>
            </w:r>
          </w:p>
          <w:p>
            <w:pPr>
              <w:pStyle w:val="TableParagraph"/>
              <w:spacing w:before="37"/>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p>
            <w:pPr>
              <w:pStyle w:val="TableParagraph"/>
              <w:spacing w:before="37"/>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rPr>
                <w:sz w:val="21"/>
              </w:rPr>
            </w:pPr>
            <w:r>
              <w:rPr>
                <w:w w:val="95"/>
                <w:sz w:val="21"/>
              </w:rPr>
              <w:t>（6）</w:t>
            </w:r>
            <w:r>
              <w:rPr>
                <w:b/>
                <w:w w:val="95"/>
                <w:sz w:val="21"/>
              </w:rPr>
              <w:t>感染艾滋病病毒或患艾滋病</w:t>
            </w:r>
            <w:r>
              <w:rPr>
                <w:w w:val="95"/>
                <w:sz w:val="21"/>
              </w:rPr>
              <w:t>期间所患恶性肿瘤。</w:t>
            </w:r>
          </w:p>
        </w:tc>
      </w:tr>
    </w:tbl>
    <w:p>
      <w:pPr>
        <w:spacing w:after="0"/>
        <w:rPr>
          <w:sz w:val="21"/>
        </w:rPr>
        <w:sectPr>
          <w:pgSz w:w="11910" w:h="16840"/>
          <w:pgMar w:top="1140" w:bottom="280" w:left="800" w:right="78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1931"/>
        <w:gridCol w:w="7307"/>
      </w:tblGrid>
      <w:tr>
        <w:trPr>
          <w:trHeight w:val="216"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2183" w:hRule="atLeast"/>
        </w:trPr>
        <w:tc>
          <w:tcPr>
            <w:tcW w:w="852" w:type="dxa"/>
          </w:tcPr>
          <w:p>
            <w:pPr>
              <w:pStyle w:val="TableParagraph"/>
              <w:spacing w:line="255" w:lineRule="exact"/>
              <w:rPr>
                <w:b/>
                <w:sz w:val="21"/>
              </w:rPr>
            </w:pPr>
            <w:r>
              <w:rPr>
                <w:b/>
                <w:w w:val="99"/>
                <w:sz w:val="21"/>
              </w:rPr>
              <w:t>二</w:t>
            </w:r>
          </w:p>
        </w:tc>
        <w:tc>
          <w:tcPr>
            <w:tcW w:w="1931" w:type="dxa"/>
          </w:tcPr>
          <w:p>
            <w:pPr>
              <w:pStyle w:val="TableParagraph"/>
              <w:spacing w:line="255" w:lineRule="exact"/>
              <w:rPr>
                <w:b/>
                <w:sz w:val="21"/>
              </w:rPr>
            </w:pPr>
            <w:r>
              <w:rPr>
                <w:b/>
                <w:w w:val="95"/>
                <w:sz w:val="21"/>
              </w:rPr>
              <w:t>急性心肌梗塞</w:t>
            </w:r>
          </w:p>
        </w:tc>
        <w:tc>
          <w:tcPr>
            <w:tcW w:w="7307" w:type="dxa"/>
          </w:tcPr>
          <w:p>
            <w:pPr>
              <w:pStyle w:val="TableParagraph"/>
              <w:spacing w:line="255" w:lineRule="exact"/>
              <w:rPr>
                <w:sz w:val="21"/>
              </w:rPr>
            </w:pPr>
            <w:r>
              <w:rPr>
                <w:sz w:val="21"/>
              </w:rPr>
              <w:t>指因冠状动脉阻塞导致的相应区域供血不足造成部分心肌坏死。须满足下列至</w:t>
            </w:r>
          </w:p>
          <w:p>
            <w:pPr>
              <w:pStyle w:val="TableParagraph"/>
              <w:spacing w:before="36"/>
              <w:rPr>
                <w:sz w:val="21"/>
              </w:rPr>
            </w:pPr>
            <w:r>
              <w:rPr>
                <w:sz w:val="21"/>
              </w:rPr>
              <w:t>少三项条件：</w:t>
            </w:r>
          </w:p>
          <w:p>
            <w:pPr>
              <w:pStyle w:val="TableParagraph"/>
              <w:spacing w:before="37"/>
              <w:rPr>
                <w:sz w:val="21"/>
              </w:rPr>
            </w:pPr>
            <w:r>
              <w:rPr>
                <w:sz w:val="21"/>
              </w:rPr>
              <w:t>（1）典型临床表现，例如急性胸痛等；</w:t>
            </w:r>
          </w:p>
          <w:p>
            <w:pPr>
              <w:pStyle w:val="TableParagraph"/>
              <w:spacing w:before="37"/>
              <w:rPr>
                <w:sz w:val="21"/>
              </w:rPr>
            </w:pPr>
            <w:r>
              <w:rPr>
                <w:sz w:val="21"/>
              </w:rPr>
              <w:t>（2）新近的心电图改变提示急性心肌梗塞；</w:t>
            </w:r>
          </w:p>
          <w:p>
            <w:pPr>
              <w:pStyle w:val="TableParagraph"/>
              <w:spacing w:line="273" w:lineRule="auto" w:before="37"/>
              <w:ind w:left="633" w:right="152" w:hanging="526"/>
              <w:rPr>
                <w:sz w:val="21"/>
              </w:rPr>
            </w:pPr>
            <w:r>
              <w:rPr>
                <w:sz w:val="21"/>
              </w:rPr>
              <w:t>（3）心肌酶或肌钙蛋白有诊断意义的升高，或呈符合急性心肌梗塞的动态性变化；</w:t>
            </w:r>
          </w:p>
          <w:p>
            <w:pPr>
              <w:pStyle w:val="TableParagraph"/>
              <w:spacing w:before="7"/>
              <w:ind w:right="-15"/>
              <w:rPr>
                <w:sz w:val="21"/>
              </w:rPr>
            </w:pPr>
            <w:r>
              <w:rPr>
                <w:spacing w:val="-12"/>
                <w:sz w:val="21"/>
              </w:rPr>
              <w:t>（4）</w:t>
            </w:r>
            <w:r>
              <w:rPr>
                <w:spacing w:val="-19"/>
                <w:sz w:val="21"/>
              </w:rPr>
              <w:t>发病 </w:t>
            </w:r>
            <w:r>
              <w:rPr>
                <w:sz w:val="21"/>
              </w:rPr>
              <w:t>90</w:t>
            </w:r>
            <w:r>
              <w:rPr>
                <w:spacing w:val="-14"/>
                <w:sz w:val="21"/>
              </w:rPr>
              <w:t> 天后，经检查证实左心室功能降低，如左心室射血分数低于 </w:t>
            </w:r>
            <w:r>
              <w:rPr>
                <w:sz w:val="21"/>
              </w:rPr>
              <w:t>50%。</w:t>
            </w:r>
          </w:p>
        </w:tc>
      </w:tr>
      <w:tr>
        <w:trPr>
          <w:trHeight w:val="218"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2183" w:hRule="atLeast"/>
        </w:trPr>
        <w:tc>
          <w:tcPr>
            <w:tcW w:w="852" w:type="dxa"/>
          </w:tcPr>
          <w:p>
            <w:pPr>
              <w:pStyle w:val="TableParagraph"/>
              <w:spacing w:line="254" w:lineRule="exact"/>
              <w:rPr>
                <w:b/>
                <w:sz w:val="21"/>
              </w:rPr>
            </w:pPr>
            <w:r>
              <w:rPr>
                <w:b/>
                <w:w w:val="99"/>
                <w:sz w:val="21"/>
              </w:rPr>
              <w:t>三</w:t>
            </w:r>
          </w:p>
        </w:tc>
        <w:tc>
          <w:tcPr>
            <w:tcW w:w="1931" w:type="dxa"/>
          </w:tcPr>
          <w:p>
            <w:pPr>
              <w:pStyle w:val="TableParagraph"/>
              <w:spacing w:line="254" w:lineRule="exact"/>
              <w:rPr>
                <w:b/>
                <w:sz w:val="21"/>
              </w:rPr>
            </w:pPr>
            <w:r>
              <w:rPr>
                <w:b/>
                <w:w w:val="95"/>
                <w:sz w:val="21"/>
              </w:rPr>
              <w:t>脑中风后遗症</w:t>
            </w:r>
          </w:p>
        </w:tc>
        <w:tc>
          <w:tcPr>
            <w:tcW w:w="7307" w:type="dxa"/>
          </w:tcPr>
          <w:p>
            <w:pPr>
              <w:pStyle w:val="TableParagraph"/>
              <w:spacing w:line="254" w:lineRule="exact"/>
              <w:rPr>
                <w:sz w:val="21"/>
              </w:rPr>
            </w:pPr>
            <w:r>
              <w:rPr>
                <w:sz w:val="21"/>
              </w:rPr>
              <w:t>指因脑血管的突发病变引起脑血管出血、栓塞或梗塞，并导致神经系统永久性</w:t>
            </w:r>
          </w:p>
          <w:p>
            <w:pPr>
              <w:pStyle w:val="TableParagraph"/>
              <w:spacing w:line="273" w:lineRule="auto" w:before="37"/>
              <w:ind w:right="97"/>
              <w:rPr>
                <w:sz w:val="21"/>
              </w:rPr>
            </w:pPr>
            <w:r>
              <w:rPr>
                <w:spacing w:val="-6"/>
                <w:sz w:val="21"/>
              </w:rPr>
              <w:t>的功能障碍。神经系统永久性的功能障碍，指疾病确诊 </w:t>
            </w:r>
            <w:r>
              <w:rPr>
                <w:sz w:val="21"/>
              </w:rPr>
              <w:t>180</w:t>
            </w:r>
            <w:r>
              <w:rPr>
                <w:spacing w:val="-10"/>
                <w:sz w:val="21"/>
              </w:rPr>
              <w:t> 天后，仍遗留下列</w:t>
            </w:r>
            <w:r>
              <w:rPr>
                <w:spacing w:val="-1"/>
                <w:sz w:val="21"/>
              </w:rPr>
              <w:t>一种或一种以上障碍：</w:t>
            </w:r>
          </w:p>
          <w:p>
            <w:pPr>
              <w:pStyle w:val="TableParagraph"/>
              <w:spacing w:before="7"/>
              <w:rPr>
                <w:sz w:val="21"/>
              </w:rPr>
            </w:pPr>
            <w:r>
              <w:rPr>
                <w:sz w:val="21"/>
              </w:rPr>
              <w:t>（1）</w:t>
            </w:r>
            <w:r>
              <w:rPr>
                <w:spacing w:val="-1"/>
                <w:sz w:val="21"/>
              </w:rPr>
              <w:t>一肢或一肢以上</w:t>
            </w:r>
            <w:r>
              <w:rPr>
                <w:b/>
                <w:w w:val="99"/>
                <w:sz w:val="21"/>
              </w:rPr>
              <w:t>肢体机能完全丧失</w:t>
            </w:r>
            <w:r>
              <w:rPr>
                <w:spacing w:val="-1"/>
                <w:sz w:val="21"/>
              </w:rPr>
              <w:t>（</w:t>
            </w:r>
            <w:r>
              <w:rPr>
                <w:spacing w:val="-19"/>
                <w:sz w:val="21"/>
              </w:rPr>
              <w:t>见注 </w:t>
            </w:r>
            <w:r>
              <w:rPr>
                <w:spacing w:val="-1"/>
                <w:sz w:val="21"/>
              </w:rPr>
              <w:t>2</w:t>
            </w:r>
            <w:r>
              <w:rPr>
                <w:spacing w:val="-105"/>
                <w:sz w:val="21"/>
              </w:rPr>
              <w:t>）</w:t>
            </w:r>
            <w:r>
              <w:rPr>
                <w:sz w:val="21"/>
              </w:rPr>
              <w:t>；</w:t>
            </w:r>
          </w:p>
          <w:p>
            <w:pPr>
              <w:pStyle w:val="TableParagraph"/>
              <w:spacing w:before="36"/>
              <w:rPr>
                <w:sz w:val="21"/>
              </w:rPr>
            </w:pPr>
            <w:r>
              <w:rPr>
                <w:sz w:val="21"/>
              </w:rPr>
              <w:t>（2</w:t>
            </w:r>
            <w:r>
              <w:rPr>
                <w:spacing w:val="-1"/>
                <w:sz w:val="21"/>
              </w:rPr>
              <w:t>）</w:t>
            </w:r>
            <w:r>
              <w:rPr>
                <w:b/>
                <w:w w:val="99"/>
                <w:sz w:val="21"/>
              </w:rPr>
              <w:t>语言能力或咀嚼吞咽能力完全丧失</w:t>
            </w:r>
            <w:r>
              <w:rPr>
                <w:spacing w:val="-1"/>
                <w:sz w:val="21"/>
              </w:rPr>
              <w:t>（</w:t>
            </w:r>
            <w:r>
              <w:rPr>
                <w:spacing w:val="-19"/>
                <w:sz w:val="21"/>
              </w:rPr>
              <w:t>见注 </w:t>
            </w:r>
            <w:r>
              <w:rPr>
                <w:spacing w:val="-1"/>
                <w:sz w:val="21"/>
              </w:rPr>
              <w:t>3</w:t>
            </w:r>
            <w:r>
              <w:rPr>
                <w:spacing w:val="-105"/>
                <w:sz w:val="21"/>
              </w:rPr>
              <w:t>）</w:t>
            </w:r>
            <w:r>
              <w:rPr>
                <w:sz w:val="21"/>
              </w:rPr>
              <w:t>；</w:t>
            </w:r>
          </w:p>
          <w:p>
            <w:pPr>
              <w:pStyle w:val="TableParagraph"/>
              <w:spacing w:line="273" w:lineRule="auto" w:before="36"/>
              <w:ind w:left="611" w:right="-15" w:hanging="504"/>
              <w:rPr>
                <w:sz w:val="21"/>
              </w:rPr>
            </w:pPr>
            <w:r>
              <w:rPr>
                <w:sz w:val="21"/>
              </w:rPr>
              <w:t>（3）</w:t>
            </w:r>
            <w:r>
              <w:rPr>
                <w:spacing w:val="-1"/>
                <w:sz w:val="21"/>
              </w:rPr>
              <w:t>自主生活能力完全丧失，无法独立完成</w:t>
            </w:r>
            <w:r>
              <w:rPr>
                <w:b/>
                <w:sz w:val="21"/>
              </w:rPr>
              <w:t>六项基本日常生活活动</w:t>
            </w:r>
            <w:r>
              <w:rPr>
                <w:sz w:val="21"/>
              </w:rPr>
              <w:t>（</w:t>
            </w:r>
            <w:r>
              <w:rPr>
                <w:spacing w:val="-20"/>
                <w:sz w:val="21"/>
              </w:rPr>
              <w:t>见注 </w:t>
            </w:r>
            <w:r>
              <w:rPr>
                <w:sz w:val="21"/>
              </w:rPr>
              <w:t>1） 中的三项或三项以上。</w:t>
            </w:r>
          </w:p>
        </w:tc>
      </w:tr>
      <w:tr>
        <w:trPr>
          <w:trHeight w:val="216"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559" w:hRule="atLeast"/>
        </w:trPr>
        <w:tc>
          <w:tcPr>
            <w:tcW w:w="852" w:type="dxa"/>
          </w:tcPr>
          <w:p>
            <w:pPr>
              <w:pStyle w:val="TableParagraph"/>
              <w:spacing w:line="254" w:lineRule="exact"/>
              <w:rPr>
                <w:b/>
                <w:sz w:val="21"/>
              </w:rPr>
            </w:pPr>
            <w:r>
              <w:rPr>
                <w:b/>
                <w:w w:val="99"/>
                <w:sz w:val="21"/>
              </w:rPr>
              <w:t>四</w:t>
            </w:r>
          </w:p>
        </w:tc>
        <w:tc>
          <w:tcPr>
            <w:tcW w:w="1931" w:type="dxa"/>
          </w:tcPr>
          <w:p>
            <w:pPr>
              <w:pStyle w:val="TableParagraph"/>
              <w:spacing w:line="254" w:lineRule="exact"/>
              <w:rPr>
                <w:b/>
                <w:sz w:val="21"/>
              </w:rPr>
            </w:pPr>
            <w:r>
              <w:rPr>
                <w:b/>
                <w:w w:val="95"/>
                <w:sz w:val="21"/>
              </w:rPr>
              <w:t>重大器官移植术或</w:t>
            </w:r>
          </w:p>
          <w:p>
            <w:pPr>
              <w:pStyle w:val="TableParagraph"/>
              <w:spacing w:before="37"/>
              <w:rPr>
                <w:b/>
                <w:sz w:val="21"/>
              </w:rPr>
            </w:pPr>
            <w:r>
              <w:rPr>
                <w:b/>
                <w:w w:val="95"/>
                <w:sz w:val="21"/>
              </w:rPr>
              <w:t>造血干细胞移植术</w:t>
            </w:r>
          </w:p>
        </w:tc>
        <w:tc>
          <w:tcPr>
            <w:tcW w:w="7307" w:type="dxa"/>
          </w:tcPr>
          <w:p>
            <w:pPr>
              <w:pStyle w:val="TableParagraph"/>
              <w:spacing w:line="254" w:lineRule="exact"/>
              <w:rPr>
                <w:sz w:val="21"/>
              </w:rPr>
            </w:pPr>
            <w:r>
              <w:rPr>
                <w:sz w:val="21"/>
              </w:rPr>
              <w:t>重大器官移植术，指因相应器官功能衰竭，已经实施了肾脏、肝脏、心脏或肺</w:t>
            </w:r>
          </w:p>
          <w:p>
            <w:pPr>
              <w:pStyle w:val="TableParagraph"/>
              <w:spacing w:before="37"/>
              <w:rPr>
                <w:sz w:val="21"/>
              </w:rPr>
            </w:pPr>
            <w:r>
              <w:rPr>
                <w:sz w:val="21"/>
              </w:rPr>
              <w:t>脏的异体移植手术。</w:t>
            </w:r>
          </w:p>
          <w:p>
            <w:pPr>
              <w:pStyle w:val="TableParagraph"/>
              <w:spacing w:line="273" w:lineRule="auto" w:before="37"/>
              <w:ind w:right="97"/>
              <w:jc w:val="both"/>
              <w:rPr>
                <w:sz w:val="21"/>
              </w:rPr>
            </w:pPr>
            <w:r>
              <w:rPr>
                <w:spacing w:val="-4"/>
                <w:sz w:val="21"/>
              </w:rPr>
              <w:t>造血干细胞移植术，指因造血功能损害或造血系统恶性肿瘤，已经实施了造血</w:t>
            </w:r>
            <w:r>
              <w:rPr>
                <w:spacing w:val="-9"/>
                <w:sz w:val="21"/>
              </w:rPr>
              <w:t>干细胞</w:t>
            </w:r>
            <w:r>
              <w:rPr>
                <w:sz w:val="21"/>
              </w:rPr>
              <w:t>（</w:t>
            </w:r>
            <w:r>
              <w:rPr>
                <w:spacing w:val="-2"/>
                <w:sz w:val="21"/>
              </w:rPr>
              <w:t>包括骨髓造血干细胞、外周血造血干细胞和脐血造血干细胞</w:t>
            </w:r>
            <w:r>
              <w:rPr>
                <w:spacing w:val="-17"/>
                <w:sz w:val="21"/>
              </w:rPr>
              <w:t>）</w:t>
            </w:r>
            <w:r>
              <w:rPr>
                <w:sz w:val="21"/>
              </w:rPr>
              <w:t>的异体移植手术。</w:t>
            </w:r>
          </w:p>
        </w:tc>
      </w:tr>
      <w:tr>
        <w:trPr>
          <w:trHeight w:val="217"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247" w:hRule="atLeast"/>
        </w:trPr>
        <w:tc>
          <w:tcPr>
            <w:tcW w:w="852" w:type="dxa"/>
          </w:tcPr>
          <w:p>
            <w:pPr>
              <w:pStyle w:val="TableParagraph"/>
              <w:spacing w:line="254" w:lineRule="exact"/>
              <w:rPr>
                <w:b/>
                <w:sz w:val="21"/>
              </w:rPr>
            </w:pPr>
            <w:r>
              <w:rPr>
                <w:b/>
                <w:w w:val="99"/>
                <w:sz w:val="21"/>
              </w:rPr>
              <w:t>五</w:t>
            </w:r>
          </w:p>
        </w:tc>
        <w:tc>
          <w:tcPr>
            <w:tcW w:w="1931" w:type="dxa"/>
          </w:tcPr>
          <w:p>
            <w:pPr>
              <w:pStyle w:val="TableParagraph"/>
              <w:spacing w:line="254" w:lineRule="exact"/>
              <w:rPr>
                <w:b/>
                <w:sz w:val="21"/>
              </w:rPr>
            </w:pPr>
            <w:r>
              <w:rPr>
                <w:b/>
                <w:w w:val="95"/>
                <w:sz w:val="21"/>
              </w:rPr>
              <w:t>冠状动脉搭桥术</w:t>
            </w:r>
          </w:p>
          <w:p>
            <w:pPr>
              <w:pStyle w:val="TableParagraph"/>
              <w:spacing w:line="273" w:lineRule="auto" w:before="37"/>
              <w:ind w:right="124"/>
              <w:rPr>
                <w:b/>
                <w:sz w:val="21"/>
              </w:rPr>
            </w:pPr>
            <w:r>
              <w:rPr>
                <w:b/>
                <w:sz w:val="21"/>
              </w:rPr>
              <w:t>（或称冠状动脉旁</w:t>
            </w:r>
            <w:r>
              <w:rPr>
                <w:b/>
                <w:w w:val="95"/>
                <w:sz w:val="21"/>
              </w:rPr>
              <w:t>路移植术）</w:t>
            </w:r>
          </w:p>
        </w:tc>
        <w:tc>
          <w:tcPr>
            <w:tcW w:w="7307" w:type="dxa"/>
          </w:tcPr>
          <w:p>
            <w:pPr>
              <w:pStyle w:val="TableParagraph"/>
              <w:spacing w:line="254" w:lineRule="exact"/>
              <w:rPr>
                <w:sz w:val="21"/>
              </w:rPr>
            </w:pPr>
            <w:r>
              <w:rPr>
                <w:sz w:val="21"/>
              </w:rPr>
              <w:t>指为治疗严重的冠心病，实际实施了开胸进行的冠状动脉血管旁路移植的手</w:t>
            </w:r>
          </w:p>
          <w:p>
            <w:pPr>
              <w:pStyle w:val="TableParagraph"/>
              <w:spacing w:before="37"/>
              <w:rPr>
                <w:sz w:val="21"/>
              </w:rPr>
            </w:pPr>
            <w:r>
              <w:rPr>
                <w:sz w:val="21"/>
              </w:rPr>
              <w:t>术。</w:t>
            </w:r>
          </w:p>
          <w:p>
            <w:pPr>
              <w:pStyle w:val="TableParagraph"/>
              <w:spacing w:line="273" w:lineRule="auto" w:before="37"/>
              <w:ind w:right="33"/>
              <w:rPr>
                <w:sz w:val="21"/>
              </w:rPr>
            </w:pPr>
            <w:r>
              <w:rPr>
                <w:sz w:val="21"/>
              </w:rPr>
              <w:t>冠状动脉支架植入术、心导管球囊扩张术、激光射频技术及其它非开胸的介入手术、腔镜手术不在保障范围内。</w:t>
            </w:r>
          </w:p>
        </w:tc>
      </w:tr>
      <w:tr>
        <w:trPr>
          <w:trHeight w:val="216"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935" w:hRule="atLeast"/>
        </w:trPr>
        <w:tc>
          <w:tcPr>
            <w:tcW w:w="852" w:type="dxa"/>
          </w:tcPr>
          <w:p>
            <w:pPr>
              <w:pStyle w:val="TableParagraph"/>
              <w:spacing w:line="254" w:lineRule="exact"/>
              <w:rPr>
                <w:b/>
                <w:sz w:val="21"/>
              </w:rPr>
            </w:pPr>
            <w:r>
              <w:rPr>
                <w:b/>
                <w:w w:val="99"/>
                <w:sz w:val="21"/>
              </w:rPr>
              <w:t>六</w:t>
            </w:r>
          </w:p>
        </w:tc>
        <w:tc>
          <w:tcPr>
            <w:tcW w:w="1931" w:type="dxa"/>
          </w:tcPr>
          <w:p>
            <w:pPr>
              <w:pStyle w:val="TableParagraph"/>
              <w:spacing w:line="254" w:lineRule="exact"/>
              <w:rPr>
                <w:b/>
                <w:sz w:val="21"/>
              </w:rPr>
            </w:pPr>
            <w:r>
              <w:rPr>
                <w:b/>
                <w:w w:val="95"/>
                <w:sz w:val="21"/>
              </w:rPr>
              <w:t>终末期肾病（或称</w:t>
            </w:r>
          </w:p>
          <w:p>
            <w:pPr>
              <w:pStyle w:val="TableParagraph"/>
              <w:spacing w:line="273" w:lineRule="auto" w:before="37"/>
              <w:ind w:right="124"/>
              <w:rPr>
                <w:b/>
                <w:sz w:val="21"/>
              </w:rPr>
            </w:pPr>
            <w:r>
              <w:rPr>
                <w:b/>
                <w:sz w:val="21"/>
              </w:rPr>
              <w:t>慢性肾功能衰竭尿毒症期）</w:t>
            </w:r>
          </w:p>
        </w:tc>
        <w:tc>
          <w:tcPr>
            <w:tcW w:w="7307" w:type="dxa"/>
          </w:tcPr>
          <w:p>
            <w:pPr>
              <w:pStyle w:val="TableParagraph"/>
              <w:spacing w:line="254" w:lineRule="exact"/>
              <w:rPr>
                <w:sz w:val="21"/>
              </w:rPr>
            </w:pPr>
            <w:r>
              <w:rPr>
                <w:sz w:val="21"/>
              </w:rPr>
              <w:t>指双肾功能慢性不可逆性衰竭，达到尿毒症期，经诊断后已经进行了至少 90</w:t>
            </w:r>
          </w:p>
          <w:p>
            <w:pPr>
              <w:pStyle w:val="TableParagraph"/>
              <w:spacing w:before="37"/>
              <w:rPr>
                <w:sz w:val="21"/>
              </w:rPr>
            </w:pPr>
            <w:r>
              <w:rPr>
                <w:sz w:val="21"/>
              </w:rPr>
              <w:t>天的规律性透析治疗或实施了肾脏移植手术。</w:t>
            </w:r>
          </w:p>
        </w:tc>
      </w:tr>
      <w:tr>
        <w:trPr>
          <w:trHeight w:val="217"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623" w:hRule="atLeast"/>
        </w:trPr>
        <w:tc>
          <w:tcPr>
            <w:tcW w:w="852" w:type="dxa"/>
          </w:tcPr>
          <w:p>
            <w:pPr>
              <w:pStyle w:val="TableParagraph"/>
              <w:spacing w:line="254" w:lineRule="exact"/>
              <w:rPr>
                <w:b/>
                <w:sz w:val="21"/>
              </w:rPr>
            </w:pPr>
            <w:r>
              <w:rPr>
                <w:b/>
                <w:w w:val="99"/>
                <w:sz w:val="21"/>
              </w:rPr>
              <w:t>七</w:t>
            </w:r>
          </w:p>
        </w:tc>
        <w:tc>
          <w:tcPr>
            <w:tcW w:w="1931" w:type="dxa"/>
          </w:tcPr>
          <w:p>
            <w:pPr>
              <w:pStyle w:val="TableParagraph"/>
              <w:spacing w:line="254" w:lineRule="exact"/>
              <w:rPr>
                <w:b/>
                <w:sz w:val="21"/>
              </w:rPr>
            </w:pPr>
            <w:r>
              <w:rPr>
                <w:b/>
                <w:w w:val="95"/>
                <w:sz w:val="21"/>
              </w:rPr>
              <w:t>多个肢体缺失</w:t>
            </w:r>
          </w:p>
        </w:tc>
        <w:tc>
          <w:tcPr>
            <w:tcW w:w="7307" w:type="dxa"/>
          </w:tcPr>
          <w:p>
            <w:pPr>
              <w:pStyle w:val="TableParagraph"/>
              <w:spacing w:line="254" w:lineRule="exact"/>
              <w:rPr>
                <w:sz w:val="21"/>
              </w:rPr>
            </w:pPr>
            <w:r>
              <w:rPr>
                <w:sz w:val="21"/>
              </w:rPr>
              <w:t>指因疾病或意外伤害导致两个或两个以上肢体自腕关节或踝关节近端（靠近躯</w:t>
            </w:r>
          </w:p>
          <w:p>
            <w:pPr>
              <w:pStyle w:val="TableParagraph"/>
              <w:spacing w:before="37"/>
              <w:rPr>
                <w:sz w:val="21"/>
              </w:rPr>
            </w:pPr>
            <w:r>
              <w:rPr>
                <w:sz w:val="21"/>
              </w:rPr>
              <w:t>干端）以上完全性断离。</w:t>
            </w:r>
          </w:p>
        </w:tc>
      </w:tr>
      <w:tr>
        <w:trPr>
          <w:trHeight w:val="216"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871" w:hRule="atLeast"/>
        </w:trPr>
        <w:tc>
          <w:tcPr>
            <w:tcW w:w="852" w:type="dxa"/>
          </w:tcPr>
          <w:p>
            <w:pPr>
              <w:pStyle w:val="TableParagraph"/>
              <w:spacing w:line="254" w:lineRule="exact"/>
              <w:rPr>
                <w:b/>
                <w:sz w:val="21"/>
              </w:rPr>
            </w:pPr>
            <w:r>
              <w:rPr>
                <w:b/>
                <w:w w:val="99"/>
                <w:sz w:val="21"/>
              </w:rPr>
              <w:t>八</w:t>
            </w:r>
          </w:p>
        </w:tc>
        <w:tc>
          <w:tcPr>
            <w:tcW w:w="1931" w:type="dxa"/>
          </w:tcPr>
          <w:p>
            <w:pPr>
              <w:pStyle w:val="TableParagraph"/>
              <w:spacing w:line="254" w:lineRule="exact"/>
              <w:rPr>
                <w:b/>
                <w:sz w:val="21"/>
              </w:rPr>
            </w:pPr>
            <w:r>
              <w:rPr>
                <w:b/>
                <w:w w:val="95"/>
                <w:sz w:val="21"/>
              </w:rPr>
              <w:t>急性或亚急性重症</w:t>
            </w:r>
          </w:p>
          <w:p>
            <w:pPr>
              <w:pStyle w:val="TableParagraph"/>
              <w:spacing w:before="37"/>
              <w:rPr>
                <w:b/>
                <w:sz w:val="21"/>
              </w:rPr>
            </w:pPr>
            <w:r>
              <w:rPr>
                <w:b/>
                <w:sz w:val="21"/>
              </w:rPr>
              <w:t>肝炎</w:t>
            </w:r>
          </w:p>
        </w:tc>
        <w:tc>
          <w:tcPr>
            <w:tcW w:w="7307" w:type="dxa"/>
          </w:tcPr>
          <w:p>
            <w:pPr>
              <w:pStyle w:val="TableParagraph"/>
              <w:spacing w:line="254" w:lineRule="exact"/>
              <w:rPr>
                <w:sz w:val="21"/>
              </w:rPr>
            </w:pPr>
            <w:r>
              <w:rPr>
                <w:sz w:val="21"/>
              </w:rPr>
              <w:t>指因肝炎病毒感染引起肝脏组织弥漫性坏死，导致急性肝功能衰竭，且经血清</w:t>
            </w:r>
          </w:p>
          <w:p>
            <w:pPr>
              <w:pStyle w:val="TableParagraph"/>
              <w:spacing w:before="37"/>
              <w:rPr>
                <w:sz w:val="21"/>
              </w:rPr>
            </w:pPr>
            <w:r>
              <w:rPr>
                <w:sz w:val="21"/>
              </w:rPr>
              <w:t>学或病毒学检查证实，并须满足下列全部条件：</w:t>
            </w:r>
          </w:p>
          <w:p>
            <w:pPr>
              <w:pStyle w:val="TableParagraph"/>
              <w:spacing w:before="3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218"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871" w:hRule="atLeast"/>
        </w:trPr>
        <w:tc>
          <w:tcPr>
            <w:tcW w:w="852" w:type="dxa"/>
          </w:tcPr>
          <w:p>
            <w:pPr>
              <w:pStyle w:val="TableParagraph"/>
              <w:spacing w:line="254" w:lineRule="exact"/>
              <w:rPr>
                <w:b/>
                <w:sz w:val="21"/>
              </w:rPr>
            </w:pPr>
            <w:r>
              <w:rPr>
                <w:b/>
                <w:w w:val="99"/>
                <w:sz w:val="21"/>
              </w:rPr>
              <w:t>九</w:t>
            </w:r>
          </w:p>
        </w:tc>
        <w:tc>
          <w:tcPr>
            <w:tcW w:w="1931" w:type="dxa"/>
          </w:tcPr>
          <w:p>
            <w:pPr>
              <w:pStyle w:val="TableParagraph"/>
              <w:spacing w:line="254" w:lineRule="exact"/>
              <w:rPr>
                <w:b/>
                <w:sz w:val="21"/>
              </w:rPr>
            </w:pPr>
            <w:r>
              <w:rPr>
                <w:b/>
                <w:w w:val="95"/>
                <w:sz w:val="21"/>
              </w:rPr>
              <w:t>良性脑肿瘤</w:t>
            </w:r>
          </w:p>
        </w:tc>
        <w:tc>
          <w:tcPr>
            <w:tcW w:w="7307" w:type="dxa"/>
          </w:tcPr>
          <w:p>
            <w:pPr>
              <w:pStyle w:val="TableParagraph"/>
              <w:spacing w:line="254" w:lineRule="exact"/>
              <w:rPr>
                <w:sz w:val="21"/>
              </w:rPr>
            </w:pPr>
            <w:r>
              <w:rPr>
                <w:sz w:val="21"/>
              </w:rPr>
              <w:t>指脑的良性肿瘤，已经引起颅内压增高，临床表现为视神经乳头水肿、精神症</w:t>
            </w:r>
          </w:p>
          <w:p>
            <w:pPr>
              <w:pStyle w:val="TableParagraph"/>
              <w:spacing w:line="273" w:lineRule="auto" w:before="37"/>
              <w:ind w:right="97"/>
              <w:jc w:val="both"/>
              <w:rPr>
                <w:sz w:val="21"/>
              </w:rPr>
            </w:pPr>
            <w:r>
              <w:rPr>
                <w:spacing w:val="-1"/>
                <w:sz w:val="21"/>
              </w:rPr>
              <w:t>状、癫痫及运动感觉障碍等，并危及生命。须由头颅断层扫描（CT</w:t>
            </w:r>
            <w:r>
              <w:rPr>
                <w:spacing w:val="-104"/>
                <w:sz w:val="21"/>
              </w:rPr>
              <w:t>）</w:t>
            </w:r>
            <w:r>
              <w:rPr>
                <w:spacing w:val="-1"/>
                <w:sz w:val="21"/>
              </w:rPr>
              <w:t>、核磁共</w:t>
            </w:r>
            <w:r>
              <w:rPr>
                <w:spacing w:val="-4"/>
                <w:sz w:val="21"/>
              </w:rPr>
              <w:t>振检查</w:t>
            </w:r>
            <w:r>
              <w:rPr>
                <w:spacing w:val="-3"/>
                <w:sz w:val="21"/>
              </w:rPr>
              <w:t>（MRI）</w:t>
            </w:r>
            <w:r>
              <w:rPr>
                <w:spacing w:val="-1"/>
                <w:sz w:val="21"/>
              </w:rPr>
              <w:t>或正电子发射断层扫描</w:t>
            </w:r>
            <w:r>
              <w:rPr>
                <w:spacing w:val="-3"/>
                <w:sz w:val="21"/>
              </w:rPr>
              <w:t>（PET）</w:t>
            </w:r>
            <w:r>
              <w:rPr>
                <w:spacing w:val="-2"/>
                <w:sz w:val="21"/>
              </w:rPr>
              <w:t>等影像学检查证实，并须满足下</w:t>
            </w:r>
            <w:r>
              <w:rPr>
                <w:spacing w:val="-1"/>
                <w:sz w:val="21"/>
              </w:rPr>
              <w:t>列至少一项条件：</w:t>
            </w:r>
          </w:p>
          <w:p>
            <w:pPr>
              <w:pStyle w:val="TableParagraph"/>
              <w:spacing w:before="7"/>
              <w:jc w:val="both"/>
              <w:rPr>
                <w:sz w:val="21"/>
              </w:rPr>
            </w:pPr>
            <w:r>
              <w:rPr>
                <w:sz w:val="21"/>
              </w:rPr>
              <w:t>（1）实际实施了开颅进行的脑肿瘤完全切除或部分切除的手术；</w:t>
            </w:r>
          </w:p>
          <w:p>
            <w:pPr>
              <w:pStyle w:val="TableParagraph"/>
              <w:spacing w:before="36"/>
              <w:jc w:val="both"/>
              <w:rPr>
                <w:sz w:val="21"/>
              </w:rPr>
            </w:pPr>
            <w:r>
              <w:rPr>
                <w:sz w:val="21"/>
              </w:rPr>
              <w:t>（2）实际实施了对脑肿瘤进行的放射治疗。</w:t>
            </w:r>
          </w:p>
        </w:tc>
      </w:tr>
    </w:tbl>
    <w:p>
      <w:pPr>
        <w:spacing w:after="0"/>
        <w:jc w:val="both"/>
        <w:rPr>
          <w:sz w:val="21"/>
        </w:rPr>
        <w:sectPr>
          <w:pgSz w:w="11910" w:h="16840"/>
          <w:pgMar w:top="1140" w:bottom="280" w:left="800" w:right="78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1931"/>
        <w:gridCol w:w="7307"/>
      </w:tblGrid>
      <w:tr>
        <w:trPr>
          <w:trHeight w:val="311" w:hRule="atLeast"/>
        </w:trPr>
        <w:tc>
          <w:tcPr>
            <w:tcW w:w="852" w:type="dxa"/>
          </w:tcPr>
          <w:p>
            <w:pPr>
              <w:pStyle w:val="TableParagraph"/>
              <w:ind w:left="0"/>
              <w:rPr>
                <w:rFonts w:ascii="Times New Roman"/>
                <w:sz w:val="20"/>
              </w:rPr>
            </w:pPr>
          </w:p>
        </w:tc>
        <w:tc>
          <w:tcPr>
            <w:tcW w:w="1931" w:type="dxa"/>
          </w:tcPr>
          <w:p>
            <w:pPr>
              <w:pStyle w:val="TableParagraph"/>
              <w:ind w:left="0"/>
              <w:rPr>
                <w:rFonts w:ascii="Times New Roman"/>
                <w:sz w:val="20"/>
              </w:rPr>
            </w:pPr>
          </w:p>
        </w:tc>
        <w:tc>
          <w:tcPr>
            <w:tcW w:w="7307" w:type="dxa"/>
          </w:tcPr>
          <w:p>
            <w:pPr>
              <w:pStyle w:val="TableParagraph"/>
              <w:spacing w:line="254" w:lineRule="exact"/>
              <w:rPr>
                <w:sz w:val="21"/>
              </w:rPr>
            </w:pPr>
            <w:r>
              <w:rPr>
                <w:sz w:val="21"/>
              </w:rPr>
              <w:t>脑垂体瘤、脑囊肿、脑血管性疾病不在保障范围内。</w:t>
            </w:r>
          </w:p>
        </w:tc>
      </w:tr>
      <w:tr>
        <w:trPr>
          <w:trHeight w:val="216"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872" w:hRule="atLeast"/>
        </w:trPr>
        <w:tc>
          <w:tcPr>
            <w:tcW w:w="852" w:type="dxa"/>
          </w:tcPr>
          <w:p>
            <w:pPr>
              <w:pStyle w:val="TableParagraph"/>
              <w:spacing w:line="255" w:lineRule="exact"/>
              <w:rPr>
                <w:b/>
                <w:sz w:val="21"/>
              </w:rPr>
            </w:pPr>
            <w:r>
              <w:rPr>
                <w:b/>
                <w:w w:val="99"/>
                <w:sz w:val="21"/>
              </w:rPr>
              <w:t>十</w:t>
            </w:r>
          </w:p>
        </w:tc>
        <w:tc>
          <w:tcPr>
            <w:tcW w:w="1931" w:type="dxa"/>
          </w:tcPr>
          <w:p>
            <w:pPr>
              <w:pStyle w:val="TableParagraph"/>
              <w:spacing w:line="255" w:lineRule="exact"/>
              <w:rPr>
                <w:b/>
                <w:sz w:val="21"/>
              </w:rPr>
            </w:pPr>
            <w:r>
              <w:rPr>
                <w:b/>
                <w:w w:val="95"/>
                <w:sz w:val="21"/>
              </w:rPr>
              <w:t>慢性肝功能衰竭失</w:t>
            </w:r>
          </w:p>
          <w:p>
            <w:pPr>
              <w:pStyle w:val="TableParagraph"/>
              <w:spacing w:before="37"/>
              <w:rPr>
                <w:b/>
                <w:sz w:val="21"/>
              </w:rPr>
            </w:pPr>
            <w:r>
              <w:rPr>
                <w:b/>
                <w:sz w:val="21"/>
              </w:rPr>
              <w:t>代偿期</w:t>
            </w:r>
          </w:p>
        </w:tc>
        <w:tc>
          <w:tcPr>
            <w:tcW w:w="7307" w:type="dxa"/>
          </w:tcPr>
          <w:p>
            <w:pPr>
              <w:pStyle w:val="TableParagraph"/>
              <w:spacing w:line="255" w:lineRule="exact"/>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line="273" w:lineRule="auto" w:before="37"/>
              <w:ind w:right="2043"/>
              <w:rPr>
                <w:sz w:val="21"/>
              </w:rPr>
            </w:pPr>
            <w:r>
              <w:rPr>
                <w:sz w:val="21"/>
              </w:rPr>
              <w:t>（4）充血性脾肿大伴脾功能亢进或食管胃底静脉曲张。因酗酒或药物滥用导致的肝功能衰竭不在保障范围内。</w:t>
            </w:r>
          </w:p>
        </w:tc>
      </w:tr>
      <w:tr>
        <w:trPr>
          <w:trHeight w:val="216"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871" w:hRule="atLeast"/>
        </w:trPr>
        <w:tc>
          <w:tcPr>
            <w:tcW w:w="852" w:type="dxa"/>
          </w:tcPr>
          <w:p>
            <w:pPr>
              <w:pStyle w:val="TableParagraph"/>
              <w:spacing w:line="254" w:lineRule="exact"/>
              <w:rPr>
                <w:b/>
                <w:sz w:val="21"/>
              </w:rPr>
            </w:pPr>
            <w:r>
              <w:rPr>
                <w:b/>
                <w:sz w:val="21"/>
              </w:rPr>
              <w:t>十一</w:t>
            </w:r>
          </w:p>
        </w:tc>
        <w:tc>
          <w:tcPr>
            <w:tcW w:w="1931" w:type="dxa"/>
          </w:tcPr>
          <w:p>
            <w:pPr>
              <w:pStyle w:val="TableParagraph"/>
              <w:spacing w:line="254" w:lineRule="exact"/>
              <w:rPr>
                <w:b/>
                <w:sz w:val="21"/>
              </w:rPr>
            </w:pPr>
            <w:r>
              <w:rPr>
                <w:b/>
                <w:w w:val="95"/>
                <w:sz w:val="21"/>
              </w:rPr>
              <w:t>脑炎后遗症或脑膜</w:t>
            </w:r>
          </w:p>
          <w:p>
            <w:pPr>
              <w:pStyle w:val="TableParagraph"/>
              <w:spacing w:before="37"/>
              <w:rPr>
                <w:b/>
                <w:sz w:val="21"/>
              </w:rPr>
            </w:pPr>
            <w:r>
              <w:rPr>
                <w:b/>
                <w:sz w:val="21"/>
              </w:rPr>
              <w:t>炎后遗症</w:t>
            </w:r>
          </w:p>
        </w:tc>
        <w:tc>
          <w:tcPr>
            <w:tcW w:w="7307" w:type="dxa"/>
          </w:tcPr>
          <w:p>
            <w:pPr>
              <w:pStyle w:val="TableParagraph"/>
              <w:spacing w:line="254" w:lineRule="exact"/>
              <w:rPr>
                <w:sz w:val="21"/>
              </w:rPr>
            </w:pPr>
            <w:r>
              <w:rPr>
                <w:sz w:val="21"/>
              </w:rPr>
              <w:t>指因患脑炎或脑膜炎导致的神经系统永久性的功能障碍。神经系统永久性的功</w:t>
            </w:r>
          </w:p>
          <w:p>
            <w:pPr>
              <w:pStyle w:val="TableParagraph"/>
              <w:spacing w:before="37"/>
              <w:rPr>
                <w:sz w:val="21"/>
              </w:rPr>
            </w:pPr>
            <w:r>
              <w:rPr>
                <w:sz w:val="21"/>
              </w:rPr>
              <w:t>能障碍，指疾病确诊 180 天后，仍遗留下列一种或一种以上障碍：</w:t>
            </w:r>
          </w:p>
          <w:p>
            <w:pPr>
              <w:pStyle w:val="TableParagraph"/>
              <w:spacing w:before="37"/>
              <w:rPr>
                <w:sz w:val="21"/>
              </w:rPr>
            </w:pPr>
            <w:r>
              <w:rPr>
                <w:w w:val="95"/>
                <w:sz w:val="21"/>
              </w:rPr>
              <w:t>（1）一肢或一肢以上</w:t>
            </w:r>
            <w:r>
              <w:rPr>
                <w:b/>
                <w:w w:val="95"/>
                <w:sz w:val="21"/>
              </w:rPr>
              <w:t>肢体机能完全丧失</w:t>
            </w:r>
            <w:r>
              <w:rPr>
                <w:w w:val="95"/>
                <w:sz w:val="21"/>
              </w:rPr>
              <w:t>；</w:t>
            </w:r>
          </w:p>
          <w:p>
            <w:pPr>
              <w:pStyle w:val="TableParagraph"/>
              <w:spacing w:before="37"/>
              <w:rPr>
                <w:sz w:val="21"/>
              </w:rPr>
            </w:pPr>
            <w:r>
              <w:rPr>
                <w:w w:val="95"/>
                <w:sz w:val="21"/>
              </w:rPr>
              <w:t>（2）</w:t>
            </w:r>
            <w:r>
              <w:rPr>
                <w:b/>
                <w:w w:val="95"/>
                <w:sz w:val="21"/>
              </w:rPr>
              <w:t>语言能力或咀嚼吞咽能力完全丧失</w:t>
            </w:r>
            <w:r>
              <w:rPr>
                <w:w w:val="95"/>
                <w:sz w:val="21"/>
              </w:rPr>
              <w:t>；</w:t>
            </w:r>
          </w:p>
          <w:p>
            <w:pPr>
              <w:pStyle w:val="TableParagraph"/>
              <w:spacing w:line="273" w:lineRule="auto" w:before="37"/>
              <w:ind w:left="633" w:right="144" w:hanging="526"/>
              <w:rPr>
                <w:sz w:val="21"/>
              </w:rPr>
            </w:pPr>
            <w:r>
              <w:rPr>
                <w:sz w:val="21"/>
              </w:rPr>
              <w:t>（3）自主生活能力完全丧失，无法独立完成</w:t>
            </w:r>
            <w:r>
              <w:rPr>
                <w:b/>
                <w:sz w:val="21"/>
              </w:rPr>
              <w:t>六项基本日常生活活动</w:t>
            </w:r>
            <w:r>
              <w:rPr>
                <w:sz w:val="21"/>
              </w:rPr>
              <w:t>中的三项或三项以上。</w:t>
            </w:r>
          </w:p>
        </w:tc>
      </w:tr>
      <w:tr>
        <w:trPr>
          <w:trHeight w:val="216"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248" w:hRule="atLeast"/>
        </w:trPr>
        <w:tc>
          <w:tcPr>
            <w:tcW w:w="852" w:type="dxa"/>
          </w:tcPr>
          <w:p>
            <w:pPr>
              <w:pStyle w:val="TableParagraph"/>
              <w:spacing w:line="255" w:lineRule="exact"/>
              <w:rPr>
                <w:b/>
                <w:sz w:val="21"/>
              </w:rPr>
            </w:pPr>
            <w:r>
              <w:rPr>
                <w:b/>
                <w:sz w:val="21"/>
              </w:rPr>
              <w:t>十二</w:t>
            </w:r>
          </w:p>
        </w:tc>
        <w:tc>
          <w:tcPr>
            <w:tcW w:w="1931" w:type="dxa"/>
          </w:tcPr>
          <w:p>
            <w:pPr>
              <w:pStyle w:val="TableParagraph"/>
              <w:spacing w:line="255" w:lineRule="exact"/>
              <w:rPr>
                <w:b/>
                <w:sz w:val="21"/>
              </w:rPr>
            </w:pPr>
            <w:r>
              <w:rPr>
                <w:b/>
                <w:sz w:val="21"/>
              </w:rPr>
              <w:t>深度昏迷</w:t>
            </w:r>
          </w:p>
        </w:tc>
        <w:tc>
          <w:tcPr>
            <w:tcW w:w="7307" w:type="dxa"/>
          </w:tcPr>
          <w:p>
            <w:pPr>
              <w:pStyle w:val="TableParagraph"/>
              <w:spacing w:line="255" w:lineRule="exact"/>
              <w:rPr>
                <w:sz w:val="21"/>
              </w:rPr>
            </w:pPr>
            <w:r>
              <w:rPr>
                <w:sz w:val="21"/>
              </w:rPr>
              <w:t>指因疾病或意外伤害导致意识丧失，对外界刺激和体内需求均无反应，昏迷程</w:t>
            </w:r>
          </w:p>
          <w:p>
            <w:pPr>
              <w:pStyle w:val="TableParagraph"/>
              <w:spacing w:line="273" w:lineRule="auto" w:before="37"/>
              <w:ind w:right="48"/>
              <w:rPr>
                <w:sz w:val="21"/>
              </w:rPr>
            </w:pPr>
            <w:r>
              <w:rPr>
                <w:sz w:val="21"/>
              </w:rPr>
              <w:t>度按照格拉斯哥昏迷分级（Glasgow coma scale）</w:t>
            </w:r>
            <w:r>
              <w:rPr>
                <w:spacing w:val="-15"/>
                <w:sz w:val="21"/>
              </w:rPr>
              <w:t>结果为 </w:t>
            </w:r>
            <w:r>
              <w:rPr>
                <w:sz w:val="21"/>
              </w:rPr>
              <w:t>5</w:t>
            </w:r>
            <w:r>
              <w:rPr>
                <w:spacing w:val="-30"/>
                <w:sz w:val="21"/>
              </w:rPr>
              <w:t> 分或 </w:t>
            </w:r>
            <w:r>
              <w:rPr>
                <w:sz w:val="21"/>
              </w:rPr>
              <w:t>5</w:t>
            </w:r>
            <w:r>
              <w:rPr>
                <w:spacing w:val="-10"/>
                <w:sz w:val="21"/>
              </w:rPr>
              <w:t> 分以下，且</w:t>
            </w:r>
            <w:r>
              <w:rPr>
                <w:spacing w:val="-13"/>
                <w:sz w:val="21"/>
              </w:rPr>
              <w:t>已经持续使用呼吸机及其它生命维持系统 </w:t>
            </w:r>
            <w:r>
              <w:rPr>
                <w:sz w:val="21"/>
              </w:rPr>
              <w:t>96</w:t>
            </w:r>
            <w:r>
              <w:rPr>
                <w:spacing w:val="-12"/>
                <w:sz w:val="21"/>
              </w:rPr>
              <w:t> 小时以上。</w:t>
            </w:r>
          </w:p>
          <w:p>
            <w:pPr>
              <w:pStyle w:val="TableParagraph"/>
              <w:spacing w:before="7"/>
              <w:rPr>
                <w:sz w:val="21"/>
              </w:rPr>
            </w:pPr>
            <w:r>
              <w:rPr>
                <w:sz w:val="21"/>
              </w:rPr>
              <w:t>因酗酒或药物滥用导致的深度昏迷不在保障范围内。</w:t>
            </w:r>
          </w:p>
        </w:tc>
      </w:tr>
      <w:tr>
        <w:trPr>
          <w:trHeight w:val="216"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559" w:hRule="atLeast"/>
        </w:trPr>
        <w:tc>
          <w:tcPr>
            <w:tcW w:w="852" w:type="dxa"/>
          </w:tcPr>
          <w:p>
            <w:pPr>
              <w:pStyle w:val="TableParagraph"/>
              <w:spacing w:line="254" w:lineRule="exact"/>
              <w:rPr>
                <w:b/>
                <w:sz w:val="21"/>
              </w:rPr>
            </w:pPr>
            <w:r>
              <w:rPr>
                <w:b/>
                <w:sz w:val="21"/>
              </w:rPr>
              <w:t>十三</w:t>
            </w:r>
          </w:p>
        </w:tc>
        <w:tc>
          <w:tcPr>
            <w:tcW w:w="1931" w:type="dxa"/>
          </w:tcPr>
          <w:p>
            <w:pPr>
              <w:pStyle w:val="TableParagraph"/>
              <w:spacing w:line="254" w:lineRule="exact"/>
              <w:rPr>
                <w:b/>
                <w:sz w:val="21"/>
              </w:rPr>
            </w:pPr>
            <w:r>
              <w:rPr>
                <w:b/>
                <w:sz w:val="21"/>
              </w:rPr>
              <w:t>双耳失聪</w:t>
            </w:r>
          </w:p>
        </w:tc>
        <w:tc>
          <w:tcPr>
            <w:tcW w:w="7307" w:type="dxa"/>
          </w:tcPr>
          <w:p>
            <w:pPr>
              <w:pStyle w:val="TableParagraph"/>
              <w:spacing w:line="254" w:lineRule="exact"/>
              <w:ind w:right="-15"/>
              <w:rPr>
                <w:sz w:val="21"/>
              </w:rPr>
            </w:pPr>
            <w:r>
              <w:rPr>
                <w:sz w:val="21"/>
              </w:rPr>
              <w:t>指因疾病或意外伤害导致双耳听力</w:t>
            </w:r>
            <w:r>
              <w:rPr>
                <w:b/>
                <w:spacing w:val="-8"/>
                <w:sz w:val="21"/>
              </w:rPr>
              <w:t>永久不可逆</w:t>
            </w:r>
            <w:r>
              <w:rPr>
                <w:sz w:val="21"/>
              </w:rPr>
              <w:t>（</w:t>
            </w:r>
            <w:r>
              <w:rPr>
                <w:spacing w:val="-18"/>
                <w:sz w:val="21"/>
              </w:rPr>
              <w:t>见注 4）</w:t>
            </w:r>
            <w:r>
              <w:rPr>
                <w:spacing w:val="-16"/>
                <w:sz w:val="21"/>
              </w:rPr>
              <w:t>性丧失，在 </w:t>
            </w:r>
            <w:r>
              <w:rPr>
                <w:sz w:val="21"/>
              </w:rPr>
              <w:t>500</w:t>
            </w:r>
            <w:r>
              <w:rPr>
                <w:spacing w:val="-14"/>
                <w:sz w:val="21"/>
              </w:rPr>
              <w:t> 赫兹、</w:t>
            </w:r>
          </w:p>
          <w:p>
            <w:pPr>
              <w:pStyle w:val="TableParagraph"/>
              <w:spacing w:line="273" w:lineRule="auto" w:before="37"/>
              <w:ind w:right="-15"/>
              <w:rPr>
                <w:sz w:val="21"/>
              </w:rPr>
            </w:pPr>
            <w:r>
              <w:rPr>
                <w:sz w:val="21"/>
              </w:rPr>
              <w:t>1000</w:t>
            </w:r>
            <w:r>
              <w:rPr>
                <w:spacing w:val="-24"/>
                <w:sz w:val="21"/>
              </w:rPr>
              <w:t> 赫兹和 </w:t>
            </w:r>
            <w:r>
              <w:rPr>
                <w:sz w:val="21"/>
              </w:rPr>
              <w:t>2000</w:t>
            </w:r>
            <w:r>
              <w:rPr>
                <w:spacing w:val="-17"/>
                <w:sz w:val="21"/>
              </w:rPr>
              <w:t> 赫兹语音频率下，平均听阈大于 </w:t>
            </w:r>
            <w:r>
              <w:rPr>
                <w:sz w:val="21"/>
              </w:rPr>
              <w:t>90</w:t>
            </w:r>
            <w:r>
              <w:rPr>
                <w:spacing w:val="-15"/>
                <w:sz w:val="21"/>
              </w:rPr>
              <w:t> 分贝，且经纯音听力测试、声导抗检测或听觉诱发电位检测等证实。</w:t>
            </w:r>
          </w:p>
          <w:p>
            <w:pPr>
              <w:pStyle w:val="TableParagraph"/>
              <w:spacing w:line="237" w:lineRule="auto"/>
              <w:ind w:right="198"/>
              <w:rPr>
                <w:b/>
                <w:sz w:val="24"/>
              </w:rPr>
            </w:pPr>
            <w:r>
              <w:rPr>
                <w:b/>
                <w:spacing w:val="-5"/>
                <w:sz w:val="24"/>
              </w:rPr>
              <w:t>被保险人申请理赔时年龄必须在 </w:t>
            </w:r>
            <w:r>
              <w:rPr>
                <w:b/>
                <w:sz w:val="24"/>
              </w:rPr>
              <w:t>3</w:t>
            </w:r>
            <w:r>
              <w:rPr>
                <w:b/>
                <w:spacing w:val="-8"/>
                <w:sz w:val="24"/>
              </w:rPr>
              <w:t> 周岁以上，并且提供理赔当时的听力丧失诊断及检查证据。</w:t>
            </w:r>
          </w:p>
        </w:tc>
      </w:tr>
      <w:tr>
        <w:trPr>
          <w:trHeight w:val="216"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2496" w:hRule="atLeast"/>
        </w:trPr>
        <w:tc>
          <w:tcPr>
            <w:tcW w:w="852" w:type="dxa"/>
          </w:tcPr>
          <w:p>
            <w:pPr>
              <w:pStyle w:val="TableParagraph"/>
              <w:spacing w:line="255" w:lineRule="exact"/>
              <w:rPr>
                <w:b/>
                <w:sz w:val="21"/>
              </w:rPr>
            </w:pPr>
            <w:r>
              <w:rPr>
                <w:b/>
                <w:sz w:val="21"/>
              </w:rPr>
              <w:t>十四</w:t>
            </w:r>
          </w:p>
        </w:tc>
        <w:tc>
          <w:tcPr>
            <w:tcW w:w="1931" w:type="dxa"/>
          </w:tcPr>
          <w:p>
            <w:pPr>
              <w:pStyle w:val="TableParagraph"/>
              <w:spacing w:line="255" w:lineRule="exact"/>
              <w:rPr>
                <w:b/>
                <w:sz w:val="21"/>
              </w:rPr>
            </w:pPr>
            <w:r>
              <w:rPr>
                <w:b/>
                <w:sz w:val="21"/>
              </w:rPr>
              <w:t>双目失明</w:t>
            </w:r>
          </w:p>
        </w:tc>
        <w:tc>
          <w:tcPr>
            <w:tcW w:w="7307" w:type="dxa"/>
          </w:tcPr>
          <w:p>
            <w:pPr>
              <w:pStyle w:val="TableParagraph"/>
              <w:spacing w:line="255" w:lineRule="exact"/>
              <w:rPr>
                <w:sz w:val="21"/>
              </w:rPr>
            </w:pPr>
            <w:r>
              <w:rPr>
                <w:w w:val="95"/>
                <w:sz w:val="21"/>
              </w:rPr>
              <w:t>指因疾病或意外伤害导致双眼视力</w:t>
            </w:r>
            <w:r>
              <w:rPr>
                <w:b/>
                <w:w w:val="95"/>
                <w:sz w:val="21"/>
              </w:rPr>
              <w:t>永久不可逆</w:t>
            </w:r>
            <w:r>
              <w:rPr>
                <w:w w:val="95"/>
                <w:sz w:val="21"/>
              </w:rPr>
              <w:t>性丧失，双眼中较好眼须满足下</w:t>
            </w:r>
          </w:p>
          <w:p>
            <w:pPr>
              <w:pStyle w:val="TableParagraph"/>
              <w:spacing w:before="37"/>
              <w:rPr>
                <w:sz w:val="21"/>
              </w:rPr>
            </w:pPr>
            <w:r>
              <w:rPr>
                <w:sz w:val="21"/>
              </w:rPr>
              <w:t>列至少一项条件：</w:t>
            </w:r>
          </w:p>
          <w:p>
            <w:pPr>
              <w:pStyle w:val="TableParagraph"/>
              <w:spacing w:before="37"/>
              <w:rPr>
                <w:sz w:val="21"/>
              </w:rPr>
            </w:pPr>
            <w:r>
              <w:rPr>
                <w:sz w:val="21"/>
              </w:rPr>
              <w:t>（1）眼球缺失或摘除；</w:t>
            </w:r>
          </w:p>
          <w:p>
            <w:pPr>
              <w:pStyle w:val="TableParagraph"/>
              <w:spacing w:line="273" w:lineRule="auto" w:before="37"/>
              <w:ind w:left="633" w:right="100" w:hanging="526"/>
              <w:rPr>
                <w:sz w:val="21"/>
              </w:rPr>
            </w:pPr>
            <w:r>
              <w:rPr>
                <w:sz w:val="21"/>
              </w:rPr>
              <w:t>（2）</w:t>
            </w:r>
            <w:r>
              <w:rPr>
                <w:spacing w:val="-8"/>
                <w:sz w:val="21"/>
              </w:rPr>
              <w:t>矫正视力低于 </w:t>
            </w:r>
            <w:r>
              <w:rPr>
                <w:sz w:val="21"/>
              </w:rPr>
              <w:t>0.02（采用国际标准视力表，如果使用其它视力表应进行换算</w:t>
            </w:r>
            <w:r>
              <w:rPr>
                <w:spacing w:val="-105"/>
                <w:sz w:val="21"/>
              </w:rPr>
              <w:t>）</w:t>
            </w:r>
            <w:r>
              <w:rPr>
                <w:sz w:val="21"/>
              </w:rPr>
              <w:t>；</w:t>
            </w:r>
          </w:p>
          <w:p>
            <w:pPr>
              <w:pStyle w:val="TableParagraph"/>
              <w:spacing w:before="7"/>
              <w:rPr>
                <w:sz w:val="21"/>
              </w:rPr>
            </w:pPr>
            <w:r>
              <w:rPr>
                <w:sz w:val="21"/>
              </w:rPr>
              <w:t>（3）视野半径小于 5 度。</w:t>
            </w:r>
          </w:p>
          <w:p>
            <w:pPr>
              <w:pStyle w:val="TableParagraph"/>
              <w:spacing w:line="237" w:lineRule="auto" w:before="15"/>
              <w:ind w:right="198"/>
              <w:rPr>
                <w:b/>
                <w:sz w:val="24"/>
              </w:rPr>
            </w:pPr>
            <w:r>
              <w:rPr>
                <w:b/>
                <w:spacing w:val="-5"/>
                <w:sz w:val="24"/>
              </w:rPr>
              <w:t>被保险人申请理赔时年龄必须在 </w:t>
            </w:r>
            <w:r>
              <w:rPr>
                <w:b/>
                <w:sz w:val="24"/>
              </w:rPr>
              <w:t>3</w:t>
            </w:r>
            <w:r>
              <w:rPr>
                <w:b/>
                <w:spacing w:val="-13"/>
                <w:sz w:val="24"/>
              </w:rPr>
              <w:t> 周岁以上</w:t>
            </w:r>
            <w:r>
              <w:rPr>
                <w:b/>
                <w:sz w:val="24"/>
              </w:rPr>
              <w:t>（眼球缺失或摘除的不</w:t>
            </w:r>
            <w:r>
              <w:rPr>
                <w:b/>
                <w:spacing w:val="0"/>
                <w:w w:val="99"/>
                <w:sz w:val="24"/>
              </w:rPr>
              <w:t>受此限</w:t>
            </w:r>
            <w:r>
              <w:rPr>
                <w:b/>
                <w:spacing w:val="-120"/>
                <w:w w:val="99"/>
                <w:sz w:val="24"/>
              </w:rPr>
              <w:t>）</w:t>
            </w:r>
            <w:r>
              <w:rPr>
                <w:b/>
                <w:w w:val="99"/>
                <w:sz w:val="24"/>
              </w:rPr>
              <w:t>，并且提供理赔当时的视力丧失诊断及检查证据。</w:t>
            </w:r>
          </w:p>
        </w:tc>
      </w:tr>
      <w:tr>
        <w:trPr>
          <w:trHeight w:val="216"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935" w:hRule="atLeast"/>
        </w:trPr>
        <w:tc>
          <w:tcPr>
            <w:tcW w:w="852" w:type="dxa"/>
          </w:tcPr>
          <w:p>
            <w:pPr>
              <w:pStyle w:val="TableParagraph"/>
              <w:spacing w:line="254" w:lineRule="exact"/>
              <w:rPr>
                <w:b/>
                <w:sz w:val="21"/>
              </w:rPr>
            </w:pPr>
            <w:r>
              <w:rPr>
                <w:b/>
                <w:sz w:val="21"/>
              </w:rPr>
              <w:t>十五</w:t>
            </w:r>
          </w:p>
        </w:tc>
        <w:tc>
          <w:tcPr>
            <w:tcW w:w="1931" w:type="dxa"/>
          </w:tcPr>
          <w:p>
            <w:pPr>
              <w:pStyle w:val="TableParagraph"/>
              <w:spacing w:line="254" w:lineRule="exact"/>
              <w:rPr>
                <w:b/>
                <w:sz w:val="21"/>
              </w:rPr>
            </w:pPr>
            <w:r>
              <w:rPr>
                <w:b/>
                <w:w w:val="95"/>
                <w:sz w:val="21"/>
              </w:rPr>
              <w:t>瘫痪</w:t>
            </w:r>
          </w:p>
        </w:tc>
        <w:tc>
          <w:tcPr>
            <w:tcW w:w="7307" w:type="dxa"/>
          </w:tcPr>
          <w:p>
            <w:pPr>
              <w:pStyle w:val="TableParagraph"/>
              <w:spacing w:line="254" w:lineRule="exact"/>
              <w:rPr>
                <w:sz w:val="21"/>
              </w:rPr>
            </w:pPr>
            <w:r>
              <w:rPr>
                <w:sz w:val="21"/>
              </w:rPr>
              <w:t>指因疾病或意外伤害导致两肢或两肢以上肢体机能永久完全丧失。肢体机能永</w:t>
            </w:r>
          </w:p>
          <w:p>
            <w:pPr>
              <w:pStyle w:val="TableParagraph"/>
              <w:spacing w:line="273" w:lineRule="auto" w:before="37"/>
              <w:ind w:right="95" w:hanging="1"/>
              <w:rPr>
                <w:sz w:val="21"/>
              </w:rPr>
            </w:pPr>
            <w:r>
              <w:rPr>
                <w:spacing w:val="-14"/>
                <w:sz w:val="21"/>
              </w:rPr>
              <w:t>久完全丧失，指疾病确诊 </w:t>
            </w:r>
            <w:r>
              <w:rPr>
                <w:sz w:val="21"/>
              </w:rPr>
              <w:t>180</w:t>
            </w:r>
            <w:r>
              <w:rPr>
                <w:spacing w:val="-13"/>
                <w:sz w:val="21"/>
              </w:rPr>
              <w:t> 天后或意外伤害发生 </w:t>
            </w:r>
            <w:r>
              <w:rPr>
                <w:sz w:val="21"/>
              </w:rPr>
              <w:t>180</w:t>
            </w:r>
            <w:r>
              <w:rPr>
                <w:spacing w:val="-25"/>
                <w:sz w:val="21"/>
              </w:rPr>
              <w:t> 天后，每肢</w:t>
            </w:r>
            <w:r>
              <w:rPr>
                <w:b/>
                <w:spacing w:val="-22"/>
                <w:sz w:val="21"/>
              </w:rPr>
              <w:t>三大关节</w:t>
            </w:r>
            <w:r>
              <w:rPr>
                <w:sz w:val="21"/>
              </w:rPr>
              <w:t>（见</w:t>
            </w:r>
            <w:r>
              <w:rPr>
                <w:spacing w:val="-28"/>
                <w:sz w:val="21"/>
              </w:rPr>
              <w:t>注 </w:t>
            </w:r>
            <w:r>
              <w:rPr>
                <w:sz w:val="21"/>
              </w:rPr>
              <w:t>5）中的两大关节仍然完全僵硬，或不能随意识活动。</w:t>
            </w:r>
          </w:p>
        </w:tc>
      </w:tr>
      <w:tr>
        <w:trPr>
          <w:trHeight w:val="216"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312" w:hRule="atLeast"/>
        </w:trPr>
        <w:tc>
          <w:tcPr>
            <w:tcW w:w="852" w:type="dxa"/>
          </w:tcPr>
          <w:p>
            <w:pPr>
              <w:pStyle w:val="TableParagraph"/>
              <w:spacing w:line="255" w:lineRule="exact"/>
              <w:rPr>
                <w:b/>
                <w:sz w:val="21"/>
              </w:rPr>
            </w:pPr>
            <w:r>
              <w:rPr>
                <w:b/>
                <w:sz w:val="21"/>
              </w:rPr>
              <w:t>十六</w:t>
            </w:r>
          </w:p>
        </w:tc>
        <w:tc>
          <w:tcPr>
            <w:tcW w:w="1931" w:type="dxa"/>
          </w:tcPr>
          <w:p>
            <w:pPr>
              <w:pStyle w:val="TableParagraph"/>
              <w:spacing w:line="255" w:lineRule="exact"/>
              <w:rPr>
                <w:b/>
                <w:sz w:val="21"/>
              </w:rPr>
            </w:pPr>
            <w:r>
              <w:rPr>
                <w:b/>
                <w:w w:val="95"/>
                <w:sz w:val="21"/>
              </w:rPr>
              <w:t>心脏瓣膜手术</w:t>
            </w:r>
          </w:p>
        </w:tc>
        <w:tc>
          <w:tcPr>
            <w:tcW w:w="7307" w:type="dxa"/>
          </w:tcPr>
          <w:p>
            <w:pPr>
              <w:pStyle w:val="TableParagraph"/>
              <w:spacing w:line="255" w:lineRule="exact"/>
              <w:rPr>
                <w:sz w:val="21"/>
              </w:rPr>
            </w:pPr>
            <w:r>
              <w:rPr>
                <w:sz w:val="21"/>
              </w:rPr>
              <w:t>指为治疗心脏瓣膜疾病，实际实施了开胸进行的心脏瓣膜置换或修复的手术。</w:t>
            </w:r>
          </w:p>
        </w:tc>
      </w:tr>
      <w:tr>
        <w:trPr>
          <w:trHeight w:val="216"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872" w:hRule="atLeast"/>
        </w:trPr>
        <w:tc>
          <w:tcPr>
            <w:tcW w:w="852" w:type="dxa"/>
          </w:tcPr>
          <w:p>
            <w:pPr>
              <w:pStyle w:val="TableParagraph"/>
              <w:spacing w:line="254" w:lineRule="exact"/>
              <w:rPr>
                <w:b/>
                <w:sz w:val="21"/>
              </w:rPr>
            </w:pPr>
            <w:r>
              <w:rPr>
                <w:b/>
                <w:sz w:val="21"/>
              </w:rPr>
              <w:t>十七</w:t>
            </w:r>
          </w:p>
        </w:tc>
        <w:tc>
          <w:tcPr>
            <w:tcW w:w="1931" w:type="dxa"/>
          </w:tcPr>
          <w:p>
            <w:pPr>
              <w:pStyle w:val="TableParagraph"/>
              <w:spacing w:line="254" w:lineRule="exact"/>
              <w:rPr>
                <w:b/>
                <w:sz w:val="21"/>
              </w:rPr>
            </w:pPr>
            <w:r>
              <w:rPr>
                <w:b/>
                <w:w w:val="95"/>
                <w:sz w:val="21"/>
              </w:rPr>
              <w:t>严重阿尔茨海默病</w:t>
            </w:r>
          </w:p>
        </w:tc>
        <w:tc>
          <w:tcPr>
            <w:tcW w:w="7307" w:type="dxa"/>
          </w:tcPr>
          <w:p>
            <w:pPr>
              <w:pStyle w:val="TableParagraph"/>
              <w:spacing w:line="254" w:lineRule="exact"/>
              <w:rPr>
                <w:sz w:val="21"/>
              </w:rPr>
            </w:pPr>
            <w:r>
              <w:rPr>
                <w:sz w:val="21"/>
              </w:rPr>
              <w:t>指因大脑进行性、不可逆性改变导致智能严重衰退或丧失，临床表现为明显的</w:t>
            </w:r>
          </w:p>
          <w:p>
            <w:pPr>
              <w:pStyle w:val="TableParagraph"/>
              <w:spacing w:line="273" w:lineRule="auto" w:before="37"/>
              <w:ind w:right="-15" w:hanging="1"/>
              <w:rPr>
                <w:sz w:val="21"/>
              </w:rPr>
            </w:pPr>
            <w:r>
              <w:rPr>
                <w:spacing w:val="-13"/>
                <w:sz w:val="21"/>
              </w:rPr>
              <w:t>认知能力障碍、行为异常和社交能力减退，其日常生活必须持续受到他人监护。</w:t>
            </w:r>
            <w:r>
              <w:rPr>
                <w:spacing w:val="-3"/>
                <w:sz w:val="21"/>
              </w:rPr>
              <w:t>须由头颅断层扫描</w:t>
            </w:r>
            <w:r>
              <w:rPr>
                <w:spacing w:val="-1"/>
                <w:sz w:val="21"/>
              </w:rPr>
              <w:t>（CT</w:t>
            </w:r>
            <w:r>
              <w:rPr>
                <w:spacing w:val="-106"/>
                <w:sz w:val="21"/>
              </w:rPr>
              <w:t>）</w:t>
            </w:r>
            <w:r>
              <w:rPr>
                <w:spacing w:val="-4"/>
                <w:sz w:val="21"/>
              </w:rPr>
              <w:t>、核磁共振检查</w:t>
            </w:r>
            <w:r>
              <w:rPr>
                <w:sz w:val="21"/>
              </w:rPr>
              <w:t>（MRI</w:t>
            </w:r>
            <w:r>
              <w:rPr>
                <w:spacing w:val="-11"/>
                <w:sz w:val="21"/>
              </w:rPr>
              <w:t>）</w:t>
            </w:r>
            <w:r>
              <w:rPr>
                <w:spacing w:val="-1"/>
                <w:sz w:val="21"/>
              </w:rPr>
              <w:t>或正电子发射断层扫描</w:t>
            </w:r>
            <w:r>
              <w:rPr>
                <w:sz w:val="21"/>
              </w:rPr>
              <w:t>（PET）</w:t>
            </w:r>
            <w:r>
              <w:rPr>
                <w:spacing w:val="-6"/>
                <w:sz w:val="21"/>
              </w:rPr>
              <w:t>等影像学检查证实，且自主生活能力完全丧失，无法独立完成</w:t>
            </w:r>
            <w:r>
              <w:rPr>
                <w:b/>
                <w:sz w:val="21"/>
              </w:rPr>
              <w:t>六项基本日常生</w:t>
            </w:r>
            <w:r>
              <w:rPr>
                <w:b/>
                <w:spacing w:val="-1"/>
                <w:w w:val="95"/>
                <w:sz w:val="21"/>
              </w:rPr>
              <w:t>活活动</w:t>
            </w:r>
            <w:r>
              <w:rPr>
                <w:spacing w:val="-1"/>
                <w:w w:val="95"/>
                <w:sz w:val="21"/>
              </w:rPr>
              <w:t>中的三项或三项以上。</w:t>
            </w:r>
          </w:p>
          <w:p>
            <w:pPr>
              <w:pStyle w:val="TableParagraph"/>
              <w:spacing w:before="7"/>
              <w:rPr>
                <w:sz w:val="21"/>
              </w:rPr>
            </w:pPr>
            <w:r>
              <w:rPr>
                <w:sz w:val="21"/>
              </w:rPr>
              <w:t>神经官能症和精神疾病不在保障范围内。</w:t>
            </w:r>
          </w:p>
        </w:tc>
      </w:tr>
    </w:tbl>
    <w:p>
      <w:pPr>
        <w:spacing w:after="0"/>
        <w:rPr>
          <w:sz w:val="21"/>
        </w:rPr>
        <w:sectPr>
          <w:pgSz w:w="11910" w:h="16840"/>
          <w:pgMar w:top="1140" w:bottom="280" w:left="800" w:right="78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1931"/>
        <w:gridCol w:w="7307"/>
      </w:tblGrid>
      <w:tr>
        <w:trPr>
          <w:trHeight w:val="216"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2495" w:hRule="atLeast"/>
        </w:trPr>
        <w:tc>
          <w:tcPr>
            <w:tcW w:w="852" w:type="dxa"/>
          </w:tcPr>
          <w:p>
            <w:pPr>
              <w:pStyle w:val="TableParagraph"/>
              <w:spacing w:line="255" w:lineRule="exact"/>
              <w:rPr>
                <w:b/>
                <w:sz w:val="21"/>
              </w:rPr>
            </w:pPr>
            <w:r>
              <w:rPr>
                <w:b/>
                <w:sz w:val="21"/>
              </w:rPr>
              <w:t>十八</w:t>
            </w:r>
          </w:p>
        </w:tc>
        <w:tc>
          <w:tcPr>
            <w:tcW w:w="1931" w:type="dxa"/>
          </w:tcPr>
          <w:p>
            <w:pPr>
              <w:pStyle w:val="TableParagraph"/>
              <w:spacing w:line="255" w:lineRule="exact"/>
              <w:rPr>
                <w:b/>
                <w:sz w:val="21"/>
              </w:rPr>
            </w:pPr>
            <w:r>
              <w:rPr>
                <w:b/>
                <w:w w:val="95"/>
                <w:sz w:val="21"/>
              </w:rPr>
              <w:t>严重脑损伤</w:t>
            </w:r>
          </w:p>
        </w:tc>
        <w:tc>
          <w:tcPr>
            <w:tcW w:w="7307" w:type="dxa"/>
          </w:tcPr>
          <w:p>
            <w:pPr>
              <w:pStyle w:val="TableParagraph"/>
              <w:spacing w:line="255" w:lineRule="exact"/>
              <w:rPr>
                <w:sz w:val="21"/>
              </w:rPr>
            </w:pPr>
            <w:r>
              <w:rPr>
                <w:sz w:val="21"/>
              </w:rPr>
              <w:t>指因头部遭受机械性外力，引起脑重要部位损伤，导致神经系统永久性的功能</w:t>
            </w:r>
          </w:p>
          <w:p>
            <w:pPr>
              <w:pStyle w:val="TableParagraph"/>
              <w:spacing w:before="36"/>
              <w:rPr>
                <w:sz w:val="21"/>
              </w:rPr>
            </w:pPr>
            <w:r>
              <w:rPr>
                <w:spacing w:val="-5"/>
                <w:sz w:val="21"/>
              </w:rPr>
              <w:t>障碍。须由头颅断层扫描</w:t>
            </w:r>
            <w:r>
              <w:rPr>
                <w:spacing w:val="-1"/>
                <w:sz w:val="21"/>
              </w:rPr>
              <w:t>（CT</w:t>
            </w:r>
            <w:r>
              <w:rPr>
                <w:spacing w:val="-104"/>
                <w:sz w:val="21"/>
              </w:rPr>
              <w:t>）</w:t>
            </w:r>
            <w:r>
              <w:rPr>
                <w:spacing w:val="-4"/>
                <w:sz w:val="21"/>
              </w:rPr>
              <w:t>、核磁共振检查</w:t>
            </w:r>
            <w:r>
              <w:rPr>
                <w:sz w:val="21"/>
              </w:rPr>
              <w:t>（MRI</w:t>
            </w:r>
            <w:r>
              <w:rPr>
                <w:spacing w:val="-10"/>
                <w:sz w:val="21"/>
              </w:rPr>
              <w:t>）</w:t>
            </w:r>
            <w:r>
              <w:rPr>
                <w:spacing w:val="-1"/>
                <w:sz w:val="21"/>
              </w:rPr>
              <w:t>或正电子发射断层扫描</w:t>
            </w:r>
          </w:p>
          <w:p>
            <w:pPr>
              <w:pStyle w:val="TableParagraph"/>
              <w:spacing w:line="273" w:lineRule="auto" w:before="37"/>
              <w:ind w:right="-15"/>
              <w:rPr>
                <w:sz w:val="21"/>
              </w:rPr>
            </w:pPr>
            <w:r>
              <w:rPr>
                <w:spacing w:val="-4"/>
                <w:sz w:val="21"/>
              </w:rPr>
              <w:t>（PET）</w:t>
            </w:r>
            <w:r>
              <w:rPr>
                <w:spacing w:val="-5"/>
                <w:sz w:val="21"/>
              </w:rPr>
              <w:t>等影像学检查证实。神经系统永久性的功能障碍，指脑损伤 </w:t>
            </w:r>
            <w:r>
              <w:rPr>
                <w:sz w:val="21"/>
              </w:rPr>
              <w:t>180</w:t>
            </w:r>
            <w:r>
              <w:rPr>
                <w:spacing w:val="-14"/>
                <w:sz w:val="21"/>
              </w:rPr>
              <w:t> 天后， </w:t>
            </w:r>
            <w:r>
              <w:rPr>
                <w:spacing w:val="-1"/>
                <w:sz w:val="21"/>
              </w:rPr>
              <w:t>仍遗留下列一种或一种以上障碍：</w:t>
            </w:r>
          </w:p>
          <w:p>
            <w:pPr>
              <w:pStyle w:val="TableParagraph"/>
              <w:spacing w:before="7"/>
              <w:rPr>
                <w:sz w:val="21"/>
              </w:rPr>
            </w:pPr>
            <w:r>
              <w:rPr>
                <w:w w:val="95"/>
                <w:sz w:val="21"/>
              </w:rPr>
              <w:t>（1）一肢或一肢以上</w:t>
            </w:r>
            <w:r>
              <w:rPr>
                <w:b/>
                <w:w w:val="95"/>
                <w:sz w:val="21"/>
              </w:rPr>
              <w:t>肢体机能完全丧失</w:t>
            </w:r>
            <w:r>
              <w:rPr>
                <w:w w:val="95"/>
                <w:sz w:val="21"/>
              </w:rPr>
              <w:t>；</w:t>
            </w:r>
          </w:p>
          <w:p>
            <w:pPr>
              <w:pStyle w:val="TableParagraph"/>
              <w:spacing w:before="36"/>
              <w:rPr>
                <w:sz w:val="21"/>
              </w:rPr>
            </w:pPr>
            <w:r>
              <w:rPr>
                <w:w w:val="95"/>
                <w:sz w:val="21"/>
              </w:rPr>
              <w:t>（2）</w:t>
            </w:r>
            <w:r>
              <w:rPr>
                <w:b/>
                <w:w w:val="95"/>
                <w:sz w:val="21"/>
              </w:rPr>
              <w:t>语言能力或咀嚼吞咽能力完全丧失</w:t>
            </w:r>
            <w:r>
              <w:rPr>
                <w:w w:val="95"/>
                <w:sz w:val="21"/>
              </w:rPr>
              <w:t>；</w:t>
            </w:r>
          </w:p>
          <w:p>
            <w:pPr>
              <w:pStyle w:val="TableParagraph"/>
              <w:spacing w:line="273" w:lineRule="auto" w:before="36"/>
              <w:ind w:left="633" w:right="144" w:hanging="526"/>
              <w:rPr>
                <w:sz w:val="21"/>
              </w:rPr>
            </w:pPr>
            <w:r>
              <w:rPr>
                <w:sz w:val="21"/>
              </w:rPr>
              <w:t>（3）自主生活能力完全丧失，无法独立完成</w:t>
            </w:r>
            <w:r>
              <w:rPr>
                <w:b/>
                <w:sz w:val="21"/>
              </w:rPr>
              <w:t>六项基本日常生活活动</w:t>
            </w:r>
            <w:r>
              <w:rPr>
                <w:sz w:val="21"/>
              </w:rPr>
              <w:t>中的三项或三项以上。</w:t>
            </w:r>
          </w:p>
        </w:tc>
      </w:tr>
      <w:tr>
        <w:trPr>
          <w:trHeight w:val="217"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871" w:hRule="atLeast"/>
        </w:trPr>
        <w:tc>
          <w:tcPr>
            <w:tcW w:w="852" w:type="dxa"/>
          </w:tcPr>
          <w:p>
            <w:pPr>
              <w:pStyle w:val="TableParagraph"/>
              <w:spacing w:line="254" w:lineRule="exact"/>
              <w:rPr>
                <w:b/>
                <w:sz w:val="21"/>
              </w:rPr>
            </w:pPr>
            <w:r>
              <w:rPr>
                <w:b/>
                <w:sz w:val="21"/>
              </w:rPr>
              <w:t>十九</w:t>
            </w:r>
          </w:p>
        </w:tc>
        <w:tc>
          <w:tcPr>
            <w:tcW w:w="1931" w:type="dxa"/>
          </w:tcPr>
          <w:p>
            <w:pPr>
              <w:pStyle w:val="TableParagraph"/>
              <w:spacing w:line="254" w:lineRule="exact"/>
              <w:rPr>
                <w:b/>
                <w:sz w:val="21"/>
              </w:rPr>
            </w:pPr>
            <w:r>
              <w:rPr>
                <w:b/>
                <w:w w:val="95"/>
                <w:sz w:val="21"/>
              </w:rPr>
              <w:t>严重帕金森病</w:t>
            </w:r>
          </w:p>
        </w:tc>
        <w:tc>
          <w:tcPr>
            <w:tcW w:w="7307" w:type="dxa"/>
          </w:tcPr>
          <w:p>
            <w:pPr>
              <w:pStyle w:val="TableParagraph"/>
              <w:spacing w:line="254" w:lineRule="exact"/>
              <w:rPr>
                <w:sz w:val="21"/>
              </w:rPr>
            </w:pPr>
            <w:r>
              <w:rPr>
                <w:sz w:val="21"/>
              </w:rPr>
              <w:t>是一种中枢神经系统的退行性疾病，临床表现为震颤麻痹、共济失调等。须满</w:t>
            </w:r>
          </w:p>
          <w:p>
            <w:pPr>
              <w:pStyle w:val="TableParagraph"/>
              <w:spacing w:before="37"/>
              <w:rPr>
                <w:sz w:val="21"/>
              </w:rPr>
            </w:pPr>
            <w:r>
              <w:rPr>
                <w:sz w:val="21"/>
              </w:rPr>
              <w:t>足下列全部条件：</w:t>
            </w:r>
          </w:p>
          <w:p>
            <w:pPr>
              <w:pStyle w:val="TableParagraph"/>
              <w:spacing w:before="37"/>
              <w:rPr>
                <w:sz w:val="21"/>
              </w:rPr>
            </w:pPr>
            <w:r>
              <w:rPr>
                <w:sz w:val="21"/>
              </w:rPr>
              <w:t>（1）药物治疗无法控制病情；</w:t>
            </w:r>
          </w:p>
          <w:p>
            <w:pPr>
              <w:pStyle w:val="TableParagraph"/>
              <w:spacing w:line="273" w:lineRule="auto" w:before="37"/>
              <w:ind w:left="633" w:right="144" w:hanging="526"/>
              <w:rPr>
                <w:sz w:val="21"/>
              </w:rPr>
            </w:pPr>
            <w:r>
              <w:rPr>
                <w:sz w:val="21"/>
              </w:rPr>
              <w:t>（2）自主生活能力完全丧失，无法独立完成</w:t>
            </w:r>
            <w:r>
              <w:rPr>
                <w:b/>
                <w:sz w:val="21"/>
              </w:rPr>
              <w:t>六项基本日常生活活动</w:t>
            </w:r>
            <w:r>
              <w:rPr>
                <w:sz w:val="21"/>
              </w:rPr>
              <w:t>中的三项或三项以上。</w:t>
            </w:r>
          </w:p>
          <w:p>
            <w:pPr>
              <w:pStyle w:val="TableParagraph"/>
              <w:spacing w:before="7"/>
              <w:rPr>
                <w:sz w:val="21"/>
              </w:rPr>
            </w:pPr>
            <w:r>
              <w:rPr>
                <w:sz w:val="21"/>
              </w:rPr>
              <w:t>继发性帕金森综合征不在保障范围内。</w:t>
            </w:r>
          </w:p>
        </w:tc>
      </w:tr>
      <w:tr>
        <w:trPr>
          <w:trHeight w:val="216"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623" w:hRule="atLeast"/>
        </w:trPr>
        <w:tc>
          <w:tcPr>
            <w:tcW w:w="852" w:type="dxa"/>
          </w:tcPr>
          <w:p>
            <w:pPr>
              <w:pStyle w:val="TableParagraph"/>
              <w:spacing w:line="254" w:lineRule="exact"/>
              <w:rPr>
                <w:b/>
                <w:sz w:val="21"/>
              </w:rPr>
            </w:pPr>
            <w:r>
              <w:rPr>
                <w:b/>
                <w:sz w:val="21"/>
              </w:rPr>
              <w:t>二十</w:t>
            </w:r>
          </w:p>
        </w:tc>
        <w:tc>
          <w:tcPr>
            <w:tcW w:w="1931" w:type="dxa"/>
          </w:tcPr>
          <w:p>
            <w:pPr>
              <w:pStyle w:val="TableParagraph"/>
              <w:spacing w:line="254" w:lineRule="exact"/>
              <w:rPr>
                <w:b/>
                <w:sz w:val="21"/>
              </w:rPr>
            </w:pPr>
            <w:r>
              <w:rPr>
                <w:b/>
                <w:w w:val="95"/>
                <w:sz w:val="21"/>
              </w:rPr>
              <w:t>严重Ⅲ度烧伤</w:t>
            </w:r>
          </w:p>
        </w:tc>
        <w:tc>
          <w:tcPr>
            <w:tcW w:w="7307" w:type="dxa"/>
          </w:tcPr>
          <w:p>
            <w:pPr>
              <w:pStyle w:val="TableParagraph"/>
              <w:spacing w:line="254" w:lineRule="exact"/>
              <w:ind w:right="-15"/>
              <w:rPr>
                <w:sz w:val="21"/>
              </w:rPr>
            </w:pPr>
            <w:r>
              <w:rPr>
                <w:spacing w:val="-8"/>
                <w:sz w:val="21"/>
              </w:rPr>
              <w:t>指烧伤程度为Ⅲ度，且Ⅲ度烧伤的面积达到全身体表面积的 </w:t>
            </w:r>
            <w:r>
              <w:rPr>
                <w:sz w:val="21"/>
              </w:rPr>
              <w:t>20％</w:t>
            </w:r>
            <w:r>
              <w:rPr>
                <w:spacing w:val="-27"/>
                <w:sz w:val="21"/>
              </w:rPr>
              <w:t>或 </w:t>
            </w:r>
            <w:r>
              <w:rPr>
                <w:sz w:val="21"/>
              </w:rPr>
              <w:t>20％以上。</w:t>
            </w:r>
          </w:p>
          <w:p>
            <w:pPr>
              <w:pStyle w:val="TableParagraph"/>
              <w:spacing w:before="37"/>
              <w:rPr>
                <w:sz w:val="21"/>
              </w:rPr>
            </w:pPr>
            <w:r>
              <w:rPr>
                <w:sz w:val="21"/>
              </w:rPr>
              <w:t>体表面积根据《中国新九分法》计算。</w:t>
            </w:r>
          </w:p>
        </w:tc>
      </w:tr>
      <w:tr>
        <w:trPr>
          <w:trHeight w:val="217"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935" w:hRule="atLeast"/>
        </w:trPr>
        <w:tc>
          <w:tcPr>
            <w:tcW w:w="852" w:type="dxa"/>
          </w:tcPr>
          <w:p>
            <w:pPr>
              <w:pStyle w:val="TableParagraph"/>
              <w:spacing w:line="254" w:lineRule="exact"/>
              <w:rPr>
                <w:b/>
                <w:sz w:val="21"/>
              </w:rPr>
            </w:pPr>
            <w:r>
              <w:rPr>
                <w:b/>
                <w:sz w:val="21"/>
              </w:rPr>
              <w:t>二十一</w:t>
            </w:r>
          </w:p>
        </w:tc>
        <w:tc>
          <w:tcPr>
            <w:tcW w:w="1931" w:type="dxa"/>
          </w:tcPr>
          <w:p>
            <w:pPr>
              <w:pStyle w:val="TableParagraph"/>
              <w:spacing w:line="254" w:lineRule="exact"/>
              <w:rPr>
                <w:b/>
                <w:sz w:val="21"/>
              </w:rPr>
            </w:pPr>
            <w:r>
              <w:rPr>
                <w:b/>
                <w:w w:val="95"/>
                <w:sz w:val="21"/>
              </w:rPr>
              <w:t>严重原发性肺动脉</w:t>
            </w:r>
          </w:p>
          <w:p>
            <w:pPr>
              <w:pStyle w:val="TableParagraph"/>
              <w:spacing w:before="37"/>
              <w:rPr>
                <w:b/>
                <w:sz w:val="21"/>
              </w:rPr>
            </w:pPr>
            <w:r>
              <w:rPr>
                <w:b/>
                <w:sz w:val="21"/>
              </w:rPr>
              <w:t>高压</w:t>
            </w:r>
          </w:p>
        </w:tc>
        <w:tc>
          <w:tcPr>
            <w:tcW w:w="7307" w:type="dxa"/>
          </w:tcPr>
          <w:p>
            <w:pPr>
              <w:pStyle w:val="TableParagraph"/>
              <w:spacing w:line="254" w:lineRule="exact"/>
              <w:rPr>
                <w:sz w:val="21"/>
              </w:rPr>
            </w:pPr>
            <w:r>
              <w:rPr>
                <w:sz w:val="21"/>
              </w:rPr>
              <w:t>指不明原因的肺动脉压力持续性增高，进行性发展而导致的慢性疾病，已经造</w:t>
            </w:r>
          </w:p>
          <w:p>
            <w:pPr>
              <w:pStyle w:val="TableParagraph"/>
              <w:spacing w:line="273" w:lineRule="auto" w:before="37"/>
              <w:ind w:right="31" w:hanging="1"/>
              <w:rPr>
                <w:sz w:val="21"/>
              </w:rPr>
            </w:pPr>
            <w:r>
              <w:rPr>
                <w:sz w:val="21"/>
              </w:rPr>
              <w:t>成</w:t>
            </w:r>
            <w:r>
              <w:rPr>
                <w:b/>
                <w:sz w:val="21"/>
              </w:rPr>
              <w:t>永久不可逆</w:t>
            </w:r>
            <w:r>
              <w:rPr>
                <w:sz w:val="21"/>
              </w:rPr>
              <w:t>性的体力活动能力受限，达到美国纽约心脏病学会心功能状态分级 IV 级，且静息状态下肺动脉平均压超过 30mmHg。</w:t>
            </w:r>
          </w:p>
        </w:tc>
      </w:tr>
      <w:tr>
        <w:trPr>
          <w:trHeight w:val="216"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247" w:hRule="atLeast"/>
        </w:trPr>
        <w:tc>
          <w:tcPr>
            <w:tcW w:w="852" w:type="dxa"/>
          </w:tcPr>
          <w:p>
            <w:pPr>
              <w:pStyle w:val="TableParagraph"/>
              <w:spacing w:line="254" w:lineRule="exact"/>
              <w:rPr>
                <w:b/>
                <w:sz w:val="21"/>
              </w:rPr>
            </w:pPr>
            <w:r>
              <w:rPr>
                <w:b/>
                <w:sz w:val="21"/>
              </w:rPr>
              <w:t>二十二</w:t>
            </w:r>
          </w:p>
        </w:tc>
        <w:tc>
          <w:tcPr>
            <w:tcW w:w="1931" w:type="dxa"/>
          </w:tcPr>
          <w:p>
            <w:pPr>
              <w:pStyle w:val="TableParagraph"/>
              <w:spacing w:line="254" w:lineRule="exact"/>
              <w:rPr>
                <w:b/>
                <w:sz w:val="21"/>
              </w:rPr>
            </w:pPr>
            <w:r>
              <w:rPr>
                <w:b/>
                <w:w w:val="95"/>
                <w:sz w:val="21"/>
              </w:rPr>
              <w:t>严重运动神经元病</w:t>
            </w:r>
          </w:p>
        </w:tc>
        <w:tc>
          <w:tcPr>
            <w:tcW w:w="7307" w:type="dxa"/>
          </w:tcPr>
          <w:p>
            <w:pPr>
              <w:pStyle w:val="TableParagraph"/>
              <w:spacing w:line="254" w:lineRule="exact"/>
              <w:rPr>
                <w:sz w:val="21"/>
              </w:rPr>
            </w:pPr>
            <w:r>
              <w:rPr>
                <w:sz w:val="21"/>
              </w:rPr>
              <w:t>是一组中枢神经系统运动神经元的进行性变性疾病，包括进行性脊肌萎缩症、</w:t>
            </w:r>
          </w:p>
          <w:p>
            <w:pPr>
              <w:pStyle w:val="TableParagraph"/>
              <w:spacing w:line="273" w:lineRule="auto" w:before="37"/>
              <w:ind w:right="97"/>
              <w:jc w:val="both"/>
              <w:rPr>
                <w:sz w:val="21"/>
              </w:rPr>
            </w:pPr>
            <w:r>
              <w:rPr>
                <w:spacing w:val="-4"/>
                <w:sz w:val="21"/>
              </w:rPr>
              <w:t>进行性延髓麻痹症、原发性侧索硬化症、肌萎缩性侧索硬化症。须满足自主生</w:t>
            </w:r>
            <w:r>
              <w:rPr>
                <w:spacing w:val="-9"/>
                <w:sz w:val="21"/>
              </w:rPr>
              <w:t>活能力完全丧失，无法独立完成</w:t>
            </w:r>
            <w:r>
              <w:rPr>
                <w:b/>
                <w:sz w:val="21"/>
              </w:rPr>
              <w:t>六项基本日常生活活动</w:t>
            </w:r>
            <w:r>
              <w:rPr>
                <w:sz w:val="21"/>
              </w:rPr>
              <w:t>中的三项或三项以上的条件。</w:t>
            </w:r>
          </w:p>
        </w:tc>
      </w:tr>
      <w:tr>
        <w:trPr>
          <w:trHeight w:val="218"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559" w:hRule="atLeast"/>
        </w:trPr>
        <w:tc>
          <w:tcPr>
            <w:tcW w:w="852" w:type="dxa"/>
          </w:tcPr>
          <w:p>
            <w:pPr>
              <w:pStyle w:val="TableParagraph"/>
              <w:spacing w:line="254" w:lineRule="exact"/>
              <w:rPr>
                <w:b/>
                <w:sz w:val="21"/>
              </w:rPr>
            </w:pPr>
            <w:r>
              <w:rPr>
                <w:b/>
                <w:sz w:val="21"/>
              </w:rPr>
              <w:t>二十三</w:t>
            </w:r>
          </w:p>
        </w:tc>
        <w:tc>
          <w:tcPr>
            <w:tcW w:w="1931" w:type="dxa"/>
          </w:tcPr>
          <w:p>
            <w:pPr>
              <w:pStyle w:val="TableParagraph"/>
              <w:spacing w:line="254" w:lineRule="exact"/>
              <w:rPr>
                <w:b/>
                <w:sz w:val="21"/>
              </w:rPr>
            </w:pPr>
            <w:r>
              <w:rPr>
                <w:b/>
                <w:w w:val="95"/>
                <w:sz w:val="21"/>
              </w:rPr>
              <w:t>语言能力丧失</w:t>
            </w:r>
          </w:p>
        </w:tc>
        <w:tc>
          <w:tcPr>
            <w:tcW w:w="7307" w:type="dxa"/>
          </w:tcPr>
          <w:p>
            <w:pPr>
              <w:pStyle w:val="TableParagraph"/>
              <w:spacing w:line="254" w:lineRule="exact"/>
              <w:rPr>
                <w:sz w:val="21"/>
              </w:rPr>
            </w:pPr>
            <w:r>
              <w:rPr>
                <w:sz w:val="21"/>
              </w:rPr>
              <w:t>指因疾病或意外伤害导致完全丧失语言能力，经过积极治疗至少 12 个月（声</w:t>
            </w:r>
          </w:p>
          <w:p>
            <w:pPr>
              <w:pStyle w:val="TableParagraph"/>
              <w:spacing w:line="273" w:lineRule="auto" w:before="37"/>
              <w:ind w:right="1412"/>
              <w:rPr>
                <w:sz w:val="21"/>
              </w:rPr>
            </w:pPr>
            <w:r>
              <w:rPr>
                <w:sz w:val="21"/>
              </w:rPr>
              <w:t>带完全切除不受此时间限制</w:t>
            </w:r>
            <w:r>
              <w:rPr>
                <w:spacing w:val="-105"/>
                <w:sz w:val="21"/>
              </w:rPr>
              <w:t>）</w:t>
            </w:r>
            <w:r>
              <w:rPr>
                <w:spacing w:val="-1"/>
                <w:sz w:val="21"/>
              </w:rPr>
              <w:t>，仍无法通过现有医疗手段恢复。精神心理因素所致的语言能力丧失不在保障范围内。</w:t>
            </w:r>
          </w:p>
          <w:p>
            <w:pPr>
              <w:pStyle w:val="TableParagraph"/>
              <w:spacing w:line="237" w:lineRule="auto"/>
              <w:ind w:right="198"/>
              <w:rPr>
                <w:b/>
                <w:sz w:val="24"/>
              </w:rPr>
            </w:pPr>
            <w:r>
              <w:rPr>
                <w:b/>
                <w:spacing w:val="-5"/>
                <w:sz w:val="24"/>
              </w:rPr>
              <w:t>被保险人申请理赔时年龄必须在 </w:t>
            </w:r>
            <w:r>
              <w:rPr>
                <w:b/>
                <w:sz w:val="24"/>
              </w:rPr>
              <w:t>3</w:t>
            </w:r>
            <w:r>
              <w:rPr>
                <w:b/>
                <w:spacing w:val="-8"/>
                <w:sz w:val="24"/>
              </w:rPr>
              <w:t> 周岁以上，并且提供理赔当时的</w:t>
            </w:r>
            <w:r>
              <w:rPr>
                <w:b/>
                <w:spacing w:val="-8"/>
                <w:w w:val="95"/>
                <w:sz w:val="24"/>
              </w:rPr>
              <w:t>语言能力丧失诊断及检查证据。</w:t>
            </w:r>
          </w:p>
        </w:tc>
      </w:tr>
      <w:tr>
        <w:trPr>
          <w:trHeight w:val="216"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2183" w:hRule="atLeast"/>
        </w:trPr>
        <w:tc>
          <w:tcPr>
            <w:tcW w:w="852" w:type="dxa"/>
          </w:tcPr>
          <w:p>
            <w:pPr>
              <w:pStyle w:val="TableParagraph"/>
              <w:spacing w:line="254" w:lineRule="exact"/>
              <w:rPr>
                <w:b/>
                <w:sz w:val="21"/>
              </w:rPr>
            </w:pPr>
            <w:r>
              <w:rPr>
                <w:b/>
                <w:sz w:val="21"/>
              </w:rPr>
              <w:t>二十四</w:t>
            </w:r>
          </w:p>
        </w:tc>
        <w:tc>
          <w:tcPr>
            <w:tcW w:w="1931" w:type="dxa"/>
          </w:tcPr>
          <w:p>
            <w:pPr>
              <w:pStyle w:val="TableParagraph"/>
              <w:spacing w:line="254" w:lineRule="exact"/>
              <w:rPr>
                <w:b/>
                <w:sz w:val="21"/>
              </w:rPr>
            </w:pPr>
            <w:r>
              <w:rPr>
                <w:b/>
                <w:w w:val="95"/>
                <w:sz w:val="21"/>
              </w:rPr>
              <w:t>重型再生障碍性贫</w:t>
            </w:r>
          </w:p>
          <w:p>
            <w:pPr>
              <w:pStyle w:val="TableParagraph"/>
              <w:spacing w:before="37"/>
              <w:rPr>
                <w:b/>
                <w:sz w:val="21"/>
              </w:rPr>
            </w:pPr>
            <w:r>
              <w:rPr>
                <w:b/>
                <w:w w:val="99"/>
                <w:sz w:val="21"/>
              </w:rPr>
              <w:t>血</w:t>
            </w:r>
          </w:p>
        </w:tc>
        <w:tc>
          <w:tcPr>
            <w:tcW w:w="7307" w:type="dxa"/>
          </w:tcPr>
          <w:p>
            <w:pPr>
              <w:pStyle w:val="TableParagraph"/>
              <w:spacing w:line="254" w:lineRule="exact"/>
              <w:rPr>
                <w:sz w:val="21"/>
              </w:rPr>
            </w:pPr>
            <w:r>
              <w:rPr>
                <w:sz w:val="21"/>
              </w:rPr>
              <w:t>指因骨髓造血功能慢性持续性衰竭导致的贫血、中性粒细胞减少及血小板减</w:t>
            </w:r>
          </w:p>
          <w:p>
            <w:pPr>
              <w:pStyle w:val="TableParagraph"/>
              <w:spacing w:before="37"/>
              <w:rPr>
                <w:sz w:val="21"/>
              </w:rPr>
            </w:pPr>
            <w:r>
              <w:rPr>
                <w:sz w:val="21"/>
              </w:rPr>
              <w:t>少。须满足下列全部条件：</w:t>
            </w:r>
          </w:p>
          <w:p>
            <w:pPr>
              <w:pStyle w:val="TableParagraph"/>
              <w:spacing w:before="37"/>
              <w:rPr>
                <w:sz w:val="21"/>
              </w:rPr>
            </w:pPr>
            <w:r>
              <w:rPr>
                <w:sz w:val="21"/>
              </w:rPr>
              <w:t>（1）骨髓穿刺检查或骨髓活检结果支持诊断；</w:t>
            </w:r>
          </w:p>
          <w:p>
            <w:pPr>
              <w:pStyle w:val="TableParagraph"/>
              <w:spacing w:before="37"/>
              <w:rPr>
                <w:sz w:val="21"/>
              </w:rPr>
            </w:pPr>
            <w:r>
              <w:rPr>
                <w:sz w:val="21"/>
              </w:rPr>
              <w:t>（2）外周血象须具备以下三项条件：</w:t>
            </w:r>
          </w:p>
          <w:p>
            <w:pPr>
              <w:pStyle w:val="TableParagraph"/>
              <w:spacing w:before="37"/>
              <w:ind w:left="527"/>
              <w:rPr>
                <w:sz w:val="21"/>
              </w:rPr>
            </w:pPr>
            <w:r>
              <w:rPr>
                <w:sz w:val="21"/>
              </w:rPr>
              <w:t>① 中性粒细胞绝对值≤0.5×10</w:t>
            </w:r>
            <w:r>
              <w:rPr>
                <w:position w:val="11"/>
                <w:sz w:val="11"/>
              </w:rPr>
              <w:t>9</w:t>
            </w:r>
            <w:r>
              <w:rPr>
                <w:sz w:val="21"/>
              </w:rPr>
              <w:t>/L；</w:t>
            </w:r>
          </w:p>
          <w:p>
            <w:pPr>
              <w:pStyle w:val="TableParagraph"/>
              <w:spacing w:before="37"/>
              <w:ind w:left="527"/>
              <w:rPr>
                <w:sz w:val="21"/>
              </w:rPr>
            </w:pPr>
            <w:r>
              <w:rPr>
                <w:sz w:val="21"/>
              </w:rPr>
              <w:t>② 网织红细胞＜1%；</w:t>
            </w:r>
          </w:p>
          <w:p>
            <w:pPr>
              <w:pStyle w:val="TableParagraph"/>
              <w:spacing w:before="37"/>
              <w:ind w:left="527"/>
              <w:rPr>
                <w:sz w:val="21"/>
              </w:rPr>
            </w:pPr>
            <w:r>
              <w:rPr>
                <w:sz w:val="21"/>
              </w:rPr>
              <w:t>③ 血小板绝对值≤20×10</w:t>
            </w:r>
            <w:r>
              <w:rPr>
                <w:position w:val="11"/>
                <w:sz w:val="11"/>
              </w:rPr>
              <w:t>9</w:t>
            </w:r>
            <w:r>
              <w:rPr>
                <w:sz w:val="21"/>
              </w:rPr>
              <w:t>/L。</w:t>
            </w:r>
          </w:p>
        </w:tc>
      </w:tr>
      <w:tr>
        <w:trPr>
          <w:trHeight w:val="218"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247" w:hRule="atLeast"/>
        </w:trPr>
        <w:tc>
          <w:tcPr>
            <w:tcW w:w="852" w:type="dxa"/>
          </w:tcPr>
          <w:p>
            <w:pPr>
              <w:pStyle w:val="TableParagraph"/>
              <w:spacing w:line="254" w:lineRule="exact"/>
              <w:rPr>
                <w:b/>
                <w:sz w:val="21"/>
              </w:rPr>
            </w:pPr>
            <w:r>
              <w:rPr>
                <w:b/>
                <w:sz w:val="21"/>
              </w:rPr>
              <w:t>二十五</w:t>
            </w:r>
          </w:p>
        </w:tc>
        <w:tc>
          <w:tcPr>
            <w:tcW w:w="1931" w:type="dxa"/>
          </w:tcPr>
          <w:p>
            <w:pPr>
              <w:pStyle w:val="TableParagraph"/>
              <w:spacing w:line="254" w:lineRule="exact"/>
              <w:rPr>
                <w:b/>
                <w:sz w:val="21"/>
              </w:rPr>
            </w:pPr>
            <w:r>
              <w:rPr>
                <w:b/>
                <w:w w:val="95"/>
                <w:sz w:val="21"/>
              </w:rPr>
              <w:t>主动脉手术</w:t>
            </w:r>
          </w:p>
        </w:tc>
        <w:tc>
          <w:tcPr>
            <w:tcW w:w="7307" w:type="dxa"/>
          </w:tcPr>
          <w:p>
            <w:pPr>
              <w:pStyle w:val="TableParagraph"/>
              <w:spacing w:line="254" w:lineRule="exact"/>
              <w:rPr>
                <w:sz w:val="21"/>
              </w:rPr>
            </w:pPr>
            <w:r>
              <w:rPr>
                <w:sz w:val="21"/>
              </w:rPr>
              <w:t>指为治疗主动脉疾病，实际实施了开胸或开腹进行的切除、置换、修补病损主</w:t>
            </w:r>
          </w:p>
          <w:p>
            <w:pPr>
              <w:pStyle w:val="TableParagraph"/>
              <w:spacing w:line="273" w:lineRule="auto" w:before="37"/>
              <w:ind w:right="33"/>
              <w:rPr>
                <w:sz w:val="21"/>
              </w:rPr>
            </w:pPr>
            <w:r>
              <w:rPr>
                <w:sz w:val="21"/>
              </w:rPr>
              <w:t>动脉血管的手术。主动脉指胸主动脉和腹主动脉，不包括胸主动脉和腹主动脉的分支血管。</w:t>
            </w:r>
          </w:p>
          <w:p>
            <w:pPr>
              <w:pStyle w:val="TableParagraph"/>
              <w:spacing w:before="7"/>
              <w:rPr>
                <w:sz w:val="21"/>
              </w:rPr>
            </w:pPr>
            <w:r>
              <w:rPr>
                <w:sz w:val="21"/>
              </w:rPr>
              <w:t>动脉内血管成形术不在保障范围内。</w:t>
            </w:r>
          </w:p>
        </w:tc>
      </w:tr>
      <w:tr>
        <w:trPr>
          <w:trHeight w:val="216"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bl>
    <w:p>
      <w:pPr>
        <w:spacing w:after="0"/>
        <w:rPr>
          <w:rFonts w:ascii="Times New Roman"/>
          <w:sz w:val="14"/>
        </w:rPr>
        <w:sectPr>
          <w:pgSz w:w="11910" w:h="16840"/>
          <w:pgMar w:top="1140" w:bottom="280" w:left="800" w:right="78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1931"/>
        <w:gridCol w:w="7307"/>
      </w:tblGrid>
      <w:tr>
        <w:trPr>
          <w:trHeight w:val="623" w:hRule="atLeast"/>
        </w:trPr>
        <w:tc>
          <w:tcPr>
            <w:tcW w:w="852" w:type="dxa"/>
          </w:tcPr>
          <w:p>
            <w:pPr>
              <w:pStyle w:val="TableParagraph"/>
              <w:ind w:left="0"/>
              <w:rPr>
                <w:rFonts w:ascii="Times New Roman"/>
                <w:sz w:val="20"/>
              </w:rPr>
            </w:pPr>
          </w:p>
        </w:tc>
        <w:tc>
          <w:tcPr>
            <w:tcW w:w="1931" w:type="dxa"/>
          </w:tcPr>
          <w:p>
            <w:pPr>
              <w:pStyle w:val="TableParagraph"/>
              <w:ind w:left="0"/>
              <w:rPr>
                <w:rFonts w:ascii="Times New Roman"/>
                <w:sz w:val="20"/>
              </w:rPr>
            </w:pPr>
          </w:p>
        </w:tc>
        <w:tc>
          <w:tcPr>
            <w:tcW w:w="7307" w:type="dxa"/>
          </w:tcPr>
          <w:p>
            <w:pPr>
              <w:pStyle w:val="TableParagraph"/>
              <w:spacing w:line="254" w:lineRule="exact"/>
              <w:rPr>
                <w:b/>
                <w:sz w:val="21"/>
              </w:rPr>
            </w:pPr>
            <w:r>
              <w:rPr>
                <w:b/>
                <w:sz w:val="21"/>
              </w:rPr>
              <w:t>以上 25 种重大疾病的定义采用中国保险行业协会制定的《重大疾病保险的疾</w:t>
            </w:r>
          </w:p>
          <w:p>
            <w:pPr>
              <w:pStyle w:val="TableParagraph"/>
              <w:spacing w:before="37"/>
              <w:rPr>
                <w:b/>
                <w:sz w:val="21"/>
              </w:rPr>
            </w:pPr>
            <w:r>
              <w:rPr>
                <w:b/>
                <w:w w:val="95"/>
                <w:sz w:val="21"/>
              </w:rPr>
              <w:t>病定义使用规范》中的定义。</w:t>
            </w:r>
          </w:p>
        </w:tc>
      </w:tr>
      <w:tr>
        <w:trPr>
          <w:trHeight w:val="216"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248" w:hRule="atLeast"/>
        </w:trPr>
        <w:tc>
          <w:tcPr>
            <w:tcW w:w="852" w:type="dxa"/>
          </w:tcPr>
          <w:p>
            <w:pPr>
              <w:pStyle w:val="TableParagraph"/>
              <w:spacing w:line="255" w:lineRule="exact"/>
              <w:rPr>
                <w:b/>
                <w:sz w:val="21"/>
              </w:rPr>
            </w:pPr>
            <w:r>
              <w:rPr>
                <w:b/>
                <w:sz w:val="21"/>
              </w:rPr>
              <w:t>二十六</w:t>
            </w:r>
          </w:p>
        </w:tc>
        <w:tc>
          <w:tcPr>
            <w:tcW w:w="1931" w:type="dxa"/>
          </w:tcPr>
          <w:p>
            <w:pPr>
              <w:pStyle w:val="TableParagraph"/>
              <w:spacing w:line="255" w:lineRule="exact"/>
              <w:rPr>
                <w:b/>
                <w:sz w:val="21"/>
              </w:rPr>
            </w:pPr>
            <w:r>
              <w:rPr>
                <w:b/>
                <w:w w:val="95"/>
                <w:sz w:val="21"/>
              </w:rPr>
              <w:t>慢性呼吸功能衰竭</w:t>
            </w:r>
          </w:p>
        </w:tc>
        <w:tc>
          <w:tcPr>
            <w:tcW w:w="7307" w:type="dxa"/>
          </w:tcPr>
          <w:p>
            <w:pPr>
              <w:pStyle w:val="TableParagraph"/>
              <w:spacing w:line="255" w:lineRule="exact"/>
              <w:rPr>
                <w:sz w:val="21"/>
              </w:rPr>
            </w:pPr>
            <w:r>
              <w:rPr>
                <w:sz w:val="21"/>
              </w:rPr>
              <w:t>是指末期肺部疾病包括间质肺部疾病所引起的慢性呼吸功能衰竭。肺功能测验</w:t>
            </w:r>
          </w:p>
          <w:p>
            <w:pPr>
              <w:pStyle w:val="TableParagraph"/>
              <w:spacing w:line="273" w:lineRule="auto" w:before="37"/>
              <w:ind w:right="97"/>
              <w:jc w:val="both"/>
              <w:rPr>
                <w:sz w:val="21"/>
              </w:rPr>
            </w:pPr>
            <w:r>
              <w:rPr>
                <w:spacing w:val="-4"/>
                <w:sz w:val="21"/>
              </w:rPr>
              <w:t>FEV1（</w:t>
            </w:r>
            <w:r>
              <w:rPr>
                <w:sz w:val="21"/>
              </w:rPr>
              <w:t>第一秒钟末用力呼气量</w:t>
            </w:r>
            <w:r>
              <w:rPr>
                <w:spacing w:val="-17"/>
                <w:sz w:val="21"/>
              </w:rPr>
              <w:t>）</w:t>
            </w:r>
            <w:r>
              <w:rPr>
                <w:spacing w:val="-18"/>
                <w:sz w:val="21"/>
              </w:rPr>
              <w:t>少于 </w:t>
            </w:r>
            <w:r>
              <w:rPr>
                <w:sz w:val="21"/>
              </w:rPr>
              <w:t>1</w:t>
            </w:r>
            <w:r>
              <w:rPr>
                <w:spacing w:val="-9"/>
                <w:sz w:val="21"/>
              </w:rPr>
              <w:t> 公升且需要持久大量的氧气治疗，动脉</w:t>
            </w:r>
            <w:r>
              <w:rPr>
                <w:spacing w:val="-11"/>
                <w:sz w:val="21"/>
              </w:rPr>
              <w:t>血气分析结果符合重度呼吸衰竭诊断标准，静止时也感到呼吸困难。诊断必须</w:t>
            </w:r>
            <w:r>
              <w:rPr>
                <w:spacing w:val="-11"/>
                <w:w w:val="95"/>
                <w:sz w:val="21"/>
              </w:rPr>
              <w:t>由呼吸</w:t>
            </w:r>
            <w:r>
              <w:rPr>
                <w:b/>
                <w:spacing w:val="-11"/>
                <w:w w:val="95"/>
                <w:sz w:val="21"/>
              </w:rPr>
              <w:t>专科医生</w:t>
            </w:r>
            <w:r>
              <w:rPr>
                <w:spacing w:val="-11"/>
                <w:w w:val="95"/>
                <w:sz w:val="21"/>
              </w:rPr>
              <w:t>确认。</w:t>
            </w:r>
          </w:p>
        </w:tc>
      </w:tr>
      <w:tr>
        <w:trPr>
          <w:trHeight w:val="216"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559" w:hRule="atLeast"/>
        </w:trPr>
        <w:tc>
          <w:tcPr>
            <w:tcW w:w="852" w:type="dxa"/>
          </w:tcPr>
          <w:p>
            <w:pPr>
              <w:pStyle w:val="TableParagraph"/>
              <w:spacing w:line="254" w:lineRule="exact"/>
              <w:rPr>
                <w:b/>
                <w:sz w:val="21"/>
              </w:rPr>
            </w:pPr>
            <w:r>
              <w:rPr>
                <w:b/>
                <w:sz w:val="21"/>
              </w:rPr>
              <w:t>二十七</w:t>
            </w:r>
          </w:p>
        </w:tc>
        <w:tc>
          <w:tcPr>
            <w:tcW w:w="1931" w:type="dxa"/>
          </w:tcPr>
          <w:p>
            <w:pPr>
              <w:pStyle w:val="TableParagraph"/>
              <w:spacing w:line="254" w:lineRule="exact"/>
              <w:rPr>
                <w:b/>
                <w:sz w:val="21"/>
              </w:rPr>
            </w:pPr>
            <w:r>
              <w:rPr>
                <w:b/>
                <w:w w:val="95"/>
                <w:sz w:val="21"/>
              </w:rPr>
              <w:t>严重多发性硬化</w:t>
            </w:r>
          </w:p>
        </w:tc>
        <w:tc>
          <w:tcPr>
            <w:tcW w:w="7307" w:type="dxa"/>
          </w:tcPr>
          <w:p>
            <w:pPr>
              <w:pStyle w:val="TableParagraph"/>
              <w:spacing w:line="254" w:lineRule="exact"/>
              <w:rPr>
                <w:sz w:val="21"/>
              </w:rPr>
            </w:pPr>
            <w:r>
              <w:rPr>
                <w:sz w:val="21"/>
              </w:rPr>
              <w:t>多发性硬化为中枢神经系统白质多灶性脱髓鞘病变，病变有时累及灰质。多发</w:t>
            </w:r>
          </w:p>
          <w:p>
            <w:pPr>
              <w:pStyle w:val="TableParagraph"/>
              <w:spacing w:line="273" w:lineRule="auto" w:before="37"/>
              <w:ind w:right="30"/>
              <w:rPr>
                <w:sz w:val="21"/>
              </w:rPr>
            </w:pPr>
            <w:r>
              <w:rPr>
                <w:sz w:val="21"/>
              </w:rPr>
              <w:t>性硬化必须明确诊断，并且已经造成神经系统功能损害导致被保险人</w:t>
            </w:r>
            <w:r>
              <w:rPr>
                <w:b/>
                <w:sz w:val="21"/>
              </w:rPr>
              <w:t>永久不可逆</w:t>
            </w:r>
            <w:r>
              <w:rPr>
                <w:sz w:val="21"/>
              </w:rPr>
              <w:t>性的无法独立完成下列基本日常生活活动：</w:t>
            </w:r>
          </w:p>
          <w:p>
            <w:pPr>
              <w:pStyle w:val="TableParagraph"/>
              <w:spacing w:before="7"/>
              <w:rPr>
                <w:sz w:val="21"/>
              </w:rPr>
            </w:pPr>
            <w:r>
              <w:rPr>
                <w:sz w:val="21"/>
              </w:rPr>
              <w:t>（1）移动：自己从一个房间移动到另一个房间；或者</w:t>
            </w:r>
          </w:p>
          <w:p>
            <w:pPr>
              <w:pStyle w:val="TableParagraph"/>
              <w:spacing w:before="36"/>
              <w:rPr>
                <w:sz w:val="21"/>
              </w:rPr>
            </w:pPr>
            <w:r>
              <w:rPr>
                <w:sz w:val="21"/>
              </w:rPr>
              <w:t>（2）进食：自己从已准备好的碗或碟中取食物放入口中。</w:t>
            </w:r>
          </w:p>
        </w:tc>
      </w:tr>
      <w:tr>
        <w:trPr>
          <w:trHeight w:val="216"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248" w:hRule="atLeast"/>
        </w:trPr>
        <w:tc>
          <w:tcPr>
            <w:tcW w:w="852" w:type="dxa"/>
          </w:tcPr>
          <w:p>
            <w:pPr>
              <w:pStyle w:val="TableParagraph"/>
              <w:spacing w:line="255" w:lineRule="exact"/>
              <w:rPr>
                <w:b/>
                <w:sz w:val="21"/>
              </w:rPr>
            </w:pPr>
            <w:r>
              <w:rPr>
                <w:b/>
                <w:sz w:val="21"/>
              </w:rPr>
              <w:t>二十八</w:t>
            </w:r>
          </w:p>
        </w:tc>
        <w:tc>
          <w:tcPr>
            <w:tcW w:w="1931" w:type="dxa"/>
          </w:tcPr>
          <w:p>
            <w:pPr>
              <w:pStyle w:val="TableParagraph"/>
              <w:spacing w:line="255" w:lineRule="exact"/>
              <w:rPr>
                <w:b/>
                <w:sz w:val="21"/>
              </w:rPr>
            </w:pPr>
            <w:r>
              <w:rPr>
                <w:b/>
                <w:w w:val="95"/>
                <w:sz w:val="21"/>
              </w:rPr>
              <w:t>严重冠心病</w:t>
            </w:r>
          </w:p>
        </w:tc>
        <w:tc>
          <w:tcPr>
            <w:tcW w:w="7307" w:type="dxa"/>
          </w:tcPr>
          <w:p>
            <w:pPr>
              <w:pStyle w:val="TableParagraph"/>
              <w:spacing w:line="255" w:lineRule="exact"/>
              <w:rPr>
                <w:sz w:val="21"/>
              </w:rPr>
            </w:pPr>
            <w:r>
              <w:rPr>
                <w:w w:val="95"/>
                <w:sz w:val="21"/>
              </w:rPr>
              <w:t>指经心脏科</w:t>
            </w:r>
            <w:r>
              <w:rPr>
                <w:b/>
                <w:w w:val="95"/>
                <w:sz w:val="21"/>
              </w:rPr>
              <w:t>专科医生</w:t>
            </w:r>
            <w:r>
              <w:rPr>
                <w:w w:val="95"/>
                <w:sz w:val="21"/>
              </w:rPr>
              <w:t>根据冠状动脉造影检查结果确诊的三支主要血管（左冠状</w:t>
            </w:r>
          </w:p>
          <w:p>
            <w:pPr>
              <w:pStyle w:val="TableParagraph"/>
              <w:spacing w:line="273" w:lineRule="auto" w:before="37"/>
              <w:ind w:right="46"/>
              <w:jc w:val="both"/>
              <w:rPr>
                <w:sz w:val="21"/>
              </w:rPr>
            </w:pPr>
            <w:r>
              <w:rPr>
                <w:spacing w:val="-10"/>
                <w:sz w:val="21"/>
              </w:rPr>
              <w:t>动脉主干和右冠状动脉，或前降支、左旋支和右冠状动脉</w:t>
            </w:r>
            <w:r>
              <w:rPr>
                <w:spacing w:val="-65"/>
                <w:sz w:val="21"/>
              </w:rPr>
              <w:t>）</w:t>
            </w:r>
            <w:r>
              <w:rPr>
                <w:spacing w:val="-10"/>
                <w:sz w:val="21"/>
              </w:rPr>
              <w:t>严重狭窄性病变</w:t>
            </w:r>
            <w:r>
              <w:rPr>
                <w:sz w:val="21"/>
              </w:rPr>
              <w:t>（至</w:t>
            </w:r>
            <w:r>
              <w:rPr>
                <w:spacing w:val="-5"/>
                <w:sz w:val="21"/>
              </w:rPr>
              <w:t>少一支血管管腔直径减少 </w:t>
            </w:r>
            <w:r>
              <w:rPr>
                <w:sz w:val="21"/>
              </w:rPr>
              <w:t>75％</w:t>
            </w:r>
            <w:r>
              <w:rPr>
                <w:spacing w:val="-4"/>
                <w:sz w:val="21"/>
              </w:rPr>
              <w:t>以上和其他两支血管管腔直径减少 </w:t>
            </w:r>
            <w:r>
              <w:rPr>
                <w:sz w:val="21"/>
              </w:rPr>
              <w:t>60％以上</w:t>
            </w:r>
            <w:r>
              <w:rPr>
                <w:spacing w:val="-105"/>
                <w:sz w:val="21"/>
              </w:rPr>
              <w:t>）</w:t>
            </w:r>
            <w:r>
              <w:rPr>
                <w:sz w:val="21"/>
              </w:rPr>
              <w:t>。前降支、左旋支及右冠状动脉的分支血管的狭窄不作为本保障的衡量指标。</w:t>
            </w:r>
          </w:p>
        </w:tc>
      </w:tr>
      <w:tr>
        <w:trPr>
          <w:trHeight w:val="216"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935" w:hRule="atLeast"/>
        </w:trPr>
        <w:tc>
          <w:tcPr>
            <w:tcW w:w="852" w:type="dxa"/>
          </w:tcPr>
          <w:p>
            <w:pPr>
              <w:pStyle w:val="TableParagraph"/>
              <w:spacing w:line="254" w:lineRule="exact"/>
              <w:rPr>
                <w:b/>
                <w:sz w:val="21"/>
              </w:rPr>
            </w:pPr>
            <w:r>
              <w:rPr>
                <w:b/>
                <w:sz w:val="21"/>
              </w:rPr>
              <w:t>二十九</w:t>
            </w:r>
          </w:p>
        </w:tc>
        <w:tc>
          <w:tcPr>
            <w:tcW w:w="1931" w:type="dxa"/>
          </w:tcPr>
          <w:p>
            <w:pPr>
              <w:pStyle w:val="TableParagraph"/>
              <w:spacing w:line="254" w:lineRule="exact"/>
              <w:rPr>
                <w:b/>
                <w:sz w:val="21"/>
              </w:rPr>
            </w:pPr>
            <w:r>
              <w:rPr>
                <w:b/>
                <w:w w:val="95"/>
                <w:sz w:val="21"/>
              </w:rPr>
              <w:t>严重心肌病</w:t>
            </w:r>
          </w:p>
        </w:tc>
        <w:tc>
          <w:tcPr>
            <w:tcW w:w="7307" w:type="dxa"/>
          </w:tcPr>
          <w:p>
            <w:pPr>
              <w:pStyle w:val="TableParagraph"/>
              <w:spacing w:line="254" w:lineRule="exact"/>
              <w:rPr>
                <w:sz w:val="21"/>
              </w:rPr>
            </w:pPr>
            <w:r>
              <w:rPr>
                <w:w w:val="95"/>
                <w:sz w:val="21"/>
              </w:rPr>
              <w:t>指被保险人因心肌病导致慢性心功能损害造成</w:t>
            </w:r>
            <w:r>
              <w:rPr>
                <w:b/>
                <w:w w:val="95"/>
                <w:sz w:val="21"/>
              </w:rPr>
              <w:t>永久不可逆</w:t>
            </w:r>
            <w:r>
              <w:rPr>
                <w:w w:val="95"/>
                <w:sz w:val="21"/>
              </w:rPr>
              <w:t>性的心功能衰竭。心</w:t>
            </w:r>
          </w:p>
          <w:p>
            <w:pPr>
              <w:pStyle w:val="TableParagraph"/>
              <w:spacing w:line="273" w:lineRule="auto" w:before="37"/>
              <w:ind w:right="153"/>
              <w:rPr>
                <w:sz w:val="21"/>
              </w:rPr>
            </w:pPr>
            <w:r>
              <w:rPr>
                <w:spacing w:val="-3"/>
                <w:sz w:val="21"/>
              </w:rPr>
              <w:t>功能衰竭程度达到纽约心脏病学会的心功能分级标准之心功能 </w:t>
            </w:r>
            <w:r>
              <w:rPr>
                <w:sz w:val="21"/>
              </w:rPr>
              <w:t>IV</w:t>
            </w:r>
            <w:r>
              <w:rPr>
                <w:spacing w:val="-12"/>
                <w:sz w:val="21"/>
              </w:rPr>
              <w:t> 级。被保险</w:t>
            </w:r>
            <w:r>
              <w:rPr>
                <w:spacing w:val="-1"/>
                <w:w w:val="95"/>
                <w:sz w:val="21"/>
              </w:rPr>
              <w:t>人</w:t>
            </w:r>
            <w:r>
              <w:rPr>
                <w:b/>
                <w:spacing w:val="-1"/>
                <w:w w:val="95"/>
                <w:sz w:val="21"/>
              </w:rPr>
              <w:t>永久不可逆</w:t>
            </w:r>
            <w:r>
              <w:rPr>
                <w:spacing w:val="-1"/>
                <w:w w:val="95"/>
                <w:sz w:val="21"/>
              </w:rPr>
              <w:t>性的体力活动能力受限，不能从事任何体力活动。</w:t>
            </w:r>
          </w:p>
        </w:tc>
      </w:tr>
      <w:tr>
        <w:trPr>
          <w:trHeight w:val="216"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4056" w:hRule="atLeast"/>
        </w:trPr>
        <w:tc>
          <w:tcPr>
            <w:tcW w:w="852" w:type="dxa"/>
          </w:tcPr>
          <w:p>
            <w:pPr>
              <w:pStyle w:val="TableParagraph"/>
              <w:spacing w:line="255" w:lineRule="exact"/>
              <w:rPr>
                <w:b/>
                <w:sz w:val="21"/>
              </w:rPr>
            </w:pPr>
            <w:r>
              <w:rPr>
                <w:b/>
                <w:sz w:val="21"/>
              </w:rPr>
              <w:t>三十</w:t>
            </w:r>
          </w:p>
        </w:tc>
        <w:tc>
          <w:tcPr>
            <w:tcW w:w="1931" w:type="dxa"/>
          </w:tcPr>
          <w:p>
            <w:pPr>
              <w:pStyle w:val="TableParagraph"/>
              <w:spacing w:line="255" w:lineRule="exact"/>
              <w:rPr>
                <w:b/>
                <w:sz w:val="21"/>
              </w:rPr>
            </w:pPr>
            <w:r>
              <w:rPr>
                <w:b/>
                <w:w w:val="95"/>
                <w:sz w:val="21"/>
              </w:rPr>
              <w:t>系统性红斑狼疮－</w:t>
            </w:r>
          </w:p>
          <w:p>
            <w:pPr>
              <w:pStyle w:val="TableParagraph"/>
              <w:spacing w:line="273" w:lineRule="auto" w:before="37"/>
              <w:ind w:right="174"/>
              <w:rPr>
                <w:b/>
                <w:sz w:val="21"/>
              </w:rPr>
            </w:pPr>
            <w:r>
              <w:rPr>
                <w:b/>
                <w:sz w:val="21"/>
              </w:rPr>
              <w:t>III</w:t>
            </w:r>
            <w:r>
              <w:rPr>
                <w:b/>
                <w:spacing w:val="-29"/>
                <w:sz w:val="21"/>
              </w:rPr>
              <w:t> 型或 </w:t>
            </w:r>
            <w:r>
              <w:rPr>
                <w:b/>
                <w:sz w:val="21"/>
              </w:rPr>
              <w:t>III</w:t>
            </w:r>
            <w:r>
              <w:rPr>
                <w:b/>
                <w:spacing w:val="-19"/>
                <w:sz w:val="21"/>
              </w:rPr>
              <w:t> 型以</w:t>
            </w:r>
            <w:r>
              <w:rPr>
                <w:b/>
                <w:spacing w:val="-19"/>
                <w:w w:val="95"/>
                <w:sz w:val="21"/>
              </w:rPr>
              <w:t>上狼疮性肾炎</w:t>
            </w:r>
          </w:p>
        </w:tc>
        <w:tc>
          <w:tcPr>
            <w:tcW w:w="7307" w:type="dxa"/>
          </w:tcPr>
          <w:p>
            <w:pPr>
              <w:pStyle w:val="TableParagraph"/>
              <w:spacing w:line="255" w:lineRule="exact"/>
              <w:rPr>
                <w:sz w:val="21"/>
              </w:rPr>
            </w:pPr>
            <w:r>
              <w:rPr>
                <w:sz w:val="21"/>
              </w:rPr>
              <w:t>系统性红斑狼疮是由多种因素引起，累及多系统的自身免疫性疾病。其特点是</w:t>
            </w:r>
          </w:p>
          <w:p>
            <w:pPr>
              <w:pStyle w:val="TableParagraph"/>
              <w:spacing w:before="37"/>
              <w:rPr>
                <w:sz w:val="21"/>
              </w:rPr>
            </w:pPr>
            <w:r>
              <w:rPr>
                <w:sz w:val="21"/>
              </w:rPr>
              <w:t>生成自身抗体对抗多种自身抗原。多见于育龄妇女。</w:t>
            </w:r>
          </w:p>
          <w:p>
            <w:pPr>
              <w:pStyle w:val="TableParagraph"/>
              <w:spacing w:line="273" w:lineRule="auto" w:before="37"/>
              <w:ind w:right="-15"/>
              <w:rPr>
                <w:sz w:val="21"/>
              </w:rPr>
            </w:pPr>
            <w:r>
              <w:rPr>
                <w:sz w:val="21"/>
              </w:rPr>
              <w:t>本保单所指的系统性红斑狼疮仅限于累及肾脏（</w:t>
            </w:r>
            <w:r>
              <w:rPr>
                <w:spacing w:val="-5"/>
                <w:sz w:val="21"/>
              </w:rPr>
              <w:t>经肾脏活检确认的，符合 </w:t>
            </w:r>
            <w:r>
              <w:rPr>
                <w:sz w:val="21"/>
              </w:rPr>
              <w:t>WHO </w:t>
            </w:r>
            <w:r>
              <w:rPr>
                <w:spacing w:val="-8"/>
                <w:sz w:val="21"/>
              </w:rPr>
              <w:t>诊断标准定义 </w:t>
            </w:r>
            <w:r>
              <w:rPr>
                <w:sz w:val="21"/>
              </w:rPr>
              <w:t>III</w:t>
            </w:r>
            <w:r>
              <w:rPr>
                <w:spacing w:val="-2"/>
                <w:sz w:val="21"/>
              </w:rPr>
              <w:t> 型或</w:t>
            </w:r>
            <w:r>
              <w:rPr>
                <w:sz w:val="21"/>
              </w:rPr>
              <w:t>III</w:t>
            </w:r>
            <w:r>
              <w:rPr>
                <w:spacing w:val="-8"/>
                <w:sz w:val="21"/>
              </w:rPr>
              <w:t> 型以上狼疮性肾炎</w:t>
            </w:r>
            <w:r>
              <w:rPr>
                <w:spacing w:val="-26"/>
                <w:sz w:val="21"/>
              </w:rPr>
              <w:t>）</w:t>
            </w:r>
            <w:r>
              <w:rPr>
                <w:spacing w:val="-3"/>
                <w:sz w:val="21"/>
              </w:rPr>
              <w:t>的系统性红斑狼疮。其他类型</w:t>
            </w:r>
            <w:r>
              <w:rPr>
                <w:spacing w:val="-14"/>
                <w:sz w:val="21"/>
              </w:rPr>
              <w:t>的红斑性狼疮，如盘状狼疮、仅累及血液及关节的狼疮不在本保单保障范围內。</w:t>
            </w:r>
            <w:r>
              <w:rPr>
                <w:spacing w:val="-14"/>
                <w:w w:val="95"/>
                <w:sz w:val="21"/>
              </w:rPr>
              <w:t>本病必须由免疫和风湿科</w:t>
            </w:r>
            <w:r>
              <w:rPr>
                <w:b/>
                <w:spacing w:val="-14"/>
                <w:w w:val="95"/>
                <w:sz w:val="21"/>
              </w:rPr>
              <w:t>专科医生</w:t>
            </w:r>
            <w:r>
              <w:rPr>
                <w:spacing w:val="-14"/>
                <w:w w:val="95"/>
                <w:sz w:val="21"/>
              </w:rPr>
              <w:t>确诊。</w:t>
            </w:r>
          </w:p>
          <w:p>
            <w:pPr>
              <w:pStyle w:val="TableParagraph"/>
              <w:spacing w:before="7"/>
              <w:rPr>
                <w:sz w:val="21"/>
              </w:rPr>
            </w:pPr>
            <w:r>
              <w:rPr>
                <w:sz w:val="21"/>
              </w:rPr>
              <w:t>世界卫生组织（WHO） 狼疮型肾炎分型：</w:t>
            </w:r>
          </w:p>
          <w:p>
            <w:pPr>
              <w:pStyle w:val="TableParagraph"/>
              <w:numPr>
                <w:ilvl w:val="0"/>
                <w:numId w:val="13"/>
              </w:numPr>
              <w:tabs>
                <w:tab w:pos="267" w:val="left" w:leader="none"/>
                <w:tab w:pos="2208" w:val="left" w:leader="none"/>
              </w:tabs>
              <w:spacing w:line="240" w:lineRule="auto" w:before="36" w:after="0"/>
              <w:ind w:left="266" w:right="0" w:hanging="159"/>
              <w:jc w:val="left"/>
              <w:rPr>
                <w:sz w:val="21"/>
              </w:rPr>
            </w:pPr>
            <w:r>
              <w:rPr>
                <w:sz w:val="21"/>
              </w:rPr>
              <w:t>型</w:t>
              <w:tab/>
            </w:r>
            <w:r>
              <w:rPr>
                <w:spacing w:val="-1"/>
                <w:sz w:val="21"/>
              </w:rPr>
              <w:t>微小病型</w:t>
            </w:r>
          </w:p>
          <w:p>
            <w:pPr>
              <w:pStyle w:val="TableParagraph"/>
              <w:numPr>
                <w:ilvl w:val="0"/>
                <w:numId w:val="13"/>
              </w:numPr>
              <w:tabs>
                <w:tab w:pos="372" w:val="left" w:leader="none"/>
                <w:tab w:pos="2208" w:val="left" w:leader="none"/>
              </w:tabs>
              <w:spacing w:line="240" w:lineRule="auto" w:before="36" w:after="0"/>
              <w:ind w:left="371" w:right="0" w:hanging="264"/>
              <w:jc w:val="left"/>
              <w:rPr>
                <w:sz w:val="21"/>
              </w:rPr>
            </w:pPr>
            <w:r>
              <w:rPr>
                <w:sz w:val="21"/>
              </w:rPr>
              <w:t>型</w:t>
              <w:tab/>
            </w:r>
            <w:r>
              <w:rPr>
                <w:spacing w:val="-1"/>
                <w:sz w:val="21"/>
              </w:rPr>
              <w:t>系膜</w:t>
            </w:r>
            <w:r>
              <w:rPr>
                <w:sz w:val="21"/>
              </w:rPr>
              <w:t>病变型</w:t>
            </w:r>
          </w:p>
          <w:p>
            <w:pPr>
              <w:pStyle w:val="TableParagraph"/>
              <w:numPr>
                <w:ilvl w:val="0"/>
                <w:numId w:val="13"/>
              </w:numPr>
              <w:tabs>
                <w:tab w:pos="477" w:val="left" w:leader="none"/>
                <w:tab w:pos="2208" w:val="left" w:leader="none"/>
              </w:tabs>
              <w:spacing w:line="240" w:lineRule="auto" w:before="36" w:after="0"/>
              <w:ind w:left="476" w:right="0" w:hanging="369"/>
              <w:jc w:val="left"/>
              <w:rPr>
                <w:sz w:val="21"/>
              </w:rPr>
            </w:pPr>
            <w:r>
              <w:rPr>
                <w:sz w:val="21"/>
              </w:rPr>
              <w:t>型</w:t>
              <w:tab/>
            </w:r>
            <w:r>
              <w:rPr>
                <w:spacing w:val="-1"/>
                <w:sz w:val="21"/>
              </w:rPr>
              <w:t>局灶</w:t>
            </w:r>
            <w:r>
              <w:rPr>
                <w:sz w:val="21"/>
              </w:rPr>
              <w:t>及节段增生型</w:t>
            </w:r>
          </w:p>
          <w:p>
            <w:pPr>
              <w:pStyle w:val="TableParagraph"/>
              <w:numPr>
                <w:ilvl w:val="0"/>
                <w:numId w:val="13"/>
              </w:numPr>
              <w:tabs>
                <w:tab w:pos="372" w:val="left" w:leader="none"/>
                <w:tab w:pos="2208" w:val="left" w:leader="none"/>
              </w:tabs>
              <w:spacing w:line="240" w:lineRule="auto" w:before="36" w:after="0"/>
              <w:ind w:left="371" w:right="0" w:hanging="264"/>
              <w:jc w:val="left"/>
              <w:rPr>
                <w:sz w:val="21"/>
              </w:rPr>
            </w:pPr>
            <w:r>
              <w:rPr>
                <w:sz w:val="21"/>
              </w:rPr>
              <w:t>型</w:t>
              <w:tab/>
            </w:r>
            <w:r>
              <w:rPr>
                <w:spacing w:val="-1"/>
                <w:sz w:val="21"/>
              </w:rPr>
              <w:t>弥漫</w:t>
            </w:r>
            <w:r>
              <w:rPr>
                <w:sz w:val="21"/>
              </w:rPr>
              <w:t>增生型</w:t>
            </w:r>
          </w:p>
          <w:p>
            <w:pPr>
              <w:pStyle w:val="TableParagraph"/>
              <w:numPr>
                <w:ilvl w:val="0"/>
                <w:numId w:val="13"/>
              </w:numPr>
              <w:tabs>
                <w:tab w:pos="267" w:val="left" w:leader="none"/>
                <w:tab w:pos="2209" w:val="left" w:leader="none"/>
              </w:tabs>
              <w:spacing w:line="240" w:lineRule="auto" w:before="36" w:after="0"/>
              <w:ind w:left="266" w:right="0" w:hanging="159"/>
              <w:jc w:val="left"/>
              <w:rPr>
                <w:sz w:val="21"/>
              </w:rPr>
            </w:pPr>
            <w:r>
              <w:rPr>
                <w:sz w:val="21"/>
              </w:rPr>
              <w:t>型</w:t>
              <w:tab/>
            </w:r>
            <w:r>
              <w:rPr>
                <w:spacing w:val="-1"/>
                <w:sz w:val="21"/>
              </w:rPr>
              <w:t>膜型</w:t>
            </w:r>
          </w:p>
          <w:p>
            <w:pPr>
              <w:pStyle w:val="TableParagraph"/>
              <w:numPr>
                <w:ilvl w:val="0"/>
                <w:numId w:val="13"/>
              </w:numPr>
              <w:tabs>
                <w:tab w:pos="372" w:val="left" w:leader="none"/>
                <w:tab w:pos="2208" w:val="left" w:leader="none"/>
              </w:tabs>
              <w:spacing w:line="240" w:lineRule="auto" w:before="36" w:after="0"/>
              <w:ind w:left="371" w:right="0" w:hanging="264"/>
              <w:jc w:val="left"/>
              <w:rPr>
                <w:sz w:val="21"/>
              </w:rPr>
            </w:pPr>
            <w:r>
              <w:rPr>
                <w:sz w:val="21"/>
              </w:rPr>
              <w:t>型</w:t>
              <w:tab/>
            </w:r>
            <w:r>
              <w:rPr>
                <w:spacing w:val="-1"/>
                <w:sz w:val="21"/>
              </w:rPr>
              <w:t>肾小</w:t>
            </w:r>
            <w:r>
              <w:rPr>
                <w:sz w:val="21"/>
              </w:rPr>
              <w:t>球硬化型</w:t>
            </w:r>
          </w:p>
        </w:tc>
      </w:tr>
      <w:tr>
        <w:trPr>
          <w:trHeight w:val="216"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3432" w:hRule="atLeast"/>
        </w:trPr>
        <w:tc>
          <w:tcPr>
            <w:tcW w:w="852" w:type="dxa"/>
          </w:tcPr>
          <w:p>
            <w:pPr>
              <w:pStyle w:val="TableParagraph"/>
              <w:spacing w:line="254" w:lineRule="exact"/>
              <w:rPr>
                <w:b/>
                <w:sz w:val="21"/>
              </w:rPr>
            </w:pPr>
            <w:r>
              <w:rPr>
                <w:b/>
                <w:sz w:val="21"/>
              </w:rPr>
              <w:t>三十一</w:t>
            </w:r>
          </w:p>
        </w:tc>
        <w:tc>
          <w:tcPr>
            <w:tcW w:w="1931" w:type="dxa"/>
          </w:tcPr>
          <w:p>
            <w:pPr>
              <w:pStyle w:val="TableParagraph"/>
              <w:spacing w:line="254" w:lineRule="exact"/>
              <w:rPr>
                <w:b/>
                <w:sz w:val="21"/>
              </w:rPr>
            </w:pPr>
            <w:r>
              <w:rPr>
                <w:b/>
                <w:w w:val="95"/>
                <w:sz w:val="21"/>
              </w:rPr>
              <w:t>经输血导致的人类</w:t>
            </w:r>
          </w:p>
          <w:p>
            <w:pPr>
              <w:pStyle w:val="TableParagraph"/>
              <w:spacing w:before="37"/>
              <w:rPr>
                <w:b/>
                <w:sz w:val="21"/>
              </w:rPr>
            </w:pPr>
            <w:r>
              <w:rPr>
                <w:b/>
                <w:w w:val="95"/>
                <w:sz w:val="21"/>
              </w:rPr>
              <w:t>免疫缺陷病毒感染</w:t>
            </w:r>
          </w:p>
        </w:tc>
        <w:tc>
          <w:tcPr>
            <w:tcW w:w="7307" w:type="dxa"/>
          </w:tcPr>
          <w:p>
            <w:pPr>
              <w:pStyle w:val="TableParagraph"/>
              <w:spacing w:line="254" w:lineRule="exact"/>
              <w:rPr>
                <w:sz w:val="21"/>
              </w:rPr>
            </w:pPr>
            <w:r>
              <w:rPr>
                <w:sz w:val="21"/>
              </w:rPr>
              <w:t>被保险人感染上人类免疫缺陷病毒（HIV）并且满足下列全部条件：</w:t>
            </w:r>
          </w:p>
          <w:p>
            <w:pPr>
              <w:pStyle w:val="TableParagraph"/>
              <w:spacing w:line="273" w:lineRule="auto" w:before="37"/>
              <w:ind w:left="611" w:right="152" w:hanging="504"/>
              <w:rPr>
                <w:sz w:val="21"/>
              </w:rPr>
            </w:pPr>
            <w:r>
              <w:rPr>
                <w:sz w:val="21"/>
              </w:rPr>
              <w:t>（1）造成感染的输血事件发生在本附加合同生效日或最后复效日（以较迟者为准）之后；</w:t>
            </w:r>
          </w:p>
          <w:p>
            <w:pPr>
              <w:pStyle w:val="TableParagraph"/>
              <w:spacing w:line="273" w:lineRule="auto" w:before="7"/>
              <w:ind w:left="611" w:right="150" w:hanging="504"/>
              <w:rPr>
                <w:sz w:val="21"/>
              </w:rPr>
            </w:pPr>
            <w:r>
              <w:rPr>
                <w:sz w:val="21"/>
              </w:rPr>
              <w:t>（2）提供输血治疗的输血中心或</w:t>
            </w:r>
            <w:r>
              <w:rPr>
                <w:b/>
                <w:sz w:val="21"/>
              </w:rPr>
              <w:t>医院</w:t>
            </w:r>
            <w:r>
              <w:rPr>
                <w:sz w:val="21"/>
              </w:rPr>
              <w:t>出具该项输血感染属医疗责任事故的报告，或者法院终审裁定为医疗责任并且不准上诉；</w:t>
            </w:r>
          </w:p>
          <w:p>
            <w:pPr>
              <w:pStyle w:val="TableParagraph"/>
              <w:spacing w:before="7"/>
              <w:rPr>
                <w:sz w:val="21"/>
              </w:rPr>
            </w:pPr>
            <w:r>
              <w:rPr>
                <w:w w:val="95"/>
                <w:sz w:val="21"/>
              </w:rPr>
              <w:t>（3）提供输血治疗的输血中心或</w:t>
            </w:r>
            <w:r>
              <w:rPr>
                <w:b/>
                <w:w w:val="95"/>
                <w:sz w:val="21"/>
              </w:rPr>
              <w:t>医院</w:t>
            </w:r>
            <w:r>
              <w:rPr>
                <w:w w:val="95"/>
                <w:sz w:val="21"/>
              </w:rPr>
              <w:t>必须拥有合法经营执照；</w:t>
            </w:r>
          </w:p>
          <w:p>
            <w:pPr>
              <w:pStyle w:val="TableParagraph"/>
              <w:spacing w:before="37"/>
              <w:rPr>
                <w:sz w:val="21"/>
              </w:rPr>
            </w:pPr>
            <w:r>
              <w:rPr>
                <w:sz w:val="21"/>
              </w:rPr>
              <w:t>（4）受感染的被保险人不是血友病患者。</w:t>
            </w:r>
          </w:p>
          <w:p>
            <w:pPr>
              <w:pStyle w:val="TableParagraph"/>
              <w:spacing w:before="37"/>
              <w:rPr>
                <w:sz w:val="21"/>
              </w:rPr>
            </w:pPr>
            <w:r>
              <w:rPr>
                <w:spacing w:val="-3"/>
                <w:sz w:val="21"/>
              </w:rPr>
              <w:t>在任何治愈艾滋病（AIDS）</w:t>
            </w:r>
            <w:r>
              <w:rPr>
                <w:spacing w:val="-14"/>
                <w:sz w:val="21"/>
              </w:rPr>
              <w:t>或阻止 </w:t>
            </w:r>
            <w:r>
              <w:rPr>
                <w:sz w:val="21"/>
              </w:rPr>
              <w:t>HIV</w:t>
            </w:r>
            <w:r>
              <w:rPr>
                <w:spacing w:val="-9"/>
                <w:sz w:val="21"/>
              </w:rPr>
              <w:t> 病毒作用的疗法被发现以后，或能防止</w:t>
            </w:r>
          </w:p>
          <w:p>
            <w:pPr>
              <w:pStyle w:val="TableParagraph"/>
              <w:spacing w:before="37"/>
              <w:rPr>
                <w:sz w:val="21"/>
              </w:rPr>
            </w:pPr>
            <w:r>
              <w:rPr>
                <w:sz w:val="21"/>
              </w:rPr>
              <w:t>AIDS 发生的医疗方法被研究出来以后，本保障将不再予以赔付。</w:t>
            </w:r>
          </w:p>
          <w:p>
            <w:pPr>
              <w:pStyle w:val="TableParagraph"/>
              <w:spacing w:line="273" w:lineRule="auto" w:before="37"/>
              <w:ind w:right="97"/>
              <w:rPr>
                <w:sz w:val="21"/>
              </w:rPr>
            </w:pPr>
            <w:r>
              <w:rPr>
                <w:spacing w:val="-2"/>
                <w:sz w:val="21"/>
              </w:rPr>
              <w:t>任何因其他传播方式</w:t>
            </w:r>
            <w:r>
              <w:rPr>
                <w:sz w:val="21"/>
              </w:rPr>
              <w:t>（</w:t>
            </w:r>
            <w:r>
              <w:rPr>
                <w:spacing w:val="-4"/>
                <w:sz w:val="21"/>
              </w:rPr>
              <w:t>包括：性传播或静脉注射毒品</w:t>
            </w:r>
            <w:r>
              <w:rPr>
                <w:spacing w:val="-17"/>
                <w:sz w:val="21"/>
              </w:rPr>
              <w:t>）</w:t>
            </w:r>
            <w:r>
              <w:rPr>
                <w:spacing w:val="-14"/>
                <w:sz w:val="21"/>
              </w:rPr>
              <w:t>导致的 </w:t>
            </w:r>
            <w:r>
              <w:rPr>
                <w:sz w:val="21"/>
              </w:rPr>
              <w:t>HIV</w:t>
            </w:r>
            <w:r>
              <w:rPr>
                <w:spacing w:val="-10"/>
                <w:sz w:val="21"/>
              </w:rPr>
              <w:t> 感染不在本</w:t>
            </w:r>
            <w:r>
              <w:rPr>
                <w:spacing w:val="-12"/>
                <w:sz w:val="21"/>
              </w:rPr>
              <w:t>保单保障范围内。保险公司必须拥有获得使用被保险人的所有血液样本的权利</w:t>
            </w:r>
          </w:p>
        </w:tc>
      </w:tr>
    </w:tbl>
    <w:p>
      <w:pPr>
        <w:spacing w:after="0" w:line="273" w:lineRule="auto"/>
        <w:rPr>
          <w:sz w:val="21"/>
        </w:rPr>
        <w:sectPr>
          <w:pgSz w:w="11910" w:h="16840"/>
          <w:pgMar w:top="1140" w:bottom="280" w:left="800" w:right="78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1931"/>
        <w:gridCol w:w="7307"/>
      </w:tblGrid>
      <w:tr>
        <w:trPr>
          <w:trHeight w:val="311" w:hRule="atLeast"/>
        </w:trPr>
        <w:tc>
          <w:tcPr>
            <w:tcW w:w="852" w:type="dxa"/>
          </w:tcPr>
          <w:p>
            <w:pPr>
              <w:pStyle w:val="TableParagraph"/>
              <w:ind w:left="0"/>
              <w:rPr>
                <w:rFonts w:ascii="Times New Roman"/>
                <w:sz w:val="20"/>
              </w:rPr>
            </w:pPr>
          </w:p>
        </w:tc>
        <w:tc>
          <w:tcPr>
            <w:tcW w:w="1931" w:type="dxa"/>
          </w:tcPr>
          <w:p>
            <w:pPr>
              <w:pStyle w:val="TableParagraph"/>
              <w:ind w:left="0"/>
              <w:rPr>
                <w:rFonts w:ascii="Times New Roman"/>
                <w:sz w:val="20"/>
              </w:rPr>
            </w:pPr>
          </w:p>
        </w:tc>
        <w:tc>
          <w:tcPr>
            <w:tcW w:w="7307" w:type="dxa"/>
          </w:tcPr>
          <w:p>
            <w:pPr>
              <w:pStyle w:val="TableParagraph"/>
              <w:spacing w:line="254" w:lineRule="exact"/>
              <w:rPr>
                <w:sz w:val="21"/>
              </w:rPr>
            </w:pPr>
            <w:r>
              <w:rPr>
                <w:sz w:val="21"/>
              </w:rPr>
              <w:t>和能够对这些样本进行独立检验的权利。</w:t>
            </w:r>
          </w:p>
        </w:tc>
      </w:tr>
      <w:tr>
        <w:trPr>
          <w:trHeight w:val="216"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560" w:hRule="atLeast"/>
        </w:trPr>
        <w:tc>
          <w:tcPr>
            <w:tcW w:w="852" w:type="dxa"/>
          </w:tcPr>
          <w:p>
            <w:pPr>
              <w:pStyle w:val="TableParagraph"/>
              <w:spacing w:line="255" w:lineRule="exact"/>
              <w:rPr>
                <w:b/>
                <w:sz w:val="21"/>
              </w:rPr>
            </w:pPr>
            <w:r>
              <w:rPr>
                <w:b/>
                <w:sz w:val="21"/>
              </w:rPr>
              <w:t>三十二</w:t>
            </w:r>
          </w:p>
        </w:tc>
        <w:tc>
          <w:tcPr>
            <w:tcW w:w="1931" w:type="dxa"/>
          </w:tcPr>
          <w:p>
            <w:pPr>
              <w:pStyle w:val="TableParagraph"/>
              <w:spacing w:line="255" w:lineRule="exact"/>
              <w:rPr>
                <w:b/>
                <w:sz w:val="21"/>
              </w:rPr>
            </w:pPr>
            <w:r>
              <w:rPr>
                <w:b/>
                <w:w w:val="95"/>
                <w:sz w:val="21"/>
              </w:rPr>
              <w:t>脊髓灰质炎</w:t>
            </w:r>
          </w:p>
        </w:tc>
        <w:tc>
          <w:tcPr>
            <w:tcW w:w="7307" w:type="dxa"/>
          </w:tcPr>
          <w:p>
            <w:pPr>
              <w:pStyle w:val="TableParagraph"/>
              <w:spacing w:line="255" w:lineRule="exact"/>
              <w:rPr>
                <w:sz w:val="21"/>
              </w:rPr>
            </w:pPr>
            <w:r>
              <w:rPr>
                <w:sz w:val="21"/>
              </w:rPr>
              <w:t>脊髓灰质炎是由于脊髓灰质炎病毒感染所致的瘫痪性疾病，临床表现为运动功</w:t>
            </w:r>
          </w:p>
          <w:p>
            <w:pPr>
              <w:pStyle w:val="TableParagraph"/>
              <w:spacing w:line="273" w:lineRule="auto" w:before="37"/>
              <w:ind w:right="97"/>
              <w:rPr>
                <w:sz w:val="21"/>
              </w:rPr>
            </w:pPr>
            <w:r>
              <w:rPr>
                <w:spacing w:val="-5"/>
                <w:sz w:val="21"/>
              </w:rPr>
              <w:t>能损害或呼吸无力。脊髓灰质炎必须明确诊断。本保单仅对脊髓灰质炎造成的神经系统功能损害导致被保险人一肢或一肢以上肢体机能永久完全丧失的情</w:t>
            </w:r>
            <w:r>
              <w:rPr>
                <w:spacing w:val="-10"/>
                <w:sz w:val="21"/>
              </w:rPr>
              <w:t>况予以理赔。肢体机能永久完全丧失，指疾病确诊 </w:t>
            </w:r>
            <w:r>
              <w:rPr>
                <w:sz w:val="21"/>
              </w:rPr>
              <w:t>180</w:t>
            </w:r>
            <w:r>
              <w:rPr>
                <w:spacing w:val="-9"/>
                <w:sz w:val="21"/>
              </w:rPr>
              <w:t> 天后，每肢三大关节中的两大关节仍然完全僵硬，或不能随意识活动。</w:t>
            </w:r>
          </w:p>
        </w:tc>
      </w:tr>
      <w:tr>
        <w:trPr>
          <w:trHeight w:val="216"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871" w:hRule="atLeast"/>
        </w:trPr>
        <w:tc>
          <w:tcPr>
            <w:tcW w:w="852" w:type="dxa"/>
          </w:tcPr>
          <w:p>
            <w:pPr>
              <w:pStyle w:val="TableParagraph"/>
              <w:spacing w:line="254" w:lineRule="exact"/>
              <w:rPr>
                <w:b/>
                <w:sz w:val="21"/>
              </w:rPr>
            </w:pPr>
            <w:r>
              <w:rPr>
                <w:b/>
                <w:sz w:val="21"/>
              </w:rPr>
              <w:t>三十三</w:t>
            </w:r>
          </w:p>
        </w:tc>
        <w:tc>
          <w:tcPr>
            <w:tcW w:w="1931" w:type="dxa"/>
          </w:tcPr>
          <w:p>
            <w:pPr>
              <w:pStyle w:val="TableParagraph"/>
              <w:spacing w:line="254" w:lineRule="exact"/>
              <w:rPr>
                <w:b/>
                <w:sz w:val="21"/>
              </w:rPr>
            </w:pPr>
            <w:r>
              <w:rPr>
                <w:b/>
                <w:w w:val="95"/>
                <w:sz w:val="21"/>
              </w:rPr>
              <w:t>全身性重症肌无力</w:t>
            </w:r>
          </w:p>
        </w:tc>
        <w:tc>
          <w:tcPr>
            <w:tcW w:w="7307" w:type="dxa"/>
          </w:tcPr>
          <w:p>
            <w:pPr>
              <w:pStyle w:val="TableParagraph"/>
              <w:spacing w:line="254" w:lineRule="exact"/>
              <w:rPr>
                <w:sz w:val="21"/>
              </w:rPr>
            </w:pPr>
            <w:r>
              <w:rPr>
                <w:sz w:val="21"/>
              </w:rPr>
              <w:t>重症肌无力是一种神经肌肉接头传递障碍所致的疾病，表现为局部或全身骨骼</w:t>
            </w:r>
          </w:p>
          <w:p>
            <w:pPr>
              <w:pStyle w:val="TableParagraph"/>
              <w:spacing w:line="273" w:lineRule="auto" w:before="37"/>
              <w:ind w:right="32"/>
              <w:rPr>
                <w:sz w:val="21"/>
              </w:rPr>
            </w:pPr>
            <w:r>
              <w:rPr>
                <w:sz w:val="21"/>
              </w:rPr>
              <w:t>肌（特别是眼外肌）极易疲劳。疾病可以累及呼吸肌、上肢或下肢的近端肌群或全身肌肉，必须满足下列全部条件：</w:t>
            </w:r>
          </w:p>
          <w:p>
            <w:pPr>
              <w:pStyle w:val="TableParagraph"/>
              <w:spacing w:before="7"/>
              <w:rPr>
                <w:sz w:val="21"/>
              </w:rPr>
            </w:pPr>
            <w:r>
              <w:rPr>
                <w:sz w:val="21"/>
              </w:rPr>
              <w:t>（1）经药物治疗和胸腺切除治疗一年以上仍无法控制病情；</w:t>
            </w:r>
          </w:p>
          <w:p>
            <w:pPr>
              <w:pStyle w:val="TableParagraph"/>
              <w:spacing w:line="273" w:lineRule="auto" w:before="36"/>
              <w:ind w:left="611" w:right="144" w:hanging="504"/>
              <w:rPr>
                <w:sz w:val="21"/>
              </w:rPr>
            </w:pPr>
            <w:r>
              <w:rPr>
                <w:sz w:val="21"/>
              </w:rPr>
              <w:t>（2）自主生活能力完全丧失，无法独立完成</w:t>
            </w:r>
            <w:r>
              <w:rPr>
                <w:b/>
                <w:sz w:val="21"/>
              </w:rPr>
              <w:t>六项基本日常生活活动</w:t>
            </w:r>
            <w:r>
              <w:rPr>
                <w:sz w:val="21"/>
              </w:rPr>
              <w:t>中的三项或三项以上。</w:t>
            </w:r>
          </w:p>
        </w:tc>
      </w:tr>
      <w:tr>
        <w:trPr>
          <w:trHeight w:val="216"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2496" w:hRule="atLeast"/>
        </w:trPr>
        <w:tc>
          <w:tcPr>
            <w:tcW w:w="852" w:type="dxa"/>
          </w:tcPr>
          <w:p>
            <w:pPr>
              <w:pStyle w:val="TableParagraph"/>
              <w:spacing w:line="255" w:lineRule="exact"/>
              <w:rPr>
                <w:b/>
                <w:sz w:val="21"/>
              </w:rPr>
            </w:pPr>
            <w:r>
              <w:rPr>
                <w:b/>
                <w:sz w:val="21"/>
              </w:rPr>
              <w:t>三十四</w:t>
            </w:r>
          </w:p>
        </w:tc>
        <w:tc>
          <w:tcPr>
            <w:tcW w:w="1931" w:type="dxa"/>
          </w:tcPr>
          <w:p>
            <w:pPr>
              <w:pStyle w:val="TableParagraph"/>
              <w:spacing w:line="255" w:lineRule="exact"/>
              <w:rPr>
                <w:b/>
                <w:sz w:val="21"/>
              </w:rPr>
            </w:pPr>
            <w:r>
              <w:rPr>
                <w:b/>
                <w:sz w:val="21"/>
              </w:rPr>
              <w:t>1 型糖尿病</w:t>
            </w:r>
          </w:p>
        </w:tc>
        <w:tc>
          <w:tcPr>
            <w:tcW w:w="7307" w:type="dxa"/>
          </w:tcPr>
          <w:p>
            <w:pPr>
              <w:pStyle w:val="TableParagraph"/>
              <w:spacing w:line="255" w:lineRule="exact"/>
              <w:rPr>
                <w:sz w:val="21"/>
              </w:rPr>
            </w:pPr>
            <w:r>
              <w:rPr>
                <w:sz w:val="21"/>
              </w:rPr>
              <w:t>1 型糖尿病的特征为由于胰岛素分泌绝对不足引起严重胰岛素缺乏导致慢性血</w:t>
            </w:r>
          </w:p>
          <w:p>
            <w:pPr>
              <w:pStyle w:val="TableParagraph"/>
              <w:spacing w:line="273" w:lineRule="auto" w:before="37"/>
              <w:ind w:right="97"/>
              <w:jc w:val="both"/>
              <w:rPr>
                <w:sz w:val="21"/>
              </w:rPr>
            </w:pPr>
            <w:r>
              <w:rPr>
                <w:spacing w:val="-1"/>
                <w:sz w:val="21"/>
              </w:rPr>
              <w:t>糖升高， 需要依赖外源性胰岛素进行机体的葡萄糖代谢和维持生命。被保险</w:t>
            </w:r>
            <w:r>
              <w:rPr>
                <w:spacing w:val="-19"/>
                <w:sz w:val="21"/>
              </w:rPr>
              <w:t>人的 </w:t>
            </w:r>
            <w:r>
              <w:rPr>
                <w:sz w:val="21"/>
              </w:rPr>
              <w:t>1</w:t>
            </w:r>
            <w:r>
              <w:rPr>
                <w:spacing w:val="-14"/>
                <w:sz w:val="21"/>
              </w:rPr>
              <w:t> 型糖尿病必须明确诊断，而且有血胰岛素测定及血 </w:t>
            </w:r>
            <w:r>
              <w:rPr>
                <w:sz w:val="21"/>
              </w:rPr>
              <w:t>C</w:t>
            </w:r>
            <w:r>
              <w:rPr>
                <w:spacing w:val="-22"/>
                <w:sz w:val="21"/>
              </w:rPr>
              <w:t> 肽或尿 </w:t>
            </w:r>
            <w:r>
              <w:rPr>
                <w:sz w:val="21"/>
              </w:rPr>
              <w:t>C</w:t>
            </w:r>
            <w:r>
              <w:rPr>
                <w:spacing w:val="-12"/>
                <w:sz w:val="21"/>
              </w:rPr>
              <w:t> 肽测定结果支持诊断，并且满足下列全部条件：</w:t>
            </w:r>
          </w:p>
          <w:p>
            <w:pPr>
              <w:pStyle w:val="TableParagraph"/>
              <w:spacing w:before="7"/>
              <w:jc w:val="both"/>
              <w:rPr>
                <w:sz w:val="21"/>
              </w:rPr>
            </w:pPr>
            <w:r>
              <w:rPr>
                <w:sz w:val="21"/>
              </w:rPr>
              <w:t>（1）已经持续性地接受外源性胰岛素注射治疗连续 180 天以上；</w:t>
            </w:r>
          </w:p>
          <w:p>
            <w:pPr>
              <w:pStyle w:val="TableParagraph"/>
              <w:spacing w:before="36"/>
              <w:jc w:val="both"/>
              <w:rPr>
                <w:sz w:val="21"/>
              </w:rPr>
            </w:pPr>
            <w:r>
              <w:rPr>
                <w:sz w:val="21"/>
              </w:rPr>
              <w:t>（2）因需要已经接受了下列治疗：</w:t>
            </w:r>
          </w:p>
          <w:p>
            <w:pPr>
              <w:pStyle w:val="TableParagraph"/>
              <w:spacing w:before="36"/>
              <w:ind w:left="527"/>
              <w:rPr>
                <w:sz w:val="21"/>
              </w:rPr>
            </w:pPr>
            <w:r>
              <w:rPr>
                <w:sz w:val="21"/>
              </w:rPr>
              <w:t>① 因严重心律失常植入了心脏起搏器；或</w:t>
            </w:r>
          </w:p>
          <w:p>
            <w:pPr>
              <w:pStyle w:val="TableParagraph"/>
              <w:spacing w:before="36"/>
              <w:ind w:left="527"/>
              <w:rPr>
                <w:sz w:val="21"/>
              </w:rPr>
            </w:pPr>
            <w:r>
              <w:rPr>
                <w:sz w:val="21"/>
              </w:rPr>
              <w:t>② 因坏疽自跖趾关节或以上切除了一趾或多趾。</w:t>
            </w:r>
          </w:p>
        </w:tc>
      </w:tr>
      <w:tr>
        <w:trPr>
          <w:trHeight w:val="216"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247" w:hRule="atLeast"/>
        </w:trPr>
        <w:tc>
          <w:tcPr>
            <w:tcW w:w="852" w:type="dxa"/>
          </w:tcPr>
          <w:p>
            <w:pPr>
              <w:pStyle w:val="TableParagraph"/>
              <w:spacing w:line="254" w:lineRule="exact"/>
              <w:rPr>
                <w:b/>
                <w:sz w:val="21"/>
              </w:rPr>
            </w:pPr>
            <w:r>
              <w:rPr>
                <w:b/>
                <w:sz w:val="21"/>
              </w:rPr>
              <w:t>三十五</w:t>
            </w:r>
          </w:p>
        </w:tc>
        <w:tc>
          <w:tcPr>
            <w:tcW w:w="1931" w:type="dxa"/>
          </w:tcPr>
          <w:p>
            <w:pPr>
              <w:pStyle w:val="TableParagraph"/>
              <w:spacing w:line="254" w:lineRule="exact"/>
              <w:rPr>
                <w:b/>
                <w:sz w:val="21"/>
              </w:rPr>
            </w:pPr>
            <w:r>
              <w:rPr>
                <w:b/>
                <w:w w:val="95"/>
                <w:sz w:val="21"/>
              </w:rPr>
              <w:t>植物人状态</w:t>
            </w:r>
          </w:p>
        </w:tc>
        <w:tc>
          <w:tcPr>
            <w:tcW w:w="7307" w:type="dxa"/>
          </w:tcPr>
          <w:p>
            <w:pPr>
              <w:pStyle w:val="TableParagraph"/>
              <w:spacing w:line="254" w:lineRule="exact"/>
              <w:rPr>
                <w:sz w:val="21"/>
              </w:rPr>
            </w:pPr>
            <w:r>
              <w:rPr>
                <w:sz w:val="21"/>
              </w:rPr>
              <w:t>植物人状态系指由于严重颅脑外伤造成大脑严重损害导致完全永久性的对自</w:t>
            </w:r>
          </w:p>
          <w:p>
            <w:pPr>
              <w:pStyle w:val="TableParagraph"/>
              <w:spacing w:line="273" w:lineRule="auto" w:before="37"/>
              <w:ind w:right="97"/>
              <w:jc w:val="both"/>
              <w:rPr>
                <w:sz w:val="21"/>
              </w:rPr>
            </w:pPr>
            <w:r>
              <w:rPr>
                <w:spacing w:val="-3"/>
                <w:sz w:val="21"/>
              </w:rPr>
              <w:t>身和环境的意识丧失和中枢神经系统功能丧失，仅残存植物神经功能的疾病状</w:t>
            </w:r>
            <w:r>
              <w:rPr>
                <w:spacing w:val="-7"/>
                <w:sz w:val="21"/>
              </w:rPr>
              <w:t>态。诊断必须明确并且具有严重颅脑外伤和脑损害的证据。植物人状态必须持</w:t>
            </w:r>
            <w:r>
              <w:rPr>
                <w:spacing w:val="-31"/>
                <w:sz w:val="21"/>
              </w:rPr>
              <w:t>续 </w:t>
            </w:r>
            <w:r>
              <w:rPr>
                <w:sz w:val="21"/>
              </w:rPr>
              <w:t>30</w:t>
            </w:r>
            <w:r>
              <w:rPr>
                <w:spacing w:val="-8"/>
                <w:sz w:val="21"/>
              </w:rPr>
              <w:t> 天以上方可申请理赔。</w:t>
            </w:r>
          </w:p>
        </w:tc>
      </w:tr>
      <w:tr>
        <w:trPr>
          <w:trHeight w:val="216"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2184" w:hRule="atLeast"/>
        </w:trPr>
        <w:tc>
          <w:tcPr>
            <w:tcW w:w="852" w:type="dxa"/>
          </w:tcPr>
          <w:p>
            <w:pPr>
              <w:pStyle w:val="TableParagraph"/>
              <w:spacing w:line="255" w:lineRule="exact"/>
              <w:rPr>
                <w:b/>
                <w:sz w:val="21"/>
              </w:rPr>
            </w:pPr>
            <w:r>
              <w:rPr>
                <w:b/>
                <w:sz w:val="21"/>
              </w:rPr>
              <w:t>注 1</w:t>
            </w:r>
          </w:p>
        </w:tc>
        <w:tc>
          <w:tcPr>
            <w:tcW w:w="1931" w:type="dxa"/>
          </w:tcPr>
          <w:p>
            <w:pPr>
              <w:pStyle w:val="TableParagraph"/>
              <w:spacing w:line="255" w:lineRule="exact"/>
              <w:rPr>
                <w:b/>
                <w:sz w:val="21"/>
              </w:rPr>
            </w:pPr>
            <w:r>
              <w:rPr>
                <w:b/>
                <w:w w:val="95"/>
                <w:sz w:val="21"/>
              </w:rPr>
              <w:t>六项基本日常生活</w:t>
            </w:r>
          </w:p>
          <w:p>
            <w:pPr>
              <w:pStyle w:val="TableParagraph"/>
              <w:spacing w:before="37"/>
              <w:rPr>
                <w:b/>
                <w:sz w:val="21"/>
              </w:rPr>
            </w:pPr>
            <w:r>
              <w:rPr>
                <w:b/>
                <w:sz w:val="21"/>
              </w:rPr>
              <w:t>活动</w:t>
            </w:r>
          </w:p>
        </w:tc>
        <w:tc>
          <w:tcPr>
            <w:tcW w:w="7307" w:type="dxa"/>
          </w:tcPr>
          <w:p>
            <w:pPr>
              <w:pStyle w:val="TableParagraph"/>
              <w:spacing w:line="271" w:lineRule="exact"/>
              <w:rPr>
                <w:sz w:val="21"/>
              </w:rPr>
            </w:pPr>
            <w:r>
              <w:rPr>
                <w:sz w:val="21"/>
              </w:rPr>
              <w:t>适用于年龄 </w:t>
            </w:r>
            <w:r>
              <w:rPr>
                <w:rFonts w:ascii="Times New Roman" w:eastAsia="Times New Roman"/>
                <w:sz w:val="21"/>
              </w:rPr>
              <w:t>4 </w:t>
            </w:r>
            <w:r>
              <w:rPr>
                <w:sz w:val="21"/>
              </w:rPr>
              <w:t>周岁以上被保险人，包括：</w:t>
            </w:r>
          </w:p>
          <w:p>
            <w:pPr>
              <w:pStyle w:val="TableParagraph"/>
              <w:spacing w:before="21"/>
              <w:rPr>
                <w:sz w:val="21"/>
              </w:rPr>
            </w:pPr>
            <w:r>
              <w:rPr>
                <w:sz w:val="21"/>
              </w:rPr>
              <w:t>（</w:t>
            </w:r>
            <w:r>
              <w:rPr>
                <w:rFonts w:ascii="Times New Roman" w:eastAsia="Times New Roman"/>
                <w:sz w:val="21"/>
              </w:rPr>
              <w:t>1</w:t>
            </w:r>
            <w:r>
              <w:rPr>
                <w:sz w:val="21"/>
              </w:rPr>
              <w:t>）穿衣：自己能够穿衣及脱衣；</w:t>
            </w:r>
          </w:p>
          <w:p>
            <w:pPr>
              <w:pStyle w:val="TableParagraph"/>
              <w:spacing w:before="21"/>
              <w:rPr>
                <w:sz w:val="21"/>
              </w:rPr>
            </w:pPr>
            <w:r>
              <w:rPr>
                <w:sz w:val="21"/>
              </w:rPr>
              <w:t>（</w:t>
            </w:r>
            <w:r>
              <w:rPr>
                <w:rFonts w:ascii="Times New Roman" w:eastAsia="Times New Roman"/>
                <w:sz w:val="21"/>
              </w:rPr>
              <w:t>2</w:t>
            </w:r>
            <w:r>
              <w:rPr>
                <w:sz w:val="21"/>
              </w:rPr>
              <w:t>）移动：自己从一个房间到另一个房间；</w:t>
            </w:r>
          </w:p>
          <w:p>
            <w:pPr>
              <w:pStyle w:val="TableParagraph"/>
              <w:spacing w:before="21"/>
              <w:rPr>
                <w:sz w:val="21"/>
              </w:rPr>
            </w:pPr>
            <w:r>
              <w:rPr>
                <w:sz w:val="21"/>
              </w:rPr>
              <w:t>（</w:t>
            </w:r>
            <w:r>
              <w:rPr>
                <w:rFonts w:ascii="Times New Roman" w:eastAsia="Times New Roman"/>
                <w:sz w:val="21"/>
              </w:rPr>
              <w:t>3</w:t>
            </w:r>
            <w:r>
              <w:rPr>
                <w:sz w:val="21"/>
              </w:rPr>
              <w:t>）行动：自己上下床或上下轮椅；</w:t>
            </w:r>
          </w:p>
          <w:p>
            <w:pPr>
              <w:pStyle w:val="TableParagraph"/>
              <w:spacing w:before="21"/>
              <w:rPr>
                <w:sz w:val="21"/>
              </w:rPr>
            </w:pPr>
            <w:r>
              <w:rPr>
                <w:sz w:val="21"/>
              </w:rPr>
              <w:t>（</w:t>
            </w:r>
            <w:r>
              <w:rPr>
                <w:rFonts w:ascii="Times New Roman" w:eastAsia="Times New Roman"/>
                <w:sz w:val="21"/>
              </w:rPr>
              <w:t>4</w:t>
            </w:r>
            <w:r>
              <w:rPr>
                <w:sz w:val="21"/>
              </w:rPr>
              <w:t>）如厕：自己控制进行大小便；</w:t>
            </w:r>
          </w:p>
          <w:p>
            <w:pPr>
              <w:pStyle w:val="TableParagraph"/>
              <w:spacing w:before="21"/>
              <w:rPr>
                <w:sz w:val="21"/>
              </w:rPr>
            </w:pPr>
            <w:r>
              <w:rPr>
                <w:sz w:val="21"/>
              </w:rPr>
              <w:t>（</w:t>
            </w:r>
            <w:r>
              <w:rPr>
                <w:rFonts w:ascii="Times New Roman" w:eastAsia="Times New Roman"/>
                <w:sz w:val="21"/>
              </w:rPr>
              <w:t>5</w:t>
            </w:r>
            <w:r>
              <w:rPr>
                <w:sz w:val="21"/>
              </w:rPr>
              <w:t>）进食：自己从已准备好的碗或碟中取食物放入口中；</w:t>
            </w:r>
          </w:p>
          <w:p>
            <w:pPr>
              <w:pStyle w:val="TableParagraph"/>
              <w:spacing w:before="21"/>
              <w:rPr>
                <w:sz w:val="21"/>
              </w:rPr>
            </w:pPr>
            <w:r>
              <w:rPr>
                <w:sz w:val="21"/>
              </w:rPr>
              <w:t>（</w:t>
            </w:r>
            <w:r>
              <w:rPr>
                <w:rFonts w:ascii="Times New Roman" w:eastAsia="Times New Roman"/>
                <w:sz w:val="21"/>
              </w:rPr>
              <w:t>6</w:t>
            </w:r>
            <w:r>
              <w:rPr>
                <w:sz w:val="21"/>
              </w:rPr>
              <w:t>）洗澡：自己进行淋浴或盆浴。</w:t>
            </w:r>
          </w:p>
        </w:tc>
      </w:tr>
      <w:tr>
        <w:trPr>
          <w:trHeight w:val="216"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623" w:hRule="atLeast"/>
        </w:trPr>
        <w:tc>
          <w:tcPr>
            <w:tcW w:w="852" w:type="dxa"/>
          </w:tcPr>
          <w:p>
            <w:pPr>
              <w:pStyle w:val="TableParagraph"/>
              <w:spacing w:line="254" w:lineRule="exact"/>
              <w:rPr>
                <w:b/>
                <w:sz w:val="21"/>
              </w:rPr>
            </w:pPr>
            <w:r>
              <w:rPr>
                <w:b/>
                <w:sz w:val="21"/>
              </w:rPr>
              <w:t>注 2</w:t>
            </w:r>
          </w:p>
        </w:tc>
        <w:tc>
          <w:tcPr>
            <w:tcW w:w="1931" w:type="dxa"/>
          </w:tcPr>
          <w:p>
            <w:pPr>
              <w:pStyle w:val="TableParagraph"/>
              <w:spacing w:line="254" w:lineRule="exact"/>
              <w:rPr>
                <w:b/>
                <w:sz w:val="21"/>
              </w:rPr>
            </w:pPr>
            <w:r>
              <w:rPr>
                <w:b/>
                <w:w w:val="95"/>
                <w:sz w:val="21"/>
              </w:rPr>
              <w:t>肢体机能完全丧失</w:t>
            </w:r>
          </w:p>
        </w:tc>
        <w:tc>
          <w:tcPr>
            <w:tcW w:w="7307" w:type="dxa"/>
          </w:tcPr>
          <w:p>
            <w:pPr>
              <w:pStyle w:val="TableParagraph"/>
              <w:spacing w:line="254" w:lineRule="exact"/>
              <w:rPr>
                <w:sz w:val="21"/>
              </w:rPr>
            </w:pPr>
            <w:r>
              <w:rPr>
                <w:sz w:val="21"/>
              </w:rPr>
              <w:t>指肢体的三大关节中的两大关节僵硬，或不能随意识活动。肢体是指包括肩关</w:t>
            </w:r>
          </w:p>
          <w:p>
            <w:pPr>
              <w:pStyle w:val="TableParagraph"/>
              <w:spacing w:before="37"/>
              <w:rPr>
                <w:sz w:val="21"/>
              </w:rPr>
            </w:pPr>
            <w:r>
              <w:rPr>
                <w:sz w:val="21"/>
              </w:rPr>
              <w:t>节的整个上肢或包括髋关节的整个下肢。</w:t>
            </w:r>
          </w:p>
        </w:tc>
      </w:tr>
      <w:tr>
        <w:trPr>
          <w:trHeight w:val="216"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248" w:hRule="atLeast"/>
        </w:trPr>
        <w:tc>
          <w:tcPr>
            <w:tcW w:w="852" w:type="dxa"/>
          </w:tcPr>
          <w:p>
            <w:pPr>
              <w:pStyle w:val="TableParagraph"/>
              <w:spacing w:line="255" w:lineRule="exact"/>
              <w:rPr>
                <w:b/>
                <w:sz w:val="21"/>
              </w:rPr>
            </w:pPr>
            <w:r>
              <w:rPr>
                <w:b/>
                <w:sz w:val="21"/>
              </w:rPr>
              <w:t>注 3</w:t>
            </w:r>
          </w:p>
        </w:tc>
        <w:tc>
          <w:tcPr>
            <w:tcW w:w="1931" w:type="dxa"/>
          </w:tcPr>
          <w:p>
            <w:pPr>
              <w:pStyle w:val="TableParagraph"/>
              <w:spacing w:line="255" w:lineRule="exact"/>
              <w:rPr>
                <w:b/>
                <w:sz w:val="21"/>
              </w:rPr>
            </w:pPr>
            <w:r>
              <w:rPr>
                <w:b/>
                <w:w w:val="95"/>
                <w:sz w:val="21"/>
              </w:rPr>
              <w:t>语言能力或咀嚼吞</w:t>
            </w:r>
          </w:p>
          <w:p>
            <w:pPr>
              <w:pStyle w:val="TableParagraph"/>
              <w:spacing w:before="37"/>
              <w:rPr>
                <w:b/>
                <w:sz w:val="21"/>
              </w:rPr>
            </w:pPr>
            <w:r>
              <w:rPr>
                <w:b/>
                <w:w w:val="95"/>
                <w:sz w:val="21"/>
              </w:rPr>
              <w:t>咽能力完全丧失</w:t>
            </w:r>
          </w:p>
        </w:tc>
        <w:tc>
          <w:tcPr>
            <w:tcW w:w="7307" w:type="dxa"/>
          </w:tcPr>
          <w:p>
            <w:pPr>
              <w:pStyle w:val="TableParagraph"/>
              <w:spacing w:line="255" w:lineRule="exact"/>
              <w:rPr>
                <w:sz w:val="21"/>
              </w:rPr>
            </w:pPr>
            <w:r>
              <w:rPr>
                <w:sz w:val="21"/>
              </w:rPr>
              <w:t>语言能力完全丧失，指无法发出四种语音（包括口唇音、齿舌音、口盖音和喉</w:t>
            </w:r>
          </w:p>
          <w:p>
            <w:pPr>
              <w:pStyle w:val="TableParagraph"/>
              <w:spacing w:line="273" w:lineRule="auto" w:before="37"/>
              <w:ind w:right="-15"/>
              <w:rPr>
                <w:sz w:val="21"/>
              </w:rPr>
            </w:pPr>
            <w:r>
              <w:rPr>
                <w:sz w:val="21"/>
              </w:rPr>
              <w:t>头音</w:t>
            </w:r>
            <w:r>
              <w:rPr>
                <w:spacing w:val="-52"/>
                <w:sz w:val="21"/>
              </w:rPr>
              <w:t>）</w:t>
            </w:r>
            <w:r>
              <w:rPr>
                <w:spacing w:val="-10"/>
                <w:sz w:val="21"/>
              </w:rPr>
              <w:t>中的任何三种、或声带全部切除，或因大脑语言中枢受伤害而患失语症。</w:t>
            </w:r>
            <w:r>
              <w:rPr>
                <w:spacing w:val="-12"/>
                <w:sz w:val="21"/>
              </w:rPr>
              <w:t>咀嚼吞咽能力完全丧失，指因牙齿以外的原因导致器质障碍或机能障碍，以致不能作咀嚼吞咽运动，除流质食物外不能摄取或吞咽的状态。</w:t>
            </w:r>
          </w:p>
        </w:tc>
      </w:tr>
      <w:tr>
        <w:trPr>
          <w:trHeight w:val="216"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623" w:hRule="atLeast"/>
        </w:trPr>
        <w:tc>
          <w:tcPr>
            <w:tcW w:w="852" w:type="dxa"/>
          </w:tcPr>
          <w:p>
            <w:pPr>
              <w:pStyle w:val="TableParagraph"/>
              <w:spacing w:line="254" w:lineRule="exact"/>
              <w:rPr>
                <w:b/>
                <w:sz w:val="21"/>
              </w:rPr>
            </w:pPr>
            <w:r>
              <w:rPr>
                <w:b/>
                <w:sz w:val="21"/>
              </w:rPr>
              <w:t>注 4</w:t>
            </w:r>
          </w:p>
        </w:tc>
        <w:tc>
          <w:tcPr>
            <w:tcW w:w="1931" w:type="dxa"/>
          </w:tcPr>
          <w:p>
            <w:pPr>
              <w:pStyle w:val="TableParagraph"/>
              <w:spacing w:line="254" w:lineRule="exact"/>
              <w:rPr>
                <w:b/>
                <w:sz w:val="21"/>
              </w:rPr>
            </w:pPr>
            <w:r>
              <w:rPr>
                <w:b/>
                <w:w w:val="95"/>
                <w:sz w:val="21"/>
              </w:rPr>
              <w:t>永久不可逆</w:t>
            </w:r>
          </w:p>
        </w:tc>
        <w:tc>
          <w:tcPr>
            <w:tcW w:w="7307" w:type="dxa"/>
          </w:tcPr>
          <w:p>
            <w:pPr>
              <w:pStyle w:val="TableParagraph"/>
              <w:spacing w:line="270" w:lineRule="exact"/>
              <w:rPr>
                <w:sz w:val="21"/>
              </w:rPr>
            </w:pPr>
            <w:r>
              <w:rPr>
                <w:spacing w:val="-5"/>
                <w:sz w:val="21"/>
              </w:rPr>
              <w:t>指自疾病确诊或意外伤害发生之日起，经过积极治疗 </w:t>
            </w:r>
            <w:r>
              <w:rPr>
                <w:rFonts w:ascii="Times New Roman" w:eastAsia="Times New Roman"/>
                <w:sz w:val="21"/>
              </w:rPr>
              <w:t>180 </w:t>
            </w:r>
            <w:r>
              <w:rPr>
                <w:spacing w:val="-5"/>
                <w:sz w:val="21"/>
              </w:rPr>
              <w:t>天后，仍无法通过现</w:t>
            </w:r>
          </w:p>
          <w:p>
            <w:pPr>
              <w:pStyle w:val="TableParagraph"/>
              <w:spacing w:before="21"/>
              <w:rPr>
                <w:sz w:val="21"/>
              </w:rPr>
            </w:pPr>
            <w:r>
              <w:rPr>
                <w:sz w:val="21"/>
              </w:rPr>
              <w:t>有医疗手段恢复。</w:t>
            </w:r>
          </w:p>
        </w:tc>
      </w:tr>
      <w:tr>
        <w:trPr>
          <w:trHeight w:val="217"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bl>
    <w:p>
      <w:pPr>
        <w:spacing w:after="0"/>
        <w:rPr>
          <w:rFonts w:ascii="Times New Roman"/>
          <w:sz w:val="14"/>
        </w:rPr>
        <w:sectPr>
          <w:pgSz w:w="11910" w:h="16840"/>
          <w:pgMar w:top="1140" w:bottom="280" w:left="800" w:right="78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1931"/>
        <w:gridCol w:w="7307"/>
      </w:tblGrid>
      <w:tr>
        <w:trPr>
          <w:trHeight w:val="624" w:hRule="atLeast"/>
        </w:trPr>
        <w:tc>
          <w:tcPr>
            <w:tcW w:w="852" w:type="dxa"/>
          </w:tcPr>
          <w:p>
            <w:pPr>
              <w:pStyle w:val="TableParagraph"/>
              <w:spacing w:line="254" w:lineRule="exact"/>
              <w:rPr>
                <w:b/>
                <w:sz w:val="21"/>
              </w:rPr>
            </w:pPr>
            <w:r>
              <w:rPr>
                <w:b/>
                <w:sz w:val="21"/>
              </w:rPr>
              <w:t>注 5</w:t>
            </w:r>
          </w:p>
        </w:tc>
        <w:tc>
          <w:tcPr>
            <w:tcW w:w="1931" w:type="dxa"/>
          </w:tcPr>
          <w:p>
            <w:pPr>
              <w:pStyle w:val="TableParagraph"/>
              <w:spacing w:line="254" w:lineRule="exact"/>
              <w:rPr>
                <w:b/>
                <w:sz w:val="21"/>
              </w:rPr>
            </w:pPr>
            <w:r>
              <w:rPr>
                <w:b/>
                <w:sz w:val="21"/>
              </w:rPr>
              <w:t>三大关节</w:t>
            </w:r>
          </w:p>
        </w:tc>
        <w:tc>
          <w:tcPr>
            <w:tcW w:w="7307" w:type="dxa"/>
          </w:tcPr>
          <w:p>
            <w:pPr>
              <w:pStyle w:val="TableParagraph"/>
              <w:spacing w:line="254" w:lineRule="exact"/>
              <w:rPr>
                <w:sz w:val="21"/>
              </w:rPr>
            </w:pPr>
            <w:r>
              <w:rPr>
                <w:sz w:val="21"/>
              </w:rPr>
              <w:t>上肢三大关节系指肩关节、肘关节和腕关节；</w:t>
            </w:r>
          </w:p>
          <w:p>
            <w:pPr>
              <w:pStyle w:val="TableParagraph"/>
              <w:spacing w:before="37"/>
              <w:rPr>
                <w:sz w:val="21"/>
              </w:rPr>
            </w:pPr>
            <w:r>
              <w:rPr>
                <w:sz w:val="21"/>
              </w:rPr>
              <w:t>下肢三大关节系指髋关节、膝关节和踝关节。</w:t>
            </w:r>
          </w:p>
        </w:tc>
      </w:tr>
    </w:tbl>
    <w:sectPr>
      <w:pgSz w:w="11910" w:h="16840"/>
      <w:pgMar w:top="1140" w:bottom="280" w:left="80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黑体">
    <w:altName w:val="黑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upperRoman"/>
      <w:lvlText w:val="%1"/>
      <w:lvlJc w:val="left"/>
      <w:pPr>
        <w:ind w:left="266" w:hanging="159"/>
        <w:jc w:val="left"/>
      </w:pPr>
      <w:rPr>
        <w:rFonts w:hint="default" w:ascii="宋体" w:hAnsi="宋体" w:eastAsia="宋体" w:cs="宋体"/>
        <w:w w:val="100"/>
        <w:sz w:val="21"/>
        <w:szCs w:val="21"/>
      </w:rPr>
    </w:lvl>
    <w:lvl w:ilvl="1">
      <w:start w:val="0"/>
      <w:numFmt w:val="bullet"/>
      <w:lvlText w:val="•"/>
      <w:lvlJc w:val="left"/>
      <w:pPr>
        <w:ind w:left="963" w:hanging="159"/>
      </w:pPr>
      <w:rPr>
        <w:rFonts w:hint="default"/>
      </w:rPr>
    </w:lvl>
    <w:lvl w:ilvl="2">
      <w:start w:val="0"/>
      <w:numFmt w:val="bullet"/>
      <w:lvlText w:val="•"/>
      <w:lvlJc w:val="left"/>
      <w:pPr>
        <w:ind w:left="1667" w:hanging="159"/>
      </w:pPr>
      <w:rPr>
        <w:rFonts w:hint="default"/>
      </w:rPr>
    </w:lvl>
    <w:lvl w:ilvl="3">
      <w:start w:val="0"/>
      <w:numFmt w:val="bullet"/>
      <w:lvlText w:val="•"/>
      <w:lvlJc w:val="left"/>
      <w:pPr>
        <w:ind w:left="2371" w:hanging="159"/>
      </w:pPr>
      <w:rPr>
        <w:rFonts w:hint="default"/>
      </w:rPr>
    </w:lvl>
    <w:lvl w:ilvl="4">
      <w:start w:val="0"/>
      <w:numFmt w:val="bullet"/>
      <w:lvlText w:val="•"/>
      <w:lvlJc w:val="left"/>
      <w:pPr>
        <w:ind w:left="3074" w:hanging="159"/>
      </w:pPr>
      <w:rPr>
        <w:rFonts w:hint="default"/>
      </w:rPr>
    </w:lvl>
    <w:lvl w:ilvl="5">
      <w:start w:val="0"/>
      <w:numFmt w:val="bullet"/>
      <w:lvlText w:val="•"/>
      <w:lvlJc w:val="left"/>
      <w:pPr>
        <w:ind w:left="3778" w:hanging="159"/>
      </w:pPr>
      <w:rPr>
        <w:rFonts w:hint="default"/>
      </w:rPr>
    </w:lvl>
    <w:lvl w:ilvl="6">
      <w:start w:val="0"/>
      <w:numFmt w:val="bullet"/>
      <w:lvlText w:val="•"/>
      <w:lvlJc w:val="left"/>
      <w:pPr>
        <w:ind w:left="4482" w:hanging="159"/>
      </w:pPr>
      <w:rPr>
        <w:rFonts w:hint="default"/>
      </w:rPr>
    </w:lvl>
    <w:lvl w:ilvl="7">
      <w:start w:val="0"/>
      <w:numFmt w:val="bullet"/>
      <w:lvlText w:val="•"/>
      <w:lvlJc w:val="left"/>
      <w:pPr>
        <w:ind w:left="5185" w:hanging="159"/>
      </w:pPr>
      <w:rPr>
        <w:rFonts w:hint="default"/>
      </w:rPr>
    </w:lvl>
    <w:lvl w:ilvl="8">
      <w:start w:val="0"/>
      <w:numFmt w:val="bullet"/>
      <w:lvlText w:val="•"/>
      <w:lvlJc w:val="left"/>
      <w:pPr>
        <w:ind w:left="5889" w:hanging="159"/>
      </w:pPr>
      <w:rPr>
        <w:rFonts w:hint="default"/>
      </w:rPr>
    </w:lvl>
  </w:abstractNum>
  <w:abstractNum w:abstractNumId="11">
    <w:multiLevelType w:val="hybridMultilevel"/>
    <w:lvl w:ilvl="0">
      <w:start w:val="9"/>
      <w:numFmt w:val="decimal"/>
      <w:lvlText w:val="%1"/>
      <w:lvlJc w:val="left"/>
      <w:pPr>
        <w:ind w:left="3004" w:hanging="853"/>
        <w:jc w:val="left"/>
      </w:pPr>
      <w:rPr>
        <w:rFonts w:hint="default"/>
      </w:rPr>
    </w:lvl>
    <w:lvl w:ilvl="1">
      <w:start w:val="1"/>
      <w:numFmt w:val="decimal"/>
      <w:lvlText w:val="%1.%2"/>
      <w:lvlJc w:val="left"/>
      <w:pPr>
        <w:ind w:left="3004" w:hanging="853"/>
        <w:jc w:val="left"/>
      </w:pPr>
      <w:rPr>
        <w:rFonts w:hint="default" w:ascii="宋体" w:hAnsi="宋体" w:eastAsia="宋体" w:cs="宋体"/>
        <w:b/>
        <w:bCs/>
        <w:w w:val="99"/>
        <w:sz w:val="21"/>
        <w:szCs w:val="21"/>
      </w:rPr>
    </w:lvl>
    <w:lvl w:ilvl="2">
      <w:start w:val="0"/>
      <w:numFmt w:val="bullet"/>
      <w:lvlText w:val="•"/>
      <w:lvlJc w:val="left"/>
      <w:pPr>
        <w:ind w:left="4464" w:hanging="853"/>
      </w:pPr>
      <w:rPr>
        <w:rFonts w:hint="default"/>
      </w:rPr>
    </w:lvl>
    <w:lvl w:ilvl="3">
      <w:start w:val="0"/>
      <w:numFmt w:val="bullet"/>
      <w:lvlText w:val="•"/>
      <w:lvlJc w:val="left"/>
      <w:pPr>
        <w:ind w:left="5197" w:hanging="853"/>
      </w:pPr>
      <w:rPr>
        <w:rFonts w:hint="default"/>
      </w:rPr>
    </w:lvl>
    <w:lvl w:ilvl="4">
      <w:start w:val="0"/>
      <w:numFmt w:val="bullet"/>
      <w:lvlText w:val="•"/>
      <w:lvlJc w:val="left"/>
      <w:pPr>
        <w:ind w:left="5929" w:hanging="853"/>
      </w:pPr>
      <w:rPr>
        <w:rFonts w:hint="default"/>
      </w:rPr>
    </w:lvl>
    <w:lvl w:ilvl="5">
      <w:start w:val="0"/>
      <w:numFmt w:val="bullet"/>
      <w:lvlText w:val="•"/>
      <w:lvlJc w:val="left"/>
      <w:pPr>
        <w:ind w:left="6662" w:hanging="853"/>
      </w:pPr>
      <w:rPr>
        <w:rFonts w:hint="default"/>
      </w:rPr>
    </w:lvl>
    <w:lvl w:ilvl="6">
      <w:start w:val="0"/>
      <w:numFmt w:val="bullet"/>
      <w:lvlText w:val="•"/>
      <w:lvlJc w:val="left"/>
      <w:pPr>
        <w:ind w:left="7394" w:hanging="853"/>
      </w:pPr>
      <w:rPr>
        <w:rFonts w:hint="default"/>
      </w:rPr>
    </w:lvl>
    <w:lvl w:ilvl="7">
      <w:start w:val="0"/>
      <w:numFmt w:val="bullet"/>
      <w:lvlText w:val="•"/>
      <w:lvlJc w:val="left"/>
      <w:pPr>
        <w:ind w:left="8127" w:hanging="853"/>
      </w:pPr>
      <w:rPr>
        <w:rFonts w:hint="default"/>
      </w:rPr>
    </w:lvl>
    <w:lvl w:ilvl="8">
      <w:start w:val="0"/>
      <w:numFmt w:val="bullet"/>
      <w:lvlText w:val="•"/>
      <w:lvlJc w:val="left"/>
      <w:pPr>
        <w:ind w:left="8859" w:hanging="853"/>
      </w:pPr>
      <w:rPr>
        <w:rFonts w:hint="default"/>
      </w:rPr>
    </w:lvl>
  </w:abstractNum>
  <w:abstractNum w:abstractNumId="10">
    <w:multiLevelType w:val="hybridMultilevel"/>
    <w:lvl w:ilvl="0">
      <w:start w:val="8"/>
      <w:numFmt w:val="decimal"/>
      <w:lvlText w:val="%1"/>
      <w:lvlJc w:val="left"/>
      <w:pPr>
        <w:ind w:left="3003" w:hanging="853"/>
        <w:jc w:val="left"/>
      </w:pPr>
      <w:rPr>
        <w:rFonts w:hint="default"/>
      </w:rPr>
    </w:lvl>
    <w:lvl w:ilvl="1">
      <w:start w:val="1"/>
      <w:numFmt w:val="decimal"/>
      <w:lvlText w:val="%1.%2"/>
      <w:lvlJc w:val="left"/>
      <w:pPr>
        <w:ind w:left="3003" w:hanging="853"/>
        <w:jc w:val="left"/>
      </w:pPr>
      <w:rPr>
        <w:rFonts w:hint="default" w:ascii="宋体" w:hAnsi="宋体" w:eastAsia="宋体" w:cs="宋体"/>
        <w:b/>
        <w:bCs/>
        <w:spacing w:val="0"/>
        <w:w w:val="99"/>
        <w:sz w:val="21"/>
        <w:szCs w:val="21"/>
      </w:rPr>
    </w:lvl>
    <w:lvl w:ilvl="2">
      <w:start w:val="0"/>
      <w:numFmt w:val="bullet"/>
      <w:lvlText w:val="•"/>
      <w:lvlJc w:val="left"/>
      <w:pPr>
        <w:ind w:left="4460" w:hanging="853"/>
      </w:pPr>
      <w:rPr>
        <w:rFonts w:hint="default"/>
      </w:rPr>
    </w:lvl>
    <w:lvl w:ilvl="3">
      <w:start w:val="0"/>
      <w:numFmt w:val="bullet"/>
      <w:lvlText w:val="•"/>
      <w:lvlJc w:val="left"/>
      <w:pPr>
        <w:ind w:left="5191" w:hanging="853"/>
      </w:pPr>
      <w:rPr>
        <w:rFonts w:hint="default"/>
      </w:rPr>
    </w:lvl>
    <w:lvl w:ilvl="4">
      <w:start w:val="0"/>
      <w:numFmt w:val="bullet"/>
      <w:lvlText w:val="•"/>
      <w:lvlJc w:val="left"/>
      <w:pPr>
        <w:ind w:left="5921" w:hanging="853"/>
      </w:pPr>
      <w:rPr>
        <w:rFonts w:hint="default"/>
      </w:rPr>
    </w:lvl>
    <w:lvl w:ilvl="5">
      <w:start w:val="0"/>
      <w:numFmt w:val="bullet"/>
      <w:lvlText w:val="•"/>
      <w:lvlJc w:val="left"/>
      <w:pPr>
        <w:ind w:left="6652" w:hanging="853"/>
      </w:pPr>
      <w:rPr>
        <w:rFonts w:hint="default"/>
      </w:rPr>
    </w:lvl>
    <w:lvl w:ilvl="6">
      <w:start w:val="0"/>
      <w:numFmt w:val="bullet"/>
      <w:lvlText w:val="•"/>
      <w:lvlJc w:val="left"/>
      <w:pPr>
        <w:ind w:left="7382" w:hanging="853"/>
      </w:pPr>
      <w:rPr>
        <w:rFonts w:hint="default"/>
      </w:rPr>
    </w:lvl>
    <w:lvl w:ilvl="7">
      <w:start w:val="0"/>
      <w:numFmt w:val="bullet"/>
      <w:lvlText w:val="•"/>
      <w:lvlJc w:val="left"/>
      <w:pPr>
        <w:ind w:left="8113" w:hanging="853"/>
      </w:pPr>
      <w:rPr>
        <w:rFonts w:hint="default"/>
      </w:rPr>
    </w:lvl>
    <w:lvl w:ilvl="8">
      <w:start w:val="0"/>
      <w:numFmt w:val="bullet"/>
      <w:lvlText w:val="•"/>
      <w:lvlJc w:val="left"/>
      <w:pPr>
        <w:ind w:left="8843" w:hanging="853"/>
      </w:pPr>
      <w:rPr>
        <w:rFonts w:hint="default"/>
      </w:rPr>
    </w:lvl>
  </w:abstractNum>
  <w:abstractNum w:abstractNumId="9">
    <w:multiLevelType w:val="hybridMultilevel"/>
    <w:lvl w:ilvl="0">
      <w:start w:val="6"/>
      <w:numFmt w:val="decimal"/>
      <w:lvlText w:val="%1"/>
      <w:lvlJc w:val="left"/>
      <w:pPr>
        <w:ind w:left="3003" w:hanging="852"/>
        <w:jc w:val="left"/>
      </w:pPr>
      <w:rPr>
        <w:rFonts w:hint="default"/>
      </w:rPr>
    </w:lvl>
    <w:lvl w:ilvl="1">
      <w:start w:val="1"/>
      <w:numFmt w:val="decimal"/>
      <w:lvlText w:val="%1.%2"/>
      <w:lvlJc w:val="left"/>
      <w:pPr>
        <w:ind w:left="3003" w:hanging="852"/>
        <w:jc w:val="left"/>
      </w:pPr>
      <w:rPr>
        <w:rFonts w:hint="default" w:ascii="宋体" w:hAnsi="宋体" w:eastAsia="宋体" w:cs="宋体"/>
        <w:b/>
        <w:bCs/>
        <w:w w:val="99"/>
        <w:sz w:val="21"/>
        <w:szCs w:val="21"/>
      </w:rPr>
    </w:lvl>
    <w:lvl w:ilvl="2">
      <w:start w:val="0"/>
      <w:numFmt w:val="bullet"/>
      <w:lvlText w:val="•"/>
      <w:lvlJc w:val="left"/>
      <w:pPr>
        <w:ind w:left="4460" w:hanging="852"/>
      </w:pPr>
      <w:rPr>
        <w:rFonts w:hint="default"/>
      </w:rPr>
    </w:lvl>
    <w:lvl w:ilvl="3">
      <w:start w:val="0"/>
      <w:numFmt w:val="bullet"/>
      <w:lvlText w:val="•"/>
      <w:lvlJc w:val="left"/>
      <w:pPr>
        <w:ind w:left="5191" w:hanging="852"/>
      </w:pPr>
      <w:rPr>
        <w:rFonts w:hint="default"/>
      </w:rPr>
    </w:lvl>
    <w:lvl w:ilvl="4">
      <w:start w:val="0"/>
      <w:numFmt w:val="bullet"/>
      <w:lvlText w:val="•"/>
      <w:lvlJc w:val="left"/>
      <w:pPr>
        <w:ind w:left="5921" w:hanging="852"/>
      </w:pPr>
      <w:rPr>
        <w:rFonts w:hint="default"/>
      </w:rPr>
    </w:lvl>
    <w:lvl w:ilvl="5">
      <w:start w:val="0"/>
      <w:numFmt w:val="bullet"/>
      <w:lvlText w:val="•"/>
      <w:lvlJc w:val="left"/>
      <w:pPr>
        <w:ind w:left="6652" w:hanging="852"/>
      </w:pPr>
      <w:rPr>
        <w:rFonts w:hint="default"/>
      </w:rPr>
    </w:lvl>
    <w:lvl w:ilvl="6">
      <w:start w:val="0"/>
      <w:numFmt w:val="bullet"/>
      <w:lvlText w:val="•"/>
      <w:lvlJc w:val="left"/>
      <w:pPr>
        <w:ind w:left="7382" w:hanging="852"/>
      </w:pPr>
      <w:rPr>
        <w:rFonts w:hint="default"/>
      </w:rPr>
    </w:lvl>
    <w:lvl w:ilvl="7">
      <w:start w:val="0"/>
      <w:numFmt w:val="bullet"/>
      <w:lvlText w:val="•"/>
      <w:lvlJc w:val="left"/>
      <w:pPr>
        <w:ind w:left="8113" w:hanging="852"/>
      </w:pPr>
      <w:rPr>
        <w:rFonts w:hint="default"/>
      </w:rPr>
    </w:lvl>
    <w:lvl w:ilvl="8">
      <w:start w:val="0"/>
      <w:numFmt w:val="bullet"/>
      <w:lvlText w:val="•"/>
      <w:lvlJc w:val="left"/>
      <w:pPr>
        <w:ind w:left="8843" w:hanging="852"/>
      </w:pPr>
      <w:rPr>
        <w:rFonts w:hint="default"/>
      </w:rPr>
    </w:lvl>
  </w:abstractNum>
  <w:abstractNum w:abstractNumId="8">
    <w:multiLevelType w:val="hybridMultilevel"/>
    <w:lvl w:ilvl="0">
      <w:start w:val="3"/>
      <w:numFmt w:val="decimal"/>
      <w:lvlText w:val="%1"/>
      <w:lvlJc w:val="left"/>
      <w:pPr>
        <w:ind w:left="3003" w:hanging="853"/>
        <w:jc w:val="left"/>
      </w:pPr>
      <w:rPr>
        <w:rFonts w:hint="default"/>
      </w:rPr>
    </w:lvl>
    <w:lvl w:ilvl="1">
      <w:start w:val="1"/>
      <w:numFmt w:val="decimal"/>
      <w:lvlText w:val="%1.%2"/>
      <w:lvlJc w:val="left"/>
      <w:pPr>
        <w:ind w:left="3003" w:hanging="853"/>
        <w:jc w:val="left"/>
      </w:pPr>
      <w:rPr>
        <w:rFonts w:hint="default" w:ascii="宋体" w:hAnsi="宋体" w:eastAsia="宋体" w:cs="宋体"/>
        <w:b/>
        <w:bCs/>
        <w:w w:val="99"/>
        <w:sz w:val="21"/>
        <w:szCs w:val="21"/>
      </w:rPr>
    </w:lvl>
    <w:lvl w:ilvl="2">
      <w:start w:val="0"/>
      <w:numFmt w:val="bullet"/>
      <w:lvlText w:val="•"/>
      <w:lvlJc w:val="left"/>
      <w:pPr>
        <w:ind w:left="4460" w:hanging="853"/>
      </w:pPr>
      <w:rPr>
        <w:rFonts w:hint="default"/>
      </w:rPr>
    </w:lvl>
    <w:lvl w:ilvl="3">
      <w:start w:val="0"/>
      <w:numFmt w:val="bullet"/>
      <w:lvlText w:val="•"/>
      <w:lvlJc w:val="left"/>
      <w:pPr>
        <w:ind w:left="5191" w:hanging="853"/>
      </w:pPr>
      <w:rPr>
        <w:rFonts w:hint="default"/>
      </w:rPr>
    </w:lvl>
    <w:lvl w:ilvl="4">
      <w:start w:val="0"/>
      <w:numFmt w:val="bullet"/>
      <w:lvlText w:val="•"/>
      <w:lvlJc w:val="left"/>
      <w:pPr>
        <w:ind w:left="5921" w:hanging="853"/>
      </w:pPr>
      <w:rPr>
        <w:rFonts w:hint="default"/>
      </w:rPr>
    </w:lvl>
    <w:lvl w:ilvl="5">
      <w:start w:val="0"/>
      <w:numFmt w:val="bullet"/>
      <w:lvlText w:val="•"/>
      <w:lvlJc w:val="left"/>
      <w:pPr>
        <w:ind w:left="6652" w:hanging="853"/>
      </w:pPr>
      <w:rPr>
        <w:rFonts w:hint="default"/>
      </w:rPr>
    </w:lvl>
    <w:lvl w:ilvl="6">
      <w:start w:val="0"/>
      <w:numFmt w:val="bullet"/>
      <w:lvlText w:val="•"/>
      <w:lvlJc w:val="left"/>
      <w:pPr>
        <w:ind w:left="7382" w:hanging="853"/>
      </w:pPr>
      <w:rPr>
        <w:rFonts w:hint="default"/>
      </w:rPr>
    </w:lvl>
    <w:lvl w:ilvl="7">
      <w:start w:val="0"/>
      <w:numFmt w:val="bullet"/>
      <w:lvlText w:val="•"/>
      <w:lvlJc w:val="left"/>
      <w:pPr>
        <w:ind w:left="8113" w:hanging="853"/>
      </w:pPr>
      <w:rPr>
        <w:rFonts w:hint="default"/>
      </w:rPr>
    </w:lvl>
    <w:lvl w:ilvl="8">
      <w:start w:val="0"/>
      <w:numFmt w:val="bullet"/>
      <w:lvlText w:val="•"/>
      <w:lvlJc w:val="left"/>
      <w:pPr>
        <w:ind w:left="8843" w:hanging="853"/>
      </w:pPr>
      <w:rPr>
        <w:rFonts w:hint="default"/>
      </w:rPr>
    </w:lvl>
  </w:abstractNum>
  <w:abstractNum w:abstractNumId="7">
    <w:multiLevelType w:val="hybridMultilevel"/>
    <w:lvl w:ilvl="0">
      <w:start w:val="2"/>
      <w:numFmt w:val="decimal"/>
      <w:lvlText w:val="%1"/>
      <w:lvlJc w:val="left"/>
      <w:pPr>
        <w:ind w:left="3003" w:hanging="853"/>
        <w:jc w:val="left"/>
      </w:pPr>
      <w:rPr>
        <w:rFonts w:hint="default"/>
      </w:rPr>
    </w:lvl>
    <w:lvl w:ilvl="1">
      <w:start w:val="1"/>
      <w:numFmt w:val="decimal"/>
      <w:lvlText w:val="%1.%2"/>
      <w:lvlJc w:val="left"/>
      <w:pPr>
        <w:ind w:left="3003" w:hanging="853"/>
        <w:jc w:val="left"/>
      </w:pPr>
      <w:rPr>
        <w:rFonts w:hint="default" w:ascii="宋体" w:hAnsi="宋体" w:eastAsia="宋体" w:cs="宋体"/>
        <w:b/>
        <w:bCs/>
        <w:w w:val="99"/>
        <w:sz w:val="21"/>
        <w:szCs w:val="21"/>
      </w:rPr>
    </w:lvl>
    <w:lvl w:ilvl="2">
      <w:start w:val="1"/>
      <w:numFmt w:val="decimal"/>
      <w:lvlText w:val="%1.%2.%3"/>
      <w:lvlJc w:val="left"/>
      <w:pPr>
        <w:ind w:left="1073" w:hanging="853"/>
        <w:jc w:val="left"/>
      </w:pPr>
      <w:rPr>
        <w:rFonts w:hint="default" w:ascii="宋体" w:hAnsi="宋体" w:eastAsia="宋体" w:cs="宋体"/>
        <w:b/>
        <w:bCs/>
        <w:w w:val="99"/>
        <w:sz w:val="21"/>
        <w:szCs w:val="21"/>
      </w:rPr>
    </w:lvl>
    <w:lvl w:ilvl="3">
      <w:start w:val="0"/>
      <w:numFmt w:val="bullet"/>
      <w:lvlText w:val="•"/>
      <w:lvlJc w:val="left"/>
      <w:pPr>
        <w:ind w:left="2946" w:hanging="853"/>
      </w:pPr>
      <w:rPr>
        <w:rFonts w:hint="default"/>
      </w:rPr>
    </w:lvl>
    <w:lvl w:ilvl="4">
      <w:start w:val="0"/>
      <w:numFmt w:val="bullet"/>
      <w:lvlText w:val="•"/>
      <w:lvlJc w:val="left"/>
      <w:pPr>
        <w:ind w:left="2920" w:hanging="853"/>
      </w:pPr>
      <w:rPr>
        <w:rFonts w:hint="default"/>
      </w:rPr>
    </w:lvl>
    <w:lvl w:ilvl="5">
      <w:start w:val="0"/>
      <w:numFmt w:val="bullet"/>
      <w:lvlText w:val="•"/>
      <w:lvlJc w:val="left"/>
      <w:pPr>
        <w:ind w:left="2893" w:hanging="853"/>
      </w:pPr>
      <w:rPr>
        <w:rFonts w:hint="default"/>
      </w:rPr>
    </w:lvl>
    <w:lvl w:ilvl="6">
      <w:start w:val="0"/>
      <w:numFmt w:val="bullet"/>
      <w:lvlText w:val="•"/>
      <w:lvlJc w:val="left"/>
      <w:pPr>
        <w:ind w:left="2866" w:hanging="853"/>
      </w:pPr>
      <w:rPr>
        <w:rFonts w:hint="default"/>
      </w:rPr>
    </w:lvl>
    <w:lvl w:ilvl="7">
      <w:start w:val="0"/>
      <w:numFmt w:val="bullet"/>
      <w:lvlText w:val="•"/>
      <w:lvlJc w:val="left"/>
      <w:pPr>
        <w:ind w:left="2840" w:hanging="853"/>
      </w:pPr>
      <w:rPr>
        <w:rFonts w:hint="default"/>
      </w:rPr>
    </w:lvl>
    <w:lvl w:ilvl="8">
      <w:start w:val="0"/>
      <w:numFmt w:val="bullet"/>
      <w:lvlText w:val="•"/>
      <w:lvlJc w:val="left"/>
      <w:pPr>
        <w:ind w:left="2813" w:hanging="853"/>
      </w:pPr>
      <w:rPr>
        <w:rFonts w:hint="default"/>
      </w:rPr>
    </w:lvl>
  </w:abstractNum>
  <w:abstractNum w:abstractNumId="6">
    <w:multiLevelType w:val="hybridMultilevel"/>
    <w:lvl w:ilvl="0">
      <w:start w:val="9"/>
      <w:numFmt w:val="decimal"/>
      <w:lvlText w:val="%1"/>
      <w:lvlJc w:val="left"/>
      <w:pPr>
        <w:ind w:left="1003" w:hanging="420"/>
        <w:jc w:val="left"/>
      </w:pPr>
      <w:rPr>
        <w:rFonts w:hint="default"/>
      </w:rPr>
    </w:lvl>
    <w:lvl w:ilvl="1">
      <w:start w:val="1"/>
      <w:numFmt w:val="decimal"/>
      <w:lvlText w:val="%1.%2"/>
      <w:lvlJc w:val="left"/>
      <w:pPr>
        <w:ind w:left="1003" w:hanging="420"/>
        <w:jc w:val="left"/>
      </w:pPr>
      <w:rPr>
        <w:rFonts w:hint="default" w:ascii="宋体" w:hAnsi="宋体" w:eastAsia="宋体" w:cs="宋体"/>
        <w:spacing w:val="-1"/>
        <w:w w:val="100"/>
        <w:sz w:val="21"/>
        <w:szCs w:val="21"/>
      </w:rPr>
    </w:lvl>
    <w:lvl w:ilvl="2">
      <w:start w:val="0"/>
      <w:numFmt w:val="bullet"/>
      <w:lvlText w:val="•"/>
      <w:lvlJc w:val="left"/>
      <w:pPr>
        <w:ind w:left="2144" w:hanging="420"/>
      </w:pPr>
      <w:rPr>
        <w:rFonts w:hint="default"/>
      </w:rPr>
    </w:lvl>
    <w:lvl w:ilvl="3">
      <w:start w:val="0"/>
      <w:numFmt w:val="bullet"/>
      <w:lvlText w:val="•"/>
      <w:lvlJc w:val="left"/>
      <w:pPr>
        <w:ind w:left="2716" w:hanging="420"/>
      </w:pPr>
      <w:rPr>
        <w:rFonts w:hint="default"/>
      </w:rPr>
    </w:lvl>
    <w:lvl w:ilvl="4">
      <w:start w:val="0"/>
      <w:numFmt w:val="bullet"/>
      <w:lvlText w:val="•"/>
      <w:lvlJc w:val="left"/>
      <w:pPr>
        <w:ind w:left="3288" w:hanging="420"/>
      </w:pPr>
      <w:rPr>
        <w:rFonts w:hint="default"/>
      </w:rPr>
    </w:lvl>
    <w:lvl w:ilvl="5">
      <w:start w:val="0"/>
      <w:numFmt w:val="bullet"/>
      <w:lvlText w:val="•"/>
      <w:lvlJc w:val="left"/>
      <w:pPr>
        <w:ind w:left="3860" w:hanging="420"/>
      </w:pPr>
      <w:rPr>
        <w:rFonts w:hint="default"/>
      </w:rPr>
    </w:lvl>
    <w:lvl w:ilvl="6">
      <w:start w:val="0"/>
      <w:numFmt w:val="bullet"/>
      <w:lvlText w:val="•"/>
      <w:lvlJc w:val="left"/>
      <w:pPr>
        <w:ind w:left="4432" w:hanging="420"/>
      </w:pPr>
      <w:rPr>
        <w:rFonts w:hint="default"/>
      </w:rPr>
    </w:lvl>
    <w:lvl w:ilvl="7">
      <w:start w:val="0"/>
      <w:numFmt w:val="bullet"/>
      <w:lvlText w:val="•"/>
      <w:lvlJc w:val="left"/>
      <w:pPr>
        <w:ind w:left="5004" w:hanging="420"/>
      </w:pPr>
      <w:rPr>
        <w:rFonts w:hint="default"/>
      </w:rPr>
    </w:lvl>
    <w:lvl w:ilvl="8">
      <w:start w:val="0"/>
      <w:numFmt w:val="bullet"/>
      <w:lvlText w:val="•"/>
      <w:lvlJc w:val="left"/>
      <w:pPr>
        <w:ind w:left="5576" w:hanging="420"/>
      </w:pPr>
      <w:rPr>
        <w:rFonts w:hint="default"/>
      </w:rPr>
    </w:lvl>
  </w:abstractNum>
  <w:abstractNum w:abstractNumId="5">
    <w:multiLevelType w:val="hybridMultilevel"/>
    <w:lvl w:ilvl="0">
      <w:start w:val="8"/>
      <w:numFmt w:val="decimal"/>
      <w:lvlText w:val="%1"/>
      <w:lvlJc w:val="left"/>
      <w:pPr>
        <w:ind w:left="373" w:hanging="420"/>
        <w:jc w:val="left"/>
      </w:pPr>
      <w:rPr>
        <w:rFonts w:hint="default"/>
      </w:rPr>
    </w:lvl>
    <w:lvl w:ilvl="1">
      <w:start w:val="1"/>
      <w:numFmt w:val="decimal"/>
      <w:lvlText w:val="%1.%2"/>
      <w:lvlJc w:val="left"/>
      <w:pPr>
        <w:ind w:left="373" w:hanging="420"/>
        <w:jc w:val="left"/>
      </w:pPr>
      <w:rPr>
        <w:rFonts w:hint="default" w:ascii="宋体" w:hAnsi="宋体" w:eastAsia="宋体" w:cs="宋体"/>
        <w:w w:val="100"/>
        <w:sz w:val="21"/>
        <w:szCs w:val="21"/>
      </w:rPr>
    </w:lvl>
    <w:lvl w:ilvl="2">
      <w:start w:val="0"/>
      <w:numFmt w:val="bullet"/>
      <w:lvlText w:val="•"/>
      <w:lvlJc w:val="left"/>
      <w:pPr>
        <w:ind w:left="1648" w:hanging="420"/>
      </w:pPr>
      <w:rPr>
        <w:rFonts w:hint="default"/>
      </w:rPr>
    </w:lvl>
    <w:lvl w:ilvl="3">
      <w:start w:val="0"/>
      <w:numFmt w:val="bullet"/>
      <w:lvlText w:val="•"/>
      <w:lvlJc w:val="left"/>
      <w:pPr>
        <w:ind w:left="2282" w:hanging="420"/>
      </w:pPr>
      <w:rPr>
        <w:rFonts w:hint="default"/>
      </w:rPr>
    </w:lvl>
    <w:lvl w:ilvl="4">
      <w:start w:val="0"/>
      <w:numFmt w:val="bullet"/>
      <w:lvlText w:val="•"/>
      <w:lvlJc w:val="left"/>
      <w:pPr>
        <w:ind w:left="2916" w:hanging="420"/>
      </w:pPr>
      <w:rPr>
        <w:rFonts w:hint="default"/>
      </w:rPr>
    </w:lvl>
    <w:lvl w:ilvl="5">
      <w:start w:val="0"/>
      <w:numFmt w:val="bullet"/>
      <w:lvlText w:val="•"/>
      <w:lvlJc w:val="left"/>
      <w:pPr>
        <w:ind w:left="3550" w:hanging="420"/>
      </w:pPr>
      <w:rPr>
        <w:rFonts w:hint="default"/>
      </w:rPr>
    </w:lvl>
    <w:lvl w:ilvl="6">
      <w:start w:val="0"/>
      <w:numFmt w:val="bullet"/>
      <w:lvlText w:val="•"/>
      <w:lvlJc w:val="left"/>
      <w:pPr>
        <w:ind w:left="4184" w:hanging="420"/>
      </w:pPr>
      <w:rPr>
        <w:rFonts w:hint="default"/>
      </w:rPr>
    </w:lvl>
    <w:lvl w:ilvl="7">
      <w:start w:val="0"/>
      <w:numFmt w:val="bullet"/>
      <w:lvlText w:val="•"/>
      <w:lvlJc w:val="left"/>
      <w:pPr>
        <w:ind w:left="4818" w:hanging="420"/>
      </w:pPr>
      <w:rPr>
        <w:rFonts w:hint="default"/>
      </w:rPr>
    </w:lvl>
    <w:lvl w:ilvl="8">
      <w:start w:val="0"/>
      <w:numFmt w:val="bullet"/>
      <w:lvlText w:val="•"/>
      <w:lvlJc w:val="left"/>
      <w:pPr>
        <w:ind w:left="5452" w:hanging="420"/>
      </w:pPr>
      <w:rPr>
        <w:rFonts w:hint="default"/>
      </w:rPr>
    </w:lvl>
  </w:abstractNum>
  <w:abstractNum w:abstractNumId="4">
    <w:multiLevelType w:val="hybridMultilevel"/>
    <w:lvl w:ilvl="0">
      <w:start w:val="6"/>
      <w:numFmt w:val="decimal"/>
      <w:lvlText w:val="%1"/>
      <w:lvlJc w:val="left"/>
      <w:pPr>
        <w:ind w:left="1749" w:hanging="420"/>
        <w:jc w:val="left"/>
      </w:pPr>
      <w:rPr>
        <w:rFonts w:hint="default"/>
      </w:rPr>
    </w:lvl>
    <w:lvl w:ilvl="1">
      <w:start w:val="1"/>
      <w:numFmt w:val="decimal"/>
      <w:lvlText w:val="%1.%2"/>
      <w:lvlJc w:val="left"/>
      <w:pPr>
        <w:ind w:left="1749" w:hanging="420"/>
        <w:jc w:val="left"/>
      </w:pPr>
      <w:rPr>
        <w:rFonts w:hint="default" w:ascii="宋体" w:hAnsi="宋体" w:eastAsia="宋体" w:cs="宋体"/>
        <w:w w:val="100"/>
        <w:sz w:val="21"/>
        <w:szCs w:val="21"/>
      </w:rPr>
    </w:lvl>
    <w:lvl w:ilvl="2">
      <w:start w:val="0"/>
      <w:numFmt w:val="bullet"/>
      <w:lvlText w:val="•"/>
      <w:lvlJc w:val="left"/>
      <w:pPr>
        <w:ind w:left="2100" w:hanging="420"/>
      </w:pPr>
      <w:rPr>
        <w:rFonts w:hint="default"/>
      </w:rPr>
    </w:lvl>
    <w:lvl w:ilvl="3">
      <w:start w:val="0"/>
      <w:numFmt w:val="bullet"/>
      <w:lvlText w:val="•"/>
      <w:lvlJc w:val="left"/>
      <w:pPr>
        <w:ind w:left="2280" w:hanging="420"/>
      </w:pPr>
      <w:rPr>
        <w:rFonts w:hint="default"/>
      </w:rPr>
    </w:lvl>
    <w:lvl w:ilvl="4">
      <w:start w:val="0"/>
      <w:numFmt w:val="bullet"/>
      <w:lvlText w:val="•"/>
      <w:lvlJc w:val="left"/>
      <w:pPr>
        <w:ind w:left="2461" w:hanging="420"/>
      </w:pPr>
      <w:rPr>
        <w:rFonts w:hint="default"/>
      </w:rPr>
    </w:lvl>
    <w:lvl w:ilvl="5">
      <w:start w:val="0"/>
      <w:numFmt w:val="bullet"/>
      <w:lvlText w:val="•"/>
      <w:lvlJc w:val="left"/>
      <w:pPr>
        <w:ind w:left="2641" w:hanging="420"/>
      </w:pPr>
      <w:rPr>
        <w:rFonts w:hint="default"/>
      </w:rPr>
    </w:lvl>
    <w:lvl w:ilvl="6">
      <w:start w:val="0"/>
      <w:numFmt w:val="bullet"/>
      <w:lvlText w:val="•"/>
      <w:lvlJc w:val="left"/>
      <w:pPr>
        <w:ind w:left="2821" w:hanging="420"/>
      </w:pPr>
      <w:rPr>
        <w:rFonts w:hint="default"/>
      </w:rPr>
    </w:lvl>
    <w:lvl w:ilvl="7">
      <w:start w:val="0"/>
      <w:numFmt w:val="bullet"/>
      <w:lvlText w:val="•"/>
      <w:lvlJc w:val="left"/>
      <w:pPr>
        <w:ind w:left="3002" w:hanging="420"/>
      </w:pPr>
      <w:rPr>
        <w:rFonts w:hint="default"/>
      </w:rPr>
    </w:lvl>
    <w:lvl w:ilvl="8">
      <w:start w:val="0"/>
      <w:numFmt w:val="bullet"/>
      <w:lvlText w:val="•"/>
      <w:lvlJc w:val="left"/>
      <w:pPr>
        <w:ind w:left="3182" w:hanging="420"/>
      </w:pPr>
      <w:rPr>
        <w:rFonts w:hint="default"/>
      </w:rPr>
    </w:lvl>
  </w:abstractNum>
  <w:abstractNum w:abstractNumId="3">
    <w:multiLevelType w:val="hybridMultilevel"/>
    <w:lvl w:ilvl="0">
      <w:start w:val="4"/>
      <w:numFmt w:val="decimal"/>
      <w:lvlText w:val="%1."/>
      <w:lvlJc w:val="left"/>
      <w:pPr>
        <w:ind w:left="1435" w:hanging="316"/>
        <w:jc w:val="left"/>
      </w:pPr>
      <w:rPr>
        <w:rFonts w:hint="default" w:ascii="宋体" w:hAnsi="宋体" w:eastAsia="宋体" w:cs="宋体"/>
        <w:w w:val="100"/>
        <w:sz w:val="21"/>
        <w:szCs w:val="21"/>
      </w:rPr>
    </w:lvl>
    <w:lvl w:ilvl="1">
      <w:start w:val="1"/>
      <w:numFmt w:val="decimal"/>
      <w:lvlText w:val="%1.%2"/>
      <w:lvlJc w:val="left"/>
      <w:pPr>
        <w:ind w:left="1749" w:hanging="420"/>
        <w:jc w:val="left"/>
      </w:pPr>
      <w:rPr>
        <w:rFonts w:hint="default" w:ascii="宋体" w:hAnsi="宋体" w:eastAsia="宋体" w:cs="宋体"/>
        <w:w w:val="100"/>
        <w:sz w:val="21"/>
        <w:szCs w:val="21"/>
      </w:rPr>
    </w:lvl>
    <w:lvl w:ilvl="2">
      <w:start w:val="0"/>
      <w:numFmt w:val="bullet"/>
      <w:lvlText w:val="•"/>
      <w:lvlJc w:val="left"/>
      <w:pPr>
        <w:ind w:left="1940" w:hanging="420"/>
      </w:pPr>
      <w:rPr>
        <w:rFonts w:hint="default"/>
      </w:rPr>
    </w:lvl>
    <w:lvl w:ilvl="3">
      <w:start w:val="0"/>
      <w:numFmt w:val="bullet"/>
      <w:lvlText w:val="•"/>
      <w:lvlJc w:val="left"/>
      <w:pPr>
        <w:ind w:left="2140" w:hanging="420"/>
      </w:pPr>
      <w:rPr>
        <w:rFonts w:hint="default"/>
      </w:rPr>
    </w:lvl>
    <w:lvl w:ilvl="4">
      <w:start w:val="0"/>
      <w:numFmt w:val="bullet"/>
      <w:lvlText w:val="•"/>
      <w:lvlJc w:val="left"/>
      <w:pPr>
        <w:ind w:left="2341" w:hanging="420"/>
      </w:pPr>
      <w:rPr>
        <w:rFonts w:hint="default"/>
      </w:rPr>
    </w:lvl>
    <w:lvl w:ilvl="5">
      <w:start w:val="0"/>
      <w:numFmt w:val="bullet"/>
      <w:lvlText w:val="•"/>
      <w:lvlJc w:val="left"/>
      <w:pPr>
        <w:ind w:left="2541" w:hanging="420"/>
      </w:pPr>
      <w:rPr>
        <w:rFonts w:hint="default"/>
      </w:rPr>
    </w:lvl>
    <w:lvl w:ilvl="6">
      <w:start w:val="0"/>
      <w:numFmt w:val="bullet"/>
      <w:lvlText w:val="•"/>
      <w:lvlJc w:val="left"/>
      <w:pPr>
        <w:ind w:left="2741" w:hanging="420"/>
      </w:pPr>
      <w:rPr>
        <w:rFonts w:hint="default"/>
      </w:rPr>
    </w:lvl>
    <w:lvl w:ilvl="7">
      <w:start w:val="0"/>
      <w:numFmt w:val="bullet"/>
      <w:lvlText w:val="•"/>
      <w:lvlJc w:val="left"/>
      <w:pPr>
        <w:ind w:left="2942" w:hanging="420"/>
      </w:pPr>
      <w:rPr>
        <w:rFonts w:hint="default"/>
      </w:rPr>
    </w:lvl>
    <w:lvl w:ilvl="8">
      <w:start w:val="0"/>
      <w:numFmt w:val="bullet"/>
      <w:lvlText w:val="•"/>
      <w:lvlJc w:val="left"/>
      <w:pPr>
        <w:ind w:left="3142" w:hanging="420"/>
      </w:pPr>
      <w:rPr>
        <w:rFonts w:hint="default"/>
      </w:rPr>
    </w:lvl>
  </w:abstractNum>
  <w:abstractNum w:abstractNumId="2">
    <w:multiLevelType w:val="hybridMultilevel"/>
    <w:lvl w:ilvl="0">
      <w:start w:val="3"/>
      <w:numFmt w:val="decimal"/>
      <w:lvlText w:val="%1"/>
      <w:lvlJc w:val="left"/>
      <w:pPr>
        <w:ind w:left="1749" w:hanging="420"/>
        <w:jc w:val="left"/>
      </w:pPr>
      <w:rPr>
        <w:rFonts w:hint="default"/>
      </w:rPr>
    </w:lvl>
    <w:lvl w:ilvl="1">
      <w:start w:val="1"/>
      <w:numFmt w:val="decimal"/>
      <w:lvlText w:val="%1.%2"/>
      <w:lvlJc w:val="left"/>
      <w:pPr>
        <w:ind w:left="1749" w:hanging="420"/>
        <w:jc w:val="left"/>
      </w:pPr>
      <w:rPr>
        <w:rFonts w:hint="default" w:ascii="宋体" w:hAnsi="宋体" w:eastAsia="宋体" w:cs="宋体"/>
        <w:w w:val="100"/>
        <w:sz w:val="21"/>
        <w:szCs w:val="21"/>
      </w:rPr>
    </w:lvl>
    <w:lvl w:ilvl="2">
      <w:start w:val="0"/>
      <w:numFmt w:val="bullet"/>
      <w:lvlText w:val="•"/>
      <w:lvlJc w:val="left"/>
      <w:pPr>
        <w:ind w:left="2100" w:hanging="420"/>
      </w:pPr>
      <w:rPr>
        <w:rFonts w:hint="default"/>
      </w:rPr>
    </w:lvl>
    <w:lvl w:ilvl="3">
      <w:start w:val="0"/>
      <w:numFmt w:val="bullet"/>
      <w:lvlText w:val="•"/>
      <w:lvlJc w:val="left"/>
      <w:pPr>
        <w:ind w:left="2280" w:hanging="420"/>
      </w:pPr>
      <w:rPr>
        <w:rFonts w:hint="default"/>
      </w:rPr>
    </w:lvl>
    <w:lvl w:ilvl="4">
      <w:start w:val="0"/>
      <w:numFmt w:val="bullet"/>
      <w:lvlText w:val="•"/>
      <w:lvlJc w:val="left"/>
      <w:pPr>
        <w:ind w:left="2461" w:hanging="420"/>
      </w:pPr>
      <w:rPr>
        <w:rFonts w:hint="default"/>
      </w:rPr>
    </w:lvl>
    <w:lvl w:ilvl="5">
      <w:start w:val="0"/>
      <w:numFmt w:val="bullet"/>
      <w:lvlText w:val="•"/>
      <w:lvlJc w:val="left"/>
      <w:pPr>
        <w:ind w:left="2641" w:hanging="420"/>
      </w:pPr>
      <w:rPr>
        <w:rFonts w:hint="default"/>
      </w:rPr>
    </w:lvl>
    <w:lvl w:ilvl="6">
      <w:start w:val="0"/>
      <w:numFmt w:val="bullet"/>
      <w:lvlText w:val="•"/>
      <w:lvlJc w:val="left"/>
      <w:pPr>
        <w:ind w:left="2821" w:hanging="420"/>
      </w:pPr>
      <w:rPr>
        <w:rFonts w:hint="default"/>
      </w:rPr>
    </w:lvl>
    <w:lvl w:ilvl="7">
      <w:start w:val="0"/>
      <w:numFmt w:val="bullet"/>
      <w:lvlText w:val="•"/>
      <w:lvlJc w:val="left"/>
      <w:pPr>
        <w:ind w:left="3002" w:hanging="420"/>
      </w:pPr>
      <w:rPr>
        <w:rFonts w:hint="default"/>
      </w:rPr>
    </w:lvl>
    <w:lvl w:ilvl="8">
      <w:start w:val="0"/>
      <w:numFmt w:val="bullet"/>
      <w:lvlText w:val="•"/>
      <w:lvlJc w:val="left"/>
      <w:pPr>
        <w:ind w:left="3182" w:hanging="420"/>
      </w:pPr>
      <w:rPr>
        <w:rFonts w:hint="default"/>
      </w:rPr>
    </w:lvl>
  </w:abstractNum>
  <w:abstractNum w:abstractNumId="1">
    <w:multiLevelType w:val="hybridMultilevel"/>
    <w:lvl w:ilvl="0">
      <w:start w:val="2"/>
      <w:numFmt w:val="decimal"/>
      <w:lvlText w:val="%1"/>
      <w:lvlJc w:val="left"/>
      <w:pPr>
        <w:ind w:left="1749" w:hanging="420"/>
        <w:jc w:val="left"/>
      </w:pPr>
      <w:rPr>
        <w:rFonts w:hint="default"/>
      </w:rPr>
    </w:lvl>
    <w:lvl w:ilvl="1">
      <w:start w:val="1"/>
      <w:numFmt w:val="decimal"/>
      <w:lvlText w:val="%1.%2"/>
      <w:lvlJc w:val="left"/>
      <w:pPr>
        <w:ind w:left="1749" w:hanging="420"/>
        <w:jc w:val="left"/>
      </w:pPr>
      <w:rPr>
        <w:rFonts w:hint="default" w:ascii="宋体" w:hAnsi="宋体" w:eastAsia="宋体" w:cs="宋体"/>
        <w:w w:val="100"/>
        <w:sz w:val="21"/>
        <w:szCs w:val="21"/>
      </w:rPr>
    </w:lvl>
    <w:lvl w:ilvl="2">
      <w:start w:val="0"/>
      <w:numFmt w:val="bullet"/>
      <w:lvlText w:val="•"/>
      <w:lvlJc w:val="left"/>
      <w:pPr>
        <w:ind w:left="2100" w:hanging="420"/>
      </w:pPr>
      <w:rPr>
        <w:rFonts w:hint="default"/>
      </w:rPr>
    </w:lvl>
    <w:lvl w:ilvl="3">
      <w:start w:val="0"/>
      <w:numFmt w:val="bullet"/>
      <w:lvlText w:val="•"/>
      <w:lvlJc w:val="left"/>
      <w:pPr>
        <w:ind w:left="2280" w:hanging="420"/>
      </w:pPr>
      <w:rPr>
        <w:rFonts w:hint="default"/>
      </w:rPr>
    </w:lvl>
    <w:lvl w:ilvl="4">
      <w:start w:val="0"/>
      <w:numFmt w:val="bullet"/>
      <w:lvlText w:val="•"/>
      <w:lvlJc w:val="left"/>
      <w:pPr>
        <w:ind w:left="2461" w:hanging="420"/>
      </w:pPr>
      <w:rPr>
        <w:rFonts w:hint="default"/>
      </w:rPr>
    </w:lvl>
    <w:lvl w:ilvl="5">
      <w:start w:val="0"/>
      <w:numFmt w:val="bullet"/>
      <w:lvlText w:val="•"/>
      <w:lvlJc w:val="left"/>
      <w:pPr>
        <w:ind w:left="2641" w:hanging="420"/>
      </w:pPr>
      <w:rPr>
        <w:rFonts w:hint="default"/>
      </w:rPr>
    </w:lvl>
    <w:lvl w:ilvl="6">
      <w:start w:val="0"/>
      <w:numFmt w:val="bullet"/>
      <w:lvlText w:val="•"/>
      <w:lvlJc w:val="left"/>
      <w:pPr>
        <w:ind w:left="2821" w:hanging="420"/>
      </w:pPr>
      <w:rPr>
        <w:rFonts w:hint="default"/>
      </w:rPr>
    </w:lvl>
    <w:lvl w:ilvl="7">
      <w:start w:val="0"/>
      <w:numFmt w:val="bullet"/>
      <w:lvlText w:val="•"/>
      <w:lvlJc w:val="left"/>
      <w:pPr>
        <w:ind w:left="3002" w:hanging="420"/>
      </w:pPr>
      <w:rPr>
        <w:rFonts w:hint="default"/>
      </w:rPr>
    </w:lvl>
    <w:lvl w:ilvl="8">
      <w:start w:val="0"/>
      <w:numFmt w:val="bullet"/>
      <w:lvlText w:val="•"/>
      <w:lvlJc w:val="left"/>
      <w:pPr>
        <w:ind w:left="3182" w:hanging="420"/>
      </w:pPr>
      <w:rPr>
        <w:rFonts w:hint="default"/>
      </w:rPr>
    </w:lvl>
  </w:abstractNum>
  <w:abstractNum w:abstractNumId="0">
    <w:multiLevelType w:val="hybridMultilevel"/>
    <w:lvl w:ilvl="0">
      <w:start w:val="0"/>
      <w:numFmt w:val="bullet"/>
      <w:lvlText w:val=""/>
      <w:lvlJc w:val="left"/>
      <w:pPr>
        <w:ind w:left="1697" w:hanging="420"/>
      </w:pPr>
      <w:rPr>
        <w:rFonts w:hint="default" w:ascii="Wingdings" w:hAnsi="Wingdings" w:eastAsia="Wingdings" w:cs="Wingdings"/>
        <w:w w:val="100"/>
        <w:sz w:val="21"/>
        <w:szCs w:val="21"/>
      </w:rPr>
    </w:lvl>
    <w:lvl w:ilvl="1">
      <w:start w:val="0"/>
      <w:numFmt w:val="bullet"/>
      <w:lvlText w:val="•"/>
      <w:lvlJc w:val="left"/>
      <w:pPr>
        <w:ind w:left="2560" w:hanging="420"/>
      </w:pPr>
      <w:rPr>
        <w:rFonts w:hint="default"/>
      </w:rPr>
    </w:lvl>
    <w:lvl w:ilvl="2">
      <w:start w:val="0"/>
      <w:numFmt w:val="bullet"/>
      <w:lvlText w:val="•"/>
      <w:lvlJc w:val="left"/>
      <w:pPr>
        <w:ind w:left="3420" w:hanging="420"/>
      </w:pPr>
      <w:rPr>
        <w:rFonts w:hint="default"/>
      </w:rPr>
    </w:lvl>
    <w:lvl w:ilvl="3">
      <w:start w:val="0"/>
      <w:numFmt w:val="bullet"/>
      <w:lvlText w:val="•"/>
      <w:lvlJc w:val="left"/>
      <w:pPr>
        <w:ind w:left="4281" w:hanging="420"/>
      </w:pPr>
      <w:rPr>
        <w:rFonts w:hint="default"/>
      </w:rPr>
    </w:lvl>
    <w:lvl w:ilvl="4">
      <w:start w:val="0"/>
      <w:numFmt w:val="bullet"/>
      <w:lvlText w:val="•"/>
      <w:lvlJc w:val="left"/>
      <w:pPr>
        <w:ind w:left="5141" w:hanging="420"/>
      </w:pPr>
      <w:rPr>
        <w:rFonts w:hint="default"/>
      </w:rPr>
    </w:lvl>
    <w:lvl w:ilvl="5">
      <w:start w:val="0"/>
      <w:numFmt w:val="bullet"/>
      <w:lvlText w:val="•"/>
      <w:lvlJc w:val="left"/>
      <w:pPr>
        <w:ind w:left="6002" w:hanging="420"/>
      </w:pPr>
      <w:rPr>
        <w:rFonts w:hint="default"/>
      </w:rPr>
    </w:lvl>
    <w:lvl w:ilvl="6">
      <w:start w:val="0"/>
      <w:numFmt w:val="bullet"/>
      <w:lvlText w:val="•"/>
      <w:lvlJc w:val="left"/>
      <w:pPr>
        <w:ind w:left="6862" w:hanging="420"/>
      </w:pPr>
      <w:rPr>
        <w:rFonts w:hint="default"/>
      </w:rPr>
    </w:lvl>
    <w:lvl w:ilvl="7">
      <w:start w:val="0"/>
      <w:numFmt w:val="bullet"/>
      <w:lvlText w:val="•"/>
      <w:lvlJc w:val="left"/>
      <w:pPr>
        <w:ind w:left="7723" w:hanging="420"/>
      </w:pPr>
      <w:rPr>
        <w:rFonts w:hint="default"/>
      </w:rPr>
    </w:lvl>
    <w:lvl w:ilvl="8">
      <w:start w:val="0"/>
      <w:numFmt w:val="bullet"/>
      <w:lvlText w:val="•"/>
      <w:lvlJc w:val="left"/>
      <w:pPr>
        <w:ind w:left="8583" w:hanging="420"/>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71"/>
      <w:ind w:left="1173"/>
      <w:outlineLvl w:val="1"/>
    </w:pPr>
    <w:rPr>
      <w:rFonts w:ascii="微软雅黑" w:hAnsi="微软雅黑" w:eastAsia="微软雅黑" w:cs="微软雅黑"/>
      <w:b/>
      <w:bCs/>
      <w:sz w:val="32"/>
      <w:szCs w:val="32"/>
    </w:rPr>
  </w:style>
  <w:style w:styleId="Heading2" w:type="paragraph">
    <w:name w:val="Heading 2"/>
    <w:basedOn w:val="Normal"/>
    <w:uiPriority w:val="1"/>
    <w:qFormat/>
    <w:pPr>
      <w:ind w:left="221"/>
      <w:outlineLvl w:val="2"/>
    </w:pPr>
    <w:rPr>
      <w:rFonts w:ascii="宋体" w:hAnsi="宋体" w:eastAsia="宋体" w:cs="宋体"/>
      <w:b/>
      <w:bCs/>
      <w:sz w:val="24"/>
      <w:szCs w:val="24"/>
    </w:rPr>
  </w:style>
  <w:style w:styleId="Heading3" w:type="paragraph">
    <w:name w:val="Heading 3"/>
    <w:basedOn w:val="Normal"/>
    <w:uiPriority w:val="1"/>
    <w:qFormat/>
    <w:pPr>
      <w:ind w:left="1073"/>
      <w:outlineLvl w:val="3"/>
    </w:pPr>
    <w:rPr>
      <w:rFonts w:ascii="宋体" w:hAnsi="宋体" w:eastAsia="宋体" w:cs="宋体"/>
      <w:b/>
      <w:bCs/>
      <w:sz w:val="21"/>
      <w:szCs w:val="21"/>
    </w:rPr>
  </w:style>
  <w:style w:styleId="ListParagraph" w:type="paragraph">
    <w:name w:val="List Paragraph"/>
    <w:basedOn w:val="Normal"/>
    <w:uiPriority w:val="1"/>
    <w:qFormat/>
    <w:pPr>
      <w:ind w:left="1697" w:hanging="420"/>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itle>&lt;4D6963726F736F667420576F7264202D20BDBBD2F8BFB5C1AAB8BDBCD3BDBBD2F8BFB5C0D6B1A3D6D8B4F3BCB2B2A1B1A3CFD52DCCF5BFEEA3A8B6FECEACC2EBA3A9&gt;</dc:title>
  <dcterms:created xsi:type="dcterms:W3CDTF">2018-10-20T04:45:18Z</dcterms:created>
  <dcterms:modified xsi:type="dcterms:W3CDTF">2018-10-20T04:45:18Z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2014-04-25T00:00:00Z</vt:filetime>
  </property>
  <property fmtid="{D5CDD505-2E9C-101B-9397-08002B2CF9AE}" pid="3" name="Creator">
    <vt:lpwstr>PScript5.dll Version 5.2.2</vt:lpwstr>
  </property>
  <property fmtid="{D5CDD505-2E9C-101B-9397-08002B2CF9AE}" pid="4" name="LastSaved">
    <vt:filetime>2018-10-19T00:00:00Z</vt:filetime>
  </property>
</Properties>
</file>