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2760"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750" w:right="0" w:firstLine="0"/>
        <w:jc w:val="left"/>
        <w:rPr>
          <w:b/>
          <w:sz w:val="32"/>
        </w:rPr>
      </w:pPr>
      <w:r>
        <w:rPr>
          <w:b/>
          <w:sz w:val="32"/>
        </w:rPr>
        <w:t>友邦附加守卫人生重大疾病保险</w:t>
      </w:r>
    </w:p>
    <w:p>
      <w:pPr>
        <w:pStyle w:val="BodyText"/>
        <w:spacing w:before="12"/>
        <w:rPr>
          <w:b/>
          <w:sz w:val="28"/>
        </w:rPr>
      </w:pPr>
    </w:p>
    <w:p>
      <w:pPr>
        <w:pStyle w:val="Heading1"/>
        <w:tabs>
          <w:tab w:pos="926" w:val="left" w:leader="none"/>
        </w:tabs>
        <w:jc w:val="left"/>
      </w:pPr>
      <w:r>
        <w:rPr/>
        <w:t>第一条</w:t>
        <w:tab/>
      </w:r>
      <w:r>
        <w:rPr>
          <w:spacing w:val="-5"/>
        </w:rPr>
        <w:t>附</w:t>
      </w:r>
      <w:r>
        <w:rPr/>
        <w:t>加合</w:t>
      </w:r>
      <w:r>
        <w:rPr>
          <w:spacing w:val="-5"/>
        </w:rPr>
        <w:t>同</w:t>
      </w:r>
      <w:r>
        <w:rPr/>
        <w:t>的订</w:t>
      </w:r>
      <w:r>
        <w:rPr>
          <w:spacing w:val="-5"/>
        </w:rPr>
        <w:t>立</w:t>
      </w:r>
      <w:r>
        <w:rPr/>
        <w:t>及构成</w:t>
      </w:r>
    </w:p>
    <w:p>
      <w:pPr>
        <w:pStyle w:val="BodyText"/>
        <w:spacing w:before="5"/>
        <w:rPr>
          <w:b/>
          <w:sz w:val="25"/>
        </w:rPr>
      </w:pPr>
    </w:p>
    <w:p>
      <w:pPr>
        <w:pStyle w:val="BodyText"/>
        <w:spacing w:line="285" w:lineRule="auto"/>
        <w:ind w:left="119" w:right="131"/>
        <w:jc w:val="both"/>
      </w:pPr>
      <w:r>
        <w:rPr>
          <w:spacing w:val="-5"/>
        </w:rPr>
        <w:t>《友邦附加守卫人生重大疾病保险》合同</w:t>
      </w:r>
      <w:r>
        <w:rPr/>
        <w:t>（</w:t>
      </w:r>
      <w:r>
        <w:rPr>
          <w:spacing w:val="-5"/>
        </w:rPr>
        <w:t>以下简称本附加合同</w:t>
      </w:r>
      <w:r>
        <w:rPr>
          <w:spacing w:val="-3"/>
        </w:rPr>
        <w:t>）</w:t>
      </w:r>
      <w:r>
        <w:rPr>
          <w:spacing w:val="-5"/>
        </w:rPr>
        <w:t>，依《友邦守卫人生两全保险》合同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4"/>
        <w:rPr>
          <w:sz w:val="22"/>
        </w:rPr>
      </w:pPr>
    </w:p>
    <w:p>
      <w:pPr>
        <w:pStyle w:val="Heading1"/>
        <w:tabs>
          <w:tab w:pos="926" w:val="left" w:leader="none"/>
        </w:tabs>
        <w:jc w:val="left"/>
      </w:pPr>
      <w:r>
        <w:rPr/>
        <w:t>第二条</w:t>
        <w:tab/>
      </w:r>
      <w:r>
        <w:rPr>
          <w:spacing w:val="-5"/>
        </w:rPr>
        <w:t>保</w:t>
      </w:r>
      <w:r>
        <w:rPr/>
        <w:t>险责任</w:t>
      </w:r>
    </w:p>
    <w:p>
      <w:pPr>
        <w:pStyle w:val="BodyText"/>
        <w:rPr>
          <w:b/>
          <w:sz w:val="25"/>
        </w:rPr>
      </w:pPr>
    </w:p>
    <w:p>
      <w:pPr>
        <w:pStyle w:val="BodyText"/>
        <w:ind w:left="120"/>
      </w:pPr>
      <w:r>
        <w:rPr/>
        <w:t>一、重大疾病保险金</w:t>
      </w:r>
    </w:p>
    <w:p>
      <w:pPr>
        <w:pStyle w:val="BodyText"/>
        <w:spacing w:before="11"/>
        <w:rPr>
          <w:sz w:val="24"/>
        </w:rPr>
      </w:pPr>
    </w:p>
    <w:p>
      <w:pPr>
        <w:pStyle w:val="BodyText"/>
        <w:spacing w:line="285" w:lineRule="auto"/>
        <w:ind w:left="119" w:right="129"/>
        <w:jc w:val="both"/>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w:t>
      </w:r>
      <w:r>
        <w:rPr>
          <w:spacing w:val="-4"/>
        </w:rPr>
        <w:t>，且被</w:t>
      </w:r>
      <w:r>
        <w:rPr>
          <w:b/>
          <w:spacing w:val="-2"/>
        </w:rPr>
        <w:t>专科医生</w:t>
      </w:r>
      <w:r>
        <w:rPr>
          <w:spacing w:val="-5"/>
        </w:rPr>
        <w:t>（</w:t>
      </w:r>
      <w:r>
        <w:rPr>
          <w:spacing w:val="-4"/>
        </w:rPr>
        <w:t>释义三</w:t>
      </w:r>
      <w:r>
        <w:rPr/>
        <w:t>）</w:t>
      </w:r>
      <w:r>
        <w:rPr>
          <w:spacing w:val="-5"/>
        </w:rPr>
        <w:t>首次</w:t>
      </w:r>
      <w:r>
        <w:rPr>
          <w:spacing w:val="-3"/>
        </w:rPr>
        <w:t>确诊患有</w:t>
      </w:r>
      <w:r>
        <w:rPr>
          <w:b/>
          <w:spacing w:val="-2"/>
        </w:rPr>
        <w:t>重大疾病</w:t>
      </w:r>
      <w:r>
        <w:rPr>
          <w:spacing w:val="-5"/>
        </w:rPr>
        <w:t>（</w:t>
      </w:r>
      <w:r>
        <w:rPr>
          <w:spacing w:val="-4"/>
        </w:rPr>
        <w:t>释义四</w:t>
      </w:r>
      <w:r>
        <w:rPr/>
        <w:t>）</w:t>
      </w:r>
      <w:r>
        <w:rPr>
          <w:spacing w:val="-5"/>
        </w:rPr>
        <w:t>或初次接受重大疾病定义中所指的手术的，则本公司将给付重大疾病保险金予被保险人，其金额等值于该重大疾病确诊时本附加合同的保险金额。本附加合同的重大疾病保险金给付以一次为限，且本公司仅对本附加合同项下的重大疾病保险金、主合同项下的身故保险金及满期金此三项保险金中的一项予以承担给付责任，并以最先发生者予以给付。最先发生时日以身故发生时日、重大疾病确诊时日或满期时日为准。</w:t>
      </w:r>
    </w:p>
    <w:p>
      <w:pPr>
        <w:pStyle w:val="BodyText"/>
        <w:spacing w:before="3"/>
        <w:rPr>
          <w:sz w:val="22"/>
        </w:rPr>
      </w:pPr>
    </w:p>
    <w:p>
      <w:pPr>
        <w:pStyle w:val="BodyText"/>
        <w:ind w:left="120"/>
      </w:pPr>
      <w:r>
        <w:rPr/>
        <w:t>二、豁免保险费</w:t>
      </w:r>
    </w:p>
    <w:p>
      <w:pPr>
        <w:pStyle w:val="BodyText"/>
        <w:spacing w:before="11"/>
        <w:rPr>
          <w:sz w:val="24"/>
        </w:rPr>
      </w:pPr>
    </w:p>
    <w:p>
      <w:pPr>
        <w:pStyle w:val="BodyText"/>
        <w:spacing w:line="288" w:lineRule="auto"/>
        <w:ind w:left="120" w:right="130"/>
      </w:pPr>
      <w:r>
        <w:rPr>
          <w:spacing w:val="-5"/>
        </w:rPr>
        <w:t>在本附加合同有效期内，若被保险人于六十五岁后的首个保险单周年日前，或于六十五岁生日前（若保险单周年日与被保险人生日是同一日期</w:t>
      </w:r>
      <w:r>
        <w:rPr/>
        <w:t>）</w:t>
      </w:r>
      <w:r>
        <w:rPr>
          <w:spacing w:val="-5"/>
        </w:rPr>
        <w:t>发生主合同所定义的全残并在全残持续期内，则本公司将豁免投保人所应支付本附加合同的保险费。</w:t>
      </w:r>
    </w:p>
    <w:p>
      <w:pPr>
        <w:pStyle w:val="BodyText"/>
        <w:spacing w:before="1"/>
        <w:rPr>
          <w:sz w:val="22"/>
        </w:rPr>
      </w:pPr>
    </w:p>
    <w:p>
      <w:pPr>
        <w:pStyle w:val="BodyText"/>
        <w:spacing w:line="285" w:lineRule="auto"/>
        <w:ind w:left="120" w:right="129"/>
        <w:jc w:val="both"/>
      </w:pPr>
      <w:r>
        <w:rPr>
          <w:spacing w:val="-5"/>
        </w:rPr>
        <w:t>本公司自被保险人全残后的下一保险单周年日开始豁免保险费，获豁免的保险费被视为已支付，本附加合同仍然有效；被保险人六十五岁后的首个保险单周年日或以后发生全残并在全残持续期内，或于六十五岁生日或以后</w:t>
      </w:r>
      <w:r>
        <w:rPr/>
        <w:t>（</w:t>
      </w:r>
      <w:r>
        <w:rPr>
          <w:spacing w:val="-5"/>
        </w:rPr>
        <w:t>若保险单周年日与被保险人生日是同一日期）发生全残并在全残持续期内，本公司不负豁免保险费的责任。</w:t>
      </w:r>
    </w:p>
    <w:p>
      <w:pPr>
        <w:pStyle w:val="BodyText"/>
        <w:spacing w:before="4"/>
        <w:rPr>
          <w:sz w:val="22"/>
        </w:rPr>
      </w:pPr>
    </w:p>
    <w:p>
      <w:pPr>
        <w:pStyle w:val="Heading1"/>
        <w:tabs>
          <w:tab w:pos="926" w:val="left" w:leader="none"/>
        </w:tabs>
        <w:jc w:val="left"/>
      </w:pPr>
      <w:r>
        <w:rPr/>
        <w:t>第三条</w:t>
        <w:tab/>
      </w:r>
      <w:r>
        <w:rPr>
          <w:spacing w:val="-5"/>
        </w:rPr>
        <w:t>责</w:t>
      </w:r>
      <w:r>
        <w:rPr/>
        <w:t>任免除</w:t>
      </w:r>
    </w:p>
    <w:p>
      <w:pPr>
        <w:pStyle w:val="BodyText"/>
        <w:spacing w:before="8"/>
        <w:rPr>
          <w:b/>
          <w:sz w:val="27"/>
        </w:rPr>
      </w:pPr>
    </w:p>
    <w:p>
      <w:pPr>
        <w:spacing w:line="285" w:lineRule="auto" w:before="1"/>
        <w:ind w:left="120" w:right="102" w:firstLine="0"/>
        <w:jc w:val="left"/>
        <w:rPr>
          <w:b/>
          <w:sz w:val="20"/>
        </w:rPr>
      </w:pPr>
      <w:r>
        <w:rPr>
          <w:b/>
          <w:spacing w:val="-7"/>
          <w:sz w:val="20"/>
        </w:rPr>
        <w:t>一、因下列情形之一导致被保险人发生疾病、达到疾病状态或进行手术的，本公司不承担给付重大疾病保险金的责任：</w:t>
      </w:r>
    </w:p>
    <w:p>
      <w:pPr>
        <w:pStyle w:val="BodyText"/>
        <w:spacing w:before="10"/>
        <w:rPr>
          <w:b/>
          <w:sz w:val="24"/>
        </w:rPr>
      </w:pPr>
    </w:p>
    <w:p>
      <w:pPr>
        <w:spacing w:before="0"/>
        <w:ind w:left="120" w:right="0" w:firstLine="0"/>
        <w:jc w:val="both"/>
        <w:rPr>
          <w:b/>
          <w:sz w:val="20"/>
        </w:rPr>
      </w:pPr>
      <w:r>
        <w:rPr>
          <w:b/>
          <w:sz w:val="20"/>
        </w:rPr>
        <w:t>（1）投保人对被保险人的故意杀害、故意伤害；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50"/>
        <w:ind w:left="120" w:right="0" w:firstLine="0"/>
        <w:jc w:val="both"/>
        <w:rPr>
          <w:b/>
          <w:sz w:val="20"/>
        </w:rPr>
      </w:pPr>
      <w:r>
        <w:rPr>
          <w:b/>
          <w:sz w:val="20"/>
        </w:rPr>
        <w:t>（4）被保险人主动吸食或注射毒品；</w:t>
      </w:r>
    </w:p>
    <w:p>
      <w:pPr>
        <w:spacing w:before="50"/>
        <w:ind w:left="120" w:right="0" w:firstLine="0"/>
        <w:jc w:val="both"/>
        <w:rPr>
          <w:b/>
          <w:sz w:val="20"/>
        </w:rPr>
      </w:pPr>
      <w:r>
        <w:rPr>
          <w:b/>
          <w:sz w:val="20"/>
        </w:rPr>
        <w:t>（5）被保险人酒后驾驶、无合法有效驾驶证驾驶，或驾驶无有效行驶证的机动车；</w:t>
      </w:r>
    </w:p>
    <w:p>
      <w:pPr>
        <w:spacing w:before="50"/>
        <w:ind w:left="120" w:right="0" w:firstLine="0"/>
        <w:jc w:val="both"/>
        <w:rPr>
          <w:b/>
          <w:sz w:val="20"/>
        </w:rPr>
      </w:pPr>
      <w:r>
        <w:rPr>
          <w:b/>
          <w:sz w:val="20"/>
        </w:rPr>
        <w:t>（6）战争、军事冲突、暴乱或武装叛乱；</w:t>
      </w:r>
    </w:p>
    <w:p>
      <w:pPr>
        <w:spacing w:before="50"/>
        <w:ind w:left="120" w:right="0" w:firstLine="0"/>
        <w:jc w:val="both"/>
        <w:rPr>
          <w:b/>
          <w:sz w:val="20"/>
        </w:rPr>
      </w:pPr>
      <w:r>
        <w:rPr>
          <w:b/>
          <w:sz w:val="20"/>
        </w:rPr>
        <w:t>（7）核爆炸、核辐射或核污染；</w:t>
      </w:r>
    </w:p>
    <w:p>
      <w:pPr>
        <w:spacing w:before="50"/>
        <w:ind w:left="120" w:right="0" w:firstLine="0"/>
        <w:jc w:val="both"/>
        <w:rPr>
          <w:b/>
          <w:sz w:val="20"/>
        </w:rPr>
      </w:pPr>
      <w:r>
        <w:rPr>
          <w:b/>
          <w:sz w:val="20"/>
        </w:rPr>
        <w:t>（8）遗传性疾病（释义五），先天性畸形、变形或染色体异常（释义六）；</w:t>
      </w:r>
    </w:p>
    <w:p>
      <w:pPr>
        <w:spacing w:before="50"/>
        <w:ind w:left="120" w:right="0" w:firstLine="0"/>
        <w:jc w:val="both"/>
        <w:rPr>
          <w:b/>
          <w:sz w:val="20"/>
        </w:rPr>
      </w:pPr>
      <w:r>
        <w:rPr>
          <w:b/>
          <w:sz w:val="20"/>
        </w:rPr>
        <w:t>（9）被保险人感染艾滋病病毒或患艾滋病（释义七）。</w:t>
      </w:r>
    </w:p>
    <w:p>
      <w:pPr>
        <w:pStyle w:val="BodyText"/>
        <w:spacing w:before="8"/>
        <w:rPr>
          <w:b/>
          <w:sz w:val="27"/>
        </w:rPr>
      </w:pPr>
    </w:p>
    <w:p>
      <w:pPr>
        <w:spacing w:before="0"/>
        <w:ind w:left="120" w:right="0" w:firstLine="0"/>
        <w:jc w:val="both"/>
        <w:rPr>
          <w:b/>
          <w:sz w:val="20"/>
        </w:rPr>
      </w:pPr>
      <w:r>
        <w:rPr>
          <w:b/>
          <w:sz w:val="20"/>
        </w:rPr>
        <w:t>二、因下列情形之一导致被保险人全残的，本公司不承担豁免保险费的责任：</w:t>
      </w:r>
    </w:p>
    <w:p>
      <w:pPr>
        <w:pStyle w:val="BodyText"/>
        <w:rPr>
          <w:b/>
          <w:sz w:val="20"/>
        </w:rPr>
      </w:pPr>
    </w:p>
    <w:p>
      <w:pPr>
        <w:pStyle w:val="BodyText"/>
        <w:spacing w:before="11"/>
        <w:rPr>
          <w:b/>
          <w:sz w:val="19"/>
        </w:rPr>
      </w:pPr>
    </w:p>
    <w:p>
      <w:pPr>
        <w:pStyle w:val="Heading2"/>
      </w:pPr>
      <w:r>
        <w:rPr>
          <w:rFonts w:ascii="宋体" w:eastAsia="宋体" w:hint="eastAsia"/>
        </w:rPr>
        <w:t>条款编号</w:t>
      </w:r>
      <w:r>
        <w:rPr/>
        <w:t>: H2111-02</w:t>
      </w:r>
    </w:p>
    <w:p>
      <w:pPr>
        <w:spacing w:after="0"/>
        <w:sectPr>
          <w:type w:val="continuous"/>
          <w:pgSz w:w="11910" w:h="16840"/>
          <w:pgMar w:top="1580" w:bottom="280" w:left="960" w:right="980"/>
        </w:sectPr>
      </w:pPr>
    </w:p>
    <w:p>
      <w:pPr>
        <w:pStyle w:val="ListParagraph"/>
        <w:numPr>
          <w:ilvl w:val="0"/>
          <w:numId w:val="1"/>
        </w:numPr>
        <w:tabs>
          <w:tab w:pos="725" w:val="left" w:leader="none"/>
        </w:tabs>
        <w:spacing w:line="240" w:lineRule="auto" w:before="21" w:after="0"/>
        <w:ind w:left="724" w:right="0" w:hanging="604"/>
        <w:jc w:val="both"/>
        <w:rPr>
          <w:b/>
          <w:sz w:val="20"/>
        </w:rPr>
      </w:pPr>
      <w:r>
        <w:rPr/>
        <w:pict>
          <v:group style="position:absolute;margin-left:.119203pt;margin-top:0pt;width:595.3pt;height:833.2pt;mso-position-horizontal-relative:page;mso-position-vertical-relative:page;z-index:-1273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pacing w:val="-5"/>
          <w:sz w:val="20"/>
        </w:rPr>
        <w:t>投保人对被保险人的故意杀害、故意伤害；</w:t>
      </w:r>
    </w:p>
    <w:p>
      <w:pPr>
        <w:pStyle w:val="ListParagraph"/>
        <w:numPr>
          <w:ilvl w:val="0"/>
          <w:numId w:val="1"/>
        </w:numPr>
        <w:tabs>
          <w:tab w:pos="725" w:val="left" w:leader="none"/>
        </w:tabs>
        <w:spacing w:line="240" w:lineRule="auto" w:before="49" w:after="0"/>
        <w:ind w:left="724" w:right="0" w:hanging="604"/>
        <w:jc w:val="both"/>
        <w:rPr>
          <w:b/>
          <w:sz w:val="20"/>
        </w:rPr>
      </w:pPr>
      <w:r>
        <w:rPr>
          <w:b/>
          <w:spacing w:val="-5"/>
          <w:sz w:val="20"/>
        </w:rPr>
        <w:t>被保险人主动吸食或注射毒品；</w:t>
      </w:r>
    </w:p>
    <w:p>
      <w:pPr>
        <w:pStyle w:val="ListParagraph"/>
        <w:numPr>
          <w:ilvl w:val="0"/>
          <w:numId w:val="1"/>
        </w:numPr>
        <w:tabs>
          <w:tab w:pos="725" w:val="left" w:leader="none"/>
        </w:tabs>
        <w:spacing w:line="240" w:lineRule="auto" w:before="49"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49" w:after="0"/>
        <w:ind w:left="724" w:right="0" w:hanging="604"/>
        <w:jc w:val="both"/>
        <w:rPr>
          <w:b/>
          <w:sz w:val="20"/>
        </w:rPr>
      </w:pPr>
      <w:r>
        <w:rPr>
          <w:b/>
          <w:spacing w:val="-4"/>
          <w:sz w:val="20"/>
        </w:rPr>
        <w:t>被保险人故意自伤；</w:t>
      </w:r>
    </w:p>
    <w:p>
      <w:pPr>
        <w:spacing w:before="49"/>
        <w:ind w:left="120" w:right="0" w:firstLine="0"/>
        <w:jc w:val="both"/>
        <w:rPr>
          <w:b/>
          <w:sz w:val="20"/>
        </w:rPr>
      </w:pPr>
      <w:r>
        <w:rPr>
          <w:b/>
          <w:sz w:val="20"/>
        </w:rPr>
        <w:t>（5）被保险人故意犯罪或者抗拒依法采取的刑事强制措施；</w:t>
      </w:r>
    </w:p>
    <w:p>
      <w:pPr>
        <w:pStyle w:val="ListParagraph"/>
        <w:numPr>
          <w:ilvl w:val="0"/>
          <w:numId w:val="2"/>
        </w:numPr>
        <w:tabs>
          <w:tab w:pos="725" w:val="left" w:leader="none"/>
        </w:tabs>
        <w:spacing w:line="240" w:lineRule="auto" w:before="49" w:after="0"/>
        <w:ind w:left="120" w:right="0" w:firstLine="0"/>
        <w:jc w:val="both"/>
        <w:rPr>
          <w:b/>
          <w:sz w:val="20"/>
        </w:rPr>
      </w:pPr>
      <w:r>
        <w:rPr>
          <w:b/>
          <w:spacing w:val="-4"/>
          <w:sz w:val="20"/>
        </w:rPr>
        <w:t>核爆炸、核辐射或核污染；</w:t>
      </w:r>
    </w:p>
    <w:p>
      <w:pPr>
        <w:pStyle w:val="ListParagraph"/>
        <w:numPr>
          <w:ilvl w:val="0"/>
          <w:numId w:val="2"/>
        </w:numPr>
        <w:tabs>
          <w:tab w:pos="725" w:val="left" w:leader="none"/>
          <w:tab w:pos="926" w:val="left" w:leader="none"/>
        </w:tabs>
        <w:spacing w:line="571" w:lineRule="auto" w:before="49" w:after="0"/>
        <w:ind w:left="120" w:right="6020" w:firstLine="0"/>
        <w:jc w:val="left"/>
        <w:rPr>
          <w:b/>
          <w:sz w:val="20"/>
        </w:rPr>
      </w:pPr>
      <w:r>
        <w:rPr>
          <w:b/>
          <w:sz w:val="20"/>
        </w:rPr>
        <w:t>战</w:t>
      </w:r>
      <w:r>
        <w:rPr>
          <w:b/>
          <w:spacing w:val="-5"/>
          <w:sz w:val="20"/>
        </w:rPr>
        <w:t>争</w:t>
      </w:r>
      <w:r>
        <w:rPr>
          <w:b/>
          <w:sz w:val="20"/>
        </w:rPr>
        <w:t>、军</w:t>
      </w:r>
      <w:r>
        <w:rPr>
          <w:b/>
          <w:spacing w:val="-5"/>
          <w:sz w:val="20"/>
        </w:rPr>
        <w:t>事</w:t>
      </w:r>
      <w:r>
        <w:rPr>
          <w:b/>
          <w:sz w:val="20"/>
        </w:rPr>
        <w:t>冲突</w:t>
      </w:r>
      <w:r>
        <w:rPr>
          <w:b/>
          <w:spacing w:val="-5"/>
          <w:sz w:val="20"/>
        </w:rPr>
        <w:t>、</w:t>
      </w:r>
      <w:r>
        <w:rPr>
          <w:b/>
          <w:sz w:val="20"/>
        </w:rPr>
        <w:t>暴乱或</w:t>
      </w:r>
      <w:r>
        <w:rPr>
          <w:b/>
          <w:spacing w:val="-5"/>
          <w:sz w:val="20"/>
        </w:rPr>
        <w:t>武</w:t>
      </w:r>
      <w:r>
        <w:rPr>
          <w:b/>
          <w:sz w:val="20"/>
        </w:rPr>
        <w:t>装叛</w:t>
      </w:r>
      <w:r>
        <w:rPr>
          <w:b/>
          <w:spacing w:val="-5"/>
          <w:sz w:val="20"/>
        </w:rPr>
        <w:t>乱</w:t>
      </w:r>
      <w:r>
        <w:rPr>
          <w:b/>
          <w:sz w:val="20"/>
        </w:rPr>
        <w:t>。第四条</w:t>
        <w:tab/>
      </w:r>
      <w:r>
        <w:rPr>
          <w:b/>
          <w:spacing w:val="-5"/>
          <w:sz w:val="20"/>
        </w:rPr>
        <w:t>保</w:t>
      </w:r>
      <w:r>
        <w:rPr>
          <w:b/>
          <w:sz w:val="20"/>
        </w:rPr>
        <w:t>险合</w:t>
      </w:r>
      <w:r>
        <w:rPr>
          <w:b/>
          <w:spacing w:val="-5"/>
          <w:sz w:val="20"/>
        </w:rPr>
        <w:t>同</w:t>
      </w:r>
      <w:r>
        <w:rPr>
          <w:b/>
          <w:sz w:val="20"/>
        </w:rPr>
        <w:t>成立</w:t>
      </w:r>
      <w:r>
        <w:rPr>
          <w:b/>
          <w:spacing w:val="-5"/>
          <w:sz w:val="20"/>
        </w:rPr>
        <w:t>与</w:t>
      </w:r>
      <w:r>
        <w:rPr>
          <w:b/>
          <w:sz w:val="20"/>
        </w:rPr>
        <w:t>生效</w:t>
      </w:r>
    </w:p>
    <w:p>
      <w:pPr>
        <w:pStyle w:val="BodyText"/>
        <w:spacing w:before="56"/>
        <w:ind w:left="120"/>
        <w:jc w:val="both"/>
      </w:pPr>
      <w:r>
        <w:rPr/>
        <w:t>本附加合同须与主合同同时投保，并以主合同的生效日为本附加合同的生效日。</w:t>
      </w:r>
    </w:p>
    <w:p>
      <w:pPr>
        <w:pStyle w:val="BodyText"/>
        <w:spacing w:before="12"/>
        <w:rPr>
          <w:sz w:val="24"/>
        </w:rPr>
      </w:pPr>
    </w:p>
    <w:p>
      <w:pPr>
        <w:pStyle w:val="Heading1"/>
      </w:pPr>
      <w:r>
        <w:rPr/>
        <w:t>第五条  附加合同效力的终止</w:t>
      </w:r>
    </w:p>
    <w:p>
      <w:pPr>
        <w:pStyle w:val="BodyText"/>
        <w:rPr>
          <w:b/>
          <w:sz w:val="25"/>
        </w:rPr>
      </w:pPr>
    </w:p>
    <w:p>
      <w:pPr>
        <w:pStyle w:val="BodyText"/>
        <w:ind w:left="120"/>
        <w:jc w:val="both"/>
      </w:pPr>
      <w:r>
        <w:rPr/>
        <w:t>发生下列情况之一时，本附加合同效力即时终止：</w:t>
      </w:r>
    </w:p>
    <w:p>
      <w:pPr>
        <w:pStyle w:val="BodyText"/>
        <w:spacing w:before="11"/>
        <w:rPr>
          <w:sz w:val="24"/>
        </w:rPr>
      </w:pPr>
    </w:p>
    <w:p>
      <w:pPr>
        <w:pStyle w:val="BodyText"/>
        <w:ind w:left="120"/>
        <w:jc w:val="both"/>
      </w:pPr>
      <w:r>
        <w:rPr/>
        <w:t>（1）投保人于犹豫期内向本公司申请撤销本附加合同或于犹豫期后向本公司申请解除合同；</w:t>
      </w:r>
    </w:p>
    <w:p>
      <w:pPr>
        <w:pStyle w:val="BodyText"/>
        <w:spacing w:before="47"/>
        <w:ind w:left="119"/>
        <w:jc w:val="both"/>
      </w:pPr>
      <w:r>
        <w:rPr/>
        <w:t>（2）本公司已给付重大疾病保险金；</w:t>
      </w:r>
    </w:p>
    <w:p>
      <w:pPr>
        <w:pStyle w:val="BodyText"/>
        <w:spacing w:before="42"/>
        <w:ind w:left="119"/>
        <w:jc w:val="both"/>
      </w:pPr>
      <w:r>
        <w:rPr/>
        <w:t>（3）主合同终止效力；</w:t>
      </w:r>
    </w:p>
    <w:p>
      <w:pPr>
        <w:pStyle w:val="BodyText"/>
        <w:spacing w:before="47"/>
        <w:ind w:left="120"/>
        <w:jc w:val="both"/>
      </w:pPr>
      <w:r>
        <w:rPr/>
        <w:t>（4）本附加合同因其他条款所列情况而中止效力，且未按主合同条款中的相关约定办理效力恢复；</w:t>
      </w:r>
    </w:p>
    <w:p>
      <w:pPr>
        <w:pStyle w:val="BodyText"/>
        <w:spacing w:before="42"/>
        <w:ind w:left="120"/>
        <w:jc w:val="both"/>
      </w:pPr>
      <w:r>
        <w:rPr/>
        <w:t>（5）本附加合同因其他条款所列情况而终止效力。</w:t>
      </w:r>
    </w:p>
    <w:p>
      <w:pPr>
        <w:pStyle w:val="BodyText"/>
        <w:spacing w:before="11"/>
        <w:rPr>
          <w:sz w:val="24"/>
        </w:rPr>
      </w:pPr>
    </w:p>
    <w:p>
      <w:pPr>
        <w:pStyle w:val="Heading1"/>
        <w:spacing w:before="1"/>
      </w:pPr>
      <w:r>
        <w:rPr/>
        <w:t>第六条  基本保险金额及保险金额</w:t>
      </w:r>
    </w:p>
    <w:p>
      <w:pPr>
        <w:pStyle w:val="BodyText"/>
        <w:spacing w:before="5"/>
        <w:rPr>
          <w:b/>
          <w:sz w:val="25"/>
        </w:rPr>
      </w:pPr>
    </w:p>
    <w:p>
      <w:pPr>
        <w:pStyle w:val="BodyText"/>
        <w:ind w:left="120"/>
        <w:jc w:val="both"/>
      </w:pPr>
      <w:r>
        <w:rPr/>
        <w:t>本附加合同所称的基本保险金额及保险金额分别等值于主合同的基本保险金额及保险金额。</w:t>
      </w:r>
    </w:p>
    <w:p>
      <w:pPr>
        <w:pStyle w:val="BodyText"/>
        <w:spacing w:before="11"/>
        <w:rPr>
          <w:sz w:val="24"/>
        </w:rPr>
      </w:pPr>
    </w:p>
    <w:p>
      <w:pPr>
        <w:pStyle w:val="Heading1"/>
        <w:spacing w:before="1"/>
      </w:pPr>
      <w:r>
        <w:rPr/>
        <w:t>第七条  保险费率的调整</w:t>
      </w:r>
    </w:p>
    <w:p>
      <w:pPr>
        <w:pStyle w:val="BodyText"/>
        <w:spacing w:before="1"/>
        <w:rPr>
          <w:b/>
          <w:sz w:val="25"/>
        </w:rPr>
      </w:pPr>
    </w:p>
    <w:p>
      <w:pPr>
        <w:pStyle w:val="BodyText"/>
        <w:spacing w:line="288" w:lineRule="auto"/>
        <w:ind w:left="120" w:right="111"/>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rPr>
          <w:sz w:val="22"/>
        </w:rPr>
      </w:pPr>
    </w:p>
    <w:p>
      <w:pPr>
        <w:pStyle w:val="BodyText"/>
        <w:spacing w:line="571" w:lineRule="auto"/>
        <w:ind w:left="120" w:right="2270"/>
      </w:pPr>
      <w:r>
        <w:rPr>
          <w:spacing w:val="-5"/>
        </w:rPr>
        <w:t>本公司调整保险费率后，投保人需自调整后的首个保险单周年日起按新的保险费率支付保险费。若本附加合同有保险费的调整，则本公司将书面通知投保人。</w:t>
      </w:r>
    </w:p>
    <w:p>
      <w:pPr>
        <w:pStyle w:val="Heading1"/>
        <w:tabs>
          <w:tab w:pos="926" w:val="left" w:leader="none"/>
        </w:tabs>
        <w:spacing w:before="78"/>
        <w:jc w:val="left"/>
      </w:pPr>
      <w:r>
        <w:rPr/>
        <w:t>第八条</w:t>
        <w:tab/>
      </w:r>
      <w:r>
        <w:rPr>
          <w:spacing w:val="-5"/>
        </w:rPr>
        <w:t>借款</w:t>
      </w:r>
    </w:p>
    <w:p>
      <w:pPr>
        <w:pStyle w:val="BodyText"/>
        <w:rPr>
          <w:b/>
          <w:sz w:val="25"/>
        </w:rPr>
      </w:pPr>
    </w:p>
    <w:p>
      <w:pPr>
        <w:pStyle w:val="BodyText"/>
        <w:spacing w:line="288" w:lineRule="auto" w:before="1"/>
        <w:ind w:left="120" w:right="109"/>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2"/>
        <w:rPr>
          <w:sz w:val="22"/>
        </w:rPr>
      </w:pPr>
    </w:p>
    <w:p>
      <w:pPr>
        <w:pStyle w:val="BodyText"/>
        <w:spacing w:line="285" w:lineRule="auto"/>
        <w:ind w:left="120" w:right="110"/>
        <w:jc w:val="both"/>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spacing w:before="3"/>
        <w:rPr>
          <w:sz w:val="22"/>
        </w:rPr>
      </w:pPr>
    </w:p>
    <w:p>
      <w:pPr>
        <w:pStyle w:val="BodyText"/>
        <w:spacing w:line="285" w:lineRule="auto"/>
        <w:ind w:left="120" w:right="10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rPr>
          <w:sz w:val="20"/>
        </w:rPr>
      </w:pPr>
    </w:p>
    <w:p>
      <w:pPr>
        <w:pStyle w:val="BodyText"/>
        <w:rPr>
          <w:sz w:val="20"/>
        </w:rPr>
      </w:pPr>
    </w:p>
    <w:p>
      <w:pPr>
        <w:pStyle w:val="BodyText"/>
        <w:spacing w:before="2"/>
        <w:rPr>
          <w:sz w:val="23"/>
        </w:rPr>
      </w:pPr>
    </w:p>
    <w:p>
      <w:pPr>
        <w:pStyle w:val="Heading2"/>
      </w:pPr>
      <w:r>
        <w:rPr>
          <w:rFonts w:ascii="宋体" w:eastAsia="宋体" w:hint="eastAsia"/>
        </w:rPr>
        <w:t>条款编号</w:t>
      </w:r>
      <w:r>
        <w:rPr/>
        <w:t>: H2111-02</w:t>
      </w:r>
    </w:p>
    <w:p>
      <w:pPr>
        <w:spacing w:after="0"/>
        <w:sectPr>
          <w:pgSz w:w="11910" w:h="16840"/>
          <w:pgMar w:top="1320" w:bottom="280" w:left="960" w:right="1000"/>
        </w:sectPr>
      </w:pPr>
    </w:p>
    <w:p>
      <w:pPr>
        <w:pStyle w:val="BodyText"/>
        <w:spacing w:line="288" w:lineRule="auto" w:before="29"/>
        <w:ind w:left="100" w:right="130"/>
      </w:pPr>
      <w:r>
        <w:rPr/>
        <w:pict>
          <v:group style="position:absolute;margin-left:.119203pt;margin-top:0pt;width:595.3pt;height:833.2pt;mso-position-horizontal-relative:page;mso-position-vertical-relative:page;z-index:-1271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在偿还借款时，应先偿付所有借款利息，然后偿还借款本金。若有任何赔偿或给付，应先从该赔偿金或给付金中扣除未偿还的借款及借款利息。</w:t>
      </w:r>
    </w:p>
    <w:p>
      <w:pPr>
        <w:pStyle w:val="BodyText"/>
        <w:spacing w:before="2"/>
        <w:rPr>
          <w:sz w:val="22"/>
        </w:rPr>
      </w:pPr>
    </w:p>
    <w:p>
      <w:pPr>
        <w:pStyle w:val="Heading1"/>
        <w:tabs>
          <w:tab w:pos="906" w:val="left" w:leader="none"/>
        </w:tabs>
        <w:ind w:left="100"/>
        <w:jc w:val="left"/>
      </w:pPr>
      <w:r>
        <w:rPr/>
        <w:t>第九条</w:t>
        <w:tab/>
      </w:r>
      <w:r>
        <w:rPr>
          <w:spacing w:val="-5"/>
        </w:rPr>
        <w:t>投</w:t>
      </w:r>
      <w:r>
        <w:rPr/>
        <w:t>保人</w:t>
      </w:r>
      <w:r>
        <w:rPr>
          <w:spacing w:val="-5"/>
        </w:rPr>
        <w:t>解</w:t>
      </w:r>
      <w:r>
        <w:rPr/>
        <w:t>除合</w:t>
      </w:r>
      <w:r>
        <w:rPr>
          <w:spacing w:val="-5"/>
        </w:rPr>
        <w:t>同</w:t>
      </w:r>
      <w:r>
        <w:rPr/>
        <w:t>的手续</w:t>
      </w:r>
      <w:r>
        <w:rPr>
          <w:spacing w:val="-5"/>
        </w:rPr>
        <w:t>及</w:t>
      </w:r>
      <w:r>
        <w:rPr/>
        <w:t>风险</w:t>
      </w:r>
    </w:p>
    <w:p>
      <w:pPr>
        <w:pStyle w:val="BodyText"/>
        <w:spacing w:before="8"/>
        <w:rPr>
          <w:b/>
          <w:sz w:val="27"/>
        </w:rPr>
      </w:pPr>
    </w:p>
    <w:p>
      <w:pPr>
        <w:spacing w:before="0"/>
        <w:ind w:left="100" w:right="0" w:firstLine="0"/>
        <w:jc w:val="left"/>
        <w:rPr>
          <w:b/>
          <w:sz w:val="20"/>
        </w:rPr>
      </w:pPr>
      <w:r>
        <w:rPr>
          <w:b/>
          <w:sz w:val="20"/>
        </w:rPr>
        <w:t>如投保人在犹豫期后申请解除本附加合同，请填写解除合同申请书并向本公司提供下列资料：</w:t>
      </w:r>
    </w:p>
    <w:p>
      <w:pPr>
        <w:spacing w:before="50"/>
        <w:ind w:left="100" w:right="0" w:firstLine="0"/>
        <w:jc w:val="left"/>
        <w:rPr>
          <w:b/>
          <w:sz w:val="20"/>
        </w:rPr>
      </w:pPr>
      <w:r>
        <w:rPr>
          <w:b/>
          <w:sz w:val="20"/>
        </w:rPr>
        <w:t>（1）保险合同；</w:t>
      </w:r>
    </w:p>
    <w:p>
      <w:pPr>
        <w:spacing w:before="50"/>
        <w:ind w:left="100" w:right="0" w:firstLine="0"/>
        <w:jc w:val="left"/>
        <w:rPr>
          <w:b/>
          <w:sz w:val="20"/>
        </w:rPr>
      </w:pPr>
      <w:r>
        <w:rPr>
          <w:b/>
          <w:sz w:val="20"/>
        </w:rPr>
        <w:t>（2）投保人的有效身份证件。</w:t>
      </w:r>
    </w:p>
    <w:p>
      <w:pPr>
        <w:pStyle w:val="BodyText"/>
        <w:spacing w:before="8"/>
        <w:rPr>
          <w:b/>
          <w:sz w:val="27"/>
        </w:rPr>
      </w:pPr>
    </w:p>
    <w:p>
      <w:pPr>
        <w:spacing w:line="285" w:lineRule="auto" w:before="0"/>
        <w:ind w:left="100" w:right="98" w:firstLine="0"/>
        <w:jc w:val="left"/>
        <w:rPr>
          <w:b/>
          <w:sz w:val="20"/>
        </w:rPr>
      </w:pPr>
      <w:r>
        <w:rPr>
          <w:b/>
          <w:spacing w:val="-8"/>
          <w:sz w:val="20"/>
        </w:rPr>
        <w:t>自本公司收到解除合同申请书时起，本附加合同终止。本公司自收到解除合同申请书之日起三十日内向投保人退</w:t>
      </w:r>
      <w:r>
        <w:rPr>
          <w:b/>
          <w:spacing w:val="-6"/>
          <w:sz w:val="20"/>
        </w:rPr>
        <w:t>还本附加合同的现金价值；若有借款，则先扣除未偿还的借款及借款利息。</w:t>
      </w:r>
    </w:p>
    <w:p>
      <w:pPr>
        <w:spacing w:line="624" w:lineRule="exact" w:before="58"/>
        <w:ind w:left="100" w:right="5997" w:firstLine="0"/>
        <w:jc w:val="left"/>
        <w:rPr>
          <w:b/>
          <w:sz w:val="20"/>
        </w:rPr>
      </w:pPr>
      <w:r>
        <w:rPr>
          <w:b/>
          <w:sz w:val="20"/>
        </w:rPr>
        <w:t>投保人犹豫期后解除合同会遭受一定损失。下列情况将按解除合同处理：</w:t>
      </w:r>
    </w:p>
    <w:p>
      <w:pPr>
        <w:spacing w:line="215" w:lineRule="exact" w:before="0"/>
        <w:ind w:left="100" w:right="0" w:firstLine="0"/>
        <w:jc w:val="left"/>
        <w:rPr>
          <w:b/>
          <w:sz w:val="20"/>
        </w:rPr>
      </w:pPr>
      <w:r>
        <w:rPr>
          <w:b/>
          <w:sz w:val="20"/>
        </w:rPr>
        <w:t>（1）投保人向本公司申请解除主合同；</w:t>
      </w:r>
    </w:p>
    <w:p>
      <w:pPr>
        <w:tabs>
          <w:tab w:pos="906" w:val="left" w:leader="none"/>
        </w:tabs>
        <w:spacing w:line="571" w:lineRule="auto" w:before="50"/>
        <w:ind w:left="100" w:right="2733" w:firstLine="0"/>
        <w:jc w:val="left"/>
        <w:rPr>
          <w:b/>
          <w:sz w:val="20"/>
        </w:rPr>
      </w:pPr>
      <w:r>
        <w:rPr>
          <w:b/>
          <w:sz w:val="20"/>
        </w:rPr>
        <w:t>（2）自</w:t>
      </w:r>
      <w:r>
        <w:rPr>
          <w:b/>
          <w:spacing w:val="-5"/>
          <w:sz w:val="20"/>
        </w:rPr>
        <w:t>本</w:t>
      </w:r>
      <w:r>
        <w:rPr>
          <w:b/>
          <w:sz w:val="20"/>
        </w:rPr>
        <w:t>附加</w:t>
      </w:r>
      <w:r>
        <w:rPr>
          <w:b/>
          <w:spacing w:val="-5"/>
          <w:sz w:val="20"/>
        </w:rPr>
        <w:t>合</w:t>
      </w:r>
      <w:r>
        <w:rPr>
          <w:b/>
          <w:sz w:val="20"/>
        </w:rPr>
        <w:t>同中止</w:t>
      </w:r>
      <w:r>
        <w:rPr>
          <w:b/>
          <w:spacing w:val="-5"/>
          <w:sz w:val="20"/>
        </w:rPr>
        <w:t>效</w:t>
      </w:r>
      <w:r>
        <w:rPr>
          <w:b/>
          <w:sz w:val="20"/>
        </w:rPr>
        <w:t>力之</w:t>
      </w:r>
      <w:r>
        <w:rPr>
          <w:b/>
          <w:spacing w:val="-5"/>
          <w:sz w:val="20"/>
        </w:rPr>
        <w:t>日</w:t>
      </w:r>
      <w:r>
        <w:rPr>
          <w:b/>
          <w:sz w:val="20"/>
        </w:rPr>
        <w:t>起满二</w:t>
      </w:r>
      <w:r>
        <w:rPr>
          <w:b/>
          <w:spacing w:val="-5"/>
          <w:sz w:val="20"/>
        </w:rPr>
        <w:t>年</w:t>
      </w:r>
      <w:r>
        <w:rPr>
          <w:b/>
          <w:sz w:val="20"/>
        </w:rPr>
        <w:t>投保</w:t>
      </w:r>
      <w:r>
        <w:rPr>
          <w:b/>
          <w:spacing w:val="-5"/>
          <w:sz w:val="20"/>
        </w:rPr>
        <w:t>人</w:t>
      </w:r>
      <w:r>
        <w:rPr>
          <w:b/>
          <w:sz w:val="20"/>
        </w:rPr>
        <w:t>与本</w:t>
      </w:r>
      <w:r>
        <w:rPr>
          <w:b/>
          <w:spacing w:val="-5"/>
          <w:sz w:val="20"/>
        </w:rPr>
        <w:t>公</w:t>
      </w:r>
      <w:r>
        <w:rPr>
          <w:b/>
          <w:sz w:val="20"/>
        </w:rPr>
        <w:t>司未达成</w:t>
      </w:r>
      <w:r>
        <w:rPr>
          <w:b/>
          <w:spacing w:val="-5"/>
          <w:sz w:val="20"/>
        </w:rPr>
        <w:t>效</w:t>
      </w:r>
      <w:r>
        <w:rPr>
          <w:b/>
          <w:sz w:val="20"/>
        </w:rPr>
        <w:t>力恢</w:t>
      </w:r>
      <w:r>
        <w:rPr>
          <w:b/>
          <w:spacing w:val="-5"/>
          <w:sz w:val="20"/>
        </w:rPr>
        <w:t>复</w:t>
      </w:r>
      <w:r>
        <w:rPr>
          <w:b/>
          <w:sz w:val="20"/>
        </w:rPr>
        <w:t>协议。第十条</w:t>
        <w:tab/>
      </w:r>
      <w:r>
        <w:rPr>
          <w:b/>
          <w:spacing w:val="-5"/>
          <w:sz w:val="20"/>
        </w:rPr>
        <w:t>保</w:t>
      </w:r>
      <w:r>
        <w:rPr>
          <w:b/>
          <w:sz w:val="20"/>
        </w:rPr>
        <w:t>险金</w:t>
      </w:r>
      <w:r>
        <w:rPr>
          <w:b/>
          <w:spacing w:val="-5"/>
          <w:sz w:val="20"/>
        </w:rPr>
        <w:t>申请</w:t>
      </w:r>
    </w:p>
    <w:p>
      <w:pPr>
        <w:pStyle w:val="BodyText"/>
        <w:spacing w:before="52"/>
        <w:ind w:left="100"/>
      </w:pPr>
      <w:r>
        <w:rPr/>
        <w:t>一、在申请重大疾病保险金时，申请人须填写保险金给付申请书，并提供下列证明和资料：</w:t>
      </w:r>
    </w:p>
    <w:p>
      <w:pPr>
        <w:pStyle w:val="BodyText"/>
        <w:spacing w:before="48"/>
        <w:ind w:left="100"/>
      </w:pPr>
      <w:r>
        <w:rPr/>
        <w:t>（1）保险合同；</w:t>
      </w:r>
    </w:p>
    <w:p>
      <w:pPr>
        <w:pStyle w:val="BodyText"/>
        <w:spacing w:before="43"/>
        <w:ind w:left="100"/>
      </w:pPr>
      <w:r>
        <w:rPr/>
        <w:t>（2）被保险人的有效身份证件；</w:t>
      </w:r>
    </w:p>
    <w:p>
      <w:pPr>
        <w:pStyle w:val="BodyText"/>
        <w:spacing w:before="47"/>
        <w:ind w:left="100"/>
      </w:pPr>
      <w:r>
        <w:rPr/>
        <w:t>（3）由医院出具的病历、必需的病理检验、血液检验及其他科学诊断报告以及由专科医生出具的诊断书、手术证明；</w:t>
      </w:r>
    </w:p>
    <w:p>
      <w:pPr>
        <w:pStyle w:val="BodyText"/>
        <w:spacing w:before="42"/>
        <w:ind w:left="100"/>
      </w:pPr>
      <w:r>
        <w:rPr/>
        <w:t>（4）所能提供的与确认保险事故的性质、原因等有关的其他证明和资料。</w:t>
      </w:r>
    </w:p>
    <w:p>
      <w:pPr>
        <w:pStyle w:val="BodyText"/>
        <w:spacing w:before="11"/>
        <w:rPr>
          <w:sz w:val="24"/>
        </w:rPr>
      </w:pPr>
    </w:p>
    <w:p>
      <w:pPr>
        <w:pStyle w:val="BodyText"/>
        <w:spacing w:before="1"/>
        <w:ind w:left="100"/>
      </w:pPr>
      <w:r>
        <w:rPr/>
        <w:t>二、在申请全残豁免保险费时，申请人须填写保险金给付申请书，并提供下列证明和资料：</w:t>
      </w:r>
    </w:p>
    <w:p>
      <w:pPr>
        <w:pStyle w:val="BodyText"/>
        <w:spacing w:before="12"/>
        <w:rPr>
          <w:sz w:val="24"/>
        </w:rPr>
      </w:pPr>
    </w:p>
    <w:p>
      <w:pPr>
        <w:pStyle w:val="BodyText"/>
        <w:ind w:left="100"/>
      </w:pPr>
      <w:r>
        <w:rPr/>
        <w:t>（1）保险合同；</w:t>
      </w:r>
    </w:p>
    <w:p>
      <w:pPr>
        <w:pStyle w:val="BodyText"/>
        <w:spacing w:before="47"/>
        <w:ind w:left="100"/>
      </w:pPr>
      <w:r>
        <w:rPr/>
        <w:t>（2）被保险人的有效身份证件；</w:t>
      </w:r>
    </w:p>
    <w:p>
      <w:pPr>
        <w:pStyle w:val="BodyText"/>
        <w:spacing w:before="42"/>
        <w:ind w:left="100"/>
      </w:pPr>
      <w:r>
        <w:rPr/>
        <w:t>（3）三级或三级以上医院或司法鉴定机构所出具的与本附加合同全残释义相符合的被保险人伤残程度的鉴定书；</w:t>
      </w:r>
    </w:p>
    <w:p>
      <w:pPr>
        <w:pStyle w:val="BodyText"/>
        <w:spacing w:before="47"/>
        <w:ind w:left="100"/>
      </w:pPr>
      <w:r>
        <w:rPr/>
        <w:t>（4）所能提供的与确认保险事故的性质、原因等有关的证明和资料。</w:t>
      </w:r>
    </w:p>
    <w:p>
      <w:pPr>
        <w:pStyle w:val="BodyText"/>
        <w:spacing w:before="11"/>
        <w:rPr>
          <w:sz w:val="24"/>
        </w:rPr>
      </w:pPr>
    </w:p>
    <w:p>
      <w:pPr>
        <w:pStyle w:val="BodyText"/>
        <w:spacing w:line="285" w:lineRule="auto"/>
        <w:ind w:left="100" w:right="129"/>
        <w:jc w:val="both"/>
      </w:pPr>
      <w:r>
        <w:rPr>
          <w:spacing w:val="-5"/>
        </w:rPr>
        <w:t>自依照本附加合同的约定开始豁免保险费之后，本公司仍有权每年要求被保险人提供其持续全残证明，或到本公司、本公司指定的医院、机构进行体检，检查费用由本公司负担。若被保险人不能提供持续全残证明且未能按本公司的要求进行体检， 以证明其持续全残，本公司有权停止豁免本附加合同的保险费。</w:t>
      </w:r>
    </w:p>
    <w:p>
      <w:pPr>
        <w:pStyle w:val="BodyText"/>
      </w:pPr>
    </w:p>
    <w:p>
      <w:pPr>
        <w:pStyle w:val="BodyText"/>
        <w:spacing w:before="7"/>
        <w:rPr>
          <w:sz w:val="25"/>
        </w:rPr>
      </w:pPr>
    </w:p>
    <w:p>
      <w:pPr>
        <w:pStyle w:val="BodyText"/>
        <w:ind w:left="100"/>
      </w:pPr>
      <w:r>
        <w:rPr/>
        <w:t>以上证明和资料不完整的，本公司将及时一次性通知申请人补充提供有关证明和资料。</w:t>
      </w:r>
    </w:p>
    <w:p>
      <w:pPr>
        <w:pStyle w:val="BodyText"/>
        <w:spacing w:before="12"/>
        <w:rPr>
          <w:sz w:val="24"/>
        </w:rPr>
      </w:pPr>
    </w:p>
    <w:p>
      <w:pPr>
        <w:pStyle w:val="Heading1"/>
        <w:ind w:left="100"/>
        <w:jc w:val="left"/>
      </w:pPr>
      <w:r>
        <w:rPr/>
        <w:t>第十一条  保险金给付或豁免保险费</w:t>
      </w:r>
    </w:p>
    <w:p>
      <w:pPr>
        <w:pStyle w:val="BodyText"/>
        <w:spacing w:before="5"/>
        <w:rPr>
          <w:b/>
          <w:sz w:val="25"/>
        </w:rPr>
      </w:pPr>
    </w:p>
    <w:p>
      <w:pPr>
        <w:pStyle w:val="BodyText"/>
        <w:ind w:left="100"/>
      </w:pPr>
      <w:r>
        <w:rPr/>
        <w:t>本公司在收到保险金给付申请书及合同约定的证明和资料后，将在五日内作出核定；情形复杂的，在三十日内作出核定。</w:t>
      </w:r>
    </w:p>
    <w:p>
      <w:pPr>
        <w:pStyle w:val="BodyText"/>
        <w:spacing w:before="11"/>
        <w:rPr>
          <w:sz w:val="24"/>
        </w:rPr>
      </w:pPr>
    </w:p>
    <w:p>
      <w:pPr>
        <w:pStyle w:val="BodyText"/>
        <w:spacing w:line="283" w:lineRule="auto"/>
        <w:ind w:left="100" w:right="126"/>
      </w:pPr>
      <w:r>
        <w:rPr>
          <w:spacing w:val="-5"/>
        </w:rPr>
        <w:t>对属于保险责任的，本公司在与被保险人达成给付保险金或豁免保险费的协议后十日内，履行给付保险金或豁免保险费的义务。</w:t>
      </w:r>
    </w:p>
    <w:p>
      <w:pPr>
        <w:pStyle w:val="BodyText"/>
        <w:spacing w:before="5"/>
        <w:rPr>
          <w:sz w:val="22"/>
        </w:rPr>
      </w:pPr>
    </w:p>
    <w:p>
      <w:pPr>
        <w:pStyle w:val="BodyText"/>
        <w:ind w:left="100"/>
      </w:pPr>
      <w:r>
        <w:rPr/>
        <w:t>本公司未及时履行前款规定义务的，除支付保险金或豁免保险费外，应当赔偿被保险人因此受到的损失。</w:t>
      </w:r>
    </w:p>
    <w:p>
      <w:pPr>
        <w:pStyle w:val="BodyText"/>
        <w:rPr>
          <w:sz w:val="20"/>
        </w:rPr>
      </w:pPr>
    </w:p>
    <w:p>
      <w:pPr>
        <w:pStyle w:val="BodyText"/>
        <w:rPr>
          <w:sz w:val="20"/>
        </w:rPr>
      </w:pPr>
    </w:p>
    <w:p>
      <w:pPr>
        <w:pStyle w:val="BodyText"/>
        <w:spacing w:before="11"/>
      </w:pPr>
    </w:p>
    <w:p>
      <w:pPr>
        <w:pStyle w:val="Heading2"/>
        <w:ind w:left="100"/>
      </w:pPr>
      <w:r>
        <w:rPr>
          <w:rFonts w:ascii="宋体" w:eastAsia="宋体" w:hint="eastAsia"/>
        </w:rPr>
        <w:t>条款编号</w:t>
      </w:r>
      <w:r>
        <w:rPr/>
        <w:t>: H2111-02</w:t>
      </w:r>
    </w:p>
    <w:p>
      <w:pPr>
        <w:spacing w:after="0"/>
        <w:sectPr>
          <w:pgSz w:w="11910" w:h="16840"/>
          <w:pgMar w:top="1000" w:bottom="280" w:left="980" w:right="980"/>
        </w:sectPr>
      </w:pPr>
    </w:p>
    <w:p>
      <w:pPr>
        <w:pStyle w:val="BodyText"/>
        <w:spacing w:before="29"/>
        <w:ind w:left="120"/>
      </w:pPr>
      <w:r>
        <w:rPr/>
        <w:pict>
          <v:group style="position:absolute;margin-left:.119203pt;margin-top:0pt;width:595.3pt;height:833.2pt;mso-position-horizontal-relative:page;mso-position-vertical-relative:page;z-index:-1268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对不属于保险责任的，本公司自作出核定之日起三日内向被保险人发出拒绝给付保险金或豁免保险费的通知书并说明理由。</w:t>
      </w:r>
    </w:p>
    <w:p>
      <w:pPr>
        <w:pStyle w:val="BodyText"/>
        <w:spacing w:before="12"/>
        <w:rPr>
          <w:sz w:val="24"/>
        </w:rPr>
      </w:pPr>
    </w:p>
    <w:p>
      <w:pPr>
        <w:pStyle w:val="BodyText"/>
        <w:spacing w:line="288" w:lineRule="auto"/>
        <w:ind w:left="120"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pPr>
    </w:p>
    <w:p>
      <w:pPr>
        <w:pStyle w:val="BodyText"/>
        <w:spacing w:before="6"/>
        <w:rPr>
          <w:sz w:val="25"/>
        </w:rPr>
      </w:pPr>
    </w:p>
    <w:p>
      <w:pPr>
        <w:pStyle w:val="Heading1"/>
        <w:jc w:val="left"/>
      </w:pPr>
      <w:r>
        <w:rPr/>
        <w:t>第十二条  诉讼时效</w:t>
      </w:r>
    </w:p>
    <w:p>
      <w:pPr>
        <w:pStyle w:val="BodyText"/>
        <w:spacing w:before="5"/>
        <w:rPr>
          <w:b/>
          <w:sz w:val="25"/>
        </w:rPr>
      </w:pPr>
    </w:p>
    <w:p>
      <w:pPr>
        <w:pStyle w:val="BodyText"/>
        <w:ind w:left="120"/>
      </w:pPr>
      <w:r>
        <w:rPr/>
        <w:t>被保险人向本公司请求给付保险金或豁免保险费的诉讼时效期间为二年，自其知道或者应当知道保险事故发生之日起计算。</w:t>
      </w:r>
    </w:p>
    <w:p>
      <w:pPr>
        <w:pStyle w:val="BodyText"/>
        <w:spacing w:before="12"/>
        <w:rPr>
          <w:sz w:val="24"/>
        </w:rPr>
      </w:pPr>
    </w:p>
    <w:p>
      <w:pPr>
        <w:pStyle w:val="Heading1"/>
        <w:jc w:val="left"/>
      </w:pPr>
      <w:r>
        <w:rPr/>
        <w:t>第十三条 释义</w:t>
      </w:r>
    </w:p>
    <w:p>
      <w:pPr>
        <w:pStyle w:val="BodyText"/>
        <w:rPr>
          <w:b/>
          <w:sz w:val="25"/>
        </w:rPr>
      </w:pPr>
    </w:p>
    <w:p>
      <w:pPr>
        <w:pStyle w:val="BodyText"/>
        <w:spacing w:line="285" w:lineRule="auto"/>
        <w:ind w:left="119" w:right="231"/>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rPr>
          <w:sz w:val="22"/>
        </w:rPr>
      </w:pPr>
    </w:p>
    <w:p>
      <w:pPr>
        <w:pStyle w:val="BodyText"/>
        <w:spacing w:line="288" w:lineRule="auto"/>
        <w:ind w:left="120" w:right="109"/>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1"/>
        <w:rPr>
          <w:sz w:val="22"/>
        </w:rPr>
      </w:pPr>
    </w:p>
    <w:p>
      <w:pPr>
        <w:pStyle w:val="BodyText"/>
        <w:spacing w:before="1"/>
        <w:ind w:left="120"/>
        <w:jc w:val="both"/>
      </w:pPr>
      <w:r>
        <w:rPr/>
        <w:t>三、专科医生</w:t>
      </w:r>
    </w:p>
    <w:p>
      <w:pPr>
        <w:pStyle w:val="BodyText"/>
        <w:spacing w:before="43"/>
        <w:ind w:left="120"/>
        <w:jc w:val="both"/>
      </w:pPr>
      <w:r>
        <w:rPr/>
        <w:t>专科医生应当同时满足以下四项资格条件：</w:t>
      </w:r>
    </w:p>
    <w:p>
      <w:pPr>
        <w:pStyle w:val="BodyText"/>
        <w:spacing w:before="12"/>
        <w:rPr>
          <w:sz w:val="24"/>
        </w:rPr>
      </w:pPr>
    </w:p>
    <w:p>
      <w:pPr>
        <w:pStyle w:val="BodyText"/>
        <w:ind w:left="120"/>
        <w:jc w:val="both"/>
      </w:pPr>
      <w:r>
        <w:rPr/>
        <w:t>（1）具有有效的中华人民共和国《医师资格证书》；</w:t>
      </w:r>
    </w:p>
    <w:p>
      <w:pPr>
        <w:pStyle w:val="BodyText"/>
        <w:spacing w:before="47"/>
        <w:ind w:left="120"/>
        <w:jc w:val="both"/>
      </w:pPr>
      <w:r>
        <w:rPr/>
        <w:t>（2）具有有效的中华人民共和国《医师执业证书》，并按期到相关部门登记注册；</w:t>
      </w:r>
    </w:p>
    <w:p>
      <w:pPr>
        <w:pStyle w:val="BodyText"/>
        <w:spacing w:before="42"/>
        <w:ind w:left="120"/>
        <w:jc w:val="both"/>
      </w:pPr>
      <w:r>
        <w:rPr/>
        <w:t>（3）具有有效的中华人民共和国主治医师或主治医师以上职称的《医师职称证书》；</w:t>
      </w:r>
    </w:p>
    <w:p>
      <w:pPr>
        <w:pStyle w:val="BodyText"/>
        <w:spacing w:line="571" w:lineRule="auto" w:before="47"/>
        <w:ind w:left="120" w:right="4809"/>
      </w:pPr>
      <w:r>
        <w:rPr/>
        <w:t>（4）在二级或二级以上医院的相应科室从事临床工作三年以上。四、重大疾病：指符合下列定义的疾病、疾病状态或手术。</w:t>
      </w:r>
    </w:p>
    <w:p>
      <w:pPr>
        <w:pStyle w:val="BodyText"/>
        <w:spacing w:before="77"/>
        <w:ind w:left="120"/>
      </w:pPr>
      <w:r>
        <w:rPr/>
        <w:t>1）恶性肿瘤</w:t>
      </w:r>
    </w:p>
    <w:p>
      <w:pPr>
        <w:pStyle w:val="BodyText"/>
        <w:spacing w:line="285" w:lineRule="auto" w:before="42"/>
        <w:ind w:left="120" w:right="22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20"/>
        <w:jc w:val="both"/>
      </w:pPr>
      <w:r>
        <w:rPr/>
        <w:t>下列疾病不在保障范围内：</w:t>
      </w:r>
    </w:p>
    <w:p>
      <w:pPr>
        <w:pStyle w:val="BodyText"/>
        <w:spacing w:before="47"/>
        <w:ind w:left="120"/>
        <w:jc w:val="both"/>
      </w:pPr>
      <w:r>
        <w:rPr/>
        <w:t>（1）原位癌；</w:t>
      </w:r>
    </w:p>
    <w:p>
      <w:pPr>
        <w:pStyle w:val="BodyText"/>
        <w:spacing w:before="42"/>
        <w:ind w:left="120"/>
        <w:jc w:val="both"/>
      </w:pPr>
      <w:r>
        <w:rPr/>
        <w:t>（2）相当于Binet分期方案A期程度的慢性淋巴细胞白血病；</w:t>
      </w:r>
    </w:p>
    <w:p>
      <w:pPr>
        <w:pStyle w:val="BodyText"/>
        <w:spacing w:before="47"/>
        <w:ind w:left="119"/>
        <w:jc w:val="both"/>
      </w:pPr>
      <w:r>
        <w:rPr/>
        <w:t>（3）相当于Ann Arbor分期方案I期程度的何杰金氏病；</w:t>
      </w:r>
    </w:p>
    <w:p>
      <w:pPr>
        <w:pStyle w:val="BodyText"/>
        <w:spacing w:before="42"/>
        <w:ind w:left="119"/>
        <w:jc w:val="both"/>
      </w:pPr>
      <w:r>
        <w:rPr/>
        <w:t>（4）皮肤癌（不包括恶性黑色素瘤及已发生转移的皮肤癌）；</w:t>
      </w:r>
    </w:p>
    <w:p>
      <w:pPr>
        <w:pStyle w:val="BodyText"/>
        <w:spacing w:before="46"/>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2"/>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11"/>
        <w:rPr>
          <w:sz w:val="24"/>
        </w:rPr>
      </w:pPr>
    </w:p>
    <w:p>
      <w:pPr>
        <w:pStyle w:val="BodyText"/>
        <w:spacing w:before="1"/>
        <w:ind w:left="120"/>
        <w:jc w:val="both"/>
      </w:pPr>
      <w:r>
        <w:rPr/>
        <w:t>（1）典型临床表现，例如急性胸痛等；</w:t>
      </w:r>
    </w:p>
    <w:p>
      <w:pPr>
        <w:pStyle w:val="BodyText"/>
        <w:spacing w:before="43"/>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2"/>
        <w:ind w:left="120"/>
        <w:jc w:val="both"/>
      </w:pPr>
      <w:r>
        <w:rPr/>
        <w:t>（4）发病90 天后，经检查证实左心室功能降低，如左心室射血分数低于50%。</w:t>
      </w:r>
    </w:p>
    <w:p>
      <w:pPr>
        <w:pStyle w:val="BodyText"/>
        <w:rPr>
          <w:sz w:val="20"/>
        </w:rPr>
      </w:pPr>
    </w:p>
    <w:p>
      <w:pPr>
        <w:pStyle w:val="BodyText"/>
        <w:rPr>
          <w:sz w:val="20"/>
        </w:rPr>
      </w:pPr>
    </w:p>
    <w:p>
      <w:pPr>
        <w:pStyle w:val="BodyText"/>
        <w:rPr>
          <w:sz w:val="20"/>
        </w:rPr>
      </w:pPr>
    </w:p>
    <w:p>
      <w:pPr>
        <w:pStyle w:val="BodyText"/>
        <w:spacing w:before="9"/>
        <w:rPr>
          <w:sz w:val="16"/>
        </w:rPr>
      </w:pPr>
    </w:p>
    <w:p>
      <w:pPr>
        <w:pStyle w:val="Heading2"/>
        <w:spacing w:before="0"/>
      </w:pPr>
      <w:r>
        <w:rPr>
          <w:rFonts w:ascii="宋体" w:eastAsia="宋体" w:hint="eastAsia"/>
        </w:rPr>
        <w:t>条款编号</w:t>
      </w:r>
      <w:r>
        <w:rPr/>
        <w:t>: H2111-02</w:t>
      </w:r>
    </w:p>
    <w:p>
      <w:pPr>
        <w:spacing w:after="0"/>
        <w:sectPr>
          <w:pgSz w:w="11910" w:h="16840"/>
          <w:pgMar w:top="100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266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3）脑中风后遗症</w:t>
      </w:r>
    </w:p>
    <w:p>
      <w:pPr>
        <w:pStyle w:val="BodyText"/>
        <w:spacing w:line="283" w:lineRule="auto" w:before="47"/>
        <w:ind w:left="120" w:right="22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spacing w:before="5"/>
        <w:rPr>
          <w:sz w:val="22"/>
        </w:rPr>
      </w:pPr>
    </w:p>
    <w:p>
      <w:pPr>
        <w:spacing w:before="0"/>
        <w:ind w:left="119" w:right="0" w:firstLine="0"/>
        <w:jc w:val="both"/>
        <w:rPr>
          <w:sz w:val="18"/>
        </w:rPr>
      </w:pPr>
      <w:r>
        <w:rPr>
          <w:sz w:val="18"/>
        </w:rPr>
        <w:t>（1）一肢或一肢以上</w:t>
      </w:r>
      <w:r>
        <w:rPr>
          <w:b/>
          <w:sz w:val="18"/>
        </w:rPr>
        <w:t>肢体机能完全丧失</w:t>
      </w:r>
      <w:r>
        <w:rPr>
          <w:sz w:val="18"/>
        </w:rPr>
        <w:t>（释义九）；</w:t>
      </w:r>
    </w:p>
    <w:p>
      <w:pPr>
        <w:spacing w:before="47"/>
        <w:ind w:left="120" w:right="0" w:firstLine="0"/>
        <w:jc w:val="both"/>
        <w:rPr>
          <w:sz w:val="18"/>
        </w:rPr>
      </w:pPr>
      <w:r>
        <w:rPr>
          <w:sz w:val="18"/>
        </w:rPr>
        <w:t>（2）</w:t>
      </w:r>
      <w:r>
        <w:rPr>
          <w:b/>
          <w:sz w:val="18"/>
        </w:rPr>
        <w:t>语言能力或咀嚼吞咽能力完全丧失</w:t>
      </w:r>
      <w:r>
        <w:rPr>
          <w:sz w:val="18"/>
        </w:rPr>
        <w:t>（释义十）；</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7"/>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22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7"/>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spacing w:before="1"/>
        <w:ind w:left="120"/>
        <w:jc w:val="both"/>
      </w:pPr>
      <w:r>
        <w:rPr/>
        <w:t>8）急性或亚急性重症肝炎</w:t>
      </w:r>
    </w:p>
    <w:p>
      <w:pPr>
        <w:pStyle w:val="BodyText"/>
        <w:spacing w:before="47"/>
        <w:ind w:left="120"/>
        <w:jc w:val="both"/>
      </w:pPr>
      <w:r>
        <w:rPr/>
        <w:t>指因肝炎病毒感染引起肝脏组织弥漫性坏死，导致急性肝功能衰竭，且经血清学或病毒学检查证实，并须满足下列全部条件：</w:t>
      </w:r>
    </w:p>
    <w:p>
      <w:pPr>
        <w:pStyle w:val="BodyText"/>
        <w:spacing w:before="11"/>
        <w:rPr>
          <w:sz w:val="24"/>
        </w:rPr>
      </w:pPr>
    </w:p>
    <w:p>
      <w:pPr>
        <w:pStyle w:val="BodyText"/>
        <w:ind w:left="120"/>
        <w:jc w:val="both"/>
      </w:pPr>
      <w:r>
        <w:rPr/>
        <w:t>（1）重度黄疸或黄疸迅速加重；</w:t>
      </w:r>
    </w:p>
    <w:p>
      <w:pPr>
        <w:pStyle w:val="BodyText"/>
        <w:spacing w:before="42"/>
        <w:ind w:left="120"/>
        <w:jc w:val="both"/>
      </w:pPr>
      <w:r>
        <w:rPr/>
        <w:t>（2）肝性脑病；</w:t>
      </w:r>
    </w:p>
    <w:p>
      <w:pPr>
        <w:pStyle w:val="BodyText"/>
        <w:spacing w:before="47"/>
        <w:ind w:left="120"/>
        <w:jc w:val="both"/>
      </w:pPr>
      <w:r>
        <w:rPr/>
        <w:t>（3）B 超或其他影像学检查显示肝脏体积急速萎缩；</w:t>
      </w:r>
    </w:p>
    <w:p>
      <w:pPr>
        <w:pStyle w:val="BodyText"/>
        <w:spacing w:before="42"/>
        <w:ind w:left="120"/>
        <w:jc w:val="both"/>
      </w:pPr>
      <w:r>
        <w:rPr/>
        <w:t>（4）肝功能指标进行性恶化。</w:t>
      </w:r>
    </w:p>
    <w:p>
      <w:pPr>
        <w:pStyle w:val="BodyText"/>
        <w:spacing w:before="11"/>
        <w:rPr>
          <w:sz w:val="24"/>
        </w:rPr>
      </w:pPr>
    </w:p>
    <w:p>
      <w:pPr>
        <w:pStyle w:val="BodyText"/>
        <w:ind w:left="120"/>
        <w:jc w:val="both"/>
      </w:pPr>
      <w:r>
        <w:rPr/>
        <w:t>9）良性脑肿瘤</w:t>
      </w:r>
    </w:p>
    <w:p>
      <w:pPr>
        <w:pStyle w:val="BodyText"/>
        <w:spacing w:line="285" w:lineRule="auto" w:before="47"/>
        <w:ind w:left="120"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20"/>
        <w:jc w:val="both"/>
      </w:pPr>
      <w:r>
        <w:rPr/>
        <w:t>（1）实际实施了开颅进行的脑肿瘤完全切除或部分切除的手术；</w:t>
      </w:r>
    </w:p>
    <w:p>
      <w:pPr>
        <w:pStyle w:val="BodyText"/>
        <w:spacing w:before="42"/>
        <w:ind w:left="120"/>
        <w:jc w:val="both"/>
      </w:pPr>
      <w:r>
        <w:rPr/>
        <w:t>（2）实际实施了对脑肿瘤进行的放射治疗。</w:t>
      </w:r>
    </w:p>
    <w:p>
      <w:pPr>
        <w:pStyle w:val="BodyText"/>
        <w:spacing w:before="11"/>
        <w:rPr>
          <w:sz w:val="24"/>
        </w:rPr>
      </w:pPr>
    </w:p>
    <w:p>
      <w:pPr>
        <w:pStyle w:val="BodyText"/>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7"/>
        <w:ind w:left="120"/>
        <w:jc w:val="both"/>
      </w:pPr>
      <w:r>
        <w:rPr/>
        <w:t>指因慢性肝脏疾病导致肝功能衰竭。须满足下列全部条件：</w:t>
      </w:r>
    </w:p>
    <w:p>
      <w:pPr>
        <w:pStyle w:val="BodyText"/>
        <w:spacing w:before="11"/>
        <w:rPr>
          <w:sz w:val="24"/>
        </w:rPr>
      </w:pPr>
    </w:p>
    <w:p>
      <w:pPr>
        <w:pStyle w:val="BodyText"/>
        <w:ind w:left="120"/>
        <w:jc w:val="both"/>
      </w:pPr>
      <w:r>
        <w:rPr/>
        <w:t>（1）持续性黄疸；</w:t>
      </w:r>
    </w:p>
    <w:p>
      <w:pPr>
        <w:pStyle w:val="BodyText"/>
        <w:spacing w:before="42"/>
        <w:ind w:left="120"/>
        <w:jc w:val="both"/>
      </w:pPr>
      <w:r>
        <w:rPr/>
        <w:t>（2）腹水；</w:t>
      </w:r>
    </w:p>
    <w:p>
      <w:pPr>
        <w:pStyle w:val="BodyText"/>
        <w:spacing w:before="47"/>
        <w:ind w:left="120"/>
        <w:jc w:val="both"/>
      </w:pPr>
      <w:r>
        <w:rPr/>
        <w:t>（3）肝性脑病；</w:t>
      </w:r>
    </w:p>
    <w:p>
      <w:pPr>
        <w:pStyle w:val="BodyText"/>
        <w:spacing w:line="571" w:lineRule="auto" w:before="42"/>
        <w:ind w:left="120" w:right="5529"/>
      </w:pPr>
      <w:r>
        <w:rPr/>
        <w:t>（4）充血性脾肿大伴脾功能亢进或食管胃底静脉曲张。因酗酒或药物滥用导致的肝功能衰竭不在保障范围内。</w:t>
      </w:r>
    </w:p>
    <w:p>
      <w:pPr>
        <w:pStyle w:val="BodyText"/>
        <w:spacing w:before="13"/>
        <w:rPr>
          <w:sz w:val="15"/>
        </w:rPr>
      </w:pPr>
    </w:p>
    <w:p>
      <w:pPr>
        <w:pStyle w:val="Heading2"/>
      </w:pPr>
      <w:r>
        <w:rPr>
          <w:rFonts w:ascii="宋体" w:eastAsia="宋体" w:hint="eastAsia"/>
        </w:rPr>
        <w:t>条款编号</w:t>
      </w:r>
      <w:r>
        <w:rPr/>
        <w:t>: H2111-02</w:t>
      </w:r>
    </w:p>
    <w:p>
      <w:pPr>
        <w:spacing w:after="0"/>
        <w:sectPr>
          <w:pgSz w:w="11910" w:h="16840"/>
          <w:pgMar w:top="1000" w:bottom="280" w:left="960" w:right="880"/>
        </w:sectPr>
      </w:pPr>
    </w:p>
    <w:p>
      <w:pPr>
        <w:pStyle w:val="BodyText"/>
        <w:spacing w:before="32"/>
        <w:ind w:left="120"/>
      </w:pPr>
      <w:r>
        <w:rPr/>
        <w:pict>
          <v:group style="position:absolute;margin-left:.119203pt;margin-top:0pt;width:595.3pt;height:833.2pt;mso-position-horizontal-relative:page;mso-position-vertical-relative:page;z-index:-1264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11）脑炎后遗症或脑膜炎后遗症</w:t>
      </w:r>
    </w:p>
    <w:p>
      <w:pPr>
        <w:pStyle w:val="BodyText"/>
        <w:spacing w:line="288" w:lineRule="auto" w:before="42"/>
        <w:ind w:left="119" w:right="131"/>
      </w:pPr>
      <w:r>
        <w:rPr>
          <w:spacing w:val="-5"/>
        </w:rPr>
        <w:t>指因患脑炎或脑膜炎导致的神经系统永久性的功能障碍。神经系统永久性的功能障碍，指疾病确诊</w:t>
      </w:r>
      <w:r>
        <w:rPr/>
        <w:t>180</w:t>
      </w:r>
      <w:r>
        <w:rPr>
          <w:spacing w:val="-4"/>
        </w:rPr>
        <w:t> 天后，仍遗留下列一</w:t>
      </w:r>
      <w:r>
        <w:rPr>
          <w:spacing w:val="-5"/>
        </w:rPr>
        <w:t>种或一种以上障碍：</w:t>
      </w:r>
    </w:p>
    <w:p>
      <w:pPr>
        <w:pStyle w:val="BodyText"/>
        <w:spacing w:before="1"/>
        <w:rPr>
          <w:sz w:val="22"/>
        </w:rPr>
      </w:pPr>
    </w:p>
    <w:p>
      <w:pPr>
        <w:pStyle w:val="BodyText"/>
        <w:ind w:left="119"/>
      </w:pPr>
      <w:r>
        <w:rPr/>
        <w:t>（1）一肢或一肢以上肢体机能完全丧失；</w:t>
      </w:r>
    </w:p>
    <w:p>
      <w:pPr>
        <w:pStyle w:val="BodyText"/>
        <w:spacing w:before="42"/>
        <w:ind w:left="119"/>
      </w:pPr>
      <w:r>
        <w:rPr/>
        <w:t>（2）语言能力或咀嚼吞咽能力完全丧失；</w:t>
      </w:r>
    </w:p>
    <w:p>
      <w:pPr>
        <w:pStyle w:val="BodyText"/>
        <w:spacing w:before="47"/>
        <w:ind w:left="119"/>
      </w:pPr>
      <w:r>
        <w:rPr/>
        <w:t>（3）自主生活能力完全丧失，无法独立完成六项基本日常生活活动中的三项或三项以上。</w:t>
      </w:r>
    </w:p>
    <w:p>
      <w:pPr>
        <w:pStyle w:val="BodyText"/>
        <w:spacing w:before="11"/>
        <w:rPr>
          <w:sz w:val="24"/>
        </w:rPr>
      </w:pPr>
    </w:p>
    <w:p>
      <w:pPr>
        <w:pStyle w:val="BodyText"/>
        <w:ind w:left="119"/>
      </w:pPr>
      <w:r>
        <w:rPr/>
        <w:t>12）深度昏迷</w:t>
      </w:r>
    </w:p>
    <w:p>
      <w:pPr>
        <w:pStyle w:val="BodyText"/>
        <w:spacing w:before="42"/>
        <w:ind w:left="119"/>
      </w:pPr>
      <w:r>
        <w:rPr/>
        <w:t>指因疾病或意外伤害导致的意识丧失，对外界刺激和体内需求均无反应，昏迷程度按照格拉斯哥昏迷分级（Glasgow  coma</w:t>
      </w:r>
    </w:p>
    <w:p>
      <w:pPr>
        <w:pStyle w:val="BodyText"/>
        <w:spacing w:line="571" w:lineRule="auto" w:before="47"/>
        <w:ind w:left="120" w:right="2910" w:hanging="1"/>
      </w:pPr>
      <w:r>
        <w:rPr/>
        <w:t>scale）结果为5分或5分以下，且已经持续使用呼吸机及其他生命维持系统96小时以上。因酗酒或药物滥用导致的深度昏迷不在保障范围内。</w:t>
      </w:r>
    </w:p>
    <w:p>
      <w:pPr>
        <w:pStyle w:val="BodyText"/>
        <w:spacing w:before="77"/>
        <w:ind w:left="120"/>
      </w:pPr>
      <w:r>
        <w:rPr/>
        <w:t>13）双耳失聪</w:t>
      </w:r>
    </w:p>
    <w:p>
      <w:pPr>
        <w:pStyle w:val="BodyText"/>
        <w:spacing w:line="288" w:lineRule="auto" w:before="42"/>
        <w:ind w:left="119" w:right="10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spacing w:before="1"/>
        <w:rPr>
          <w:sz w:val="22"/>
        </w:rPr>
      </w:pPr>
    </w:p>
    <w:p>
      <w:pPr>
        <w:pStyle w:val="BodyText"/>
        <w:ind w:left="119"/>
      </w:pPr>
      <w:r>
        <w:rPr/>
        <w:t>14）双目失明</w:t>
      </w:r>
    </w:p>
    <w:p>
      <w:pPr>
        <w:pStyle w:val="BodyText"/>
        <w:spacing w:before="42"/>
        <w:ind w:left="119"/>
      </w:pPr>
      <w:r>
        <w:rPr/>
        <w:t>指因疾病或意外伤害导致双眼视力永久不可逆性丧失，双眼中较好眼须满足下列至少一项条件：</w:t>
      </w:r>
    </w:p>
    <w:p>
      <w:pPr>
        <w:pStyle w:val="BodyText"/>
        <w:spacing w:before="11"/>
        <w:rPr>
          <w:sz w:val="24"/>
        </w:rPr>
      </w:pPr>
    </w:p>
    <w:p>
      <w:pPr>
        <w:pStyle w:val="BodyText"/>
        <w:spacing w:before="1"/>
        <w:ind w:left="119"/>
      </w:pPr>
      <w:r>
        <w:rPr/>
        <w:t>（1）眼球缺失或摘除；</w:t>
      </w:r>
    </w:p>
    <w:p>
      <w:pPr>
        <w:pStyle w:val="BodyText"/>
        <w:spacing w:before="47"/>
        <w:ind w:left="119"/>
      </w:pPr>
      <w:r>
        <w:rPr/>
        <w:t>（2）矫正视力低于0.02（采用国际标准视力表，如果使用其他视力表应进行换算）；</w:t>
      </w:r>
    </w:p>
    <w:p>
      <w:pPr>
        <w:pStyle w:val="BodyText"/>
        <w:spacing w:before="42"/>
        <w:ind w:left="119"/>
      </w:pPr>
      <w:r>
        <w:rPr/>
        <w:t>（3）视野半径小于5 度。</w:t>
      </w:r>
    </w:p>
    <w:p>
      <w:pPr>
        <w:pStyle w:val="BodyText"/>
        <w:spacing w:before="11"/>
        <w:rPr>
          <w:sz w:val="24"/>
        </w:rPr>
      </w:pPr>
    </w:p>
    <w:p>
      <w:pPr>
        <w:pStyle w:val="BodyText"/>
        <w:spacing w:before="1"/>
        <w:ind w:left="119"/>
      </w:pPr>
      <w:r>
        <w:rPr/>
        <w:t>15）瘫痪</w:t>
      </w:r>
    </w:p>
    <w:p>
      <w:pPr>
        <w:pStyle w:val="BodyText"/>
        <w:spacing w:line="283" w:lineRule="auto" w:before="47"/>
        <w:ind w:left="119" w:right="13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5"/>
        <w:rPr>
          <w:sz w:val="22"/>
        </w:rPr>
      </w:pPr>
    </w:p>
    <w:p>
      <w:pPr>
        <w:pStyle w:val="BodyText"/>
        <w:ind w:left="119"/>
      </w:pPr>
      <w:r>
        <w:rPr/>
        <w:t>16）心脏瓣膜手术</w:t>
      </w:r>
    </w:p>
    <w:p>
      <w:pPr>
        <w:pStyle w:val="BodyText"/>
        <w:spacing w:before="47"/>
        <w:ind w:left="119"/>
      </w:pPr>
      <w:r>
        <w:rPr/>
        <w:t>指为治疗心脏瓣膜疾病，实际实施了开胸进行的心脏瓣膜置换或修复的手术。</w:t>
      </w:r>
    </w:p>
    <w:p>
      <w:pPr>
        <w:pStyle w:val="BodyText"/>
        <w:spacing w:before="11"/>
        <w:rPr>
          <w:sz w:val="24"/>
        </w:rPr>
      </w:pPr>
    </w:p>
    <w:p>
      <w:pPr>
        <w:pStyle w:val="BodyText"/>
        <w:ind w:left="119"/>
      </w:pPr>
      <w:r>
        <w:rPr/>
        <w:t>17）严重阿尔茨海默病</w:t>
      </w:r>
    </w:p>
    <w:p>
      <w:pPr>
        <w:pStyle w:val="BodyText"/>
        <w:spacing w:line="285" w:lineRule="auto" w:before="42"/>
        <w:ind w:left="119" w:right="130"/>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19"/>
      </w:pPr>
      <w:r>
        <w:rPr/>
        <w:t>神经官能症和精神疾病不在保障范围内。</w:t>
      </w:r>
    </w:p>
    <w:p>
      <w:pPr>
        <w:pStyle w:val="BodyText"/>
        <w:spacing w:before="11"/>
        <w:rPr>
          <w:sz w:val="24"/>
        </w:rPr>
      </w:pPr>
    </w:p>
    <w:p>
      <w:pPr>
        <w:pStyle w:val="BodyText"/>
        <w:ind w:left="211"/>
      </w:pPr>
      <w:r>
        <w:rPr/>
        <w:t>18）严重脑损伤</w:t>
      </w:r>
    </w:p>
    <w:p>
      <w:pPr>
        <w:pStyle w:val="BodyText"/>
        <w:spacing w:line="285" w:lineRule="auto" w:before="47"/>
        <w:ind w:left="120" w:right="131"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3"/>
        <w:rPr>
          <w:sz w:val="22"/>
        </w:rPr>
      </w:pPr>
    </w:p>
    <w:p>
      <w:pPr>
        <w:pStyle w:val="BodyText"/>
        <w:ind w:left="120"/>
      </w:pPr>
      <w:r>
        <w:rPr/>
        <w:t>（1）一肢或一肢以上肢体机能完全丧失；</w:t>
      </w:r>
    </w:p>
    <w:p>
      <w:pPr>
        <w:pStyle w:val="BodyText"/>
        <w:spacing w:before="42"/>
        <w:ind w:left="120"/>
      </w:pPr>
      <w:r>
        <w:rPr/>
        <w:t>（2）语言能力或咀嚼吞咽能力完全丧失；</w:t>
      </w:r>
    </w:p>
    <w:p>
      <w:pPr>
        <w:pStyle w:val="BodyText"/>
        <w:spacing w:before="47"/>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2"/>
        <w:ind w:left="120"/>
      </w:pPr>
      <w:r>
        <w:rPr/>
        <w:t>是一种中枢神经系统的退行性疾病，临床表现为震颤麻痹、共济失调等。须满足下列全部条件：</w:t>
      </w:r>
    </w:p>
    <w:p>
      <w:pPr>
        <w:pStyle w:val="BodyText"/>
        <w:rPr>
          <w:sz w:val="20"/>
        </w:rPr>
      </w:pPr>
    </w:p>
    <w:p>
      <w:pPr>
        <w:pStyle w:val="BodyText"/>
        <w:spacing w:before="12"/>
        <w:rPr>
          <w:sz w:val="14"/>
        </w:rPr>
      </w:pPr>
    </w:p>
    <w:p>
      <w:pPr>
        <w:pStyle w:val="Heading2"/>
      </w:pPr>
      <w:r>
        <w:rPr>
          <w:rFonts w:ascii="宋体" w:eastAsia="宋体" w:hint="eastAsia"/>
        </w:rPr>
        <w:t>条款编号</w:t>
      </w:r>
      <w:r>
        <w:rPr/>
        <w:t>: H2111-02</w:t>
      </w:r>
    </w:p>
    <w:p>
      <w:pPr>
        <w:spacing w:after="0"/>
        <w:sectPr>
          <w:pgSz w:w="11910" w:h="16840"/>
          <w:pgMar w:top="1280" w:bottom="280" w:left="960" w:right="980"/>
        </w:sectPr>
      </w:pPr>
    </w:p>
    <w:p>
      <w:pPr>
        <w:pStyle w:val="BodyText"/>
        <w:spacing w:before="32"/>
        <w:ind w:left="120"/>
      </w:pPr>
      <w:r>
        <w:rPr/>
        <w:pict>
          <v:group style="position:absolute;margin-left:.119203pt;margin-top:0pt;width:595.3pt;height:833.2pt;mso-position-horizontal-relative:page;mso-position-vertical-relative:page;z-index:-1261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（1）药物治疗无法控制病情；</w:t>
      </w:r>
    </w:p>
    <w:p>
      <w:pPr>
        <w:pStyle w:val="BodyText"/>
        <w:spacing w:line="571" w:lineRule="auto" w:before="42"/>
        <w:ind w:left="120" w:right="2896"/>
      </w:pPr>
      <w:r>
        <w:rPr/>
        <w:t>（2）</w:t>
      </w:r>
      <w:r>
        <w:rPr>
          <w:spacing w:val="-5"/>
        </w:rPr>
        <w:t>自主生活能力完全丧失，无法独立完成六项基本日常生活活动中的三项或三项以上。继发性帕金森综合症不在保障范围内。</w:t>
      </w:r>
    </w:p>
    <w:p>
      <w:pPr>
        <w:pStyle w:val="BodyText"/>
        <w:spacing w:before="77"/>
        <w:ind w:left="120"/>
      </w:pPr>
      <w:r>
        <w:rPr/>
        <w:t>20）严重Ⅲ度烧伤</w:t>
      </w:r>
    </w:p>
    <w:p>
      <w:pPr>
        <w:pStyle w:val="BodyText"/>
        <w:spacing w:before="47"/>
        <w:ind w:left="120"/>
      </w:pPr>
      <w:r>
        <w:rPr/>
        <w:t>指烧伤程度为Ⅲ度，且Ⅲ度烧伤的面积达到全身体表面积的20％或20％以上。体表面积根据《中国新九分法》计算。</w:t>
      </w:r>
    </w:p>
    <w:p>
      <w:pPr>
        <w:pStyle w:val="BodyText"/>
        <w:spacing w:before="11"/>
        <w:rPr>
          <w:sz w:val="24"/>
        </w:rPr>
      </w:pPr>
    </w:p>
    <w:p>
      <w:pPr>
        <w:pStyle w:val="BodyText"/>
        <w:ind w:left="120"/>
      </w:pPr>
      <w:r>
        <w:rPr/>
        <w:t>21）严重原发性肺动脉高压</w:t>
      </w:r>
    </w:p>
    <w:p>
      <w:pPr>
        <w:pStyle w:val="BodyText"/>
        <w:spacing w:line="288" w:lineRule="auto" w:before="42"/>
        <w:ind w:left="120" w:right="112"/>
      </w:pPr>
      <w:r>
        <w:rPr>
          <w:spacing w:val="-5"/>
        </w:rPr>
        <w:t>指不明原因的肺动脉压力持续性增高，进行性发展而导致的慢性疾病，已经造成永久不可逆性的体力活动能力受限，达到美国纽约心脏病学会心功能状态分级</w:t>
      </w:r>
      <w:r>
        <w:rPr>
          <w:spacing w:val="-3"/>
        </w:rPr>
        <w:t>IV</w:t>
      </w:r>
      <w:r>
        <w:rPr>
          <w:spacing w:val="-2"/>
        </w:rPr>
        <w:t> 级，且静息状态下肺动脉平均压超过</w:t>
      </w:r>
      <w:r>
        <w:rPr/>
        <w:t>30mmHg。</w:t>
      </w:r>
    </w:p>
    <w:p>
      <w:pPr>
        <w:pStyle w:val="BodyText"/>
        <w:spacing w:before="1"/>
        <w:rPr>
          <w:sz w:val="22"/>
        </w:rPr>
      </w:pPr>
    </w:p>
    <w:p>
      <w:pPr>
        <w:pStyle w:val="BodyText"/>
        <w:ind w:left="120"/>
      </w:pPr>
      <w:r>
        <w:rPr/>
        <w:t>22）严重运动神经元病</w:t>
      </w:r>
    </w:p>
    <w:p>
      <w:pPr>
        <w:pStyle w:val="BodyText"/>
        <w:spacing w:line="288" w:lineRule="auto" w:before="42"/>
        <w:ind w:left="120" w:right="28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19"/>
      </w:pPr>
      <w:r>
        <w:rPr/>
        <w:t>23）语言能力丧失</w:t>
      </w:r>
    </w:p>
    <w:p>
      <w:pPr>
        <w:pStyle w:val="BodyText"/>
        <w:spacing w:line="288" w:lineRule="auto" w:before="42"/>
        <w:ind w:left="120" w:right="29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
        <w:rPr>
          <w:sz w:val="22"/>
        </w:rPr>
      </w:pPr>
    </w:p>
    <w:p>
      <w:pPr>
        <w:pStyle w:val="BodyText"/>
        <w:ind w:left="120"/>
      </w:pPr>
      <w:r>
        <w:rPr/>
        <w:t>精神心理因素所致的语言能力丧失不在保障范围内。</w:t>
      </w:r>
    </w:p>
    <w:p>
      <w:pPr>
        <w:pStyle w:val="BodyText"/>
        <w:spacing w:before="11"/>
        <w:rPr>
          <w:sz w:val="24"/>
        </w:rPr>
      </w:pPr>
    </w:p>
    <w:p>
      <w:pPr>
        <w:pStyle w:val="BodyText"/>
        <w:ind w:left="120"/>
      </w:pPr>
      <w:r>
        <w:rPr/>
        <w:t>24）重型再生障碍性贫血</w:t>
      </w:r>
    </w:p>
    <w:p>
      <w:pPr>
        <w:pStyle w:val="BodyText"/>
        <w:spacing w:before="42"/>
        <w:ind w:left="120"/>
      </w:pPr>
      <w:r>
        <w:rPr/>
        <w:t>指因骨髓造血功能慢性持续性衰竭导致的贫血、中性粒细胞减少及血小板减少。须满足下列全部条件：</w:t>
      </w:r>
    </w:p>
    <w:p>
      <w:pPr>
        <w:pStyle w:val="BodyText"/>
        <w:spacing w:before="11"/>
        <w:rPr>
          <w:sz w:val="24"/>
        </w:rPr>
      </w:pPr>
    </w:p>
    <w:p>
      <w:pPr>
        <w:pStyle w:val="BodyText"/>
        <w:ind w:left="120"/>
      </w:pPr>
      <w:r>
        <w:rPr/>
        <w:t>（1）骨髓穿刺检查或骨髓活检结果支持诊断；</w:t>
      </w:r>
    </w:p>
    <w:p>
      <w:pPr>
        <w:pStyle w:val="BodyText"/>
        <w:spacing w:before="47"/>
        <w:ind w:left="120"/>
      </w:pPr>
      <w:r>
        <w:rPr/>
        <w:t>（2）外周血象须具备以下三项条件：</w:t>
      </w:r>
    </w:p>
    <w:p>
      <w:pPr>
        <w:pStyle w:val="BodyText"/>
        <w:spacing w:before="42"/>
        <w:ind w:left="571"/>
      </w:pPr>
      <w:r>
        <w:rPr/>
        <w:t>① 中性粒细胞绝对值≤0.5×10</w:t>
      </w:r>
      <w:r>
        <w:rPr>
          <w:position w:val="9"/>
          <w:sz w:val="9"/>
        </w:rPr>
        <w:t>9</w:t>
      </w:r>
      <w:r>
        <w:rPr/>
        <w:t>/L；</w:t>
      </w:r>
    </w:p>
    <w:p>
      <w:pPr>
        <w:pStyle w:val="BodyText"/>
        <w:spacing w:before="47"/>
        <w:ind w:left="571"/>
      </w:pPr>
      <w:r>
        <w:rPr/>
        <w:t>② 网织红细胞＜1%；</w:t>
      </w:r>
    </w:p>
    <w:p>
      <w:pPr>
        <w:pStyle w:val="BodyText"/>
        <w:spacing w:before="43"/>
        <w:ind w:left="571"/>
      </w:pP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3" w:lineRule="auto" w:before="47"/>
        <w:ind w:left="120" w:right="28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1"/>
        <w:rPr>
          <w:sz w:val="24"/>
        </w:rPr>
      </w:pPr>
    </w:p>
    <w:p>
      <w:pPr>
        <w:spacing w:before="1"/>
        <w:ind w:left="120" w:right="0" w:firstLine="0"/>
        <w:jc w:val="left"/>
        <w:rPr>
          <w:b/>
          <w:sz w:val="18"/>
        </w:rPr>
      </w:pPr>
      <w:r>
        <w:rPr>
          <w:b/>
          <w:sz w:val="18"/>
        </w:rPr>
        <w:t>上述重大疾病的定义依照中国保险行业协会制定的《重大疾病保险的疾病定义使用规范》</w:t>
      </w:r>
    </w:p>
    <w:p>
      <w:pPr>
        <w:pStyle w:val="BodyText"/>
        <w:spacing w:before="12"/>
        <w:rPr>
          <w:b/>
          <w:sz w:val="24"/>
        </w:rPr>
      </w:pPr>
    </w:p>
    <w:p>
      <w:pPr>
        <w:pStyle w:val="BodyText"/>
        <w:ind w:left="120"/>
      </w:pPr>
      <w:r>
        <w:rPr/>
        <w:t>26）多样性硬化</w:t>
      </w:r>
    </w:p>
    <w:p>
      <w:pPr>
        <w:pStyle w:val="BodyText"/>
        <w:spacing w:line="283" w:lineRule="auto" w:before="47"/>
        <w:ind w:left="120" w:right="290"/>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spacing w:before="47"/>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spacing w:before="1"/>
        <w:ind w:left="120"/>
      </w:pPr>
      <w:r>
        <w:rPr/>
        <w:t>27）胰岛素依赖型糖尿病</w:t>
      </w:r>
    </w:p>
    <w:p>
      <w:pPr>
        <w:pStyle w:val="BodyText"/>
        <w:spacing w:line="283" w:lineRule="auto" w:before="48"/>
        <w:ind w:left="120" w:right="28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BodyText"/>
        <w:rPr>
          <w:sz w:val="20"/>
        </w:rPr>
      </w:pPr>
    </w:p>
    <w:p>
      <w:pPr>
        <w:pStyle w:val="BodyText"/>
        <w:rPr>
          <w:sz w:val="16"/>
        </w:rPr>
      </w:pPr>
    </w:p>
    <w:p>
      <w:pPr>
        <w:pStyle w:val="Heading2"/>
        <w:spacing w:before="1"/>
      </w:pPr>
      <w:r>
        <w:rPr>
          <w:rFonts w:ascii="宋体" w:eastAsia="宋体" w:hint="eastAsia"/>
        </w:rPr>
        <w:t>条款编号</w:t>
      </w:r>
      <w:r>
        <w:rPr/>
        <w:t>: H2111-02</w:t>
      </w:r>
    </w:p>
    <w:p>
      <w:pPr>
        <w:spacing w:after="0"/>
        <w:sectPr>
          <w:pgSz w:w="11910" w:h="16840"/>
          <w:pgMar w:top="1280" w:bottom="280" w:left="960" w:right="820"/>
        </w:sectPr>
      </w:pPr>
    </w:p>
    <w:p>
      <w:pPr>
        <w:pStyle w:val="ListParagraph"/>
        <w:numPr>
          <w:ilvl w:val="0"/>
          <w:numId w:val="3"/>
        </w:numPr>
        <w:tabs>
          <w:tab w:pos="643" w:val="left" w:leader="none"/>
        </w:tabs>
        <w:spacing w:line="240" w:lineRule="auto" w:before="29" w:after="0"/>
        <w:ind w:left="642" w:right="0" w:hanging="542"/>
        <w:jc w:val="left"/>
        <w:rPr>
          <w:sz w:val="18"/>
        </w:rPr>
      </w:pPr>
      <w:r>
        <w:rPr/>
        <w:pict>
          <v:group style="position:absolute;margin-left:.119203pt;margin-top:0pt;width:595.3pt;height:833.2pt;mso-position-horizontal-relative:page;mso-position-vertical-relative:page;z-index:-1259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sz w:val="18"/>
        </w:rPr>
        <w:t>植入心脏起搏器治疗心脏病；</w:t>
      </w:r>
    </w:p>
    <w:p>
      <w:pPr>
        <w:pStyle w:val="ListParagraph"/>
        <w:numPr>
          <w:ilvl w:val="0"/>
          <w:numId w:val="3"/>
        </w:numPr>
        <w:tabs>
          <w:tab w:pos="643" w:val="left" w:leader="none"/>
        </w:tabs>
        <w:spacing w:line="240" w:lineRule="auto" w:before="35" w:after="0"/>
        <w:ind w:left="642" w:right="0" w:hanging="542"/>
        <w:jc w:val="left"/>
        <w:rPr>
          <w:sz w:val="18"/>
        </w:rPr>
      </w:pPr>
      <w:r>
        <w:rPr>
          <w:spacing w:val="-5"/>
          <w:sz w:val="18"/>
        </w:rPr>
        <w:t>因坏疽需切除一只或以上脚趾。</w:t>
      </w:r>
    </w:p>
    <w:p>
      <w:pPr>
        <w:pStyle w:val="BodyText"/>
        <w:spacing w:before="12"/>
        <w:rPr>
          <w:sz w:val="23"/>
        </w:rPr>
      </w:pPr>
    </w:p>
    <w:p>
      <w:pPr>
        <w:pStyle w:val="BodyText"/>
        <w:ind w:left="100"/>
      </w:pPr>
      <w:r>
        <w:rPr/>
        <w:t>28）严重急性坏死性胰腺炎</w:t>
      </w:r>
    </w:p>
    <w:p>
      <w:pPr>
        <w:pStyle w:val="BodyText"/>
        <w:spacing w:line="288" w:lineRule="auto" w:before="42"/>
        <w:ind w:left="10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1"/>
        <w:rPr>
          <w:sz w:val="22"/>
        </w:rPr>
      </w:pPr>
    </w:p>
    <w:p>
      <w:pPr>
        <w:pStyle w:val="BodyText"/>
        <w:ind w:left="100"/>
      </w:pPr>
      <w:r>
        <w:rPr/>
        <w:t>29） 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spacing w:before="1"/>
        <w:ind w:left="100"/>
      </w:pPr>
      <w:r>
        <w:rPr/>
        <w:t>30）肌营养不良症</w:t>
      </w:r>
    </w:p>
    <w:p>
      <w:pPr>
        <w:pStyle w:val="BodyText"/>
        <w:spacing w:before="48"/>
        <w:ind w:left="100"/>
      </w:pPr>
      <w:r>
        <w:rPr/>
        <w:t>指骨骼肌对称地进行性无力和萎缩，须满足下列全部条件：</w:t>
      </w:r>
    </w:p>
    <w:p>
      <w:pPr>
        <w:pStyle w:val="ListParagraph"/>
        <w:numPr>
          <w:ilvl w:val="0"/>
          <w:numId w:val="4"/>
        </w:numPr>
        <w:tabs>
          <w:tab w:pos="643" w:val="left" w:leader="none"/>
        </w:tabs>
        <w:spacing w:line="240" w:lineRule="auto" w:before="43" w:after="0"/>
        <w:ind w:left="642" w:right="0" w:hanging="542"/>
        <w:jc w:val="left"/>
        <w:rPr>
          <w:sz w:val="18"/>
        </w:rPr>
      </w:pPr>
      <w:r>
        <w:rPr>
          <w:spacing w:val="-5"/>
          <w:sz w:val="18"/>
        </w:rPr>
        <w:t>肌电图显示典型肌营养不良症的阳性改变；</w:t>
      </w:r>
    </w:p>
    <w:p>
      <w:pPr>
        <w:pStyle w:val="ListParagraph"/>
        <w:numPr>
          <w:ilvl w:val="0"/>
          <w:numId w:val="4"/>
        </w:numPr>
        <w:tabs>
          <w:tab w:pos="643" w:val="left" w:leader="none"/>
        </w:tabs>
        <w:spacing w:line="240" w:lineRule="auto" w:before="47" w:after="0"/>
        <w:ind w:left="642" w:right="0" w:hanging="542"/>
        <w:jc w:val="left"/>
        <w:rPr>
          <w:sz w:val="18"/>
        </w:rPr>
      </w:pPr>
      <w:r>
        <w:rPr>
          <w:spacing w:val="-5"/>
          <w:sz w:val="18"/>
        </w:rPr>
        <w:t>肌肉活检的病理学诊断符合肌营养不良症的肌肉细胞变性、坏死等阳性改变。</w:t>
      </w:r>
    </w:p>
    <w:p>
      <w:pPr>
        <w:pStyle w:val="ListParagraph"/>
        <w:numPr>
          <w:ilvl w:val="0"/>
          <w:numId w:val="4"/>
        </w:numPr>
        <w:tabs>
          <w:tab w:pos="643" w:val="left" w:leader="none"/>
        </w:tabs>
        <w:spacing w:line="240" w:lineRule="auto" w:before="42" w:after="0"/>
        <w:ind w:left="642" w:right="0" w:hanging="542"/>
        <w:jc w:val="left"/>
        <w:rPr>
          <w:sz w:val="18"/>
        </w:rPr>
      </w:pPr>
      <w:r>
        <w:rPr>
          <w:spacing w:val="-5"/>
          <w:sz w:val="18"/>
        </w:rPr>
        <w:t>自主生活能力完全丧失，无法独立完成六项基本日常生活活动中的三项或三项以上。</w:t>
      </w:r>
    </w:p>
    <w:p>
      <w:pPr>
        <w:pStyle w:val="BodyText"/>
        <w:spacing w:before="11"/>
        <w:rPr>
          <w:sz w:val="24"/>
        </w:rPr>
      </w:pPr>
    </w:p>
    <w:p>
      <w:pPr>
        <w:pStyle w:val="BodyText"/>
        <w:spacing w:before="1"/>
        <w:ind w:left="100"/>
      </w:pPr>
      <w:r>
        <w:rPr/>
        <w:t>五、遗传性疾病</w:t>
      </w:r>
    </w:p>
    <w:p>
      <w:pPr>
        <w:pStyle w:val="BodyText"/>
        <w:spacing w:line="283" w:lineRule="auto" w:before="47"/>
        <w:ind w:left="100" w:right="109"/>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4"/>
        <w:rPr>
          <w:sz w:val="22"/>
        </w:rPr>
      </w:pPr>
    </w:p>
    <w:p>
      <w:pPr>
        <w:pStyle w:val="BodyText"/>
        <w:spacing w:before="1"/>
        <w:ind w:left="100"/>
      </w:pPr>
      <w:r>
        <w:rPr/>
        <w:t>六、先天性畸形、变形或染色体异常</w:t>
      </w:r>
    </w:p>
    <w:p>
      <w:pPr>
        <w:pStyle w:val="BodyText"/>
        <w:spacing w:line="283" w:lineRule="auto" w:before="47"/>
        <w:ind w:left="100" w:right="109"/>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00"/>
      </w:pPr>
      <w:r>
        <w:rPr/>
        <w:t>七、感染艾滋病病毒或患艾滋病</w:t>
      </w:r>
    </w:p>
    <w:p>
      <w:pPr>
        <w:pStyle w:val="BodyText"/>
        <w:spacing w:before="47"/>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0"/>
        <w:ind w:left="100" w:right="2443"/>
      </w:pPr>
      <w:r>
        <w:rPr>
          <w:spacing w:val="-5"/>
        </w:rPr>
        <w:t>八、意外事故：指因外来的、突发的、非疾病的原因而直接且单独地导致被保险人发生事故。九、肢体机能完全丧失</w:t>
      </w:r>
    </w:p>
    <w:p>
      <w:pPr>
        <w:pStyle w:val="BodyText"/>
        <w:spacing w:line="191" w:lineRule="exact"/>
        <w:ind w:left="100"/>
      </w:pPr>
      <w:r>
        <w:rPr/>
        <w:t>指肢体的三大关节中的两大关节僵硬，或不能随意识活动。肢体是指包括肩关节的整个上肢或包括髋关节的整个下肢。</w:t>
      </w:r>
    </w:p>
    <w:p>
      <w:pPr>
        <w:pStyle w:val="BodyText"/>
        <w:spacing w:before="12"/>
        <w:rPr>
          <w:sz w:val="24"/>
        </w:rPr>
      </w:pPr>
    </w:p>
    <w:p>
      <w:pPr>
        <w:pStyle w:val="BodyText"/>
        <w:ind w:left="100"/>
      </w:pPr>
      <w:r>
        <w:rPr/>
        <w:t>十、语言能力或咀嚼吞咽能力完全丧失</w:t>
      </w:r>
    </w:p>
    <w:p>
      <w:pPr>
        <w:pStyle w:val="BodyText"/>
        <w:spacing w:line="283" w:lineRule="auto" w:before="47"/>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十一、六项基本日常生活活动</w:t>
      </w:r>
    </w:p>
    <w:p>
      <w:pPr>
        <w:pStyle w:val="BodyText"/>
        <w:spacing w:before="47"/>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3"/>
        <w:ind w:left="100"/>
      </w:pPr>
      <w:r>
        <w:rPr/>
        <w:t>（6）洗澡：自己进行淋浴或盆浴。</w:t>
      </w:r>
    </w:p>
    <w:p>
      <w:pPr>
        <w:pStyle w:val="BodyText"/>
        <w:spacing w:before="12"/>
        <w:rPr>
          <w:sz w:val="24"/>
        </w:rPr>
      </w:pPr>
    </w:p>
    <w:p>
      <w:pPr>
        <w:pStyle w:val="BodyText"/>
        <w:ind w:left="100"/>
      </w:pPr>
      <w:r>
        <w:rPr/>
        <w:t>十二、永久不可逆</w:t>
      </w:r>
    </w:p>
    <w:p>
      <w:pPr>
        <w:pStyle w:val="BodyText"/>
        <w:spacing w:before="47"/>
        <w:ind w:left="100"/>
      </w:pPr>
      <w:r>
        <w:rPr/>
        <w:t>指自疾病确诊或意外伤害发生之日起，经过积极治疗180日后，仍无法通过现有医疗手段恢复。</w:t>
      </w:r>
    </w:p>
    <w:p>
      <w:pPr>
        <w:pStyle w:val="BodyText"/>
        <w:rPr>
          <w:sz w:val="20"/>
        </w:rPr>
      </w:pPr>
    </w:p>
    <w:p>
      <w:pPr>
        <w:pStyle w:val="BodyText"/>
        <w:rPr>
          <w:sz w:val="20"/>
        </w:rPr>
      </w:pPr>
    </w:p>
    <w:p>
      <w:pPr>
        <w:pStyle w:val="BodyText"/>
        <w:spacing w:before="3"/>
        <w:rPr>
          <w:sz w:val="16"/>
        </w:rPr>
      </w:pPr>
    </w:p>
    <w:p>
      <w:pPr>
        <w:pStyle w:val="Heading2"/>
        <w:ind w:left="100"/>
      </w:pPr>
      <w:r>
        <w:rPr>
          <w:rFonts w:ascii="宋体" w:eastAsia="宋体" w:hint="eastAsia"/>
        </w:rPr>
        <w:t>条款编号</w:t>
      </w:r>
      <w:r>
        <w:rPr/>
        <w:t>: H2111-02</w:t>
      </w:r>
    </w:p>
    <w:p>
      <w:pPr>
        <w:spacing w:after="0"/>
        <w:sectPr>
          <w:pgSz w:w="11910" w:h="16840"/>
          <w:pgMar w:top="1000" w:bottom="280" w:left="980" w:right="1000"/>
        </w:sectPr>
      </w:pPr>
    </w:p>
    <w:p>
      <w:pPr>
        <w:pStyle w:val="BodyText"/>
        <w:spacing w:before="29"/>
        <w:ind w:left="4239" w:right="3530"/>
        <w:jc w:val="center"/>
      </w:pPr>
      <w:r>
        <w:rPr/>
        <w:pict>
          <v:group style="position:absolute;margin-left:.119203pt;margin-top:0pt;width:595.3pt;height:833.2pt;mso-position-horizontal-relative:page;mso-position-vertical-relative:page;z-index:-1256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7"/>
        </w:rPr>
      </w:pPr>
    </w:p>
    <w:p>
      <w:pPr>
        <w:pStyle w:val="Heading2"/>
        <w:ind w:left="100"/>
      </w:pPr>
      <w:r>
        <w:rPr>
          <w:rFonts w:ascii="宋体" w:eastAsia="宋体" w:hint="eastAsia"/>
        </w:rPr>
        <w:t>条款编号</w:t>
      </w:r>
      <w:r>
        <w:rPr/>
        <w:t>: H2111-02</w:t>
      </w:r>
    </w:p>
    <w:sectPr>
      <w:pgSz w:w="11910" w:h="16840"/>
      <w:pgMar w:top="100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42" w:hanging="543"/>
        <w:jc w:val="left"/>
      </w:pPr>
      <w:rPr>
        <w:rFonts w:hint="default" w:ascii="宋体" w:hAnsi="宋体" w:eastAsia="宋体" w:cs="宋体"/>
        <w:w w:val="101"/>
        <w:sz w:val="18"/>
        <w:szCs w:val="18"/>
      </w:rPr>
    </w:lvl>
    <w:lvl w:ilvl="1">
      <w:start w:val="0"/>
      <w:numFmt w:val="bullet"/>
      <w:lvlText w:val="•"/>
      <w:lvlJc w:val="left"/>
      <w:pPr>
        <w:ind w:left="1568" w:hanging="543"/>
      </w:pPr>
      <w:rPr>
        <w:rFonts w:hint="default"/>
      </w:rPr>
    </w:lvl>
    <w:lvl w:ilvl="2">
      <w:start w:val="0"/>
      <w:numFmt w:val="bullet"/>
      <w:lvlText w:val="•"/>
      <w:lvlJc w:val="left"/>
      <w:pPr>
        <w:ind w:left="2497" w:hanging="543"/>
      </w:pPr>
      <w:rPr>
        <w:rFonts w:hint="default"/>
      </w:rPr>
    </w:lvl>
    <w:lvl w:ilvl="3">
      <w:start w:val="0"/>
      <w:numFmt w:val="bullet"/>
      <w:lvlText w:val="•"/>
      <w:lvlJc w:val="left"/>
      <w:pPr>
        <w:ind w:left="3426" w:hanging="543"/>
      </w:pPr>
      <w:rPr>
        <w:rFonts w:hint="default"/>
      </w:rPr>
    </w:lvl>
    <w:lvl w:ilvl="4">
      <w:start w:val="0"/>
      <w:numFmt w:val="bullet"/>
      <w:lvlText w:val="•"/>
      <w:lvlJc w:val="left"/>
      <w:pPr>
        <w:ind w:left="4355" w:hanging="543"/>
      </w:pPr>
      <w:rPr>
        <w:rFonts w:hint="default"/>
      </w:rPr>
    </w:lvl>
    <w:lvl w:ilvl="5">
      <w:start w:val="0"/>
      <w:numFmt w:val="bullet"/>
      <w:lvlText w:val="•"/>
      <w:lvlJc w:val="left"/>
      <w:pPr>
        <w:ind w:left="5284" w:hanging="543"/>
      </w:pPr>
      <w:rPr>
        <w:rFonts w:hint="default"/>
      </w:rPr>
    </w:lvl>
    <w:lvl w:ilvl="6">
      <w:start w:val="0"/>
      <w:numFmt w:val="bullet"/>
      <w:lvlText w:val="•"/>
      <w:lvlJc w:val="left"/>
      <w:pPr>
        <w:ind w:left="6213" w:hanging="543"/>
      </w:pPr>
      <w:rPr>
        <w:rFonts w:hint="default"/>
      </w:rPr>
    </w:lvl>
    <w:lvl w:ilvl="7">
      <w:start w:val="0"/>
      <w:numFmt w:val="bullet"/>
      <w:lvlText w:val="•"/>
      <w:lvlJc w:val="left"/>
      <w:pPr>
        <w:ind w:left="7142" w:hanging="543"/>
      </w:pPr>
      <w:rPr>
        <w:rFonts w:hint="default"/>
      </w:rPr>
    </w:lvl>
    <w:lvl w:ilvl="8">
      <w:start w:val="0"/>
      <w:numFmt w:val="bullet"/>
      <w:lvlText w:val="•"/>
      <w:lvlJc w:val="left"/>
      <w:pPr>
        <w:ind w:left="8071" w:hanging="543"/>
      </w:pPr>
      <w:rPr>
        <w:rFonts w:hint="default"/>
      </w:rPr>
    </w:lvl>
  </w:abstractNum>
  <w:abstractNum w:abstractNumId="2">
    <w:multiLevelType w:val="hybridMultilevel"/>
    <w:lvl w:ilvl="0">
      <w:start w:val="1"/>
      <w:numFmt w:val="decimal"/>
      <w:lvlText w:val="（%1）"/>
      <w:lvlJc w:val="left"/>
      <w:pPr>
        <w:ind w:left="642" w:hanging="543"/>
        <w:jc w:val="left"/>
      </w:pPr>
      <w:rPr>
        <w:rFonts w:hint="default" w:ascii="宋体" w:hAnsi="宋体" w:eastAsia="宋体" w:cs="宋体"/>
        <w:spacing w:val="-1"/>
        <w:w w:val="101"/>
        <w:sz w:val="18"/>
        <w:szCs w:val="18"/>
      </w:rPr>
    </w:lvl>
    <w:lvl w:ilvl="1">
      <w:start w:val="0"/>
      <w:numFmt w:val="bullet"/>
      <w:lvlText w:val="•"/>
      <w:lvlJc w:val="left"/>
      <w:pPr>
        <w:ind w:left="1568" w:hanging="543"/>
      </w:pPr>
      <w:rPr>
        <w:rFonts w:hint="default"/>
      </w:rPr>
    </w:lvl>
    <w:lvl w:ilvl="2">
      <w:start w:val="0"/>
      <w:numFmt w:val="bullet"/>
      <w:lvlText w:val="•"/>
      <w:lvlJc w:val="left"/>
      <w:pPr>
        <w:ind w:left="2497" w:hanging="543"/>
      </w:pPr>
      <w:rPr>
        <w:rFonts w:hint="default"/>
      </w:rPr>
    </w:lvl>
    <w:lvl w:ilvl="3">
      <w:start w:val="0"/>
      <w:numFmt w:val="bullet"/>
      <w:lvlText w:val="•"/>
      <w:lvlJc w:val="left"/>
      <w:pPr>
        <w:ind w:left="3426" w:hanging="543"/>
      </w:pPr>
      <w:rPr>
        <w:rFonts w:hint="default"/>
      </w:rPr>
    </w:lvl>
    <w:lvl w:ilvl="4">
      <w:start w:val="0"/>
      <w:numFmt w:val="bullet"/>
      <w:lvlText w:val="•"/>
      <w:lvlJc w:val="left"/>
      <w:pPr>
        <w:ind w:left="4355" w:hanging="543"/>
      </w:pPr>
      <w:rPr>
        <w:rFonts w:hint="default"/>
      </w:rPr>
    </w:lvl>
    <w:lvl w:ilvl="5">
      <w:start w:val="0"/>
      <w:numFmt w:val="bullet"/>
      <w:lvlText w:val="•"/>
      <w:lvlJc w:val="left"/>
      <w:pPr>
        <w:ind w:left="5284" w:hanging="543"/>
      </w:pPr>
      <w:rPr>
        <w:rFonts w:hint="default"/>
      </w:rPr>
    </w:lvl>
    <w:lvl w:ilvl="6">
      <w:start w:val="0"/>
      <w:numFmt w:val="bullet"/>
      <w:lvlText w:val="•"/>
      <w:lvlJc w:val="left"/>
      <w:pPr>
        <w:ind w:left="6213" w:hanging="543"/>
      </w:pPr>
      <w:rPr>
        <w:rFonts w:hint="default"/>
      </w:rPr>
    </w:lvl>
    <w:lvl w:ilvl="7">
      <w:start w:val="0"/>
      <w:numFmt w:val="bullet"/>
      <w:lvlText w:val="•"/>
      <w:lvlJc w:val="left"/>
      <w:pPr>
        <w:ind w:left="7142" w:hanging="543"/>
      </w:pPr>
      <w:rPr>
        <w:rFonts w:hint="default"/>
      </w:rPr>
    </w:lvl>
    <w:lvl w:ilvl="8">
      <w:start w:val="0"/>
      <w:numFmt w:val="bullet"/>
      <w:lvlText w:val="•"/>
      <w:lvlJc w:val="left"/>
      <w:pPr>
        <w:ind w:left="8071" w:hanging="543"/>
      </w:pPr>
      <w:rPr>
        <w:rFonts w:hint="default"/>
      </w:rPr>
    </w:lvl>
  </w:abstractNum>
  <w:abstractNum w:abstractNumId="1">
    <w:multiLevelType w:val="hybridMultilevel"/>
    <w:lvl w:ilvl="0">
      <w:start w:val="6"/>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2" w:hanging="605"/>
      </w:pPr>
      <w:rPr>
        <w:rFonts w:hint="default"/>
      </w:rPr>
    </w:lvl>
    <w:lvl w:ilvl="2">
      <w:start w:val="0"/>
      <w:numFmt w:val="bullet"/>
      <w:lvlText w:val="•"/>
      <w:lvlJc w:val="left"/>
      <w:pPr>
        <w:ind w:left="2085" w:hanging="605"/>
      </w:pPr>
      <w:rPr>
        <w:rFonts w:hint="default"/>
      </w:rPr>
    </w:lvl>
    <w:lvl w:ilvl="3">
      <w:start w:val="0"/>
      <w:numFmt w:val="bullet"/>
      <w:lvlText w:val="•"/>
      <w:lvlJc w:val="left"/>
      <w:pPr>
        <w:ind w:left="3068" w:hanging="605"/>
      </w:pPr>
      <w:rPr>
        <w:rFonts w:hint="default"/>
      </w:rPr>
    </w:lvl>
    <w:lvl w:ilvl="4">
      <w:start w:val="0"/>
      <w:numFmt w:val="bullet"/>
      <w:lvlText w:val="•"/>
      <w:lvlJc w:val="left"/>
      <w:pPr>
        <w:ind w:left="4051" w:hanging="605"/>
      </w:pPr>
      <w:rPr>
        <w:rFonts w:hint="default"/>
      </w:rPr>
    </w:lvl>
    <w:lvl w:ilvl="5">
      <w:start w:val="0"/>
      <w:numFmt w:val="bullet"/>
      <w:lvlText w:val="•"/>
      <w:lvlJc w:val="left"/>
      <w:pPr>
        <w:ind w:left="5034" w:hanging="605"/>
      </w:pPr>
      <w:rPr>
        <w:rFonts w:hint="default"/>
      </w:rPr>
    </w:lvl>
    <w:lvl w:ilvl="6">
      <w:start w:val="0"/>
      <w:numFmt w:val="bullet"/>
      <w:lvlText w:val="•"/>
      <w:lvlJc w:val="left"/>
      <w:pPr>
        <w:ind w:left="6017" w:hanging="605"/>
      </w:pPr>
      <w:rPr>
        <w:rFonts w:hint="default"/>
      </w:rPr>
    </w:lvl>
    <w:lvl w:ilvl="7">
      <w:start w:val="0"/>
      <w:numFmt w:val="bullet"/>
      <w:lvlText w:val="•"/>
      <w:lvlJc w:val="left"/>
      <w:pPr>
        <w:ind w:left="7000" w:hanging="605"/>
      </w:pPr>
      <w:rPr>
        <w:rFonts w:hint="default"/>
      </w:rPr>
    </w:lvl>
    <w:lvl w:ilvl="8">
      <w:start w:val="0"/>
      <w:numFmt w:val="bullet"/>
      <w:lvlText w:val="•"/>
      <w:lvlJc w:val="left"/>
      <w:pPr>
        <w:ind w:left="7983" w:hanging="605"/>
      </w:pPr>
      <w:rPr>
        <w:rFonts w:hint="default"/>
      </w:rPr>
    </w:lvl>
  </w:abstractNum>
  <w:abstractNum w:abstractNumId="0">
    <w:multiLevelType w:val="hybridMultilevel"/>
    <w:lvl w:ilvl="0">
      <w:start w:val="1"/>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2" w:hanging="605"/>
      </w:pPr>
      <w:rPr>
        <w:rFonts w:hint="default"/>
      </w:rPr>
    </w:lvl>
    <w:lvl w:ilvl="2">
      <w:start w:val="0"/>
      <w:numFmt w:val="bullet"/>
      <w:lvlText w:val="•"/>
      <w:lvlJc w:val="left"/>
      <w:pPr>
        <w:ind w:left="2565"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11" w:hanging="605"/>
      </w:pPr>
      <w:rPr>
        <w:rFonts w:hint="default"/>
      </w:rPr>
    </w:lvl>
    <w:lvl w:ilvl="5">
      <w:start w:val="0"/>
      <w:numFmt w:val="bullet"/>
      <w:lvlText w:val="•"/>
      <w:lvlJc w:val="left"/>
      <w:pPr>
        <w:ind w:left="5334" w:hanging="605"/>
      </w:pPr>
      <w:rPr>
        <w:rFonts w:hint="default"/>
      </w:rPr>
    </w:lvl>
    <w:lvl w:ilvl="6">
      <w:start w:val="0"/>
      <w:numFmt w:val="bullet"/>
      <w:lvlText w:val="•"/>
      <w:lvlJc w:val="left"/>
      <w:pPr>
        <w:ind w:left="6257" w:hanging="605"/>
      </w:pPr>
      <w:rPr>
        <w:rFonts w:hint="default"/>
      </w:rPr>
    </w:lvl>
    <w:lvl w:ilvl="7">
      <w:start w:val="0"/>
      <w:numFmt w:val="bullet"/>
      <w:lvlText w:val="•"/>
      <w:lvlJc w:val="left"/>
      <w:pPr>
        <w:ind w:left="7180" w:hanging="605"/>
      </w:pPr>
      <w:rPr>
        <w:rFonts w:hint="default"/>
      </w:rPr>
    </w:lvl>
    <w:lvl w:ilvl="8">
      <w:start w:val="0"/>
      <w:numFmt w:val="bullet"/>
      <w:lvlText w:val="•"/>
      <w:lvlJc w:val="left"/>
      <w:pPr>
        <w:ind w:left="8103" w:hanging="6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jc w:val="both"/>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9"/>
      <w:ind w:left="642"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友邦附加守卫人生重大疾病保险</dc:title>
  <dcterms:created xsi:type="dcterms:W3CDTF">2018-10-20T04:45:56Z</dcterms:created>
  <dcterms:modified xsi:type="dcterms:W3CDTF">2018-10-20T04:45:56Z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