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37"/>
        <w:jc w:val="right"/>
      </w:pPr>
      <w:r>
        <w:rPr/>
        <w:drawing>
          <wp:anchor distT="0" distB="0" distL="0" distR="0" allowOverlap="1" layoutInCell="1" locked="0" behindDoc="0" simplePos="0" relativeHeight="0">
            <wp:simplePos x="0" y="0"/>
            <wp:positionH relativeFrom="page">
              <wp:posOffset>6187438</wp:posOffset>
            </wp:positionH>
            <wp:positionV relativeFrom="paragraph">
              <wp:posOffset>204262</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交银康联[2015]疾病保险 009 号</w:t>
      </w:r>
    </w:p>
    <w:p>
      <w:pPr>
        <w:pStyle w:val="BodyText"/>
        <w:ind w:right="137"/>
        <w:jc w:val="right"/>
      </w:pPr>
      <w:r>
        <w:rPr/>
        <w:t>请扫描以查询验证条款</w:t>
      </w:r>
    </w:p>
    <w:p>
      <w:pPr>
        <w:spacing w:before="15"/>
        <w:ind w:left="644" w:right="644" w:firstLine="0"/>
        <w:jc w:val="center"/>
        <w:rPr>
          <w:rFonts w:ascii="微软雅黑" w:eastAsia="微软雅黑" w:hint="eastAsia"/>
          <w:b/>
          <w:sz w:val="24"/>
        </w:rPr>
      </w:pPr>
      <w:r>
        <w:rPr/>
        <w:pict>
          <v:line style="position:absolute;mso-position-horizontal-relative:page;mso-position-vertical-relative:paragraph;z-index:-64840" from="49.560001pt,2.836317pt" to="545.640001pt,2.836317pt" stroked="true" strokeweight=".72pt" strokecolor="#000000">
            <v:stroke dashstyle="solid"/>
            <w10:wrap type="none"/>
          </v:line>
        </w:pict>
      </w:r>
      <w:bookmarkStart w:name="交银康联附加交银康乐保重大疾病保险（B）条款（2015年4月）" w:id="1"/>
      <w:bookmarkEnd w:id="1"/>
      <w:r>
        <w:rPr/>
      </w:r>
      <w:r>
        <w:rPr>
          <w:rFonts w:ascii="微软雅黑" w:eastAsia="微软雅黑" w:hint="eastAsia"/>
          <w:b/>
          <w:sz w:val="32"/>
        </w:rPr>
        <w:t>交银康联附加交银康乐保重大疾病保险（B）条款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2015 年 4 月）</w:t>
      </w:r>
    </w:p>
    <w:p>
      <w:pPr>
        <w:pStyle w:val="Heading1"/>
        <w:spacing w:before="71"/>
        <w:ind w:right="644"/>
        <w:jc w:val="center"/>
      </w:pPr>
      <w:r>
        <w:rPr/>
        <w:t>阅  读  指 引</w:t>
      </w:r>
    </w:p>
    <w:p>
      <w:pPr>
        <w:pStyle w:val="BodyText"/>
        <w:spacing w:line="261" w:lineRule="auto" w:before="110"/>
        <w:ind w:left="141" w:right="172" w:hanging="2"/>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w:t>
      </w:r>
      <w:r>
        <w:rPr>
          <w:spacing w:val="-63"/>
          <w:w w:val="100"/>
          <w:position w:val="-7"/>
        </w:rPr>
        <w:t>．</w:t>
      </w:r>
      <w:r>
        <w:rPr>
          <w:spacing w:val="-149"/>
          <w:w w:val="100"/>
        </w:rPr>
        <w:t>交</w:t>
      </w:r>
      <w:r>
        <w:rPr>
          <w:spacing w:val="-63"/>
          <w:w w:val="100"/>
          <w:position w:val="-7"/>
        </w:rPr>
        <w:t>．</w:t>
      </w:r>
      <w:r>
        <w:rPr>
          <w:spacing w:val="-152"/>
          <w:w w:val="100"/>
        </w:rPr>
        <w:t>银</w:t>
      </w:r>
      <w:r>
        <w:rPr>
          <w:spacing w:val="-63"/>
          <w:w w:val="100"/>
          <w:position w:val="-7"/>
        </w:rPr>
        <w:t>．</w:t>
      </w:r>
      <w:r>
        <w:rPr>
          <w:spacing w:val="-149"/>
          <w:w w:val="100"/>
        </w:rPr>
        <w:t>康</w:t>
      </w:r>
      <w:r>
        <w:rPr>
          <w:spacing w:val="-63"/>
          <w:w w:val="100"/>
          <w:position w:val="-7"/>
        </w:rPr>
        <w:t>．</w:t>
      </w:r>
      <w:r>
        <w:rPr>
          <w:spacing w:val="-152"/>
          <w:w w:val="100"/>
        </w:rPr>
        <w:t>联</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交</w:t>
      </w:r>
      <w:r>
        <w:rPr>
          <w:spacing w:val="-63"/>
          <w:w w:val="100"/>
          <w:position w:val="-7"/>
        </w:rPr>
        <w:t>．</w:t>
      </w:r>
      <w:r>
        <w:rPr>
          <w:spacing w:val="-149"/>
          <w:w w:val="100"/>
        </w:rPr>
        <w:t>银</w:t>
      </w:r>
      <w:r>
        <w:rPr>
          <w:spacing w:val="-63"/>
          <w:w w:val="100"/>
          <w:position w:val="-7"/>
        </w:rPr>
        <w:t>．</w:t>
      </w:r>
      <w:r>
        <w:rPr>
          <w:spacing w:val="-152"/>
          <w:w w:val="100"/>
        </w:rPr>
        <w:t>康</w:t>
      </w:r>
      <w:r>
        <w:rPr>
          <w:spacing w:val="-63"/>
          <w:w w:val="100"/>
          <w:position w:val="-7"/>
        </w:rPr>
        <w:t>．</w:t>
      </w:r>
      <w:r>
        <w:rPr>
          <w:spacing w:val="-149"/>
          <w:w w:val="100"/>
        </w:rPr>
        <w:t>乐</w:t>
      </w:r>
      <w:r>
        <w:rPr>
          <w:spacing w:val="-63"/>
          <w:w w:val="100"/>
          <w:position w:val="-7"/>
        </w:rPr>
        <w:t>．</w:t>
      </w:r>
      <w:r>
        <w:rPr>
          <w:spacing w:val="-152"/>
          <w:w w:val="100"/>
        </w:rPr>
        <w:t>保</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w:t>
      </w:r>
      <w:r>
        <w:rPr>
          <w:spacing w:val="-63"/>
          <w:w w:val="100"/>
          <w:position w:val="-7"/>
        </w:rPr>
        <w:t>．</w:t>
      </w:r>
      <w:r>
        <w:rPr>
          <w:spacing w:val="-97"/>
          <w:w w:val="100"/>
        </w:rPr>
        <w:t>B</w:t>
      </w:r>
      <w:r>
        <w:rPr>
          <w:spacing w:val="-116"/>
          <w:w w:val="100"/>
          <w:position w:val="-7"/>
        </w:rPr>
        <w:t>．</w:t>
      </w:r>
      <w:r>
        <w:rPr>
          <w:spacing w:val="-152"/>
          <w:w w:val="100"/>
        </w:rPr>
        <w:t>）</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w w:val="100"/>
          <w:position w:val="-7"/>
        </w:rPr>
        <w:t>．</w:t>
      </w:r>
      <w:r>
        <w:rPr>
          <w:spacing w:val="-149"/>
        </w:rPr>
        <w:t>为</w:t>
      </w:r>
      <w:r>
        <w:rPr>
          <w:spacing w:val="-63"/>
          <w:position w:val="-7"/>
        </w:rPr>
        <w:t>．</w:t>
      </w:r>
      <w:r>
        <w:rPr>
          <w:spacing w:val="-149"/>
        </w:rPr>
        <w:t>准</w:t>
      </w:r>
      <w:r>
        <w:rPr>
          <w:spacing w:val="-63"/>
          <w:position w:val="-7"/>
        </w:rPr>
        <w:t>．</w:t>
      </w:r>
      <w:r>
        <w:rPr/>
        <w:t>。</w:t>
      </w:r>
    </w:p>
    <w:p>
      <w:pPr>
        <w:tabs>
          <w:tab w:pos="1150" w:val="left" w:leader="none"/>
        </w:tabs>
        <w:spacing w:line="596" w:lineRule="exact" w:before="0"/>
        <w:ind w:left="140"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31" w:val="left" w:leader="none"/>
          <w:tab w:pos="1532" w:val="left" w:leader="none"/>
          <w:tab w:pos="9723" w:val="right" w:leader="dot"/>
        </w:tabs>
        <w:spacing w:line="240" w:lineRule="auto" w:before="26" w:after="0"/>
        <w:ind w:left="1531" w:right="0" w:hanging="419"/>
        <w:jc w:val="left"/>
        <w:rPr>
          <w:sz w:val="21"/>
        </w:rPr>
      </w:pPr>
      <w:r>
        <w:rPr>
          <w:w w:val="100"/>
          <w:sz w:val="21"/>
        </w:rPr>
        <w:t>本附</w:t>
      </w:r>
      <w:r>
        <w:rPr>
          <w:spacing w:val="-3"/>
          <w:w w:val="100"/>
          <w:sz w:val="21"/>
        </w:rPr>
        <w:t>加</w:t>
      </w:r>
      <w:r>
        <w:rPr>
          <w:w w:val="100"/>
          <w:sz w:val="21"/>
        </w:rPr>
        <w:t>合</w:t>
      </w:r>
      <w:r>
        <w:rPr>
          <w:spacing w:val="-3"/>
          <w:w w:val="100"/>
          <w:sz w:val="21"/>
        </w:rPr>
        <w:t>同</w:t>
      </w:r>
      <w:r>
        <w:rPr>
          <w:w w:val="100"/>
          <w:sz w:val="21"/>
        </w:rPr>
        <w:t>必</w:t>
      </w:r>
      <w:r>
        <w:rPr>
          <w:spacing w:val="-3"/>
          <w:w w:val="100"/>
          <w:sz w:val="21"/>
        </w:rPr>
        <w:t>须</w:t>
      </w:r>
      <w:r>
        <w:rPr>
          <w:w w:val="100"/>
          <w:sz w:val="21"/>
        </w:rPr>
        <w:t>与</w:t>
      </w:r>
      <w:r>
        <w:rPr>
          <w:spacing w:val="-3"/>
          <w:w w:val="100"/>
          <w:sz w:val="21"/>
        </w:rPr>
        <w:t>《</w:t>
      </w:r>
      <w:r>
        <w:rPr>
          <w:w w:val="100"/>
          <w:sz w:val="21"/>
        </w:rPr>
        <w:t>交</w:t>
      </w:r>
      <w:r>
        <w:rPr>
          <w:spacing w:val="-3"/>
          <w:w w:val="100"/>
          <w:sz w:val="21"/>
        </w:rPr>
        <w:t>银</w:t>
      </w:r>
      <w:r>
        <w:rPr>
          <w:w w:val="100"/>
          <w:sz w:val="21"/>
        </w:rPr>
        <w:t>康联</w:t>
      </w:r>
      <w:r>
        <w:rPr>
          <w:spacing w:val="-3"/>
          <w:w w:val="100"/>
          <w:sz w:val="21"/>
        </w:rPr>
        <w:t>交</w:t>
      </w:r>
      <w:r>
        <w:rPr>
          <w:w w:val="100"/>
          <w:sz w:val="21"/>
        </w:rPr>
        <w:t>银</w:t>
      </w:r>
      <w:r>
        <w:rPr>
          <w:spacing w:val="-3"/>
          <w:w w:val="100"/>
          <w:sz w:val="21"/>
        </w:rPr>
        <w:t>康</w:t>
      </w:r>
      <w:r>
        <w:rPr>
          <w:w w:val="100"/>
          <w:sz w:val="21"/>
        </w:rPr>
        <w:t>乐</w:t>
      </w:r>
      <w:r>
        <w:rPr>
          <w:spacing w:val="-3"/>
          <w:w w:val="100"/>
          <w:sz w:val="21"/>
        </w:rPr>
        <w:t>保</w:t>
      </w:r>
      <w:r>
        <w:rPr>
          <w:w w:val="100"/>
          <w:sz w:val="21"/>
        </w:rPr>
        <w:t>两</w:t>
      </w:r>
      <w:r>
        <w:rPr>
          <w:spacing w:val="-3"/>
          <w:w w:val="100"/>
          <w:sz w:val="21"/>
        </w:rPr>
        <w:t>全</w:t>
      </w:r>
      <w:r>
        <w:rPr>
          <w:w w:val="100"/>
          <w:sz w:val="21"/>
        </w:rPr>
        <w:t>保</w:t>
      </w:r>
      <w:r>
        <w:rPr>
          <w:spacing w:val="-3"/>
          <w:w w:val="100"/>
          <w:sz w:val="21"/>
        </w:rPr>
        <w:t>险</w:t>
      </w:r>
      <w:r>
        <w:rPr>
          <w:spacing w:val="-1"/>
          <w:w w:val="100"/>
          <w:sz w:val="21"/>
        </w:rPr>
        <w:t>（</w:t>
      </w:r>
      <w:r>
        <w:rPr>
          <w:w w:val="100"/>
          <w:sz w:val="21"/>
        </w:rPr>
        <w:t>B</w:t>
      </w:r>
      <w:r>
        <w:rPr>
          <w:spacing w:val="-106"/>
          <w:w w:val="100"/>
          <w:sz w:val="21"/>
        </w:rPr>
        <w:t>）</w:t>
      </w:r>
      <w:r>
        <w:rPr>
          <w:spacing w:val="-3"/>
          <w:w w:val="100"/>
          <w:sz w:val="21"/>
        </w:rPr>
        <w:t>（</w:t>
      </w:r>
      <w:r>
        <w:rPr>
          <w:w w:val="100"/>
          <w:sz w:val="21"/>
        </w:rPr>
        <w:t>分</w:t>
      </w:r>
      <w:r>
        <w:rPr>
          <w:spacing w:val="-3"/>
          <w:w w:val="100"/>
          <w:sz w:val="21"/>
        </w:rPr>
        <w:t>红</w:t>
      </w:r>
      <w:r>
        <w:rPr>
          <w:w w:val="100"/>
          <w:sz w:val="21"/>
        </w:rPr>
        <w:t>型</w:t>
      </w:r>
      <w:r>
        <w:rPr>
          <w:spacing w:val="-109"/>
          <w:w w:val="100"/>
          <w:sz w:val="21"/>
        </w:rPr>
        <w:t>）</w:t>
      </w:r>
      <w:r>
        <w:rPr>
          <w:w w:val="100"/>
          <w:sz w:val="21"/>
        </w:rPr>
        <w:t>》</w:t>
      </w:r>
      <w:r>
        <w:rPr>
          <w:spacing w:val="-3"/>
          <w:w w:val="100"/>
          <w:sz w:val="21"/>
        </w:rPr>
        <w:t>同</w:t>
      </w:r>
      <w:r>
        <w:rPr>
          <w:w w:val="100"/>
          <w:sz w:val="21"/>
        </w:rPr>
        <w:t>时</w:t>
      </w:r>
      <w:r>
        <w:rPr>
          <w:spacing w:val="-3"/>
          <w:w w:val="100"/>
          <w:sz w:val="21"/>
        </w:rPr>
        <w:t>投保</w:t>
      </w:r>
      <w:r>
        <w:rPr>
          <w:w w:val="100"/>
          <w:sz w:val="21"/>
        </w:rPr>
        <w:t> </w:t>
      </w:r>
      <w:r>
        <w:rPr>
          <w:sz w:val="21"/>
        </w:rPr>
        <w:tab/>
      </w:r>
      <w:r>
        <w:rPr>
          <w:w w:val="100"/>
          <w:sz w:val="21"/>
        </w:rPr>
        <w:t>1</w:t>
      </w:r>
      <w:r>
        <w:rPr>
          <w:spacing w:val="-3"/>
          <w:w w:val="100"/>
          <w:sz w:val="21"/>
        </w:rPr>
        <w:t>.1</w:t>
      </w:r>
    </w:p>
    <w:p>
      <w:pPr>
        <w:pStyle w:val="ListParagraph"/>
        <w:numPr>
          <w:ilvl w:val="0"/>
          <w:numId w:val="1"/>
        </w:numPr>
        <w:tabs>
          <w:tab w:pos="1531" w:val="left" w:leader="none"/>
          <w:tab w:pos="1532" w:val="left" w:leader="none"/>
          <w:tab w:pos="9726" w:val="right" w:leader="dot"/>
        </w:tabs>
        <w:spacing w:line="240" w:lineRule="auto" w:before="22" w:after="0"/>
        <w:ind w:left="1531" w:right="0" w:hanging="419"/>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2.2</w:t>
      </w:r>
    </w:p>
    <w:p>
      <w:pPr>
        <w:pStyle w:val="ListParagraph"/>
        <w:numPr>
          <w:ilvl w:val="0"/>
          <w:numId w:val="1"/>
        </w:numPr>
        <w:tabs>
          <w:tab w:pos="1531" w:val="left" w:leader="none"/>
          <w:tab w:pos="1532" w:val="left" w:leader="none"/>
          <w:tab w:pos="9722" w:val="right" w:leader="dot"/>
        </w:tabs>
        <w:spacing w:line="240" w:lineRule="auto" w:before="22" w:after="0"/>
        <w:ind w:left="1531"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150" w:val="left" w:leader="none"/>
        </w:tabs>
        <w:spacing w:before="22"/>
        <w:ind w:left="1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31" w:val="left" w:leader="none"/>
          <w:tab w:pos="1532" w:val="left" w:leader="none"/>
          <w:tab w:pos="9725" w:val="right" w:leader="dot"/>
        </w:tabs>
        <w:spacing w:line="240" w:lineRule="auto" w:before="25" w:after="0"/>
        <w:ind w:left="1531" w:right="0" w:hanging="419"/>
        <w:jc w:val="left"/>
        <w:rPr>
          <w:sz w:val="21"/>
        </w:rPr>
      </w:pPr>
      <w:r>
        <w:rPr>
          <w:sz w:val="21"/>
        </w:rPr>
        <w:t>本附</w:t>
      </w:r>
      <w:r>
        <w:rPr>
          <w:spacing w:val="-3"/>
          <w:sz w:val="21"/>
        </w:rPr>
        <w:t>加</w:t>
      </w:r>
      <w:r>
        <w:rPr>
          <w:sz w:val="21"/>
        </w:rPr>
        <w:t>合</w:t>
      </w:r>
      <w:r>
        <w:rPr>
          <w:spacing w:val="-3"/>
          <w:sz w:val="21"/>
        </w:rPr>
        <w:t>同</w:t>
      </w:r>
      <w:r>
        <w:rPr>
          <w:sz w:val="21"/>
        </w:rPr>
        <w:t>保</w:t>
      </w:r>
      <w:r>
        <w:rPr>
          <w:spacing w:val="-3"/>
          <w:sz w:val="21"/>
        </w:rPr>
        <w:t>障</w:t>
      </w:r>
      <w:r>
        <w:rPr>
          <w:sz w:val="21"/>
        </w:rPr>
        <w:t>的</w:t>
      </w:r>
      <w:r>
        <w:rPr>
          <w:spacing w:val="-3"/>
          <w:sz w:val="21"/>
        </w:rPr>
        <w:t>首</w:t>
      </w:r>
      <w:r>
        <w:rPr>
          <w:sz w:val="21"/>
        </w:rPr>
        <w:t>次</w:t>
      </w:r>
      <w:r>
        <w:rPr>
          <w:spacing w:val="-3"/>
          <w:sz w:val="21"/>
        </w:rPr>
        <w:t>重</w:t>
      </w:r>
      <w:r>
        <w:rPr>
          <w:sz w:val="21"/>
        </w:rPr>
        <w:t>大疾</w:t>
      </w:r>
      <w:r>
        <w:rPr>
          <w:spacing w:val="-3"/>
          <w:sz w:val="21"/>
        </w:rPr>
        <w:t>病</w:t>
      </w:r>
      <w:r>
        <w:rPr>
          <w:sz w:val="21"/>
        </w:rPr>
        <w:t>有90日</w:t>
      </w:r>
      <w:r>
        <w:rPr>
          <w:spacing w:val="-3"/>
          <w:sz w:val="21"/>
        </w:rPr>
        <w:t>的</w:t>
      </w:r>
      <w:r>
        <w:rPr>
          <w:sz w:val="21"/>
        </w:rPr>
        <w:t>等</w:t>
      </w:r>
      <w:r>
        <w:rPr>
          <w:spacing w:val="-3"/>
          <w:sz w:val="21"/>
        </w:rPr>
        <w:t>待期</w:t>
        <w:tab/>
      </w:r>
      <w:r>
        <w:rPr>
          <w:sz w:val="21"/>
        </w:rPr>
        <w:t>2.2</w:t>
      </w:r>
    </w:p>
    <w:p>
      <w:pPr>
        <w:pStyle w:val="ListParagraph"/>
        <w:numPr>
          <w:ilvl w:val="0"/>
          <w:numId w:val="1"/>
        </w:numPr>
        <w:tabs>
          <w:tab w:pos="1531" w:val="left" w:leader="none"/>
          <w:tab w:pos="1532" w:val="left" w:leader="none"/>
          <w:tab w:pos="9725" w:val="right" w:leader="dot"/>
        </w:tabs>
        <w:spacing w:line="240" w:lineRule="auto" w:before="21" w:after="0"/>
        <w:ind w:left="1531" w:right="0" w:hanging="419"/>
        <w:jc w:val="left"/>
        <w:rPr>
          <w:sz w:val="21"/>
        </w:rPr>
      </w:pPr>
      <w:r>
        <w:rPr>
          <w:sz w:val="21"/>
        </w:rPr>
        <w:t>本附</w:t>
      </w:r>
      <w:r>
        <w:rPr>
          <w:spacing w:val="-3"/>
          <w:sz w:val="21"/>
        </w:rPr>
        <w:t>加</w:t>
      </w:r>
      <w:r>
        <w:rPr>
          <w:sz w:val="21"/>
        </w:rPr>
        <w:t>合</w:t>
      </w:r>
      <w:r>
        <w:rPr>
          <w:spacing w:val="-3"/>
          <w:sz w:val="21"/>
        </w:rPr>
        <w:t>同</w:t>
      </w:r>
      <w:r>
        <w:rPr>
          <w:sz w:val="21"/>
        </w:rPr>
        <w:t>保</w:t>
      </w:r>
      <w:r>
        <w:rPr>
          <w:spacing w:val="-3"/>
          <w:sz w:val="21"/>
        </w:rPr>
        <w:t>障</w:t>
      </w:r>
      <w:r>
        <w:rPr>
          <w:sz w:val="21"/>
        </w:rPr>
        <w:t>的</w:t>
      </w:r>
      <w:r>
        <w:rPr>
          <w:spacing w:val="-3"/>
          <w:sz w:val="21"/>
        </w:rPr>
        <w:t>第</w:t>
      </w:r>
      <w:r>
        <w:rPr>
          <w:sz w:val="21"/>
        </w:rPr>
        <w:t>二</w:t>
      </w:r>
      <w:r>
        <w:rPr>
          <w:spacing w:val="-3"/>
          <w:sz w:val="21"/>
        </w:rPr>
        <w:t>次</w:t>
      </w:r>
      <w:r>
        <w:rPr>
          <w:sz w:val="21"/>
        </w:rPr>
        <w:t>和第</w:t>
      </w:r>
      <w:r>
        <w:rPr>
          <w:spacing w:val="-3"/>
          <w:sz w:val="21"/>
        </w:rPr>
        <w:t>三</w:t>
      </w:r>
      <w:r>
        <w:rPr>
          <w:sz w:val="21"/>
        </w:rPr>
        <w:t>次</w:t>
      </w:r>
      <w:r>
        <w:rPr>
          <w:spacing w:val="-3"/>
          <w:sz w:val="21"/>
        </w:rPr>
        <w:t>重</w:t>
      </w:r>
      <w:r>
        <w:rPr>
          <w:sz w:val="21"/>
        </w:rPr>
        <w:t>大</w:t>
      </w:r>
      <w:r>
        <w:rPr>
          <w:spacing w:val="-3"/>
          <w:sz w:val="21"/>
        </w:rPr>
        <w:t>疾</w:t>
      </w:r>
      <w:r>
        <w:rPr>
          <w:sz w:val="21"/>
        </w:rPr>
        <w:t>病</w:t>
      </w:r>
      <w:r>
        <w:rPr>
          <w:spacing w:val="-3"/>
          <w:sz w:val="21"/>
        </w:rPr>
        <w:t>均</w:t>
      </w:r>
      <w:r>
        <w:rPr>
          <w:sz w:val="21"/>
        </w:rPr>
        <w:t>有365日的</w:t>
      </w:r>
      <w:r>
        <w:rPr>
          <w:spacing w:val="-3"/>
          <w:sz w:val="21"/>
        </w:rPr>
        <w:t>等</w:t>
      </w:r>
      <w:r>
        <w:rPr>
          <w:sz w:val="21"/>
        </w:rPr>
        <w:t>待</w:t>
      </w:r>
      <w:r>
        <w:rPr>
          <w:spacing w:val="-3"/>
          <w:sz w:val="21"/>
        </w:rPr>
        <w:t>期</w:t>
      </w:r>
      <w:r>
        <w:rPr>
          <w:sz w:val="21"/>
        </w:rPr>
        <w:t>和28日</w:t>
      </w:r>
      <w:r>
        <w:rPr>
          <w:spacing w:val="-3"/>
          <w:sz w:val="21"/>
        </w:rPr>
        <w:t>的</w:t>
      </w:r>
      <w:r>
        <w:rPr>
          <w:sz w:val="21"/>
        </w:rPr>
        <w:t>生</w:t>
      </w:r>
      <w:r>
        <w:rPr>
          <w:spacing w:val="-3"/>
          <w:sz w:val="21"/>
        </w:rPr>
        <w:t>存期</w:t>
        <w:tab/>
      </w:r>
      <w:r>
        <w:rPr>
          <w:sz w:val="21"/>
        </w:rPr>
        <w:t>2.2</w:t>
      </w:r>
    </w:p>
    <w:p>
      <w:pPr>
        <w:pStyle w:val="ListParagraph"/>
        <w:numPr>
          <w:ilvl w:val="0"/>
          <w:numId w:val="1"/>
        </w:numPr>
        <w:tabs>
          <w:tab w:pos="1531" w:val="left" w:leader="none"/>
          <w:tab w:pos="1532" w:val="left" w:leader="none"/>
          <w:tab w:pos="9723" w:val="right" w:leader="dot"/>
        </w:tabs>
        <w:spacing w:line="240" w:lineRule="auto" w:before="21" w:after="0"/>
        <w:ind w:left="1531" w:right="0" w:hanging="419"/>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2.3</w:t>
      </w:r>
    </w:p>
    <w:p>
      <w:pPr>
        <w:pStyle w:val="ListParagraph"/>
        <w:numPr>
          <w:ilvl w:val="0"/>
          <w:numId w:val="1"/>
        </w:numPr>
        <w:tabs>
          <w:tab w:pos="1531" w:val="left" w:leader="none"/>
          <w:tab w:pos="1532" w:val="left" w:leader="none"/>
          <w:tab w:pos="9725" w:val="right" w:leader="dot"/>
        </w:tabs>
        <w:spacing w:line="240" w:lineRule="auto" w:before="21" w:after="0"/>
        <w:ind w:left="1531"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531" w:val="left" w:leader="none"/>
          <w:tab w:pos="1532" w:val="left" w:leader="none"/>
          <w:tab w:pos="9725" w:val="right" w:leader="dot"/>
        </w:tabs>
        <w:spacing w:line="240" w:lineRule="auto" w:before="21" w:after="0"/>
        <w:ind w:left="1531" w:right="0" w:hanging="420"/>
        <w:jc w:val="left"/>
        <w:rPr>
          <w:sz w:val="21"/>
        </w:rPr>
      </w:pPr>
      <w:r>
        <w:rPr>
          <w:sz w:val="21"/>
        </w:rPr>
        <w:t>主合</w:t>
      </w:r>
      <w:r>
        <w:rPr>
          <w:spacing w:val="-3"/>
          <w:sz w:val="21"/>
        </w:rPr>
        <w:t>同</w:t>
      </w:r>
      <w:r>
        <w:rPr>
          <w:sz w:val="21"/>
        </w:rPr>
        <w:t>的</w:t>
      </w:r>
      <w:r>
        <w:rPr>
          <w:spacing w:val="-3"/>
          <w:sz w:val="21"/>
        </w:rPr>
        <w:t>部</w:t>
      </w:r>
      <w:r>
        <w:rPr>
          <w:sz w:val="21"/>
        </w:rPr>
        <w:t>分</w:t>
      </w:r>
      <w:r>
        <w:rPr>
          <w:spacing w:val="-3"/>
          <w:sz w:val="21"/>
        </w:rPr>
        <w:t>条</w:t>
      </w:r>
      <w:r>
        <w:rPr>
          <w:sz w:val="21"/>
        </w:rPr>
        <w:t>款</w:t>
      </w:r>
      <w:r>
        <w:rPr>
          <w:spacing w:val="-3"/>
          <w:sz w:val="21"/>
        </w:rPr>
        <w:t>适</w:t>
      </w:r>
      <w:r>
        <w:rPr>
          <w:sz w:val="21"/>
        </w:rPr>
        <w:t>用</w:t>
      </w:r>
      <w:r>
        <w:rPr>
          <w:spacing w:val="-3"/>
          <w:sz w:val="21"/>
        </w:rPr>
        <w:t>于</w:t>
      </w:r>
      <w:r>
        <w:rPr>
          <w:sz w:val="21"/>
        </w:rPr>
        <w:t>本附</w:t>
      </w:r>
      <w:r>
        <w:rPr>
          <w:spacing w:val="-3"/>
          <w:sz w:val="21"/>
        </w:rPr>
        <w:t>加</w:t>
      </w:r>
      <w:r>
        <w:rPr>
          <w:sz w:val="21"/>
        </w:rPr>
        <w:t>合</w:t>
      </w:r>
      <w:r>
        <w:rPr>
          <w:spacing w:val="-3"/>
          <w:sz w:val="21"/>
        </w:rPr>
        <w:t>同</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tab/>
        <w:t>7.3</w:t>
      </w:r>
    </w:p>
    <w:p>
      <w:pPr>
        <w:pStyle w:val="ListParagraph"/>
        <w:numPr>
          <w:ilvl w:val="0"/>
          <w:numId w:val="1"/>
        </w:numPr>
        <w:tabs>
          <w:tab w:pos="1531" w:val="left" w:leader="none"/>
          <w:tab w:pos="1532" w:val="left" w:leader="none"/>
          <w:tab w:pos="9517" w:val="right" w:leader="dot"/>
        </w:tabs>
        <w:spacing w:line="240" w:lineRule="auto" w:before="21" w:after="0"/>
        <w:ind w:left="1531"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8</w:t>
      </w:r>
    </w:p>
    <w:p>
      <w:pPr>
        <w:pStyle w:val="ListParagraph"/>
        <w:numPr>
          <w:ilvl w:val="0"/>
          <w:numId w:val="1"/>
        </w:numPr>
        <w:tabs>
          <w:tab w:pos="1531" w:val="left" w:leader="none"/>
          <w:tab w:pos="1532" w:val="left" w:leader="none"/>
        </w:tabs>
        <w:spacing w:line="240" w:lineRule="auto" w:before="21" w:after="0"/>
        <w:ind w:left="1531" w:right="0" w:hanging="420"/>
        <w:jc w:val="left"/>
        <w:rPr>
          <w:sz w:val="21"/>
        </w:rPr>
      </w:pPr>
      <w:r>
        <w:rPr>
          <w:spacing w:val="-5"/>
          <w:sz w:val="21"/>
        </w:rPr>
        <w:t>本公司对保障范围内的重大疾病做了定义，请您仔细阅读.........................附录一</w:t>
      </w:r>
    </w:p>
    <w:p>
      <w:pPr>
        <w:pStyle w:val="ListParagraph"/>
        <w:numPr>
          <w:ilvl w:val="0"/>
          <w:numId w:val="1"/>
        </w:numPr>
        <w:tabs>
          <w:tab w:pos="1531" w:val="left" w:leader="none"/>
          <w:tab w:pos="1532" w:val="left" w:leader="none"/>
        </w:tabs>
        <w:spacing w:line="240" w:lineRule="auto" w:before="21" w:after="0"/>
        <w:ind w:left="1531" w:right="0" w:hanging="420"/>
        <w:jc w:val="left"/>
        <w:rPr>
          <w:sz w:val="21"/>
        </w:rPr>
      </w:pPr>
      <w:r>
        <w:rPr>
          <w:spacing w:val="-5"/>
          <w:sz w:val="21"/>
        </w:rPr>
        <w:t>本公司对保障范围内的重大疾病做了分组，请您仔细阅读.........................附录二</w:t>
      </w:r>
    </w:p>
    <w:p>
      <w:pPr>
        <w:pStyle w:val="ListParagraph"/>
        <w:numPr>
          <w:ilvl w:val="0"/>
          <w:numId w:val="1"/>
        </w:numPr>
        <w:tabs>
          <w:tab w:pos="1531" w:val="left" w:leader="none"/>
          <w:tab w:pos="1532" w:val="left" w:leader="none"/>
        </w:tabs>
        <w:spacing w:line="240" w:lineRule="auto" w:before="19" w:after="0"/>
        <w:ind w:left="1531" w:right="0" w:hanging="419"/>
        <w:jc w:val="left"/>
        <w:rPr>
          <w:sz w:val="21"/>
        </w:rPr>
      </w:pPr>
      <w:r>
        <w:rPr>
          <w:spacing w:val="-5"/>
          <w:sz w:val="21"/>
        </w:rPr>
        <w:t>本公司对保障范围内的轻症疾病做了定义，请您仔细阅读.........................附录三</w:t>
      </w:r>
    </w:p>
    <w:p>
      <w:pPr>
        <w:tabs>
          <w:tab w:pos="1150" w:val="left" w:leader="none"/>
        </w:tabs>
        <w:spacing w:before="22"/>
        <w:ind w:left="1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150" w:val="left" w:leader="none"/>
        </w:tabs>
        <w:spacing w:before="25"/>
        <w:ind w:left="140" w:right="0" w:firstLine="0"/>
        <w:jc w:val="left"/>
        <w:rPr>
          <w:b/>
          <w:sz w:val="21"/>
        </w:rPr>
      </w:pPr>
      <w:r>
        <w:rPr/>
        <w:pict>
          <v:rect style="position:absolute;margin-left:68.900002pt;margin-top:29.897688pt;width:459.6pt;height:243pt;mso-position-horizontal-relative:page;mso-position-vertical-relative:paragraph;z-index:-64816" filled="false" stroked="true" strokeweight=".75pt" strokecolor="#000000">
            <v:stroke dashstyle="dot"/>
            <w10:wrap type="none"/>
          </v:rect>
        </w:pict>
      </w: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00" w:bottom="280" w:left="880" w:right="880"/>
        </w:sectPr>
      </w:pPr>
    </w:p>
    <w:p>
      <w:pPr>
        <w:spacing w:line="341" w:lineRule="exact" w:before="30"/>
        <w:ind w:left="953" w:right="0" w:firstLine="0"/>
        <w:jc w:val="left"/>
        <w:rPr>
          <w:rFonts w:ascii="Microsoft JhengHei" w:eastAsia="Microsoft JhengHei" w:hint="eastAsia"/>
          <w:b/>
          <w:sz w:val="21"/>
        </w:rPr>
      </w:pPr>
      <w:r>
        <w:rPr>
          <w:rFonts w:ascii="Microsoft JhengHei" w:eastAsia="Microsoft JhengHei" w:hint="eastAsia"/>
          <w:b/>
          <w:w w:val="95"/>
          <w:sz w:val="21"/>
        </w:rPr>
        <w:t>1．您与本公司订立的合同</w:t>
      </w:r>
    </w:p>
    <w:p>
      <w:pPr>
        <w:pStyle w:val="BodyText"/>
        <w:spacing w:line="204" w:lineRule="exact"/>
        <w:ind w:left="1164"/>
      </w:pPr>
      <w:r>
        <w:rPr/>
        <w:t>1.1 合同构成</w:t>
      </w:r>
    </w:p>
    <w:p>
      <w:pPr>
        <w:spacing w:line="296" w:lineRule="exact" w:before="0"/>
        <w:ind w:left="953" w:right="0" w:firstLine="0"/>
        <w:jc w:val="left"/>
        <w:rPr>
          <w:rFonts w:ascii="Microsoft JhengHei" w:eastAsia="Microsoft JhengHei" w:hint="eastAsia"/>
          <w:b/>
          <w:sz w:val="21"/>
        </w:rPr>
      </w:pPr>
      <w:r>
        <w:rPr>
          <w:rFonts w:ascii="Microsoft JhengHei" w:eastAsia="Microsoft JhengHei" w:hint="eastAsia"/>
          <w:b/>
          <w:w w:val="95"/>
          <w:sz w:val="21"/>
        </w:rPr>
        <w:t>2．本公司提供的保障</w:t>
      </w:r>
    </w:p>
    <w:p>
      <w:pPr>
        <w:pStyle w:val="ListParagraph"/>
        <w:numPr>
          <w:ilvl w:val="1"/>
          <w:numId w:val="2"/>
        </w:numPr>
        <w:tabs>
          <w:tab w:pos="1588" w:val="left" w:leader="none"/>
        </w:tabs>
        <w:spacing w:line="239" w:lineRule="exact" w:before="0" w:after="0"/>
        <w:ind w:left="953" w:right="0" w:firstLine="211"/>
        <w:jc w:val="left"/>
        <w:rPr>
          <w:sz w:val="21"/>
        </w:rPr>
      </w:pPr>
      <w:r>
        <w:rPr>
          <w:spacing w:val="-3"/>
          <w:sz w:val="21"/>
        </w:rPr>
        <w:t>基本保险金额</w:t>
      </w:r>
    </w:p>
    <w:p>
      <w:pPr>
        <w:pStyle w:val="ListParagraph"/>
        <w:numPr>
          <w:ilvl w:val="1"/>
          <w:numId w:val="2"/>
        </w:numPr>
        <w:tabs>
          <w:tab w:pos="1588" w:val="left" w:leader="none"/>
        </w:tabs>
        <w:spacing w:line="250" w:lineRule="exact" w:before="0" w:after="0"/>
        <w:ind w:left="953" w:right="0" w:firstLine="211"/>
        <w:jc w:val="left"/>
        <w:rPr>
          <w:sz w:val="21"/>
        </w:rPr>
      </w:pPr>
      <w:r>
        <w:rPr>
          <w:spacing w:val="-3"/>
          <w:sz w:val="21"/>
        </w:rPr>
        <w:t>保险责任</w:t>
      </w:r>
    </w:p>
    <w:p>
      <w:pPr>
        <w:pStyle w:val="ListParagraph"/>
        <w:numPr>
          <w:ilvl w:val="1"/>
          <w:numId w:val="2"/>
        </w:numPr>
        <w:tabs>
          <w:tab w:pos="1588" w:val="left" w:leader="none"/>
        </w:tabs>
        <w:spacing w:line="175" w:lineRule="auto" w:before="61" w:after="0"/>
        <w:ind w:left="953" w:right="938" w:firstLine="211"/>
        <w:jc w:val="left"/>
        <w:rPr>
          <w:rFonts w:ascii="Microsoft JhengHei" w:eastAsia="Microsoft JhengHei" w:hint="eastAsia"/>
          <w:b/>
          <w:sz w:val="21"/>
        </w:rPr>
      </w:pPr>
      <w:r>
        <w:rPr>
          <w:spacing w:val="-3"/>
          <w:sz w:val="21"/>
        </w:rPr>
        <w:t>责任免除</w:t>
      </w:r>
      <w:r>
        <w:rPr>
          <w:rFonts w:ascii="Microsoft JhengHei" w:eastAsia="Microsoft JhengHei" w:hint="eastAsia"/>
          <w:b/>
          <w:w w:val="95"/>
          <w:sz w:val="21"/>
        </w:rPr>
        <w:t>3．保险金的申请</w:t>
      </w:r>
    </w:p>
    <w:p>
      <w:pPr>
        <w:pStyle w:val="ListParagraph"/>
        <w:numPr>
          <w:ilvl w:val="1"/>
          <w:numId w:val="3"/>
        </w:numPr>
        <w:tabs>
          <w:tab w:pos="1588" w:val="left" w:leader="none"/>
        </w:tabs>
        <w:spacing w:line="213" w:lineRule="exact" w:before="0" w:after="0"/>
        <w:ind w:left="953" w:right="0" w:firstLine="211"/>
        <w:jc w:val="left"/>
        <w:rPr>
          <w:sz w:val="21"/>
        </w:rPr>
      </w:pPr>
      <w:r>
        <w:rPr>
          <w:spacing w:val="-2"/>
          <w:sz w:val="21"/>
        </w:rPr>
        <w:t>受益人</w:t>
      </w:r>
    </w:p>
    <w:p>
      <w:pPr>
        <w:pStyle w:val="ListParagraph"/>
        <w:numPr>
          <w:ilvl w:val="1"/>
          <w:numId w:val="3"/>
        </w:numPr>
        <w:tabs>
          <w:tab w:pos="1588" w:val="left" w:leader="none"/>
        </w:tabs>
        <w:spacing w:line="251" w:lineRule="exact" w:before="0" w:after="0"/>
        <w:ind w:left="953" w:right="0" w:firstLine="211"/>
        <w:jc w:val="left"/>
        <w:rPr>
          <w:sz w:val="21"/>
        </w:rPr>
      </w:pPr>
      <w:r>
        <w:rPr>
          <w:spacing w:val="-3"/>
          <w:sz w:val="21"/>
        </w:rPr>
        <w:t>保险金申请</w:t>
      </w:r>
    </w:p>
    <w:p>
      <w:pPr>
        <w:pStyle w:val="ListParagraph"/>
        <w:numPr>
          <w:ilvl w:val="1"/>
          <w:numId w:val="3"/>
        </w:numPr>
        <w:tabs>
          <w:tab w:pos="1588" w:val="left" w:leader="none"/>
        </w:tabs>
        <w:spacing w:line="175" w:lineRule="auto" w:before="62" w:after="0"/>
        <w:ind w:left="953" w:right="938" w:firstLine="211"/>
        <w:jc w:val="left"/>
        <w:rPr>
          <w:rFonts w:ascii="Microsoft JhengHei" w:eastAsia="Microsoft JhengHei" w:hint="eastAsia"/>
          <w:b/>
          <w:sz w:val="21"/>
        </w:rPr>
      </w:pPr>
      <w:r>
        <w:rPr>
          <w:spacing w:val="-3"/>
          <w:sz w:val="21"/>
        </w:rPr>
        <w:t>诉讼时效</w:t>
      </w:r>
      <w:r>
        <w:rPr>
          <w:rFonts w:ascii="Microsoft JhengHei" w:eastAsia="Microsoft JhengHei" w:hint="eastAsia"/>
          <w:b/>
          <w:w w:val="95"/>
          <w:sz w:val="21"/>
        </w:rPr>
        <w:t>4．现金价值权益</w:t>
      </w:r>
    </w:p>
    <w:p>
      <w:pPr>
        <w:pStyle w:val="BodyText"/>
        <w:spacing w:line="180" w:lineRule="exact"/>
        <w:ind w:left="1164"/>
      </w:pPr>
      <w:r>
        <w:rPr/>
        <w:t>4.1 现金价值</w:t>
      </w:r>
    </w:p>
    <w:p>
      <w:pPr>
        <w:spacing w:line="295" w:lineRule="exact" w:before="0"/>
        <w:ind w:left="953" w:right="0" w:firstLine="0"/>
        <w:jc w:val="left"/>
        <w:rPr>
          <w:rFonts w:ascii="Microsoft JhengHei" w:eastAsia="Microsoft JhengHei" w:hint="eastAsia"/>
          <w:b/>
          <w:sz w:val="21"/>
        </w:rPr>
      </w:pPr>
      <w:r>
        <w:rPr>
          <w:rFonts w:ascii="Microsoft JhengHei" w:eastAsia="Microsoft JhengHei" w:hint="eastAsia"/>
          <w:b/>
          <w:w w:val="95"/>
          <w:sz w:val="21"/>
        </w:rPr>
        <w:t>5．合同效力的中止及恢复</w:t>
      </w:r>
    </w:p>
    <w:p>
      <w:pPr>
        <w:pStyle w:val="ListParagraph"/>
        <w:numPr>
          <w:ilvl w:val="1"/>
          <w:numId w:val="4"/>
        </w:numPr>
        <w:tabs>
          <w:tab w:pos="1588" w:val="left" w:leader="none"/>
        </w:tabs>
        <w:spacing w:line="238" w:lineRule="exact" w:before="0" w:after="0"/>
        <w:ind w:left="953" w:right="0" w:firstLine="211"/>
        <w:jc w:val="left"/>
        <w:rPr>
          <w:sz w:val="21"/>
        </w:rPr>
      </w:pPr>
      <w:r>
        <w:rPr>
          <w:spacing w:val="-3"/>
          <w:sz w:val="21"/>
        </w:rPr>
        <w:t>效力中止</w:t>
      </w:r>
    </w:p>
    <w:p>
      <w:pPr>
        <w:pStyle w:val="ListParagraph"/>
        <w:numPr>
          <w:ilvl w:val="1"/>
          <w:numId w:val="4"/>
        </w:numPr>
        <w:tabs>
          <w:tab w:pos="1588" w:val="left" w:leader="none"/>
        </w:tabs>
        <w:spacing w:line="177" w:lineRule="auto" w:before="59" w:after="0"/>
        <w:ind w:left="953" w:right="1051" w:firstLine="211"/>
        <w:jc w:val="left"/>
        <w:rPr>
          <w:rFonts w:ascii="Microsoft JhengHei" w:eastAsia="Microsoft JhengHei" w:hint="eastAsia"/>
          <w:b/>
          <w:sz w:val="21"/>
        </w:rPr>
      </w:pPr>
      <w:r>
        <w:rPr>
          <w:spacing w:val="-3"/>
          <w:sz w:val="21"/>
        </w:rPr>
        <w:t>效力恢复</w:t>
      </w:r>
      <w:r>
        <w:rPr>
          <w:rFonts w:ascii="Microsoft JhengHei" w:eastAsia="Microsoft JhengHei" w:hint="eastAsia"/>
          <w:b/>
          <w:w w:val="95"/>
          <w:sz w:val="21"/>
        </w:rPr>
        <w:t>6．合同解除</w:t>
      </w:r>
    </w:p>
    <w:p>
      <w:pPr>
        <w:pStyle w:val="BodyText"/>
        <w:spacing w:line="212" w:lineRule="exact"/>
        <w:ind w:left="1164"/>
      </w:pPr>
      <w:r>
        <w:rPr/>
        <w:t>6.1 您解除合同的手续及</w:t>
      </w:r>
    </w:p>
    <w:p>
      <w:pPr>
        <w:pStyle w:val="BodyText"/>
        <w:spacing w:line="261" w:lineRule="exact"/>
        <w:ind w:left="1566" w:right="1453"/>
        <w:jc w:val="center"/>
      </w:pPr>
      <w:r>
        <w:rPr/>
        <w:t>风险</w:t>
      </w:r>
    </w:p>
    <w:p>
      <w:pPr>
        <w:spacing w:line="341" w:lineRule="exact" w:before="30"/>
        <w:ind w:left="274" w:right="0" w:firstLine="0"/>
        <w:jc w:val="left"/>
        <w:rPr>
          <w:rFonts w:ascii="Microsoft JhengHei" w:eastAsia="Microsoft JhengHei" w:hint="eastAsia"/>
          <w:b/>
          <w:sz w:val="21"/>
        </w:rPr>
      </w:pPr>
      <w:r>
        <w:rPr/>
        <w:br w:type="column"/>
      </w:r>
      <w:r>
        <w:rPr>
          <w:rFonts w:ascii="Microsoft JhengHei" w:eastAsia="Microsoft JhengHei" w:hint="eastAsia"/>
          <w:b/>
          <w:w w:val="95"/>
          <w:sz w:val="21"/>
        </w:rPr>
        <w:t>7．其他需要关注的事项</w:t>
      </w:r>
    </w:p>
    <w:p>
      <w:pPr>
        <w:pStyle w:val="ListParagraph"/>
        <w:numPr>
          <w:ilvl w:val="1"/>
          <w:numId w:val="5"/>
        </w:numPr>
        <w:tabs>
          <w:tab w:pos="908" w:val="left" w:leader="none"/>
        </w:tabs>
        <w:spacing w:line="238" w:lineRule="exact" w:before="0" w:after="0"/>
        <w:ind w:left="274" w:right="0" w:firstLine="211"/>
        <w:jc w:val="left"/>
        <w:rPr>
          <w:sz w:val="21"/>
        </w:rPr>
      </w:pPr>
      <w:r>
        <w:rPr>
          <w:spacing w:val="-3"/>
          <w:sz w:val="21"/>
        </w:rPr>
        <w:t>就医安排</w:t>
      </w:r>
    </w:p>
    <w:p>
      <w:pPr>
        <w:pStyle w:val="ListParagraph"/>
        <w:numPr>
          <w:ilvl w:val="1"/>
          <w:numId w:val="5"/>
        </w:numPr>
        <w:tabs>
          <w:tab w:pos="908" w:val="left" w:leader="none"/>
        </w:tabs>
        <w:spacing w:line="250" w:lineRule="exact" w:before="0" w:after="0"/>
        <w:ind w:left="274" w:right="0" w:firstLine="211"/>
        <w:jc w:val="left"/>
        <w:rPr>
          <w:sz w:val="21"/>
        </w:rPr>
      </w:pPr>
      <w:r>
        <w:rPr>
          <w:spacing w:val="-3"/>
          <w:sz w:val="21"/>
        </w:rPr>
        <w:t>效力终止</w:t>
      </w:r>
    </w:p>
    <w:p>
      <w:pPr>
        <w:pStyle w:val="ListParagraph"/>
        <w:numPr>
          <w:ilvl w:val="1"/>
          <w:numId w:val="5"/>
        </w:numPr>
        <w:tabs>
          <w:tab w:pos="908" w:val="left" w:leader="none"/>
        </w:tabs>
        <w:spacing w:line="175" w:lineRule="auto" w:before="61" w:after="0"/>
        <w:ind w:left="274" w:right="4246" w:firstLine="211"/>
        <w:jc w:val="left"/>
        <w:rPr>
          <w:rFonts w:ascii="Microsoft JhengHei" w:eastAsia="Microsoft JhengHei" w:hint="eastAsia"/>
          <w:b/>
          <w:sz w:val="21"/>
        </w:rPr>
      </w:pPr>
      <w:r>
        <w:rPr>
          <w:spacing w:val="-3"/>
          <w:sz w:val="21"/>
        </w:rPr>
        <w:t>适用主合同条款</w:t>
      </w:r>
      <w:r>
        <w:rPr>
          <w:rFonts w:ascii="Microsoft JhengHei" w:eastAsia="Microsoft JhengHei" w:hint="eastAsia"/>
          <w:b/>
          <w:spacing w:val="-3"/>
          <w:w w:val="95"/>
          <w:sz w:val="21"/>
        </w:rPr>
        <w:t>8．释义</w:t>
      </w:r>
    </w:p>
    <w:p>
      <w:pPr>
        <w:pStyle w:val="ListParagraph"/>
        <w:numPr>
          <w:ilvl w:val="1"/>
          <w:numId w:val="6"/>
        </w:numPr>
        <w:tabs>
          <w:tab w:pos="908" w:val="left" w:leader="none"/>
        </w:tabs>
        <w:spacing w:line="216" w:lineRule="exact" w:before="0" w:after="0"/>
        <w:ind w:left="905" w:right="0" w:hanging="420"/>
        <w:jc w:val="left"/>
        <w:rPr>
          <w:sz w:val="21"/>
        </w:rPr>
      </w:pPr>
      <w:r>
        <w:rPr>
          <w:spacing w:val="-3"/>
          <w:sz w:val="21"/>
        </w:rPr>
        <w:t>医院</w:t>
      </w:r>
    </w:p>
    <w:p>
      <w:pPr>
        <w:pStyle w:val="ListParagraph"/>
        <w:numPr>
          <w:ilvl w:val="1"/>
          <w:numId w:val="6"/>
        </w:numPr>
        <w:tabs>
          <w:tab w:pos="908" w:val="left" w:leader="none"/>
        </w:tabs>
        <w:spacing w:line="250" w:lineRule="exact" w:before="0" w:after="0"/>
        <w:ind w:left="905" w:right="0" w:hanging="420"/>
        <w:jc w:val="left"/>
        <w:rPr>
          <w:sz w:val="21"/>
        </w:rPr>
      </w:pPr>
      <w:r>
        <w:rPr>
          <w:spacing w:val="-3"/>
          <w:sz w:val="21"/>
        </w:rPr>
        <w:t>专科医生</w:t>
      </w:r>
    </w:p>
    <w:p>
      <w:pPr>
        <w:pStyle w:val="ListParagraph"/>
        <w:numPr>
          <w:ilvl w:val="1"/>
          <w:numId w:val="6"/>
        </w:numPr>
        <w:tabs>
          <w:tab w:pos="928" w:val="left" w:leader="none"/>
        </w:tabs>
        <w:spacing w:line="218" w:lineRule="auto" w:before="12" w:after="0"/>
        <w:ind w:left="905" w:right="3409" w:hanging="420"/>
        <w:jc w:val="left"/>
        <w:rPr>
          <w:sz w:val="21"/>
        </w:rPr>
      </w:pPr>
      <w:r>
        <w:rPr>
          <w:spacing w:val="15"/>
          <w:sz w:val="21"/>
        </w:rPr>
        <w:t>感染艾滋病病毒或患艾滋病</w:t>
      </w:r>
    </w:p>
    <w:p>
      <w:pPr>
        <w:pStyle w:val="ListParagraph"/>
        <w:numPr>
          <w:ilvl w:val="1"/>
          <w:numId w:val="6"/>
        </w:numPr>
        <w:tabs>
          <w:tab w:pos="909" w:val="left" w:leader="none"/>
        </w:tabs>
        <w:spacing w:line="237" w:lineRule="exact" w:before="0" w:after="0"/>
        <w:ind w:left="908" w:right="0" w:hanging="423"/>
        <w:jc w:val="left"/>
        <w:rPr>
          <w:sz w:val="21"/>
        </w:rPr>
      </w:pPr>
      <w:r>
        <w:rPr>
          <w:spacing w:val="-3"/>
          <w:sz w:val="21"/>
        </w:rPr>
        <w:t>遗传性疾病</w:t>
      </w:r>
    </w:p>
    <w:p>
      <w:pPr>
        <w:pStyle w:val="ListParagraph"/>
        <w:numPr>
          <w:ilvl w:val="1"/>
          <w:numId w:val="6"/>
        </w:numPr>
        <w:tabs>
          <w:tab w:pos="909" w:val="left" w:leader="none"/>
        </w:tabs>
        <w:spacing w:line="220" w:lineRule="auto" w:before="9" w:after="0"/>
        <w:ind w:left="905" w:right="3408" w:hanging="420"/>
        <w:jc w:val="left"/>
        <w:rPr>
          <w:sz w:val="21"/>
        </w:rPr>
      </w:pPr>
      <w:r>
        <w:rPr>
          <w:spacing w:val="-3"/>
          <w:sz w:val="21"/>
        </w:rPr>
        <w:t>先天性畸形、变形或染色体异常</w:t>
      </w:r>
    </w:p>
    <w:p>
      <w:pPr>
        <w:pStyle w:val="ListParagraph"/>
        <w:numPr>
          <w:ilvl w:val="1"/>
          <w:numId w:val="6"/>
        </w:numPr>
        <w:tabs>
          <w:tab w:pos="909" w:val="left" w:leader="none"/>
        </w:tabs>
        <w:spacing w:line="175" w:lineRule="auto" w:before="48" w:after="0"/>
        <w:ind w:left="274" w:right="4246" w:firstLine="211"/>
        <w:jc w:val="left"/>
        <w:rPr>
          <w:rFonts w:ascii="Microsoft JhengHei" w:eastAsia="Microsoft JhengHei" w:hint="eastAsia"/>
          <w:b/>
          <w:sz w:val="21"/>
        </w:rPr>
      </w:pPr>
      <w:r>
        <w:rPr>
          <w:spacing w:val="-3"/>
          <w:sz w:val="21"/>
        </w:rPr>
        <w:t>适用主合同释义</w:t>
      </w:r>
      <w:r>
        <w:rPr>
          <w:rFonts w:ascii="Microsoft JhengHei" w:eastAsia="Microsoft JhengHei" w:hint="eastAsia"/>
          <w:b/>
          <w:spacing w:val="-1"/>
          <w:sz w:val="21"/>
        </w:rPr>
        <w:t>附录一  重大疾病列表</w:t>
      </w:r>
    </w:p>
    <w:p>
      <w:pPr>
        <w:spacing w:line="163" w:lineRule="auto" w:before="0"/>
        <w:ind w:left="274" w:right="3925" w:firstLine="0"/>
        <w:jc w:val="left"/>
        <w:rPr>
          <w:rFonts w:ascii="Microsoft JhengHei" w:eastAsia="Microsoft JhengHei" w:hint="eastAsia"/>
          <w:b/>
          <w:sz w:val="21"/>
        </w:rPr>
      </w:pPr>
      <w:r>
        <w:rPr>
          <w:rFonts w:ascii="Microsoft JhengHei" w:eastAsia="Microsoft JhengHei" w:hint="eastAsia"/>
          <w:b/>
          <w:sz w:val="21"/>
        </w:rPr>
        <w:t>附录二 重大疾病所属组别附录三  轻症疾病列表</w:t>
      </w:r>
    </w:p>
    <w:p>
      <w:pPr>
        <w:spacing w:after="0" w:line="163" w:lineRule="auto"/>
        <w:jc w:val="left"/>
        <w:rPr>
          <w:rFonts w:ascii="Microsoft JhengHei" w:eastAsia="Microsoft JhengHei" w:hint="eastAsia"/>
          <w:sz w:val="21"/>
        </w:rPr>
        <w:sectPr>
          <w:type w:val="continuous"/>
          <w:pgSz w:w="11910" w:h="16840"/>
          <w:pgMar w:top="500" w:bottom="280" w:left="880" w:right="880"/>
          <w:cols w:num="2" w:equalWidth="0">
            <w:col w:w="3479" w:space="40"/>
            <w:col w:w="6631"/>
          </w:cols>
        </w:sectPr>
      </w:pPr>
    </w:p>
    <w:p>
      <w:pPr>
        <w:pStyle w:val="Heading1"/>
        <w:spacing w:line="478" w:lineRule="exact"/>
        <w:ind w:left="3229"/>
      </w:pPr>
      <w:bookmarkStart w:name="交银康联人寿保险有限公司" w:id="2"/>
      <w:bookmarkEnd w:id="2"/>
      <w:r>
        <w:rPr>
          <w:b w:val="0"/>
        </w:rPr>
      </w:r>
      <w:r>
        <w:rPr/>
        <w:t>交银康联人寿保险有限公司</w:t>
      </w:r>
    </w:p>
    <w:p>
      <w:pPr>
        <w:spacing w:before="71"/>
        <w:ind w:left="1127" w:right="0" w:firstLine="0"/>
        <w:jc w:val="left"/>
        <w:rPr>
          <w:rFonts w:ascii="微软雅黑" w:eastAsia="微软雅黑" w:hint="eastAsia"/>
          <w:b/>
          <w:sz w:val="24"/>
        </w:rPr>
      </w:pPr>
      <w:bookmarkStart w:name="交银康联附加交银康乐保重大疾病保险（B）（2015年4月）" w:id="3"/>
      <w:bookmarkEnd w:id="3"/>
      <w:r>
        <w:rPr/>
      </w:r>
      <w:r>
        <w:rPr>
          <w:rFonts w:ascii="微软雅黑" w:eastAsia="微软雅黑" w:hint="eastAsia"/>
          <w:b/>
          <w:w w:val="99"/>
          <w:sz w:val="32"/>
        </w:rPr>
        <w:t>交银康联附加交银康乐保重大疾病保险</w:t>
      </w:r>
      <w:r>
        <w:rPr>
          <w:rFonts w:ascii="微软雅黑" w:eastAsia="微软雅黑" w:hint="eastAsia"/>
          <w:b/>
          <w:spacing w:val="2"/>
          <w:w w:val="99"/>
          <w:sz w:val="32"/>
        </w:rPr>
        <w:t>（</w:t>
      </w:r>
      <w:r>
        <w:rPr>
          <w:rFonts w:ascii="微软雅黑" w:eastAsia="微软雅黑" w:hint="eastAsia"/>
          <w:b/>
          <w:spacing w:val="-2"/>
          <w:w w:val="107"/>
          <w:sz w:val="32"/>
        </w:rPr>
        <w:t>B</w:t>
      </w:r>
      <w:r>
        <w:rPr>
          <w:rFonts w:ascii="微软雅黑" w:eastAsia="微软雅黑" w:hint="eastAsia"/>
          <w:b/>
          <w:spacing w:val="-159"/>
          <w:w w:val="99"/>
          <w:sz w:val="32"/>
        </w:rPr>
        <w:t>）</w:t>
      </w:r>
      <w:r>
        <w:rPr>
          <w:rFonts w:ascii="微软雅黑" w:eastAsia="微软雅黑" w:hint="eastAsia"/>
          <w:b/>
          <w:w w:val="86"/>
          <w:sz w:val="32"/>
          <w:vertAlign w:val="subscript"/>
        </w:rPr>
        <w:t>（</w:t>
      </w:r>
      <w:r>
        <w:rPr>
          <w:rFonts w:ascii="微软雅黑" w:eastAsia="微软雅黑" w:hint="eastAsia"/>
          <w:b/>
          <w:w w:val="86"/>
          <w:sz w:val="32"/>
          <w:vertAlign w:val="baseline"/>
        </w:rPr>
      </w:r>
      <w:r>
        <w:rPr>
          <w:rFonts w:ascii="微软雅黑" w:eastAsia="微软雅黑" w:hint="eastAsia"/>
          <w:b/>
          <w:w w:val="100"/>
          <w:sz w:val="24"/>
          <w:vertAlign w:val="baseline"/>
        </w:rPr>
        <w:t>2015</w:t>
      </w:r>
      <w:r>
        <w:rPr>
          <w:rFonts w:ascii="微软雅黑" w:eastAsia="微软雅黑" w:hint="eastAsia"/>
          <w:b/>
          <w:spacing w:val="-8"/>
          <w:sz w:val="24"/>
          <w:vertAlign w:val="baseline"/>
        </w:rPr>
        <w:t> 年 </w:t>
      </w:r>
      <w:r>
        <w:rPr>
          <w:rFonts w:ascii="微软雅黑" w:eastAsia="微软雅黑" w:hint="eastAsia"/>
          <w:b/>
          <w:w w:val="100"/>
          <w:sz w:val="24"/>
          <w:vertAlign w:val="baseline"/>
        </w:rPr>
        <w:t>4</w:t>
      </w:r>
      <w:r>
        <w:rPr>
          <w:rFonts w:ascii="微软雅黑" w:eastAsia="微软雅黑" w:hint="eastAsia"/>
          <w:b/>
          <w:spacing w:val="-5"/>
          <w:sz w:val="24"/>
          <w:vertAlign w:val="baseline"/>
        </w:rPr>
        <w:t> 月</w:t>
      </w:r>
      <w:r>
        <w:rPr>
          <w:rFonts w:ascii="微软雅黑" w:eastAsia="微软雅黑" w:hint="eastAsia"/>
          <w:b/>
          <w:sz w:val="24"/>
          <w:vertAlign w:val="baseline"/>
        </w:rPr>
        <w:t>）</w:t>
      </w:r>
    </w:p>
    <w:p>
      <w:pPr>
        <w:pStyle w:val="BodyText"/>
        <w:spacing w:line="273" w:lineRule="auto" w:before="107"/>
        <w:ind w:left="220" w:right="313" w:hanging="1"/>
      </w:pPr>
      <w:r>
        <w:rPr>
          <w:spacing w:val="-7"/>
          <w:w w:val="100"/>
        </w:rPr>
        <w:t>在本条款中，“您”指投保人，“本公司”指交银康联人寿保险有限公司，“本附加合同”指您与本公司之</w:t>
      </w:r>
      <w:r>
        <w:rPr>
          <w:spacing w:val="-3"/>
        </w:rPr>
        <w:t>间订立的“交银康联附加交银康乐保重大疾病保险</w:t>
      </w:r>
      <w:r>
        <w:rPr/>
        <w:t>（B）”。</w:t>
      </w:r>
    </w:p>
    <w:p>
      <w:pPr>
        <w:pStyle w:val="BodyText"/>
        <w:rPr>
          <w:sz w:val="20"/>
        </w:rPr>
      </w:pP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973"/>
        <w:gridCol w:w="7319"/>
      </w:tblGrid>
      <w:tr>
        <w:trPr>
          <w:trHeight w:val="522" w:hRule="atLeast"/>
        </w:trPr>
        <w:tc>
          <w:tcPr>
            <w:tcW w:w="798"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292" w:type="dxa"/>
            <w:gridSpan w:val="2"/>
            <w:tcBorders>
              <w:bottom w:val="single" w:sz="8" w:space="0" w:color="000000"/>
            </w:tcBorders>
          </w:tcPr>
          <w:p>
            <w:pPr>
              <w:pStyle w:val="TableParagraph"/>
              <w:spacing w:before="14"/>
              <w:ind w:left="161"/>
              <w:rPr>
                <w:b/>
                <w:sz w:val="24"/>
              </w:rPr>
            </w:pPr>
            <w:r>
              <w:rPr>
                <w:b/>
                <w:w w:val="95"/>
                <w:sz w:val="24"/>
              </w:rPr>
              <w:t>您与本公司订立的合同</w:t>
            </w:r>
          </w:p>
        </w:tc>
      </w:tr>
      <w:tr>
        <w:trPr>
          <w:trHeight w:val="1603" w:hRule="atLeast"/>
        </w:trPr>
        <w:tc>
          <w:tcPr>
            <w:tcW w:w="798"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1973" w:type="dxa"/>
            <w:tcBorders>
              <w:top w:val="single" w:sz="8" w:space="0" w:color="000000"/>
            </w:tcBorders>
          </w:tcPr>
          <w:p>
            <w:pPr>
              <w:pStyle w:val="TableParagraph"/>
              <w:spacing w:before="10"/>
              <w:rPr>
                <w:sz w:val="14"/>
              </w:rPr>
            </w:pPr>
          </w:p>
          <w:p>
            <w:pPr>
              <w:pStyle w:val="TableParagraph"/>
              <w:ind w:left="161"/>
              <w:rPr>
                <w:b/>
                <w:sz w:val="21"/>
              </w:rPr>
            </w:pPr>
            <w:r>
              <w:rPr>
                <w:b/>
                <w:sz w:val="21"/>
              </w:rPr>
              <w:t>合同构成</w:t>
            </w:r>
          </w:p>
        </w:tc>
        <w:tc>
          <w:tcPr>
            <w:tcW w:w="7319" w:type="dxa"/>
            <w:tcBorders>
              <w:top w:val="single" w:sz="8" w:space="0" w:color="000000"/>
            </w:tcBorders>
          </w:tcPr>
          <w:p>
            <w:pPr>
              <w:pStyle w:val="TableParagraph"/>
              <w:spacing w:before="10"/>
              <w:rPr>
                <w:sz w:val="14"/>
              </w:rPr>
            </w:pPr>
          </w:p>
          <w:p>
            <w:pPr>
              <w:pStyle w:val="TableParagraph"/>
              <w:spacing w:line="273" w:lineRule="auto"/>
              <w:ind w:left="121" w:right="52"/>
              <w:rPr>
                <w:sz w:val="21"/>
              </w:rPr>
            </w:pPr>
            <w:r>
              <w:rPr>
                <w:spacing w:val="-3"/>
                <w:w w:val="100"/>
                <w:sz w:val="21"/>
              </w:rPr>
              <w:t>本附加合同须附加在主合同《交银康联交银康乐保两全保险</w:t>
            </w:r>
            <w:r>
              <w:rPr>
                <w:spacing w:val="-4"/>
                <w:w w:val="100"/>
                <w:sz w:val="21"/>
              </w:rPr>
              <w:t>（</w:t>
            </w:r>
            <w:r>
              <w:rPr>
                <w:w w:val="100"/>
                <w:sz w:val="21"/>
              </w:rPr>
              <w:t>B</w:t>
            </w:r>
            <w:r>
              <w:rPr>
                <w:spacing w:val="-106"/>
                <w:w w:val="100"/>
                <w:sz w:val="21"/>
              </w:rPr>
              <w:t>）</w:t>
            </w:r>
            <w:r>
              <w:rPr>
                <w:spacing w:val="-3"/>
                <w:w w:val="100"/>
                <w:sz w:val="21"/>
              </w:rPr>
              <w:t>（</w:t>
            </w:r>
            <w:r>
              <w:rPr>
                <w:spacing w:val="-2"/>
                <w:w w:val="100"/>
                <w:sz w:val="21"/>
              </w:rPr>
              <w:t>分红型</w:t>
            </w:r>
            <w:r>
              <w:rPr>
                <w:spacing w:val="-109"/>
                <w:w w:val="100"/>
                <w:sz w:val="21"/>
              </w:rPr>
              <w:t>）</w:t>
            </w:r>
            <w:r>
              <w:rPr>
                <w:w w:val="100"/>
                <w:sz w:val="21"/>
              </w:rPr>
              <w:t>》</w:t>
            </w:r>
            <w:r>
              <w:rPr>
                <w:spacing w:val="-3"/>
                <w:sz w:val="21"/>
              </w:rPr>
              <w:t>上，经本公司在保险单中列明后始得生效，并成为主合同不可分割的一部分。</w:t>
            </w:r>
            <w:r>
              <w:rPr>
                <w:spacing w:val="-7"/>
                <w:sz w:val="21"/>
              </w:rPr>
              <w:t>主合同所附的各条款、投保单及与本附加合同有关的其他投保文件、声明、批</w:t>
            </w:r>
            <w:r>
              <w:rPr>
                <w:spacing w:val="-5"/>
                <w:sz w:val="21"/>
              </w:rPr>
              <w:t>注、附贴批单和其他协议，均为本附加合同的构成部分。</w:t>
            </w:r>
          </w:p>
        </w:tc>
      </w:tr>
      <w:tr>
        <w:trPr>
          <w:trHeight w:val="721" w:hRule="atLeast"/>
        </w:trPr>
        <w:tc>
          <w:tcPr>
            <w:tcW w:w="798" w:type="dxa"/>
            <w:tcBorders>
              <w:bottom w:val="single" w:sz="8" w:space="0" w:color="000000"/>
            </w:tcBorders>
          </w:tcPr>
          <w:p>
            <w:pPr>
              <w:pStyle w:val="TableParagraph"/>
              <w:spacing w:before="162"/>
              <w:ind w:left="107"/>
              <w:rPr>
                <w:rFonts w:ascii="Arial" w:hAnsi="Arial"/>
                <w:b/>
                <w:sz w:val="40"/>
              </w:rPr>
            </w:pPr>
            <w:r>
              <w:rPr>
                <w:rFonts w:ascii="Arial" w:hAnsi="Arial"/>
                <w:b/>
                <w:w w:val="119"/>
                <w:sz w:val="40"/>
              </w:rPr>
              <w:t></w:t>
            </w:r>
          </w:p>
        </w:tc>
        <w:tc>
          <w:tcPr>
            <w:tcW w:w="9292" w:type="dxa"/>
            <w:gridSpan w:val="2"/>
            <w:tcBorders>
              <w:bottom w:val="single" w:sz="8" w:space="0" w:color="000000"/>
            </w:tcBorders>
          </w:tcPr>
          <w:p>
            <w:pPr>
              <w:pStyle w:val="TableParagraph"/>
              <w:spacing w:before="213"/>
              <w:ind w:left="161"/>
              <w:rPr>
                <w:b/>
                <w:sz w:val="24"/>
              </w:rPr>
            </w:pPr>
            <w:r>
              <w:rPr>
                <w:b/>
                <w:w w:val="95"/>
                <w:sz w:val="24"/>
              </w:rPr>
              <w:t>本公司提供的保障</w:t>
            </w:r>
          </w:p>
        </w:tc>
      </w:tr>
      <w:tr>
        <w:trPr>
          <w:trHeight w:val="894" w:hRule="atLeast"/>
        </w:trPr>
        <w:tc>
          <w:tcPr>
            <w:tcW w:w="798" w:type="dxa"/>
            <w:tcBorders>
              <w:top w:val="single" w:sz="8" w:space="0" w:color="000000"/>
            </w:tcBorders>
          </w:tcPr>
          <w:p>
            <w:pPr>
              <w:pStyle w:val="TableParagraph"/>
              <w:spacing w:before="143"/>
              <w:ind w:left="107"/>
              <w:rPr>
                <w:b/>
                <w:sz w:val="21"/>
              </w:rPr>
            </w:pPr>
            <w:r>
              <w:rPr>
                <w:b/>
                <w:sz w:val="21"/>
              </w:rPr>
              <w:t>2.1</w:t>
            </w:r>
          </w:p>
        </w:tc>
        <w:tc>
          <w:tcPr>
            <w:tcW w:w="1973" w:type="dxa"/>
            <w:tcBorders>
              <w:top w:val="single" w:sz="8" w:space="0" w:color="000000"/>
            </w:tcBorders>
          </w:tcPr>
          <w:p>
            <w:pPr>
              <w:pStyle w:val="TableParagraph"/>
              <w:spacing w:before="143"/>
              <w:ind w:left="161"/>
              <w:rPr>
                <w:b/>
                <w:sz w:val="21"/>
              </w:rPr>
            </w:pPr>
            <w:r>
              <w:rPr>
                <w:b/>
                <w:sz w:val="21"/>
              </w:rPr>
              <w:t>基本保险金额</w:t>
            </w:r>
          </w:p>
        </w:tc>
        <w:tc>
          <w:tcPr>
            <w:tcW w:w="7319" w:type="dxa"/>
            <w:tcBorders>
              <w:top w:val="single" w:sz="8" w:space="0" w:color="000000"/>
            </w:tcBorders>
          </w:tcPr>
          <w:p>
            <w:pPr>
              <w:pStyle w:val="TableParagraph"/>
              <w:spacing w:line="273" w:lineRule="auto" w:before="143"/>
              <w:ind w:left="120" w:right="56"/>
              <w:rPr>
                <w:sz w:val="21"/>
              </w:rPr>
            </w:pPr>
            <w:r>
              <w:rPr>
                <w:sz w:val="21"/>
              </w:rPr>
              <w:t>本附加合同的基本保险金额由您在投保时与本公司约定，为本附加合同保险费的计算基础，并载明于保险单或批注上。</w:t>
            </w:r>
          </w:p>
        </w:tc>
      </w:tr>
      <w:tr>
        <w:trPr>
          <w:trHeight w:val="850" w:hRule="atLeast"/>
        </w:trPr>
        <w:tc>
          <w:tcPr>
            <w:tcW w:w="798" w:type="dxa"/>
          </w:tcPr>
          <w:p>
            <w:pPr>
              <w:pStyle w:val="TableParagraph"/>
              <w:spacing w:before="100"/>
              <w:ind w:left="107"/>
              <w:rPr>
                <w:b/>
                <w:sz w:val="21"/>
              </w:rPr>
            </w:pPr>
            <w:r>
              <w:rPr>
                <w:b/>
                <w:sz w:val="21"/>
              </w:rPr>
              <w:t>2.2</w:t>
            </w:r>
          </w:p>
        </w:tc>
        <w:tc>
          <w:tcPr>
            <w:tcW w:w="1973" w:type="dxa"/>
          </w:tcPr>
          <w:p>
            <w:pPr>
              <w:pStyle w:val="TableParagraph"/>
              <w:spacing w:before="100"/>
              <w:ind w:left="161"/>
              <w:rPr>
                <w:b/>
                <w:sz w:val="21"/>
              </w:rPr>
            </w:pPr>
            <w:r>
              <w:rPr>
                <w:b/>
                <w:sz w:val="21"/>
              </w:rPr>
              <w:t>保险责任</w:t>
            </w:r>
          </w:p>
        </w:tc>
        <w:tc>
          <w:tcPr>
            <w:tcW w:w="7319" w:type="dxa"/>
          </w:tcPr>
          <w:p>
            <w:pPr>
              <w:pStyle w:val="TableParagraph"/>
              <w:spacing w:line="273" w:lineRule="auto" w:before="100"/>
              <w:ind w:left="121" w:right="55" w:hanging="1"/>
              <w:rPr>
                <w:sz w:val="21"/>
              </w:rPr>
            </w:pPr>
            <w:r>
              <w:rPr>
                <w:sz w:val="21"/>
              </w:rPr>
              <w:t>在本附加合同保险期间内，且本附加合同有效的前提下，本公司承担下列保险责任：</w:t>
            </w:r>
          </w:p>
        </w:tc>
      </w:tr>
      <w:tr>
        <w:trPr>
          <w:trHeight w:val="3658" w:hRule="atLeast"/>
        </w:trPr>
        <w:tc>
          <w:tcPr>
            <w:tcW w:w="798" w:type="dxa"/>
          </w:tcPr>
          <w:p>
            <w:pPr>
              <w:pStyle w:val="TableParagraph"/>
              <w:spacing w:before="99"/>
              <w:ind w:left="107"/>
              <w:rPr>
                <w:b/>
                <w:sz w:val="21"/>
              </w:rPr>
            </w:pPr>
            <w:r>
              <w:rPr>
                <w:b/>
                <w:sz w:val="21"/>
              </w:rPr>
              <w:t>2.2.1</w:t>
            </w:r>
          </w:p>
        </w:tc>
        <w:tc>
          <w:tcPr>
            <w:tcW w:w="1973" w:type="dxa"/>
          </w:tcPr>
          <w:p>
            <w:pPr>
              <w:pStyle w:val="TableParagraph"/>
              <w:spacing w:line="273" w:lineRule="auto" w:before="99"/>
              <w:ind w:left="161" w:right="119"/>
              <w:rPr>
                <w:b/>
                <w:sz w:val="21"/>
              </w:rPr>
            </w:pPr>
            <w:r>
              <w:rPr>
                <w:b/>
                <w:sz w:val="21"/>
              </w:rPr>
              <w:t>首次重大疾病保险金</w:t>
            </w:r>
          </w:p>
        </w:tc>
        <w:tc>
          <w:tcPr>
            <w:tcW w:w="7319" w:type="dxa"/>
          </w:tcPr>
          <w:p>
            <w:pPr>
              <w:pStyle w:val="TableParagraph"/>
              <w:spacing w:line="273" w:lineRule="auto" w:before="99"/>
              <w:ind w:left="120" w:right="54"/>
              <w:jc w:val="both"/>
              <w:rPr>
                <w:sz w:val="21"/>
              </w:rPr>
            </w:pPr>
            <w:r>
              <w:rPr>
                <w:spacing w:val="-3"/>
                <w:sz w:val="21"/>
              </w:rPr>
              <w:t>如果被保险人于本附加合同生效日或最后复效日（</w:t>
            </w:r>
            <w:r>
              <w:rPr>
                <w:spacing w:val="-2"/>
                <w:sz w:val="21"/>
              </w:rPr>
              <w:t>以较迟者为准</w:t>
            </w:r>
            <w:r>
              <w:rPr>
                <w:spacing w:val="-3"/>
                <w:sz w:val="21"/>
              </w:rPr>
              <w:t>）</w:t>
            </w:r>
            <w:r>
              <w:rPr>
                <w:spacing w:val="-23"/>
                <w:sz w:val="21"/>
              </w:rPr>
              <w:t>起 </w:t>
            </w:r>
            <w:r>
              <w:rPr>
                <w:sz w:val="21"/>
              </w:rPr>
              <w:t>90</w:t>
            </w:r>
            <w:r>
              <w:rPr>
                <w:spacing w:val="-17"/>
                <w:sz w:val="21"/>
              </w:rPr>
              <w:t> 日内经</w:t>
            </w:r>
            <w:r>
              <w:rPr>
                <w:b/>
                <w:spacing w:val="-6"/>
                <w:sz w:val="21"/>
              </w:rPr>
              <w:t>医院</w:t>
            </w:r>
            <w:r>
              <w:rPr>
                <w:spacing w:val="-3"/>
                <w:sz w:val="21"/>
              </w:rPr>
              <w:t>（</w:t>
            </w:r>
            <w:r>
              <w:rPr>
                <w:spacing w:val="-1"/>
                <w:sz w:val="21"/>
              </w:rPr>
              <w:t>见释义</w:t>
            </w:r>
            <w:r>
              <w:rPr>
                <w:spacing w:val="-15"/>
                <w:sz w:val="21"/>
              </w:rPr>
              <w:t>）</w:t>
            </w:r>
            <w:r>
              <w:rPr>
                <w:spacing w:val="-3"/>
                <w:sz w:val="21"/>
              </w:rPr>
              <w:t>的</w:t>
            </w:r>
            <w:r>
              <w:rPr>
                <w:b/>
                <w:spacing w:val="-6"/>
                <w:sz w:val="21"/>
              </w:rPr>
              <w:t>专科医生</w:t>
            </w:r>
            <w:r>
              <w:rPr>
                <w:sz w:val="21"/>
              </w:rPr>
              <w:t>（</w:t>
            </w:r>
            <w:r>
              <w:rPr>
                <w:spacing w:val="-2"/>
                <w:sz w:val="21"/>
              </w:rPr>
              <w:t>见释义</w:t>
            </w:r>
            <w:r>
              <w:rPr>
                <w:spacing w:val="-17"/>
                <w:sz w:val="21"/>
              </w:rPr>
              <w:t>）</w:t>
            </w:r>
            <w:r>
              <w:rPr>
                <w:spacing w:val="-3"/>
                <w:sz w:val="21"/>
              </w:rPr>
              <w:t>确诊初次患上本附加合同重大疾病列</w:t>
            </w:r>
            <w:r>
              <w:rPr>
                <w:sz w:val="21"/>
              </w:rPr>
              <w:t>表（</w:t>
            </w:r>
            <w:r>
              <w:rPr>
                <w:spacing w:val="-3"/>
                <w:sz w:val="21"/>
              </w:rPr>
              <w:t>详见附录一</w:t>
            </w:r>
            <w:r>
              <w:rPr>
                <w:sz w:val="21"/>
              </w:rPr>
              <w:t>）</w:t>
            </w:r>
            <w:r>
              <w:rPr>
                <w:spacing w:val="-3"/>
                <w:sz w:val="21"/>
              </w:rPr>
              <w:t>内所界定的任何一种重大疾病，本附加合同及主合同终止， 本公司给付本附加合同及主合同的累计已交保险费之和。</w:t>
            </w:r>
          </w:p>
          <w:p>
            <w:pPr>
              <w:pStyle w:val="TableParagraph"/>
              <w:spacing w:line="273" w:lineRule="auto" w:before="7"/>
              <w:ind w:left="120" w:right="103"/>
              <w:jc w:val="both"/>
              <w:rPr>
                <w:sz w:val="21"/>
              </w:rPr>
            </w:pPr>
            <w:r>
              <w:rPr>
                <w:spacing w:val="-3"/>
                <w:sz w:val="21"/>
              </w:rPr>
              <w:t>如果被保险人于本附加合同生效日或最后复效日（</w:t>
            </w:r>
            <w:r>
              <w:rPr>
                <w:spacing w:val="-2"/>
                <w:sz w:val="21"/>
              </w:rPr>
              <w:t>以较迟者为准</w:t>
            </w:r>
            <w:r>
              <w:rPr>
                <w:spacing w:val="-3"/>
                <w:sz w:val="21"/>
              </w:rPr>
              <w:t>）</w:t>
            </w:r>
            <w:r>
              <w:rPr>
                <w:spacing w:val="-22"/>
                <w:sz w:val="21"/>
              </w:rPr>
              <w:t>起 </w:t>
            </w:r>
            <w:r>
              <w:rPr>
                <w:sz w:val="21"/>
              </w:rPr>
              <w:t>90</w:t>
            </w:r>
            <w:r>
              <w:rPr>
                <w:spacing w:val="-17"/>
                <w:sz w:val="21"/>
              </w:rPr>
              <w:t> 日以</w:t>
            </w:r>
            <w:r>
              <w:rPr>
                <w:spacing w:val="-20"/>
                <w:sz w:val="21"/>
              </w:rPr>
              <w:t>后</w:t>
            </w:r>
            <w:r>
              <w:rPr>
                <w:sz w:val="21"/>
              </w:rPr>
              <w:t>（</w:t>
            </w:r>
            <w:r>
              <w:rPr>
                <w:spacing w:val="-2"/>
                <w:sz w:val="21"/>
              </w:rPr>
              <w:t>含当日</w:t>
            </w:r>
            <w:r>
              <w:rPr>
                <w:spacing w:val="-22"/>
                <w:sz w:val="21"/>
              </w:rPr>
              <w:t>）</w:t>
            </w:r>
            <w:r>
              <w:rPr>
                <w:spacing w:val="-3"/>
                <w:sz w:val="21"/>
              </w:rPr>
              <w:t>经</w:t>
            </w:r>
            <w:r>
              <w:rPr>
                <w:b/>
                <w:sz w:val="21"/>
              </w:rPr>
              <w:t>医院</w:t>
            </w:r>
            <w:r>
              <w:rPr>
                <w:spacing w:val="-3"/>
                <w:sz w:val="21"/>
              </w:rPr>
              <w:t>的</w:t>
            </w:r>
            <w:r>
              <w:rPr>
                <w:b/>
                <w:sz w:val="21"/>
              </w:rPr>
              <w:t>专科医生</w:t>
            </w:r>
            <w:r>
              <w:rPr>
                <w:spacing w:val="-5"/>
                <w:sz w:val="21"/>
              </w:rPr>
              <w:t>确诊初次患上本附加合同重大疾病列表</w:t>
            </w:r>
            <w:r>
              <w:rPr>
                <w:sz w:val="21"/>
              </w:rPr>
              <w:t>（</w:t>
            </w:r>
            <w:r>
              <w:rPr>
                <w:spacing w:val="-3"/>
                <w:sz w:val="21"/>
              </w:rPr>
              <w:t>详见</w:t>
            </w:r>
            <w:r>
              <w:rPr>
                <w:spacing w:val="-1"/>
                <w:sz w:val="21"/>
              </w:rPr>
              <w:t>附录一</w:t>
            </w:r>
            <w:r>
              <w:rPr>
                <w:spacing w:val="-17"/>
                <w:sz w:val="21"/>
              </w:rPr>
              <w:t>）</w:t>
            </w:r>
            <w:r>
              <w:rPr>
                <w:spacing w:val="-6"/>
                <w:sz w:val="21"/>
              </w:rPr>
              <w:t>内所界定的任何一种重大疾病，本项责任终止，本公司按照本附加合</w:t>
            </w:r>
            <w:r>
              <w:rPr>
                <w:spacing w:val="-3"/>
                <w:sz w:val="21"/>
              </w:rPr>
              <w:t>同的基本保险金额给付首次重大疾病保险金。</w:t>
            </w:r>
          </w:p>
          <w:p>
            <w:pPr>
              <w:pStyle w:val="TableParagraph"/>
              <w:spacing w:line="273" w:lineRule="auto" w:before="7"/>
              <w:ind w:left="120" w:right="105"/>
              <w:jc w:val="both"/>
              <w:rPr>
                <w:sz w:val="21"/>
              </w:rPr>
            </w:pPr>
            <w:r>
              <w:rPr>
                <w:spacing w:val="-7"/>
                <w:sz w:val="21"/>
              </w:rPr>
              <w:t>本公司给付首次重大疾病保险金后，将豁免本附加合同及主合同自首次重大疾病确诊之日起余下各期的保险费，同时本附加合同及主合同的现金价值自首次</w:t>
            </w:r>
            <w:r>
              <w:rPr>
                <w:spacing w:val="-3"/>
                <w:sz w:val="21"/>
              </w:rPr>
              <w:t>重大疾病确诊之日起降低为零。</w:t>
            </w:r>
          </w:p>
        </w:tc>
      </w:tr>
      <w:tr>
        <w:trPr>
          <w:trHeight w:val="1786" w:hRule="atLeast"/>
        </w:trPr>
        <w:tc>
          <w:tcPr>
            <w:tcW w:w="798" w:type="dxa"/>
          </w:tcPr>
          <w:p>
            <w:pPr>
              <w:pStyle w:val="TableParagraph"/>
              <w:spacing w:before="100"/>
              <w:ind w:left="107"/>
              <w:rPr>
                <w:b/>
                <w:sz w:val="21"/>
              </w:rPr>
            </w:pPr>
            <w:r>
              <w:rPr>
                <w:b/>
                <w:sz w:val="21"/>
              </w:rPr>
              <w:t>2.2.2</w:t>
            </w:r>
          </w:p>
        </w:tc>
        <w:tc>
          <w:tcPr>
            <w:tcW w:w="1973" w:type="dxa"/>
          </w:tcPr>
          <w:p>
            <w:pPr>
              <w:pStyle w:val="TableParagraph"/>
              <w:spacing w:line="273" w:lineRule="auto" w:before="100"/>
              <w:ind w:left="161" w:right="119"/>
              <w:rPr>
                <w:b/>
                <w:sz w:val="21"/>
              </w:rPr>
            </w:pPr>
            <w:r>
              <w:rPr>
                <w:b/>
                <w:sz w:val="21"/>
              </w:rPr>
              <w:t>第二次重大疾病保险金</w:t>
            </w:r>
          </w:p>
        </w:tc>
        <w:tc>
          <w:tcPr>
            <w:tcW w:w="7319" w:type="dxa"/>
          </w:tcPr>
          <w:p>
            <w:pPr>
              <w:pStyle w:val="TableParagraph"/>
              <w:spacing w:line="273" w:lineRule="auto" w:before="100"/>
              <w:ind w:left="120" w:right="105"/>
              <w:rPr>
                <w:sz w:val="21"/>
              </w:rPr>
            </w:pPr>
            <w:r>
              <w:rPr>
                <w:spacing w:val="-7"/>
                <w:sz w:val="21"/>
              </w:rPr>
              <w:t>本公司给付首次重大疾病保险金后，如果被保险人自首次重大疾病确诊之日起</w:t>
            </w:r>
            <w:r>
              <w:rPr>
                <w:spacing w:val="-19"/>
                <w:sz w:val="21"/>
              </w:rPr>
              <w:t>满 </w:t>
            </w:r>
            <w:r>
              <w:rPr>
                <w:sz w:val="21"/>
              </w:rPr>
              <w:t>365</w:t>
            </w:r>
            <w:r>
              <w:rPr>
                <w:spacing w:val="-22"/>
                <w:sz w:val="21"/>
              </w:rPr>
              <w:t> 日后，经</w:t>
            </w:r>
            <w:r>
              <w:rPr>
                <w:b/>
                <w:sz w:val="21"/>
              </w:rPr>
              <w:t>医院</w:t>
            </w:r>
            <w:r>
              <w:rPr>
                <w:spacing w:val="-3"/>
                <w:sz w:val="21"/>
              </w:rPr>
              <w:t>的</w:t>
            </w:r>
            <w:r>
              <w:rPr>
                <w:b/>
                <w:sz w:val="21"/>
              </w:rPr>
              <w:t>专科医生</w:t>
            </w:r>
            <w:r>
              <w:rPr>
                <w:spacing w:val="-3"/>
                <w:sz w:val="21"/>
              </w:rPr>
              <w:t>确诊初次患上本附加合同重大疾病列表内所界定的首次重大疾病所属组别(重大疾病所属组别详见附录二)以外其他两组中</w:t>
            </w:r>
            <w:r>
              <w:rPr>
                <w:spacing w:val="-5"/>
                <w:sz w:val="21"/>
              </w:rPr>
              <w:t>的任何一种重大疾病，且自确诊之日起存活 </w:t>
            </w:r>
            <w:r>
              <w:rPr>
                <w:sz w:val="21"/>
              </w:rPr>
              <w:t>28</w:t>
            </w:r>
            <w:r>
              <w:rPr>
                <w:spacing w:val="-8"/>
                <w:sz w:val="21"/>
              </w:rPr>
              <w:t> 日或以上的，本项责任终止， </w:t>
            </w:r>
            <w:r>
              <w:rPr>
                <w:spacing w:val="-5"/>
                <w:sz w:val="21"/>
              </w:rPr>
              <w:t>本公司按照本附加合同的基本保险金额给付第二次重大疾病保险金。</w:t>
            </w:r>
          </w:p>
        </w:tc>
      </w:tr>
      <w:tr>
        <w:trPr>
          <w:trHeight w:val="1622" w:hRule="atLeast"/>
        </w:trPr>
        <w:tc>
          <w:tcPr>
            <w:tcW w:w="798" w:type="dxa"/>
          </w:tcPr>
          <w:p>
            <w:pPr>
              <w:pStyle w:val="TableParagraph"/>
              <w:spacing w:before="99"/>
              <w:ind w:left="107"/>
              <w:rPr>
                <w:b/>
                <w:sz w:val="21"/>
              </w:rPr>
            </w:pPr>
            <w:r>
              <w:rPr>
                <w:b/>
                <w:sz w:val="21"/>
              </w:rPr>
              <w:t>2.2.3</w:t>
            </w:r>
          </w:p>
        </w:tc>
        <w:tc>
          <w:tcPr>
            <w:tcW w:w="1973" w:type="dxa"/>
          </w:tcPr>
          <w:p>
            <w:pPr>
              <w:pStyle w:val="TableParagraph"/>
              <w:spacing w:line="273" w:lineRule="auto" w:before="99"/>
              <w:ind w:left="161" w:right="119"/>
              <w:rPr>
                <w:b/>
                <w:sz w:val="21"/>
              </w:rPr>
            </w:pPr>
            <w:r>
              <w:rPr>
                <w:b/>
                <w:sz w:val="21"/>
              </w:rPr>
              <w:t>第三次重大疾病保险金</w:t>
            </w:r>
          </w:p>
        </w:tc>
        <w:tc>
          <w:tcPr>
            <w:tcW w:w="7319" w:type="dxa"/>
          </w:tcPr>
          <w:p>
            <w:pPr>
              <w:pStyle w:val="TableParagraph"/>
              <w:spacing w:line="310" w:lineRule="atLeast" w:before="64"/>
              <w:ind w:left="120" w:right="54"/>
              <w:jc w:val="both"/>
              <w:rPr>
                <w:sz w:val="21"/>
              </w:rPr>
            </w:pPr>
            <w:r>
              <w:rPr>
                <w:spacing w:val="-5"/>
                <w:sz w:val="21"/>
              </w:rPr>
              <w:t>本公司给付首次重大疾病保险金及第二次重大疾病保险金后，如果被保险人自</w:t>
            </w:r>
            <w:r>
              <w:rPr>
                <w:spacing w:val="-6"/>
                <w:sz w:val="21"/>
              </w:rPr>
              <w:t>第二次重大疾病确诊之日起满 </w:t>
            </w:r>
            <w:r>
              <w:rPr>
                <w:sz w:val="21"/>
              </w:rPr>
              <w:t>365</w:t>
            </w:r>
            <w:r>
              <w:rPr>
                <w:spacing w:val="-23"/>
                <w:sz w:val="21"/>
              </w:rPr>
              <w:t> 日后，经</w:t>
            </w:r>
            <w:r>
              <w:rPr>
                <w:b/>
                <w:sz w:val="21"/>
              </w:rPr>
              <w:t>医院</w:t>
            </w:r>
            <w:r>
              <w:rPr>
                <w:spacing w:val="-3"/>
                <w:sz w:val="21"/>
              </w:rPr>
              <w:t>的</w:t>
            </w:r>
            <w:r>
              <w:rPr>
                <w:b/>
                <w:sz w:val="21"/>
              </w:rPr>
              <w:t>专科医生</w:t>
            </w:r>
            <w:r>
              <w:rPr>
                <w:spacing w:val="-3"/>
                <w:sz w:val="21"/>
              </w:rPr>
              <w:t>确诊初次患上本附</w:t>
            </w:r>
            <w:r>
              <w:rPr>
                <w:spacing w:val="-5"/>
                <w:sz w:val="21"/>
              </w:rPr>
              <w:t>加合同重大疾病列表内所界定的首次重大疾病所属组别</w:t>
            </w:r>
            <w:r>
              <w:rPr>
                <w:spacing w:val="-3"/>
                <w:sz w:val="21"/>
              </w:rPr>
              <w:t>（重大疾病所属组别详见附录二）及第二次重大疾病所属组别以外其他一组中的任何一种重大疾病， </w:t>
            </w:r>
            <w:r>
              <w:rPr>
                <w:spacing w:val="-6"/>
                <w:sz w:val="21"/>
              </w:rPr>
              <w:t>且自确诊之日起存活 </w:t>
            </w:r>
            <w:r>
              <w:rPr>
                <w:sz w:val="21"/>
              </w:rPr>
              <w:t>28</w:t>
            </w:r>
            <w:r>
              <w:rPr>
                <w:spacing w:val="-8"/>
                <w:sz w:val="21"/>
              </w:rPr>
              <w:t> 日或以上的，本附加合同及主合同终止，本公司按照</w:t>
            </w:r>
          </w:p>
        </w:tc>
      </w:tr>
    </w:tbl>
    <w:p>
      <w:pPr>
        <w:spacing w:after="0" w:line="310" w:lineRule="atLeast"/>
        <w:jc w:val="both"/>
        <w:rPr>
          <w:sz w:val="21"/>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867"/>
        <w:gridCol w:w="7425"/>
      </w:tblGrid>
      <w:tr>
        <w:trPr>
          <w:trHeight w:val="375" w:hRule="atLeast"/>
        </w:trPr>
        <w:tc>
          <w:tcPr>
            <w:tcW w:w="798" w:type="dxa"/>
          </w:tcPr>
          <w:p>
            <w:pPr>
              <w:pStyle w:val="TableParagraph"/>
              <w:rPr>
                <w:rFonts w:ascii="Times New Roman"/>
                <w:sz w:val="20"/>
              </w:rPr>
            </w:pPr>
          </w:p>
        </w:tc>
        <w:tc>
          <w:tcPr>
            <w:tcW w:w="1867" w:type="dxa"/>
          </w:tcPr>
          <w:p>
            <w:pPr>
              <w:pStyle w:val="TableParagraph"/>
              <w:rPr>
                <w:rFonts w:ascii="Times New Roman"/>
                <w:sz w:val="20"/>
              </w:rPr>
            </w:pPr>
          </w:p>
        </w:tc>
        <w:tc>
          <w:tcPr>
            <w:tcW w:w="7425" w:type="dxa"/>
          </w:tcPr>
          <w:p>
            <w:pPr>
              <w:pStyle w:val="TableParagraph"/>
              <w:spacing w:line="211" w:lineRule="exact"/>
              <w:ind w:left="226"/>
              <w:rPr>
                <w:sz w:val="21"/>
              </w:rPr>
            </w:pPr>
            <w:r>
              <w:rPr>
                <w:sz w:val="21"/>
              </w:rPr>
              <w:t>本附加合同的基本保险金额给付第三次重大疾病保险金。</w:t>
            </w:r>
          </w:p>
        </w:tc>
      </w:tr>
      <w:tr>
        <w:trPr>
          <w:trHeight w:val="2411" w:hRule="atLeast"/>
        </w:trPr>
        <w:tc>
          <w:tcPr>
            <w:tcW w:w="798" w:type="dxa"/>
          </w:tcPr>
          <w:p>
            <w:pPr>
              <w:pStyle w:val="TableParagraph"/>
              <w:spacing w:before="100"/>
              <w:ind w:left="107"/>
              <w:rPr>
                <w:b/>
                <w:sz w:val="21"/>
              </w:rPr>
            </w:pPr>
            <w:r>
              <w:rPr>
                <w:b/>
                <w:sz w:val="21"/>
              </w:rPr>
              <w:t>2.2.4</w:t>
            </w:r>
          </w:p>
        </w:tc>
        <w:tc>
          <w:tcPr>
            <w:tcW w:w="1867" w:type="dxa"/>
          </w:tcPr>
          <w:p>
            <w:pPr>
              <w:pStyle w:val="TableParagraph"/>
              <w:spacing w:before="100"/>
              <w:ind w:left="161"/>
              <w:rPr>
                <w:b/>
                <w:sz w:val="21"/>
              </w:rPr>
            </w:pPr>
            <w:r>
              <w:rPr>
                <w:b/>
                <w:sz w:val="21"/>
              </w:rPr>
              <w:t>轻症疾病保险金</w:t>
            </w:r>
          </w:p>
        </w:tc>
        <w:tc>
          <w:tcPr>
            <w:tcW w:w="7425" w:type="dxa"/>
          </w:tcPr>
          <w:p>
            <w:pPr>
              <w:pStyle w:val="TableParagraph"/>
              <w:spacing w:line="273" w:lineRule="auto" w:before="100"/>
              <w:ind w:left="226" w:right="103"/>
              <w:jc w:val="both"/>
              <w:rPr>
                <w:sz w:val="21"/>
              </w:rPr>
            </w:pPr>
            <w:r>
              <w:rPr>
                <w:spacing w:val="-3"/>
                <w:sz w:val="21"/>
              </w:rPr>
              <w:t>如果被保险人于本附加合同生效日或最后复效日（</w:t>
            </w:r>
            <w:r>
              <w:rPr>
                <w:spacing w:val="-2"/>
                <w:sz w:val="21"/>
              </w:rPr>
              <w:t>以较迟者为准</w:t>
            </w:r>
            <w:r>
              <w:rPr>
                <w:spacing w:val="-3"/>
                <w:sz w:val="21"/>
              </w:rPr>
              <w:t>）</w:t>
            </w:r>
            <w:r>
              <w:rPr>
                <w:spacing w:val="-22"/>
                <w:sz w:val="21"/>
              </w:rPr>
              <w:t>起 </w:t>
            </w:r>
            <w:r>
              <w:rPr>
                <w:sz w:val="21"/>
              </w:rPr>
              <w:t>90</w:t>
            </w:r>
            <w:r>
              <w:rPr>
                <w:spacing w:val="-17"/>
                <w:sz w:val="21"/>
              </w:rPr>
              <w:t> 日以</w:t>
            </w:r>
            <w:r>
              <w:rPr>
                <w:spacing w:val="-20"/>
                <w:sz w:val="21"/>
              </w:rPr>
              <w:t>后</w:t>
            </w:r>
            <w:r>
              <w:rPr>
                <w:sz w:val="21"/>
              </w:rPr>
              <w:t>（</w:t>
            </w:r>
            <w:r>
              <w:rPr>
                <w:spacing w:val="-2"/>
                <w:sz w:val="21"/>
              </w:rPr>
              <w:t>含当日</w:t>
            </w:r>
            <w:r>
              <w:rPr>
                <w:spacing w:val="-22"/>
                <w:sz w:val="21"/>
              </w:rPr>
              <w:t>）</w:t>
            </w:r>
            <w:r>
              <w:rPr>
                <w:spacing w:val="-3"/>
                <w:sz w:val="21"/>
              </w:rPr>
              <w:t>经</w:t>
            </w:r>
            <w:r>
              <w:rPr>
                <w:b/>
                <w:sz w:val="21"/>
              </w:rPr>
              <w:t>医院</w:t>
            </w:r>
            <w:r>
              <w:rPr>
                <w:spacing w:val="-3"/>
                <w:sz w:val="21"/>
              </w:rPr>
              <w:t>的</w:t>
            </w:r>
            <w:r>
              <w:rPr>
                <w:b/>
                <w:sz w:val="21"/>
              </w:rPr>
              <w:t>专科医生</w:t>
            </w:r>
            <w:r>
              <w:rPr>
                <w:spacing w:val="-5"/>
                <w:sz w:val="21"/>
              </w:rPr>
              <w:t>确诊初次患上本附加合同轻症疾病列表</w:t>
            </w:r>
            <w:r>
              <w:rPr>
                <w:sz w:val="21"/>
              </w:rPr>
              <w:t>（</w:t>
            </w:r>
            <w:r>
              <w:rPr>
                <w:spacing w:val="-3"/>
                <w:sz w:val="21"/>
              </w:rPr>
              <w:t>详见</w:t>
            </w:r>
            <w:r>
              <w:rPr>
                <w:spacing w:val="-1"/>
                <w:sz w:val="21"/>
              </w:rPr>
              <w:t>附录三</w:t>
            </w:r>
            <w:r>
              <w:rPr>
                <w:spacing w:val="-17"/>
                <w:sz w:val="21"/>
              </w:rPr>
              <w:t>）</w:t>
            </w:r>
            <w:r>
              <w:rPr>
                <w:spacing w:val="-6"/>
                <w:sz w:val="21"/>
              </w:rPr>
              <w:t>内所界定的任何一种疾病，本公司给付轻症疾病保险金，本项保险责</w:t>
            </w:r>
            <w:r>
              <w:rPr>
                <w:spacing w:val="-4"/>
                <w:sz w:val="21"/>
              </w:rPr>
              <w:t>任终止。</w:t>
            </w:r>
          </w:p>
          <w:p>
            <w:pPr>
              <w:pStyle w:val="TableParagraph"/>
              <w:spacing w:before="7"/>
              <w:ind w:left="226"/>
              <w:rPr>
                <w:sz w:val="21"/>
              </w:rPr>
            </w:pPr>
            <w:r>
              <w:rPr>
                <w:sz w:val="21"/>
              </w:rPr>
              <w:t>轻症疾病保险金等于本附加合同基本保险金额的 20%。</w:t>
            </w:r>
          </w:p>
          <w:p>
            <w:pPr>
              <w:pStyle w:val="TableParagraph"/>
              <w:spacing w:line="273" w:lineRule="auto" w:before="37"/>
              <w:ind w:left="227" w:right="102"/>
              <w:jc w:val="both"/>
              <w:rPr>
                <w:rFonts w:ascii="黑体" w:eastAsia="黑体" w:hint="eastAsia"/>
                <w:sz w:val="21"/>
              </w:rPr>
            </w:pPr>
            <w:r>
              <w:rPr>
                <w:rFonts w:ascii="黑体" w:eastAsia="黑体" w:hint="eastAsia"/>
                <w:spacing w:val="-6"/>
                <w:sz w:val="21"/>
              </w:rPr>
              <w:t>如果本公司已给付过首次重大疾病保险金，则不再给付本项保险金，本项保险</w:t>
            </w:r>
            <w:r>
              <w:rPr>
                <w:rFonts w:ascii="黑体" w:eastAsia="黑体" w:hint="eastAsia"/>
                <w:spacing w:val="-4"/>
                <w:sz w:val="21"/>
              </w:rPr>
              <w:t>责任终止。</w:t>
            </w:r>
          </w:p>
        </w:tc>
      </w:tr>
      <w:tr>
        <w:trPr>
          <w:trHeight w:val="538" w:hRule="atLeast"/>
        </w:trPr>
        <w:tc>
          <w:tcPr>
            <w:tcW w:w="798" w:type="dxa"/>
          </w:tcPr>
          <w:p>
            <w:pPr>
              <w:pStyle w:val="TableParagraph"/>
              <w:rPr>
                <w:rFonts w:ascii="Times New Roman"/>
                <w:sz w:val="20"/>
              </w:rPr>
            </w:pPr>
          </w:p>
        </w:tc>
        <w:tc>
          <w:tcPr>
            <w:tcW w:w="1867" w:type="dxa"/>
          </w:tcPr>
          <w:p>
            <w:pPr>
              <w:pStyle w:val="TableParagraph"/>
              <w:rPr>
                <w:rFonts w:ascii="Times New Roman"/>
                <w:sz w:val="20"/>
              </w:rPr>
            </w:pPr>
          </w:p>
        </w:tc>
        <w:tc>
          <w:tcPr>
            <w:tcW w:w="7425" w:type="dxa"/>
          </w:tcPr>
          <w:p>
            <w:pPr>
              <w:pStyle w:val="TableParagraph"/>
              <w:spacing w:before="100"/>
              <w:ind w:left="226"/>
              <w:rPr>
                <w:rFonts w:ascii="黑体" w:eastAsia="黑体" w:hint="eastAsia"/>
                <w:sz w:val="21"/>
              </w:rPr>
            </w:pPr>
            <w:r>
              <w:rPr>
                <w:rFonts w:ascii="黑体" w:eastAsia="黑体" w:hint="eastAsia"/>
                <w:sz w:val="21"/>
              </w:rPr>
              <w:t>本附加合同的各项保险金给付责任以一次为限。</w:t>
            </w:r>
          </w:p>
        </w:tc>
      </w:tr>
      <w:tr>
        <w:trPr>
          <w:trHeight w:val="4616" w:hRule="atLeast"/>
        </w:trPr>
        <w:tc>
          <w:tcPr>
            <w:tcW w:w="798" w:type="dxa"/>
          </w:tcPr>
          <w:p>
            <w:pPr>
              <w:pStyle w:val="TableParagraph"/>
              <w:spacing w:before="99"/>
              <w:ind w:left="107"/>
              <w:rPr>
                <w:b/>
                <w:sz w:val="21"/>
              </w:rPr>
            </w:pPr>
            <w:r>
              <w:rPr>
                <w:b/>
                <w:sz w:val="21"/>
              </w:rPr>
              <w:t>2.3</w:t>
            </w:r>
          </w:p>
        </w:tc>
        <w:tc>
          <w:tcPr>
            <w:tcW w:w="1867" w:type="dxa"/>
          </w:tcPr>
          <w:p>
            <w:pPr>
              <w:pStyle w:val="TableParagraph"/>
              <w:spacing w:before="99"/>
              <w:ind w:left="161"/>
              <w:rPr>
                <w:b/>
                <w:sz w:val="21"/>
              </w:rPr>
            </w:pPr>
            <w:r>
              <w:rPr>
                <w:b/>
                <w:sz w:val="21"/>
              </w:rPr>
              <w:t>责任免除</w:t>
            </w:r>
          </w:p>
        </w:tc>
        <w:tc>
          <w:tcPr>
            <w:tcW w:w="7425" w:type="dxa"/>
          </w:tcPr>
          <w:p>
            <w:pPr>
              <w:pStyle w:val="TableParagraph"/>
              <w:spacing w:line="273" w:lineRule="auto" w:before="99"/>
              <w:ind w:left="226" w:right="55"/>
              <w:jc w:val="both"/>
              <w:rPr>
                <w:rFonts w:ascii="黑体" w:eastAsia="黑体" w:hint="eastAsia"/>
                <w:sz w:val="21"/>
              </w:rPr>
            </w:pPr>
            <w:r>
              <w:rPr>
                <w:rFonts w:ascii="黑体" w:eastAsia="黑体" w:hint="eastAsia"/>
                <w:sz w:val="21"/>
              </w:rPr>
              <w:t>因下列情形之一，导致被保险人发Th本附加合同重大疾病列表（详见附录一） 或轻症疾病列表（详见附录三）内界定的疾病的，本公司不承担给付保险金的责任：</w:t>
            </w:r>
          </w:p>
          <w:p>
            <w:pPr>
              <w:pStyle w:val="TableParagraph"/>
              <w:spacing w:before="7"/>
              <w:ind w:left="22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2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2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3"/>
                <w:w w:val="100"/>
                <w:sz w:val="21"/>
              </w:rPr>
              <w:t>见主合同释义</w:t>
            </w:r>
            <w:r>
              <w:rPr>
                <w:rFonts w:ascii="黑体" w:eastAsia="黑体" w:hint="eastAsia"/>
                <w:spacing w:val="-109"/>
                <w:w w:val="100"/>
                <w:sz w:val="21"/>
              </w:rPr>
              <w:t>）</w:t>
            </w:r>
            <w:r>
              <w:rPr>
                <w:rFonts w:ascii="黑体" w:eastAsia="黑体" w:hint="eastAsia"/>
                <w:w w:val="100"/>
                <w:sz w:val="21"/>
              </w:rPr>
              <w:t>；</w:t>
            </w:r>
          </w:p>
          <w:p>
            <w:pPr>
              <w:pStyle w:val="TableParagraph"/>
              <w:spacing w:line="273" w:lineRule="auto" w:before="36"/>
              <w:ind w:left="731" w:hanging="505"/>
              <w:rPr>
                <w:rFonts w:ascii="黑体" w:eastAsia="黑体" w:hint="eastAsia"/>
                <w:sz w:val="21"/>
              </w:rPr>
            </w:pPr>
            <w:r>
              <w:rPr>
                <w:rFonts w:ascii="黑体" w:eastAsia="黑体" w:hint="eastAsia"/>
                <w:spacing w:val="-6"/>
                <w:sz w:val="21"/>
              </w:rPr>
              <w:t>（4）</w:t>
            </w:r>
            <w:r>
              <w:rPr>
                <w:rFonts w:ascii="黑体" w:eastAsia="黑体" w:hint="eastAsia"/>
                <w:spacing w:val="-3"/>
                <w:sz w:val="21"/>
              </w:rPr>
              <w:t>被保险人</w:t>
            </w:r>
            <w:r>
              <w:rPr>
                <w:rFonts w:ascii="黑体" w:eastAsia="黑体" w:hint="eastAsia"/>
                <w:b/>
                <w:spacing w:val="-4"/>
                <w:sz w:val="21"/>
              </w:rPr>
              <w:t>酒后驾驶</w:t>
            </w:r>
            <w:r>
              <w:rPr>
                <w:rFonts w:ascii="黑体" w:eastAsia="黑体" w:hint="eastAsia"/>
                <w:spacing w:val="-3"/>
                <w:sz w:val="21"/>
              </w:rPr>
              <w:t>（</w:t>
            </w:r>
            <w:r>
              <w:rPr>
                <w:rFonts w:ascii="黑体" w:eastAsia="黑体" w:hint="eastAsia"/>
                <w:spacing w:val="-2"/>
                <w:sz w:val="21"/>
              </w:rPr>
              <w:t>见主合同释义</w:t>
            </w:r>
            <w:r>
              <w:rPr>
                <w:rFonts w:ascii="黑体" w:eastAsia="黑体" w:hint="eastAsia"/>
                <w:spacing w:val="-109"/>
                <w:sz w:val="21"/>
              </w:rPr>
              <w:t>）</w:t>
            </w:r>
            <w:r>
              <w:rPr>
                <w:rFonts w:ascii="黑体" w:eastAsia="黑体" w:hint="eastAsia"/>
                <w:spacing w:val="-17"/>
                <w:sz w:val="21"/>
              </w:rPr>
              <w:t>、</w:t>
            </w:r>
            <w:r>
              <w:rPr>
                <w:rFonts w:ascii="黑体" w:eastAsia="黑体" w:hint="eastAsia"/>
                <w:b/>
                <w:spacing w:val="-3"/>
                <w:sz w:val="21"/>
              </w:rPr>
              <w:t>无合法有效驾驶证驾驶</w:t>
            </w:r>
            <w:r>
              <w:rPr>
                <w:rFonts w:ascii="黑体" w:eastAsia="黑体" w:hint="eastAsia"/>
                <w:spacing w:val="-3"/>
                <w:sz w:val="21"/>
              </w:rPr>
              <w:t>（见主合同</w:t>
            </w:r>
            <w:r>
              <w:rPr>
                <w:rFonts w:ascii="黑体" w:eastAsia="黑体" w:hint="eastAsia"/>
                <w:w w:val="100"/>
                <w:sz w:val="21"/>
              </w:rPr>
              <w:t>释义</w:t>
            </w:r>
            <w:r>
              <w:rPr>
                <w:rFonts w:ascii="黑体" w:eastAsia="黑体" w:hint="eastAsia"/>
                <w:spacing w:val="-106"/>
                <w:w w:val="100"/>
                <w:sz w:val="21"/>
              </w:rPr>
              <w:t>）</w:t>
            </w:r>
            <w:r>
              <w:rPr>
                <w:rFonts w:ascii="黑体" w:eastAsia="黑体" w:hint="eastAsia"/>
                <w:spacing w:val="-18"/>
                <w:w w:val="100"/>
                <w:sz w:val="21"/>
              </w:rPr>
              <w:t>，或驾驶</w:t>
            </w:r>
            <w:r>
              <w:rPr>
                <w:rFonts w:ascii="黑体" w:eastAsia="黑体" w:hint="eastAsia"/>
                <w:b/>
                <w:spacing w:val="-11"/>
                <w:w w:val="100"/>
                <w:sz w:val="21"/>
              </w:rPr>
              <w:t>无有效行驶证</w:t>
            </w:r>
            <w:r>
              <w:rPr>
                <w:rFonts w:ascii="黑体" w:eastAsia="黑体" w:hint="eastAsia"/>
                <w:spacing w:val="-3"/>
                <w:w w:val="100"/>
                <w:sz w:val="21"/>
              </w:rPr>
              <w:t>（见主合同释义</w:t>
            </w:r>
            <w:r>
              <w:rPr>
                <w:rFonts w:ascii="黑体" w:eastAsia="黑体" w:hint="eastAsia"/>
                <w:spacing w:val="-66"/>
                <w:w w:val="100"/>
                <w:sz w:val="21"/>
              </w:rPr>
              <w:t>）</w:t>
            </w:r>
            <w:r>
              <w:rPr>
                <w:rFonts w:ascii="黑体" w:eastAsia="黑体" w:hint="eastAsia"/>
                <w:spacing w:val="-3"/>
                <w:w w:val="100"/>
                <w:sz w:val="21"/>
              </w:rPr>
              <w:t>的</w:t>
            </w:r>
            <w:r>
              <w:rPr>
                <w:rFonts w:ascii="黑体" w:eastAsia="黑体" w:hint="eastAsia"/>
                <w:b/>
                <w:spacing w:val="-20"/>
                <w:w w:val="100"/>
                <w:sz w:val="21"/>
              </w:rPr>
              <w:t>机动车</w:t>
            </w:r>
            <w:r>
              <w:rPr>
                <w:rFonts w:ascii="黑体" w:eastAsia="黑体" w:hint="eastAsia"/>
                <w:spacing w:val="-3"/>
                <w:w w:val="100"/>
                <w:sz w:val="21"/>
              </w:rPr>
              <w:t>（见主合同释义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7"/>
              <w:ind w:left="730" w:right="101" w:hanging="504"/>
              <w:rPr>
                <w:rFonts w:ascii="黑体" w:hAnsi="黑体" w:eastAsia="黑体" w:hint="eastAsia"/>
                <w:sz w:val="21"/>
              </w:rPr>
            </w:pPr>
            <w:r>
              <w:rPr>
                <w:rFonts w:ascii="黑体" w:hAnsi="黑体" w:eastAsia="黑体" w:hint="eastAsia"/>
                <w:spacing w:val="-24"/>
                <w:sz w:val="21"/>
              </w:rPr>
              <w:t>（5）</w:t>
            </w:r>
            <w:r>
              <w:rPr>
                <w:rFonts w:ascii="黑体" w:hAnsi="黑体" w:eastAsia="黑体" w:hint="eastAsia"/>
                <w:spacing w:val="-3"/>
                <w:sz w:val="21"/>
              </w:rPr>
              <w:t>被保险人</w:t>
            </w:r>
            <w:r>
              <w:rPr>
                <w:rFonts w:ascii="黑体" w:hAnsi="黑体" w:eastAsia="黑体" w:hint="eastAsia"/>
                <w:b/>
                <w:spacing w:val="-7"/>
                <w:sz w:val="21"/>
              </w:rPr>
              <w:t>感染艾滋病病毒或患艾滋病</w:t>
            </w:r>
            <w:r>
              <w:rPr>
                <w:rFonts w:ascii="黑体" w:hAnsi="黑体" w:eastAsia="黑体" w:hint="eastAsia"/>
                <w:spacing w:val="-3"/>
                <w:sz w:val="21"/>
              </w:rPr>
              <w:t>（</w:t>
            </w:r>
            <w:r>
              <w:rPr>
                <w:rFonts w:ascii="黑体" w:hAnsi="黑体" w:eastAsia="黑体" w:hint="eastAsia"/>
                <w:spacing w:val="-2"/>
                <w:sz w:val="21"/>
              </w:rPr>
              <w:t>见释义</w:t>
            </w:r>
            <w:r>
              <w:rPr>
                <w:rFonts w:ascii="黑体" w:hAnsi="黑体" w:eastAsia="黑体" w:hint="eastAsia"/>
                <w:spacing w:val="-89"/>
                <w:sz w:val="21"/>
              </w:rPr>
              <w:t>）</w:t>
            </w:r>
            <w:r>
              <w:rPr>
                <w:rFonts w:ascii="黑体" w:hAnsi="黑体" w:eastAsia="黑体" w:hint="eastAsia"/>
                <w:spacing w:val="-18"/>
                <w:sz w:val="21"/>
              </w:rPr>
              <w:t>，但对重大疾病列表内“经</w:t>
            </w:r>
            <w:r>
              <w:rPr>
                <w:rFonts w:ascii="黑体" w:hAnsi="黑体" w:eastAsia="黑体" w:hint="eastAsia"/>
                <w:spacing w:val="-7"/>
                <w:sz w:val="21"/>
              </w:rPr>
              <w:t>输血导致的人类免疫缺陷病毒感染”和“因职业关系导致的人类免疫缺</w:t>
            </w:r>
            <w:r>
              <w:rPr>
                <w:rFonts w:ascii="黑体" w:hAnsi="黑体" w:eastAsia="黑体" w:hint="eastAsia"/>
                <w:spacing w:val="-3"/>
                <w:sz w:val="21"/>
              </w:rPr>
              <w:t>陷病毒感染”本公司仍负重大疾病保险金的给付责任；</w:t>
            </w:r>
          </w:p>
          <w:p>
            <w:pPr>
              <w:pStyle w:val="TableParagraph"/>
              <w:spacing w:before="7"/>
              <w:ind w:left="226"/>
              <w:rPr>
                <w:rFonts w:ascii="黑体" w:eastAsia="黑体" w:hint="eastAsia"/>
                <w:sz w:val="21"/>
              </w:rPr>
            </w:pPr>
            <w:r>
              <w:rPr>
                <w:rFonts w:ascii="黑体" w:eastAsia="黑体" w:hint="eastAsia"/>
                <w:sz w:val="21"/>
              </w:rPr>
              <w:t>（6）战争、军事冲突、暴乱或武装叛乱；</w:t>
            </w:r>
          </w:p>
          <w:p>
            <w:pPr>
              <w:pStyle w:val="TableParagraph"/>
              <w:spacing w:before="36"/>
              <w:ind w:left="227"/>
              <w:rPr>
                <w:rFonts w:ascii="黑体" w:eastAsia="黑体" w:hint="eastAsia"/>
                <w:sz w:val="21"/>
              </w:rPr>
            </w:pPr>
            <w:r>
              <w:rPr>
                <w:rFonts w:ascii="黑体" w:eastAsia="黑体" w:hint="eastAsia"/>
                <w:sz w:val="21"/>
              </w:rPr>
              <w:t>（7）核爆炸、核辐射或核污染；</w:t>
            </w:r>
          </w:p>
          <w:p>
            <w:pPr>
              <w:pStyle w:val="TableParagraph"/>
              <w:spacing w:before="15"/>
              <w:ind w:left="226"/>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6"/>
                <w:w w:val="100"/>
                <w:sz w:val="21"/>
              </w:rPr>
              <w:t>）</w:t>
            </w:r>
            <w:r>
              <w:rPr>
                <w:rFonts w:ascii="黑体" w:eastAsia="黑体" w:hint="eastAsia"/>
                <w:w w:val="100"/>
                <w:sz w:val="21"/>
              </w:rPr>
              <w:t>。</w:t>
            </w:r>
          </w:p>
        </w:tc>
      </w:tr>
      <w:tr>
        <w:trPr>
          <w:trHeight w:val="729" w:hRule="atLeast"/>
        </w:trPr>
        <w:tc>
          <w:tcPr>
            <w:tcW w:w="798" w:type="dxa"/>
            <w:tcBorders>
              <w:bottom w:val="single" w:sz="8" w:space="0" w:color="000000"/>
            </w:tcBorders>
          </w:tcPr>
          <w:p>
            <w:pPr>
              <w:pStyle w:val="TableParagraph"/>
              <w:spacing w:before="170"/>
              <w:ind w:left="107"/>
              <w:rPr>
                <w:rFonts w:ascii="Arial" w:hAnsi="Arial"/>
                <w:b/>
                <w:sz w:val="40"/>
              </w:rPr>
            </w:pPr>
            <w:r>
              <w:rPr>
                <w:rFonts w:ascii="Arial" w:hAnsi="Arial"/>
                <w:b/>
                <w:w w:val="119"/>
                <w:sz w:val="40"/>
              </w:rPr>
              <w:t></w:t>
            </w:r>
          </w:p>
        </w:tc>
        <w:tc>
          <w:tcPr>
            <w:tcW w:w="1867" w:type="dxa"/>
            <w:tcBorders>
              <w:bottom w:val="single" w:sz="8" w:space="0" w:color="000000"/>
            </w:tcBorders>
          </w:tcPr>
          <w:p>
            <w:pPr>
              <w:pStyle w:val="TableParagraph"/>
              <w:spacing w:before="12"/>
              <w:rPr>
                <w:sz w:val="16"/>
              </w:rPr>
            </w:pPr>
          </w:p>
          <w:p>
            <w:pPr>
              <w:pStyle w:val="TableParagraph"/>
              <w:ind w:left="161"/>
              <w:rPr>
                <w:b/>
                <w:sz w:val="24"/>
              </w:rPr>
            </w:pPr>
            <w:r>
              <w:rPr>
                <w:b/>
                <w:w w:val="95"/>
                <w:sz w:val="24"/>
              </w:rPr>
              <w:t>保险金的申请</w:t>
            </w:r>
          </w:p>
        </w:tc>
        <w:tc>
          <w:tcPr>
            <w:tcW w:w="7425" w:type="dxa"/>
            <w:tcBorders>
              <w:bottom w:val="single" w:sz="8" w:space="0" w:color="000000"/>
            </w:tcBorders>
          </w:tcPr>
          <w:p>
            <w:pPr>
              <w:pStyle w:val="TableParagraph"/>
              <w:rPr>
                <w:rFonts w:ascii="Times New Roman"/>
                <w:sz w:val="20"/>
              </w:rPr>
            </w:pPr>
          </w:p>
        </w:tc>
      </w:tr>
      <w:tr>
        <w:trPr>
          <w:trHeight w:val="946" w:hRule="atLeast"/>
        </w:trPr>
        <w:tc>
          <w:tcPr>
            <w:tcW w:w="798" w:type="dxa"/>
            <w:tcBorders>
              <w:top w:val="single" w:sz="8" w:space="0" w:color="000000"/>
            </w:tcBorders>
          </w:tcPr>
          <w:p>
            <w:pPr>
              <w:pStyle w:val="TableParagraph"/>
              <w:spacing w:before="12"/>
              <w:rPr>
                <w:sz w:val="14"/>
              </w:rPr>
            </w:pPr>
          </w:p>
          <w:p>
            <w:pPr>
              <w:pStyle w:val="TableParagraph"/>
              <w:ind w:left="107"/>
              <w:rPr>
                <w:b/>
                <w:sz w:val="21"/>
              </w:rPr>
            </w:pPr>
            <w:r>
              <w:rPr>
                <w:b/>
                <w:sz w:val="21"/>
              </w:rPr>
              <w:t>3.1</w:t>
            </w:r>
          </w:p>
        </w:tc>
        <w:tc>
          <w:tcPr>
            <w:tcW w:w="1867" w:type="dxa"/>
            <w:tcBorders>
              <w:top w:val="single" w:sz="8" w:space="0" w:color="000000"/>
            </w:tcBorders>
          </w:tcPr>
          <w:p>
            <w:pPr>
              <w:pStyle w:val="TableParagraph"/>
              <w:spacing w:before="12"/>
              <w:rPr>
                <w:sz w:val="14"/>
              </w:rPr>
            </w:pPr>
          </w:p>
          <w:p>
            <w:pPr>
              <w:pStyle w:val="TableParagraph"/>
              <w:ind w:left="161"/>
              <w:rPr>
                <w:b/>
                <w:sz w:val="21"/>
              </w:rPr>
            </w:pPr>
            <w:r>
              <w:rPr>
                <w:b/>
                <w:sz w:val="21"/>
              </w:rPr>
              <w:t>受益人</w:t>
            </w:r>
          </w:p>
        </w:tc>
        <w:tc>
          <w:tcPr>
            <w:tcW w:w="7425" w:type="dxa"/>
            <w:tcBorders>
              <w:top w:val="single" w:sz="8" w:space="0" w:color="000000"/>
            </w:tcBorders>
          </w:tcPr>
          <w:p>
            <w:pPr>
              <w:pStyle w:val="TableParagraph"/>
              <w:spacing w:before="12"/>
              <w:rPr>
                <w:sz w:val="14"/>
              </w:rPr>
            </w:pPr>
          </w:p>
          <w:p>
            <w:pPr>
              <w:pStyle w:val="TableParagraph"/>
              <w:spacing w:line="273" w:lineRule="auto"/>
              <w:ind w:left="227" w:right="103"/>
              <w:rPr>
                <w:sz w:val="21"/>
              </w:rPr>
            </w:pPr>
            <w:r>
              <w:rPr>
                <w:spacing w:val="-9"/>
                <w:sz w:val="21"/>
              </w:rPr>
              <w:t>除另有约定外，各次重大疾病保险金、轻症疾病保险金的受益人为被保险人本人。</w:t>
            </w:r>
          </w:p>
        </w:tc>
      </w:tr>
      <w:tr>
        <w:trPr>
          <w:trHeight w:val="3346" w:hRule="atLeast"/>
        </w:trPr>
        <w:tc>
          <w:tcPr>
            <w:tcW w:w="798" w:type="dxa"/>
          </w:tcPr>
          <w:p>
            <w:pPr>
              <w:pStyle w:val="TableParagraph"/>
              <w:spacing w:before="99"/>
              <w:ind w:left="107"/>
              <w:rPr>
                <w:b/>
                <w:sz w:val="21"/>
              </w:rPr>
            </w:pPr>
            <w:r>
              <w:rPr>
                <w:b/>
                <w:sz w:val="21"/>
              </w:rPr>
              <w:t>3.2</w:t>
            </w:r>
          </w:p>
        </w:tc>
        <w:tc>
          <w:tcPr>
            <w:tcW w:w="1867" w:type="dxa"/>
          </w:tcPr>
          <w:p>
            <w:pPr>
              <w:pStyle w:val="TableParagraph"/>
              <w:spacing w:before="99"/>
              <w:ind w:left="161"/>
              <w:rPr>
                <w:b/>
                <w:sz w:val="21"/>
              </w:rPr>
            </w:pPr>
            <w:r>
              <w:rPr>
                <w:b/>
                <w:sz w:val="21"/>
              </w:rPr>
              <w:t>保险金申请</w:t>
            </w:r>
          </w:p>
        </w:tc>
        <w:tc>
          <w:tcPr>
            <w:tcW w:w="7425" w:type="dxa"/>
          </w:tcPr>
          <w:p>
            <w:pPr>
              <w:pStyle w:val="TableParagraph"/>
              <w:spacing w:line="273" w:lineRule="auto" w:before="99"/>
              <w:ind w:left="226" w:right="105"/>
              <w:rPr>
                <w:sz w:val="21"/>
              </w:rPr>
            </w:pPr>
            <w:r>
              <w:rPr>
                <w:spacing w:val="-7"/>
                <w:sz w:val="21"/>
              </w:rPr>
              <w:t>在申请保险金时，受益人作为申请人填写保险金给付申请书，并须提供下列证</w:t>
            </w:r>
            <w:r>
              <w:rPr>
                <w:spacing w:val="-1"/>
                <w:sz w:val="21"/>
              </w:rPr>
              <w:t>明和资料：</w:t>
            </w:r>
          </w:p>
          <w:p>
            <w:pPr>
              <w:pStyle w:val="TableParagraph"/>
              <w:spacing w:before="7"/>
              <w:ind w:left="226"/>
              <w:rPr>
                <w:sz w:val="21"/>
              </w:rPr>
            </w:pPr>
            <w:r>
              <w:rPr>
                <w:sz w:val="21"/>
              </w:rPr>
              <w:t>（1）保险合同；</w:t>
            </w:r>
          </w:p>
          <w:p>
            <w:pPr>
              <w:pStyle w:val="TableParagraph"/>
              <w:spacing w:before="37"/>
              <w:ind w:left="226"/>
              <w:rPr>
                <w:sz w:val="21"/>
              </w:rPr>
            </w:pPr>
            <w:r>
              <w:rPr>
                <w:w w:val="100"/>
                <w:sz w:val="21"/>
              </w:rPr>
              <w:t>（2</w:t>
            </w:r>
            <w:r>
              <w:rPr>
                <w:spacing w:val="-3"/>
                <w:w w:val="100"/>
                <w:sz w:val="21"/>
              </w:rPr>
              <w:t>）受益人的</w:t>
            </w:r>
            <w:r>
              <w:rPr>
                <w:b/>
                <w:spacing w:val="-1"/>
                <w:w w:val="100"/>
                <w:sz w:val="21"/>
              </w:rPr>
              <w:t>有效身份证明</w:t>
            </w:r>
            <w:r>
              <w:rPr>
                <w:w w:val="100"/>
                <w:sz w:val="21"/>
              </w:rPr>
              <w:t>（</w:t>
            </w:r>
            <w:r>
              <w:rPr>
                <w:spacing w:val="-3"/>
                <w:w w:val="100"/>
                <w:sz w:val="21"/>
              </w:rPr>
              <w:t>见主合同释义</w:t>
            </w:r>
            <w:r>
              <w:rPr>
                <w:spacing w:val="-106"/>
                <w:w w:val="100"/>
                <w:sz w:val="21"/>
              </w:rPr>
              <w:t>）</w:t>
            </w:r>
            <w:r>
              <w:rPr>
                <w:w w:val="100"/>
                <w:sz w:val="21"/>
              </w:rPr>
              <w:t>；</w:t>
            </w:r>
          </w:p>
          <w:p>
            <w:pPr>
              <w:pStyle w:val="TableParagraph"/>
              <w:spacing w:line="273" w:lineRule="auto" w:before="37"/>
              <w:ind w:left="745" w:right="136" w:hanging="504"/>
              <w:rPr>
                <w:sz w:val="21"/>
              </w:rPr>
            </w:pPr>
            <w:r>
              <w:rPr>
                <w:sz w:val="21"/>
              </w:rPr>
              <w:t>（3）本公司认可</w:t>
            </w:r>
            <w:r>
              <w:rPr>
                <w:b/>
                <w:sz w:val="21"/>
              </w:rPr>
              <w:t>医院</w:t>
            </w:r>
            <w:r>
              <w:rPr>
                <w:sz w:val="21"/>
              </w:rPr>
              <w:t>的</w:t>
            </w:r>
            <w:r>
              <w:rPr>
                <w:b/>
                <w:sz w:val="21"/>
              </w:rPr>
              <w:t>专科医生</w:t>
            </w:r>
            <w:r>
              <w:rPr>
                <w:sz w:val="21"/>
              </w:rPr>
              <w:t>出具的附有被保险人病历、病理、血液及其他科学方法检验报告的诊断证明文件；</w:t>
            </w:r>
          </w:p>
          <w:p>
            <w:pPr>
              <w:pStyle w:val="TableParagraph"/>
              <w:spacing w:before="7"/>
              <w:ind w:left="226"/>
              <w:rPr>
                <w:sz w:val="21"/>
              </w:rPr>
            </w:pPr>
            <w:r>
              <w:rPr>
                <w:sz w:val="21"/>
              </w:rPr>
              <w:t>（4）所能提供的与确认保险事故的性质、原因等有关的其他证明和资料；</w:t>
            </w:r>
          </w:p>
          <w:p>
            <w:pPr>
              <w:pStyle w:val="TableParagraph"/>
              <w:spacing w:before="36"/>
              <w:ind w:left="226"/>
              <w:rPr>
                <w:sz w:val="21"/>
              </w:rPr>
            </w:pPr>
            <w:r>
              <w:rPr>
                <w:sz w:val="21"/>
              </w:rPr>
              <w:t>（5）本公司需要的其他有关文件和资料。</w:t>
            </w:r>
          </w:p>
          <w:p>
            <w:pPr>
              <w:pStyle w:val="TableParagraph"/>
              <w:spacing w:line="273" w:lineRule="auto" w:before="36"/>
              <w:ind w:left="227" w:right="105"/>
              <w:rPr>
                <w:sz w:val="21"/>
              </w:rPr>
            </w:pPr>
            <w:r>
              <w:rPr>
                <w:spacing w:val="-7"/>
                <w:sz w:val="21"/>
              </w:rPr>
              <w:t>以上证明和资料不完整的，本公司将及时一次性通知申请人补充提供有关的证</w:t>
            </w:r>
            <w:r>
              <w:rPr>
                <w:spacing w:val="-1"/>
                <w:sz w:val="21"/>
              </w:rPr>
              <w:t>明和资料。</w:t>
            </w:r>
          </w:p>
        </w:tc>
      </w:tr>
      <w:tr>
        <w:trPr>
          <w:trHeight w:val="687" w:hRule="atLeast"/>
        </w:trPr>
        <w:tc>
          <w:tcPr>
            <w:tcW w:w="798" w:type="dxa"/>
          </w:tcPr>
          <w:p>
            <w:pPr>
              <w:pStyle w:val="TableParagraph"/>
              <w:spacing w:before="100"/>
              <w:ind w:left="107"/>
              <w:rPr>
                <w:b/>
                <w:sz w:val="21"/>
              </w:rPr>
            </w:pPr>
            <w:r>
              <w:rPr>
                <w:b/>
                <w:sz w:val="21"/>
              </w:rPr>
              <w:t>3.3</w:t>
            </w:r>
          </w:p>
        </w:tc>
        <w:tc>
          <w:tcPr>
            <w:tcW w:w="1867" w:type="dxa"/>
          </w:tcPr>
          <w:p>
            <w:pPr>
              <w:pStyle w:val="TableParagraph"/>
              <w:spacing w:before="100"/>
              <w:ind w:left="161"/>
              <w:rPr>
                <w:b/>
                <w:sz w:val="21"/>
              </w:rPr>
            </w:pPr>
            <w:r>
              <w:rPr>
                <w:b/>
                <w:sz w:val="21"/>
              </w:rPr>
              <w:t>诉讼时效</w:t>
            </w:r>
          </w:p>
        </w:tc>
        <w:tc>
          <w:tcPr>
            <w:tcW w:w="7425" w:type="dxa"/>
          </w:tcPr>
          <w:p>
            <w:pPr>
              <w:pStyle w:val="TableParagraph"/>
              <w:spacing w:line="310" w:lineRule="atLeast" w:before="65"/>
              <w:ind w:left="227" w:right="106"/>
              <w:rPr>
                <w:sz w:val="21"/>
              </w:rPr>
            </w:pPr>
            <w:r>
              <w:rPr>
                <w:spacing w:val="-5"/>
                <w:sz w:val="21"/>
              </w:rPr>
              <w:t>受益人向本公司请求给付本附加合同保险金的诉讼时效期间为 </w:t>
            </w:r>
            <w:r>
              <w:rPr>
                <w:sz w:val="21"/>
              </w:rPr>
              <w:t>2</w:t>
            </w:r>
            <w:r>
              <w:rPr>
                <w:spacing w:val="-16"/>
                <w:sz w:val="21"/>
              </w:rPr>
              <w:t> 年，自其知道</w:t>
            </w:r>
            <w:r>
              <w:rPr>
                <w:spacing w:val="-3"/>
                <w:sz w:val="21"/>
              </w:rPr>
              <w:t>或者应当知道保险事故发生之日起计算。</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19"/>
      </w:tblGrid>
      <w:tr>
        <w:trPr>
          <w:trHeight w:val="535" w:hRule="atLeast"/>
        </w:trPr>
        <w:tc>
          <w:tcPr>
            <w:tcW w:w="713" w:type="dxa"/>
            <w:tcBorders>
              <w:bottom w:val="single" w:sz="8" w:space="0" w:color="000000"/>
            </w:tcBorders>
          </w:tcPr>
          <w:p>
            <w:pPr>
              <w:pStyle w:val="TableParagraph"/>
              <w:ind w:left="107"/>
              <w:rPr>
                <w:rFonts w:ascii="Wingdings" w:hAnsi="Wingdings"/>
                <w:sz w:val="40"/>
              </w:rPr>
            </w:pPr>
            <w:r>
              <w:rPr>
                <w:rFonts w:ascii="Wingdings" w:hAnsi="Wingdings"/>
                <w:w w:val="100"/>
                <w:sz w:val="40"/>
              </w:rPr>
              <w:t></w:t>
            </w:r>
          </w:p>
        </w:tc>
        <w:tc>
          <w:tcPr>
            <w:tcW w:w="2058" w:type="dxa"/>
            <w:tcBorders>
              <w:bottom w:val="single" w:sz="8" w:space="0" w:color="000000"/>
            </w:tcBorders>
          </w:tcPr>
          <w:p>
            <w:pPr>
              <w:pStyle w:val="TableParagraph"/>
              <w:spacing w:before="27"/>
              <w:ind w:left="326"/>
              <w:rPr>
                <w:b/>
                <w:sz w:val="24"/>
              </w:rPr>
            </w:pPr>
            <w:r>
              <w:rPr>
                <w:b/>
                <w:w w:val="95"/>
                <w:sz w:val="24"/>
              </w:rPr>
              <w:t>现金价值权益</w:t>
            </w:r>
          </w:p>
        </w:tc>
        <w:tc>
          <w:tcPr>
            <w:tcW w:w="7319" w:type="dxa"/>
            <w:tcBorders>
              <w:bottom w:val="single" w:sz="8" w:space="0" w:color="000000"/>
            </w:tcBorders>
          </w:tcPr>
          <w:p>
            <w:pPr>
              <w:pStyle w:val="TableParagraph"/>
              <w:rPr>
                <w:rFonts w:ascii="Times New Roman"/>
                <w:sz w:val="20"/>
              </w:rPr>
            </w:pPr>
          </w:p>
        </w:tc>
      </w:tr>
      <w:tr>
        <w:trPr>
          <w:trHeight w:val="1599"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4.1</w:t>
            </w:r>
          </w:p>
        </w:tc>
        <w:tc>
          <w:tcPr>
            <w:tcW w:w="2058" w:type="dxa"/>
            <w:tcBorders>
              <w:top w:val="single" w:sz="8" w:space="0" w:color="000000"/>
            </w:tcBorders>
          </w:tcPr>
          <w:p>
            <w:pPr>
              <w:pStyle w:val="TableParagraph"/>
              <w:spacing w:before="12"/>
              <w:rPr>
                <w:sz w:val="14"/>
              </w:rPr>
            </w:pPr>
          </w:p>
          <w:p>
            <w:pPr>
              <w:pStyle w:val="TableParagraph"/>
              <w:ind w:left="326"/>
              <w:rPr>
                <w:b/>
                <w:sz w:val="21"/>
              </w:rPr>
            </w:pPr>
            <w:r>
              <w:rPr>
                <w:b/>
                <w:sz w:val="21"/>
              </w:rPr>
              <w:t>现金价值</w:t>
            </w:r>
          </w:p>
        </w:tc>
        <w:tc>
          <w:tcPr>
            <w:tcW w:w="7319" w:type="dxa"/>
            <w:tcBorders>
              <w:top w:val="single" w:sz="8" w:space="0" w:color="000000"/>
            </w:tcBorders>
          </w:tcPr>
          <w:p>
            <w:pPr>
              <w:pStyle w:val="TableParagraph"/>
              <w:spacing w:before="12"/>
              <w:rPr>
                <w:sz w:val="14"/>
              </w:rPr>
            </w:pPr>
          </w:p>
          <w:p>
            <w:pPr>
              <w:pStyle w:val="TableParagraph"/>
              <w:spacing w:line="273" w:lineRule="auto"/>
              <w:ind w:left="161" w:right="99"/>
              <w:rPr>
                <w:sz w:val="21"/>
              </w:rPr>
            </w:pPr>
            <w:r>
              <w:rPr>
                <w:spacing w:val="-11"/>
                <w:sz w:val="21"/>
              </w:rPr>
              <w:t>本附加合同具有现金价值，并已包含在主合同的现金价值中载明于保险单或批注上。</w:t>
            </w:r>
          </w:p>
          <w:p>
            <w:pPr>
              <w:pStyle w:val="TableParagraph"/>
              <w:spacing w:line="273" w:lineRule="auto" w:before="7"/>
              <w:ind w:left="162" w:right="98" w:hanging="1"/>
              <w:rPr>
                <w:rFonts w:ascii="黑体" w:eastAsia="黑体" w:hint="eastAsia"/>
                <w:sz w:val="21"/>
              </w:rPr>
            </w:pPr>
            <w:r>
              <w:rPr>
                <w:rFonts w:ascii="黑体" w:eastAsia="黑体" w:hint="eastAsia"/>
                <w:spacing w:val="-9"/>
                <w:sz w:val="21"/>
              </w:rPr>
              <w:t>本公司给付首次重大疾病保险金后，本附加合同的现金价值自首次重大疾病确</w:t>
            </w:r>
            <w:r>
              <w:rPr>
                <w:rFonts w:ascii="黑体" w:eastAsia="黑体" w:hint="eastAsia"/>
                <w:spacing w:val="-5"/>
                <w:sz w:val="21"/>
              </w:rPr>
              <w:t>诊之日起降低为零。</w:t>
            </w:r>
          </w:p>
        </w:tc>
      </w:tr>
      <w:tr>
        <w:trPr>
          <w:trHeight w:val="715" w:hRule="atLeast"/>
        </w:trPr>
        <w:tc>
          <w:tcPr>
            <w:tcW w:w="713" w:type="dxa"/>
            <w:tcBorders>
              <w:bottom w:val="single" w:sz="8" w:space="0" w:color="000000"/>
            </w:tcBorders>
          </w:tcPr>
          <w:p>
            <w:pPr>
              <w:pStyle w:val="TableParagraph"/>
              <w:spacing w:before="156"/>
              <w:ind w:left="107"/>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207"/>
              <w:ind w:left="246"/>
              <w:rPr>
                <w:b/>
                <w:sz w:val="24"/>
              </w:rPr>
            </w:pPr>
            <w:r>
              <w:rPr>
                <w:b/>
                <w:w w:val="95"/>
                <w:sz w:val="24"/>
              </w:rPr>
              <w:t>合同效力的中止及恢复</w:t>
            </w:r>
          </w:p>
        </w:tc>
      </w:tr>
      <w:tr>
        <w:trPr>
          <w:trHeight w:val="946" w:hRule="atLeast"/>
        </w:trPr>
        <w:tc>
          <w:tcPr>
            <w:tcW w:w="713" w:type="dxa"/>
            <w:tcBorders>
              <w:top w:val="single" w:sz="8" w:space="0" w:color="000000"/>
            </w:tcBorders>
          </w:tcPr>
          <w:p>
            <w:pPr>
              <w:pStyle w:val="TableParagraph"/>
              <w:spacing w:before="10"/>
              <w:rPr>
                <w:sz w:val="14"/>
              </w:rPr>
            </w:pPr>
          </w:p>
          <w:p>
            <w:pPr>
              <w:pStyle w:val="TableParagraph"/>
              <w:ind w:left="107"/>
              <w:rPr>
                <w:b/>
                <w:sz w:val="21"/>
              </w:rPr>
            </w:pPr>
            <w:r>
              <w:rPr>
                <w:b/>
                <w:sz w:val="21"/>
              </w:rPr>
              <w:t>5.1</w:t>
            </w:r>
          </w:p>
        </w:tc>
        <w:tc>
          <w:tcPr>
            <w:tcW w:w="2058" w:type="dxa"/>
            <w:tcBorders>
              <w:top w:val="single" w:sz="8" w:space="0" w:color="000000"/>
            </w:tcBorders>
          </w:tcPr>
          <w:p>
            <w:pPr>
              <w:pStyle w:val="TableParagraph"/>
              <w:spacing w:before="10"/>
              <w:rPr>
                <w:sz w:val="14"/>
              </w:rPr>
            </w:pPr>
          </w:p>
          <w:p>
            <w:pPr>
              <w:pStyle w:val="TableParagraph"/>
              <w:ind w:left="246"/>
              <w:rPr>
                <w:b/>
                <w:sz w:val="21"/>
              </w:rPr>
            </w:pPr>
            <w:r>
              <w:rPr>
                <w:b/>
                <w:sz w:val="21"/>
              </w:rPr>
              <w:t>效力中止</w:t>
            </w:r>
          </w:p>
        </w:tc>
        <w:tc>
          <w:tcPr>
            <w:tcW w:w="7319" w:type="dxa"/>
            <w:tcBorders>
              <w:top w:val="single" w:sz="8" w:space="0" w:color="000000"/>
            </w:tcBorders>
          </w:tcPr>
          <w:p>
            <w:pPr>
              <w:pStyle w:val="TableParagraph"/>
              <w:spacing w:before="10"/>
              <w:rPr>
                <w:sz w:val="14"/>
              </w:rPr>
            </w:pPr>
          </w:p>
          <w:p>
            <w:pPr>
              <w:pStyle w:val="TableParagraph"/>
              <w:spacing w:line="273" w:lineRule="auto"/>
              <w:ind w:left="121" w:right="258"/>
              <w:rPr>
                <w:sz w:val="21"/>
              </w:rPr>
            </w:pPr>
            <w:r>
              <w:rPr>
                <w:sz w:val="21"/>
              </w:rPr>
              <w:t>除主合同或本附加合同另有约定外，本附加合同效力的中止与主合同一致。在本附加合同效力中止期间，本公司不承担保险责任。</w:t>
            </w:r>
          </w:p>
        </w:tc>
      </w:tr>
      <w:tr>
        <w:trPr>
          <w:trHeight w:val="564" w:hRule="atLeast"/>
        </w:trPr>
        <w:tc>
          <w:tcPr>
            <w:tcW w:w="713" w:type="dxa"/>
          </w:tcPr>
          <w:p>
            <w:pPr>
              <w:pStyle w:val="TableParagraph"/>
              <w:spacing w:before="102"/>
              <w:ind w:left="107"/>
              <w:rPr>
                <w:b/>
                <w:sz w:val="21"/>
              </w:rPr>
            </w:pPr>
            <w:r>
              <w:rPr>
                <w:b/>
                <w:sz w:val="21"/>
              </w:rPr>
              <w:t>5.2</w:t>
            </w:r>
          </w:p>
        </w:tc>
        <w:tc>
          <w:tcPr>
            <w:tcW w:w="2058" w:type="dxa"/>
          </w:tcPr>
          <w:p>
            <w:pPr>
              <w:pStyle w:val="TableParagraph"/>
              <w:spacing w:before="102"/>
              <w:ind w:left="246"/>
              <w:rPr>
                <w:b/>
                <w:sz w:val="21"/>
              </w:rPr>
            </w:pPr>
            <w:r>
              <w:rPr>
                <w:b/>
                <w:sz w:val="21"/>
              </w:rPr>
              <w:t>效力恢复</w:t>
            </w:r>
          </w:p>
        </w:tc>
        <w:tc>
          <w:tcPr>
            <w:tcW w:w="7319" w:type="dxa"/>
          </w:tcPr>
          <w:p>
            <w:pPr>
              <w:pStyle w:val="TableParagraph"/>
              <w:spacing w:before="102"/>
              <w:ind w:left="120"/>
              <w:rPr>
                <w:sz w:val="21"/>
              </w:rPr>
            </w:pPr>
            <w:r>
              <w:rPr>
                <w:sz w:val="21"/>
              </w:rPr>
              <w:t>除主合同或本附加合同另有约定外，本附加合同效力的恢复与主合同一致。</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2"/>
              <w:ind w:left="246"/>
              <w:rPr>
                <w:b/>
                <w:sz w:val="24"/>
              </w:rPr>
            </w:pPr>
            <w:r>
              <w:rPr>
                <w:b/>
                <w:sz w:val="24"/>
              </w:rPr>
              <w:t>合同解除</w:t>
            </w:r>
          </w:p>
        </w:tc>
        <w:tc>
          <w:tcPr>
            <w:tcW w:w="7319" w:type="dxa"/>
            <w:tcBorders>
              <w:bottom w:val="single" w:sz="8" w:space="0" w:color="000000"/>
            </w:tcBorders>
          </w:tcPr>
          <w:p>
            <w:pPr>
              <w:pStyle w:val="TableParagraph"/>
              <w:rPr>
                <w:rFonts w:ascii="Times New Roman"/>
                <w:sz w:val="20"/>
              </w:rPr>
            </w:pPr>
          </w:p>
        </w:tc>
      </w:tr>
      <w:tr>
        <w:trPr>
          <w:trHeight w:val="2842"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6.1</w:t>
            </w:r>
          </w:p>
        </w:tc>
        <w:tc>
          <w:tcPr>
            <w:tcW w:w="2058" w:type="dxa"/>
            <w:tcBorders>
              <w:top w:val="single" w:sz="8" w:space="0" w:color="000000"/>
            </w:tcBorders>
          </w:tcPr>
          <w:p>
            <w:pPr>
              <w:pStyle w:val="TableParagraph"/>
              <w:spacing w:before="12"/>
              <w:rPr>
                <w:sz w:val="14"/>
              </w:rPr>
            </w:pPr>
          </w:p>
          <w:p>
            <w:pPr>
              <w:pStyle w:val="TableParagraph"/>
              <w:spacing w:line="273" w:lineRule="auto"/>
              <w:ind w:left="246" w:right="119"/>
              <w:rPr>
                <w:b/>
                <w:sz w:val="21"/>
              </w:rPr>
            </w:pPr>
            <w:r>
              <w:rPr>
                <w:b/>
                <w:sz w:val="21"/>
              </w:rPr>
              <w:t>您解除合同的手续及风险</w:t>
            </w:r>
          </w:p>
        </w:tc>
        <w:tc>
          <w:tcPr>
            <w:tcW w:w="7319" w:type="dxa"/>
            <w:tcBorders>
              <w:top w:val="single" w:sz="8" w:space="0" w:color="000000"/>
            </w:tcBorders>
          </w:tcPr>
          <w:p>
            <w:pPr>
              <w:pStyle w:val="TableParagraph"/>
              <w:spacing w:before="12"/>
              <w:rPr>
                <w:sz w:val="14"/>
              </w:rPr>
            </w:pPr>
          </w:p>
          <w:p>
            <w:pPr>
              <w:pStyle w:val="TableParagraph"/>
              <w:spacing w:line="273" w:lineRule="auto"/>
              <w:ind w:left="120" w:right="55"/>
              <w:rPr>
                <w:sz w:val="21"/>
              </w:rPr>
            </w:pPr>
            <w:r>
              <w:rPr>
                <w:sz w:val="21"/>
              </w:rPr>
              <w:t>如您在犹豫期后申请解除本附加合同，请填写解除合同申请书并向本公司提供下列资料：</w:t>
            </w:r>
          </w:p>
          <w:p>
            <w:pPr>
              <w:pStyle w:val="TableParagraph"/>
              <w:spacing w:before="7"/>
              <w:ind w:left="120"/>
              <w:rPr>
                <w:sz w:val="21"/>
              </w:rPr>
            </w:pPr>
            <w:r>
              <w:rPr>
                <w:sz w:val="21"/>
              </w:rPr>
              <w:t>（1）保险合同；</w:t>
            </w:r>
          </w:p>
          <w:p>
            <w:pPr>
              <w:pStyle w:val="TableParagraph"/>
              <w:spacing w:before="37"/>
              <w:ind w:left="120"/>
              <w:rPr>
                <w:sz w:val="21"/>
              </w:rPr>
            </w:pPr>
            <w:r>
              <w:rPr>
                <w:sz w:val="21"/>
              </w:rPr>
              <w:t>（2）您的</w:t>
            </w:r>
            <w:r>
              <w:rPr>
                <w:b/>
                <w:sz w:val="21"/>
              </w:rPr>
              <w:t>有效身份证明</w:t>
            </w:r>
            <w:r>
              <w:rPr>
                <w:sz w:val="21"/>
              </w:rPr>
              <w:t>。</w:t>
            </w:r>
          </w:p>
          <w:p>
            <w:pPr>
              <w:pStyle w:val="TableParagraph"/>
              <w:spacing w:before="37"/>
              <w:ind w:left="120"/>
              <w:rPr>
                <w:sz w:val="21"/>
              </w:rPr>
            </w:pPr>
            <w:r>
              <w:rPr>
                <w:sz w:val="21"/>
              </w:rPr>
              <w:t>您在解除本附加合同时，须同时申请解除主合同。</w:t>
            </w:r>
          </w:p>
          <w:p>
            <w:pPr>
              <w:pStyle w:val="TableParagraph"/>
              <w:spacing w:line="273" w:lineRule="auto" w:before="37"/>
              <w:ind w:left="120" w:right="105"/>
              <w:rPr>
                <w:rFonts w:ascii="黑体" w:eastAsia="黑体" w:hint="eastAsia"/>
                <w:sz w:val="21"/>
              </w:rPr>
            </w:pPr>
            <w:r>
              <w:rPr>
                <w:rFonts w:ascii="黑体" w:eastAsia="黑体" w:hint="eastAsia"/>
                <w:spacing w:val="-6"/>
                <w:sz w:val="21"/>
              </w:rPr>
              <w:t>自本公司收到解除合同申请书之日起，本附加合同终止。本公司自收到解除合</w:t>
            </w:r>
            <w:r>
              <w:rPr>
                <w:rFonts w:ascii="黑体" w:eastAsia="黑体" w:hint="eastAsia"/>
                <w:spacing w:val="-8"/>
                <w:sz w:val="21"/>
              </w:rPr>
              <w:t>同申请书之日起 </w:t>
            </w:r>
            <w:r>
              <w:rPr>
                <w:rFonts w:ascii="黑体" w:eastAsia="黑体" w:hint="eastAsia"/>
                <w:sz w:val="21"/>
              </w:rPr>
              <w:t>30</w:t>
            </w:r>
            <w:r>
              <w:rPr>
                <w:rFonts w:ascii="黑体" w:eastAsia="黑体" w:hint="eastAsia"/>
                <w:spacing w:val="-8"/>
                <w:sz w:val="21"/>
              </w:rPr>
              <w:t> 日内向您退还本附加合同的现金价值。</w:t>
            </w:r>
          </w:p>
          <w:p>
            <w:pPr>
              <w:pStyle w:val="TableParagraph"/>
              <w:spacing w:before="7"/>
              <w:ind w:left="120"/>
              <w:rPr>
                <w:rFonts w:ascii="黑体" w:eastAsia="黑体" w:hint="eastAsia"/>
                <w:sz w:val="21"/>
              </w:rPr>
            </w:pPr>
            <w:r>
              <w:rPr>
                <w:rFonts w:ascii="黑体" w:eastAsia="黑体" w:hint="eastAsia"/>
                <w:sz w:val="21"/>
              </w:rPr>
              <w:t>您在犹豫期后解除合同会遭受一定损失。</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202"/>
              <w:ind w:left="246"/>
              <w:rPr>
                <w:b/>
                <w:sz w:val="24"/>
              </w:rPr>
            </w:pPr>
            <w:r>
              <w:rPr>
                <w:b/>
                <w:w w:val="95"/>
                <w:sz w:val="24"/>
              </w:rPr>
              <w:t>其他需要关注的事项</w:t>
            </w:r>
          </w:p>
        </w:tc>
      </w:tr>
      <w:tr>
        <w:trPr>
          <w:trHeight w:val="1881"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7.1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就医安排</w:t>
            </w:r>
          </w:p>
        </w:tc>
        <w:tc>
          <w:tcPr>
            <w:tcW w:w="7319" w:type="dxa"/>
            <w:tcBorders>
              <w:top w:val="single" w:sz="8" w:space="0" w:color="000000"/>
            </w:tcBorders>
          </w:tcPr>
          <w:p>
            <w:pPr>
              <w:pStyle w:val="TableParagraph"/>
              <w:spacing w:before="12"/>
              <w:rPr>
                <w:sz w:val="14"/>
              </w:rPr>
            </w:pPr>
          </w:p>
          <w:p>
            <w:pPr>
              <w:pStyle w:val="TableParagraph"/>
              <w:spacing w:line="273" w:lineRule="auto"/>
              <w:ind w:left="120" w:right="102"/>
              <w:jc w:val="both"/>
              <w:rPr>
                <w:sz w:val="21"/>
              </w:rPr>
            </w:pPr>
            <w:r>
              <w:rPr>
                <w:spacing w:val="-5"/>
                <w:sz w:val="21"/>
              </w:rPr>
              <w:t>被保险人确诊初次患上本附加合同重大疾病列表</w:t>
            </w:r>
            <w:r>
              <w:rPr>
                <w:spacing w:val="-3"/>
                <w:sz w:val="21"/>
              </w:rPr>
              <w:t>（</w:t>
            </w:r>
            <w:r>
              <w:rPr>
                <w:spacing w:val="-2"/>
                <w:sz w:val="21"/>
              </w:rPr>
              <w:t>详见附录一</w:t>
            </w:r>
            <w:r>
              <w:rPr>
                <w:spacing w:val="-27"/>
                <w:sz w:val="21"/>
              </w:rPr>
              <w:t>）</w:t>
            </w:r>
            <w:r>
              <w:rPr>
                <w:spacing w:val="-3"/>
                <w:sz w:val="21"/>
              </w:rPr>
              <w:t>内所界定的任</w:t>
            </w:r>
            <w:r>
              <w:rPr>
                <w:spacing w:val="-7"/>
                <w:sz w:val="21"/>
              </w:rPr>
              <w:t>何一种重大疾病，本公司免费提供一次就医安排，具体就医安排内容及医院目</w:t>
            </w:r>
            <w:r>
              <w:rPr>
                <w:spacing w:val="-5"/>
                <w:sz w:val="21"/>
              </w:rPr>
              <w:t>录以本公司在公司官网</w:t>
            </w:r>
            <w:r>
              <w:rPr>
                <w:spacing w:val="-1"/>
                <w:sz w:val="21"/>
              </w:rPr>
              <w:t>（</w:t>
            </w:r>
            <w:hyperlink r:id="rId6">
              <w:r>
                <w:rPr>
                  <w:spacing w:val="-1"/>
                  <w:sz w:val="21"/>
                </w:rPr>
                <w:t>www.bocommlife.com</w:t>
              </w:r>
            </w:hyperlink>
            <w:r>
              <w:rPr>
                <w:spacing w:val="-1"/>
                <w:sz w:val="21"/>
              </w:rPr>
              <w:t>）</w:t>
            </w:r>
            <w:r>
              <w:rPr>
                <w:spacing w:val="-6"/>
                <w:sz w:val="21"/>
              </w:rPr>
              <w:t>公布的为准，且本公司可适时</w:t>
            </w:r>
            <w:r>
              <w:rPr>
                <w:spacing w:val="-7"/>
                <w:sz w:val="21"/>
              </w:rPr>
              <w:t>调整。被保险人在安排的就诊医院特需</w:t>
            </w:r>
            <w:r>
              <w:rPr>
                <w:spacing w:val="-3"/>
                <w:sz w:val="21"/>
              </w:rPr>
              <w:t>/</w:t>
            </w:r>
            <w:r>
              <w:rPr>
                <w:spacing w:val="-6"/>
                <w:sz w:val="21"/>
              </w:rPr>
              <w:t>特约门诊部就诊，相应的特需</w:t>
            </w:r>
            <w:r>
              <w:rPr>
                <w:sz w:val="21"/>
              </w:rPr>
              <w:t>/</w:t>
            </w:r>
            <w:r>
              <w:rPr>
                <w:spacing w:val="-2"/>
                <w:sz w:val="21"/>
              </w:rPr>
              <w:t>特约门</w:t>
            </w:r>
            <w:r>
              <w:rPr>
                <w:spacing w:val="-3"/>
                <w:sz w:val="21"/>
              </w:rPr>
              <w:t>诊挂号费由本公司承担，其余产生的医疗费用由被保险人自行承担。</w:t>
            </w:r>
          </w:p>
        </w:tc>
      </w:tr>
      <w:tr>
        <w:trPr>
          <w:trHeight w:val="850" w:hRule="atLeast"/>
        </w:trPr>
        <w:tc>
          <w:tcPr>
            <w:tcW w:w="713" w:type="dxa"/>
          </w:tcPr>
          <w:p>
            <w:pPr>
              <w:pStyle w:val="TableParagraph"/>
              <w:spacing w:before="99"/>
              <w:ind w:left="107"/>
              <w:rPr>
                <w:b/>
                <w:sz w:val="21"/>
              </w:rPr>
            </w:pPr>
            <w:r>
              <w:rPr>
                <w:b/>
                <w:sz w:val="21"/>
              </w:rPr>
              <w:t>7.2</w:t>
            </w:r>
          </w:p>
        </w:tc>
        <w:tc>
          <w:tcPr>
            <w:tcW w:w="2058" w:type="dxa"/>
          </w:tcPr>
          <w:p>
            <w:pPr>
              <w:pStyle w:val="TableParagraph"/>
              <w:spacing w:before="99"/>
              <w:ind w:left="246"/>
              <w:rPr>
                <w:b/>
                <w:sz w:val="21"/>
              </w:rPr>
            </w:pPr>
            <w:r>
              <w:rPr>
                <w:b/>
                <w:sz w:val="21"/>
              </w:rPr>
              <w:t>效力终止</w:t>
            </w:r>
          </w:p>
        </w:tc>
        <w:tc>
          <w:tcPr>
            <w:tcW w:w="7319" w:type="dxa"/>
          </w:tcPr>
          <w:p>
            <w:pPr>
              <w:pStyle w:val="TableParagraph"/>
              <w:spacing w:line="273" w:lineRule="auto" w:before="99"/>
              <w:ind w:left="120" w:right="54"/>
              <w:rPr>
                <w:sz w:val="21"/>
              </w:rPr>
            </w:pPr>
            <w:r>
              <w:rPr>
                <w:sz w:val="21"/>
              </w:rPr>
              <w:t>除主合同或本附加合同另有约定外，本附加合同的效力在主合同撤销、解除、期满、终止时自动终止。</w:t>
            </w:r>
          </w:p>
        </w:tc>
      </w:tr>
      <w:tr>
        <w:trPr>
          <w:trHeight w:val="2559" w:hRule="atLeast"/>
        </w:trPr>
        <w:tc>
          <w:tcPr>
            <w:tcW w:w="713" w:type="dxa"/>
          </w:tcPr>
          <w:p>
            <w:pPr>
              <w:pStyle w:val="TableParagraph"/>
              <w:spacing w:before="100"/>
              <w:ind w:left="107"/>
              <w:rPr>
                <w:b/>
                <w:sz w:val="21"/>
              </w:rPr>
            </w:pPr>
            <w:r>
              <w:rPr>
                <w:b/>
                <w:sz w:val="21"/>
              </w:rPr>
              <w:t>7.3</w:t>
            </w:r>
          </w:p>
        </w:tc>
        <w:tc>
          <w:tcPr>
            <w:tcW w:w="2058" w:type="dxa"/>
          </w:tcPr>
          <w:p>
            <w:pPr>
              <w:pStyle w:val="TableParagraph"/>
              <w:spacing w:before="100"/>
              <w:ind w:left="246"/>
              <w:rPr>
                <w:b/>
                <w:sz w:val="21"/>
              </w:rPr>
            </w:pPr>
            <w:r>
              <w:rPr>
                <w:b/>
                <w:sz w:val="21"/>
              </w:rPr>
              <w:t>适用主合同条款</w:t>
            </w:r>
          </w:p>
        </w:tc>
        <w:tc>
          <w:tcPr>
            <w:tcW w:w="7319" w:type="dxa"/>
          </w:tcPr>
          <w:p>
            <w:pPr>
              <w:pStyle w:val="TableParagraph"/>
              <w:spacing w:before="100"/>
              <w:ind w:left="120"/>
              <w:rPr>
                <w:sz w:val="21"/>
              </w:rPr>
            </w:pPr>
            <w:r>
              <w:rPr>
                <w:sz w:val="21"/>
              </w:rPr>
              <w:t>主合同订立的下列各项条款适用于本附加合同：</w:t>
            </w:r>
          </w:p>
          <w:p>
            <w:pPr>
              <w:pStyle w:val="TableParagraph"/>
              <w:spacing w:before="36"/>
              <w:ind w:left="121"/>
              <w:rPr>
                <w:sz w:val="21"/>
              </w:rPr>
            </w:pPr>
            <w:r>
              <w:rPr>
                <w:sz w:val="21"/>
              </w:rPr>
              <w:t>（1）合同成立与生效</w:t>
            </w:r>
          </w:p>
          <w:p>
            <w:pPr>
              <w:pStyle w:val="TableParagraph"/>
              <w:spacing w:before="36"/>
              <w:ind w:left="121"/>
              <w:rPr>
                <w:sz w:val="21"/>
              </w:rPr>
            </w:pPr>
            <w:r>
              <w:rPr>
                <w:sz w:val="21"/>
              </w:rPr>
              <w:t>（2）保险期间</w:t>
            </w:r>
          </w:p>
          <w:p>
            <w:pPr>
              <w:pStyle w:val="TableParagraph"/>
              <w:spacing w:before="36"/>
              <w:ind w:left="121"/>
              <w:rPr>
                <w:sz w:val="21"/>
              </w:rPr>
            </w:pPr>
            <w:r>
              <w:rPr>
                <w:sz w:val="21"/>
              </w:rPr>
              <w:t>（3）保险事故通知</w:t>
            </w:r>
          </w:p>
          <w:p>
            <w:pPr>
              <w:pStyle w:val="TableParagraph"/>
              <w:spacing w:before="36"/>
              <w:ind w:left="121"/>
              <w:rPr>
                <w:sz w:val="21"/>
              </w:rPr>
            </w:pPr>
            <w:r>
              <w:rPr>
                <w:sz w:val="21"/>
              </w:rPr>
              <w:t>（4）保险金给付</w:t>
            </w:r>
          </w:p>
          <w:p>
            <w:pPr>
              <w:pStyle w:val="TableParagraph"/>
              <w:spacing w:before="36"/>
              <w:ind w:left="121"/>
              <w:rPr>
                <w:sz w:val="21"/>
              </w:rPr>
            </w:pPr>
            <w:r>
              <w:rPr>
                <w:sz w:val="21"/>
              </w:rPr>
              <w:t>（5）保险费的交纳</w:t>
            </w:r>
          </w:p>
          <w:p>
            <w:pPr>
              <w:pStyle w:val="TableParagraph"/>
              <w:spacing w:before="36"/>
              <w:ind w:left="121"/>
              <w:rPr>
                <w:sz w:val="21"/>
              </w:rPr>
            </w:pPr>
            <w:r>
              <w:rPr>
                <w:sz w:val="21"/>
              </w:rPr>
              <w:t>（6）宽限期</w:t>
            </w:r>
          </w:p>
          <w:p>
            <w:pPr>
              <w:pStyle w:val="TableParagraph"/>
              <w:spacing w:line="255" w:lineRule="exact" w:before="36"/>
              <w:ind w:left="121"/>
              <w:rPr>
                <w:sz w:val="21"/>
              </w:rPr>
            </w:pPr>
            <w:r>
              <w:rPr>
                <w:sz w:val="21"/>
              </w:rPr>
              <w:t>（7）保单贷款</w:t>
            </w:r>
          </w:p>
        </w:tc>
      </w:tr>
    </w:tbl>
    <w:p>
      <w:pPr>
        <w:spacing w:after="0" w:line="255" w:lineRule="exact"/>
        <w:rPr>
          <w:sz w:val="21"/>
        </w:rPr>
        <w:sectPr>
          <w:pgSz w:w="11910" w:h="16840"/>
          <w:pgMar w:top="12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20"/>
      </w:tblGrid>
      <w:tr>
        <w:trPr>
          <w:trHeight w:val="2584" w:hRule="atLeast"/>
        </w:trPr>
        <w:tc>
          <w:tcPr>
            <w:tcW w:w="713" w:type="dxa"/>
          </w:tcPr>
          <w:p>
            <w:pPr>
              <w:pStyle w:val="TableParagraph"/>
              <w:rPr>
                <w:rFonts w:ascii="Times New Roman"/>
                <w:sz w:val="20"/>
              </w:rPr>
            </w:pPr>
          </w:p>
        </w:tc>
        <w:tc>
          <w:tcPr>
            <w:tcW w:w="2058" w:type="dxa"/>
          </w:tcPr>
          <w:p>
            <w:pPr>
              <w:pStyle w:val="TableParagraph"/>
              <w:rPr>
                <w:rFonts w:ascii="Times New Roman"/>
                <w:sz w:val="20"/>
              </w:rPr>
            </w:pPr>
          </w:p>
        </w:tc>
        <w:tc>
          <w:tcPr>
            <w:tcW w:w="7320" w:type="dxa"/>
          </w:tcPr>
          <w:p>
            <w:pPr>
              <w:pStyle w:val="TableParagraph"/>
              <w:spacing w:line="211" w:lineRule="exact"/>
              <w:ind w:left="120"/>
              <w:rPr>
                <w:sz w:val="21"/>
              </w:rPr>
            </w:pPr>
            <w:r>
              <w:rPr>
                <w:sz w:val="21"/>
              </w:rPr>
              <w:t>（8）保险费自动垫交</w:t>
            </w:r>
          </w:p>
          <w:p>
            <w:pPr>
              <w:pStyle w:val="TableParagraph"/>
              <w:spacing w:before="37"/>
              <w:ind w:left="120"/>
              <w:rPr>
                <w:sz w:val="21"/>
              </w:rPr>
            </w:pPr>
            <w:r>
              <w:rPr>
                <w:sz w:val="21"/>
              </w:rPr>
              <w:t>（9）明确说明与如实告知</w:t>
            </w:r>
          </w:p>
          <w:p>
            <w:pPr>
              <w:pStyle w:val="TableParagraph"/>
              <w:spacing w:before="37"/>
              <w:ind w:left="120"/>
              <w:rPr>
                <w:sz w:val="21"/>
              </w:rPr>
            </w:pPr>
            <w:r>
              <w:rPr>
                <w:sz w:val="21"/>
              </w:rPr>
              <w:t>（10）本公司合同解除权的限制</w:t>
            </w:r>
          </w:p>
          <w:p>
            <w:pPr>
              <w:pStyle w:val="TableParagraph"/>
              <w:spacing w:before="37"/>
              <w:ind w:left="120"/>
              <w:rPr>
                <w:sz w:val="21"/>
              </w:rPr>
            </w:pPr>
            <w:r>
              <w:rPr>
                <w:sz w:val="21"/>
              </w:rPr>
              <w:t>（11）年龄性别错误</w:t>
            </w:r>
          </w:p>
          <w:p>
            <w:pPr>
              <w:pStyle w:val="TableParagraph"/>
              <w:spacing w:before="37"/>
              <w:ind w:left="120"/>
              <w:rPr>
                <w:sz w:val="21"/>
              </w:rPr>
            </w:pPr>
            <w:r>
              <w:rPr>
                <w:sz w:val="21"/>
              </w:rPr>
              <w:t>（12）未还款项</w:t>
            </w:r>
          </w:p>
          <w:p>
            <w:pPr>
              <w:pStyle w:val="TableParagraph"/>
              <w:spacing w:before="37"/>
              <w:ind w:left="120"/>
              <w:rPr>
                <w:sz w:val="21"/>
              </w:rPr>
            </w:pPr>
            <w:r>
              <w:rPr>
                <w:sz w:val="21"/>
              </w:rPr>
              <w:t>（13）合同内容变更</w:t>
            </w:r>
          </w:p>
          <w:p>
            <w:pPr>
              <w:pStyle w:val="TableParagraph"/>
              <w:spacing w:before="37"/>
              <w:ind w:left="120"/>
              <w:rPr>
                <w:sz w:val="21"/>
              </w:rPr>
            </w:pPr>
            <w:r>
              <w:rPr>
                <w:sz w:val="21"/>
              </w:rPr>
              <w:t>（14）争议处理</w:t>
            </w:r>
          </w:p>
          <w:p>
            <w:pPr>
              <w:pStyle w:val="TableParagraph"/>
              <w:spacing w:before="37"/>
              <w:ind w:left="120"/>
              <w:rPr>
                <w:sz w:val="21"/>
              </w:rPr>
            </w:pPr>
            <w:r>
              <w:rPr>
                <w:sz w:val="21"/>
              </w:rPr>
              <w:t>如果本附加合同的条款与主合同不一致，则以本附加合同的条款为准。</w:t>
            </w:r>
          </w:p>
        </w:tc>
      </w:tr>
      <w:tr>
        <w:trPr>
          <w:trHeight w:val="711" w:hRule="atLeast"/>
        </w:trPr>
        <w:tc>
          <w:tcPr>
            <w:tcW w:w="71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4"/>
              <w:ind w:left="246"/>
              <w:rPr>
                <w:b/>
                <w:sz w:val="24"/>
              </w:rPr>
            </w:pPr>
            <w:r>
              <w:rPr>
                <w:b/>
                <w:sz w:val="24"/>
              </w:rPr>
              <w:t>释义</w:t>
            </w:r>
          </w:p>
        </w:tc>
        <w:tc>
          <w:tcPr>
            <w:tcW w:w="7320" w:type="dxa"/>
            <w:tcBorders>
              <w:bottom w:val="single" w:sz="8" w:space="0" w:color="000000"/>
            </w:tcBorders>
          </w:tcPr>
          <w:p>
            <w:pPr>
              <w:pStyle w:val="TableParagraph"/>
              <w:rPr>
                <w:rFonts w:ascii="Times New Roman"/>
                <w:sz w:val="20"/>
              </w:rPr>
            </w:pPr>
          </w:p>
        </w:tc>
      </w:tr>
      <w:tr>
        <w:trPr>
          <w:trHeight w:val="946"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8.1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医院</w:t>
            </w:r>
          </w:p>
        </w:tc>
        <w:tc>
          <w:tcPr>
            <w:tcW w:w="7320" w:type="dxa"/>
            <w:tcBorders>
              <w:top w:val="single" w:sz="8" w:space="0" w:color="000000"/>
            </w:tcBorders>
          </w:tcPr>
          <w:p>
            <w:pPr>
              <w:pStyle w:val="TableParagraph"/>
              <w:spacing w:before="12"/>
              <w:rPr>
                <w:sz w:val="14"/>
              </w:rPr>
            </w:pPr>
          </w:p>
          <w:p>
            <w:pPr>
              <w:pStyle w:val="TableParagraph"/>
              <w:spacing w:line="273" w:lineRule="auto"/>
              <w:ind w:left="120"/>
              <w:rPr>
                <w:sz w:val="21"/>
              </w:rPr>
            </w:pPr>
            <w:r>
              <w:rPr>
                <w:spacing w:val="-5"/>
                <w:sz w:val="21"/>
              </w:rPr>
              <w:t>指国家卫生行政管理部门医院等级分类中的二级或二级以上的公立医院，但不</w:t>
            </w:r>
            <w:r>
              <w:rPr>
                <w:spacing w:val="-15"/>
                <w:sz w:val="21"/>
              </w:rPr>
              <w:t>包括主要提供门诊、康复、护理、疗养、戒酒、戒毒或相类似服务之医疗机构。</w:t>
            </w:r>
          </w:p>
        </w:tc>
      </w:tr>
      <w:tr>
        <w:trPr>
          <w:trHeight w:val="2407" w:hRule="atLeast"/>
        </w:trPr>
        <w:tc>
          <w:tcPr>
            <w:tcW w:w="713" w:type="dxa"/>
          </w:tcPr>
          <w:p>
            <w:pPr>
              <w:pStyle w:val="TableParagraph"/>
              <w:spacing w:before="99"/>
              <w:ind w:left="107"/>
              <w:rPr>
                <w:b/>
                <w:sz w:val="21"/>
              </w:rPr>
            </w:pPr>
            <w:r>
              <w:rPr>
                <w:b/>
                <w:sz w:val="21"/>
              </w:rPr>
              <w:t>8.2</w:t>
            </w:r>
          </w:p>
        </w:tc>
        <w:tc>
          <w:tcPr>
            <w:tcW w:w="2058" w:type="dxa"/>
          </w:tcPr>
          <w:p>
            <w:pPr>
              <w:pStyle w:val="TableParagraph"/>
              <w:spacing w:before="99"/>
              <w:ind w:left="246"/>
              <w:rPr>
                <w:b/>
                <w:sz w:val="21"/>
              </w:rPr>
            </w:pPr>
            <w:r>
              <w:rPr>
                <w:b/>
                <w:sz w:val="21"/>
              </w:rPr>
              <w:t>专科医生</w:t>
            </w:r>
          </w:p>
        </w:tc>
        <w:tc>
          <w:tcPr>
            <w:tcW w:w="7320" w:type="dxa"/>
          </w:tcPr>
          <w:p>
            <w:pPr>
              <w:pStyle w:val="TableParagraph"/>
              <w:spacing w:before="99"/>
              <w:ind w:left="120"/>
              <w:rPr>
                <w:sz w:val="21"/>
              </w:rPr>
            </w:pPr>
            <w:r>
              <w:rPr>
                <w:sz w:val="21"/>
              </w:rPr>
              <w:t>专科医生应当同时满足以下三项资格条件：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6" w:right="104"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46" w:right="156" w:hanging="526"/>
              <w:rPr>
                <w:sz w:val="21"/>
              </w:rPr>
            </w:pPr>
            <w:r>
              <w:rPr>
                <w:sz w:val="21"/>
              </w:rPr>
              <w:t>（3）具有有效的中华人民共和国主治医师或主治医师以上职称的《医师职称证书》。</w:t>
            </w:r>
          </w:p>
          <w:p>
            <w:pPr>
              <w:pStyle w:val="TableParagraph"/>
              <w:spacing w:before="7"/>
              <w:ind w:left="121"/>
              <w:rPr>
                <w:sz w:val="21"/>
              </w:rPr>
            </w:pPr>
            <w:r>
              <w:rPr>
                <w:sz w:val="21"/>
              </w:rPr>
              <w:t>专科医生不包括被保险人本人及其直系亲属。</w:t>
            </w:r>
          </w:p>
        </w:tc>
      </w:tr>
      <w:tr>
        <w:trPr>
          <w:trHeight w:val="1790" w:hRule="atLeast"/>
        </w:trPr>
        <w:tc>
          <w:tcPr>
            <w:tcW w:w="713" w:type="dxa"/>
          </w:tcPr>
          <w:p>
            <w:pPr>
              <w:pStyle w:val="TableParagraph"/>
              <w:spacing w:before="104"/>
              <w:ind w:left="107"/>
              <w:rPr>
                <w:b/>
                <w:sz w:val="21"/>
              </w:rPr>
            </w:pPr>
            <w:r>
              <w:rPr>
                <w:b/>
                <w:sz w:val="21"/>
              </w:rPr>
              <w:t>8.3</w:t>
            </w:r>
          </w:p>
        </w:tc>
        <w:tc>
          <w:tcPr>
            <w:tcW w:w="2058" w:type="dxa"/>
          </w:tcPr>
          <w:p>
            <w:pPr>
              <w:pStyle w:val="TableParagraph"/>
              <w:spacing w:line="273" w:lineRule="auto" w:before="104"/>
              <w:ind w:left="246" w:right="119"/>
              <w:rPr>
                <w:b/>
                <w:sz w:val="21"/>
              </w:rPr>
            </w:pPr>
            <w:r>
              <w:rPr>
                <w:b/>
                <w:sz w:val="21"/>
              </w:rPr>
              <w:t>感染艾滋病病毒或患艾滋病</w:t>
            </w:r>
          </w:p>
        </w:tc>
        <w:tc>
          <w:tcPr>
            <w:tcW w:w="7320" w:type="dxa"/>
          </w:tcPr>
          <w:p>
            <w:pPr>
              <w:pStyle w:val="TableParagraph"/>
              <w:spacing w:line="256" w:lineRule="auto" w:before="104"/>
              <w:ind w:left="120" w:right="107"/>
              <w:jc w:val="both"/>
              <w:rPr>
                <w:sz w:val="21"/>
              </w:rPr>
            </w:pPr>
            <w:r>
              <w:rPr>
                <w:spacing w:val="-6"/>
                <w:sz w:val="21"/>
              </w:rPr>
              <w:t>艾滋病病毒指人类免疫缺陷病毒，英文缩写为 </w:t>
            </w:r>
            <w:r>
              <w:rPr>
                <w:rFonts w:ascii="Times New Roman" w:eastAsia="Times New Roman"/>
                <w:spacing w:val="-2"/>
                <w:sz w:val="21"/>
              </w:rPr>
              <w:t>HIV</w:t>
            </w:r>
            <w:r>
              <w:rPr>
                <w:spacing w:val="-7"/>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5"/>
              <w:ind w:left="120" w:right="104"/>
              <w:jc w:val="both"/>
              <w:rPr>
                <w:sz w:val="21"/>
              </w:rPr>
            </w:pPr>
            <w:r>
              <w:rPr>
                <w:spacing w:val="-5"/>
                <w:sz w:val="21"/>
              </w:rPr>
              <w:t>在人体血液或其他样本中检测到艾滋病病毒或其抗体呈阳性，没有出现临床症</w:t>
            </w:r>
            <w:r>
              <w:rPr>
                <w:spacing w:val="-9"/>
                <w:sz w:val="21"/>
              </w:rPr>
              <w:t>状或体征的，为感染艾滋病病毒；如果同时出现了明显临床症状或体征的，为</w:t>
            </w:r>
            <w:r>
              <w:rPr>
                <w:spacing w:val="-5"/>
                <w:sz w:val="21"/>
              </w:rPr>
              <w:t>患艾滋病。</w:t>
            </w:r>
          </w:p>
        </w:tc>
      </w:tr>
      <w:tr>
        <w:trPr>
          <w:trHeight w:val="850" w:hRule="atLeast"/>
        </w:trPr>
        <w:tc>
          <w:tcPr>
            <w:tcW w:w="713" w:type="dxa"/>
          </w:tcPr>
          <w:p>
            <w:pPr>
              <w:pStyle w:val="TableParagraph"/>
              <w:spacing w:before="99"/>
              <w:ind w:left="107"/>
              <w:rPr>
                <w:b/>
                <w:sz w:val="21"/>
              </w:rPr>
            </w:pPr>
            <w:r>
              <w:rPr>
                <w:b/>
                <w:sz w:val="21"/>
              </w:rPr>
              <w:t>8.4</w:t>
            </w:r>
          </w:p>
        </w:tc>
        <w:tc>
          <w:tcPr>
            <w:tcW w:w="2058" w:type="dxa"/>
          </w:tcPr>
          <w:p>
            <w:pPr>
              <w:pStyle w:val="TableParagraph"/>
              <w:spacing w:before="99"/>
              <w:ind w:left="246"/>
              <w:rPr>
                <w:b/>
                <w:sz w:val="21"/>
              </w:rPr>
            </w:pPr>
            <w:r>
              <w:rPr>
                <w:b/>
                <w:sz w:val="21"/>
              </w:rPr>
              <w:t>遗传性疾病</w:t>
            </w:r>
          </w:p>
        </w:tc>
        <w:tc>
          <w:tcPr>
            <w:tcW w:w="7320" w:type="dxa"/>
          </w:tcPr>
          <w:p>
            <w:pPr>
              <w:pStyle w:val="TableParagraph"/>
              <w:spacing w:line="273" w:lineRule="auto" w:before="99"/>
              <w:ind w:left="120" w:right="41"/>
              <w:rPr>
                <w:sz w:val="21"/>
              </w:rPr>
            </w:pPr>
            <w:r>
              <w:rPr>
                <w:sz w:val="21"/>
              </w:rPr>
              <w:t>指生殖细胞或受精卵的遗传物质（染色体和基因）发生突变或畸变所引起的疾病，通常具有由亲代传至后代的垂直传递的特征。</w:t>
            </w:r>
          </w:p>
        </w:tc>
      </w:tr>
      <w:tr>
        <w:trPr>
          <w:trHeight w:val="1164" w:hRule="atLeast"/>
        </w:trPr>
        <w:tc>
          <w:tcPr>
            <w:tcW w:w="713" w:type="dxa"/>
          </w:tcPr>
          <w:p>
            <w:pPr>
              <w:pStyle w:val="TableParagraph"/>
              <w:spacing w:before="100"/>
              <w:ind w:left="107"/>
              <w:rPr>
                <w:b/>
                <w:sz w:val="21"/>
              </w:rPr>
            </w:pPr>
            <w:r>
              <w:rPr>
                <w:b/>
                <w:sz w:val="21"/>
              </w:rPr>
              <w:t>8.5</w:t>
            </w:r>
          </w:p>
        </w:tc>
        <w:tc>
          <w:tcPr>
            <w:tcW w:w="2058" w:type="dxa"/>
          </w:tcPr>
          <w:p>
            <w:pPr>
              <w:pStyle w:val="TableParagraph"/>
              <w:spacing w:line="273" w:lineRule="auto" w:before="100"/>
              <w:ind w:left="246" w:right="119"/>
              <w:rPr>
                <w:b/>
                <w:sz w:val="21"/>
              </w:rPr>
            </w:pPr>
            <w:r>
              <w:rPr>
                <w:b/>
                <w:sz w:val="21"/>
              </w:rPr>
              <w:t>先天性畸形、变形或染色体异常</w:t>
            </w:r>
          </w:p>
        </w:tc>
        <w:tc>
          <w:tcPr>
            <w:tcW w:w="7320" w:type="dxa"/>
          </w:tcPr>
          <w:p>
            <w:pPr>
              <w:pStyle w:val="TableParagraph"/>
              <w:spacing w:line="273" w:lineRule="auto" w:before="100"/>
              <w:ind w:left="120" w:right="1"/>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32"/>
                <w:sz w:val="21"/>
              </w:rPr>
              <w:t>》</w:t>
            </w:r>
            <w:r>
              <w:rPr>
                <w:sz w:val="21"/>
              </w:rPr>
              <w:t>（ICD-10） 确定。</w:t>
            </w:r>
          </w:p>
        </w:tc>
      </w:tr>
      <w:tr>
        <w:trPr>
          <w:trHeight w:val="375" w:hRule="atLeast"/>
        </w:trPr>
        <w:tc>
          <w:tcPr>
            <w:tcW w:w="713" w:type="dxa"/>
          </w:tcPr>
          <w:p>
            <w:pPr>
              <w:pStyle w:val="TableParagraph"/>
              <w:spacing w:line="255" w:lineRule="exact" w:before="100"/>
              <w:ind w:left="107"/>
              <w:rPr>
                <w:b/>
                <w:sz w:val="21"/>
              </w:rPr>
            </w:pPr>
            <w:r>
              <w:rPr>
                <w:b/>
                <w:sz w:val="21"/>
              </w:rPr>
              <w:t>8.6</w:t>
            </w:r>
          </w:p>
        </w:tc>
        <w:tc>
          <w:tcPr>
            <w:tcW w:w="2058" w:type="dxa"/>
          </w:tcPr>
          <w:p>
            <w:pPr>
              <w:pStyle w:val="TableParagraph"/>
              <w:spacing w:line="255" w:lineRule="exact" w:before="100"/>
              <w:ind w:left="246"/>
              <w:rPr>
                <w:b/>
                <w:sz w:val="21"/>
              </w:rPr>
            </w:pPr>
            <w:r>
              <w:rPr>
                <w:b/>
                <w:sz w:val="21"/>
              </w:rPr>
              <w:t>适用主合同释义</w:t>
            </w:r>
          </w:p>
        </w:tc>
        <w:tc>
          <w:tcPr>
            <w:tcW w:w="7320" w:type="dxa"/>
          </w:tcPr>
          <w:p>
            <w:pPr>
              <w:pStyle w:val="TableParagraph"/>
              <w:spacing w:line="255" w:lineRule="exact" w:before="100"/>
              <w:ind w:left="120"/>
              <w:rPr>
                <w:sz w:val="21"/>
              </w:rPr>
            </w:pPr>
            <w:r>
              <w:rPr>
                <w:sz w:val="21"/>
              </w:rPr>
              <w:t>本附加合同中其他重要术语的释义请参看主合同释义条款。</w:t>
            </w:r>
          </w:p>
        </w:tc>
      </w:tr>
    </w:tbl>
    <w:p>
      <w:pPr>
        <w:pStyle w:val="BodyText"/>
        <w:spacing w:before="13"/>
        <w:rPr>
          <w:sz w:val="22"/>
        </w:rPr>
      </w:pPr>
    </w:p>
    <w:p>
      <w:pPr>
        <w:pStyle w:val="Heading2"/>
      </w:pPr>
      <w:r>
        <w:rPr/>
        <w:t>附录一 重大疾病列表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2807" w:hRule="atLeast"/>
        </w:trPr>
        <w:tc>
          <w:tcPr>
            <w:tcW w:w="850" w:type="dxa"/>
          </w:tcPr>
          <w:p>
            <w:pPr>
              <w:pStyle w:val="TableParagraph"/>
              <w:spacing w:line="262" w:lineRule="exact"/>
              <w:ind w:left="107"/>
              <w:rPr>
                <w:b/>
                <w:sz w:val="21"/>
              </w:rPr>
            </w:pPr>
            <w:r>
              <w:rPr>
                <w:b/>
                <w:w w:val="100"/>
                <w:sz w:val="21"/>
              </w:rPr>
              <w:t>一</w:t>
            </w:r>
          </w:p>
        </w:tc>
        <w:tc>
          <w:tcPr>
            <w:tcW w:w="1930" w:type="dxa"/>
          </w:tcPr>
          <w:p>
            <w:pPr>
              <w:pStyle w:val="TableParagraph"/>
              <w:spacing w:line="262" w:lineRule="exact"/>
              <w:ind w:left="107"/>
              <w:rPr>
                <w:b/>
                <w:sz w:val="21"/>
              </w:rPr>
            </w:pPr>
            <w:r>
              <w:rPr>
                <w:b/>
                <w:sz w:val="21"/>
              </w:rPr>
              <w:t>恶性肿瘤</w:t>
            </w:r>
          </w:p>
        </w:tc>
        <w:tc>
          <w:tcPr>
            <w:tcW w:w="7308" w:type="dxa"/>
          </w:tcPr>
          <w:p>
            <w:pPr>
              <w:pStyle w:val="TableParagraph"/>
              <w:spacing w:line="273" w:lineRule="auto"/>
              <w:ind w:left="109" w:right="95"/>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20"/>
              <w:ind w:left="109" w:right="4452"/>
              <w:rPr>
                <w:sz w:val="21"/>
              </w:rPr>
            </w:pPr>
            <w:r>
              <w:rPr>
                <w:sz w:val="21"/>
              </w:rPr>
              <w:t>（ICD-10）的恶性肿瘤范畴。下列疾病不在保障范围内：</w:t>
            </w:r>
          </w:p>
          <w:p>
            <w:pPr>
              <w:pStyle w:val="TableParagraph"/>
              <w:spacing w:before="7"/>
              <w:ind w:left="109"/>
              <w:jc w:val="both"/>
              <w:rPr>
                <w:sz w:val="21"/>
              </w:rPr>
            </w:pPr>
            <w:r>
              <w:rPr>
                <w:sz w:val="21"/>
              </w:rPr>
              <w:t>（1）原位癌；</w:t>
            </w:r>
          </w:p>
          <w:p>
            <w:pPr>
              <w:pStyle w:val="TableParagraph"/>
              <w:spacing w:before="37"/>
              <w:ind w:left="109"/>
              <w:jc w:val="both"/>
              <w:rPr>
                <w:sz w:val="21"/>
              </w:rPr>
            </w:pPr>
            <w:r>
              <w:rPr>
                <w:sz w:val="21"/>
              </w:rPr>
              <w:t>（2）相当于 Binet 分期方案 A 期程度的慢性淋巴细胞白血病；</w:t>
            </w:r>
          </w:p>
          <w:p>
            <w:pPr>
              <w:pStyle w:val="TableParagraph"/>
              <w:spacing w:before="37"/>
              <w:ind w:left="109"/>
              <w:jc w:val="both"/>
              <w:rPr>
                <w:sz w:val="21"/>
              </w:rPr>
            </w:pPr>
            <w:r>
              <w:rPr>
                <w:sz w:val="21"/>
              </w:rPr>
              <w:t>（3）相当于 Ann Arbor 分期方案 I 期程度的何杰金氏病；</w:t>
            </w:r>
          </w:p>
          <w:p>
            <w:pPr>
              <w:pStyle w:val="TableParagraph"/>
              <w:spacing w:before="37"/>
              <w:ind w:left="109"/>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bl>
    <w:p>
      <w:pPr>
        <w:spacing w:after="0"/>
        <w:jc w:val="both"/>
        <w:rPr>
          <w:sz w:val="21"/>
        </w:rPr>
        <w:sectPr>
          <w:pgSz w:w="11910" w:h="16840"/>
          <w:pgMar w:top="116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625"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9"/>
              <w:rPr>
                <w:sz w:val="21"/>
              </w:rPr>
            </w:pPr>
            <w:r>
              <w:rPr>
                <w:sz w:val="21"/>
              </w:rPr>
              <w:t>（6）</w:t>
            </w:r>
            <w:r>
              <w:rPr>
                <w:b/>
                <w:sz w:val="21"/>
              </w:rPr>
              <w:t>感染艾滋病病毒或患艾滋病</w:t>
            </w:r>
            <w:r>
              <w:rPr>
                <w:sz w:val="21"/>
              </w:rPr>
              <w:t>期间所患恶性肿瘤。</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w w:val="100"/>
                <w:sz w:val="21"/>
              </w:rPr>
              <w:t>二</w:t>
            </w:r>
          </w:p>
        </w:tc>
        <w:tc>
          <w:tcPr>
            <w:tcW w:w="1930" w:type="dxa"/>
          </w:tcPr>
          <w:p>
            <w:pPr>
              <w:pStyle w:val="TableParagraph"/>
              <w:spacing w:line="257" w:lineRule="exact"/>
              <w:ind w:left="107"/>
              <w:rPr>
                <w:b/>
                <w:sz w:val="21"/>
              </w:rPr>
            </w:pPr>
            <w:r>
              <w:rPr>
                <w:b/>
                <w:sz w:val="21"/>
              </w:rPr>
              <w:t>急性心肌梗塞</w:t>
            </w:r>
          </w:p>
        </w:tc>
        <w:tc>
          <w:tcPr>
            <w:tcW w:w="7308" w:type="dxa"/>
          </w:tcPr>
          <w:p>
            <w:pPr>
              <w:pStyle w:val="TableParagraph"/>
              <w:spacing w:line="257" w:lineRule="exact"/>
              <w:ind w:left="109"/>
              <w:rPr>
                <w:sz w:val="21"/>
              </w:rPr>
            </w:pPr>
            <w:r>
              <w:rPr>
                <w:sz w:val="21"/>
              </w:rPr>
              <w:t>指因冠状动脉阻塞导致的相应区域供血不足造成部分心肌坏死。须满足下列至</w:t>
            </w:r>
          </w:p>
          <w:p>
            <w:pPr>
              <w:pStyle w:val="TableParagraph"/>
              <w:spacing w:before="37"/>
              <w:ind w:left="109"/>
              <w:rPr>
                <w:sz w:val="21"/>
              </w:rPr>
            </w:pPr>
            <w:r>
              <w:rPr>
                <w:sz w:val="21"/>
              </w:rPr>
              <w:t>少三项条件：</w:t>
            </w:r>
          </w:p>
          <w:p>
            <w:pPr>
              <w:pStyle w:val="TableParagraph"/>
              <w:spacing w:before="37"/>
              <w:ind w:left="109"/>
              <w:rPr>
                <w:sz w:val="21"/>
              </w:rPr>
            </w:pPr>
            <w:r>
              <w:rPr>
                <w:sz w:val="21"/>
              </w:rPr>
              <w:t>（1）典型临床表现，例如急性胸痛等；</w:t>
            </w:r>
          </w:p>
          <w:p>
            <w:pPr>
              <w:pStyle w:val="TableParagraph"/>
              <w:spacing w:before="37"/>
              <w:ind w:left="109"/>
              <w:rPr>
                <w:sz w:val="21"/>
              </w:rPr>
            </w:pPr>
            <w:r>
              <w:rPr>
                <w:sz w:val="21"/>
              </w:rPr>
              <w:t>（2）新近的心电图改变提示急性心肌梗塞；</w:t>
            </w:r>
          </w:p>
          <w:p>
            <w:pPr>
              <w:pStyle w:val="TableParagraph"/>
              <w:spacing w:line="273" w:lineRule="auto" w:before="37"/>
              <w:ind w:left="635" w:right="146" w:hanging="526"/>
              <w:rPr>
                <w:sz w:val="21"/>
              </w:rPr>
            </w:pPr>
            <w:r>
              <w:rPr>
                <w:sz w:val="21"/>
              </w:rPr>
              <w:t>（3）心肌酶或肌钙蛋白有诊断意义的升高，或呈符合急性心肌梗塞的动态性变化；</w:t>
            </w:r>
          </w:p>
          <w:p>
            <w:pPr>
              <w:pStyle w:val="TableParagraph"/>
              <w:spacing w:before="8"/>
              <w:ind w:left="109" w:right="-15"/>
              <w:rPr>
                <w:sz w:val="21"/>
              </w:rPr>
            </w:pPr>
            <w:r>
              <w:rPr>
                <w:spacing w:val="-13"/>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w w:val="100"/>
                <w:sz w:val="21"/>
              </w:rPr>
              <w:t>三</w:t>
            </w:r>
          </w:p>
        </w:tc>
        <w:tc>
          <w:tcPr>
            <w:tcW w:w="1930" w:type="dxa"/>
          </w:tcPr>
          <w:p>
            <w:pPr>
              <w:pStyle w:val="TableParagraph"/>
              <w:spacing w:line="257" w:lineRule="exact"/>
              <w:ind w:left="107"/>
              <w:rPr>
                <w:b/>
                <w:sz w:val="21"/>
              </w:rPr>
            </w:pPr>
            <w:r>
              <w:rPr>
                <w:b/>
                <w:sz w:val="21"/>
              </w:rPr>
              <w:t>脑中风后遗症</w:t>
            </w:r>
          </w:p>
        </w:tc>
        <w:tc>
          <w:tcPr>
            <w:tcW w:w="7308" w:type="dxa"/>
          </w:tcPr>
          <w:p>
            <w:pPr>
              <w:pStyle w:val="TableParagraph"/>
              <w:spacing w:line="257" w:lineRule="exact"/>
              <w:ind w:left="109"/>
              <w:rPr>
                <w:sz w:val="21"/>
              </w:rPr>
            </w:pPr>
            <w:r>
              <w:rPr>
                <w:sz w:val="21"/>
              </w:rPr>
              <w:t>指因脑血管的突发病变引起脑血管出血、栓塞或梗塞，并导致神经系统永久性</w:t>
            </w:r>
          </w:p>
          <w:p>
            <w:pPr>
              <w:pStyle w:val="TableParagraph"/>
              <w:spacing w:line="273" w:lineRule="auto" w:before="37"/>
              <w:ind w:left="109" w:right="94"/>
              <w:rPr>
                <w:sz w:val="21"/>
              </w:rPr>
            </w:pPr>
            <w:r>
              <w:rPr>
                <w:spacing w:val="-8"/>
                <w:sz w:val="21"/>
              </w:rPr>
              <w:t>的功能障碍。神经系统永久性的功能障碍，指疾病确诊 </w:t>
            </w:r>
            <w:r>
              <w:rPr>
                <w:sz w:val="21"/>
              </w:rPr>
              <w:t>180</w:t>
            </w:r>
            <w:r>
              <w:rPr>
                <w:spacing w:val="-10"/>
                <w:sz w:val="21"/>
              </w:rPr>
              <w:t> 天后，仍遗留下列</w:t>
            </w:r>
            <w:r>
              <w:rPr>
                <w:spacing w:val="-3"/>
                <w:sz w:val="21"/>
              </w:rPr>
              <w:t>一种或一种以上障碍：</w:t>
            </w:r>
          </w:p>
          <w:p>
            <w:pPr>
              <w:pStyle w:val="TableParagraph"/>
              <w:spacing w:before="7"/>
              <w:ind w:left="109"/>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r>
              <w:rPr>
                <w:w w:val="100"/>
                <w:sz w:val="21"/>
              </w:rPr>
              <w:t>；</w:t>
            </w:r>
          </w:p>
          <w:p>
            <w:pPr>
              <w:pStyle w:val="TableParagraph"/>
              <w:spacing w:before="36"/>
              <w:ind w:left="109"/>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r>
              <w:rPr>
                <w:w w:val="100"/>
                <w:sz w:val="21"/>
              </w:rPr>
              <w:t>；</w:t>
            </w:r>
          </w:p>
          <w:p>
            <w:pPr>
              <w:pStyle w:val="TableParagraph"/>
              <w:spacing w:line="273" w:lineRule="auto" w:before="36"/>
              <w:ind w:left="613" w:right="-15" w:hanging="504"/>
              <w:rPr>
                <w:sz w:val="21"/>
              </w:rPr>
            </w:pPr>
            <w:r>
              <w:rPr>
                <w:sz w:val="21"/>
              </w:rPr>
              <w:t>（3）</w:t>
            </w:r>
            <w:r>
              <w:rPr>
                <w:spacing w:val="-4"/>
                <w:sz w:val="21"/>
              </w:rPr>
              <w:t>自主生活能力完全丧失，无法独立完成</w:t>
            </w:r>
            <w:r>
              <w:rPr>
                <w:b/>
                <w:spacing w:val="-1"/>
                <w:sz w:val="21"/>
              </w:rPr>
              <w:t>六项基本日常生活活动</w:t>
            </w:r>
            <w:r>
              <w:rPr>
                <w:spacing w:val="-3"/>
                <w:sz w:val="21"/>
              </w:rPr>
              <w:t>（</w:t>
            </w:r>
            <w:r>
              <w:rPr>
                <w:spacing w:val="-11"/>
                <w:sz w:val="21"/>
              </w:rPr>
              <w:t>见注 </w:t>
            </w:r>
            <w:r>
              <w:rPr>
                <w:sz w:val="21"/>
              </w:rPr>
              <w:t>1） </w:t>
            </w:r>
            <w:r>
              <w:rPr>
                <w:spacing w:val="-3"/>
                <w:sz w:val="21"/>
              </w:rPr>
              <w:t>中的三项或三项以上。</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w w:val="100"/>
                <w:sz w:val="21"/>
              </w:rPr>
              <w:t>四</w:t>
            </w:r>
          </w:p>
        </w:tc>
        <w:tc>
          <w:tcPr>
            <w:tcW w:w="1930" w:type="dxa"/>
          </w:tcPr>
          <w:p>
            <w:pPr>
              <w:pStyle w:val="TableParagraph"/>
              <w:spacing w:line="257" w:lineRule="exact"/>
              <w:ind w:left="107"/>
              <w:rPr>
                <w:b/>
                <w:sz w:val="21"/>
              </w:rPr>
            </w:pPr>
            <w:r>
              <w:rPr>
                <w:b/>
                <w:sz w:val="21"/>
              </w:rPr>
              <w:t>重大器官移植术或</w:t>
            </w:r>
          </w:p>
          <w:p>
            <w:pPr>
              <w:pStyle w:val="TableParagraph"/>
              <w:spacing w:before="37"/>
              <w:ind w:left="107"/>
              <w:rPr>
                <w:b/>
                <w:sz w:val="21"/>
              </w:rPr>
            </w:pPr>
            <w:r>
              <w:rPr>
                <w:b/>
                <w:sz w:val="21"/>
              </w:rPr>
              <w:t>造血干细胞移植术</w:t>
            </w:r>
          </w:p>
        </w:tc>
        <w:tc>
          <w:tcPr>
            <w:tcW w:w="7308" w:type="dxa"/>
          </w:tcPr>
          <w:p>
            <w:pPr>
              <w:pStyle w:val="TableParagraph"/>
              <w:spacing w:line="257" w:lineRule="exact"/>
              <w:ind w:left="109"/>
              <w:rPr>
                <w:sz w:val="21"/>
              </w:rPr>
            </w:pPr>
            <w:r>
              <w:rPr>
                <w:sz w:val="21"/>
              </w:rPr>
              <w:t>重大器官移植术，指因相应器官功能衰竭，已经实施了肾脏、肝脏、心脏或肺</w:t>
            </w:r>
          </w:p>
          <w:p>
            <w:pPr>
              <w:pStyle w:val="TableParagraph"/>
              <w:spacing w:before="37"/>
              <w:ind w:left="109"/>
              <w:rPr>
                <w:sz w:val="21"/>
              </w:rPr>
            </w:pPr>
            <w:r>
              <w:rPr>
                <w:sz w:val="21"/>
              </w:rPr>
              <w:t>脏的异体移植手术。</w:t>
            </w:r>
          </w:p>
          <w:p>
            <w:pPr>
              <w:pStyle w:val="TableParagraph"/>
              <w:spacing w:line="273" w:lineRule="auto" w:before="37"/>
              <w:ind w:left="109" w:right="91"/>
              <w:jc w:val="both"/>
              <w:rPr>
                <w:sz w:val="21"/>
              </w:rPr>
            </w:pPr>
            <w:r>
              <w:rPr>
                <w:spacing w:val="-7"/>
                <w:sz w:val="21"/>
              </w:rPr>
              <w:t>造血干细胞移植术，指因造血功能损害或造血系统恶性肿瘤，已经实施了造血干细胞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w w:val="100"/>
                <w:sz w:val="21"/>
              </w:rPr>
              <w:t>五</w:t>
            </w:r>
          </w:p>
        </w:tc>
        <w:tc>
          <w:tcPr>
            <w:tcW w:w="1930" w:type="dxa"/>
          </w:tcPr>
          <w:p>
            <w:pPr>
              <w:pStyle w:val="TableParagraph"/>
              <w:spacing w:line="259" w:lineRule="exact"/>
              <w:ind w:left="107"/>
              <w:rPr>
                <w:b/>
                <w:sz w:val="21"/>
              </w:rPr>
            </w:pPr>
            <w:r>
              <w:rPr>
                <w:b/>
                <w:sz w:val="21"/>
              </w:rPr>
              <w:t>冠状动脉搭桥术</w:t>
            </w:r>
          </w:p>
          <w:p>
            <w:pPr>
              <w:pStyle w:val="TableParagraph"/>
              <w:spacing w:line="273" w:lineRule="auto" w:before="37"/>
              <w:ind w:left="107" w:right="122"/>
              <w:rPr>
                <w:b/>
                <w:sz w:val="21"/>
              </w:rPr>
            </w:pPr>
            <w:r>
              <w:rPr>
                <w:b/>
                <w:sz w:val="21"/>
              </w:rPr>
              <w:t>（或称冠状动脉旁路移植术）</w:t>
            </w:r>
          </w:p>
        </w:tc>
        <w:tc>
          <w:tcPr>
            <w:tcW w:w="7308" w:type="dxa"/>
          </w:tcPr>
          <w:p>
            <w:pPr>
              <w:pStyle w:val="TableParagraph"/>
              <w:spacing w:line="259" w:lineRule="exact"/>
              <w:ind w:left="109"/>
              <w:rPr>
                <w:sz w:val="21"/>
              </w:rPr>
            </w:pPr>
            <w:r>
              <w:rPr>
                <w:sz w:val="21"/>
              </w:rPr>
              <w:t>指为治疗严重的冠心病，实际实施了开胸进行的冠状动脉血管旁路移植的手</w:t>
            </w:r>
          </w:p>
          <w:p>
            <w:pPr>
              <w:pStyle w:val="TableParagraph"/>
              <w:spacing w:before="37"/>
              <w:ind w:left="109"/>
              <w:rPr>
                <w:sz w:val="21"/>
              </w:rPr>
            </w:pPr>
            <w:r>
              <w:rPr>
                <w:sz w:val="21"/>
              </w:rPr>
              <w:t>术。</w:t>
            </w:r>
          </w:p>
          <w:p>
            <w:pPr>
              <w:pStyle w:val="TableParagraph"/>
              <w:spacing w:line="273" w:lineRule="auto" w:before="37"/>
              <w:ind w:left="109" w:right="95"/>
              <w:rPr>
                <w:sz w:val="21"/>
              </w:rPr>
            </w:pPr>
            <w:r>
              <w:rPr>
                <w:spacing w:val="-8"/>
                <w:sz w:val="21"/>
              </w:rPr>
              <w:t>冠状动脉支架植入术、心导管球囊扩张术、激光射频技术及其它非开胸的介入</w:t>
            </w:r>
            <w:r>
              <w:rPr>
                <w:spacing w:val="-3"/>
                <w:sz w:val="21"/>
              </w:rPr>
              <w:t>手术、腔镜手术不在保障范围内。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w w:val="100"/>
                <w:sz w:val="21"/>
              </w:rPr>
              <w:t>六</w:t>
            </w:r>
          </w:p>
        </w:tc>
        <w:tc>
          <w:tcPr>
            <w:tcW w:w="1930" w:type="dxa"/>
          </w:tcPr>
          <w:p>
            <w:pPr>
              <w:pStyle w:val="TableParagraph"/>
              <w:spacing w:line="257" w:lineRule="exact"/>
              <w:ind w:left="107"/>
              <w:rPr>
                <w:b/>
                <w:sz w:val="21"/>
              </w:rPr>
            </w:pPr>
            <w:r>
              <w:rPr>
                <w:b/>
                <w:sz w:val="21"/>
              </w:rPr>
              <w:t>终末期肾病（或称</w:t>
            </w:r>
          </w:p>
          <w:p>
            <w:pPr>
              <w:pStyle w:val="TableParagraph"/>
              <w:spacing w:line="273" w:lineRule="auto" w:before="37"/>
              <w:ind w:left="107" w:right="122"/>
              <w:rPr>
                <w:b/>
                <w:sz w:val="21"/>
              </w:rPr>
            </w:pPr>
            <w:r>
              <w:rPr>
                <w:b/>
                <w:sz w:val="21"/>
              </w:rPr>
              <w:t>慢性肾功能衰竭尿毒症期）</w:t>
            </w:r>
          </w:p>
        </w:tc>
        <w:tc>
          <w:tcPr>
            <w:tcW w:w="7308" w:type="dxa"/>
          </w:tcPr>
          <w:p>
            <w:pPr>
              <w:pStyle w:val="TableParagraph"/>
              <w:spacing w:line="257"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天的规律性透析治疗或实施了肾脏移植手术。</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w w:val="100"/>
                <w:sz w:val="21"/>
              </w:rPr>
              <w:t>七</w:t>
            </w:r>
          </w:p>
        </w:tc>
        <w:tc>
          <w:tcPr>
            <w:tcW w:w="1930" w:type="dxa"/>
          </w:tcPr>
          <w:p>
            <w:pPr>
              <w:pStyle w:val="TableParagraph"/>
              <w:spacing w:line="257" w:lineRule="exact"/>
              <w:ind w:left="107"/>
              <w:rPr>
                <w:b/>
                <w:sz w:val="21"/>
              </w:rPr>
            </w:pPr>
            <w:r>
              <w:rPr>
                <w:b/>
                <w:sz w:val="21"/>
              </w:rPr>
              <w:t>多个肢体缺失</w:t>
            </w:r>
          </w:p>
        </w:tc>
        <w:tc>
          <w:tcPr>
            <w:tcW w:w="7308" w:type="dxa"/>
          </w:tcPr>
          <w:p>
            <w:pPr>
              <w:pStyle w:val="TableParagraph"/>
              <w:spacing w:line="257" w:lineRule="exact"/>
              <w:ind w:left="109"/>
              <w:rPr>
                <w:sz w:val="21"/>
              </w:rPr>
            </w:pPr>
            <w:r>
              <w:rPr>
                <w:sz w:val="21"/>
              </w:rPr>
              <w:t>指因疾病或意外伤害导致两个或两个以上肢体自腕关节或踝关节近端（靠近躯</w:t>
            </w:r>
          </w:p>
          <w:p>
            <w:pPr>
              <w:pStyle w:val="TableParagraph"/>
              <w:spacing w:before="37"/>
              <w:ind w:left="109"/>
              <w:rPr>
                <w:sz w:val="21"/>
              </w:rPr>
            </w:pPr>
            <w:r>
              <w:rPr>
                <w:sz w:val="21"/>
              </w:rPr>
              <w:t>干端）以上完全性断离。</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八</w:t>
            </w:r>
          </w:p>
        </w:tc>
        <w:tc>
          <w:tcPr>
            <w:tcW w:w="1930" w:type="dxa"/>
          </w:tcPr>
          <w:p>
            <w:pPr>
              <w:pStyle w:val="TableParagraph"/>
              <w:spacing w:line="257" w:lineRule="exact"/>
              <w:ind w:left="107"/>
              <w:rPr>
                <w:b/>
                <w:sz w:val="21"/>
              </w:rPr>
            </w:pPr>
            <w:r>
              <w:rPr>
                <w:b/>
                <w:sz w:val="21"/>
              </w:rPr>
              <w:t>急性或亚急性重症</w:t>
            </w:r>
          </w:p>
          <w:p>
            <w:pPr>
              <w:pStyle w:val="TableParagraph"/>
              <w:spacing w:before="37"/>
              <w:ind w:left="107"/>
              <w:rPr>
                <w:b/>
                <w:sz w:val="21"/>
              </w:rPr>
            </w:pPr>
            <w:r>
              <w:rPr>
                <w:b/>
                <w:sz w:val="21"/>
              </w:rPr>
              <w:t>肝炎</w:t>
            </w:r>
          </w:p>
        </w:tc>
        <w:tc>
          <w:tcPr>
            <w:tcW w:w="7308" w:type="dxa"/>
          </w:tcPr>
          <w:p>
            <w:pPr>
              <w:pStyle w:val="TableParagraph"/>
              <w:spacing w:line="257" w:lineRule="exact"/>
              <w:ind w:left="109"/>
              <w:rPr>
                <w:sz w:val="21"/>
              </w:rPr>
            </w:pPr>
            <w:r>
              <w:rPr>
                <w:sz w:val="21"/>
              </w:rPr>
              <w:t>指因肝炎病毒感染引起肝脏组织弥漫性坏死，导致急性肝功能衰竭，且经血清</w:t>
            </w:r>
          </w:p>
          <w:p>
            <w:pPr>
              <w:pStyle w:val="TableParagraph"/>
              <w:spacing w:before="37"/>
              <w:ind w:left="109"/>
              <w:rPr>
                <w:sz w:val="21"/>
              </w:rPr>
            </w:pPr>
            <w:r>
              <w:rPr>
                <w:sz w:val="21"/>
              </w:rPr>
              <w:t>学或病毒学检查证实，并须满足下列全部条件：</w:t>
            </w:r>
          </w:p>
          <w:p>
            <w:pPr>
              <w:pStyle w:val="TableParagraph"/>
              <w:spacing w:before="37"/>
              <w:ind w:left="109"/>
              <w:rPr>
                <w:sz w:val="21"/>
              </w:rPr>
            </w:pPr>
            <w:r>
              <w:rPr>
                <w:sz w:val="21"/>
              </w:rPr>
              <w:t>（1）重度黄疸或黄疸迅速加重；</w:t>
            </w:r>
          </w:p>
          <w:p>
            <w:pPr>
              <w:pStyle w:val="TableParagraph"/>
              <w:spacing w:before="37"/>
              <w:ind w:left="109"/>
              <w:rPr>
                <w:sz w:val="21"/>
              </w:rPr>
            </w:pPr>
            <w:r>
              <w:rPr>
                <w:sz w:val="21"/>
              </w:rPr>
              <w:t>（2）肝性脑病；</w:t>
            </w:r>
          </w:p>
          <w:p>
            <w:pPr>
              <w:pStyle w:val="TableParagraph"/>
              <w:spacing w:before="37"/>
              <w:ind w:left="109"/>
              <w:rPr>
                <w:sz w:val="21"/>
              </w:rPr>
            </w:pPr>
            <w:r>
              <w:rPr>
                <w:sz w:val="21"/>
              </w:rPr>
              <w:t>（3）B 超或其它影像学检查显示肝脏体积急速萎缩；</w:t>
            </w:r>
          </w:p>
          <w:p>
            <w:pPr>
              <w:pStyle w:val="TableParagraph"/>
              <w:spacing w:before="37"/>
              <w:ind w:left="109"/>
              <w:rPr>
                <w:sz w:val="21"/>
              </w:rPr>
            </w:pPr>
            <w:r>
              <w:rPr>
                <w:sz w:val="21"/>
              </w:rPr>
              <w:t>（4）肝功能指标进行性恶化。</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9" w:hRule="atLeast"/>
        </w:trPr>
        <w:tc>
          <w:tcPr>
            <w:tcW w:w="850" w:type="dxa"/>
          </w:tcPr>
          <w:p>
            <w:pPr>
              <w:pStyle w:val="TableParagraph"/>
              <w:spacing w:line="259" w:lineRule="exact"/>
              <w:ind w:left="107"/>
              <w:rPr>
                <w:b/>
                <w:sz w:val="21"/>
              </w:rPr>
            </w:pPr>
            <w:r>
              <w:rPr>
                <w:b/>
                <w:w w:val="100"/>
                <w:sz w:val="21"/>
              </w:rPr>
              <w:t>九</w:t>
            </w:r>
          </w:p>
        </w:tc>
        <w:tc>
          <w:tcPr>
            <w:tcW w:w="1930" w:type="dxa"/>
          </w:tcPr>
          <w:p>
            <w:pPr>
              <w:pStyle w:val="TableParagraph"/>
              <w:spacing w:line="259" w:lineRule="exact"/>
              <w:ind w:left="107"/>
              <w:rPr>
                <w:b/>
                <w:sz w:val="21"/>
              </w:rPr>
            </w:pPr>
            <w:r>
              <w:rPr>
                <w:b/>
                <w:sz w:val="21"/>
              </w:rPr>
              <w:t>良性脑肿瘤</w:t>
            </w:r>
          </w:p>
        </w:tc>
        <w:tc>
          <w:tcPr>
            <w:tcW w:w="7308" w:type="dxa"/>
          </w:tcPr>
          <w:p>
            <w:pPr>
              <w:pStyle w:val="TableParagraph"/>
              <w:spacing w:line="259" w:lineRule="exact"/>
              <w:ind w:left="109"/>
              <w:rPr>
                <w:sz w:val="21"/>
              </w:rPr>
            </w:pPr>
            <w:r>
              <w:rPr>
                <w:sz w:val="21"/>
              </w:rPr>
              <w:t>指脑的良性肿瘤，已经引起颅内压增高，临床表现为视神经乳头水肿、精神症</w:t>
            </w:r>
          </w:p>
          <w:p>
            <w:pPr>
              <w:pStyle w:val="TableParagraph"/>
              <w:spacing w:line="273" w:lineRule="auto" w:before="37"/>
              <w:ind w:left="109" w:right="96"/>
              <w:jc w:val="both"/>
              <w:rPr>
                <w:sz w:val="21"/>
              </w:rPr>
            </w:pP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（MRI）或正电子发射断层扫描（PET）</w:t>
            </w:r>
            <w:r>
              <w:rPr>
                <w:spacing w:val="-5"/>
                <w:sz w:val="21"/>
              </w:rPr>
              <w:t>等影像学检查证实，并须满足下</w:t>
            </w:r>
            <w:r>
              <w:rPr>
                <w:spacing w:val="-3"/>
                <w:sz w:val="21"/>
              </w:rPr>
              <w:t>列至少一项条件：</w:t>
            </w:r>
          </w:p>
        </w:tc>
      </w:tr>
    </w:tbl>
    <w:p>
      <w:pPr>
        <w:spacing w:after="0" w:line="273" w:lineRule="auto"/>
        <w:jc w:val="both"/>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937"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sz w:val="21"/>
              </w:rPr>
              <w:t>（1）实际实施了开颅进行的脑肿瘤完全切除或部分切除的手术；</w:t>
            </w:r>
          </w:p>
          <w:p>
            <w:pPr>
              <w:pStyle w:val="TableParagraph"/>
              <w:spacing w:before="37"/>
              <w:ind w:left="109"/>
              <w:rPr>
                <w:sz w:val="21"/>
              </w:rPr>
            </w:pPr>
            <w:r>
              <w:rPr>
                <w:sz w:val="21"/>
              </w:rPr>
              <w:t>（2）实际实施了对脑肿瘤进行的放射治疗。</w:t>
            </w:r>
          </w:p>
          <w:p>
            <w:pPr>
              <w:pStyle w:val="TableParagraph"/>
              <w:spacing w:before="37"/>
              <w:ind w:left="109"/>
              <w:rPr>
                <w:sz w:val="21"/>
              </w:rPr>
            </w:pPr>
            <w:r>
              <w:rPr>
                <w:sz w:val="21"/>
              </w:rPr>
              <w:t>脑垂体瘤、脑囊肿、脑血管性疾病不在保障范围内。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十</w:t>
            </w:r>
          </w:p>
        </w:tc>
        <w:tc>
          <w:tcPr>
            <w:tcW w:w="1930" w:type="dxa"/>
          </w:tcPr>
          <w:p>
            <w:pPr>
              <w:pStyle w:val="TableParagraph"/>
              <w:spacing w:line="257" w:lineRule="exact"/>
              <w:ind w:left="107"/>
              <w:rPr>
                <w:b/>
                <w:sz w:val="21"/>
              </w:rPr>
            </w:pPr>
            <w:r>
              <w:rPr>
                <w:b/>
                <w:sz w:val="21"/>
              </w:rPr>
              <w:t>慢性肝功能衰竭失</w:t>
            </w:r>
          </w:p>
          <w:p>
            <w:pPr>
              <w:pStyle w:val="TableParagraph"/>
              <w:spacing w:before="37"/>
              <w:ind w:left="107"/>
              <w:rPr>
                <w:b/>
                <w:sz w:val="21"/>
              </w:rPr>
            </w:pPr>
            <w:r>
              <w:rPr>
                <w:b/>
                <w:sz w:val="21"/>
              </w:rPr>
              <w:t>代偿期</w:t>
            </w:r>
          </w:p>
        </w:tc>
        <w:tc>
          <w:tcPr>
            <w:tcW w:w="7308" w:type="dxa"/>
          </w:tcPr>
          <w:p>
            <w:pPr>
              <w:pStyle w:val="TableParagraph"/>
              <w:spacing w:line="257" w:lineRule="exact"/>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37"/>
              <w:rPr>
                <w:sz w:val="21"/>
              </w:rPr>
            </w:pPr>
            <w:r>
              <w:rPr>
                <w:sz w:val="21"/>
              </w:rPr>
              <w:t>（4）充血性脾肿大伴脾功能亢进或食管胃底静脉曲张。因酗酒或药物滥用导致的肝功能衰竭不在保障范围内。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十一</w:t>
            </w:r>
          </w:p>
        </w:tc>
        <w:tc>
          <w:tcPr>
            <w:tcW w:w="1930" w:type="dxa"/>
          </w:tcPr>
          <w:p>
            <w:pPr>
              <w:pStyle w:val="TableParagraph"/>
              <w:spacing w:line="257" w:lineRule="exact"/>
              <w:ind w:left="107"/>
              <w:rPr>
                <w:b/>
                <w:sz w:val="21"/>
              </w:rPr>
            </w:pPr>
            <w:r>
              <w:rPr>
                <w:b/>
                <w:sz w:val="21"/>
              </w:rPr>
              <w:t>脑炎后遗症或脑膜</w:t>
            </w:r>
          </w:p>
          <w:p>
            <w:pPr>
              <w:pStyle w:val="TableParagraph"/>
              <w:spacing w:before="37"/>
              <w:ind w:left="107"/>
              <w:rPr>
                <w:b/>
                <w:sz w:val="21"/>
              </w:rPr>
            </w:pPr>
            <w:r>
              <w:rPr>
                <w:b/>
                <w:sz w:val="21"/>
              </w:rPr>
              <w:t>炎后遗症</w:t>
            </w:r>
          </w:p>
        </w:tc>
        <w:tc>
          <w:tcPr>
            <w:tcW w:w="7308" w:type="dxa"/>
          </w:tcPr>
          <w:p>
            <w:pPr>
              <w:pStyle w:val="TableParagraph"/>
              <w:spacing w:line="257" w:lineRule="exact"/>
              <w:ind w:left="109"/>
              <w:rPr>
                <w:sz w:val="21"/>
              </w:rPr>
            </w:pPr>
            <w:r>
              <w:rPr>
                <w:sz w:val="21"/>
              </w:rPr>
              <w:t>指因患脑炎或脑膜炎导致的神经系统永久性的功能障碍。神经系统永久性的功</w:t>
            </w:r>
          </w:p>
          <w:p>
            <w:pPr>
              <w:pStyle w:val="TableParagraph"/>
              <w:spacing w:before="37"/>
              <w:ind w:left="109"/>
              <w:rPr>
                <w:sz w:val="21"/>
              </w:rPr>
            </w:pPr>
            <w:r>
              <w:rPr>
                <w:sz w:val="21"/>
              </w:rPr>
              <w:t>能障碍，指疾病确诊 180 天后，仍遗留下列一种或一种以上障碍：</w:t>
            </w:r>
          </w:p>
          <w:p>
            <w:pPr>
              <w:pStyle w:val="TableParagraph"/>
              <w:spacing w:before="37"/>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十二</w:t>
            </w:r>
          </w:p>
        </w:tc>
        <w:tc>
          <w:tcPr>
            <w:tcW w:w="1930" w:type="dxa"/>
          </w:tcPr>
          <w:p>
            <w:pPr>
              <w:pStyle w:val="TableParagraph"/>
              <w:spacing w:line="257" w:lineRule="exact"/>
              <w:ind w:left="107"/>
              <w:rPr>
                <w:b/>
                <w:sz w:val="21"/>
              </w:rPr>
            </w:pPr>
            <w:r>
              <w:rPr>
                <w:b/>
                <w:sz w:val="21"/>
              </w:rPr>
              <w:t>深度昏迷</w:t>
            </w:r>
          </w:p>
        </w:tc>
        <w:tc>
          <w:tcPr>
            <w:tcW w:w="7308" w:type="dxa"/>
          </w:tcPr>
          <w:p>
            <w:pPr>
              <w:pStyle w:val="TableParagraph"/>
              <w:spacing w:line="257" w:lineRule="exact"/>
              <w:ind w:left="109"/>
              <w:rPr>
                <w:sz w:val="21"/>
              </w:rPr>
            </w:pPr>
            <w:r>
              <w:rPr>
                <w:sz w:val="21"/>
              </w:rPr>
              <w:t>指因疾病或意外伤害导致意识丧失，对外界刺激和体内需求均无反应，昏迷程</w:t>
            </w:r>
          </w:p>
          <w:p>
            <w:pPr>
              <w:pStyle w:val="TableParagraph"/>
              <w:spacing w:line="273" w:lineRule="auto" w:before="37"/>
              <w:ind w:left="109" w:right="94"/>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5"/>
                <w:sz w:val="21"/>
              </w:rPr>
              <w:t>已经持续使用呼吸机及其它生命维持系统 </w:t>
            </w:r>
            <w:r>
              <w:rPr>
                <w:sz w:val="21"/>
              </w:rPr>
              <w:t>96</w:t>
            </w:r>
            <w:r>
              <w:rPr>
                <w:spacing w:val="-9"/>
                <w:sz w:val="21"/>
              </w:rPr>
              <w:t> 小时以上。</w:t>
            </w:r>
          </w:p>
          <w:p>
            <w:pPr>
              <w:pStyle w:val="TableParagraph"/>
              <w:spacing w:before="7"/>
              <w:ind w:left="109"/>
              <w:rPr>
                <w:sz w:val="21"/>
              </w:rPr>
            </w:pPr>
            <w:r>
              <w:rPr>
                <w:sz w:val="21"/>
              </w:rPr>
              <w:t>因酗酒或药物滥用导致的深度昏迷不在保障范围内。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62" w:hRule="atLeast"/>
        </w:trPr>
        <w:tc>
          <w:tcPr>
            <w:tcW w:w="850" w:type="dxa"/>
          </w:tcPr>
          <w:p>
            <w:pPr>
              <w:pStyle w:val="TableParagraph"/>
              <w:spacing w:line="259" w:lineRule="exact"/>
              <w:ind w:left="107"/>
              <w:rPr>
                <w:b/>
                <w:sz w:val="21"/>
              </w:rPr>
            </w:pPr>
            <w:r>
              <w:rPr>
                <w:b/>
                <w:sz w:val="21"/>
              </w:rPr>
              <w:t>十三</w:t>
            </w:r>
          </w:p>
        </w:tc>
        <w:tc>
          <w:tcPr>
            <w:tcW w:w="1930" w:type="dxa"/>
          </w:tcPr>
          <w:p>
            <w:pPr>
              <w:pStyle w:val="TableParagraph"/>
              <w:spacing w:line="259" w:lineRule="exact"/>
              <w:ind w:left="107"/>
              <w:rPr>
                <w:b/>
                <w:sz w:val="21"/>
              </w:rPr>
            </w:pPr>
            <w:r>
              <w:rPr>
                <w:b/>
                <w:sz w:val="21"/>
              </w:rPr>
              <w:t>双耳失聪</w:t>
            </w:r>
          </w:p>
        </w:tc>
        <w:tc>
          <w:tcPr>
            <w:tcW w:w="7308" w:type="dxa"/>
          </w:tcPr>
          <w:p>
            <w:pPr>
              <w:pStyle w:val="TableParagraph"/>
              <w:spacing w:line="259" w:lineRule="exact"/>
              <w:ind w:left="109" w:right="-15"/>
              <w:rPr>
                <w:sz w:val="21"/>
              </w:rPr>
            </w:pPr>
            <w:r>
              <w:rPr>
                <w:spacing w:val="-3"/>
                <w:sz w:val="21"/>
              </w:rPr>
              <w:t>指因疾病或意外伤害导致双耳听力</w:t>
            </w:r>
            <w:r>
              <w:rPr>
                <w:b/>
                <w:spacing w:val="-8"/>
                <w:sz w:val="21"/>
              </w:rPr>
              <w:t>永久不可逆</w:t>
            </w:r>
            <w:r>
              <w:rPr>
                <w:sz w:val="21"/>
              </w:rPr>
              <w:t>（</w:t>
            </w:r>
            <w:r>
              <w:rPr>
                <w:spacing w:val="-15"/>
                <w:sz w:val="21"/>
              </w:rPr>
              <w:t>见注 </w:t>
            </w:r>
            <w:r>
              <w:rPr>
                <w:spacing w:val="-20"/>
                <w:sz w:val="21"/>
              </w:rPr>
              <w:t>4）</w:t>
            </w:r>
            <w:r>
              <w:rPr>
                <w:spacing w:val="-15"/>
                <w:sz w:val="21"/>
              </w:rPr>
              <w:t>性丧失，在 </w:t>
            </w:r>
            <w:r>
              <w:rPr>
                <w:sz w:val="21"/>
              </w:rPr>
              <w:t>500</w:t>
            </w:r>
            <w:r>
              <w:rPr>
                <w:spacing w:val="-13"/>
                <w:sz w:val="21"/>
              </w:rPr>
              <w:t> 赫兹、</w:t>
            </w:r>
          </w:p>
          <w:p>
            <w:pPr>
              <w:pStyle w:val="TableParagraph"/>
              <w:spacing w:line="273" w:lineRule="auto" w:before="37"/>
              <w:ind w:left="109" w:right="-15"/>
              <w:rPr>
                <w:sz w:val="21"/>
              </w:rPr>
            </w:pPr>
            <w:r>
              <w:rPr>
                <w:sz w:val="21"/>
              </w:rPr>
              <w:t>1000</w:t>
            </w:r>
            <w:r>
              <w:rPr>
                <w:spacing w:val="-21"/>
                <w:sz w:val="21"/>
              </w:rPr>
              <w:t> 赫兹和 </w:t>
            </w:r>
            <w:r>
              <w:rPr>
                <w:sz w:val="21"/>
              </w:rPr>
              <w:t>2000</w:t>
            </w:r>
            <w:r>
              <w:rPr>
                <w:spacing w:val="-17"/>
                <w:sz w:val="21"/>
              </w:rPr>
              <w:t> 赫兹语音频率下，平均听阈大于 </w:t>
            </w:r>
            <w:r>
              <w:rPr>
                <w:sz w:val="21"/>
              </w:rPr>
              <w:t>90</w:t>
            </w:r>
            <w:r>
              <w:rPr>
                <w:spacing w:val="-15"/>
                <w:sz w:val="21"/>
              </w:rPr>
              <w:t> 分贝，且经纯音听力测试、</w:t>
            </w:r>
            <w:r>
              <w:rPr>
                <w:spacing w:val="-3"/>
                <w:sz w:val="21"/>
              </w:rPr>
              <w:t>声导抗检测或听觉诱发电位检测等证实。</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听力丧失诊断及检查证据。</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十四</w:t>
            </w:r>
          </w:p>
        </w:tc>
        <w:tc>
          <w:tcPr>
            <w:tcW w:w="1930" w:type="dxa"/>
          </w:tcPr>
          <w:p>
            <w:pPr>
              <w:pStyle w:val="TableParagraph"/>
              <w:spacing w:line="257" w:lineRule="exact"/>
              <w:ind w:left="107"/>
              <w:rPr>
                <w:b/>
                <w:sz w:val="21"/>
              </w:rPr>
            </w:pPr>
            <w:r>
              <w:rPr>
                <w:b/>
                <w:sz w:val="21"/>
              </w:rPr>
              <w:t>双目失明</w:t>
            </w:r>
          </w:p>
        </w:tc>
        <w:tc>
          <w:tcPr>
            <w:tcW w:w="7308" w:type="dxa"/>
          </w:tcPr>
          <w:p>
            <w:pPr>
              <w:pStyle w:val="TableParagraph"/>
              <w:spacing w:line="257" w:lineRule="exact"/>
              <w:ind w:left="109"/>
              <w:rPr>
                <w:sz w:val="21"/>
              </w:rPr>
            </w:pPr>
            <w:r>
              <w:rPr>
                <w:sz w:val="21"/>
              </w:rPr>
              <w:t>指因疾病或意外伤害导致双眼视力</w:t>
            </w:r>
            <w:r>
              <w:rPr>
                <w:b/>
                <w:sz w:val="21"/>
              </w:rPr>
              <w:t>永久不可逆</w:t>
            </w:r>
            <w:r>
              <w:rPr>
                <w:sz w:val="21"/>
              </w:rPr>
              <w:t>性丧失，双眼中较好眼须满足下</w:t>
            </w:r>
          </w:p>
          <w:p>
            <w:pPr>
              <w:pStyle w:val="TableParagraph"/>
              <w:spacing w:before="37"/>
              <w:ind w:left="109"/>
              <w:rPr>
                <w:sz w:val="21"/>
              </w:rPr>
            </w:pPr>
            <w:r>
              <w:rPr>
                <w:sz w:val="21"/>
              </w:rPr>
              <w:t>列至少一项条件：</w:t>
            </w:r>
          </w:p>
          <w:p>
            <w:pPr>
              <w:pStyle w:val="TableParagraph"/>
              <w:spacing w:before="37"/>
              <w:ind w:left="109"/>
              <w:rPr>
                <w:sz w:val="21"/>
              </w:rPr>
            </w:pPr>
            <w:r>
              <w:rPr>
                <w:sz w:val="21"/>
              </w:rPr>
              <w:t>（1）眼球缺失或摘除；</w:t>
            </w:r>
          </w:p>
          <w:p>
            <w:pPr>
              <w:pStyle w:val="TableParagraph"/>
              <w:spacing w:line="273" w:lineRule="auto" w:before="37"/>
              <w:ind w:left="635" w:right="93"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109"/>
              <w:rPr>
                <w:sz w:val="21"/>
              </w:rPr>
            </w:pPr>
            <w:r>
              <w:rPr>
                <w:sz w:val="21"/>
              </w:rPr>
              <w:t>（3）视野半径小于 5 度。</w:t>
            </w:r>
          </w:p>
          <w:p>
            <w:pPr>
              <w:pStyle w:val="TableParagraph"/>
              <w:spacing w:line="237" w:lineRule="auto" w:before="12"/>
              <w:ind w:left="109" w:right="197"/>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w w:val="99"/>
                <w:sz w:val="24"/>
              </w:rPr>
              <w:t>受此限</w:t>
            </w:r>
            <w:r>
              <w:rPr>
                <w:b/>
                <w:spacing w:val="-118"/>
                <w:w w:val="99"/>
                <w:sz w:val="24"/>
              </w:rPr>
              <w:t>）</w:t>
            </w:r>
            <w:r>
              <w:rPr>
                <w:b/>
                <w:w w:val="99"/>
                <w:sz w:val="24"/>
              </w:rPr>
              <w:t>，并且提供理赔当时的视力丧失诊断及检查证据。</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十五</w:t>
            </w:r>
          </w:p>
        </w:tc>
        <w:tc>
          <w:tcPr>
            <w:tcW w:w="1930" w:type="dxa"/>
          </w:tcPr>
          <w:p>
            <w:pPr>
              <w:pStyle w:val="TableParagraph"/>
              <w:spacing w:line="257" w:lineRule="exact"/>
              <w:ind w:left="107"/>
              <w:rPr>
                <w:b/>
                <w:sz w:val="21"/>
              </w:rPr>
            </w:pPr>
            <w:r>
              <w:rPr>
                <w:b/>
                <w:sz w:val="21"/>
              </w:rPr>
              <w:t>瘫痪</w:t>
            </w:r>
          </w:p>
        </w:tc>
        <w:tc>
          <w:tcPr>
            <w:tcW w:w="7308" w:type="dxa"/>
          </w:tcPr>
          <w:p>
            <w:pPr>
              <w:pStyle w:val="TableParagraph"/>
              <w:spacing w:line="257" w:lineRule="exact"/>
              <w:ind w:left="109"/>
              <w:rPr>
                <w:sz w:val="21"/>
              </w:rPr>
            </w:pPr>
            <w:r>
              <w:rPr>
                <w:sz w:val="21"/>
              </w:rPr>
              <w:t>指因疾病或意外伤害导致两肢或两肢以上肢体机能永久完全丧失。肢体机能永</w:t>
            </w:r>
          </w:p>
          <w:p>
            <w:pPr>
              <w:pStyle w:val="TableParagraph"/>
              <w:spacing w:line="273" w:lineRule="auto" w:before="37"/>
              <w:ind w:left="109" w:right="94"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4"/>
                <w:sz w:val="21"/>
              </w:rPr>
              <w:t> 天后，每肢</w:t>
            </w:r>
            <w:r>
              <w:rPr>
                <w:b/>
                <w:spacing w:val="-22"/>
                <w:sz w:val="21"/>
              </w:rPr>
              <w:t>三大关节</w:t>
            </w:r>
            <w:r>
              <w:rPr>
                <w:spacing w:val="-3"/>
                <w:sz w:val="21"/>
              </w:rPr>
              <w:t>（见</w:t>
            </w:r>
            <w:r>
              <w:rPr>
                <w:spacing w:val="-14"/>
                <w:sz w:val="21"/>
              </w:rPr>
              <w:t>注 </w:t>
            </w:r>
            <w:r>
              <w:rPr>
                <w:sz w:val="21"/>
              </w:rPr>
              <w:t>5）</w:t>
            </w:r>
            <w:r>
              <w:rPr>
                <w:spacing w:val="-3"/>
                <w:sz w:val="21"/>
              </w:rPr>
              <w:t>中的两大关节仍然完全僵硬，或不能随意识活动。</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1" w:hRule="atLeast"/>
        </w:trPr>
        <w:tc>
          <w:tcPr>
            <w:tcW w:w="850" w:type="dxa"/>
          </w:tcPr>
          <w:p>
            <w:pPr>
              <w:pStyle w:val="TableParagraph"/>
              <w:spacing w:line="257" w:lineRule="exact"/>
              <w:ind w:left="107"/>
              <w:rPr>
                <w:b/>
                <w:sz w:val="21"/>
              </w:rPr>
            </w:pPr>
            <w:r>
              <w:rPr>
                <w:b/>
                <w:sz w:val="21"/>
              </w:rPr>
              <w:t>十六</w:t>
            </w:r>
          </w:p>
        </w:tc>
        <w:tc>
          <w:tcPr>
            <w:tcW w:w="1930" w:type="dxa"/>
          </w:tcPr>
          <w:p>
            <w:pPr>
              <w:pStyle w:val="TableParagraph"/>
              <w:spacing w:line="257" w:lineRule="exact"/>
              <w:ind w:left="107"/>
              <w:rPr>
                <w:b/>
                <w:sz w:val="21"/>
              </w:rPr>
            </w:pPr>
            <w:r>
              <w:rPr>
                <w:b/>
                <w:sz w:val="21"/>
              </w:rPr>
              <w:t>心脏瓣膜手术</w:t>
            </w:r>
          </w:p>
        </w:tc>
        <w:tc>
          <w:tcPr>
            <w:tcW w:w="7308" w:type="dxa"/>
          </w:tcPr>
          <w:p>
            <w:pPr>
              <w:pStyle w:val="TableParagraph"/>
              <w:spacing w:line="257" w:lineRule="exact"/>
              <w:ind w:left="109"/>
              <w:rPr>
                <w:sz w:val="21"/>
              </w:rPr>
            </w:pPr>
            <w:r>
              <w:rPr>
                <w:sz w:val="21"/>
              </w:rPr>
              <w:t>指为治疗心脏瓣膜疾病，实际实施了开胸进行的心脏瓣膜置换或修复的手术。</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9" w:hRule="atLeast"/>
        </w:trPr>
        <w:tc>
          <w:tcPr>
            <w:tcW w:w="850" w:type="dxa"/>
          </w:tcPr>
          <w:p>
            <w:pPr>
              <w:pStyle w:val="TableParagraph"/>
              <w:spacing w:line="259" w:lineRule="exact"/>
              <w:ind w:left="107"/>
              <w:rPr>
                <w:b/>
                <w:sz w:val="21"/>
              </w:rPr>
            </w:pPr>
            <w:r>
              <w:rPr>
                <w:b/>
                <w:sz w:val="21"/>
              </w:rPr>
              <w:t>十七</w:t>
            </w:r>
          </w:p>
        </w:tc>
        <w:tc>
          <w:tcPr>
            <w:tcW w:w="1930" w:type="dxa"/>
          </w:tcPr>
          <w:p>
            <w:pPr>
              <w:pStyle w:val="TableParagraph"/>
              <w:spacing w:line="259" w:lineRule="exact"/>
              <w:ind w:left="107"/>
              <w:rPr>
                <w:b/>
                <w:sz w:val="21"/>
              </w:rPr>
            </w:pPr>
            <w:r>
              <w:rPr>
                <w:b/>
                <w:sz w:val="21"/>
              </w:rPr>
              <w:t>严重阿尔茨海默病</w:t>
            </w:r>
          </w:p>
        </w:tc>
        <w:tc>
          <w:tcPr>
            <w:tcW w:w="7308" w:type="dxa"/>
          </w:tcPr>
          <w:p>
            <w:pPr>
              <w:pStyle w:val="TableParagraph"/>
              <w:spacing w:line="259" w:lineRule="exact"/>
              <w:ind w:left="109"/>
              <w:rPr>
                <w:sz w:val="21"/>
              </w:rPr>
            </w:pPr>
            <w:r>
              <w:rPr>
                <w:sz w:val="21"/>
              </w:rPr>
              <w:t>指因大脑进行性、不可逆性改变导致智能严重衰退或丧失，临床表现为明显的</w:t>
            </w:r>
          </w:p>
          <w:p>
            <w:pPr>
              <w:pStyle w:val="TableParagraph"/>
              <w:spacing w:line="273" w:lineRule="auto" w:before="37"/>
              <w:ind w:left="109" w:right="-15"/>
              <w:jc w:val="both"/>
              <w:rPr>
                <w:b/>
                <w:sz w:val="21"/>
              </w:rPr>
            </w:pPr>
            <w:r>
              <w:rPr>
                <w:spacing w:val="-15"/>
                <w:sz w:val="21"/>
              </w:rPr>
              <w:t>认知能力障碍、行为异常和社交能力减退，其日常生活必须持续受到他人监护。</w:t>
            </w:r>
            <w:r>
              <w:rPr>
                <w:spacing w:val="-8"/>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0"/>
                <w:w w:val="100"/>
                <w:sz w:val="21"/>
              </w:rPr>
              <w:t>）</w:t>
            </w:r>
            <w:r>
              <w:rPr>
                <w:spacing w:val="-4"/>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8"/>
                <w:sz w:val="21"/>
              </w:rPr>
              <w:t>等影像学检查证实，且自主生活能力完全丧失，无法独立完成</w:t>
            </w:r>
            <w:r>
              <w:rPr>
                <w:b/>
                <w:spacing w:val="-1"/>
                <w:sz w:val="21"/>
              </w:rPr>
              <w:t>六项基本日常生</w:t>
            </w:r>
          </w:p>
        </w:tc>
      </w:tr>
    </w:tbl>
    <w:p>
      <w:pPr>
        <w:spacing w:after="0" w:line="273" w:lineRule="auto"/>
        <w:jc w:val="both"/>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625"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b/>
                <w:sz w:val="21"/>
              </w:rPr>
              <w:t>活活动</w:t>
            </w:r>
            <w:r>
              <w:rPr>
                <w:sz w:val="21"/>
              </w:rPr>
              <w:t>中的三项或三项以上。</w:t>
            </w:r>
          </w:p>
          <w:p>
            <w:pPr>
              <w:pStyle w:val="TableParagraph"/>
              <w:spacing w:before="37"/>
              <w:ind w:left="109"/>
              <w:rPr>
                <w:sz w:val="21"/>
              </w:rPr>
            </w:pPr>
            <w:r>
              <w:rPr>
                <w:sz w:val="21"/>
              </w:rPr>
              <w:t>神经官能症和精神疾病不在保障范围内。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十八</w:t>
            </w:r>
          </w:p>
        </w:tc>
        <w:tc>
          <w:tcPr>
            <w:tcW w:w="1930" w:type="dxa"/>
          </w:tcPr>
          <w:p>
            <w:pPr>
              <w:pStyle w:val="TableParagraph"/>
              <w:spacing w:line="257" w:lineRule="exact"/>
              <w:ind w:left="107"/>
              <w:rPr>
                <w:b/>
                <w:sz w:val="21"/>
              </w:rPr>
            </w:pPr>
            <w:r>
              <w:rPr>
                <w:b/>
                <w:sz w:val="21"/>
              </w:rPr>
              <w:t>严重脑损伤</w:t>
            </w:r>
          </w:p>
        </w:tc>
        <w:tc>
          <w:tcPr>
            <w:tcW w:w="7308" w:type="dxa"/>
          </w:tcPr>
          <w:p>
            <w:pPr>
              <w:pStyle w:val="TableParagraph"/>
              <w:spacing w:line="257" w:lineRule="exact"/>
              <w:ind w:left="109"/>
              <w:rPr>
                <w:sz w:val="21"/>
              </w:rPr>
            </w:pPr>
            <w:r>
              <w:rPr>
                <w:sz w:val="21"/>
              </w:rPr>
              <w:t>指因头部遭受机械性外力，引起脑重要部位损伤，导致神经系统永久性的功能</w:t>
            </w:r>
          </w:p>
          <w:p>
            <w:pPr>
              <w:pStyle w:val="TableParagraph"/>
              <w:spacing w:before="37"/>
              <w:ind w:left="109"/>
              <w:rPr>
                <w:sz w:val="21"/>
              </w:rPr>
            </w:pPr>
            <w:r>
              <w:rPr>
                <w:spacing w:val="-5"/>
                <w:w w:val="100"/>
                <w:sz w:val="21"/>
              </w:rPr>
              <w:t>障碍。须由头颅断层扫描</w:t>
            </w:r>
            <w:r>
              <w:rPr>
                <w:spacing w:val="-1"/>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37"/>
              <w:ind w:left="109" w:right="-15"/>
              <w:rPr>
                <w:sz w:val="21"/>
              </w:rPr>
            </w:pPr>
            <w:r>
              <w:rPr>
                <w:spacing w:val="-4"/>
                <w:sz w:val="21"/>
              </w:rPr>
              <w:t>（PET）</w:t>
            </w:r>
            <w:r>
              <w:rPr>
                <w:spacing w:val="-8"/>
                <w:sz w:val="21"/>
              </w:rPr>
              <w:t>等影像学检查证实。神经系统永久性的功能障碍，指脑损伤 </w:t>
            </w:r>
            <w:r>
              <w:rPr>
                <w:sz w:val="21"/>
              </w:rPr>
              <w:t>180</w:t>
            </w:r>
            <w:r>
              <w:rPr>
                <w:spacing w:val="-10"/>
                <w:sz w:val="21"/>
              </w:rPr>
              <w:t> 天后， </w:t>
            </w:r>
            <w:r>
              <w:rPr>
                <w:spacing w:val="-5"/>
                <w:sz w:val="21"/>
              </w:rPr>
              <w:t>仍遗留下列一种或一种以上障碍：</w:t>
            </w:r>
          </w:p>
          <w:p>
            <w:pPr>
              <w:pStyle w:val="TableParagraph"/>
              <w:spacing w:before="8"/>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十九</w:t>
            </w:r>
          </w:p>
        </w:tc>
        <w:tc>
          <w:tcPr>
            <w:tcW w:w="1930" w:type="dxa"/>
          </w:tcPr>
          <w:p>
            <w:pPr>
              <w:pStyle w:val="TableParagraph"/>
              <w:spacing w:line="257" w:lineRule="exact"/>
              <w:ind w:left="107"/>
              <w:rPr>
                <w:b/>
                <w:sz w:val="21"/>
              </w:rPr>
            </w:pPr>
            <w:r>
              <w:rPr>
                <w:b/>
                <w:sz w:val="21"/>
              </w:rPr>
              <w:t>严重帕金森病</w:t>
            </w:r>
          </w:p>
        </w:tc>
        <w:tc>
          <w:tcPr>
            <w:tcW w:w="7308" w:type="dxa"/>
          </w:tcPr>
          <w:p>
            <w:pPr>
              <w:pStyle w:val="TableParagraph"/>
              <w:spacing w:line="257" w:lineRule="exact"/>
              <w:ind w:left="109"/>
              <w:rPr>
                <w:sz w:val="21"/>
              </w:rPr>
            </w:pPr>
            <w:r>
              <w:rPr>
                <w:sz w:val="21"/>
              </w:rPr>
              <w:t>是一种中枢神经系统的退行性疾病，临床表现为震颤麻痹、共济失调等。须满</w:t>
            </w:r>
          </w:p>
          <w:p>
            <w:pPr>
              <w:pStyle w:val="TableParagraph"/>
              <w:spacing w:before="37"/>
              <w:ind w:left="109"/>
              <w:rPr>
                <w:sz w:val="21"/>
              </w:rPr>
            </w:pPr>
            <w:r>
              <w:rPr>
                <w:sz w:val="21"/>
              </w:rPr>
              <w:t>足下列全部条件：</w:t>
            </w:r>
          </w:p>
          <w:p>
            <w:pPr>
              <w:pStyle w:val="TableParagraph"/>
              <w:spacing w:before="37"/>
              <w:ind w:left="109"/>
              <w:rPr>
                <w:sz w:val="21"/>
              </w:rPr>
            </w:pPr>
            <w:r>
              <w:rPr>
                <w:sz w:val="21"/>
              </w:rPr>
              <w:t>（1）药物治疗无法控制病情；</w:t>
            </w:r>
          </w:p>
          <w:p>
            <w:pPr>
              <w:pStyle w:val="TableParagraph"/>
              <w:spacing w:line="273" w:lineRule="auto" w:before="37"/>
              <w:ind w:left="634" w:right="140"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9"/>
              <w:rPr>
                <w:sz w:val="21"/>
              </w:rPr>
            </w:pPr>
            <w:r>
              <w:rPr>
                <w:sz w:val="21"/>
              </w:rPr>
              <w:t>继发性帕金森综合征不在保障范围内。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w:t>
            </w:r>
          </w:p>
        </w:tc>
        <w:tc>
          <w:tcPr>
            <w:tcW w:w="1930" w:type="dxa"/>
          </w:tcPr>
          <w:p>
            <w:pPr>
              <w:pStyle w:val="TableParagraph"/>
              <w:spacing w:line="257" w:lineRule="exact"/>
              <w:ind w:left="107"/>
              <w:rPr>
                <w:b/>
                <w:sz w:val="21"/>
              </w:rPr>
            </w:pPr>
            <w:r>
              <w:rPr>
                <w:b/>
                <w:sz w:val="21"/>
              </w:rPr>
              <w:t>严重Ⅲ度烧伤</w:t>
            </w:r>
          </w:p>
        </w:tc>
        <w:tc>
          <w:tcPr>
            <w:tcW w:w="7308" w:type="dxa"/>
          </w:tcPr>
          <w:p>
            <w:pPr>
              <w:pStyle w:val="TableParagraph"/>
              <w:spacing w:line="257" w:lineRule="exact"/>
              <w:ind w:left="109" w:right="-15"/>
              <w:rPr>
                <w:sz w:val="21"/>
              </w:rPr>
            </w:pPr>
            <w:r>
              <w:rPr>
                <w:spacing w:val="-10"/>
                <w:sz w:val="21"/>
              </w:rPr>
              <w:t>指烧伤程度为Ⅲ度，且Ⅲ度烧伤的面积达到全身体表面积的 </w:t>
            </w:r>
            <w:r>
              <w:rPr>
                <w:sz w:val="21"/>
              </w:rPr>
              <w:t>20</w:t>
            </w:r>
            <w:r>
              <w:rPr>
                <w:spacing w:val="-13"/>
                <w:sz w:val="21"/>
              </w:rPr>
              <w:t>％或 </w:t>
            </w:r>
            <w:r>
              <w:rPr>
                <w:sz w:val="21"/>
              </w:rPr>
              <w:t>20</w:t>
            </w:r>
            <w:r>
              <w:rPr>
                <w:spacing w:val="-3"/>
                <w:sz w:val="21"/>
              </w:rPr>
              <w:t>％以上。</w:t>
            </w:r>
          </w:p>
          <w:p>
            <w:pPr>
              <w:pStyle w:val="TableParagraph"/>
              <w:spacing w:before="37"/>
              <w:ind w:left="109"/>
              <w:rPr>
                <w:sz w:val="21"/>
              </w:rPr>
            </w:pPr>
            <w:r>
              <w:rPr>
                <w:sz w:val="21"/>
              </w:rPr>
              <w:t>体表面积根据《中国新九分法》计算。</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8" w:hRule="atLeast"/>
        </w:trPr>
        <w:tc>
          <w:tcPr>
            <w:tcW w:w="850" w:type="dxa"/>
          </w:tcPr>
          <w:p>
            <w:pPr>
              <w:pStyle w:val="TableParagraph"/>
              <w:spacing w:line="259" w:lineRule="exact"/>
              <w:ind w:left="107"/>
              <w:rPr>
                <w:b/>
                <w:sz w:val="21"/>
              </w:rPr>
            </w:pPr>
            <w:r>
              <w:rPr>
                <w:b/>
                <w:sz w:val="21"/>
              </w:rPr>
              <w:t>二十一</w:t>
            </w:r>
          </w:p>
        </w:tc>
        <w:tc>
          <w:tcPr>
            <w:tcW w:w="1930" w:type="dxa"/>
          </w:tcPr>
          <w:p>
            <w:pPr>
              <w:pStyle w:val="TableParagraph"/>
              <w:spacing w:line="259" w:lineRule="exact"/>
              <w:ind w:left="107"/>
              <w:rPr>
                <w:b/>
                <w:sz w:val="21"/>
              </w:rPr>
            </w:pPr>
            <w:r>
              <w:rPr>
                <w:b/>
                <w:sz w:val="21"/>
              </w:rPr>
              <w:t>严重原发性肺动脉</w:t>
            </w:r>
          </w:p>
          <w:p>
            <w:pPr>
              <w:pStyle w:val="TableParagraph"/>
              <w:spacing w:before="37"/>
              <w:ind w:left="107"/>
              <w:rPr>
                <w:b/>
                <w:sz w:val="21"/>
              </w:rPr>
            </w:pPr>
            <w:r>
              <w:rPr>
                <w:b/>
                <w:sz w:val="21"/>
              </w:rPr>
              <w:t>高压</w:t>
            </w:r>
          </w:p>
        </w:tc>
        <w:tc>
          <w:tcPr>
            <w:tcW w:w="7308" w:type="dxa"/>
          </w:tcPr>
          <w:p>
            <w:pPr>
              <w:pStyle w:val="TableParagraph"/>
              <w:spacing w:line="259" w:lineRule="exact"/>
              <w:ind w:left="109"/>
              <w:rPr>
                <w:sz w:val="21"/>
              </w:rPr>
            </w:pPr>
            <w:r>
              <w:rPr>
                <w:sz w:val="21"/>
              </w:rPr>
              <w:t>指不明原因的肺动脉压力持续性增高，进行性发展而导致的慢性疾病，已经造</w:t>
            </w:r>
          </w:p>
          <w:p>
            <w:pPr>
              <w:pStyle w:val="TableParagraph"/>
              <w:spacing w:line="273" w:lineRule="auto" w:before="37"/>
              <w:ind w:left="109" w:right="95"/>
              <w:rPr>
                <w:sz w:val="21"/>
              </w:rPr>
            </w:pPr>
            <w:r>
              <w:rPr>
                <w:spacing w:val="-3"/>
                <w:sz w:val="21"/>
              </w:rPr>
              <w:t>成</w:t>
            </w:r>
            <w:r>
              <w:rPr>
                <w:b/>
                <w:sz w:val="21"/>
              </w:rPr>
              <w:t>永久不可逆</w:t>
            </w:r>
            <w:r>
              <w:rPr>
                <w:spacing w:val="-8"/>
                <w:sz w:val="21"/>
              </w:rPr>
              <w:t>性的体力活动能力受限，达到美国纽约心脏病学会心功能状态分</w:t>
            </w:r>
            <w:r>
              <w:rPr>
                <w:spacing w:val="-24"/>
                <w:sz w:val="21"/>
              </w:rPr>
              <w:t>级 </w:t>
            </w:r>
            <w:r>
              <w:rPr>
                <w:sz w:val="21"/>
              </w:rPr>
              <w:t>IV</w:t>
            </w:r>
            <w:r>
              <w:rPr>
                <w:spacing w:val="-11"/>
                <w:sz w:val="21"/>
              </w:rPr>
              <w:t> 级，且静息状态下肺动脉平均压超过 </w:t>
            </w:r>
            <w:r>
              <w:rPr>
                <w:sz w:val="21"/>
              </w:rPr>
              <w:t>30mmHg。</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二十二</w:t>
            </w:r>
          </w:p>
        </w:tc>
        <w:tc>
          <w:tcPr>
            <w:tcW w:w="1930" w:type="dxa"/>
          </w:tcPr>
          <w:p>
            <w:pPr>
              <w:pStyle w:val="TableParagraph"/>
              <w:spacing w:line="257" w:lineRule="exact"/>
              <w:ind w:left="107"/>
              <w:rPr>
                <w:b/>
                <w:sz w:val="21"/>
              </w:rPr>
            </w:pPr>
            <w:r>
              <w:rPr>
                <w:b/>
                <w:sz w:val="21"/>
              </w:rPr>
              <w:t>严重运动神经元病</w:t>
            </w:r>
          </w:p>
        </w:tc>
        <w:tc>
          <w:tcPr>
            <w:tcW w:w="7308" w:type="dxa"/>
          </w:tcPr>
          <w:p>
            <w:pPr>
              <w:pStyle w:val="TableParagraph"/>
              <w:spacing w:line="257" w:lineRule="exact"/>
              <w:ind w:left="109"/>
              <w:rPr>
                <w:sz w:val="21"/>
              </w:rPr>
            </w:pPr>
            <w:r>
              <w:rPr>
                <w:sz w:val="21"/>
              </w:rPr>
              <w:t>是一组中枢神经系统运动神经元的进行性变性疾病，包括进行性脊肌萎缩症、</w:t>
            </w:r>
          </w:p>
          <w:p>
            <w:pPr>
              <w:pStyle w:val="TableParagraph"/>
              <w:spacing w:line="273" w:lineRule="auto" w:before="37"/>
              <w:ind w:left="109" w:right="91"/>
              <w:jc w:val="both"/>
              <w:rPr>
                <w:sz w:val="21"/>
              </w:rPr>
            </w:pPr>
            <w:r>
              <w:rPr>
                <w:spacing w:val="-7"/>
                <w:sz w:val="21"/>
              </w:rPr>
              <w:t>进行性延髓麻痹症、原发性侧索硬化症、肌萎缩性侧索硬化症。须满足自主生</w:t>
            </w:r>
            <w:r>
              <w:rPr>
                <w:spacing w:val="-10"/>
                <w:sz w:val="21"/>
              </w:rPr>
              <w:t>活能力完全丧失，无法独立完成</w:t>
            </w:r>
            <w:r>
              <w:rPr>
                <w:b/>
                <w:spacing w:val="-2"/>
                <w:sz w:val="21"/>
              </w:rPr>
              <w:t>六项基本日常生活活动</w:t>
            </w:r>
            <w:r>
              <w:rPr>
                <w:spacing w:val="-3"/>
                <w:sz w:val="21"/>
              </w:rPr>
              <w:t>中的三项或三项以上的</w:t>
            </w:r>
            <w:r>
              <w:rPr>
                <w:sz w:val="21"/>
              </w:rPr>
              <w:t>条件。</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二十三</w:t>
            </w:r>
          </w:p>
        </w:tc>
        <w:tc>
          <w:tcPr>
            <w:tcW w:w="1930" w:type="dxa"/>
          </w:tcPr>
          <w:p>
            <w:pPr>
              <w:pStyle w:val="TableParagraph"/>
              <w:spacing w:line="257" w:lineRule="exact"/>
              <w:ind w:left="107"/>
              <w:rPr>
                <w:b/>
                <w:sz w:val="21"/>
              </w:rPr>
            </w:pPr>
            <w:r>
              <w:rPr>
                <w:b/>
                <w:sz w:val="21"/>
              </w:rPr>
              <w:t>语言能力丧失</w:t>
            </w:r>
          </w:p>
        </w:tc>
        <w:tc>
          <w:tcPr>
            <w:tcW w:w="7308" w:type="dxa"/>
          </w:tcPr>
          <w:p>
            <w:pPr>
              <w:pStyle w:val="TableParagraph"/>
              <w:spacing w:line="257" w:lineRule="exact"/>
              <w:ind w:left="109"/>
              <w:rPr>
                <w:sz w:val="21"/>
              </w:rPr>
            </w:pPr>
            <w:r>
              <w:rPr>
                <w:sz w:val="21"/>
              </w:rPr>
              <w:t>指因疾病或意外伤害导致完全丧失语言能力，经过积极治疗至少 12 个月（声</w:t>
            </w:r>
          </w:p>
          <w:p>
            <w:pPr>
              <w:pStyle w:val="TableParagraph"/>
              <w:spacing w:line="273" w:lineRule="auto" w:before="37"/>
              <w:ind w:left="109" w:right="1406"/>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二十四</w:t>
            </w:r>
          </w:p>
        </w:tc>
        <w:tc>
          <w:tcPr>
            <w:tcW w:w="1930" w:type="dxa"/>
          </w:tcPr>
          <w:p>
            <w:pPr>
              <w:pStyle w:val="TableParagraph"/>
              <w:spacing w:line="257" w:lineRule="exact"/>
              <w:ind w:left="107"/>
              <w:rPr>
                <w:b/>
                <w:sz w:val="21"/>
              </w:rPr>
            </w:pPr>
            <w:r>
              <w:rPr>
                <w:b/>
                <w:sz w:val="21"/>
              </w:rPr>
              <w:t>重型再生障碍性贫</w:t>
            </w:r>
          </w:p>
          <w:p>
            <w:pPr>
              <w:pStyle w:val="TableParagraph"/>
              <w:spacing w:before="37"/>
              <w:ind w:left="107"/>
              <w:rPr>
                <w:b/>
                <w:sz w:val="21"/>
              </w:rPr>
            </w:pPr>
            <w:r>
              <w:rPr>
                <w:b/>
                <w:w w:val="100"/>
                <w:sz w:val="21"/>
              </w:rPr>
              <w:t>血</w:t>
            </w:r>
          </w:p>
        </w:tc>
        <w:tc>
          <w:tcPr>
            <w:tcW w:w="7308" w:type="dxa"/>
          </w:tcPr>
          <w:p>
            <w:pPr>
              <w:pStyle w:val="TableParagraph"/>
              <w:spacing w:line="257" w:lineRule="exact"/>
              <w:ind w:left="109"/>
              <w:rPr>
                <w:sz w:val="21"/>
              </w:rPr>
            </w:pPr>
            <w:r>
              <w:rPr>
                <w:sz w:val="21"/>
              </w:rPr>
              <w:t>指因骨髓造血功能慢性持续性衰竭导致的贫血、中性粒细胞减少及血小板减</w:t>
            </w:r>
          </w:p>
          <w:p>
            <w:pPr>
              <w:pStyle w:val="TableParagraph"/>
              <w:spacing w:before="37"/>
              <w:ind w:left="109"/>
              <w:rPr>
                <w:sz w:val="21"/>
              </w:rPr>
            </w:pPr>
            <w:r>
              <w:rPr>
                <w:sz w:val="21"/>
              </w:rPr>
              <w:t>少。须满足下列全部条件：</w:t>
            </w:r>
          </w:p>
          <w:p>
            <w:pPr>
              <w:pStyle w:val="TableParagraph"/>
              <w:spacing w:before="37"/>
              <w:ind w:left="109"/>
              <w:rPr>
                <w:sz w:val="21"/>
              </w:rPr>
            </w:pPr>
            <w:r>
              <w:rPr>
                <w:sz w:val="21"/>
              </w:rPr>
              <w:t>（1）骨髓穿刺检查或骨髓活检结果支持诊断；</w:t>
            </w:r>
          </w:p>
          <w:p>
            <w:pPr>
              <w:pStyle w:val="TableParagraph"/>
              <w:spacing w:before="37"/>
              <w:ind w:left="109"/>
              <w:rPr>
                <w:sz w:val="21"/>
              </w:rPr>
            </w:pPr>
            <w:r>
              <w:rPr>
                <w:sz w:val="21"/>
              </w:rPr>
              <w:t>（2）外周血象须具备以下三项条件：</w:t>
            </w:r>
          </w:p>
          <w:p>
            <w:pPr>
              <w:pStyle w:val="TableParagraph"/>
              <w:spacing w:before="37"/>
              <w:ind w:left="529"/>
              <w:rPr>
                <w:sz w:val="21"/>
              </w:rPr>
            </w:pPr>
            <w:r>
              <w:rPr>
                <w:sz w:val="21"/>
              </w:rPr>
              <w:t>① 中性粒细胞绝对值≤0.5×10</w:t>
            </w:r>
            <w:r>
              <w:rPr>
                <w:position w:val="11"/>
                <w:sz w:val="11"/>
              </w:rPr>
              <w:t>9</w:t>
            </w:r>
            <w:r>
              <w:rPr>
                <w:sz w:val="21"/>
              </w:rPr>
              <w:t>/L；</w:t>
            </w:r>
          </w:p>
          <w:p>
            <w:pPr>
              <w:pStyle w:val="TableParagraph"/>
              <w:spacing w:before="37"/>
              <w:ind w:left="529"/>
              <w:rPr>
                <w:sz w:val="21"/>
              </w:rPr>
            </w:pPr>
            <w:r>
              <w:rPr>
                <w:sz w:val="21"/>
              </w:rPr>
              <w:t>② 网织红细胞＜1%；</w:t>
            </w:r>
          </w:p>
          <w:p>
            <w:pPr>
              <w:pStyle w:val="TableParagraph"/>
              <w:spacing w:before="37"/>
              <w:ind w:left="532"/>
              <w:rPr>
                <w:sz w:val="21"/>
              </w:rPr>
            </w:pPr>
            <w:r>
              <w:rPr>
                <w:sz w:val="21"/>
              </w:rPr>
              <w:t>③ 血小板绝对值≤20×10</w:t>
            </w:r>
            <w:r>
              <w:rPr>
                <w:position w:val="11"/>
                <w:sz w:val="11"/>
              </w:rPr>
              <w:t>9</w:t>
            </w:r>
            <w:r>
              <w:rPr>
                <w:sz w:val="21"/>
              </w:rPr>
              <w:t>/L。</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8" w:hRule="atLeast"/>
        </w:trPr>
        <w:tc>
          <w:tcPr>
            <w:tcW w:w="850" w:type="dxa"/>
          </w:tcPr>
          <w:p>
            <w:pPr>
              <w:pStyle w:val="TableParagraph"/>
              <w:spacing w:line="259" w:lineRule="exact"/>
              <w:ind w:left="107"/>
              <w:rPr>
                <w:b/>
                <w:sz w:val="21"/>
              </w:rPr>
            </w:pPr>
            <w:r>
              <w:rPr>
                <w:b/>
                <w:sz w:val="21"/>
              </w:rPr>
              <w:t>二十五</w:t>
            </w:r>
          </w:p>
        </w:tc>
        <w:tc>
          <w:tcPr>
            <w:tcW w:w="1930" w:type="dxa"/>
          </w:tcPr>
          <w:p>
            <w:pPr>
              <w:pStyle w:val="TableParagraph"/>
              <w:spacing w:line="259" w:lineRule="exact"/>
              <w:ind w:left="107"/>
              <w:rPr>
                <w:b/>
                <w:sz w:val="21"/>
              </w:rPr>
            </w:pPr>
            <w:r>
              <w:rPr>
                <w:b/>
                <w:sz w:val="21"/>
              </w:rPr>
              <w:t>主动脉手术</w:t>
            </w:r>
          </w:p>
        </w:tc>
        <w:tc>
          <w:tcPr>
            <w:tcW w:w="7308" w:type="dxa"/>
          </w:tcPr>
          <w:p>
            <w:pPr>
              <w:pStyle w:val="TableParagraph"/>
              <w:spacing w:line="259" w:lineRule="exact"/>
              <w:ind w:left="109"/>
              <w:rPr>
                <w:sz w:val="21"/>
              </w:rPr>
            </w:pPr>
            <w:r>
              <w:rPr>
                <w:sz w:val="21"/>
              </w:rPr>
              <w:t>指为治疗主动脉疾病，实际实施了开胸或开腹进行的切除、置换、修补病损主</w:t>
            </w:r>
          </w:p>
          <w:p>
            <w:pPr>
              <w:pStyle w:val="TableParagraph"/>
              <w:spacing w:line="273" w:lineRule="auto" w:before="37"/>
              <w:ind w:left="109" w:right="93"/>
              <w:rPr>
                <w:sz w:val="21"/>
              </w:rPr>
            </w:pPr>
            <w:r>
              <w:rPr>
                <w:spacing w:val="-7"/>
                <w:sz w:val="21"/>
              </w:rPr>
              <w:t>动脉血管的手术。主动脉指胸主动脉和腹主动脉，不包括胸主动脉和腹主动脉</w:t>
            </w:r>
            <w:r>
              <w:rPr>
                <w:spacing w:val="-5"/>
                <w:sz w:val="21"/>
              </w:rPr>
              <w:t>的分支血管。</w:t>
            </w:r>
          </w:p>
        </w:tc>
      </w:tr>
    </w:tbl>
    <w:p>
      <w:pPr>
        <w:spacing w:after="0" w:line="273" w:lineRule="auto"/>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313"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sz w:val="21"/>
              </w:rPr>
              <w:t>动脉内血管成形术不在保障范围内。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7" w:lineRule="exact"/>
              <w:ind w:left="109"/>
              <w:rPr>
                <w:b/>
                <w:sz w:val="21"/>
              </w:rPr>
            </w:pPr>
            <w:r>
              <w:rPr>
                <w:b/>
                <w:sz w:val="21"/>
              </w:rPr>
              <w:t>以上 25 种重大疾病的定义采用中国保险行业协会制定的《重大疾病保险的疾</w:t>
            </w:r>
          </w:p>
          <w:p>
            <w:pPr>
              <w:pStyle w:val="TableParagraph"/>
              <w:spacing w:before="37"/>
              <w:ind w:left="109"/>
              <w:rPr>
                <w:b/>
                <w:sz w:val="21"/>
              </w:rPr>
            </w:pPr>
            <w:r>
              <w:rPr>
                <w:b/>
                <w:sz w:val="21"/>
              </w:rPr>
              <w:t>病定义使用规范》中的定义。</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二十六</w:t>
            </w:r>
          </w:p>
        </w:tc>
        <w:tc>
          <w:tcPr>
            <w:tcW w:w="1930" w:type="dxa"/>
          </w:tcPr>
          <w:p>
            <w:pPr>
              <w:pStyle w:val="TableParagraph"/>
              <w:spacing w:line="257" w:lineRule="exact"/>
              <w:ind w:left="107"/>
              <w:rPr>
                <w:b/>
                <w:sz w:val="21"/>
              </w:rPr>
            </w:pPr>
            <w:r>
              <w:rPr>
                <w:b/>
                <w:sz w:val="21"/>
              </w:rPr>
              <w:t>慢性呼吸功能衰竭</w:t>
            </w:r>
          </w:p>
        </w:tc>
        <w:tc>
          <w:tcPr>
            <w:tcW w:w="7308" w:type="dxa"/>
          </w:tcPr>
          <w:p>
            <w:pPr>
              <w:pStyle w:val="TableParagraph"/>
              <w:spacing w:line="257" w:lineRule="exact"/>
              <w:ind w:left="109"/>
              <w:rPr>
                <w:sz w:val="21"/>
              </w:rPr>
            </w:pPr>
            <w:r>
              <w:rPr>
                <w:sz w:val="21"/>
              </w:rPr>
              <w:t>是指末期肺部疾病包括间质肺部疾病所引起的慢性呼吸功能衰竭。肺功能测验</w:t>
            </w:r>
          </w:p>
          <w:p>
            <w:pPr>
              <w:pStyle w:val="TableParagraph"/>
              <w:spacing w:line="273" w:lineRule="auto" w:before="37"/>
              <w:ind w:left="109" w:right="93"/>
              <w:jc w:val="both"/>
              <w:rPr>
                <w:sz w:val="21"/>
              </w:rPr>
            </w:pPr>
            <w:r>
              <w:rPr>
                <w:spacing w:val="-4"/>
                <w:sz w:val="21"/>
              </w:rPr>
              <w:t>FEV1（</w:t>
            </w:r>
            <w:r>
              <w:rPr>
                <w:spacing w:val="-3"/>
                <w:sz w:val="21"/>
              </w:rPr>
              <w:t>第一秒钟末用力呼气量</w:t>
            </w:r>
            <w:r>
              <w:rPr>
                <w:spacing w:val="-20"/>
                <w:sz w:val="21"/>
              </w:rPr>
              <w:t>）</w:t>
            </w:r>
            <w:r>
              <w:rPr>
                <w:spacing w:val="-13"/>
                <w:sz w:val="21"/>
              </w:rPr>
              <w:t>少于 </w:t>
            </w:r>
            <w:r>
              <w:rPr>
                <w:sz w:val="21"/>
              </w:rPr>
              <w:t>1</w:t>
            </w:r>
            <w:r>
              <w:rPr>
                <w:spacing w:val="-8"/>
                <w:sz w:val="21"/>
              </w:rPr>
              <w:t> 公升且需要持久大量的氧气治疗，动脉</w:t>
            </w:r>
            <w:r>
              <w:rPr>
                <w:spacing w:val="-6"/>
                <w:sz w:val="21"/>
              </w:rPr>
              <w:t>血气分析结果符合重度呼吸衰竭诊断标准，静止时也感到呼吸困难。诊断必须</w:t>
            </w:r>
            <w:r>
              <w:rPr>
                <w:spacing w:val="-5"/>
                <w:sz w:val="21"/>
              </w:rPr>
              <w:t>由呼吸</w:t>
            </w:r>
            <w:r>
              <w:rPr>
                <w:b/>
                <w:sz w:val="21"/>
              </w:rPr>
              <w:t>专科医生</w:t>
            </w:r>
            <w:r>
              <w:rPr>
                <w:spacing w:val="-3"/>
                <w:sz w:val="21"/>
              </w:rPr>
              <w:t>确认。</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二十七</w:t>
            </w:r>
          </w:p>
        </w:tc>
        <w:tc>
          <w:tcPr>
            <w:tcW w:w="1930" w:type="dxa"/>
          </w:tcPr>
          <w:p>
            <w:pPr>
              <w:pStyle w:val="TableParagraph"/>
              <w:spacing w:line="257" w:lineRule="exact"/>
              <w:ind w:left="107"/>
              <w:rPr>
                <w:b/>
                <w:sz w:val="21"/>
              </w:rPr>
            </w:pPr>
            <w:r>
              <w:rPr>
                <w:b/>
                <w:sz w:val="21"/>
              </w:rPr>
              <w:t>严重多发性硬化</w:t>
            </w:r>
          </w:p>
        </w:tc>
        <w:tc>
          <w:tcPr>
            <w:tcW w:w="7308" w:type="dxa"/>
          </w:tcPr>
          <w:p>
            <w:pPr>
              <w:pStyle w:val="TableParagraph"/>
              <w:spacing w:line="257" w:lineRule="exact"/>
              <w:ind w:left="109"/>
              <w:rPr>
                <w:sz w:val="21"/>
              </w:rPr>
            </w:pPr>
            <w:r>
              <w:rPr>
                <w:sz w:val="21"/>
              </w:rPr>
              <w:t>多发性硬化为中枢神经系统白质多灶性脱髓鞘病变，病变有时累及灰质。多发</w:t>
            </w:r>
          </w:p>
          <w:p>
            <w:pPr>
              <w:pStyle w:val="TableParagraph"/>
              <w:spacing w:line="273" w:lineRule="auto" w:before="37"/>
              <w:ind w:left="109" w:right="92"/>
              <w:rPr>
                <w:sz w:val="21"/>
              </w:rPr>
            </w:pPr>
            <w:r>
              <w:rPr>
                <w:spacing w:val="-8"/>
                <w:sz w:val="21"/>
              </w:rPr>
              <w:t>性硬化必须明确诊断，并且已经造成神经系统功能损害导致被保险人</w:t>
            </w:r>
            <w:r>
              <w:rPr>
                <w:b/>
                <w:sz w:val="21"/>
              </w:rPr>
              <w:t>永久不可逆</w:t>
            </w:r>
            <w:r>
              <w:rPr>
                <w:spacing w:val="-3"/>
                <w:sz w:val="21"/>
              </w:rPr>
              <w:t>性的无法独立完成下列基本日常生活活动：</w:t>
            </w:r>
          </w:p>
          <w:p>
            <w:pPr>
              <w:pStyle w:val="TableParagraph"/>
              <w:spacing w:before="7"/>
              <w:ind w:left="109"/>
              <w:rPr>
                <w:sz w:val="21"/>
              </w:rPr>
            </w:pPr>
            <w:r>
              <w:rPr>
                <w:sz w:val="21"/>
              </w:rPr>
              <w:t>（1）移动：自己从一个房间移动到另一个房间；或者</w:t>
            </w:r>
          </w:p>
          <w:p>
            <w:pPr>
              <w:pStyle w:val="TableParagraph"/>
              <w:spacing w:before="36"/>
              <w:ind w:left="109"/>
              <w:rPr>
                <w:sz w:val="21"/>
              </w:rPr>
            </w:pPr>
            <w:r>
              <w:rPr>
                <w:sz w:val="21"/>
              </w:rPr>
              <w:t>（2）进食：自己从已准备好的碗或碟中取食物放入口中。</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二十八</w:t>
            </w:r>
          </w:p>
        </w:tc>
        <w:tc>
          <w:tcPr>
            <w:tcW w:w="1930" w:type="dxa"/>
          </w:tcPr>
          <w:p>
            <w:pPr>
              <w:pStyle w:val="TableParagraph"/>
              <w:spacing w:line="259" w:lineRule="exact"/>
              <w:ind w:left="107"/>
              <w:rPr>
                <w:b/>
                <w:sz w:val="21"/>
              </w:rPr>
            </w:pPr>
            <w:r>
              <w:rPr>
                <w:b/>
                <w:sz w:val="21"/>
              </w:rPr>
              <w:t>严重冠心病</w:t>
            </w:r>
          </w:p>
        </w:tc>
        <w:tc>
          <w:tcPr>
            <w:tcW w:w="7308" w:type="dxa"/>
          </w:tcPr>
          <w:p>
            <w:pPr>
              <w:pStyle w:val="TableParagraph"/>
              <w:spacing w:line="259" w:lineRule="exact"/>
              <w:ind w:left="109"/>
              <w:rPr>
                <w:sz w:val="21"/>
              </w:rPr>
            </w:pPr>
            <w:r>
              <w:rPr>
                <w:sz w:val="21"/>
              </w:rPr>
              <w:t>指经心脏科</w:t>
            </w:r>
            <w:r>
              <w:rPr>
                <w:b/>
                <w:sz w:val="21"/>
              </w:rPr>
              <w:t>专科医生</w:t>
            </w:r>
            <w:r>
              <w:rPr>
                <w:sz w:val="21"/>
              </w:rPr>
              <w:t>根据冠状动脉造影检查结果确诊的三支主要血管（左冠状</w:t>
            </w:r>
          </w:p>
          <w:p>
            <w:pPr>
              <w:pStyle w:val="TableParagraph"/>
              <w:spacing w:line="273" w:lineRule="auto" w:before="37"/>
              <w:ind w:left="109" w:right="44"/>
              <w:jc w:val="both"/>
              <w:rPr>
                <w:sz w:val="21"/>
              </w:rPr>
            </w:pPr>
            <w:r>
              <w:rPr>
                <w:spacing w:val="-13"/>
                <w:sz w:val="21"/>
              </w:rPr>
              <w:t>动脉主干和右冠状动脉，或前降支、左旋支和右冠状动脉</w:t>
            </w:r>
            <w:r>
              <w:rPr>
                <w:spacing w:val="-65"/>
                <w:sz w:val="21"/>
              </w:rPr>
              <w:t>）</w:t>
            </w:r>
            <w:r>
              <w:rPr>
                <w:spacing w:val="-13"/>
                <w:sz w:val="21"/>
              </w:rPr>
              <w:t>严重狭窄性病变</w:t>
            </w:r>
            <w:r>
              <w:rPr>
                <w:sz w:val="21"/>
              </w:rPr>
              <w:t>（至</w:t>
            </w:r>
            <w:r>
              <w:rPr>
                <w:spacing w:val="-6"/>
                <w:sz w:val="21"/>
              </w:rPr>
              <w:t>少一支血管管腔直径减少 </w:t>
            </w:r>
            <w:r>
              <w:rPr>
                <w:sz w:val="21"/>
              </w:rPr>
              <w:t>75％</w:t>
            </w:r>
            <w:r>
              <w:rPr>
                <w:spacing w:val="-5"/>
                <w:sz w:val="21"/>
              </w:rPr>
              <w:t>以上和其他两支血管管腔直径减少 </w:t>
            </w:r>
            <w:r>
              <w:rPr>
                <w:spacing w:val="-3"/>
                <w:sz w:val="21"/>
              </w:rPr>
              <w:t>60</w:t>
            </w:r>
            <w:r>
              <w:rPr>
                <w:spacing w:val="-2"/>
                <w:sz w:val="21"/>
              </w:rPr>
              <w:t>％以上</w:t>
            </w:r>
            <w:r>
              <w:rPr>
                <w:spacing w:val="-108"/>
                <w:sz w:val="21"/>
              </w:rPr>
              <w:t>）</w:t>
            </w:r>
            <w:r>
              <w:rPr>
                <w:sz w:val="21"/>
              </w:rPr>
              <w:t>。</w:t>
            </w:r>
            <w:r>
              <w:rPr>
                <w:spacing w:val="-3"/>
                <w:sz w:val="21"/>
              </w:rPr>
              <w:t>前降支、左旋支及右冠状动脉的分支血管的狭窄不作为本保障的衡量指标。</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二十九</w:t>
            </w:r>
          </w:p>
        </w:tc>
        <w:tc>
          <w:tcPr>
            <w:tcW w:w="1930" w:type="dxa"/>
          </w:tcPr>
          <w:p>
            <w:pPr>
              <w:pStyle w:val="TableParagraph"/>
              <w:spacing w:line="257" w:lineRule="exact"/>
              <w:ind w:left="107"/>
              <w:rPr>
                <w:b/>
                <w:sz w:val="21"/>
              </w:rPr>
            </w:pPr>
            <w:r>
              <w:rPr>
                <w:b/>
                <w:sz w:val="21"/>
              </w:rPr>
              <w:t>严重心肌炎</w:t>
            </w:r>
          </w:p>
        </w:tc>
        <w:tc>
          <w:tcPr>
            <w:tcW w:w="7308" w:type="dxa"/>
          </w:tcPr>
          <w:p>
            <w:pPr>
              <w:pStyle w:val="TableParagraph"/>
              <w:spacing w:line="257" w:lineRule="exact"/>
              <w:ind w:left="109"/>
              <w:rPr>
                <w:sz w:val="21"/>
              </w:rPr>
            </w:pPr>
            <w:r>
              <w:rPr>
                <w:sz w:val="21"/>
              </w:rPr>
              <w:t>指心肌局限性或弥漫性的急性或慢性炎症病变，导致心脏功能障碍，达到纽约</w:t>
            </w:r>
          </w:p>
          <w:p>
            <w:pPr>
              <w:pStyle w:val="TableParagraph"/>
              <w:spacing w:before="37"/>
              <w:ind w:left="109"/>
              <w:rPr>
                <w:sz w:val="21"/>
              </w:rPr>
            </w:pPr>
            <w:r>
              <w:rPr>
                <w:sz w:val="21"/>
              </w:rPr>
              <w:t>心脏病学会心功能分级状态分级 IV 级，且持续至少 90 天。</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4055" w:hRule="atLeast"/>
        </w:trPr>
        <w:tc>
          <w:tcPr>
            <w:tcW w:w="850" w:type="dxa"/>
          </w:tcPr>
          <w:p>
            <w:pPr>
              <w:pStyle w:val="TableParagraph"/>
              <w:spacing w:line="257" w:lineRule="exact"/>
              <w:ind w:left="107"/>
              <w:rPr>
                <w:b/>
                <w:sz w:val="21"/>
              </w:rPr>
            </w:pPr>
            <w:r>
              <w:rPr>
                <w:b/>
                <w:sz w:val="21"/>
              </w:rPr>
              <w:t>三十</w:t>
            </w:r>
          </w:p>
        </w:tc>
        <w:tc>
          <w:tcPr>
            <w:tcW w:w="1930" w:type="dxa"/>
          </w:tcPr>
          <w:p>
            <w:pPr>
              <w:pStyle w:val="TableParagraph"/>
              <w:spacing w:line="257" w:lineRule="exact"/>
              <w:ind w:left="107"/>
              <w:rPr>
                <w:b/>
                <w:sz w:val="21"/>
              </w:rPr>
            </w:pPr>
            <w:r>
              <w:rPr>
                <w:b/>
                <w:sz w:val="21"/>
              </w:rPr>
              <w:t>系统性红斑狼疮－</w:t>
            </w:r>
          </w:p>
          <w:p>
            <w:pPr>
              <w:pStyle w:val="TableParagraph"/>
              <w:spacing w:line="273" w:lineRule="auto" w:before="37"/>
              <w:ind w:left="107" w:right="173"/>
              <w:rPr>
                <w:b/>
                <w:sz w:val="21"/>
              </w:rPr>
            </w:pPr>
            <w:r>
              <w:rPr>
                <w:b/>
                <w:sz w:val="21"/>
              </w:rPr>
              <w:t>III</w:t>
            </w:r>
            <w:r>
              <w:rPr>
                <w:b/>
                <w:spacing w:val="-27"/>
                <w:sz w:val="21"/>
              </w:rPr>
              <w:t> 型或 </w:t>
            </w:r>
            <w:r>
              <w:rPr>
                <w:b/>
                <w:sz w:val="21"/>
              </w:rPr>
              <w:t>III</w:t>
            </w:r>
            <w:r>
              <w:rPr>
                <w:b/>
                <w:spacing w:val="-18"/>
                <w:sz w:val="21"/>
              </w:rPr>
              <w:t> 型以上狼疮性肾炎</w:t>
            </w:r>
          </w:p>
        </w:tc>
        <w:tc>
          <w:tcPr>
            <w:tcW w:w="7308" w:type="dxa"/>
          </w:tcPr>
          <w:p>
            <w:pPr>
              <w:pStyle w:val="TableParagraph"/>
              <w:spacing w:line="257" w:lineRule="exact"/>
              <w:ind w:left="109"/>
              <w:rPr>
                <w:sz w:val="21"/>
              </w:rPr>
            </w:pPr>
            <w:r>
              <w:rPr>
                <w:sz w:val="21"/>
              </w:rPr>
              <w:t>系统性红斑狼疮是由多种因素引起，累及多系统的自身免疫性疾病。其特点是</w:t>
            </w:r>
          </w:p>
          <w:p>
            <w:pPr>
              <w:pStyle w:val="TableParagraph"/>
              <w:spacing w:before="37"/>
              <w:ind w:left="109"/>
              <w:rPr>
                <w:sz w:val="21"/>
              </w:rPr>
            </w:pPr>
            <w:r>
              <w:rPr>
                <w:sz w:val="21"/>
              </w:rPr>
              <w:t>生成自身抗体对抗多种自身抗原。多见于育龄妇女。</w:t>
            </w:r>
          </w:p>
          <w:p>
            <w:pPr>
              <w:pStyle w:val="TableParagraph"/>
              <w:spacing w:line="273" w:lineRule="auto" w:before="37"/>
              <w:ind w:left="109" w:right="-15"/>
              <w:rPr>
                <w:sz w:val="21"/>
              </w:rPr>
            </w:pPr>
            <w:r>
              <w:rPr>
                <w:spacing w:val="-3"/>
                <w:sz w:val="21"/>
              </w:rPr>
              <w:t>本保单所指的系统性红斑狼疮仅限于累及肾脏</w:t>
            </w:r>
            <w:r>
              <w:rPr>
                <w:sz w:val="21"/>
              </w:rPr>
              <w:t>（</w:t>
            </w:r>
            <w:r>
              <w:rPr>
                <w:spacing w:val="-7"/>
                <w:sz w:val="21"/>
              </w:rPr>
              <w:t>经肾脏活检确认的，符合 </w:t>
            </w:r>
            <w:r>
              <w:rPr>
                <w:spacing w:val="-3"/>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pacing w:val="-27"/>
                <w:sz w:val="21"/>
              </w:rPr>
              <w:t>）</w:t>
            </w:r>
            <w:r>
              <w:rPr>
                <w:spacing w:val="-6"/>
                <w:sz w:val="21"/>
              </w:rPr>
              <w:t>的系统性红斑狼疮。其他类型</w:t>
            </w:r>
            <w:r>
              <w:rPr>
                <w:spacing w:val="-15"/>
                <w:sz w:val="21"/>
              </w:rPr>
              <w:t>的红斑性狼疮，如盘状狼疮、仅累及血液及关节的狼疮不在本保单保障范围內。</w:t>
            </w:r>
            <w:r>
              <w:rPr>
                <w:spacing w:val="-7"/>
                <w:sz w:val="21"/>
              </w:rPr>
              <w:t>本病必须由免疫和风湿科</w:t>
            </w:r>
            <w:r>
              <w:rPr>
                <w:b/>
                <w:sz w:val="21"/>
              </w:rPr>
              <w:t>专科医生</w:t>
            </w:r>
            <w:r>
              <w:rPr>
                <w:spacing w:val="-2"/>
                <w:sz w:val="21"/>
              </w:rPr>
              <w:t>确诊。</w:t>
            </w:r>
          </w:p>
          <w:p>
            <w:pPr>
              <w:pStyle w:val="TableParagraph"/>
              <w:spacing w:before="7"/>
              <w:ind w:left="109"/>
              <w:rPr>
                <w:sz w:val="21"/>
              </w:rPr>
            </w:pPr>
            <w:r>
              <w:rPr>
                <w:sz w:val="21"/>
              </w:rPr>
              <w:t>世界卫生组织（WHO） 狼疮型肾炎分型：</w:t>
            </w:r>
          </w:p>
          <w:p>
            <w:pPr>
              <w:pStyle w:val="TableParagraph"/>
              <w:numPr>
                <w:ilvl w:val="0"/>
                <w:numId w:val="7"/>
              </w:numPr>
              <w:tabs>
                <w:tab w:pos="269" w:val="left" w:leader="none"/>
                <w:tab w:pos="2212" w:val="left" w:leader="none"/>
              </w:tabs>
              <w:spacing w:line="240" w:lineRule="auto" w:before="36" w:after="0"/>
              <w:ind w:left="268" w:right="0" w:hanging="159"/>
              <w:jc w:val="left"/>
              <w:rPr>
                <w:sz w:val="21"/>
              </w:rPr>
            </w:pPr>
            <w:r>
              <w:rPr>
                <w:sz w:val="21"/>
              </w:rPr>
              <w:t>型</w:t>
              <w:tab/>
            </w:r>
            <w:r>
              <w:rPr>
                <w:spacing w:val="-3"/>
                <w:sz w:val="21"/>
              </w:rPr>
              <w:t>微</w:t>
            </w:r>
            <w:r>
              <w:rPr>
                <w:sz w:val="21"/>
              </w:rPr>
              <w:t>小</w:t>
            </w:r>
            <w:r>
              <w:rPr>
                <w:spacing w:val="-3"/>
                <w:sz w:val="21"/>
              </w:rPr>
              <w:t>病型</w:t>
            </w:r>
          </w:p>
          <w:p>
            <w:pPr>
              <w:pStyle w:val="TableParagraph"/>
              <w:numPr>
                <w:ilvl w:val="0"/>
                <w:numId w:val="7"/>
              </w:numPr>
              <w:tabs>
                <w:tab w:pos="374" w:val="left" w:leader="none"/>
                <w:tab w:pos="2212" w:val="left" w:leader="none"/>
              </w:tabs>
              <w:spacing w:line="240" w:lineRule="auto" w:before="36" w:after="0"/>
              <w:ind w:left="373"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TableParagraph"/>
              <w:numPr>
                <w:ilvl w:val="0"/>
                <w:numId w:val="7"/>
              </w:numPr>
              <w:tabs>
                <w:tab w:pos="480" w:val="left" w:leader="none"/>
                <w:tab w:pos="2212" w:val="left" w:leader="none"/>
              </w:tabs>
              <w:spacing w:line="240" w:lineRule="auto" w:before="36" w:after="0"/>
              <w:ind w:left="479" w:right="0" w:hanging="370"/>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numPr>
                <w:ilvl w:val="0"/>
                <w:numId w:val="7"/>
              </w:numPr>
              <w:tabs>
                <w:tab w:pos="375" w:val="left" w:leader="none"/>
                <w:tab w:pos="2212" w:val="left" w:leader="none"/>
              </w:tabs>
              <w:spacing w:line="240" w:lineRule="auto" w:before="36" w:after="0"/>
              <w:ind w:left="374"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7"/>
              </w:numPr>
              <w:tabs>
                <w:tab w:pos="269" w:val="left" w:leader="none"/>
                <w:tab w:pos="2212" w:val="left" w:leader="none"/>
              </w:tabs>
              <w:spacing w:line="240" w:lineRule="auto" w:before="36" w:after="0"/>
              <w:ind w:left="268" w:right="0" w:hanging="158"/>
              <w:jc w:val="left"/>
              <w:rPr>
                <w:sz w:val="21"/>
              </w:rPr>
            </w:pPr>
            <w:r>
              <w:rPr>
                <w:sz w:val="21"/>
              </w:rPr>
              <w:t>型</w:t>
              <w:tab/>
            </w:r>
            <w:r>
              <w:rPr>
                <w:spacing w:val="-3"/>
                <w:sz w:val="21"/>
              </w:rPr>
              <w:t>膜型</w:t>
            </w:r>
          </w:p>
          <w:p>
            <w:pPr>
              <w:pStyle w:val="TableParagraph"/>
              <w:numPr>
                <w:ilvl w:val="0"/>
                <w:numId w:val="7"/>
              </w:numPr>
              <w:tabs>
                <w:tab w:pos="374" w:val="left" w:leader="none"/>
                <w:tab w:pos="2212" w:val="left" w:leader="none"/>
              </w:tabs>
              <w:spacing w:line="240" w:lineRule="auto" w:before="37" w:after="0"/>
              <w:ind w:left="373"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化型</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三十一</w:t>
            </w:r>
          </w:p>
        </w:tc>
        <w:tc>
          <w:tcPr>
            <w:tcW w:w="1930" w:type="dxa"/>
          </w:tcPr>
          <w:p>
            <w:pPr>
              <w:pStyle w:val="TableParagraph"/>
              <w:spacing w:line="257" w:lineRule="exact"/>
              <w:ind w:left="107"/>
              <w:rPr>
                <w:b/>
                <w:sz w:val="21"/>
              </w:rPr>
            </w:pPr>
            <w:r>
              <w:rPr>
                <w:b/>
                <w:sz w:val="21"/>
              </w:rPr>
              <w:t>经输血导致的人类</w:t>
            </w:r>
          </w:p>
          <w:p>
            <w:pPr>
              <w:pStyle w:val="TableParagraph"/>
              <w:spacing w:before="37"/>
              <w:ind w:left="107"/>
              <w:rPr>
                <w:b/>
                <w:sz w:val="21"/>
              </w:rPr>
            </w:pPr>
            <w:r>
              <w:rPr>
                <w:b/>
                <w:sz w:val="21"/>
              </w:rPr>
              <w:t>免疫缺陷病毒感染</w:t>
            </w:r>
          </w:p>
        </w:tc>
        <w:tc>
          <w:tcPr>
            <w:tcW w:w="7308" w:type="dxa"/>
          </w:tcPr>
          <w:p>
            <w:pPr>
              <w:pStyle w:val="TableParagraph"/>
              <w:spacing w:line="257" w:lineRule="exact"/>
              <w:ind w:left="109"/>
              <w:rPr>
                <w:sz w:val="21"/>
              </w:rPr>
            </w:pPr>
            <w:r>
              <w:rPr>
                <w:sz w:val="21"/>
              </w:rPr>
              <w:t>被保险人感染上人类免疫缺陷病毒（HIV）并且满足下列全部条件：</w:t>
            </w:r>
          </w:p>
          <w:p>
            <w:pPr>
              <w:pStyle w:val="TableParagraph"/>
              <w:spacing w:line="273" w:lineRule="auto" w:before="37"/>
              <w:ind w:left="613" w:right="146" w:hanging="504"/>
              <w:rPr>
                <w:sz w:val="21"/>
              </w:rPr>
            </w:pPr>
            <w:r>
              <w:rPr>
                <w:sz w:val="21"/>
              </w:rPr>
              <w:t>（1）造成感染的输血事件发生在本附加合同生效日或最后复效日（以较迟者为准）之后；</w:t>
            </w:r>
          </w:p>
          <w:p>
            <w:pPr>
              <w:pStyle w:val="TableParagraph"/>
              <w:spacing w:line="273" w:lineRule="auto" w:before="7"/>
              <w:ind w:left="613" w:right="146" w:hanging="505"/>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ind w:left="109"/>
              <w:rPr>
                <w:sz w:val="21"/>
              </w:rPr>
            </w:pPr>
            <w:r>
              <w:rPr>
                <w:sz w:val="21"/>
              </w:rPr>
              <w:t>（3）提供输血治疗的输血中心或</w:t>
            </w:r>
            <w:r>
              <w:rPr>
                <w:b/>
                <w:sz w:val="21"/>
              </w:rPr>
              <w:t>医院</w:t>
            </w:r>
            <w:r>
              <w:rPr>
                <w:sz w:val="21"/>
              </w:rPr>
              <w:t>必须拥有合法经营执照；</w:t>
            </w:r>
          </w:p>
          <w:p>
            <w:pPr>
              <w:pStyle w:val="TableParagraph"/>
              <w:spacing w:before="37"/>
              <w:ind w:left="109"/>
              <w:rPr>
                <w:sz w:val="21"/>
              </w:rPr>
            </w:pPr>
            <w:r>
              <w:rPr>
                <w:sz w:val="21"/>
              </w:rPr>
              <w:t>（4）受感染的被保险人不是血友病患者。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5" w:hRule="atLeast"/>
        </w:trPr>
        <w:tc>
          <w:tcPr>
            <w:tcW w:w="850" w:type="dxa"/>
          </w:tcPr>
          <w:p>
            <w:pPr>
              <w:pStyle w:val="TableParagraph"/>
              <w:spacing w:line="259" w:lineRule="exact"/>
              <w:ind w:left="107"/>
              <w:rPr>
                <w:b/>
                <w:sz w:val="21"/>
              </w:rPr>
            </w:pPr>
            <w:r>
              <w:rPr>
                <w:b/>
                <w:sz w:val="21"/>
              </w:rPr>
              <w:t>三十二</w:t>
            </w:r>
          </w:p>
        </w:tc>
        <w:tc>
          <w:tcPr>
            <w:tcW w:w="1930" w:type="dxa"/>
          </w:tcPr>
          <w:p>
            <w:pPr>
              <w:pStyle w:val="TableParagraph"/>
              <w:spacing w:line="259" w:lineRule="exact"/>
              <w:ind w:left="107"/>
              <w:rPr>
                <w:b/>
                <w:sz w:val="21"/>
              </w:rPr>
            </w:pPr>
            <w:r>
              <w:rPr>
                <w:b/>
                <w:sz w:val="21"/>
              </w:rPr>
              <w:t>脊髓灰质炎</w:t>
            </w:r>
          </w:p>
        </w:tc>
        <w:tc>
          <w:tcPr>
            <w:tcW w:w="7308" w:type="dxa"/>
          </w:tcPr>
          <w:p>
            <w:pPr>
              <w:pStyle w:val="TableParagraph"/>
              <w:spacing w:line="259" w:lineRule="exact"/>
              <w:ind w:left="109"/>
              <w:rPr>
                <w:sz w:val="21"/>
              </w:rPr>
            </w:pPr>
            <w:r>
              <w:rPr>
                <w:sz w:val="21"/>
              </w:rPr>
              <w:t>脊髓灰质炎是由于脊髓灰质炎病毒感染所致的瘫痪性疾病，临床表现为运动功</w:t>
            </w:r>
          </w:p>
          <w:p>
            <w:pPr>
              <w:pStyle w:val="TableParagraph"/>
              <w:spacing w:before="37"/>
              <w:ind w:left="109"/>
              <w:rPr>
                <w:sz w:val="21"/>
              </w:rPr>
            </w:pPr>
            <w:r>
              <w:rPr>
                <w:sz w:val="21"/>
              </w:rPr>
              <w:t>能损害或呼吸无力。脊髓灰质炎必须明确诊断。本保单仅对脊髓灰质炎造成的</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937"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sz w:val="21"/>
              </w:rPr>
              <w:t>神经系统功能损害导致被保险人一肢或一肢以上肢体机能永久完全丧失的情</w:t>
            </w:r>
          </w:p>
          <w:p>
            <w:pPr>
              <w:pStyle w:val="TableParagraph"/>
              <w:spacing w:line="273" w:lineRule="auto" w:before="37"/>
              <w:ind w:left="109" w:right="91"/>
              <w:rPr>
                <w:sz w:val="21"/>
              </w:rPr>
            </w:pPr>
            <w:r>
              <w:rPr>
                <w:spacing w:val="-8"/>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right="96"/>
              <w:jc w:val="right"/>
              <w:rPr>
                <w:b/>
                <w:sz w:val="21"/>
              </w:rPr>
            </w:pPr>
            <w:r>
              <w:rPr>
                <w:b/>
                <w:sz w:val="21"/>
              </w:rPr>
              <w:t>三十三</w:t>
            </w:r>
          </w:p>
        </w:tc>
        <w:tc>
          <w:tcPr>
            <w:tcW w:w="1930" w:type="dxa"/>
          </w:tcPr>
          <w:p>
            <w:pPr>
              <w:pStyle w:val="TableParagraph"/>
              <w:spacing w:line="257" w:lineRule="exact"/>
              <w:ind w:left="107"/>
              <w:rPr>
                <w:b/>
                <w:sz w:val="21"/>
              </w:rPr>
            </w:pPr>
            <w:r>
              <w:rPr>
                <w:b/>
                <w:sz w:val="21"/>
              </w:rPr>
              <w:t>全身性重症肌无力</w:t>
            </w:r>
          </w:p>
        </w:tc>
        <w:tc>
          <w:tcPr>
            <w:tcW w:w="7308" w:type="dxa"/>
          </w:tcPr>
          <w:p>
            <w:pPr>
              <w:pStyle w:val="TableParagraph"/>
              <w:spacing w:line="257" w:lineRule="exact"/>
              <w:ind w:left="109"/>
              <w:rPr>
                <w:sz w:val="21"/>
              </w:rPr>
            </w:pPr>
            <w:r>
              <w:rPr>
                <w:sz w:val="21"/>
              </w:rPr>
              <w:t>重症肌无力是一种神经肌肉接头传递障碍所致的疾病，表现为局部或全身骨骼</w:t>
            </w:r>
          </w:p>
          <w:p>
            <w:pPr>
              <w:pStyle w:val="TableParagraph"/>
              <w:spacing w:line="273" w:lineRule="auto" w:before="37"/>
              <w:ind w:left="109" w:right="43"/>
              <w:rPr>
                <w:sz w:val="21"/>
              </w:rPr>
            </w:pPr>
            <w:r>
              <w:rPr>
                <w:sz w:val="21"/>
              </w:rPr>
              <w:t>肌（特别是眼外肌）极易疲劳。疾病可以累及呼吸肌、上肢或下肢的近端肌群或全身肌肉，必须满足下列全部条件：</w:t>
            </w:r>
          </w:p>
          <w:p>
            <w:pPr>
              <w:pStyle w:val="TableParagraph"/>
              <w:spacing w:before="7"/>
              <w:ind w:left="109"/>
              <w:rPr>
                <w:sz w:val="21"/>
              </w:rPr>
            </w:pPr>
            <w:r>
              <w:rPr>
                <w:sz w:val="21"/>
              </w:rPr>
              <w:t>（1）经药物治疗和胸腺切除治疗一年以上仍无法控制病情；</w:t>
            </w:r>
          </w:p>
          <w:p>
            <w:pPr>
              <w:pStyle w:val="TableParagraph"/>
              <w:spacing w:line="273" w:lineRule="auto" w:before="36"/>
              <w:ind w:left="613" w:right="140"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right="96"/>
              <w:jc w:val="right"/>
              <w:rPr>
                <w:b/>
                <w:sz w:val="21"/>
              </w:rPr>
            </w:pPr>
            <w:r>
              <w:rPr>
                <w:b/>
                <w:sz w:val="21"/>
              </w:rPr>
              <w:t>三十四</w:t>
            </w:r>
          </w:p>
        </w:tc>
        <w:tc>
          <w:tcPr>
            <w:tcW w:w="1930" w:type="dxa"/>
          </w:tcPr>
          <w:p>
            <w:pPr>
              <w:pStyle w:val="TableParagraph"/>
              <w:spacing w:line="257" w:lineRule="exact"/>
              <w:ind w:left="107"/>
              <w:rPr>
                <w:b/>
                <w:sz w:val="21"/>
              </w:rPr>
            </w:pPr>
            <w:r>
              <w:rPr>
                <w:b/>
                <w:sz w:val="21"/>
              </w:rPr>
              <w:t>严重 I 型糖尿病</w:t>
            </w:r>
          </w:p>
        </w:tc>
        <w:tc>
          <w:tcPr>
            <w:tcW w:w="7308" w:type="dxa"/>
          </w:tcPr>
          <w:p>
            <w:pPr>
              <w:pStyle w:val="TableParagraph"/>
              <w:spacing w:line="257" w:lineRule="exact"/>
              <w:ind w:left="109"/>
              <w:rPr>
                <w:sz w:val="21"/>
              </w:rPr>
            </w:pPr>
            <w:r>
              <w:rPr>
                <w:sz w:val="21"/>
              </w:rPr>
              <w:t>严重I 型糖尿病的特征为由于胰岛素分泌绝对不足引起严重胰岛素缺乏导致慢</w:t>
            </w:r>
          </w:p>
          <w:p>
            <w:pPr>
              <w:pStyle w:val="TableParagraph"/>
              <w:spacing w:line="273" w:lineRule="auto" w:before="37"/>
              <w:ind w:left="109" w:right="97"/>
              <w:jc w:val="both"/>
              <w:rPr>
                <w:sz w:val="21"/>
              </w:rPr>
            </w:pPr>
            <w:r>
              <w:rPr>
                <w:spacing w:val="-3"/>
                <w:sz w:val="21"/>
              </w:rPr>
              <w:t>性血糖升高， 需要依赖外源性胰岛素进行机体的葡萄糖代谢和维持生命。被</w:t>
            </w:r>
            <w:r>
              <w:rPr>
                <w:spacing w:val="-9"/>
                <w:sz w:val="21"/>
              </w:rPr>
              <w:t>保险人的严重 </w:t>
            </w:r>
            <w:r>
              <w:rPr>
                <w:sz w:val="21"/>
              </w:rPr>
              <w:t>I</w:t>
            </w:r>
            <w:r>
              <w:rPr>
                <w:spacing w:val="-6"/>
                <w:sz w:val="21"/>
              </w:rPr>
              <w:t> 型糖尿病必须明确诊断，而且有血胰岛素测定及血</w:t>
            </w:r>
            <w:r>
              <w:rPr>
                <w:sz w:val="21"/>
              </w:rPr>
              <w:t>C</w:t>
            </w:r>
            <w:r>
              <w:rPr>
                <w:spacing w:val="-20"/>
                <w:sz w:val="21"/>
              </w:rPr>
              <w:t> 肽或尿 </w:t>
            </w:r>
            <w:r>
              <w:rPr>
                <w:sz w:val="21"/>
              </w:rPr>
              <w:t>C </w:t>
            </w:r>
            <w:r>
              <w:rPr>
                <w:spacing w:val="-3"/>
                <w:sz w:val="21"/>
              </w:rPr>
              <w:t>肽测定结果支持诊断，并且满足下列全部条件：</w:t>
            </w:r>
          </w:p>
          <w:p>
            <w:pPr>
              <w:pStyle w:val="TableParagraph"/>
              <w:spacing w:before="7"/>
              <w:ind w:left="109"/>
              <w:jc w:val="both"/>
              <w:rPr>
                <w:sz w:val="21"/>
              </w:rPr>
            </w:pPr>
            <w:r>
              <w:rPr>
                <w:sz w:val="21"/>
              </w:rPr>
              <w:t>（1）已经持续性地接受外源性胰岛素注射治疗连续 180 天以上；</w:t>
            </w:r>
          </w:p>
          <w:p>
            <w:pPr>
              <w:pStyle w:val="TableParagraph"/>
              <w:spacing w:before="36"/>
              <w:ind w:left="109"/>
              <w:jc w:val="both"/>
              <w:rPr>
                <w:sz w:val="21"/>
              </w:rPr>
            </w:pPr>
            <w:r>
              <w:rPr>
                <w:sz w:val="21"/>
              </w:rPr>
              <w:t>（2）因需要已经接受了下列治疗：</w:t>
            </w:r>
          </w:p>
          <w:p>
            <w:pPr>
              <w:pStyle w:val="TableParagraph"/>
              <w:spacing w:before="36"/>
              <w:ind w:left="529"/>
              <w:rPr>
                <w:sz w:val="21"/>
              </w:rPr>
            </w:pPr>
            <w:r>
              <w:rPr>
                <w:sz w:val="21"/>
              </w:rPr>
              <w:t>① 因严重心律失常植入了心脏起搏器；或</w:t>
            </w:r>
          </w:p>
          <w:p>
            <w:pPr>
              <w:pStyle w:val="TableParagraph"/>
              <w:spacing w:before="36"/>
              <w:ind w:left="529"/>
              <w:rPr>
                <w:sz w:val="21"/>
              </w:rPr>
            </w:pPr>
            <w:r>
              <w:rPr>
                <w:sz w:val="21"/>
              </w:rPr>
              <w:t>② 因坏疽自跖趾关节或以上切除了一趾或多趾。</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right="96"/>
              <w:jc w:val="right"/>
              <w:rPr>
                <w:b/>
                <w:sz w:val="21"/>
              </w:rPr>
            </w:pPr>
            <w:r>
              <w:rPr>
                <w:b/>
                <w:sz w:val="21"/>
              </w:rPr>
              <w:t>三十五</w:t>
            </w:r>
          </w:p>
        </w:tc>
        <w:tc>
          <w:tcPr>
            <w:tcW w:w="1930" w:type="dxa"/>
          </w:tcPr>
          <w:p>
            <w:pPr>
              <w:pStyle w:val="TableParagraph"/>
              <w:spacing w:line="257" w:lineRule="exact"/>
              <w:ind w:left="107"/>
              <w:rPr>
                <w:b/>
                <w:sz w:val="21"/>
              </w:rPr>
            </w:pPr>
            <w:r>
              <w:rPr>
                <w:b/>
                <w:sz w:val="21"/>
              </w:rPr>
              <w:t>植物人状态</w:t>
            </w:r>
          </w:p>
        </w:tc>
        <w:tc>
          <w:tcPr>
            <w:tcW w:w="7308" w:type="dxa"/>
          </w:tcPr>
          <w:p>
            <w:pPr>
              <w:pStyle w:val="TableParagraph"/>
              <w:spacing w:line="257" w:lineRule="exact"/>
              <w:ind w:left="109"/>
              <w:rPr>
                <w:sz w:val="21"/>
              </w:rPr>
            </w:pPr>
            <w:r>
              <w:rPr>
                <w:sz w:val="21"/>
              </w:rPr>
              <w:t>植物人状态系指由于严重颅脑外伤造成大脑严重损害导致完全永久性的对自</w:t>
            </w:r>
          </w:p>
          <w:p>
            <w:pPr>
              <w:pStyle w:val="TableParagraph"/>
              <w:spacing w:line="273" w:lineRule="auto" w:before="37"/>
              <w:ind w:left="109" w:right="91"/>
              <w:jc w:val="both"/>
              <w:rPr>
                <w:sz w:val="21"/>
              </w:rPr>
            </w:pPr>
            <w:r>
              <w:rPr>
                <w:spacing w:val="-6"/>
                <w:sz w:val="21"/>
              </w:rPr>
              <w:t>身和环境的意识丧失和中枢神经系统功能丧失，仅残存植物神经功能的疾病状</w:t>
            </w:r>
            <w:r>
              <w:rPr>
                <w:spacing w:val="-8"/>
                <w:sz w:val="21"/>
              </w:rPr>
              <w:t>态。诊断必须明确并且具有严重颅脑外伤和脑损害的证据。植物人状态必须持</w:t>
            </w:r>
            <w:r>
              <w:rPr>
                <w:spacing w:val="-27"/>
                <w:sz w:val="21"/>
              </w:rPr>
              <w:t>续 </w:t>
            </w:r>
            <w:r>
              <w:rPr>
                <w:sz w:val="21"/>
              </w:rPr>
              <w:t>30</w:t>
            </w:r>
            <w:r>
              <w:rPr>
                <w:spacing w:val="-8"/>
                <w:sz w:val="21"/>
              </w:rPr>
              <w:t> 天以上方可申请理赔。</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right="96"/>
              <w:jc w:val="right"/>
              <w:rPr>
                <w:b/>
                <w:sz w:val="21"/>
              </w:rPr>
            </w:pPr>
            <w:r>
              <w:rPr>
                <w:b/>
                <w:sz w:val="21"/>
              </w:rPr>
              <w:t>三十六</w:t>
            </w:r>
          </w:p>
        </w:tc>
        <w:tc>
          <w:tcPr>
            <w:tcW w:w="1930" w:type="dxa"/>
          </w:tcPr>
          <w:p>
            <w:pPr>
              <w:pStyle w:val="TableParagraph"/>
              <w:spacing w:line="259" w:lineRule="exact"/>
              <w:ind w:left="107"/>
              <w:rPr>
                <w:b/>
                <w:sz w:val="21"/>
              </w:rPr>
            </w:pPr>
            <w:r>
              <w:rPr>
                <w:b/>
                <w:sz w:val="21"/>
              </w:rPr>
              <w:t>肾髓质囊性病</w:t>
            </w:r>
          </w:p>
        </w:tc>
        <w:tc>
          <w:tcPr>
            <w:tcW w:w="7308" w:type="dxa"/>
          </w:tcPr>
          <w:p>
            <w:pPr>
              <w:pStyle w:val="TableParagraph"/>
              <w:spacing w:line="259" w:lineRule="exact"/>
              <w:ind w:left="109"/>
              <w:rPr>
                <w:sz w:val="21"/>
              </w:rPr>
            </w:pPr>
            <w:r>
              <w:rPr>
                <w:sz w:val="21"/>
              </w:rPr>
              <w:t>肾髓质囊性病的诊断须同时符合下列要求：</w:t>
            </w:r>
          </w:p>
          <w:p>
            <w:pPr>
              <w:pStyle w:val="TableParagraph"/>
              <w:spacing w:before="37"/>
              <w:ind w:left="109"/>
              <w:rPr>
                <w:sz w:val="21"/>
              </w:rPr>
            </w:pPr>
            <w:r>
              <w:rPr>
                <w:sz w:val="21"/>
              </w:rPr>
              <w:t>（1）肾髓质有囊肿、肾小管萎缩及间质纤维化等病理改变；</w:t>
            </w:r>
          </w:p>
          <w:p>
            <w:pPr>
              <w:pStyle w:val="TableParagraph"/>
              <w:spacing w:before="37"/>
              <w:ind w:left="109"/>
              <w:rPr>
                <w:sz w:val="21"/>
              </w:rPr>
            </w:pPr>
            <w:r>
              <w:rPr>
                <w:sz w:val="21"/>
              </w:rPr>
              <w:t>（2）贫血、多尿及肾功能衰竭等临床表现；</w:t>
            </w:r>
          </w:p>
          <w:p>
            <w:pPr>
              <w:pStyle w:val="TableParagraph"/>
              <w:spacing w:before="37"/>
              <w:ind w:left="109"/>
              <w:rPr>
                <w:sz w:val="21"/>
              </w:rPr>
            </w:pPr>
            <w:r>
              <w:rPr>
                <w:sz w:val="21"/>
              </w:rPr>
              <w:t>（3）诊断须由肾组织活检确定。</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right="96"/>
              <w:jc w:val="right"/>
              <w:rPr>
                <w:b/>
                <w:sz w:val="21"/>
              </w:rPr>
            </w:pPr>
            <w:r>
              <w:rPr>
                <w:b/>
                <w:sz w:val="21"/>
              </w:rPr>
              <w:t>三十七</w:t>
            </w:r>
          </w:p>
        </w:tc>
        <w:tc>
          <w:tcPr>
            <w:tcW w:w="1930" w:type="dxa"/>
          </w:tcPr>
          <w:p>
            <w:pPr>
              <w:pStyle w:val="TableParagraph"/>
              <w:spacing w:line="257" w:lineRule="exact"/>
              <w:ind w:left="107"/>
              <w:rPr>
                <w:b/>
                <w:sz w:val="21"/>
              </w:rPr>
            </w:pPr>
            <w:r>
              <w:rPr>
                <w:b/>
                <w:sz w:val="21"/>
              </w:rPr>
              <w:t>原发性心肌病</w:t>
            </w:r>
          </w:p>
        </w:tc>
        <w:tc>
          <w:tcPr>
            <w:tcW w:w="7308" w:type="dxa"/>
          </w:tcPr>
          <w:p>
            <w:pPr>
              <w:pStyle w:val="TableParagraph"/>
              <w:spacing w:line="257" w:lineRule="exact"/>
              <w:ind w:left="109"/>
              <w:rPr>
                <w:sz w:val="21"/>
              </w:rPr>
            </w:pPr>
            <w:r>
              <w:rPr>
                <w:sz w:val="21"/>
              </w:rPr>
              <w:t>指因原发性心肌病导致慢性心功能损害造成永久不可逆性的心功能衰竭。心功</w:t>
            </w:r>
          </w:p>
          <w:p>
            <w:pPr>
              <w:pStyle w:val="TableParagraph"/>
              <w:spacing w:before="37"/>
              <w:ind w:left="109"/>
              <w:rPr>
                <w:sz w:val="21"/>
              </w:rPr>
            </w:pPr>
            <w:r>
              <w:rPr>
                <w:sz w:val="21"/>
              </w:rPr>
              <w:t>能衰竭程度达到纽约心脏病学会心功能分级状态分级 IV 级。</w:t>
            </w:r>
          </w:p>
          <w:p>
            <w:pPr>
              <w:pStyle w:val="TableParagraph"/>
              <w:spacing w:before="37"/>
              <w:ind w:left="109"/>
              <w:rPr>
                <w:b/>
                <w:sz w:val="21"/>
              </w:rPr>
            </w:pPr>
            <w:r>
              <w:rPr>
                <w:b/>
                <w:sz w:val="21"/>
              </w:rPr>
              <w:t>此疾病须由卫生行政部门认定的三级以上（含三级）医院确诊。</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right="96"/>
              <w:jc w:val="right"/>
              <w:rPr>
                <w:b/>
                <w:sz w:val="21"/>
              </w:rPr>
            </w:pPr>
            <w:r>
              <w:rPr>
                <w:b/>
                <w:sz w:val="21"/>
              </w:rPr>
              <w:t>三十八</w:t>
            </w:r>
          </w:p>
        </w:tc>
        <w:tc>
          <w:tcPr>
            <w:tcW w:w="1930" w:type="dxa"/>
          </w:tcPr>
          <w:p>
            <w:pPr>
              <w:pStyle w:val="TableParagraph"/>
              <w:spacing w:line="257" w:lineRule="exact"/>
              <w:ind w:left="107"/>
              <w:rPr>
                <w:b/>
                <w:sz w:val="21"/>
              </w:rPr>
            </w:pPr>
            <w:r>
              <w:rPr>
                <w:b/>
                <w:sz w:val="21"/>
              </w:rPr>
              <w:t>坏死性筋膜炎</w:t>
            </w:r>
          </w:p>
        </w:tc>
        <w:tc>
          <w:tcPr>
            <w:tcW w:w="7308" w:type="dxa"/>
          </w:tcPr>
          <w:p>
            <w:pPr>
              <w:pStyle w:val="TableParagraph"/>
              <w:spacing w:line="257" w:lineRule="exact"/>
              <w:ind w:left="109"/>
              <w:rPr>
                <w:sz w:val="21"/>
              </w:rPr>
            </w:pPr>
            <w:r>
              <w:rPr>
                <w:sz w:val="21"/>
              </w:rPr>
              <w:t>是一种由细菌侵入皮下组织和筋膜引起的急性坏死性软组织感染，可伴有毒血</w:t>
            </w:r>
          </w:p>
          <w:p>
            <w:pPr>
              <w:pStyle w:val="TableParagraph"/>
              <w:spacing w:line="273" w:lineRule="auto" w:before="37"/>
              <w:ind w:left="109" w:right="98"/>
              <w:rPr>
                <w:sz w:val="21"/>
              </w:rPr>
            </w:pPr>
            <w:r>
              <w:rPr>
                <w:spacing w:val="-8"/>
                <w:sz w:val="21"/>
              </w:rPr>
              <w:t>症、败血症、中毒性休克、弥漫性血管内凝血及多器官衰竭。必须满足以下所</w:t>
            </w:r>
            <w:r>
              <w:rPr>
                <w:spacing w:val="-1"/>
                <w:sz w:val="21"/>
              </w:rPr>
              <w:t>有条件：</w:t>
            </w:r>
          </w:p>
          <w:p>
            <w:pPr>
              <w:pStyle w:val="TableParagraph"/>
              <w:spacing w:before="7"/>
              <w:ind w:left="109"/>
              <w:rPr>
                <w:sz w:val="21"/>
              </w:rPr>
            </w:pPr>
            <w:r>
              <w:rPr>
                <w:sz w:val="21"/>
              </w:rPr>
              <w:t>（1）细菌培养和临床表现符合坏死性筋膜炎诊断标准；</w:t>
            </w:r>
          </w:p>
          <w:p>
            <w:pPr>
              <w:pStyle w:val="TableParagraph"/>
              <w:spacing w:before="36"/>
              <w:ind w:left="109"/>
              <w:rPr>
                <w:sz w:val="21"/>
              </w:rPr>
            </w:pPr>
            <w:r>
              <w:rPr>
                <w:sz w:val="21"/>
              </w:rPr>
              <w:t>（2）病情迅速恶化，有脓毒血症表现；</w:t>
            </w:r>
          </w:p>
          <w:p>
            <w:pPr>
              <w:pStyle w:val="TableParagraph"/>
              <w:spacing w:before="36"/>
              <w:ind w:left="109"/>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right="96"/>
              <w:jc w:val="right"/>
              <w:rPr>
                <w:b/>
                <w:sz w:val="21"/>
              </w:rPr>
            </w:pPr>
            <w:r>
              <w:rPr>
                <w:b/>
                <w:sz w:val="21"/>
              </w:rPr>
              <w:t>三十九</w:t>
            </w:r>
          </w:p>
        </w:tc>
        <w:tc>
          <w:tcPr>
            <w:tcW w:w="1930" w:type="dxa"/>
          </w:tcPr>
          <w:p>
            <w:pPr>
              <w:pStyle w:val="TableParagraph"/>
              <w:spacing w:line="257" w:lineRule="exact"/>
              <w:ind w:left="107"/>
              <w:rPr>
                <w:b/>
                <w:sz w:val="21"/>
              </w:rPr>
            </w:pPr>
            <w:r>
              <w:rPr>
                <w:b/>
                <w:sz w:val="21"/>
              </w:rPr>
              <w:t>肌营养不良症</w:t>
            </w:r>
          </w:p>
        </w:tc>
        <w:tc>
          <w:tcPr>
            <w:tcW w:w="7308" w:type="dxa"/>
          </w:tcPr>
          <w:p>
            <w:pPr>
              <w:pStyle w:val="TableParagraph"/>
              <w:spacing w:line="257" w:lineRule="exact"/>
              <w:ind w:left="109"/>
              <w:rPr>
                <w:sz w:val="21"/>
              </w:rPr>
            </w:pPr>
            <w:r>
              <w:rPr>
                <w:sz w:val="21"/>
              </w:rPr>
              <w:t>指一组遗传性肌肉变性病变, 临床特征为与神经系统无关的骨骼肌肉对称地</w:t>
            </w:r>
          </w:p>
          <w:p>
            <w:pPr>
              <w:pStyle w:val="TableParagraph"/>
              <w:spacing w:before="37"/>
              <w:ind w:left="109"/>
              <w:rPr>
                <w:sz w:val="21"/>
              </w:rPr>
            </w:pPr>
            <w:r>
              <w:rPr>
                <w:sz w:val="21"/>
              </w:rPr>
              <w:t>进行性无力和萎缩。其诊断需满足下列全部条件：</w:t>
            </w:r>
          </w:p>
          <w:p>
            <w:pPr>
              <w:pStyle w:val="TableParagraph"/>
              <w:spacing w:before="37"/>
              <w:ind w:left="109"/>
              <w:rPr>
                <w:sz w:val="21"/>
              </w:rPr>
            </w:pPr>
            <w:r>
              <w:rPr>
                <w:sz w:val="21"/>
              </w:rPr>
              <w:t>（1）肌电图显示典型肌营养不良症的阳性改变；</w:t>
            </w:r>
          </w:p>
          <w:p>
            <w:pPr>
              <w:pStyle w:val="TableParagraph"/>
              <w:spacing w:line="273" w:lineRule="auto" w:before="37"/>
              <w:ind w:left="635" w:right="31" w:hanging="526"/>
              <w:rPr>
                <w:sz w:val="21"/>
              </w:rPr>
            </w:pPr>
            <w:r>
              <w:rPr>
                <w:sz w:val="21"/>
              </w:rPr>
              <w:t>（2）肌肉活检的病理学诊断符合肌营养不良症的肌肉细胞变性\坏死等阳性改变；</w:t>
            </w:r>
          </w:p>
          <w:p>
            <w:pPr>
              <w:pStyle w:val="TableParagraph"/>
              <w:spacing w:before="7"/>
              <w:ind w:left="109"/>
              <w:rPr>
                <w:sz w:val="21"/>
              </w:rPr>
            </w:pPr>
            <w:r>
              <w:rPr>
                <w:sz w:val="21"/>
              </w:rPr>
              <w:t>（3）已导致被保险人持续超过三个月无法独立完成六项基本日常生活活动中</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116"/>
        <w:gridCol w:w="2883"/>
        <w:gridCol w:w="1985"/>
        <w:gridCol w:w="2326"/>
      </w:tblGrid>
      <w:tr>
        <w:trPr>
          <w:trHeight w:val="313"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10" w:type="dxa"/>
            <w:gridSpan w:val="4"/>
          </w:tcPr>
          <w:p>
            <w:pPr>
              <w:pStyle w:val="TableParagraph"/>
              <w:spacing w:line="259" w:lineRule="exact"/>
              <w:ind w:left="635"/>
              <w:rPr>
                <w:sz w:val="21"/>
              </w:rPr>
            </w:pPr>
            <w:r>
              <w:rPr>
                <w:sz w:val="21"/>
              </w:rPr>
              <w:t>的三项获三项以上。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四十</w:t>
            </w:r>
          </w:p>
        </w:tc>
        <w:tc>
          <w:tcPr>
            <w:tcW w:w="1930" w:type="dxa"/>
          </w:tcPr>
          <w:p>
            <w:pPr>
              <w:pStyle w:val="TableParagraph"/>
              <w:spacing w:line="257" w:lineRule="exact"/>
              <w:ind w:left="107"/>
              <w:rPr>
                <w:b/>
                <w:sz w:val="21"/>
              </w:rPr>
            </w:pPr>
            <w:r>
              <w:rPr>
                <w:b/>
                <w:sz w:val="21"/>
              </w:rPr>
              <w:t>严重克隆病</w:t>
            </w:r>
          </w:p>
        </w:tc>
        <w:tc>
          <w:tcPr>
            <w:tcW w:w="7310" w:type="dxa"/>
            <w:gridSpan w:val="4"/>
          </w:tcPr>
          <w:p>
            <w:pPr>
              <w:pStyle w:val="TableParagraph"/>
              <w:spacing w:line="257" w:lineRule="exact"/>
              <w:ind w:left="109"/>
              <w:rPr>
                <w:sz w:val="21"/>
              </w:rPr>
            </w:pPr>
            <w:r>
              <w:rPr>
                <w:sz w:val="21"/>
              </w:rPr>
              <w:t>克隆病是一种慢性肉芽肿性肠炎，具有特征性的克隆病病理组织学变化。诊断</w:t>
            </w:r>
          </w:p>
          <w:p>
            <w:pPr>
              <w:pStyle w:val="TableParagraph"/>
              <w:spacing w:line="273" w:lineRule="auto" w:before="37"/>
              <w:ind w:left="109" w:right="95"/>
              <w:rPr>
                <w:sz w:val="21"/>
              </w:rPr>
            </w:pPr>
            <w:r>
              <w:rPr>
                <w:spacing w:val="-7"/>
                <w:sz w:val="21"/>
              </w:rPr>
              <w:t>必须由病理检查结果证实。被保险人所患的克隆病必须已经造成瘘管形成并伴</w:t>
            </w:r>
            <w:r>
              <w:rPr>
                <w:spacing w:val="-3"/>
                <w:sz w:val="21"/>
              </w:rPr>
              <w:t>有肠梗阻或肠穿孔。</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四十一</w:t>
            </w:r>
          </w:p>
        </w:tc>
        <w:tc>
          <w:tcPr>
            <w:tcW w:w="1930" w:type="dxa"/>
          </w:tcPr>
          <w:p>
            <w:pPr>
              <w:pStyle w:val="TableParagraph"/>
              <w:spacing w:line="257" w:lineRule="exact"/>
              <w:ind w:left="107"/>
              <w:rPr>
                <w:b/>
                <w:sz w:val="21"/>
              </w:rPr>
            </w:pPr>
            <w:r>
              <w:rPr>
                <w:b/>
                <w:sz w:val="21"/>
              </w:rPr>
              <w:t>严重哮喘</w:t>
            </w:r>
          </w:p>
        </w:tc>
        <w:tc>
          <w:tcPr>
            <w:tcW w:w="7310" w:type="dxa"/>
            <w:gridSpan w:val="4"/>
          </w:tcPr>
          <w:p>
            <w:pPr>
              <w:pStyle w:val="TableParagraph"/>
              <w:spacing w:line="257" w:lineRule="exact"/>
              <w:ind w:left="109"/>
              <w:rPr>
                <w:sz w:val="21"/>
              </w:rPr>
            </w:pPr>
            <w:r>
              <w:rPr>
                <w:sz w:val="21"/>
              </w:rPr>
              <w:t>被保险人必须在过去两年内曾发生哮喘持续状态，并满足以下标准中的两项或</w:t>
            </w:r>
          </w:p>
          <w:p>
            <w:pPr>
              <w:pStyle w:val="TableParagraph"/>
              <w:spacing w:before="37"/>
              <w:ind w:left="109"/>
              <w:rPr>
                <w:sz w:val="21"/>
              </w:rPr>
            </w:pPr>
            <w:r>
              <w:rPr>
                <w:sz w:val="21"/>
              </w:rPr>
              <w:t>两项以上标准：</w:t>
            </w:r>
          </w:p>
          <w:p>
            <w:pPr>
              <w:pStyle w:val="TableParagraph"/>
              <w:spacing w:before="37"/>
              <w:ind w:left="109"/>
              <w:rPr>
                <w:sz w:val="21"/>
              </w:rPr>
            </w:pPr>
            <w:r>
              <w:rPr>
                <w:sz w:val="21"/>
              </w:rPr>
              <w:t>（1）运动耐受力永久并持续地减少并且轻微的运动能引起气促；</w:t>
            </w:r>
          </w:p>
          <w:p>
            <w:pPr>
              <w:pStyle w:val="TableParagraph"/>
              <w:spacing w:before="37"/>
              <w:ind w:left="109"/>
              <w:rPr>
                <w:sz w:val="21"/>
              </w:rPr>
            </w:pPr>
            <w:r>
              <w:rPr>
                <w:sz w:val="21"/>
              </w:rPr>
              <w:t>（2）长期胸腔过渡膨胀而导致胸腔畸形；</w:t>
            </w:r>
          </w:p>
          <w:p>
            <w:pPr>
              <w:pStyle w:val="TableParagraph"/>
              <w:spacing w:before="37"/>
              <w:ind w:left="109"/>
              <w:rPr>
                <w:sz w:val="21"/>
              </w:rPr>
            </w:pPr>
            <w:r>
              <w:rPr>
                <w:sz w:val="21"/>
              </w:rPr>
              <w:t>（3）在家及在静息状态下需要吸氧；</w:t>
            </w:r>
          </w:p>
          <w:p>
            <w:pPr>
              <w:pStyle w:val="TableParagraph"/>
              <w:spacing w:before="37"/>
              <w:ind w:left="109"/>
              <w:rPr>
                <w:sz w:val="21"/>
              </w:rPr>
            </w:pPr>
            <w:r>
              <w:rPr>
                <w:sz w:val="21"/>
              </w:rPr>
              <w:t>（4）</w:t>
            </w: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9"/>
                <w:sz w:val="21"/>
              </w:rPr>
              <w:t>）</w:t>
            </w:r>
            <w:r>
              <w:rPr>
                <w:sz w:val="21"/>
              </w:rPr>
              <w:t>。</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四十二</w:t>
            </w:r>
          </w:p>
        </w:tc>
        <w:tc>
          <w:tcPr>
            <w:tcW w:w="1930" w:type="dxa"/>
          </w:tcPr>
          <w:p>
            <w:pPr>
              <w:pStyle w:val="TableParagraph"/>
              <w:spacing w:line="257" w:lineRule="exact"/>
              <w:ind w:left="107"/>
              <w:rPr>
                <w:b/>
                <w:sz w:val="21"/>
              </w:rPr>
            </w:pPr>
            <w:r>
              <w:rPr>
                <w:b/>
                <w:sz w:val="21"/>
              </w:rPr>
              <w:t>严重溃疡性结肠炎</w:t>
            </w:r>
          </w:p>
        </w:tc>
        <w:tc>
          <w:tcPr>
            <w:tcW w:w="7310" w:type="dxa"/>
            <w:gridSpan w:val="4"/>
          </w:tcPr>
          <w:p>
            <w:pPr>
              <w:pStyle w:val="TableParagraph"/>
              <w:spacing w:line="257" w:lineRule="exact"/>
              <w:ind w:left="109"/>
              <w:rPr>
                <w:sz w:val="21"/>
              </w:rPr>
            </w:pPr>
            <w:r>
              <w:rPr>
                <w:sz w:val="21"/>
              </w:rPr>
              <w:t>指伴有致命性电解质紊乱的急性暴发性溃疡性结肠炎，病变累及全结肠，表现</w:t>
            </w:r>
          </w:p>
          <w:p>
            <w:pPr>
              <w:pStyle w:val="TableParagraph"/>
              <w:spacing w:line="273" w:lineRule="auto" w:before="37"/>
              <w:ind w:left="109" w:right="93"/>
              <w:jc w:val="both"/>
              <w:rPr>
                <w:sz w:val="21"/>
              </w:rPr>
            </w:pPr>
            <w:r>
              <w:rPr>
                <w:spacing w:val="-6"/>
                <w:sz w:val="21"/>
              </w:rPr>
              <w:t>为严重的血便和系统性症状体征，治疗通常采取全结肠切除和回肠造瘘术。溃</w:t>
            </w:r>
            <w:r>
              <w:rPr>
                <w:spacing w:val="-7"/>
                <w:sz w:val="21"/>
              </w:rPr>
              <w:t>疡性结肠炎必须根据组织病理学特点诊断，并且被保险人已经接受了结肠切除</w:t>
            </w:r>
            <w:r>
              <w:rPr>
                <w:spacing w:val="-5"/>
                <w:sz w:val="21"/>
              </w:rPr>
              <w:t>和回肠造瘘术。</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2186" w:hRule="atLeast"/>
        </w:trPr>
        <w:tc>
          <w:tcPr>
            <w:tcW w:w="850" w:type="dxa"/>
          </w:tcPr>
          <w:p>
            <w:pPr>
              <w:pStyle w:val="TableParagraph"/>
              <w:spacing w:line="259" w:lineRule="exact"/>
              <w:ind w:left="107"/>
              <w:rPr>
                <w:b/>
                <w:sz w:val="21"/>
              </w:rPr>
            </w:pPr>
            <w:r>
              <w:rPr>
                <w:b/>
                <w:sz w:val="21"/>
              </w:rPr>
              <w:t>四十三</w:t>
            </w:r>
          </w:p>
        </w:tc>
        <w:tc>
          <w:tcPr>
            <w:tcW w:w="1930" w:type="dxa"/>
          </w:tcPr>
          <w:p>
            <w:pPr>
              <w:pStyle w:val="TableParagraph"/>
              <w:spacing w:line="259" w:lineRule="exact"/>
              <w:ind w:left="107"/>
              <w:rPr>
                <w:b/>
                <w:sz w:val="21"/>
              </w:rPr>
            </w:pPr>
            <w:r>
              <w:rPr>
                <w:b/>
                <w:sz w:val="21"/>
              </w:rPr>
              <w:t>原发性硬化性胆管</w:t>
            </w:r>
          </w:p>
          <w:p>
            <w:pPr>
              <w:pStyle w:val="TableParagraph"/>
              <w:spacing w:before="37"/>
              <w:ind w:left="107"/>
              <w:rPr>
                <w:b/>
                <w:sz w:val="21"/>
              </w:rPr>
            </w:pPr>
            <w:r>
              <w:rPr>
                <w:b/>
                <w:w w:val="100"/>
                <w:sz w:val="21"/>
              </w:rPr>
              <w:t>炎</w:t>
            </w:r>
          </w:p>
        </w:tc>
        <w:tc>
          <w:tcPr>
            <w:tcW w:w="7310" w:type="dxa"/>
            <w:gridSpan w:val="4"/>
          </w:tcPr>
          <w:p>
            <w:pPr>
              <w:pStyle w:val="TableParagraph"/>
              <w:spacing w:line="259" w:lineRule="exact"/>
              <w:ind w:left="109"/>
              <w:rPr>
                <w:sz w:val="21"/>
              </w:rPr>
            </w:pPr>
            <w:r>
              <w:rPr>
                <w:sz w:val="21"/>
              </w:rPr>
              <w:t>指一种胆汁淤积综合征，其特征是肝内、肝外胆道因纤维化性炎症逐渐狭窄，</w:t>
            </w:r>
          </w:p>
          <w:p>
            <w:pPr>
              <w:pStyle w:val="TableParagraph"/>
              <w:spacing w:line="273" w:lineRule="auto" w:before="37"/>
              <w:ind w:left="109" w:right="49"/>
              <w:rPr>
                <w:sz w:val="21"/>
              </w:rPr>
            </w:pPr>
            <w:r>
              <w:rPr>
                <w:sz w:val="21"/>
              </w:rPr>
              <w:t>并最终导致完全阻塞而发展为肝硬化。本病须经内镜逆行胰胆管造影等影像学检查证实，并须满足下列全部条件：</w:t>
            </w:r>
          </w:p>
          <w:p>
            <w:pPr>
              <w:pStyle w:val="TableParagraph"/>
              <w:spacing w:before="7"/>
              <w:ind w:left="109"/>
              <w:rPr>
                <w:sz w:val="21"/>
              </w:rPr>
            </w:pPr>
            <w:r>
              <w:rPr>
                <w:sz w:val="21"/>
              </w:rPr>
              <w:t>（1）总胆红素和直接胆红素同时升高，血清 ALP&gt;200U/L；</w:t>
            </w:r>
          </w:p>
          <w:p>
            <w:pPr>
              <w:pStyle w:val="TableParagraph"/>
              <w:spacing w:before="36"/>
              <w:ind w:left="109"/>
              <w:rPr>
                <w:sz w:val="21"/>
              </w:rPr>
            </w:pPr>
            <w:r>
              <w:rPr>
                <w:sz w:val="21"/>
              </w:rPr>
              <w:t>（2）持续性黄疸病史；</w:t>
            </w:r>
          </w:p>
          <w:p>
            <w:pPr>
              <w:pStyle w:val="TableParagraph"/>
              <w:spacing w:before="36"/>
              <w:ind w:left="109"/>
              <w:rPr>
                <w:sz w:val="21"/>
              </w:rPr>
            </w:pPr>
            <w:r>
              <w:rPr>
                <w:sz w:val="21"/>
              </w:rPr>
              <w:t>（3）出现胆汁性肝硬化或门脉高压。</w:t>
            </w:r>
          </w:p>
          <w:p>
            <w:pPr>
              <w:pStyle w:val="TableParagraph"/>
              <w:spacing w:before="36"/>
              <w:ind w:left="109"/>
              <w:rPr>
                <w:b/>
                <w:sz w:val="21"/>
              </w:rPr>
            </w:pPr>
            <w:r>
              <w:rPr>
                <w:b/>
                <w:sz w:val="21"/>
              </w:rPr>
              <w:t>因肿瘤或胆管损伤等继发性的硬化性胆管炎不在保障范围内。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四十四</w:t>
            </w:r>
          </w:p>
        </w:tc>
        <w:tc>
          <w:tcPr>
            <w:tcW w:w="1930" w:type="dxa"/>
          </w:tcPr>
          <w:p>
            <w:pPr>
              <w:pStyle w:val="TableParagraph"/>
              <w:spacing w:line="257" w:lineRule="exact"/>
              <w:ind w:left="107"/>
              <w:rPr>
                <w:b/>
                <w:sz w:val="21"/>
              </w:rPr>
            </w:pPr>
            <w:r>
              <w:rPr>
                <w:b/>
                <w:sz w:val="21"/>
              </w:rPr>
              <w:t>急性坏死性胰腺炎</w:t>
            </w:r>
          </w:p>
        </w:tc>
        <w:tc>
          <w:tcPr>
            <w:tcW w:w="7310" w:type="dxa"/>
            <w:gridSpan w:val="4"/>
          </w:tcPr>
          <w:p>
            <w:pPr>
              <w:pStyle w:val="TableParagraph"/>
              <w:spacing w:line="257" w:lineRule="exact"/>
              <w:ind w:left="109"/>
              <w:rPr>
                <w:sz w:val="21"/>
              </w:rPr>
            </w:pPr>
            <w:r>
              <w:rPr>
                <w:sz w:val="21"/>
              </w:rPr>
              <w:t>指由专科医生确诊为急性出血坏死性胰腺炎，并已经接受了外科手术治疗，以</w:t>
            </w:r>
          </w:p>
          <w:p>
            <w:pPr>
              <w:pStyle w:val="TableParagraph"/>
              <w:spacing w:before="37"/>
              <w:ind w:left="109"/>
              <w:rPr>
                <w:sz w:val="21"/>
              </w:rPr>
            </w:pPr>
            <w:r>
              <w:rPr>
                <w:sz w:val="21"/>
              </w:rPr>
              <w:t>进行坏死组织清除、坏死病灶切除或胰腺切除。</w:t>
            </w:r>
          </w:p>
          <w:p>
            <w:pPr>
              <w:pStyle w:val="TableParagraph"/>
              <w:spacing w:before="37"/>
              <w:ind w:left="109"/>
              <w:rPr>
                <w:b/>
                <w:sz w:val="21"/>
              </w:rPr>
            </w:pPr>
            <w:r>
              <w:rPr>
                <w:b/>
                <w:sz w:val="21"/>
              </w:rPr>
              <w:t>因饮酒所致的急性出血坏死性胰腺炎不在保障范围内。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四十五</w:t>
            </w:r>
          </w:p>
        </w:tc>
        <w:tc>
          <w:tcPr>
            <w:tcW w:w="1930" w:type="dxa"/>
          </w:tcPr>
          <w:p>
            <w:pPr>
              <w:pStyle w:val="TableParagraph"/>
              <w:spacing w:line="257" w:lineRule="exact"/>
              <w:ind w:left="107"/>
              <w:rPr>
                <w:b/>
                <w:sz w:val="21"/>
              </w:rPr>
            </w:pPr>
            <w:r>
              <w:rPr>
                <w:b/>
                <w:sz w:val="21"/>
              </w:rPr>
              <w:t>肝豆状核变性（或</w:t>
            </w:r>
          </w:p>
          <w:p>
            <w:pPr>
              <w:pStyle w:val="TableParagraph"/>
              <w:spacing w:before="37"/>
              <w:ind w:left="107"/>
              <w:rPr>
                <w:b/>
                <w:sz w:val="21"/>
              </w:rPr>
            </w:pPr>
            <w:r>
              <w:rPr>
                <w:b/>
                <w:sz w:val="21"/>
              </w:rPr>
              <w:t>称 Wilson 病）</w:t>
            </w:r>
          </w:p>
        </w:tc>
        <w:tc>
          <w:tcPr>
            <w:tcW w:w="7310" w:type="dxa"/>
            <w:gridSpan w:val="4"/>
          </w:tcPr>
          <w:p>
            <w:pPr>
              <w:pStyle w:val="TableParagraph"/>
              <w:spacing w:line="257" w:lineRule="exact"/>
              <w:ind w:left="109"/>
              <w:rPr>
                <w:sz w:val="21"/>
              </w:rPr>
            </w:pPr>
            <w:r>
              <w:rPr>
                <w:sz w:val="21"/>
              </w:rPr>
              <w:t>指一种常染色体隐性遗传的铜代谢缺陷病，以不同程度的肝细胞损害、脑退行</w:t>
            </w:r>
          </w:p>
          <w:p>
            <w:pPr>
              <w:pStyle w:val="TableParagraph"/>
              <w:spacing w:before="37"/>
              <w:ind w:left="109"/>
              <w:rPr>
                <w:sz w:val="21"/>
              </w:rPr>
            </w:pPr>
            <w:r>
              <w:rPr>
                <w:sz w:val="21"/>
              </w:rPr>
              <w:t>性病变和角膜边缘有铜盐沉着环为其临床特征，并须满足下列全部条件：</w:t>
            </w:r>
          </w:p>
          <w:p>
            <w:pPr>
              <w:pStyle w:val="TableParagraph"/>
              <w:spacing w:before="37"/>
              <w:ind w:left="109"/>
              <w:rPr>
                <w:sz w:val="21"/>
              </w:rPr>
            </w:pPr>
            <w:r>
              <w:rPr>
                <w:sz w:val="21"/>
              </w:rPr>
              <w:t>（1）典型症状；</w:t>
            </w:r>
          </w:p>
          <w:p>
            <w:pPr>
              <w:pStyle w:val="TableParagraph"/>
              <w:spacing w:before="37"/>
              <w:ind w:left="109"/>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7"/>
              <w:ind w:left="109"/>
              <w:rPr>
                <w:sz w:val="21"/>
              </w:rPr>
            </w:pPr>
            <w:r>
              <w:rPr>
                <w:sz w:val="21"/>
              </w:rPr>
              <w:t>（3）血清铜和血清铜蓝蛋白降低，尿铜增加；</w:t>
            </w:r>
          </w:p>
          <w:p>
            <w:pPr>
              <w:pStyle w:val="TableParagraph"/>
              <w:spacing w:before="37"/>
              <w:ind w:left="109"/>
              <w:rPr>
                <w:sz w:val="21"/>
              </w:rPr>
            </w:pPr>
            <w:r>
              <w:rPr>
                <w:sz w:val="21"/>
              </w:rPr>
              <w:t>（4）经皮做肝脏活检来定量分析肝脏铜的含量。</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2807" w:hRule="atLeast"/>
        </w:trPr>
        <w:tc>
          <w:tcPr>
            <w:tcW w:w="850" w:type="dxa"/>
            <w:vMerge w:val="restart"/>
          </w:tcPr>
          <w:p>
            <w:pPr>
              <w:pStyle w:val="TableParagraph"/>
              <w:spacing w:line="257" w:lineRule="exact"/>
              <w:ind w:left="107"/>
              <w:rPr>
                <w:b/>
                <w:sz w:val="21"/>
              </w:rPr>
            </w:pPr>
            <w:r>
              <w:rPr>
                <w:b/>
                <w:sz w:val="21"/>
              </w:rPr>
              <w:t>四十六</w:t>
            </w:r>
          </w:p>
        </w:tc>
        <w:tc>
          <w:tcPr>
            <w:tcW w:w="1930" w:type="dxa"/>
            <w:vMerge w:val="restart"/>
          </w:tcPr>
          <w:p>
            <w:pPr>
              <w:pStyle w:val="TableParagraph"/>
              <w:spacing w:line="257" w:lineRule="exact"/>
              <w:ind w:left="107"/>
              <w:rPr>
                <w:b/>
                <w:sz w:val="21"/>
              </w:rPr>
            </w:pPr>
            <w:r>
              <w:rPr>
                <w:b/>
                <w:sz w:val="21"/>
              </w:rPr>
              <w:t>因职业关系导致的</w:t>
            </w:r>
          </w:p>
          <w:p>
            <w:pPr>
              <w:pStyle w:val="TableParagraph"/>
              <w:spacing w:line="273" w:lineRule="auto" w:before="37"/>
              <w:ind w:left="107" w:right="122"/>
              <w:rPr>
                <w:b/>
                <w:sz w:val="21"/>
              </w:rPr>
            </w:pPr>
            <w:r>
              <w:rPr>
                <w:b/>
                <w:sz w:val="21"/>
              </w:rPr>
              <w:t>人类免疫缺陷病毒感染</w:t>
            </w:r>
          </w:p>
        </w:tc>
        <w:tc>
          <w:tcPr>
            <w:tcW w:w="7310" w:type="dxa"/>
            <w:gridSpan w:val="4"/>
            <w:tcBorders>
              <w:bottom w:val="nil"/>
            </w:tcBorders>
          </w:tcPr>
          <w:p>
            <w:pPr>
              <w:pStyle w:val="TableParagraph"/>
              <w:spacing w:line="257" w:lineRule="exact"/>
              <w:ind w:left="109"/>
              <w:rPr>
                <w:sz w:val="21"/>
              </w:rPr>
            </w:pPr>
            <w:r>
              <w:rPr>
                <w:sz w:val="21"/>
              </w:rPr>
              <w:t>被保险人在其常规职业工作过程中遭遇外伤，或者职业需要处理血液或者其他</w:t>
            </w:r>
          </w:p>
          <w:p>
            <w:pPr>
              <w:pStyle w:val="TableParagraph"/>
              <w:spacing w:before="37"/>
              <w:ind w:left="109"/>
              <w:rPr>
                <w:sz w:val="21"/>
              </w:rPr>
            </w:pPr>
            <w:r>
              <w:rPr>
                <w:spacing w:val="-3"/>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r>
              <w:rPr>
                <w:spacing w:val="-3"/>
                <w:w w:val="100"/>
                <w:sz w:val="21"/>
              </w:rPr>
              <w:t>。须满足下列全部条件：</w:t>
            </w:r>
          </w:p>
          <w:p>
            <w:pPr>
              <w:pStyle w:val="TableParagraph"/>
              <w:spacing w:line="273" w:lineRule="auto" w:before="37"/>
              <w:ind w:left="635" w:right="148" w:hanging="526"/>
              <w:rPr>
                <w:sz w:val="21"/>
              </w:rPr>
            </w:pPr>
            <w:r>
              <w:rPr>
                <w:sz w:val="21"/>
              </w:rPr>
              <w:t>（1）感染必须是在被保险人正在从事其职业工作中发生，该职业必须属于以下列表内的职业；</w:t>
            </w:r>
          </w:p>
          <w:p>
            <w:pPr>
              <w:pStyle w:val="TableParagraph"/>
              <w:spacing w:line="273" w:lineRule="auto" w:before="7"/>
              <w:ind w:left="635" w:right="34" w:hanging="526"/>
              <w:rPr>
                <w:sz w:val="21"/>
              </w:rPr>
            </w:pPr>
            <w:r>
              <w:rPr>
                <w:sz w:val="21"/>
              </w:rPr>
              <w:t>（2）必须提供被保险人在所报事故发生后的 5 天以内进行的检查报告，该报告必须显示被保险人血液 HIV 病毒阴性和/或 HIV 抗体阴性；</w:t>
            </w:r>
          </w:p>
          <w:p>
            <w:pPr>
              <w:pStyle w:val="TableParagraph"/>
              <w:spacing w:before="7"/>
              <w:ind w:left="109"/>
              <w:rPr>
                <w:sz w:val="21"/>
              </w:rPr>
            </w:pPr>
            <w:r>
              <w:rPr>
                <w:sz w:val="21"/>
              </w:rPr>
              <w:t>（3）必须在事故发生后的 6 个月内证实被保险人体内存在 HIV 病毒或者</w:t>
            </w:r>
          </w:p>
          <w:p>
            <w:pPr>
              <w:pStyle w:val="TableParagraph"/>
              <w:spacing w:line="273" w:lineRule="auto" w:before="37"/>
              <w:ind w:left="110" w:right="2039"/>
              <w:rPr>
                <w:sz w:val="21"/>
              </w:rPr>
            </w:pPr>
            <w:r>
              <w:rPr>
                <w:sz w:val="21"/>
              </w:rPr>
              <w:t>HIV 抗体，即血液 HIV 病毒阳性和/或 HIV 抗体阳性。职业限制如下所示:</w:t>
            </w:r>
          </w:p>
        </w:tc>
      </w:tr>
      <w:tr>
        <w:trPr>
          <w:trHeight w:val="316" w:hRule="atLeast"/>
        </w:trPr>
        <w:tc>
          <w:tcPr>
            <w:tcW w:w="850" w:type="dxa"/>
            <w:vMerge/>
            <w:tcBorders>
              <w:top w:val="nil"/>
            </w:tcBorders>
          </w:tcPr>
          <w:p>
            <w:pPr>
              <w:rPr>
                <w:sz w:val="2"/>
                <w:szCs w:val="2"/>
              </w:rPr>
            </w:pPr>
          </w:p>
        </w:tc>
        <w:tc>
          <w:tcPr>
            <w:tcW w:w="1930" w:type="dxa"/>
            <w:vMerge/>
            <w:tcBorders>
              <w:top w:val="nil"/>
            </w:tcBorders>
          </w:tcPr>
          <w:p>
            <w:pPr>
              <w:rPr>
                <w:sz w:val="2"/>
                <w:szCs w:val="2"/>
              </w:rPr>
            </w:pPr>
          </w:p>
        </w:tc>
        <w:tc>
          <w:tcPr>
            <w:tcW w:w="116" w:type="dxa"/>
            <w:tcBorders>
              <w:top w:val="nil"/>
            </w:tcBorders>
          </w:tcPr>
          <w:p>
            <w:pPr>
              <w:pStyle w:val="TableParagraph"/>
              <w:rPr>
                <w:rFonts w:ascii="Times New Roman"/>
                <w:sz w:val="20"/>
              </w:rPr>
            </w:pPr>
          </w:p>
        </w:tc>
        <w:tc>
          <w:tcPr>
            <w:tcW w:w="2883" w:type="dxa"/>
            <w:tcBorders>
              <w:bottom w:val="single" w:sz="8" w:space="0" w:color="000000"/>
            </w:tcBorders>
          </w:tcPr>
          <w:p>
            <w:pPr>
              <w:pStyle w:val="TableParagraph"/>
              <w:spacing w:line="256" w:lineRule="exact"/>
              <w:ind w:left="107"/>
              <w:rPr>
                <w:sz w:val="21"/>
              </w:rPr>
            </w:pPr>
            <w:r>
              <w:rPr>
                <w:sz w:val="21"/>
              </w:rPr>
              <w:t>医生</w:t>
            </w:r>
          </w:p>
        </w:tc>
        <w:tc>
          <w:tcPr>
            <w:tcW w:w="1985" w:type="dxa"/>
            <w:tcBorders>
              <w:bottom w:val="single" w:sz="8" w:space="0" w:color="000000"/>
            </w:tcBorders>
          </w:tcPr>
          <w:p>
            <w:pPr>
              <w:pStyle w:val="TableParagraph"/>
              <w:spacing w:line="257" w:lineRule="exact"/>
              <w:ind w:left="326"/>
              <w:rPr>
                <w:sz w:val="21"/>
              </w:rPr>
            </w:pPr>
            <w:r>
              <w:rPr>
                <w:sz w:val="21"/>
              </w:rPr>
              <w:t>护士</w:t>
            </w:r>
          </w:p>
        </w:tc>
        <w:tc>
          <w:tcPr>
            <w:tcW w:w="2326" w:type="dxa"/>
            <w:tcBorders>
              <w:top w:val="nil"/>
            </w:tcBorders>
          </w:tcPr>
          <w:p>
            <w:pPr>
              <w:pStyle w:val="TableParagraph"/>
              <w:rPr>
                <w:rFonts w:ascii="Times New Roman"/>
                <w:sz w:val="20"/>
              </w:rPr>
            </w:pPr>
          </w:p>
        </w:tc>
      </w:tr>
    </w:tbl>
    <w:p>
      <w:pPr>
        <w:spacing w:after="0"/>
        <w:rPr>
          <w:rFonts w:ascii="Times New Roman"/>
          <w:sz w:val="20"/>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116"/>
        <w:gridCol w:w="2883"/>
        <w:gridCol w:w="1985"/>
        <w:gridCol w:w="2326"/>
      </w:tblGrid>
      <w:tr>
        <w:trPr>
          <w:trHeight w:val="313" w:hRule="atLeast"/>
        </w:trPr>
        <w:tc>
          <w:tcPr>
            <w:tcW w:w="850" w:type="dxa"/>
            <w:vMerge w:val="restart"/>
          </w:tcPr>
          <w:p>
            <w:pPr>
              <w:pStyle w:val="TableParagraph"/>
              <w:rPr>
                <w:rFonts w:ascii="Times New Roman"/>
                <w:sz w:val="20"/>
              </w:rPr>
            </w:pPr>
          </w:p>
        </w:tc>
        <w:tc>
          <w:tcPr>
            <w:tcW w:w="1930" w:type="dxa"/>
            <w:vMerge w:val="restart"/>
          </w:tcPr>
          <w:p>
            <w:pPr>
              <w:pStyle w:val="TableParagraph"/>
              <w:rPr>
                <w:rFonts w:ascii="Times New Roman"/>
                <w:sz w:val="20"/>
              </w:rPr>
            </w:pPr>
          </w:p>
        </w:tc>
        <w:tc>
          <w:tcPr>
            <w:tcW w:w="116" w:type="dxa"/>
            <w:vMerge w:val="restart"/>
          </w:tcPr>
          <w:p>
            <w:pPr>
              <w:pStyle w:val="TableParagraph"/>
              <w:rPr>
                <w:rFonts w:ascii="Times New Roman"/>
                <w:sz w:val="20"/>
              </w:rPr>
            </w:pPr>
          </w:p>
        </w:tc>
        <w:tc>
          <w:tcPr>
            <w:tcW w:w="2883" w:type="dxa"/>
          </w:tcPr>
          <w:p>
            <w:pPr>
              <w:pStyle w:val="TableParagraph"/>
              <w:spacing w:line="259" w:lineRule="exact"/>
              <w:ind w:left="106"/>
              <w:rPr>
                <w:sz w:val="21"/>
              </w:rPr>
            </w:pPr>
            <w:r>
              <w:rPr>
                <w:sz w:val="21"/>
              </w:rPr>
              <w:t>医疗机构实验室工作人员</w:t>
            </w:r>
          </w:p>
        </w:tc>
        <w:tc>
          <w:tcPr>
            <w:tcW w:w="1985" w:type="dxa"/>
          </w:tcPr>
          <w:p>
            <w:pPr>
              <w:pStyle w:val="TableParagraph"/>
              <w:spacing w:line="259" w:lineRule="exact"/>
              <w:ind w:left="326"/>
              <w:rPr>
                <w:sz w:val="21"/>
              </w:rPr>
            </w:pPr>
            <w:r>
              <w:rPr>
                <w:sz w:val="21"/>
              </w:rPr>
              <w:t>医院护工</w:t>
            </w:r>
          </w:p>
        </w:tc>
        <w:tc>
          <w:tcPr>
            <w:tcW w:w="2326" w:type="dxa"/>
            <w:vMerge w:val="restart"/>
          </w:tcPr>
          <w:p>
            <w:pPr>
              <w:pStyle w:val="TableParagraph"/>
              <w:rPr>
                <w:rFonts w:ascii="Times New Roman"/>
                <w:sz w:val="20"/>
              </w:rPr>
            </w:pPr>
          </w:p>
        </w:tc>
      </w:tr>
      <w:tr>
        <w:trPr>
          <w:trHeight w:val="311" w:hRule="atLeast"/>
        </w:trPr>
        <w:tc>
          <w:tcPr>
            <w:tcW w:w="850" w:type="dxa"/>
            <w:vMerge/>
            <w:tcBorders>
              <w:top w:val="nil"/>
            </w:tcBorders>
          </w:tcPr>
          <w:p>
            <w:pPr>
              <w:rPr>
                <w:sz w:val="2"/>
                <w:szCs w:val="2"/>
              </w:rPr>
            </w:pPr>
          </w:p>
        </w:tc>
        <w:tc>
          <w:tcPr>
            <w:tcW w:w="1930" w:type="dxa"/>
            <w:vMerge/>
            <w:tcBorders>
              <w:top w:val="nil"/>
            </w:tcBorders>
          </w:tcPr>
          <w:p>
            <w:pPr>
              <w:rPr>
                <w:sz w:val="2"/>
                <w:szCs w:val="2"/>
              </w:rPr>
            </w:pPr>
          </w:p>
        </w:tc>
        <w:tc>
          <w:tcPr>
            <w:tcW w:w="116" w:type="dxa"/>
            <w:vMerge/>
            <w:tcBorders>
              <w:top w:val="nil"/>
            </w:tcBorders>
          </w:tcPr>
          <w:p>
            <w:pPr>
              <w:rPr>
                <w:sz w:val="2"/>
                <w:szCs w:val="2"/>
              </w:rPr>
            </w:pPr>
          </w:p>
        </w:tc>
        <w:tc>
          <w:tcPr>
            <w:tcW w:w="2883" w:type="dxa"/>
          </w:tcPr>
          <w:p>
            <w:pPr>
              <w:pStyle w:val="TableParagraph"/>
              <w:spacing w:line="257" w:lineRule="exact"/>
              <w:ind w:left="106"/>
              <w:rPr>
                <w:sz w:val="21"/>
              </w:rPr>
            </w:pPr>
            <w:r>
              <w:rPr>
                <w:sz w:val="21"/>
              </w:rPr>
              <w:t>助产士</w:t>
            </w:r>
          </w:p>
        </w:tc>
        <w:tc>
          <w:tcPr>
            <w:tcW w:w="1985" w:type="dxa"/>
          </w:tcPr>
          <w:p>
            <w:pPr>
              <w:pStyle w:val="TableParagraph"/>
              <w:spacing w:line="257" w:lineRule="exact"/>
              <w:ind w:left="326"/>
              <w:rPr>
                <w:sz w:val="21"/>
              </w:rPr>
            </w:pPr>
            <w:r>
              <w:rPr>
                <w:sz w:val="21"/>
              </w:rPr>
              <w:t>救护车工作人员</w:t>
            </w:r>
          </w:p>
        </w:tc>
        <w:tc>
          <w:tcPr>
            <w:tcW w:w="2326" w:type="dxa"/>
            <w:vMerge/>
            <w:tcBorders>
              <w:top w:val="nil"/>
            </w:tcBorders>
          </w:tcPr>
          <w:p>
            <w:pPr>
              <w:rPr>
                <w:sz w:val="2"/>
                <w:szCs w:val="2"/>
              </w:rPr>
            </w:pPr>
          </w:p>
        </w:tc>
      </w:tr>
      <w:tr>
        <w:trPr>
          <w:trHeight w:val="316" w:hRule="atLeast"/>
        </w:trPr>
        <w:tc>
          <w:tcPr>
            <w:tcW w:w="850" w:type="dxa"/>
            <w:vMerge/>
            <w:tcBorders>
              <w:top w:val="nil"/>
            </w:tcBorders>
          </w:tcPr>
          <w:p>
            <w:pPr>
              <w:rPr>
                <w:sz w:val="2"/>
                <w:szCs w:val="2"/>
              </w:rPr>
            </w:pPr>
          </w:p>
        </w:tc>
        <w:tc>
          <w:tcPr>
            <w:tcW w:w="1930" w:type="dxa"/>
            <w:vMerge/>
            <w:tcBorders>
              <w:top w:val="nil"/>
            </w:tcBorders>
          </w:tcPr>
          <w:p>
            <w:pPr>
              <w:rPr>
                <w:sz w:val="2"/>
                <w:szCs w:val="2"/>
              </w:rPr>
            </w:pPr>
          </w:p>
        </w:tc>
        <w:tc>
          <w:tcPr>
            <w:tcW w:w="116" w:type="dxa"/>
            <w:vMerge/>
            <w:tcBorders>
              <w:top w:val="nil"/>
            </w:tcBorders>
          </w:tcPr>
          <w:p>
            <w:pPr>
              <w:rPr>
                <w:sz w:val="2"/>
                <w:szCs w:val="2"/>
              </w:rPr>
            </w:pPr>
          </w:p>
        </w:tc>
        <w:tc>
          <w:tcPr>
            <w:tcW w:w="2883" w:type="dxa"/>
            <w:tcBorders>
              <w:bottom w:val="single" w:sz="8" w:space="0" w:color="000000"/>
            </w:tcBorders>
          </w:tcPr>
          <w:p>
            <w:pPr>
              <w:pStyle w:val="TableParagraph"/>
              <w:spacing w:line="257" w:lineRule="exact"/>
              <w:ind w:left="106"/>
              <w:rPr>
                <w:sz w:val="21"/>
              </w:rPr>
            </w:pPr>
            <w:r>
              <w:rPr>
                <w:sz w:val="21"/>
              </w:rPr>
              <w:t>警察</w:t>
            </w:r>
          </w:p>
        </w:tc>
        <w:tc>
          <w:tcPr>
            <w:tcW w:w="1985" w:type="dxa"/>
            <w:tcBorders>
              <w:bottom w:val="single" w:sz="8" w:space="0" w:color="000000"/>
            </w:tcBorders>
          </w:tcPr>
          <w:p>
            <w:pPr>
              <w:pStyle w:val="TableParagraph"/>
              <w:spacing w:line="257" w:lineRule="exact"/>
              <w:ind w:left="326"/>
              <w:rPr>
                <w:sz w:val="21"/>
              </w:rPr>
            </w:pPr>
            <w:r>
              <w:rPr>
                <w:sz w:val="21"/>
              </w:rPr>
              <w:t>消防队员</w:t>
            </w:r>
          </w:p>
        </w:tc>
        <w:tc>
          <w:tcPr>
            <w:tcW w:w="2326" w:type="dxa"/>
            <w:vMerge/>
            <w:tcBorders>
              <w:top w:val="nil"/>
            </w:tcBorders>
          </w:tcPr>
          <w:p>
            <w:pPr>
              <w:rPr>
                <w:sz w:val="2"/>
                <w:szCs w:val="2"/>
              </w:rPr>
            </w:pPr>
          </w:p>
        </w:tc>
      </w:tr>
      <w:tr>
        <w:trPr>
          <w:trHeight w:val="213"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Borders>
              <w:top w:val="single" w:sz="8" w:space="0" w:color="000000"/>
            </w:tcBorders>
          </w:tcPr>
          <w:p>
            <w:pPr>
              <w:pStyle w:val="TableParagraph"/>
              <w:rPr>
                <w:rFonts w:ascii="Times New Roman"/>
                <w:sz w:val="14"/>
              </w:rPr>
            </w:pPr>
          </w:p>
        </w:tc>
      </w:tr>
      <w:tr>
        <w:trPr>
          <w:trHeight w:val="3743" w:hRule="atLeast"/>
        </w:trPr>
        <w:tc>
          <w:tcPr>
            <w:tcW w:w="850" w:type="dxa"/>
          </w:tcPr>
          <w:p>
            <w:pPr>
              <w:pStyle w:val="TableParagraph"/>
              <w:spacing w:line="257" w:lineRule="exact"/>
              <w:ind w:left="107"/>
              <w:rPr>
                <w:b/>
                <w:sz w:val="21"/>
              </w:rPr>
            </w:pPr>
            <w:r>
              <w:rPr>
                <w:b/>
                <w:sz w:val="21"/>
              </w:rPr>
              <w:t>四十七</w:t>
            </w:r>
          </w:p>
        </w:tc>
        <w:tc>
          <w:tcPr>
            <w:tcW w:w="1930" w:type="dxa"/>
          </w:tcPr>
          <w:p>
            <w:pPr>
              <w:pStyle w:val="TableParagraph"/>
              <w:spacing w:line="257" w:lineRule="exact"/>
              <w:ind w:left="107"/>
              <w:rPr>
                <w:b/>
                <w:sz w:val="21"/>
              </w:rPr>
            </w:pPr>
            <w:r>
              <w:rPr>
                <w:b/>
                <w:sz w:val="21"/>
              </w:rPr>
              <w:t>特发性慢性肾上腺</w:t>
            </w:r>
          </w:p>
          <w:p>
            <w:pPr>
              <w:pStyle w:val="TableParagraph"/>
              <w:spacing w:before="37"/>
              <w:ind w:left="107"/>
              <w:rPr>
                <w:b/>
                <w:sz w:val="21"/>
              </w:rPr>
            </w:pPr>
            <w:r>
              <w:rPr>
                <w:b/>
                <w:sz w:val="21"/>
              </w:rPr>
              <w:t>皮质功能减退</w:t>
            </w:r>
          </w:p>
        </w:tc>
        <w:tc>
          <w:tcPr>
            <w:tcW w:w="7310" w:type="dxa"/>
            <w:gridSpan w:val="4"/>
          </w:tcPr>
          <w:p>
            <w:pPr>
              <w:pStyle w:val="TableParagraph"/>
              <w:spacing w:line="257" w:lineRule="exact"/>
              <w:ind w:left="109"/>
              <w:rPr>
                <w:sz w:val="21"/>
              </w:rPr>
            </w:pPr>
            <w:r>
              <w:rPr>
                <w:sz w:val="21"/>
              </w:rPr>
              <w:t>指自身免疫性肾上腺炎（既往称：特发性肾上腺皮质萎缩）导致肾上腺萎缩和</w:t>
            </w:r>
          </w:p>
          <w:p>
            <w:pPr>
              <w:pStyle w:val="TableParagraph"/>
              <w:spacing w:before="37"/>
              <w:ind w:left="109"/>
              <w:rPr>
                <w:sz w:val="21"/>
              </w:rPr>
            </w:pPr>
            <w:r>
              <w:rPr>
                <w:sz w:val="21"/>
              </w:rPr>
              <w:t>慢性肾上腺皮质功能减退。须满足下列全部条件：</w:t>
            </w:r>
          </w:p>
          <w:p>
            <w:pPr>
              <w:pStyle w:val="TableParagraph"/>
              <w:spacing w:before="37"/>
              <w:ind w:left="109"/>
              <w:rPr>
                <w:sz w:val="21"/>
              </w:rPr>
            </w:pPr>
            <w:r>
              <w:rPr>
                <w:sz w:val="21"/>
              </w:rPr>
              <w:t>（1）明确诊断，符合所有以下诊断标准；</w:t>
            </w:r>
          </w:p>
          <w:p>
            <w:pPr>
              <w:pStyle w:val="TableParagraph"/>
              <w:spacing w:before="37"/>
              <w:ind w:left="529"/>
              <w:rPr>
                <w:sz w:val="21"/>
              </w:rPr>
            </w:pPr>
            <w:r>
              <w:rPr>
                <w:sz w:val="21"/>
              </w:rPr>
              <w:t>①血浆促肾上腺皮质激素（ACTH)水平测定大于 100pg/ml；</w:t>
            </w:r>
          </w:p>
          <w:p>
            <w:pPr>
              <w:pStyle w:val="TableParagraph"/>
              <w:spacing w:line="273" w:lineRule="auto" w:before="37"/>
              <w:ind w:left="740" w:right="93" w:hanging="212"/>
              <w:jc w:val="both"/>
              <w:rPr>
                <w:sz w:val="21"/>
              </w:rPr>
            </w:pPr>
            <w:r>
              <w:rPr>
                <w:spacing w:val="-3"/>
                <w:sz w:val="21"/>
              </w:rPr>
              <w:t>②血浆和尿游离皮质醇及尿 </w:t>
            </w:r>
            <w:r>
              <w:rPr>
                <w:sz w:val="21"/>
              </w:rPr>
              <w:t>17</w:t>
            </w:r>
            <w:r>
              <w:rPr>
                <w:spacing w:val="-2"/>
                <w:sz w:val="21"/>
              </w:rPr>
              <w:t> 羟皮质类固醇、</w:t>
            </w:r>
            <w:r>
              <w:rPr>
                <w:sz w:val="21"/>
              </w:rPr>
              <w:t>17</w:t>
            </w:r>
            <w:r>
              <w:rPr>
                <w:spacing w:val="-3"/>
                <w:sz w:val="21"/>
              </w:rPr>
              <w:t> 酮皮质类固醇测定、</w:t>
            </w:r>
            <w:r>
              <w:rPr>
                <w:spacing w:val="-6"/>
                <w:sz w:val="21"/>
              </w:rPr>
              <w:t>血浆肾素活性、血管紧张素 </w:t>
            </w:r>
            <w:r>
              <w:rPr>
                <w:sz w:val="21"/>
              </w:rPr>
              <w:t>II</w:t>
            </w:r>
            <w:r>
              <w:rPr>
                <w:spacing w:val="-5"/>
                <w:sz w:val="21"/>
              </w:rPr>
              <w:t> 和醛固酮测定，显示为原发性肾上腺皮</w:t>
            </w:r>
            <w:r>
              <w:rPr>
                <w:spacing w:val="-4"/>
                <w:sz w:val="21"/>
              </w:rPr>
              <w:t>质功能减退症；</w:t>
            </w:r>
          </w:p>
          <w:p>
            <w:pPr>
              <w:pStyle w:val="TableParagraph"/>
              <w:spacing w:line="273" w:lineRule="auto" w:before="7"/>
              <w:ind w:left="740" w:right="148" w:hanging="212"/>
              <w:jc w:val="both"/>
              <w:rPr>
                <w:sz w:val="21"/>
              </w:rPr>
            </w:pPr>
            <w:r>
              <w:rPr>
                <w:sz w:val="21"/>
              </w:rPr>
              <w:t>③促肾上腺皮质激素（ACTH)刺激试验显示为原发性肾上腺皮质功能减退症。</w:t>
            </w:r>
          </w:p>
          <w:p>
            <w:pPr>
              <w:pStyle w:val="TableParagraph"/>
              <w:spacing w:before="7"/>
              <w:ind w:left="109"/>
              <w:rPr>
                <w:sz w:val="21"/>
              </w:rPr>
            </w:pPr>
            <w:r>
              <w:rPr>
                <w:sz w:val="21"/>
              </w:rPr>
              <w:t>（2）已经采用皮质类固醇替代治疗 180 天以上。</w:t>
            </w:r>
          </w:p>
          <w:p>
            <w:pPr>
              <w:pStyle w:val="TableParagraph"/>
              <w:spacing w:line="273" w:lineRule="auto" w:before="37"/>
              <w:ind w:left="109" w:right="96"/>
              <w:rPr>
                <w:b/>
                <w:sz w:val="21"/>
              </w:rPr>
            </w:pPr>
            <w:r>
              <w:rPr>
                <w:b/>
                <w:spacing w:val="-5"/>
                <w:sz w:val="21"/>
              </w:rPr>
              <w:t>肾上腺结核、</w:t>
            </w:r>
            <w:r>
              <w:rPr>
                <w:b/>
                <w:sz w:val="21"/>
              </w:rPr>
              <w:t>HIV</w:t>
            </w:r>
            <w:r>
              <w:rPr>
                <w:b/>
                <w:spacing w:val="-7"/>
                <w:sz w:val="21"/>
              </w:rPr>
              <w:t> 感染或艾滋病、感染、肿瘤所致的原发性肾上腺皮质功能减退和继发性肾上腺皮质功能减退不在保障范围内。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626" w:hRule="atLeast"/>
        </w:trPr>
        <w:tc>
          <w:tcPr>
            <w:tcW w:w="850" w:type="dxa"/>
          </w:tcPr>
          <w:p>
            <w:pPr>
              <w:pStyle w:val="TableParagraph"/>
              <w:spacing w:line="259" w:lineRule="exact"/>
              <w:ind w:left="107"/>
              <w:rPr>
                <w:b/>
                <w:sz w:val="21"/>
              </w:rPr>
            </w:pPr>
            <w:r>
              <w:rPr>
                <w:b/>
                <w:sz w:val="21"/>
              </w:rPr>
              <w:t>四十八</w:t>
            </w:r>
          </w:p>
        </w:tc>
        <w:tc>
          <w:tcPr>
            <w:tcW w:w="1930" w:type="dxa"/>
          </w:tcPr>
          <w:p>
            <w:pPr>
              <w:pStyle w:val="TableParagraph"/>
              <w:spacing w:line="259" w:lineRule="exact"/>
              <w:ind w:left="107"/>
              <w:rPr>
                <w:b/>
                <w:sz w:val="21"/>
              </w:rPr>
            </w:pPr>
            <w:r>
              <w:rPr>
                <w:b/>
                <w:sz w:val="21"/>
              </w:rPr>
              <w:t>侵蚀性葡萄胎（或</w:t>
            </w:r>
          </w:p>
          <w:p>
            <w:pPr>
              <w:pStyle w:val="TableParagraph"/>
              <w:spacing w:before="37"/>
              <w:ind w:left="107"/>
              <w:rPr>
                <w:b/>
                <w:sz w:val="21"/>
              </w:rPr>
            </w:pPr>
            <w:r>
              <w:rPr>
                <w:b/>
                <w:sz w:val="21"/>
              </w:rPr>
              <w:t>称恶性葡萄胎）</w:t>
            </w:r>
          </w:p>
        </w:tc>
        <w:tc>
          <w:tcPr>
            <w:tcW w:w="7310" w:type="dxa"/>
            <w:gridSpan w:val="4"/>
          </w:tcPr>
          <w:p>
            <w:pPr>
              <w:pStyle w:val="TableParagraph"/>
              <w:spacing w:line="259" w:lineRule="exact"/>
              <w:ind w:left="109"/>
              <w:rPr>
                <w:sz w:val="21"/>
              </w:rPr>
            </w:pPr>
            <w:r>
              <w:rPr>
                <w:sz w:val="21"/>
              </w:rPr>
              <w:t>该类疾病是指异常增生的绒毛组织浸润性生长侵入子宫肌层或转移至其他器</w:t>
            </w:r>
          </w:p>
          <w:p>
            <w:pPr>
              <w:pStyle w:val="TableParagraph"/>
              <w:spacing w:before="37"/>
              <w:ind w:left="109"/>
              <w:rPr>
                <w:sz w:val="21"/>
              </w:rPr>
            </w:pPr>
            <w:r>
              <w:rPr>
                <w:sz w:val="21"/>
              </w:rPr>
              <w:t>官或组织的葡萄胎，并已经进行化疗或手术治疗的。</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四十九</w:t>
            </w:r>
          </w:p>
        </w:tc>
        <w:tc>
          <w:tcPr>
            <w:tcW w:w="1930" w:type="dxa"/>
          </w:tcPr>
          <w:p>
            <w:pPr>
              <w:pStyle w:val="TableParagraph"/>
              <w:spacing w:line="257" w:lineRule="exact"/>
              <w:ind w:left="107"/>
              <w:rPr>
                <w:b/>
                <w:sz w:val="21"/>
              </w:rPr>
            </w:pPr>
            <w:r>
              <w:rPr>
                <w:b/>
                <w:sz w:val="21"/>
              </w:rPr>
              <w:t>非阿尔茨海默病所</w:t>
            </w:r>
          </w:p>
          <w:p>
            <w:pPr>
              <w:pStyle w:val="TableParagraph"/>
              <w:spacing w:before="37"/>
              <w:ind w:left="107"/>
              <w:rPr>
                <w:b/>
                <w:sz w:val="21"/>
              </w:rPr>
            </w:pPr>
            <w:r>
              <w:rPr>
                <w:b/>
                <w:sz w:val="21"/>
              </w:rPr>
              <w:t>致严重痴呆</w:t>
            </w:r>
          </w:p>
        </w:tc>
        <w:tc>
          <w:tcPr>
            <w:tcW w:w="7310" w:type="dxa"/>
            <w:gridSpan w:val="4"/>
          </w:tcPr>
          <w:p>
            <w:pPr>
              <w:pStyle w:val="TableParagraph"/>
              <w:spacing w:line="257" w:lineRule="exact"/>
              <w:ind w:left="109"/>
              <w:rPr>
                <w:sz w:val="21"/>
              </w:rPr>
            </w:pPr>
            <w:r>
              <w:rPr>
                <w:sz w:val="21"/>
              </w:rPr>
              <w:t>指因阿尔茨海默病以外的脑的器质性疾病造成脑功能衰竭导致永久不可逆性</w:t>
            </w:r>
          </w:p>
          <w:p>
            <w:pPr>
              <w:pStyle w:val="TableParagraph"/>
              <w:spacing w:line="273" w:lineRule="auto" w:before="37"/>
              <w:ind w:left="109" w:right="-15"/>
              <w:rPr>
                <w:sz w:val="21"/>
              </w:rPr>
            </w:pPr>
            <w:r>
              <w:rPr>
                <w:spacing w:val="-7"/>
                <w:sz w:val="21"/>
              </w:rPr>
              <w:t>的严重痴呆，临床表现为明显的认知能力障碍、行为异常和社交能力减退。被</w:t>
            </w:r>
            <w:r>
              <w:rPr>
                <w:spacing w:val="-9"/>
                <w:sz w:val="21"/>
              </w:rPr>
              <w:t>保险人自主生活能力完全丧失，无法独立完成六项基本日常生活活动中的三项</w:t>
            </w:r>
            <w:r>
              <w:rPr>
                <w:spacing w:val="-14"/>
                <w:sz w:val="21"/>
              </w:rPr>
              <w:t>或三项以上，日常生活必须持续受到他人监护。导致痴呆的疾病必须明确诊断， </w:t>
            </w:r>
            <w:r>
              <w:rPr>
                <w:spacing w:val="-7"/>
                <w:sz w:val="21"/>
              </w:rPr>
              <w:t>并且有完整的临床、实验室和影像学检查结果证实。</w:t>
            </w:r>
          </w:p>
          <w:p>
            <w:pPr>
              <w:pStyle w:val="TableParagraph"/>
              <w:spacing w:before="7"/>
              <w:ind w:left="109"/>
              <w:rPr>
                <w:b/>
                <w:sz w:val="21"/>
              </w:rPr>
            </w:pPr>
            <w:r>
              <w:rPr>
                <w:b/>
                <w:sz w:val="21"/>
              </w:rPr>
              <w:t>神经官能症，精神疾病及酒精中毒所致脑损害不在保障范围内。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4679" w:hRule="atLeast"/>
        </w:trPr>
        <w:tc>
          <w:tcPr>
            <w:tcW w:w="850" w:type="dxa"/>
          </w:tcPr>
          <w:p>
            <w:pPr>
              <w:pStyle w:val="TableParagraph"/>
              <w:spacing w:line="257" w:lineRule="exact"/>
              <w:ind w:left="107"/>
              <w:rPr>
                <w:b/>
                <w:sz w:val="21"/>
              </w:rPr>
            </w:pPr>
            <w:r>
              <w:rPr>
                <w:b/>
                <w:sz w:val="21"/>
              </w:rPr>
              <w:t>五十</w:t>
            </w:r>
          </w:p>
        </w:tc>
        <w:tc>
          <w:tcPr>
            <w:tcW w:w="1930" w:type="dxa"/>
          </w:tcPr>
          <w:p>
            <w:pPr>
              <w:pStyle w:val="TableParagraph"/>
              <w:spacing w:line="257" w:lineRule="exact"/>
              <w:ind w:left="107"/>
              <w:rPr>
                <w:b/>
                <w:sz w:val="21"/>
              </w:rPr>
            </w:pPr>
            <w:r>
              <w:rPr>
                <w:b/>
                <w:sz w:val="21"/>
              </w:rPr>
              <w:t>严重类风湿性关节</w:t>
            </w:r>
          </w:p>
          <w:p>
            <w:pPr>
              <w:pStyle w:val="TableParagraph"/>
              <w:spacing w:before="37"/>
              <w:ind w:left="107"/>
              <w:rPr>
                <w:b/>
                <w:sz w:val="21"/>
              </w:rPr>
            </w:pPr>
            <w:r>
              <w:rPr>
                <w:b/>
                <w:w w:val="100"/>
                <w:sz w:val="21"/>
              </w:rPr>
              <w:t>炎</w:t>
            </w:r>
          </w:p>
        </w:tc>
        <w:tc>
          <w:tcPr>
            <w:tcW w:w="7310" w:type="dxa"/>
            <w:gridSpan w:val="4"/>
          </w:tcPr>
          <w:p>
            <w:pPr>
              <w:pStyle w:val="TableParagraph"/>
              <w:spacing w:line="257" w:lineRule="exact"/>
              <w:ind w:left="109"/>
              <w:rPr>
                <w:sz w:val="21"/>
              </w:rPr>
            </w:pPr>
            <w:r>
              <w:rPr>
                <w:sz w:val="21"/>
              </w:rPr>
              <w:t>指广泛分布的慢性进行性多关节病变，表现为关节严重变形，侵犯至少三个主</w:t>
            </w:r>
          </w:p>
          <w:p>
            <w:pPr>
              <w:pStyle w:val="TableParagraph"/>
              <w:spacing w:line="273" w:lineRule="auto" w:before="37"/>
              <w:ind w:left="109" w:right="96"/>
              <w:jc w:val="both"/>
              <w:rPr>
                <w:sz w:val="21"/>
              </w:rPr>
            </w:pPr>
            <w:r>
              <w:rPr>
                <w:spacing w:val="-4"/>
                <w:sz w:val="21"/>
              </w:rPr>
              <w:t>要关节</w:t>
            </w:r>
            <w:r>
              <w:rPr>
                <w:sz w:val="21"/>
              </w:rPr>
              <w:t>（</w:t>
            </w:r>
            <w:r>
              <w:rPr>
                <w:spacing w:val="-8"/>
                <w:sz w:val="21"/>
              </w:rPr>
              <w:t>腕关节、肘关节、肩关节、踝关节、膝关节、髋关节</w:t>
            </w:r>
            <w:r>
              <w:rPr>
                <w:spacing w:val="-10"/>
                <w:sz w:val="21"/>
              </w:rPr>
              <w:t>）</w:t>
            </w:r>
            <w:r>
              <w:rPr>
                <w:spacing w:val="-4"/>
                <w:sz w:val="21"/>
              </w:rPr>
              <w:t>或关节组</w:t>
            </w:r>
            <w:r>
              <w:rPr>
                <w:spacing w:val="-3"/>
                <w:sz w:val="21"/>
              </w:rPr>
              <w:t>（</w:t>
            </w:r>
            <w:r>
              <w:rPr>
                <w:sz w:val="21"/>
              </w:rPr>
              <w:t>如</w:t>
            </w:r>
            <w:r>
              <w:rPr>
                <w:spacing w:val="-3"/>
                <w:sz w:val="21"/>
              </w:rPr>
              <w:t>手的多个指间、掌指关节，足的多个足趾、跖趾关节等</w:t>
            </w:r>
            <w:r>
              <w:rPr>
                <w:spacing w:val="-108"/>
                <w:sz w:val="21"/>
              </w:rPr>
              <w:t>）</w:t>
            </w:r>
            <w:r>
              <w:rPr>
                <w:spacing w:val="-3"/>
                <w:sz w:val="21"/>
              </w:rPr>
              <w:t>。类风湿性关节炎须</w:t>
            </w:r>
            <w:r>
              <w:rPr>
                <w:spacing w:val="-6"/>
                <w:sz w:val="21"/>
              </w:rPr>
              <w:t>明确诊断，并已达到类风湿性关节炎功能活动分级</w:t>
            </w:r>
            <w:r>
              <w:rPr>
                <w:sz w:val="21"/>
              </w:rPr>
              <w:t>（注</w:t>
            </w:r>
            <w:r>
              <w:rPr>
                <w:spacing w:val="-7"/>
                <w:sz w:val="21"/>
              </w:rPr>
              <w:t>）IV</w:t>
            </w:r>
            <w:r>
              <w:rPr>
                <w:spacing w:val="0"/>
                <w:sz w:val="21"/>
              </w:rPr>
              <w:t> 级的永久不可逆</w:t>
            </w:r>
            <w:r>
              <w:rPr>
                <w:spacing w:val="-3"/>
                <w:sz w:val="21"/>
              </w:rPr>
              <w:t>性关节功能障碍，且须满足下列全部条件：</w:t>
            </w:r>
          </w:p>
          <w:p>
            <w:pPr>
              <w:pStyle w:val="TableParagraph"/>
              <w:spacing w:before="7"/>
              <w:ind w:left="109"/>
              <w:jc w:val="both"/>
              <w:rPr>
                <w:sz w:val="21"/>
              </w:rPr>
            </w:pPr>
            <w:r>
              <w:rPr>
                <w:sz w:val="21"/>
              </w:rPr>
              <w:t>（1）晨僵；</w:t>
            </w:r>
          </w:p>
          <w:p>
            <w:pPr>
              <w:pStyle w:val="TableParagraph"/>
              <w:spacing w:before="36"/>
              <w:ind w:left="109"/>
              <w:jc w:val="both"/>
              <w:rPr>
                <w:sz w:val="21"/>
              </w:rPr>
            </w:pPr>
            <w:r>
              <w:rPr>
                <w:sz w:val="21"/>
              </w:rPr>
              <w:t>（2）对称性关节炎；</w:t>
            </w:r>
          </w:p>
          <w:p>
            <w:pPr>
              <w:pStyle w:val="TableParagraph"/>
              <w:spacing w:before="36"/>
              <w:ind w:left="109"/>
              <w:jc w:val="both"/>
              <w:rPr>
                <w:sz w:val="21"/>
              </w:rPr>
            </w:pPr>
            <w:r>
              <w:rPr>
                <w:sz w:val="21"/>
              </w:rPr>
              <w:t>（3）类风湿性皮下结节；</w:t>
            </w:r>
          </w:p>
          <w:p>
            <w:pPr>
              <w:pStyle w:val="TableParagraph"/>
              <w:spacing w:before="36"/>
              <w:ind w:left="109"/>
              <w:jc w:val="both"/>
              <w:rPr>
                <w:sz w:val="21"/>
              </w:rPr>
            </w:pPr>
            <w:r>
              <w:rPr>
                <w:sz w:val="21"/>
              </w:rPr>
              <w:t>（4）类风湿因子滴度升高；</w:t>
            </w:r>
          </w:p>
          <w:p>
            <w:pPr>
              <w:pStyle w:val="TableParagraph"/>
              <w:spacing w:line="273" w:lineRule="auto" w:before="36"/>
              <w:ind w:left="109" w:right="1818"/>
              <w:rPr>
                <w:sz w:val="21"/>
              </w:rPr>
            </w:pPr>
            <w:r>
              <w:rPr>
                <w:sz w:val="21"/>
              </w:rPr>
              <w:t>（5）X 线显示严重的关节（软骨和骨）破坏和关节畸形。注：类风湿性关节炎功能活动分级：</w:t>
            </w:r>
          </w:p>
          <w:p>
            <w:pPr>
              <w:pStyle w:val="TableParagraph"/>
              <w:spacing w:before="7"/>
              <w:ind w:left="109"/>
              <w:jc w:val="both"/>
              <w:rPr>
                <w:sz w:val="21"/>
              </w:rPr>
            </w:pPr>
            <w:r>
              <w:rPr>
                <w:sz w:val="21"/>
              </w:rPr>
              <w:t>Ⅰ级：关节功能完整，一般活动无障碍。</w:t>
            </w:r>
          </w:p>
          <w:p>
            <w:pPr>
              <w:pStyle w:val="TableParagraph"/>
              <w:spacing w:before="37"/>
              <w:ind w:left="109"/>
              <w:jc w:val="both"/>
              <w:rPr>
                <w:sz w:val="21"/>
              </w:rPr>
            </w:pPr>
            <w:r>
              <w:rPr>
                <w:sz w:val="21"/>
              </w:rPr>
              <w:t>Ⅱ级：有关节不适或障碍，但尚能完成一半活动。</w:t>
            </w:r>
          </w:p>
          <w:p>
            <w:pPr>
              <w:pStyle w:val="TableParagraph"/>
              <w:spacing w:before="37"/>
              <w:ind w:left="109"/>
              <w:jc w:val="both"/>
              <w:rPr>
                <w:sz w:val="21"/>
              </w:rPr>
            </w:pPr>
            <w:r>
              <w:rPr>
                <w:sz w:val="21"/>
              </w:rPr>
              <w:t>Ⅲ级：功能活动明显受限，但大部分生活可自理。</w:t>
            </w:r>
          </w:p>
          <w:p>
            <w:pPr>
              <w:pStyle w:val="TableParagraph"/>
              <w:spacing w:before="37"/>
              <w:ind w:left="109"/>
              <w:jc w:val="both"/>
              <w:rPr>
                <w:sz w:val="21"/>
              </w:rPr>
            </w:pPr>
            <w:r>
              <w:rPr>
                <w:sz w:val="21"/>
              </w:rPr>
              <w:t>Ⅳ级：生活不能自理或卧床。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五十一</w:t>
            </w:r>
          </w:p>
        </w:tc>
        <w:tc>
          <w:tcPr>
            <w:tcW w:w="1930" w:type="dxa"/>
          </w:tcPr>
          <w:p>
            <w:pPr>
              <w:pStyle w:val="TableParagraph"/>
              <w:spacing w:line="257" w:lineRule="exact"/>
              <w:ind w:left="107"/>
              <w:rPr>
                <w:b/>
                <w:sz w:val="21"/>
              </w:rPr>
            </w:pPr>
            <w:r>
              <w:rPr>
                <w:b/>
                <w:sz w:val="21"/>
              </w:rPr>
              <w:t>胰腺移植</w:t>
            </w:r>
          </w:p>
        </w:tc>
        <w:tc>
          <w:tcPr>
            <w:tcW w:w="7310" w:type="dxa"/>
            <w:gridSpan w:val="4"/>
          </w:tcPr>
          <w:p>
            <w:pPr>
              <w:pStyle w:val="TableParagraph"/>
              <w:spacing w:line="257" w:lineRule="exact"/>
              <w:ind w:left="109"/>
              <w:rPr>
                <w:sz w:val="21"/>
              </w:rPr>
            </w:pPr>
            <w:r>
              <w:rPr>
                <w:sz w:val="21"/>
              </w:rPr>
              <w:t>指因胰腺功能衰竭，已经实施了在全身麻醉下进行的胰腺的异体器官移植手</w:t>
            </w:r>
          </w:p>
          <w:p>
            <w:pPr>
              <w:pStyle w:val="TableParagraph"/>
              <w:spacing w:before="37"/>
              <w:ind w:left="109"/>
              <w:rPr>
                <w:sz w:val="21"/>
              </w:rPr>
            </w:pPr>
            <w:r>
              <w:rPr>
                <w:sz w:val="21"/>
              </w:rPr>
              <w:t>术。</w:t>
            </w:r>
          </w:p>
          <w:p>
            <w:pPr>
              <w:pStyle w:val="TableParagraph"/>
              <w:spacing w:before="37"/>
              <w:ind w:left="109"/>
              <w:rPr>
                <w:b/>
                <w:sz w:val="21"/>
              </w:rPr>
            </w:pPr>
            <w:r>
              <w:rPr>
                <w:b/>
                <w:sz w:val="21"/>
              </w:rPr>
              <w:t>单纯胰岛移植、部分胰腺组织或细胞的移植不在保障范围内。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10" w:type="dxa"/>
            <w:gridSpan w:val="4"/>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937" w:hRule="atLeast"/>
        </w:trPr>
        <w:tc>
          <w:tcPr>
            <w:tcW w:w="850" w:type="dxa"/>
          </w:tcPr>
          <w:p>
            <w:pPr>
              <w:pStyle w:val="TableParagraph"/>
              <w:spacing w:line="259" w:lineRule="exact"/>
              <w:ind w:left="107"/>
              <w:rPr>
                <w:b/>
                <w:sz w:val="21"/>
              </w:rPr>
            </w:pPr>
            <w:r>
              <w:rPr>
                <w:b/>
                <w:sz w:val="21"/>
              </w:rPr>
              <w:t>五十二</w:t>
            </w:r>
          </w:p>
        </w:tc>
        <w:tc>
          <w:tcPr>
            <w:tcW w:w="1930" w:type="dxa"/>
          </w:tcPr>
          <w:p>
            <w:pPr>
              <w:pStyle w:val="TableParagraph"/>
              <w:spacing w:line="259" w:lineRule="exact"/>
              <w:ind w:left="107"/>
              <w:rPr>
                <w:b/>
                <w:sz w:val="21"/>
              </w:rPr>
            </w:pPr>
            <w:r>
              <w:rPr>
                <w:b/>
                <w:sz w:val="21"/>
              </w:rPr>
              <w:t>埃博拉病毒感染</w:t>
            </w:r>
          </w:p>
        </w:tc>
        <w:tc>
          <w:tcPr>
            <w:tcW w:w="7308" w:type="dxa"/>
          </w:tcPr>
          <w:p>
            <w:pPr>
              <w:pStyle w:val="TableParagraph"/>
              <w:spacing w:line="259" w:lineRule="exact"/>
              <w:ind w:left="109"/>
              <w:rPr>
                <w:sz w:val="21"/>
              </w:rPr>
            </w:pPr>
            <w:r>
              <w:rPr>
                <w:sz w:val="21"/>
              </w:rPr>
              <w:t>指埃博拉病毒感染导致的烈性传染病，并须满足下列全部条件：</w:t>
            </w:r>
          </w:p>
          <w:p>
            <w:pPr>
              <w:pStyle w:val="TableParagraph"/>
              <w:spacing w:before="37"/>
              <w:ind w:left="109"/>
              <w:rPr>
                <w:sz w:val="21"/>
              </w:rPr>
            </w:pPr>
            <w:r>
              <w:rPr>
                <w:sz w:val="21"/>
              </w:rPr>
              <w:t>（1）实验室检查证实埃博拉病毒的存在；</w:t>
            </w:r>
          </w:p>
          <w:p>
            <w:pPr>
              <w:pStyle w:val="TableParagraph"/>
              <w:spacing w:before="37"/>
              <w:ind w:left="109"/>
              <w:rPr>
                <w:sz w:val="21"/>
              </w:rPr>
            </w:pPr>
            <w:r>
              <w:rPr>
                <w:sz w:val="21"/>
              </w:rPr>
              <w:t>（2）从发病开始有超过 30 天的进行性感染症状。</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五十三</w:t>
            </w:r>
          </w:p>
        </w:tc>
        <w:tc>
          <w:tcPr>
            <w:tcW w:w="1930" w:type="dxa"/>
          </w:tcPr>
          <w:p>
            <w:pPr>
              <w:pStyle w:val="TableParagraph"/>
              <w:spacing w:line="257" w:lineRule="exact"/>
              <w:ind w:left="107"/>
              <w:rPr>
                <w:b/>
                <w:sz w:val="21"/>
              </w:rPr>
            </w:pPr>
            <w:r>
              <w:rPr>
                <w:b/>
                <w:sz w:val="21"/>
              </w:rPr>
              <w:t>破裂脑动脉瘤夹闭</w:t>
            </w:r>
          </w:p>
          <w:p>
            <w:pPr>
              <w:pStyle w:val="TableParagraph"/>
              <w:spacing w:before="37"/>
              <w:ind w:left="107"/>
              <w:rPr>
                <w:b/>
                <w:sz w:val="21"/>
              </w:rPr>
            </w:pPr>
            <w:r>
              <w:rPr>
                <w:b/>
                <w:sz w:val="21"/>
              </w:rPr>
              <w:t>手术</w:t>
            </w:r>
          </w:p>
        </w:tc>
        <w:tc>
          <w:tcPr>
            <w:tcW w:w="7308" w:type="dxa"/>
          </w:tcPr>
          <w:p>
            <w:pPr>
              <w:pStyle w:val="TableParagraph"/>
              <w:spacing w:line="257" w:lineRule="exact"/>
              <w:ind w:left="109"/>
              <w:rPr>
                <w:sz w:val="21"/>
              </w:rPr>
            </w:pPr>
            <w:r>
              <w:rPr>
                <w:sz w:val="21"/>
              </w:rPr>
              <w:t>指因脑动脉瘤破裂造成蛛网膜下腔出血，被保险人实际接受了在全麻下进行的</w:t>
            </w:r>
          </w:p>
          <w:p>
            <w:pPr>
              <w:pStyle w:val="TableParagraph"/>
              <w:spacing w:before="37"/>
              <w:ind w:left="109"/>
              <w:rPr>
                <w:sz w:val="21"/>
              </w:rPr>
            </w:pPr>
            <w:r>
              <w:rPr>
                <w:sz w:val="21"/>
              </w:rPr>
              <w:t>开颅动脉瘤夹闭手术。</w:t>
            </w:r>
          </w:p>
          <w:p>
            <w:pPr>
              <w:pStyle w:val="TableParagraph"/>
              <w:spacing w:line="273" w:lineRule="auto" w:before="37"/>
              <w:ind w:left="109" w:right="91"/>
              <w:rPr>
                <w:b/>
                <w:sz w:val="21"/>
              </w:rPr>
            </w:pPr>
            <w:r>
              <w:rPr>
                <w:b/>
                <w:spacing w:val="-4"/>
                <w:sz w:val="21"/>
              </w:rPr>
              <w:t>脑动脉瘤</w:t>
            </w:r>
            <w:r>
              <w:rPr>
                <w:b/>
                <w:sz w:val="21"/>
              </w:rPr>
              <w:t>（</w:t>
            </w:r>
            <w:r>
              <w:rPr>
                <w:b/>
                <w:spacing w:val="-2"/>
                <w:sz w:val="21"/>
              </w:rPr>
              <w:t>未破裂</w:t>
            </w:r>
            <w:r>
              <w:rPr>
                <w:b/>
                <w:spacing w:val="-15"/>
                <w:sz w:val="21"/>
              </w:rPr>
              <w:t>）</w:t>
            </w:r>
            <w:r>
              <w:rPr>
                <w:b/>
                <w:spacing w:val="-7"/>
                <w:sz w:val="21"/>
              </w:rPr>
              <w:t>预防性手术、颅骨打孔手术、动脉瘤栓塞手术、血管内手</w:t>
            </w:r>
            <w:r>
              <w:rPr>
                <w:b/>
                <w:spacing w:val="-3"/>
                <w:sz w:val="21"/>
              </w:rPr>
              <w:t>术及其他颅脑手术不在保障范围内。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五十四</w:t>
            </w:r>
          </w:p>
        </w:tc>
        <w:tc>
          <w:tcPr>
            <w:tcW w:w="1930" w:type="dxa"/>
          </w:tcPr>
          <w:p>
            <w:pPr>
              <w:pStyle w:val="TableParagraph"/>
              <w:spacing w:line="257" w:lineRule="exact"/>
              <w:ind w:left="107"/>
              <w:rPr>
                <w:b/>
                <w:sz w:val="21"/>
              </w:rPr>
            </w:pPr>
            <w:r>
              <w:rPr>
                <w:b/>
                <w:sz w:val="21"/>
              </w:rPr>
              <w:t>丝虫病所致象皮肿</w:t>
            </w:r>
          </w:p>
        </w:tc>
        <w:tc>
          <w:tcPr>
            <w:tcW w:w="7308" w:type="dxa"/>
          </w:tcPr>
          <w:p>
            <w:pPr>
              <w:pStyle w:val="TableParagraph"/>
              <w:spacing w:line="257" w:lineRule="exact"/>
              <w:ind w:left="109"/>
              <w:rPr>
                <w:sz w:val="21"/>
              </w:rPr>
            </w:pPr>
            <w:r>
              <w:rPr>
                <w:sz w:val="21"/>
              </w:rPr>
              <w:t>指末期丝虫病，按国际淋巴学会分级为三度淋巴液肿，其临床表现为肢体非凹</w:t>
            </w:r>
          </w:p>
          <w:p>
            <w:pPr>
              <w:pStyle w:val="TableParagraph"/>
              <w:spacing w:line="273" w:lineRule="auto" w:before="37"/>
              <w:ind w:left="109" w:right="93"/>
              <w:rPr>
                <w:sz w:val="21"/>
              </w:rPr>
            </w:pPr>
            <w:r>
              <w:rPr>
                <w:spacing w:val="-8"/>
                <w:sz w:val="21"/>
              </w:rPr>
              <w:t>陷性水肿伴畸形增大、硬皮症和疣状增生。此病症须经专科医生根据临床表现</w:t>
            </w:r>
            <w:r>
              <w:rPr>
                <w:spacing w:val="-5"/>
                <w:sz w:val="21"/>
              </w:rPr>
              <w:t>和微丝蚴的化验结果确诊。</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五十五</w:t>
            </w:r>
          </w:p>
        </w:tc>
        <w:tc>
          <w:tcPr>
            <w:tcW w:w="1930" w:type="dxa"/>
          </w:tcPr>
          <w:p>
            <w:pPr>
              <w:pStyle w:val="TableParagraph"/>
              <w:spacing w:line="257" w:lineRule="exact"/>
              <w:ind w:left="107"/>
              <w:rPr>
                <w:b/>
                <w:sz w:val="21"/>
              </w:rPr>
            </w:pPr>
            <w:r>
              <w:rPr>
                <w:b/>
                <w:sz w:val="21"/>
              </w:rPr>
              <w:t>嗜铬细胞瘤</w:t>
            </w:r>
          </w:p>
        </w:tc>
        <w:tc>
          <w:tcPr>
            <w:tcW w:w="7308" w:type="dxa"/>
          </w:tcPr>
          <w:p>
            <w:pPr>
              <w:pStyle w:val="TableParagraph"/>
              <w:spacing w:line="272" w:lineRule="exact"/>
              <w:ind w:left="109"/>
              <w:rPr>
                <w:sz w:val="21"/>
              </w:rPr>
            </w:pPr>
            <w:r>
              <w:rPr>
                <w:sz w:val="21"/>
              </w:rPr>
              <w:t>是指肾上腺或嗜铬外组织出现神经内分泌肿瘤，并分</w:t>
            </w:r>
            <w:r>
              <w:rPr>
                <w:rFonts w:ascii="Times New Roman" w:eastAsia="Times New Roman"/>
                <w:w w:val="110"/>
                <w:sz w:val="21"/>
              </w:rPr>
              <w:t>泌</w:t>
            </w:r>
            <w:r>
              <w:rPr>
                <w:sz w:val="21"/>
              </w:rPr>
              <w:t>过多的儿茶酚胺类，需</w:t>
            </w:r>
          </w:p>
          <w:p>
            <w:pPr>
              <w:pStyle w:val="TableParagraph"/>
              <w:spacing w:before="21"/>
              <w:ind w:left="109"/>
              <w:rPr>
                <w:sz w:val="21"/>
              </w:rPr>
            </w:pPr>
            <w:r>
              <w:rPr>
                <w:sz w:val="21"/>
              </w:rPr>
              <w:t>要确实进</w:t>
            </w:r>
            <w:r>
              <w:rPr>
                <w:rFonts w:ascii="Times New Roman" w:eastAsia="Times New Roman"/>
                <w:w w:val="110"/>
                <w:sz w:val="21"/>
              </w:rPr>
              <w:t>行</w:t>
            </w:r>
            <w:r>
              <w:rPr>
                <w:sz w:val="21"/>
              </w:rPr>
              <w:t>手术以切除肿瘤。嗜铬细胞瘤的诊断必须由内分泌专科医生确定。</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810" w:hRule="atLeast"/>
        </w:trPr>
        <w:tc>
          <w:tcPr>
            <w:tcW w:w="850" w:type="dxa"/>
          </w:tcPr>
          <w:p>
            <w:pPr>
              <w:pStyle w:val="TableParagraph"/>
              <w:spacing w:line="259" w:lineRule="exact"/>
              <w:ind w:left="107"/>
              <w:rPr>
                <w:b/>
                <w:sz w:val="21"/>
              </w:rPr>
            </w:pPr>
            <w:r>
              <w:rPr>
                <w:b/>
                <w:sz w:val="21"/>
              </w:rPr>
              <w:t>五十六</w:t>
            </w:r>
          </w:p>
        </w:tc>
        <w:tc>
          <w:tcPr>
            <w:tcW w:w="1930" w:type="dxa"/>
          </w:tcPr>
          <w:p>
            <w:pPr>
              <w:pStyle w:val="TableParagraph"/>
              <w:spacing w:line="259" w:lineRule="exact"/>
              <w:ind w:left="107"/>
              <w:rPr>
                <w:b/>
                <w:sz w:val="21"/>
              </w:rPr>
            </w:pPr>
            <w:r>
              <w:rPr>
                <w:b/>
                <w:sz w:val="21"/>
              </w:rPr>
              <w:t>系统性硬化病（硬</w:t>
            </w:r>
          </w:p>
          <w:p>
            <w:pPr>
              <w:pStyle w:val="TableParagraph"/>
              <w:spacing w:before="37"/>
              <w:ind w:left="107"/>
              <w:rPr>
                <w:b/>
                <w:sz w:val="21"/>
              </w:rPr>
            </w:pPr>
            <w:r>
              <w:rPr>
                <w:b/>
                <w:sz w:val="21"/>
              </w:rPr>
              <w:t>皮病）</w:t>
            </w:r>
          </w:p>
        </w:tc>
        <w:tc>
          <w:tcPr>
            <w:tcW w:w="7308" w:type="dxa"/>
          </w:tcPr>
          <w:p>
            <w:pPr>
              <w:pStyle w:val="TableParagraph"/>
              <w:spacing w:line="259" w:lineRule="exact"/>
              <w:ind w:left="109"/>
              <w:rPr>
                <w:sz w:val="21"/>
              </w:rPr>
            </w:pPr>
            <w:r>
              <w:rPr>
                <w:sz w:val="21"/>
              </w:rPr>
              <w:t>指一种以局限性或弥漫性皮肤增厚和皮肤\血管\内脏器官异常纤维化为特征</w:t>
            </w:r>
          </w:p>
          <w:p>
            <w:pPr>
              <w:pStyle w:val="TableParagraph"/>
              <w:spacing w:line="273" w:lineRule="auto" w:before="37"/>
              <w:ind w:left="109" w:right="256"/>
              <w:rPr>
                <w:sz w:val="21"/>
              </w:rPr>
            </w:pPr>
            <w:r>
              <w:rPr>
                <w:sz w:val="21"/>
              </w:rPr>
              <w:t>的结缔组织病.本病须经专科医师明确诊断,并须满足下列至少一项为条件： 肺脏：肺部病变进而发展为肺间质纤维化和肺动脉高压；</w:t>
            </w:r>
          </w:p>
          <w:p>
            <w:pPr>
              <w:pStyle w:val="TableParagraph"/>
              <w:spacing w:line="273" w:lineRule="auto" w:before="7"/>
              <w:ind w:left="109" w:right="1196"/>
              <w:rPr>
                <w:sz w:val="21"/>
              </w:rPr>
            </w:pPr>
            <w:r>
              <w:rPr>
                <w:spacing w:val="-5"/>
                <w:sz w:val="21"/>
              </w:rPr>
              <w:t>心脏：心功能受酸达到美国纽约心脏学会心功能状态分级 </w:t>
            </w:r>
            <w:r>
              <w:rPr>
                <w:sz w:val="21"/>
              </w:rPr>
              <w:t>IV</w:t>
            </w:r>
            <w:r>
              <w:rPr>
                <w:spacing w:val="-14"/>
                <w:sz w:val="21"/>
              </w:rPr>
              <w:t> 级； </w:t>
            </w:r>
            <w:r>
              <w:rPr>
                <w:spacing w:val="-7"/>
                <w:sz w:val="21"/>
              </w:rPr>
              <w:t>肾脏：肾脏受酸导致双肾功能慢性不可逆衰竭,达到尿毒症期。 </w:t>
            </w:r>
            <w:r>
              <w:rPr>
                <w:spacing w:val="-5"/>
                <w:sz w:val="21"/>
              </w:rPr>
              <w:t>下列疾病不在本险种保障范围内：</w:t>
            </w:r>
          </w:p>
          <w:p>
            <w:pPr>
              <w:pStyle w:val="TableParagraph"/>
              <w:spacing w:before="7"/>
              <w:ind w:left="109"/>
              <w:rPr>
                <w:sz w:val="21"/>
              </w:rPr>
            </w:pPr>
            <w:r>
              <w:rPr>
                <w:sz w:val="21"/>
              </w:rPr>
              <w:t>（1）局部性硬皮病（如:带状硬皮病\硬斑病)；</w:t>
            </w:r>
          </w:p>
          <w:p>
            <w:pPr>
              <w:pStyle w:val="TableParagraph"/>
              <w:spacing w:before="37"/>
              <w:ind w:left="109"/>
              <w:rPr>
                <w:sz w:val="21"/>
              </w:rPr>
            </w:pPr>
            <w:r>
              <w:rPr>
                <w:sz w:val="21"/>
              </w:rPr>
              <w:t>（2）嗜酸性粒细胞性筋膜炎；</w:t>
            </w:r>
          </w:p>
          <w:p>
            <w:pPr>
              <w:pStyle w:val="TableParagraph"/>
              <w:spacing w:before="37"/>
              <w:ind w:left="109"/>
              <w:rPr>
                <w:sz w:val="21"/>
              </w:rPr>
            </w:pPr>
            <w:r>
              <w:rPr>
                <w:sz w:val="21"/>
              </w:rPr>
              <w:t>（3）CREST 综合征。</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五十七</w:t>
            </w:r>
          </w:p>
        </w:tc>
        <w:tc>
          <w:tcPr>
            <w:tcW w:w="1930" w:type="dxa"/>
          </w:tcPr>
          <w:p>
            <w:pPr>
              <w:pStyle w:val="TableParagraph"/>
              <w:spacing w:line="257" w:lineRule="exact"/>
              <w:ind w:left="107"/>
              <w:rPr>
                <w:b/>
                <w:sz w:val="21"/>
              </w:rPr>
            </w:pPr>
            <w:r>
              <w:rPr>
                <w:b/>
                <w:sz w:val="21"/>
              </w:rPr>
              <w:t>疯牛病</w:t>
            </w:r>
          </w:p>
        </w:tc>
        <w:tc>
          <w:tcPr>
            <w:tcW w:w="7308" w:type="dxa"/>
          </w:tcPr>
          <w:p>
            <w:pPr>
              <w:pStyle w:val="TableParagraph"/>
              <w:spacing w:line="257" w:lineRule="exact"/>
              <w:ind w:left="109"/>
              <w:rPr>
                <w:sz w:val="21"/>
              </w:rPr>
            </w:pPr>
            <w:r>
              <w:rPr>
                <w:sz w:val="21"/>
              </w:rPr>
              <w:t>神经系统疾病及致命的成胶质状脑病，并有以下症状：</w:t>
            </w:r>
          </w:p>
          <w:p>
            <w:pPr>
              <w:pStyle w:val="TableParagraph"/>
              <w:spacing w:before="37"/>
              <w:ind w:left="109"/>
              <w:rPr>
                <w:sz w:val="21"/>
              </w:rPr>
            </w:pPr>
            <w:r>
              <w:rPr>
                <w:sz w:val="21"/>
              </w:rPr>
              <w:t>（1）不能控制的肌肉痉挛及震颤；</w:t>
            </w:r>
          </w:p>
          <w:p>
            <w:pPr>
              <w:pStyle w:val="TableParagraph"/>
              <w:spacing w:before="37"/>
              <w:ind w:left="109"/>
              <w:rPr>
                <w:sz w:val="21"/>
              </w:rPr>
            </w:pPr>
            <w:r>
              <w:rPr>
                <w:sz w:val="21"/>
              </w:rPr>
              <w:t>（2）逐渐痴呆；</w:t>
            </w:r>
          </w:p>
          <w:p>
            <w:pPr>
              <w:pStyle w:val="TableParagraph"/>
              <w:spacing w:before="37"/>
              <w:ind w:left="109"/>
              <w:rPr>
                <w:sz w:val="21"/>
              </w:rPr>
            </w:pPr>
            <w:r>
              <w:rPr>
                <w:sz w:val="21"/>
              </w:rPr>
              <w:t>（3）小脑功能不良，共济失调；</w:t>
            </w:r>
          </w:p>
          <w:p>
            <w:pPr>
              <w:pStyle w:val="TableParagraph"/>
              <w:spacing w:before="37"/>
              <w:ind w:left="109"/>
              <w:rPr>
                <w:sz w:val="21"/>
              </w:rPr>
            </w:pPr>
            <w:r>
              <w:rPr>
                <w:sz w:val="21"/>
              </w:rPr>
              <w:t>（4）手足徐动症；</w:t>
            </w:r>
          </w:p>
          <w:p>
            <w:pPr>
              <w:pStyle w:val="TableParagraph"/>
              <w:spacing w:line="273" w:lineRule="auto" w:before="37"/>
              <w:ind w:left="109" w:right="91"/>
              <w:rPr>
                <w:sz w:val="21"/>
              </w:rPr>
            </w:pPr>
            <w:r>
              <w:rPr>
                <w:spacing w:val="-6"/>
                <w:sz w:val="21"/>
              </w:rPr>
              <w:t>诊断必须由神经科专科医生基于以下检查报告作出：脑电图、脑脊液报告、电</w:t>
            </w:r>
            <w:r>
              <w:rPr>
                <w:spacing w:val="-4"/>
                <w:w w:val="100"/>
                <w:sz w:val="21"/>
              </w:rPr>
              <w:t>脑断层扫描</w:t>
            </w:r>
            <w:r>
              <w:rPr>
                <w:w w:val="100"/>
                <w:sz w:val="21"/>
              </w:rPr>
              <w:t>（C</w:t>
            </w:r>
            <w:r>
              <w:rPr>
                <w:spacing w:val="-3"/>
                <w:w w:val="100"/>
                <w:sz w:val="21"/>
              </w:rPr>
              <w:t>T</w:t>
            </w:r>
            <w:r>
              <w:rPr>
                <w:w w:val="100"/>
                <w:sz w:val="21"/>
              </w:rPr>
              <w:t>）</w:t>
            </w:r>
            <w:r>
              <w:rPr>
                <w:spacing w:val="-3"/>
                <w:w w:val="100"/>
                <w:sz w:val="21"/>
              </w:rPr>
              <w:t>及核磁共振（</w:t>
            </w:r>
            <w:r>
              <w:rPr>
                <w:w w:val="100"/>
                <w:sz w:val="21"/>
              </w:rPr>
              <w:t>MRI</w:t>
            </w:r>
            <w:r>
              <w:rPr>
                <w:spacing w:val="-108"/>
                <w:w w:val="100"/>
                <w:sz w:val="21"/>
              </w:rPr>
              <w:t>）</w:t>
            </w:r>
            <w:r>
              <w:rPr>
                <w:w w:val="100"/>
                <w:sz w:val="21"/>
              </w:rPr>
              <w:t>。</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五十八</w:t>
            </w:r>
          </w:p>
        </w:tc>
        <w:tc>
          <w:tcPr>
            <w:tcW w:w="1930" w:type="dxa"/>
          </w:tcPr>
          <w:p>
            <w:pPr>
              <w:pStyle w:val="TableParagraph"/>
              <w:spacing w:line="257" w:lineRule="exact"/>
              <w:ind w:left="107"/>
              <w:rPr>
                <w:b/>
                <w:sz w:val="21"/>
              </w:rPr>
            </w:pPr>
            <w:r>
              <w:rPr>
                <w:b/>
                <w:sz w:val="21"/>
              </w:rPr>
              <w:t>慢性复发性胰腺炎</w:t>
            </w:r>
          </w:p>
        </w:tc>
        <w:tc>
          <w:tcPr>
            <w:tcW w:w="7308" w:type="dxa"/>
          </w:tcPr>
          <w:p>
            <w:pPr>
              <w:pStyle w:val="TableParagraph"/>
              <w:spacing w:line="257" w:lineRule="exact"/>
              <w:ind w:left="109"/>
              <w:rPr>
                <w:sz w:val="21"/>
              </w:rPr>
            </w:pPr>
            <w:r>
              <w:rPr>
                <w:sz w:val="21"/>
              </w:rPr>
              <w:t>胰腺炎反复发作超过三次以上并导致胰腺功能紊乱和营养不良，需要接受酶替</w:t>
            </w:r>
          </w:p>
          <w:p>
            <w:pPr>
              <w:pStyle w:val="TableParagraph"/>
              <w:spacing w:line="273" w:lineRule="auto" w:before="37"/>
              <w:ind w:left="109" w:right="249"/>
              <w:rPr>
                <w:sz w:val="21"/>
              </w:rPr>
            </w:pPr>
            <w:r>
              <w:rPr>
                <w:sz w:val="21"/>
              </w:rPr>
              <w:t>代治疗。诊断必须有消化科专科医生确认并且有内窥镜逆行胰胆管造影所证实。</w:t>
            </w:r>
          </w:p>
          <w:p>
            <w:pPr>
              <w:pStyle w:val="TableParagraph"/>
              <w:spacing w:before="7"/>
              <w:ind w:left="109"/>
              <w:rPr>
                <w:b/>
                <w:sz w:val="21"/>
              </w:rPr>
            </w:pPr>
            <w:r>
              <w:rPr>
                <w:b/>
                <w:sz w:val="21"/>
              </w:rPr>
              <w:t>因酒精所致的慢性复发性胰腺炎除外。</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五十九</w:t>
            </w:r>
          </w:p>
        </w:tc>
        <w:tc>
          <w:tcPr>
            <w:tcW w:w="1930" w:type="dxa"/>
          </w:tcPr>
          <w:p>
            <w:pPr>
              <w:pStyle w:val="TableParagraph"/>
              <w:spacing w:line="257" w:lineRule="exact"/>
              <w:ind w:left="107"/>
              <w:rPr>
                <w:b/>
                <w:sz w:val="21"/>
              </w:rPr>
            </w:pPr>
            <w:r>
              <w:rPr>
                <w:b/>
                <w:sz w:val="21"/>
              </w:rPr>
              <w:t>斯蒂尔病</w:t>
            </w:r>
          </w:p>
        </w:tc>
        <w:tc>
          <w:tcPr>
            <w:tcW w:w="7308" w:type="dxa"/>
          </w:tcPr>
          <w:p>
            <w:pPr>
              <w:pStyle w:val="TableParagraph"/>
              <w:spacing w:line="257" w:lineRule="exact"/>
              <w:ind w:left="109"/>
              <w:rPr>
                <w:sz w:val="21"/>
              </w:rPr>
            </w:pPr>
            <w:r>
              <w:rPr>
                <w:sz w:val="21"/>
              </w:rPr>
              <w:t>斯蒂尔病须满足下列全部条件：</w:t>
            </w:r>
          </w:p>
          <w:p>
            <w:pPr>
              <w:pStyle w:val="TableParagraph"/>
              <w:spacing w:before="37"/>
              <w:ind w:left="109"/>
              <w:rPr>
                <w:sz w:val="21"/>
              </w:rPr>
            </w:pPr>
            <w:r>
              <w:rPr>
                <w:sz w:val="21"/>
              </w:rPr>
              <w:t>（1) 因该病引致广泛性关节破坏，以致需要进</w:t>
            </w:r>
            <w:r>
              <w:rPr>
                <w:rFonts w:ascii="Times New Roman" w:eastAsia="Times New Roman"/>
                <w:sz w:val="21"/>
              </w:rPr>
              <w:t>行</w:t>
            </w:r>
            <w:r>
              <w:rPr>
                <w:sz w:val="21"/>
              </w:rPr>
              <w:t>髋及膝关节置换；</w:t>
            </w:r>
          </w:p>
          <w:p>
            <w:pPr>
              <w:pStyle w:val="TableParagraph"/>
              <w:spacing w:before="21"/>
              <w:ind w:left="109"/>
              <w:rPr>
                <w:sz w:val="21"/>
              </w:rPr>
            </w:pPr>
            <w:r>
              <w:rPr>
                <w:sz w:val="21"/>
              </w:rPr>
              <w:t>（2) 由风湿病专科医生确定诊断。</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7" w:hRule="atLeast"/>
        </w:trPr>
        <w:tc>
          <w:tcPr>
            <w:tcW w:w="850" w:type="dxa"/>
          </w:tcPr>
          <w:p>
            <w:pPr>
              <w:pStyle w:val="TableParagraph"/>
              <w:spacing w:line="259" w:lineRule="exact"/>
              <w:ind w:left="107"/>
              <w:rPr>
                <w:b/>
                <w:sz w:val="21"/>
              </w:rPr>
            </w:pPr>
            <w:r>
              <w:rPr>
                <w:b/>
                <w:sz w:val="21"/>
              </w:rPr>
              <w:t>六十</w:t>
            </w:r>
          </w:p>
        </w:tc>
        <w:tc>
          <w:tcPr>
            <w:tcW w:w="1930" w:type="dxa"/>
          </w:tcPr>
          <w:p>
            <w:pPr>
              <w:pStyle w:val="TableParagraph"/>
              <w:spacing w:line="259" w:lineRule="exact"/>
              <w:ind w:left="107"/>
              <w:rPr>
                <w:b/>
                <w:sz w:val="21"/>
              </w:rPr>
            </w:pPr>
            <w:r>
              <w:rPr>
                <w:b/>
                <w:sz w:val="21"/>
              </w:rPr>
              <w:t>溶血性链球菌引起</w:t>
            </w:r>
          </w:p>
          <w:p>
            <w:pPr>
              <w:pStyle w:val="TableParagraph"/>
              <w:spacing w:before="37"/>
              <w:ind w:left="107"/>
              <w:rPr>
                <w:b/>
                <w:sz w:val="21"/>
              </w:rPr>
            </w:pPr>
            <w:r>
              <w:rPr>
                <w:b/>
                <w:sz w:val="21"/>
              </w:rPr>
              <w:t>的坏疽</w:t>
            </w:r>
          </w:p>
        </w:tc>
        <w:tc>
          <w:tcPr>
            <w:tcW w:w="7308" w:type="dxa"/>
          </w:tcPr>
          <w:p>
            <w:pPr>
              <w:pStyle w:val="TableParagraph"/>
              <w:spacing w:line="259" w:lineRule="exact"/>
              <w:ind w:left="109"/>
              <w:rPr>
                <w:sz w:val="21"/>
              </w:rPr>
            </w:pPr>
            <w:r>
              <w:rPr>
                <w:sz w:val="21"/>
              </w:rPr>
              <w:t>躯干或肢体的浅筋膜或涉及肌肉的深筋膜感染，呈暴发性进展，必须即刻手术</w:t>
            </w:r>
          </w:p>
          <w:p>
            <w:pPr>
              <w:pStyle w:val="TableParagraph"/>
              <w:spacing w:line="273" w:lineRule="auto" w:before="37"/>
              <w:ind w:left="109" w:right="249"/>
              <w:rPr>
                <w:sz w:val="21"/>
              </w:rPr>
            </w:pPr>
            <w:r>
              <w:rPr>
                <w:sz w:val="21"/>
              </w:rPr>
              <w:t>清创。须在外科手术后进行组织培养证实溶血性链球菌坏疽并由专科医生确诊。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3" w:hRule="atLeast"/>
        </w:trPr>
        <w:tc>
          <w:tcPr>
            <w:tcW w:w="850" w:type="dxa"/>
          </w:tcPr>
          <w:p>
            <w:pPr>
              <w:pStyle w:val="TableParagraph"/>
              <w:spacing w:line="257" w:lineRule="exact"/>
              <w:ind w:left="107"/>
              <w:rPr>
                <w:b/>
                <w:sz w:val="21"/>
              </w:rPr>
            </w:pPr>
            <w:r>
              <w:rPr>
                <w:b/>
                <w:sz w:val="21"/>
              </w:rPr>
              <w:t>注 1</w:t>
            </w:r>
          </w:p>
        </w:tc>
        <w:tc>
          <w:tcPr>
            <w:tcW w:w="1930" w:type="dxa"/>
          </w:tcPr>
          <w:p>
            <w:pPr>
              <w:pStyle w:val="TableParagraph"/>
              <w:spacing w:line="257" w:lineRule="exact"/>
              <w:ind w:left="107"/>
              <w:rPr>
                <w:b/>
                <w:sz w:val="21"/>
              </w:rPr>
            </w:pPr>
            <w:r>
              <w:rPr>
                <w:b/>
                <w:sz w:val="21"/>
              </w:rPr>
              <w:t>六项基本日常生活</w:t>
            </w:r>
          </w:p>
        </w:tc>
        <w:tc>
          <w:tcPr>
            <w:tcW w:w="7308" w:type="dxa"/>
          </w:tcPr>
          <w:p>
            <w:pPr>
              <w:pStyle w:val="TableParagraph"/>
              <w:spacing w:line="272" w:lineRule="exact"/>
              <w:ind w:left="109"/>
              <w:rPr>
                <w:sz w:val="21"/>
              </w:rPr>
            </w:pPr>
            <w:r>
              <w:rPr>
                <w:sz w:val="21"/>
              </w:rPr>
              <w:t>适用于年龄 </w:t>
            </w:r>
            <w:r>
              <w:rPr>
                <w:rFonts w:ascii="Times New Roman" w:eastAsia="Times New Roman"/>
                <w:sz w:val="21"/>
              </w:rPr>
              <w:t>4 </w:t>
            </w:r>
            <w:r>
              <w:rPr>
                <w:sz w:val="21"/>
              </w:rPr>
              <w:t>周岁以上被保险人，包括：</w:t>
            </w:r>
          </w:p>
        </w:tc>
      </w:tr>
    </w:tbl>
    <w:p>
      <w:pPr>
        <w:spacing w:after="0" w:line="272"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1873" w:hRule="atLeast"/>
        </w:trPr>
        <w:tc>
          <w:tcPr>
            <w:tcW w:w="850" w:type="dxa"/>
          </w:tcPr>
          <w:p>
            <w:pPr>
              <w:pStyle w:val="TableParagraph"/>
              <w:rPr>
                <w:rFonts w:ascii="Times New Roman"/>
                <w:sz w:val="20"/>
              </w:rPr>
            </w:pPr>
          </w:p>
        </w:tc>
        <w:tc>
          <w:tcPr>
            <w:tcW w:w="1930" w:type="dxa"/>
          </w:tcPr>
          <w:p>
            <w:pPr>
              <w:pStyle w:val="TableParagraph"/>
              <w:spacing w:line="259" w:lineRule="exact"/>
              <w:ind w:left="107"/>
              <w:rPr>
                <w:b/>
                <w:sz w:val="21"/>
              </w:rPr>
            </w:pPr>
            <w:r>
              <w:rPr>
                <w:b/>
                <w:sz w:val="21"/>
              </w:rPr>
              <w:t>活动</w:t>
            </w:r>
          </w:p>
        </w:tc>
        <w:tc>
          <w:tcPr>
            <w:tcW w:w="7308" w:type="dxa"/>
          </w:tcPr>
          <w:p>
            <w:pPr>
              <w:pStyle w:val="TableParagraph"/>
              <w:spacing w:line="259" w:lineRule="exact"/>
              <w:ind w:left="109"/>
              <w:rPr>
                <w:sz w:val="21"/>
              </w:rPr>
            </w:pPr>
            <w:r>
              <w:rPr>
                <w:sz w:val="21"/>
              </w:rPr>
              <w:t>（1）穿衣：自己能够穿衣及脱衣；</w:t>
            </w:r>
          </w:p>
          <w:p>
            <w:pPr>
              <w:pStyle w:val="TableParagraph"/>
              <w:spacing w:before="37"/>
              <w:ind w:left="109"/>
              <w:rPr>
                <w:sz w:val="21"/>
              </w:rPr>
            </w:pPr>
            <w:r>
              <w:rPr>
                <w:sz w:val="21"/>
              </w:rPr>
              <w:t>（2）移动：自己从一个房间到另一个房间；</w:t>
            </w:r>
          </w:p>
          <w:p>
            <w:pPr>
              <w:pStyle w:val="TableParagraph"/>
              <w:spacing w:before="37"/>
              <w:ind w:left="109"/>
              <w:rPr>
                <w:sz w:val="21"/>
              </w:rPr>
            </w:pPr>
            <w:r>
              <w:rPr>
                <w:sz w:val="21"/>
              </w:rPr>
              <w:t>（3）行动：自己上下床或上下轮椅；</w:t>
            </w:r>
          </w:p>
          <w:p>
            <w:pPr>
              <w:pStyle w:val="TableParagraph"/>
              <w:spacing w:before="37"/>
              <w:ind w:left="109"/>
              <w:rPr>
                <w:sz w:val="21"/>
              </w:rPr>
            </w:pPr>
            <w:r>
              <w:rPr>
                <w:sz w:val="21"/>
              </w:rPr>
              <w:t>（4）如厕：自己控制进行大小便；</w:t>
            </w:r>
          </w:p>
          <w:p>
            <w:pPr>
              <w:pStyle w:val="TableParagraph"/>
              <w:spacing w:before="37"/>
              <w:ind w:left="109"/>
              <w:rPr>
                <w:sz w:val="21"/>
              </w:rPr>
            </w:pPr>
            <w:r>
              <w:rPr>
                <w:sz w:val="21"/>
              </w:rPr>
              <w:t>（5）进食：自己从已准备好的碗或碟中取食物放入口中；</w:t>
            </w:r>
          </w:p>
          <w:p>
            <w:pPr>
              <w:pStyle w:val="TableParagraph"/>
              <w:spacing w:before="37"/>
              <w:ind w:left="109"/>
              <w:rPr>
                <w:sz w:val="21"/>
              </w:rPr>
            </w:pPr>
            <w:r>
              <w:rPr>
                <w:sz w:val="21"/>
              </w:rPr>
              <w:t>（6）洗澡：自己进行淋浴或盆浴。</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2</w:t>
            </w:r>
          </w:p>
        </w:tc>
        <w:tc>
          <w:tcPr>
            <w:tcW w:w="1930" w:type="dxa"/>
          </w:tcPr>
          <w:p>
            <w:pPr>
              <w:pStyle w:val="TableParagraph"/>
              <w:spacing w:line="257" w:lineRule="exact"/>
              <w:ind w:left="107"/>
              <w:rPr>
                <w:b/>
                <w:sz w:val="21"/>
              </w:rPr>
            </w:pPr>
            <w:r>
              <w:rPr>
                <w:b/>
                <w:sz w:val="21"/>
              </w:rPr>
              <w:t>肢体机能完全丧失</w:t>
            </w:r>
          </w:p>
        </w:tc>
        <w:tc>
          <w:tcPr>
            <w:tcW w:w="7308" w:type="dxa"/>
          </w:tcPr>
          <w:p>
            <w:pPr>
              <w:pStyle w:val="TableParagraph"/>
              <w:spacing w:line="257" w:lineRule="exact"/>
              <w:ind w:left="109"/>
              <w:rPr>
                <w:sz w:val="21"/>
              </w:rPr>
            </w:pPr>
            <w:r>
              <w:rPr>
                <w:sz w:val="21"/>
              </w:rPr>
              <w:t>指肢体的三大关节中的两大关节僵硬，或不能随意识活动。肢体是指包括肩关</w:t>
            </w:r>
          </w:p>
          <w:p>
            <w:pPr>
              <w:pStyle w:val="TableParagraph"/>
              <w:spacing w:before="37"/>
              <w:ind w:left="109"/>
              <w:rPr>
                <w:sz w:val="21"/>
              </w:rPr>
            </w:pPr>
            <w:r>
              <w:rPr>
                <w:sz w:val="21"/>
              </w:rPr>
              <w:t>节的整个上肢或包括髋关节的整个下肢。</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注 3</w:t>
            </w:r>
          </w:p>
        </w:tc>
        <w:tc>
          <w:tcPr>
            <w:tcW w:w="1930" w:type="dxa"/>
          </w:tcPr>
          <w:p>
            <w:pPr>
              <w:pStyle w:val="TableParagraph"/>
              <w:spacing w:line="257" w:lineRule="exact"/>
              <w:ind w:left="107"/>
              <w:rPr>
                <w:b/>
                <w:sz w:val="21"/>
              </w:rPr>
            </w:pPr>
            <w:r>
              <w:rPr>
                <w:b/>
                <w:sz w:val="21"/>
              </w:rPr>
              <w:t>语言能力或咀嚼吞</w:t>
            </w:r>
          </w:p>
          <w:p>
            <w:pPr>
              <w:pStyle w:val="TableParagraph"/>
              <w:spacing w:before="37"/>
              <w:ind w:left="107"/>
              <w:rPr>
                <w:b/>
                <w:sz w:val="21"/>
              </w:rPr>
            </w:pPr>
            <w:r>
              <w:rPr>
                <w:b/>
                <w:sz w:val="21"/>
              </w:rPr>
              <w:t>咽能力完全丧失</w:t>
            </w:r>
          </w:p>
        </w:tc>
        <w:tc>
          <w:tcPr>
            <w:tcW w:w="7308" w:type="dxa"/>
          </w:tcPr>
          <w:p>
            <w:pPr>
              <w:pStyle w:val="TableParagraph"/>
              <w:spacing w:line="257" w:lineRule="exact"/>
              <w:ind w:left="109"/>
              <w:rPr>
                <w:sz w:val="21"/>
              </w:rPr>
            </w:pPr>
            <w:r>
              <w:rPr>
                <w:sz w:val="21"/>
              </w:rPr>
              <w:t>语言能力完全丧失，指无法发出四种语音（包括口唇音、齿舌音、口盖音和喉</w:t>
            </w:r>
          </w:p>
          <w:p>
            <w:pPr>
              <w:pStyle w:val="TableParagraph"/>
              <w:spacing w:line="273" w:lineRule="auto" w:before="37"/>
              <w:ind w:left="109" w:right="-15"/>
              <w:rPr>
                <w:sz w:val="21"/>
              </w:rPr>
            </w:pPr>
            <w:r>
              <w:rPr>
                <w:spacing w:val="-2"/>
                <w:sz w:val="21"/>
              </w:rPr>
              <w:t>头音</w:t>
            </w:r>
            <w:r>
              <w:rPr>
                <w:spacing w:val="-51"/>
                <w:sz w:val="21"/>
              </w:rPr>
              <w:t>）</w:t>
            </w:r>
            <w:r>
              <w:rPr>
                <w:spacing w:val="-12"/>
                <w:sz w:val="21"/>
              </w:rPr>
              <w:t>中的任何三种、或声带全部切除，或因大脑语言中枢受伤害而患失语症。</w:t>
            </w:r>
            <w:r>
              <w:rPr>
                <w:spacing w:val="-7"/>
                <w:sz w:val="21"/>
              </w:rPr>
              <w:t>咀嚼吞咽能力完全丧失，指因牙齿以外的原因导致器质障碍或机能障碍，以致</w:t>
            </w:r>
            <w:r>
              <w:rPr>
                <w:spacing w:val="-5"/>
                <w:sz w:val="21"/>
              </w:rPr>
              <w:t>不能作咀嚼吞咽运动，除流质食物外不能摄取或吞咽的状态。</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4</w:t>
            </w:r>
          </w:p>
        </w:tc>
        <w:tc>
          <w:tcPr>
            <w:tcW w:w="1930" w:type="dxa"/>
          </w:tcPr>
          <w:p>
            <w:pPr>
              <w:pStyle w:val="TableParagraph"/>
              <w:spacing w:line="257" w:lineRule="exact"/>
              <w:ind w:left="107"/>
              <w:rPr>
                <w:b/>
                <w:sz w:val="21"/>
              </w:rPr>
            </w:pPr>
            <w:r>
              <w:rPr>
                <w:b/>
                <w:sz w:val="21"/>
              </w:rPr>
              <w:t>永久不可逆</w:t>
            </w:r>
          </w:p>
        </w:tc>
        <w:tc>
          <w:tcPr>
            <w:tcW w:w="7308" w:type="dxa"/>
          </w:tcPr>
          <w:p>
            <w:pPr>
              <w:pStyle w:val="TableParagraph"/>
              <w:spacing w:line="272" w:lineRule="exact"/>
              <w:ind w:left="109"/>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p>
          <w:p>
            <w:pPr>
              <w:pStyle w:val="TableParagraph"/>
              <w:spacing w:before="21"/>
              <w:ind w:left="109"/>
              <w:rPr>
                <w:sz w:val="21"/>
              </w:rPr>
            </w:pPr>
            <w:r>
              <w:rPr>
                <w:sz w:val="21"/>
              </w:rPr>
              <w:t>有医疗手段恢复。</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5" w:hRule="atLeast"/>
        </w:trPr>
        <w:tc>
          <w:tcPr>
            <w:tcW w:w="850" w:type="dxa"/>
          </w:tcPr>
          <w:p>
            <w:pPr>
              <w:pStyle w:val="TableParagraph"/>
              <w:spacing w:line="259" w:lineRule="exact"/>
              <w:ind w:left="107"/>
              <w:rPr>
                <w:b/>
                <w:sz w:val="21"/>
              </w:rPr>
            </w:pPr>
            <w:r>
              <w:rPr>
                <w:b/>
                <w:sz w:val="21"/>
              </w:rPr>
              <w:t>注 5</w:t>
            </w:r>
          </w:p>
        </w:tc>
        <w:tc>
          <w:tcPr>
            <w:tcW w:w="1930" w:type="dxa"/>
          </w:tcPr>
          <w:p>
            <w:pPr>
              <w:pStyle w:val="TableParagraph"/>
              <w:spacing w:line="259" w:lineRule="exact"/>
              <w:ind w:left="107"/>
              <w:rPr>
                <w:b/>
                <w:sz w:val="21"/>
              </w:rPr>
            </w:pPr>
            <w:r>
              <w:rPr>
                <w:b/>
                <w:sz w:val="21"/>
              </w:rPr>
              <w:t>三大关节</w:t>
            </w:r>
          </w:p>
        </w:tc>
        <w:tc>
          <w:tcPr>
            <w:tcW w:w="7308" w:type="dxa"/>
          </w:tcPr>
          <w:p>
            <w:pPr>
              <w:pStyle w:val="TableParagraph"/>
              <w:spacing w:line="259" w:lineRule="exact"/>
              <w:ind w:left="109"/>
              <w:rPr>
                <w:sz w:val="21"/>
              </w:rPr>
            </w:pPr>
            <w:r>
              <w:rPr>
                <w:sz w:val="21"/>
              </w:rPr>
              <w:t>上肢三大关节系指肩关节、肘关节和腕关节；</w:t>
            </w:r>
          </w:p>
          <w:p>
            <w:pPr>
              <w:pStyle w:val="TableParagraph"/>
              <w:spacing w:before="37"/>
              <w:ind w:left="109"/>
              <w:rPr>
                <w:sz w:val="21"/>
              </w:rPr>
            </w:pPr>
            <w:r>
              <w:rPr>
                <w:sz w:val="21"/>
              </w:rPr>
              <w:t>下肢三大关节系指髋关节、膝关节和踝关节。</w:t>
            </w:r>
          </w:p>
        </w:tc>
      </w:tr>
    </w:tbl>
    <w:p>
      <w:pPr>
        <w:pStyle w:val="BodyText"/>
        <w:spacing w:before="4"/>
        <w:rPr>
          <w:b/>
          <w:sz w:val="18"/>
        </w:rPr>
      </w:pPr>
    </w:p>
    <w:p>
      <w:pPr>
        <w:spacing w:before="26" w:after="38"/>
        <w:ind w:left="220" w:right="0" w:firstLine="0"/>
        <w:jc w:val="left"/>
        <w:rPr>
          <w:b/>
          <w:sz w:val="24"/>
        </w:rPr>
      </w:pPr>
      <w:r>
        <w:rPr>
          <w:b/>
          <w:sz w:val="24"/>
        </w:rPr>
        <w:t>附录二 重大疾病所属组别</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3188"/>
        <w:gridCol w:w="3186"/>
        <w:gridCol w:w="3188"/>
      </w:tblGrid>
      <w:tr>
        <w:trPr>
          <w:trHeight w:val="311" w:hRule="atLeast"/>
        </w:trPr>
        <w:tc>
          <w:tcPr>
            <w:tcW w:w="538" w:type="dxa"/>
          </w:tcPr>
          <w:p>
            <w:pPr>
              <w:pStyle w:val="TableParagraph"/>
              <w:rPr>
                <w:rFonts w:ascii="Times New Roman"/>
                <w:sz w:val="20"/>
              </w:rPr>
            </w:pPr>
          </w:p>
        </w:tc>
        <w:tc>
          <w:tcPr>
            <w:tcW w:w="3188" w:type="dxa"/>
          </w:tcPr>
          <w:p>
            <w:pPr>
              <w:pStyle w:val="TableParagraph"/>
              <w:spacing w:line="262" w:lineRule="exact"/>
              <w:ind w:left="1393" w:right="1383"/>
              <w:jc w:val="center"/>
              <w:rPr>
                <w:sz w:val="20"/>
              </w:rPr>
            </w:pPr>
            <w:r>
              <w:rPr>
                <w:sz w:val="21"/>
              </w:rPr>
              <w:t>A</w:t>
            </w:r>
            <w:r>
              <w:rPr>
                <w:spacing w:val="-54"/>
                <w:sz w:val="21"/>
              </w:rPr>
              <w:t> </w:t>
            </w:r>
            <w:r>
              <w:rPr>
                <w:sz w:val="20"/>
              </w:rPr>
              <w:t>组</w:t>
            </w:r>
          </w:p>
        </w:tc>
        <w:tc>
          <w:tcPr>
            <w:tcW w:w="3186" w:type="dxa"/>
          </w:tcPr>
          <w:p>
            <w:pPr>
              <w:pStyle w:val="TableParagraph"/>
              <w:spacing w:line="262" w:lineRule="exact"/>
              <w:ind w:left="1392" w:right="1387"/>
              <w:jc w:val="center"/>
              <w:rPr>
                <w:sz w:val="20"/>
              </w:rPr>
            </w:pPr>
            <w:r>
              <w:rPr>
                <w:sz w:val="21"/>
              </w:rPr>
              <w:t>B</w:t>
            </w:r>
            <w:r>
              <w:rPr>
                <w:spacing w:val="-54"/>
                <w:sz w:val="21"/>
              </w:rPr>
              <w:t> </w:t>
            </w:r>
            <w:r>
              <w:rPr>
                <w:sz w:val="20"/>
              </w:rPr>
              <w:t>组</w:t>
            </w:r>
          </w:p>
        </w:tc>
        <w:tc>
          <w:tcPr>
            <w:tcW w:w="3188" w:type="dxa"/>
          </w:tcPr>
          <w:p>
            <w:pPr>
              <w:pStyle w:val="TableParagraph"/>
              <w:spacing w:line="262" w:lineRule="exact"/>
              <w:ind w:left="1391" w:right="1385"/>
              <w:jc w:val="center"/>
              <w:rPr>
                <w:sz w:val="20"/>
              </w:rPr>
            </w:pPr>
            <w:r>
              <w:rPr>
                <w:sz w:val="21"/>
              </w:rPr>
              <w:t>C</w:t>
            </w:r>
            <w:r>
              <w:rPr>
                <w:spacing w:val="-54"/>
                <w:sz w:val="21"/>
              </w:rPr>
              <w:t> </w:t>
            </w:r>
            <w:r>
              <w:rPr>
                <w:sz w:val="20"/>
              </w:rPr>
              <w:t>组</w:t>
            </w:r>
          </w:p>
        </w:tc>
      </w:tr>
      <w:tr>
        <w:trPr>
          <w:trHeight w:val="311" w:hRule="atLeast"/>
        </w:trPr>
        <w:tc>
          <w:tcPr>
            <w:tcW w:w="538" w:type="dxa"/>
          </w:tcPr>
          <w:p>
            <w:pPr>
              <w:pStyle w:val="TableParagraph"/>
              <w:spacing w:line="262" w:lineRule="exact"/>
              <w:ind w:left="9"/>
              <w:jc w:val="center"/>
              <w:rPr>
                <w:sz w:val="21"/>
              </w:rPr>
            </w:pPr>
            <w:r>
              <w:rPr>
                <w:w w:val="100"/>
                <w:sz w:val="21"/>
              </w:rPr>
              <w:t>1</w:t>
            </w:r>
          </w:p>
        </w:tc>
        <w:tc>
          <w:tcPr>
            <w:tcW w:w="3188" w:type="dxa"/>
          </w:tcPr>
          <w:p>
            <w:pPr>
              <w:pStyle w:val="TableParagraph"/>
              <w:spacing w:line="262" w:lineRule="exact"/>
              <w:ind w:left="109"/>
              <w:rPr>
                <w:sz w:val="21"/>
              </w:rPr>
            </w:pPr>
            <w:r>
              <w:rPr>
                <w:sz w:val="21"/>
              </w:rPr>
              <w:t>恶性肿瘤</w:t>
            </w:r>
          </w:p>
        </w:tc>
        <w:tc>
          <w:tcPr>
            <w:tcW w:w="3186" w:type="dxa"/>
          </w:tcPr>
          <w:p>
            <w:pPr>
              <w:pStyle w:val="TableParagraph"/>
              <w:spacing w:line="262" w:lineRule="exact"/>
              <w:ind w:left="106"/>
              <w:rPr>
                <w:sz w:val="21"/>
              </w:rPr>
            </w:pPr>
            <w:r>
              <w:rPr>
                <w:sz w:val="21"/>
              </w:rPr>
              <w:t>急性心肌梗塞</w:t>
            </w:r>
          </w:p>
        </w:tc>
        <w:tc>
          <w:tcPr>
            <w:tcW w:w="3188" w:type="dxa"/>
          </w:tcPr>
          <w:p>
            <w:pPr>
              <w:pStyle w:val="TableParagraph"/>
              <w:spacing w:line="262" w:lineRule="exact"/>
              <w:ind w:left="107"/>
              <w:rPr>
                <w:sz w:val="21"/>
              </w:rPr>
            </w:pPr>
            <w:r>
              <w:rPr>
                <w:sz w:val="21"/>
              </w:rPr>
              <w:t>脑中风后遗症</w:t>
            </w:r>
          </w:p>
        </w:tc>
      </w:tr>
      <w:tr>
        <w:trPr>
          <w:trHeight w:val="623" w:hRule="atLeast"/>
        </w:trPr>
        <w:tc>
          <w:tcPr>
            <w:tcW w:w="538" w:type="dxa"/>
          </w:tcPr>
          <w:p>
            <w:pPr>
              <w:pStyle w:val="TableParagraph"/>
              <w:spacing w:line="262" w:lineRule="exact"/>
              <w:ind w:left="9"/>
              <w:jc w:val="center"/>
              <w:rPr>
                <w:sz w:val="21"/>
              </w:rPr>
            </w:pPr>
            <w:r>
              <w:rPr>
                <w:w w:val="100"/>
                <w:sz w:val="21"/>
              </w:rPr>
              <w:t>2</w:t>
            </w:r>
          </w:p>
        </w:tc>
        <w:tc>
          <w:tcPr>
            <w:tcW w:w="3188" w:type="dxa"/>
          </w:tcPr>
          <w:p>
            <w:pPr>
              <w:pStyle w:val="TableParagraph"/>
              <w:spacing w:line="273" w:lineRule="auto"/>
              <w:ind w:left="109" w:right="95"/>
              <w:rPr>
                <w:sz w:val="21"/>
              </w:rPr>
            </w:pPr>
            <w:r>
              <w:rPr>
                <w:sz w:val="21"/>
              </w:rPr>
              <w:t>重大器官移植术或造血干细胞移植术</w:t>
            </w:r>
          </w:p>
        </w:tc>
        <w:tc>
          <w:tcPr>
            <w:tcW w:w="3186" w:type="dxa"/>
          </w:tcPr>
          <w:p>
            <w:pPr>
              <w:pStyle w:val="TableParagraph"/>
              <w:spacing w:line="273" w:lineRule="auto"/>
              <w:ind w:left="106" w:right="96"/>
              <w:rPr>
                <w:sz w:val="21"/>
              </w:rPr>
            </w:pPr>
            <w:r>
              <w:rPr>
                <w:sz w:val="21"/>
              </w:rPr>
              <w:t>冠状动脉搭桥术（或称冠状动脉旁路移植术）</w:t>
            </w:r>
          </w:p>
        </w:tc>
        <w:tc>
          <w:tcPr>
            <w:tcW w:w="3188" w:type="dxa"/>
          </w:tcPr>
          <w:p>
            <w:pPr>
              <w:pStyle w:val="TableParagraph"/>
              <w:spacing w:before="143"/>
              <w:ind w:left="107"/>
              <w:rPr>
                <w:sz w:val="21"/>
              </w:rPr>
            </w:pPr>
            <w:r>
              <w:rPr>
                <w:sz w:val="21"/>
              </w:rPr>
              <w:t>多个肢体缺失</w:t>
            </w:r>
          </w:p>
        </w:tc>
      </w:tr>
      <w:tr>
        <w:trPr>
          <w:trHeight w:val="623" w:hRule="atLeast"/>
        </w:trPr>
        <w:tc>
          <w:tcPr>
            <w:tcW w:w="538" w:type="dxa"/>
          </w:tcPr>
          <w:p>
            <w:pPr>
              <w:pStyle w:val="TableParagraph"/>
              <w:spacing w:line="262" w:lineRule="exact"/>
              <w:ind w:left="9"/>
              <w:jc w:val="center"/>
              <w:rPr>
                <w:sz w:val="21"/>
              </w:rPr>
            </w:pPr>
            <w:r>
              <w:rPr>
                <w:w w:val="100"/>
                <w:sz w:val="21"/>
              </w:rPr>
              <w:t>3</w:t>
            </w:r>
          </w:p>
        </w:tc>
        <w:tc>
          <w:tcPr>
            <w:tcW w:w="3188" w:type="dxa"/>
          </w:tcPr>
          <w:p>
            <w:pPr>
              <w:pStyle w:val="TableParagraph"/>
              <w:spacing w:line="273" w:lineRule="auto"/>
              <w:ind w:left="109" w:right="95"/>
              <w:rPr>
                <w:sz w:val="21"/>
              </w:rPr>
            </w:pPr>
            <w:r>
              <w:rPr>
                <w:sz w:val="21"/>
              </w:rPr>
              <w:t>终末期肾病（或称慢性肾功能衰竭尿毒症期）</w:t>
            </w:r>
          </w:p>
        </w:tc>
        <w:tc>
          <w:tcPr>
            <w:tcW w:w="3186" w:type="dxa"/>
          </w:tcPr>
          <w:p>
            <w:pPr>
              <w:pStyle w:val="TableParagraph"/>
              <w:spacing w:before="143"/>
              <w:ind w:left="106"/>
              <w:rPr>
                <w:sz w:val="21"/>
              </w:rPr>
            </w:pPr>
            <w:r>
              <w:rPr>
                <w:sz w:val="21"/>
              </w:rPr>
              <w:t>心脏瓣膜手术</w:t>
            </w:r>
          </w:p>
        </w:tc>
        <w:tc>
          <w:tcPr>
            <w:tcW w:w="3188" w:type="dxa"/>
          </w:tcPr>
          <w:p>
            <w:pPr>
              <w:pStyle w:val="TableParagraph"/>
              <w:spacing w:before="143"/>
              <w:ind w:left="107"/>
              <w:rPr>
                <w:sz w:val="21"/>
              </w:rPr>
            </w:pPr>
            <w:r>
              <w:rPr>
                <w:sz w:val="21"/>
              </w:rPr>
              <w:t>良性脑肿瘤</w:t>
            </w:r>
          </w:p>
        </w:tc>
      </w:tr>
      <w:tr>
        <w:trPr>
          <w:trHeight w:val="313" w:hRule="atLeast"/>
        </w:trPr>
        <w:tc>
          <w:tcPr>
            <w:tcW w:w="538" w:type="dxa"/>
          </w:tcPr>
          <w:p>
            <w:pPr>
              <w:pStyle w:val="TableParagraph"/>
              <w:spacing w:line="265" w:lineRule="exact"/>
              <w:ind w:left="9"/>
              <w:jc w:val="center"/>
              <w:rPr>
                <w:sz w:val="21"/>
              </w:rPr>
            </w:pPr>
            <w:r>
              <w:rPr>
                <w:w w:val="100"/>
                <w:sz w:val="21"/>
              </w:rPr>
              <w:t>4</w:t>
            </w:r>
          </w:p>
        </w:tc>
        <w:tc>
          <w:tcPr>
            <w:tcW w:w="3188" w:type="dxa"/>
          </w:tcPr>
          <w:p>
            <w:pPr>
              <w:pStyle w:val="TableParagraph"/>
              <w:spacing w:line="265" w:lineRule="exact"/>
              <w:ind w:left="109"/>
              <w:rPr>
                <w:sz w:val="21"/>
              </w:rPr>
            </w:pPr>
            <w:r>
              <w:rPr>
                <w:sz w:val="21"/>
              </w:rPr>
              <w:t>急性或亚急性重症肝炎</w:t>
            </w:r>
          </w:p>
        </w:tc>
        <w:tc>
          <w:tcPr>
            <w:tcW w:w="3186" w:type="dxa"/>
          </w:tcPr>
          <w:p>
            <w:pPr>
              <w:pStyle w:val="TableParagraph"/>
              <w:spacing w:line="265" w:lineRule="exact"/>
              <w:ind w:left="106"/>
              <w:rPr>
                <w:sz w:val="21"/>
              </w:rPr>
            </w:pPr>
            <w:r>
              <w:rPr>
                <w:sz w:val="21"/>
              </w:rPr>
              <w:t>严重Ⅲ度烧伤</w:t>
            </w:r>
          </w:p>
        </w:tc>
        <w:tc>
          <w:tcPr>
            <w:tcW w:w="3188" w:type="dxa"/>
          </w:tcPr>
          <w:p>
            <w:pPr>
              <w:pStyle w:val="TableParagraph"/>
              <w:spacing w:line="265" w:lineRule="exact"/>
              <w:ind w:left="107"/>
              <w:rPr>
                <w:sz w:val="21"/>
              </w:rPr>
            </w:pPr>
            <w:r>
              <w:rPr>
                <w:sz w:val="21"/>
              </w:rPr>
              <w:t>脑炎后遗症或脑膜炎后遗症</w:t>
            </w:r>
          </w:p>
        </w:tc>
      </w:tr>
      <w:tr>
        <w:trPr>
          <w:trHeight w:val="311" w:hRule="atLeast"/>
        </w:trPr>
        <w:tc>
          <w:tcPr>
            <w:tcW w:w="538" w:type="dxa"/>
          </w:tcPr>
          <w:p>
            <w:pPr>
              <w:pStyle w:val="TableParagraph"/>
              <w:spacing w:line="262" w:lineRule="exact"/>
              <w:ind w:left="9"/>
              <w:jc w:val="center"/>
              <w:rPr>
                <w:sz w:val="21"/>
              </w:rPr>
            </w:pPr>
            <w:r>
              <w:rPr>
                <w:w w:val="100"/>
                <w:sz w:val="21"/>
              </w:rPr>
              <w:t>5</w:t>
            </w:r>
          </w:p>
        </w:tc>
        <w:tc>
          <w:tcPr>
            <w:tcW w:w="3188" w:type="dxa"/>
          </w:tcPr>
          <w:p>
            <w:pPr>
              <w:pStyle w:val="TableParagraph"/>
              <w:spacing w:line="262" w:lineRule="exact"/>
              <w:ind w:left="109"/>
              <w:rPr>
                <w:sz w:val="21"/>
              </w:rPr>
            </w:pPr>
            <w:r>
              <w:rPr>
                <w:sz w:val="21"/>
              </w:rPr>
              <w:t>慢性肝功能衰竭失代偿期</w:t>
            </w:r>
          </w:p>
        </w:tc>
        <w:tc>
          <w:tcPr>
            <w:tcW w:w="3186" w:type="dxa"/>
          </w:tcPr>
          <w:p>
            <w:pPr>
              <w:pStyle w:val="TableParagraph"/>
              <w:spacing w:line="262" w:lineRule="exact"/>
              <w:ind w:left="106"/>
              <w:rPr>
                <w:sz w:val="21"/>
              </w:rPr>
            </w:pPr>
            <w:r>
              <w:rPr>
                <w:sz w:val="21"/>
              </w:rPr>
              <w:t>严重原发性肺动脉高压</w:t>
            </w:r>
          </w:p>
        </w:tc>
        <w:tc>
          <w:tcPr>
            <w:tcW w:w="3188" w:type="dxa"/>
          </w:tcPr>
          <w:p>
            <w:pPr>
              <w:pStyle w:val="TableParagraph"/>
              <w:spacing w:line="262" w:lineRule="exact"/>
              <w:ind w:left="107"/>
              <w:rPr>
                <w:sz w:val="21"/>
              </w:rPr>
            </w:pPr>
            <w:r>
              <w:rPr>
                <w:sz w:val="21"/>
              </w:rPr>
              <w:t>深度昏迷</w:t>
            </w:r>
          </w:p>
        </w:tc>
      </w:tr>
      <w:tr>
        <w:trPr>
          <w:trHeight w:val="311" w:hRule="atLeast"/>
        </w:trPr>
        <w:tc>
          <w:tcPr>
            <w:tcW w:w="538" w:type="dxa"/>
          </w:tcPr>
          <w:p>
            <w:pPr>
              <w:pStyle w:val="TableParagraph"/>
              <w:spacing w:line="262" w:lineRule="exact"/>
              <w:ind w:left="9"/>
              <w:jc w:val="center"/>
              <w:rPr>
                <w:sz w:val="21"/>
              </w:rPr>
            </w:pPr>
            <w:r>
              <w:rPr>
                <w:w w:val="100"/>
                <w:sz w:val="21"/>
              </w:rPr>
              <w:t>6</w:t>
            </w:r>
          </w:p>
        </w:tc>
        <w:tc>
          <w:tcPr>
            <w:tcW w:w="3188" w:type="dxa"/>
          </w:tcPr>
          <w:p>
            <w:pPr>
              <w:pStyle w:val="TableParagraph"/>
              <w:spacing w:line="262" w:lineRule="exact"/>
              <w:ind w:left="109"/>
              <w:rPr>
                <w:sz w:val="21"/>
              </w:rPr>
            </w:pPr>
            <w:r>
              <w:rPr>
                <w:sz w:val="21"/>
              </w:rPr>
              <w:t>重型再生障碍性贫血</w:t>
            </w:r>
          </w:p>
        </w:tc>
        <w:tc>
          <w:tcPr>
            <w:tcW w:w="3186" w:type="dxa"/>
          </w:tcPr>
          <w:p>
            <w:pPr>
              <w:pStyle w:val="TableParagraph"/>
              <w:spacing w:line="262" w:lineRule="exact"/>
              <w:ind w:left="106"/>
              <w:rPr>
                <w:sz w:val="21"/>
              </w:rPr>
            </w:pPr>
            <w:r>
              <w:rPr>
                <w:sz w:val="21"/>
              </w:rPr>
              <w:t>主动脉手术</w:t>
            </w:r>
          </w:p>
        </w:tc>
        <w:tc>
          <w:tcPr>
            <w:tcW w:w="3188" w:type="dxa"/>
          </w:tcPr>
          <w:p>
            <w:pPr>
              <w:pStyle w:val="TableParagraph"/>
              <w:spacing w:line="262" w:lineRule="exact"/>
              <w:ind w:left="107"/>
              <w:rPr>
                <w:sz w:val="21"/>
              </w:rPr>
            </w:pPr>
            <w:r>
              <w:rPr>
                <w:sz w:val="21"/>
              </w:rPr>
              <w:t>双耳失聪</w:t>
            </w:r>
          </w:p>
        </w:tc>
      </w:tr>
      <w:tr>
        <w:trPr>
          <w:trHeight w:val="311" w:hRule="atLeast"/>
        </w:trPr>
        <w:tc>
          <w:tcPr>
            <w:tcW w:w="538" w:type="dxa"/>
          </w:tcPr>
          <w:p>
            <w:pPr>
              <w:pStyle w:val="TableParagraph"/>
              <w:spacing w:line="262" w:lineRule="exact"/>
              <w:ind w:left="9"/>
              <w:jc w:val="center"/>
              <w:rPr>
                <w:sz w:val="21"/>
              </w:rPr>
            </w:pPr>
            <w:r>
              <w:rPr>
                <w:w w:val="100"/>
                <w:sz w:val="21"/>
              </w:rPr>
              <w:t>7</w:t>
            </w:r>
          </w:p>
        </w:tc>
        <w:tc>
          <w:tcPr>
            <w:tcW w:w="3188" w:type="dxa"/>
          </w:tcPr>
          <w:p>
            <w:pPr>
              <w:pStyle w:val="TableParagraph"/>
              <w:spacing w:line="262" w:lineRule="exact"/>
              <w:ind w:left="109"/>
              <w:rPr>
                <w:sz w:val="21"/>
              </w:rPr>
            </w:pPr>
            <w:r>
              <w:rPr>
                <w:sz w:val="21"/>
              </w:rPr>
              <w:t>慢性呼吸功能衰竭</w:t>
            </w:r>
          </w:p>
        </w:tc>
        <w:tc>
          <w:tcPr>
            <w:tcW w:w="3186" w:type="dxa"/>
          </w:tcPr>
          <w:p>
            <w:pPr>
              <w:pStyle w:val="TableParagraph"/>
              <w:spacing w:line="262" w:lineRule="exact"/>
              <w:ind w:left="106"/>
              <w:rPr>
                <w:sz w:val="21"/>
              </w:rPr>
            </w:pPr>
            <w:r>
              <w:rPr>
                <w:sz w:val="21"/>
              </w:rPr>
              <w:t>严重冠心病</w:t>
            </w:r>
          </w:p>
        </w:tc>
        <w:tc>
          <w:tcPr>
            <w:tcW w:w="3188" w:type="dxa"/>
          </w:tcPr>
          <w:p>
            <w:pPr>
              <w:pStyle w:val="TableParagraph"/>
              <w:spacing w:line="262" w:lineRule="exact"/>
              <w:ind w:left="107"/>
              <w:rPr>
                <w:sz w:val="21"/>
              </w:rPr>
            </w:pPr>
            <w:r>
              <w:rPr>
                <w:sz w:val="21"/>
              </w:rPr>
              <w:t>双目失明</w:t>
            </w:r>
          </w:p>
        </w:tc>
      </w:tr>
      <w:tr>
        <w:trPr>
          <w:trHeight w:val="623" w:hRule="atLeast"/>
        </w:trPr>
        <w:tc>
          <w:tcPr>
            <w:tcW w:w="538" w:type="dxa"/>
          </w:tcPr>
          <w:p>
            <w:pPr>
              <w:pStyle w:val="TableParagraph"/>
              <w:spacing w:line="262" w:lineRule="exact"/>
              <w:ind w:left="9"/>
              <w:jc w:val="center"/>
              <w:rPr>
                <w:sz w:val="21"/>
              </w:rPr>
            </w:pPr>
            <w:r>
              <w:rPr>
                <w:w w:val="100"/>
                <w:sz w:val="21"/>
              </w:rPr>
              <w:t>8</w:t>
            </w:r>
          </w:p>
        </w:tc>
        <w:tc>
          <w:tcPr>
            <w:tcW w:w="3188" w:type="dxa"/>
          </w:tcPr>
          <w:p>
            <w:pPr>
              <w:pStyle w:val="TableParagraph"/>
              <w:spacing w:line="264" w:lineRule="auto"/>
              <w:ind w:left="109" w:right="30"/>
              <w:rPr>
                <w:sz w:val="20"/>
              </w:rPr>
            </w:pPr>
            <w:r>
              <w:rPr>
                <w:sz w:val="21"/>
              </w:rPr>
              <w:t>系统性红斑狼疮－</w:t>
            </w:r>
            <w:r>
              <w:rPr>
                <w:rFonts w:ascii="Arial" w:eastAsia="Arial"/>
                <w:sz w:val="20"/>
              </w:rPr>
              <w:t>III </w:t>
            </w:r>
            <w:r>
              <w:rPr>
                <w:sz w:val="20"/>
              </w:rPr>
              <w:t>型或 </w:t>
            </w:r>
            <w:r>
              <w:rPr>
                <w:rFonts w:ascii="Arial" w:eastAsia="Arial"/>
                <w:sz w:val="20"/>
              </w:rPr>
              <w:t>III </w:t>
            </w:r>
            <w:r>
              <w:rPr>
                <w:sz w:val="20"/>
              </w:rPr>
              <w:t>型以</w:t>
            </w:r>
            <w:r>
              <w:rPr>
                <w:w w:val="95"/>
                <w:sz w:val="20"/>
              </w:rPr>
              <w:t>上狼疮性肾炎</w:t>
            </w:r>
          </w:p>
        </w:tc>
        <w:tc>
          <w:tcPr>
            <w:tcW w:w="3186" w:type="dxa"/>
          </w:tcPr>
          <w:p>
            <w:pPr>
              <w:pStyle w:val="TableParagraph"/>
              <w:spacing w:before="143"/>
              <w:ind w:left="106"/>
              <w:rPr>
                <w:sz w:val="21"/>
              </w:rPr>
            </w:pPr>
            <w:r>
              <w:rPr>
                <w:sz w:val="21"/>
              </w:rPr>
              <w:t>严重心肌炎</w:t>
            </w:r>
          </w:p>
        </w:tc>
        <w:tc>
          <w:tcPr>
            <w:tcW w:w="3188" w:type="dxa"/>
          </w:tcPr>
          <w:p>
            <w:pPr>
              <w:pStyle w:val="TableParagraph"/>
              <w:spacing w:before="143"/>
              <w:ind w:left="107"/>
              <w:rPr>
                <w:sz w:val="21"/>
              </w:rPr>
            </w:pPr>
            <w:r>
              <w:rPr>
                <w:sz w:val="21"/>
              </w:rPr>
              <w:t>瘫痪</w:t>
            </w:r>
          </w:p>
        </w:tc>
      </w:tr>
      <w:tr>
        <w:trPr>
          <w:trHeight w:val="623" w:hRule="atLeast"/>
        </w:trPr>
        <w:tc>
          <w:tcPr>
            <w:tcW w:w="538" w:type="dxa"/>
          </w:tcPr>
          <w:p>
            <w:pPr>
              <w:pStyle w:val="TableParagraph"/>
              <w:spacing w:line="262" w:lineRule="exact"/>
              <w:ind w:left="9"/>
              <w:jc w:val="center"/>
              <w:rPr>
                <w:sz w:val="21"/>
              </w:rPr>
            </w:pPr>
            <w:r>
              <w:rPr>
                <w:w w:val="100"/>
                <w:sz w:val="21"/>
              </w:rPr>
              <w:t>9</w:t>
            </w:r>
          </w:p>
        </w:tc>
        <w:tc>
          <w:tcPr>
            <w:tcW w:w="3188" w:type="dxa"/>
          </w:tcPr>
          <w:p>
            <w:pPr>
              <w:pStyle w:val="TableParagraph"/>
              <w:spacing w:line="273" w:lineRule="auto"/>
              <w:ind w:left="109" w:right="95"/>
              <w:rPr>
                <w:sz w:val="21"/>
              </w:rPr>
            </w:pPr>
            <w:r>
              <w:rPr>
                <w:sz w:val="21"/>
              </w:rPr>
              <w:t>经输血导致的人类免疫缺陷病毒感染</w:t>
            </w:r>
          </w:p>
        </w:tc>
        <w:tc>
          <w:tcPr>
            <w:tcW w:w="3186" w:type="dxa"/>
          </w:tcPr>
          <w:p>
            <w:pPr>
              <w:pStyle w:val="TableParagraph"/>
              <w:spacing w:before="143"/>
              <w:ind w:left="106"/>
              <w:rPr>
                <w:sz w:val="21"/>
              </w:rPr>
            </w:pPr>
            <w:r>
              <w:rPr>
                <w:sz w:val="21"/>
              </w:rPr>
              <w:t>原发性心肌病</w:t>
            </w:r>
          </w:p>
        </w:tc>
        <w:tc>
          <w:tcPr>
            <w:tcW w:w="3188" w:type="dxa"/>
          </w:tcPr>
          <w:p>
            <w:pPr>
              <w:pStyle w:val="TableParagraph"/>
              <w:spacing w:before="143"/>
              <w:ind w:left="107"/>
              <w:rPr>
                <w:sz w:val="21"/>
              </w:rPr>
            </w:pPr>
            <w:r>
              <w:rPr>
                <w:sz w:val="21"/>
              </w:rPr>
              <w:t>严重阿尔茨海默病</w:t>
            </w:r>
          </w:p>
        </w:tc>
      </w:tr>
      <w:tr>
        <w:trPr>
          <w:trHeight w:val="313" w:hRule="atLeast"/>
        </w:trPr>
        <w:tc>
          <w:tcPr>
            <w:tcW w:w="538" w:type="dxa"/>
          </w:tcPr>
          <w:p>
            <w:pPr>
              <w:pStyle w:val="TableParagraph"/>
              <w:spacing w:line="265" w:lineRule="exact"/>
              <w:ind w:left="143" w:right="134"/>
              <w:jc w:val="center"/>
              <w:rPr>
                <w:sz w:val="21"/>
              </w:rPr>
            </w:pPr>
            <w:r>
              <w:rPr>
                <w:sz w:val="21"/>
              </w:rPr>
              <w:t>10</w:t>
            </w:r>
          </w:p>
        </w:tc>
        <w:tc>
          <w:tcPr>
            <w:tcW w:w="3188" w:type="dxa"/>
          </w:tcPr>
          <w:p>
            <w:pPr>
              <w:pStyle w:val="TableParagraph"/>
              <w:spacing w:line="265" w:lineRule="exact"/>
              <w:ind w:left="109"/>
              <w:rPr>
                <w:sz w:val="20"/>
              </w:rPr>
            </w:pPr>
            <w:r>
              <w:rPr>
                <w:spacing w:val="-18"/>
                <w:sz w:val="21"/>
              </w:rPr>
              <w:t>严重 </w:t>
            </w:r>
            <w:r>
              <w:rPr>
                <w:sz w:val="21"/>
              </w:rPr>
              <w:t>I</w:t>
            </w:r>
            <w:r>
              <w:rPr>
                <w:spacing w:val="-54"/>
                <w:sz w:val="21"/>
              </w:rPr>
              <w:t> </w:t>
            </w:r>
            <w:r>
              <w:rPr>
                <w:sz w:val="20"/>
              </w:rPr>
              <w:t>型糖尿病</w:t>
            </w:r>
          </w:p>
        </w:tc>
        <w:tc>
          <w:tcPr>
            <w:tcW w:w="3186" w:type="dxa"/>
          </w:tcPr>
          <w:p>
            <w:pPr>
              <w:pStyle w:val="TableParagraph"/>
              <w:spacing w:line="265" w:lineRule="exact"/>
              <w:ind w:left="106"/>
              <w:rPr>
                <w:sz w:val="21"/>
              </w:rPr>
            </w:pPr>
            <w:r>
              <w:rPr>
                <w:sz w:val="21"/>
              </w:rPr>
              <w:t>坏死性筋膜炎</w:t>
            </w:r>
          </w:p>
        </w:tc>
        <w:tc>
          <w:tcPr>
            <w:tcW w:w="3188" w:type="dxa"/>
          </w:tcPr>
          <w:p>
            <w:pPr>
              <w:pStyle w:val="TableParagraph"/>
              <w:spacing w:line="265" w:lineRule="exact"/>
              <w:ind w:left="107"/>
              <w:rPr>
                <w:sz w:val="21"/>
              </w:rPr>
            </w:pPr>
            <w:r>
              <w:rPr>
                <w:sz w:val="21"/>
              </w:rPr>
              <w:t>严重脑损伤</w:t>
            </w:r>
          </w:p>
        </w:tc>
      </w:tr>
      <w:tr>
        <w:trPr>
          <w:trHeight w:val="311" w:hRule="atLeast"/>
        </w:trPr>
        <w:tc>
          <w:tcPr>
            <w:tcW w:w="538" w:type="dxa"/>
          </w:tcPr>
          <w:p>
            <w:pPr>
              <w:pStyle w:val="TableParagraph"/>
              <w:spacing w:line="262" w:lineRule="exact"/>
              <w:ind w:left="143" w:right="134"/>
              <w:jc w:val="center"/>
              <w:rPr>
                <w:sz w:val="21"/>
              </w:rPr>
            </w:pPr>
            <w:r>
              <w:rPr>
                <w:sz w:val="21"/>
              </w:rPr>
              <w:t>11</w:t>
            </w:r>
          </w:p>
        </w:tc>
        <w:tc>
          <w:tcPr>
            <w:tcW w:w="3188" w:type="dxa"/>
          </w:tcPr>
          <w:p>
            <w:pPr>
              <w:pStyle w:val="TableParagraph"/>
              <w:spacing w:line="262" w:lineRule="exact"/>
              <w:ind w:left="109"/>
              <w:rPr>
                <w:sz w:val="21"/>
              </w:rPr>
            </w:pPr>
            <w:r>
              <w:rPr>
                <w:sz w:val="21"/>
              </w:rPr>
              <w:t>肾髓质囊性病</w:t>
            </w:r>
          </w:p>
        </w:tc>
        <w:tc>
          <w:tcPr>
            <w:tcW w:w="3186" w:type="dxa"/>
          </w:tcPr>
          <w:p>
            <w:pPr>
              <w:pStyle w:val="TableParagraph"/>
              <w:spacing w:line="262" w:lineRule="exact"/>
              <w:ind w:left="106"/>
              <w:rPr>
                <w:sz w:val="21"/>
              </w:rPr>
            </w:pPr>
            <w:r>
              <w:rPr>
                <w:sz w:val="21"/>
              </w:rPr>
              <w:t>严重克隆病</w:t>
            </w:r>
          </w:p>
        </w:tc>
        <w:tc>
          <w:tcPr>
            <w:tcW w:w="3188" w:type="dxa"/>
          </w:tcPr>
          <w:p>
            <w:pPr>
              <w:pStyle w:val="TableParagraph"/>
              <w:spacing w:line="262" w:lineRule="exact"/>
              <w:ind w:left="107"/>
              <w:rPr>
                <w:sz w:val="21"/>
              </w:rPr>
            </w:pPr>
            <w:r>
              <w:rPr>
                <w:sz w:val="21"/>
              </w:rPr>
              <w:t>严重帕金森病</w:t>
            </w:r>
          </w:p>
        </w:tc>
      </w:tr>
      <w:tr>
        <w:trPr>
          <w:trHeight w:val="311" w:hRule="atLeast"/>
        </w:trPr>
        <w:tc>
          <w:tcPr>
            <w:tcW w:w="538" w:type="dxa"/>
          </w:tcPr>
          <w:p>
            <w:pPr>
              <w:pStyle w:val="TableParagraph"/>
              <w:spacing w:line="262" w:lineRule="exact"/>
              <w:ind w:left="143" w:right="134"/>
              <w:jc w:val="center"/>
              <w:rPr>
                <w:sz w:val="21"/>
              </w:rPr>
            </w:pPr>
            <w:r>
              <w:rPr>
                <w:sz w:val="21"/>
              </w:rPr>
              <w:t>12</w:t>
            </w:r>
          </w:p>
        </w:tc>
        <w:tc>
          <w:tcPr>
            <w:tcW w:w="3188" w:type="dxa"/>
          </w:tcPr>
          <w:p>
            <w:pPr>
              <w:pStyle w:val="TableParagraph"/>
              <w:spacing w:line="262" w:lineRule="exact"/>
              <w:ind w:left="109"/>
              <w:rPr>
                <w:sz w:val="21"/>
              </w:rPr>
            </w:pPr>
            <w:r>
              <w:rPr>
                <w:sz w:val="21"/>
              </w:rPr>
              <w:t>原发性硬化性胆管炎</w:t>
            </w:r>
          </w:p>
        </w:tc>
        <w:tc>
          <w:tcPr>
            <w:tcW w:w="3186" w:type="dxa"/>
          </w:tcPr>
          <w:p>
            <w:pPr>
              <w:pStyle w:val="TableParagraph"/>
              <w:spacing w:line="262" w:lineRule="exact"/>
              <w:ind w:left="106"/>
              <w:rPr>
                <w:sz w:val="21"/>
              </w:rPr>
            </w:pPr>
            <w:r>
              <w:rPr>
                <w:sz w:val="21"/>
              </w:rPr>
              <w:t>严重溃疡性结肠炎</w:t>
            </w:r>
          </w:p>
        </w:tc>
        <w:tc>
          <w:tcPr>
            <w:tcW w:w="3188" w:type="dxa"/>
          </w:tcPr>
          <w:p>
            <w:pPr>
              <w:pStyle w:val="TableParagraph"/>
              <w:spacing w:line="262" w:lineRule="exact"/>
              <w:ind w:left="107"/>
              <w:rPr>
                <w:sz w:val="21"/>
              </w:rPr>
            </w:pPr>
            <w:r>
              <w:rPr>
                <w:sz w:val="21"/>
              </w:rPr>
              <w:t>严重运动神经元病</w:t>
            </w:r>
          </w:p>
        </w:tc>
      </w:tr>
      <w:tr>
        <w:trPr>
          <w:trHeight w:val="311" w:hRule="atLeast"/>
        </w:trPr>
        <w:tc>
          <w:tcPr>
            <w:tcW w:w="538" w:type="dxa"/>
          </w:tcPr>
          <w:p>
            <w:pPr>
              <w:pStyle w:val="TableParagraph"/>
              <w:spacing w:line="262" w:lineRule="exact"/>
              <w:ind w:left="143" w:right="134"/>
              <w:jc w:val="center"/>
              <w:rPr>
                <w:sz w:val="21"/>
              </w:rPr>
            </w:pPr>
            <w:r>
              <w:rPr>
                <w:sz w:val="21"/>
              </w:rPr>
              <w:t>13</w:t>
            </w:r>
          </w:p>
        </w:tc>
        <w:tc>
          <w:tcPr>
            <w:tcW w:w="3188" w:type="dxa"/>
          </w:tcPr>
          <w:p>
            <w:pPr>
              <w:pStyle w:val="TableParagraph"/>
              <w:spacing w:line="275" w:lineRule="exact"/>
              <w:ind w:left="109"/>
              <w:rPr>
                <w:sz w:val="20"/>
              </w:rPr>
            </w:pPr>
            <w:r>
              <w:rPr>
                <w:sz w:val="21"/>
              </w:rPr>
              <w:t>肝豆状核变性（或称 </w:t>
            </w:r>
            <w:r>
              <w:rPr>
                <w:rFonts w:ascii="Arial" w:eastAsia="Arial"/>
                <w:sz w:val="20"/>
              </w:rPr>
              <w:t>Wilson </w:t>
            </w:r>
            <w:r>
              <w:rPr>
                <w:sz w:val="20"/>
              </w:rPr>
              <w:t>病）</w:t>
            </w:r>
          </w:p>
        </w:tc>
        <w:tc>
          <w:tcPr>
            <w:tcW w:w="3186" w:type="dxa"/>
          </w:tcPr>
          <w:p>
            <w:pPr>
              <w:pStyle w:val="TableParagraph"/>
              <w:spacing w:line="262" w:lineRule="exact"/>
              <w:ind w:left="106"/>
              <w:rPr>
                <w:sz w:val="21"/>
              </w:rPr>
            </w:pPr>
            <w:r>
              <w:rPr>
                <w:sz w:val="21"/>
              </w:rPr>
              <w:t>严重类风湿性关节炎</w:t>
            </w:r>
          </w:p>
        </w:tc>
        <w:tc>
          <w:tcPr>
            <w:tcW w:w="3188" w:type="dxa"/>
          </w:tcPr>
          <w:p>
            <w:pPr>
              <w:pStyle w:val="TableParagraph"/>
              <w:spacing w:line="262" w:lineRule="exact"/>
              <w:ind w:left="107"/>
              <w:rPr>
                <w:sz w:val="21"/>
              </w:rPr>
            </w:pPr>
            <w:r>
              <w:rPr>
                <w:sz w:val="21"/>
              </w:rPr>
              <w:t>语言能力丧失</w:t>
            </w:r>
          </w:p>
        </w:tc>
      </w:tr>
      <w:tr>
        <w:trPr>
          <w:trHeight w:val="623" w:hRule="atLeast"/>
        </w:trPr>
        <w:tc>
          <w:tcPr>
            <w:tcW w:w="538" w:type="dxa"/>
          </w:tcPr>
          <w:p>
            <w:pPr>
              <w:pStyle w:val="TableParagraph"/>
              <w:spacing w:line="262" w:lineRule="exact"/>
              <w:ind w:left="143" w:right="134"/>
              <w:jc w:val="center"/>
              <w:rPr>
                <w:sz w:val="21"/>
              </w:rPr>
            </w:pPr>
            <w:r>
              <w:rPr>
                <w:sz w:val="21"/>
              </w:rPr>
              <w:t>14</w:t>
            </w:r>
          </w:p>
        </w:tc>
        <w:tc>
          <w:tcPr>
            <w:tcW w:w="3188" w:type="dxa"/>
          </w:tcPr>
          <w:p>
            <w:pPr>
              <w:pStyle w:val="TableParagraph"/>
              <w:spacing w:line="273" w:lineRule="auto"/>
              <w:ind w:left="109" w:right="95"/>
              <w:rPr>
                <w:sz w:val="21"/>
              </w:rPr>
            </w:pPr>
            <w:r>
              <w:rPr>
                <w:sz w:val="21"/>
              </w:rPr>
              <w:t>因职业关系导致的人类免疫缺陷病毒感染</w:t>
            </w:r>
          </w:p>
        </w:tc>
        <w:tc>
          <w:tcPr>
            <w:tcW w:w="3186" w:type="dxa"/>
          </w:tcPr>
          <w:p>
            <w:pPr>
              <w:pStyle w:val="TableParagraph"/>
              <w:spacing w:before="143"/>
              <w:ind w:left="106"/>
              <w:rPr>
                <w:sz w:val="21"/>
              </w:rPr>
            </w:pPr>
            <w:r>
              <w:rPr>
                <w:sz w:val="21"/>
              </w:rPr>
              <w:t>溶血性链球菌引起的坏疽</w:t>
            </w:r>
          </w:p>
        </w:tc>
        <w:tc>
          <w:tcPr>
            <w:tcW w:w="3188" w:type="dxa"/>
          </w:tcPr>
          <w:p>
            <w:pPr>
              <w:pStyle w:val="TableParagraph"/>
              <w:spacing w:before="143"/>
              <w:ind w:left="107"/>
              <w:rPr>
                <w:sz w:val="21"/>
              </w:rPr>
            </w:pPr>
            <w:r>
              <w:rPr>
                <w:sz w:val="21"/>
              </w:rPr>
              <w:t>严重多发性硬化</w:t>
            </w:r>
          </w:p>
        </w:tc>
      </w:tr>
      <w:tr>
        <w:trPr>
          <w:trHeight w:val="311" w:hRule="atLeast"/>
        </w:trPr>
        <w:tc>
          <w:tcPr>
            <w:tcW w:w="538" w:type="dxa"/>
          </w:tcPr>
          <w:p>
            <w:pPr>
              <w:pStyle w:val="TableParagraph"/>
              <w:spacing w:line="262" w:lineRule="exact"/>
              <w:ind w:left="143" w:right="134"/>
              <w:jc w:val="center"/>
              <w:rPr>
                <w:sz w:val="21"/>
              </w:rPr>
            </w:pPr>
            <w:r>
              <w:rPr>
                <w:sz w:val="21"/>
              </w:rPr>
              <w:t>15</w:t>
            </w:r>
          </w:p>
        </w:tc>
        <w:tc>
          <w:tcPr>
            <w:tcW w:w="3188" w:type="dxa"/>
          </w:tcPr>
          <w:p>
            <w:pPr>
              <w:pStyle w:val="TableParagraph"/>
              <w:spacing w:line="262" w:lineRule="exact"/>
              <w:ind w:left="109"/>
              <w:rPr>
                <w:sz w:val="21"/>
              </w:rPr>
            </w:pPr>
            <w:r>
              <w:rPr>
                <w:sz w:val="21"/>
              </w:rPr>
              <w:t>特发性慢性肾上腺皮质功能减退</w:t>
            </w:r>
          </w:p>
        </w:tc>
        <w:tc>
          <w:tcPr>
            <w:tcW w:w="3186" w:type="dxa"/>
          </w:tcPr>
          <w:p>
            <w:pPr>
              <w:pStyle w:val="TableParagraph"/>
              <w:spacing w:line="262" w:lineRule="exact"/>
              <w:ind w:left="106"/>
              <w:rPr>
                <w:sz w:val="21"/>
              </w:rPr>
            </w:pPr>
            <w:r>
              <w:rPr>
                <w:sz w:val="21"/>
              </w:rPr>
              <w:t>丝虫病所致象皮肿</w:t>
            </w:r>
          </w:p>
        </w:tc>
        <w:tc>
          <w:tcPr>
            <w:tcW w:w="3188" w:type="dxa"/>
          </w:tcPr>
          <w:p>
            <w:pPr>
              <w:pStyle w:val="TableParagraph"/>
              <w:spacing w:line="262" w:lineRule="exact"/>
              <w:ind w:left="107"/>
              <w:rPr>
                <w:sz w:val="21"/>
              </w:rPr>
            </w:pPr>
            <w:r>
              <w:rPr>
                <w:sz w:val="21"/>
              </w:rPr>
              <w:t>脊髓灰质炎</w:t>
            </w:r>
          </w:p>
        </w:tc>
      </w:tr>
      <w:tr>
        <w:trPr>
          <w:trHeight w:val="314" w:hRule="atLeast"/>
        </w:trPr>
        <w:tc>
          <w:tcPr>
            <w:tcW w:w="538" w:type="dxa"/>
          </w:tcPr>
          <w:p>
            <w:pPr>
              <w:pStyle w:val="TableParagraph"/>
              <w:spacing w:line="265" w:lineRule="exact"/>
              <w:ind w:left="143" w:right="134"/>
              <w:jc w:val="center"/>
              <w:rPr>
                <w:sz w:val="21"/>
              </w:rPr>
            </w:pPr>
            <w:r>
              <w:rPr>
                <w:sz w:val="21"/>
              </w:rPr>
              <w:t>16</w:t>
            </w:r>
          </w:p>
        </w:tc>
        <w:tc>
          <w:tcPr>
            <w:tcW w:w="3188" w:type="dxa"/>
          </w:tcPr>
          <w:p>
            <w:pPr>
              <w:pStyle w:val="TableParagraph"/>
              <w:spacing w:line="265" w:lineRule="exact"/>
              <w:ind w:left="109" w:right="-15"/>
              <w:rPr>
                <w:sz w:val="21"/>
              </w:rPr>
            </w:pPr>
            <w:r>
              <w:rPr>
                <w:spacing w:val="-15"/>
                <w:sz w:val="21"/>
              </w:rPr>
              <w:t>侵蚀性葡萄胎</w:t>
            </w:r>
            <w:r>
              <w:rPr>
                <w:sz w:val="21"/>
              </w:rPr>
              <w:t>（</w:t>
            </w:r>
            <w:r>
              <w:rPr>
                <w:spacing w:val="-3"/>
                <w:sz w:val="21"/>
              </w:rPr>
              <w:t>或称恶性葡萄胎</w:t>
            </w:r>
            <w:r>
              <w:rPr>
                <w:sz w:val="21"/>
              </w:rPr>
              <w:t>）</w:t>
            </w:r>
          </w:p>
        </w:tc>
        <w:tc>
          <w:tcPr>
            <w:tcW w:w="3186" w:type="dxa"/>
          </w:tcPr>
          <w:p>
            <w:pPr>
              <w:pStyle w:val="TableParagraph"/>
              <w:spacing w:line="265" w:lineRule="exact"/>
              <w:ind w:left="106"/>
              <w:rPr>
                <w:sz w:val="21"/>
              </w:rPr>
            </w:pPr>
            <w:r>
              <w:rPr>
                <w:sz w:val="21"/>
              </w:rPr>
              <w:t>斯蒂尔病</w:t>
            </w:r>
          </w:p>
        </w:tc>
        <w:tc>
          <w:tcPr>
            <w:tcW w:w="3188" w:type="dxa"/>
          </w:tcPr>
          <w:p>
            <w:pPr>
              <w:pStyle w:val="TableParagraph"/>
              <w:spacing w:line="265" w:lineRule="exact"/>
              <w:ind w:left="107"/>
              <w:rPr>
                <w:sz w:val="21"/>
              </w:rPr>
            </w:pPr>
            <w:r>
              <w:rPr>
                <w:sz w:val="21"/>
              </w:rPr>
              <w:t>全身性重症肌无力</w:t>
            </w:r>
          </w:p>
        </w:tc>
      </w:tr>
      <w:tr>
        <w:trPr>
          <w:trHeight w:val="311" w:hRule="atLeast"/>
        </w:trPr>
        <w:tc>
          <w:tcPr>
            <w:tcW w:w="538" w:type="dxa"/>
          </w:tcPr>
          <w:p>
            <w:pPr>
              <w:pStyle w:val="TableParagraph"/>
              <w:spacing w:line="262" w:lineRule="exact"/>
              <w:ind w:left="143" w:right="134"/>
              <w:jc w:val="center"/>
              <w:rPr>
                <w:sz w:val="21"/>
              </w:rPr>
            </w:pPr>
            <w:r>
              <w:rPr>
                <w:sz w:val="21"/>
              </w:rPr>
              <w:t>17</w:t>
            </w:r>
          </w:p>
        </w:tc>
        <w:tc>
          <w:tcPr>
            <w:tcW w:w="3188" w:type="dxa"/>
          </w:tcPr>
          <w:p>
            <w:pPr>
              <w:pStyle w:val="TableParagraph"/>
              <w:spacing w:line="262" w:lineRule="exact"/>
              <w:ind w:left="109"/>
              <w:rPr>
                <w:sz w:val="21"/>
              </w:rPr>
            </w:pPr>
            <w:r>
              <w:rPr>
                <w:sz w:val="21"/>
              </w:rPr>
              <w:t>胰腺移植</w:t>
            </w:r>
          </w:p>
        </w:tc>
        <w:tc>
          <w:tcPr>
            <w:tcW w:w="3186" w:type="dxa"/>
          </w:tcPr>
          <w:p>
            <w:pPr>
              <w:pStyle w:val="TableParagraph"/>
              <w:spacing w:line="262" w:lineRule="exact"/>
              <w:ind w:left="106"/>
              <w:rPr>
                <w:sz w:val="21"/>
              </w:rPr>
            </w:pPr>
            <w:r>
              <w:rPr>
                <w:sz w:val="21"/>
              </w:rPr>
              <w:t>系统性硬化病（硬皮病）</w:t>
            </w:r>
          </w:p>
        </w:tc>
        <w:tc>
          <w:tcPr>
            <w:tcW w:w="3188" w:type="dxa"/>
          </w:tcPr>
          <w:p>
            <w:pPr>
              <w:pStyle w:val="TableParagraph"/>
              <w:spacing w:line="262" w:lineRule="exact"/>
              <w:ind w:left="107"/>
              <w:rPr>
                <w:sz w:val="21"/>
              </w:rPr>
            </w:pPr>
            <w:r>
              <w:rPr>
                <w:sz w:val="21"/>
              </w:rPr>
              <w:t>植物人状态</w:t>
            </w:r>
          </w:p>
        </w:tc>
      </w:tr>
      <w:tr>
        <w:trPr>
          <w:trHeight w:val="311" w:hRule="atLeast"/>
        </w:trPr>
        <w:tc>
          <w:tcPr>
            <w:tcW w:w="538" w:type="dxa"/>
          </w:tcPr>
          <w:p>
            <w:pPr>
              <w:pStyle w:val="TableParagraph"/>
              <w:spacing w:line="262" w:lineRule="exact"/>
              <w:ind w:left="143" w:right="134"/>
              <w:jc w:val="center"/>
              <w:rPr>
                <w:sz w:val="21"/>
              </w:rPr>
            </w:pPr>
            <w:r>
              <w:rPr>
                <w:sz w:val="21"/>
              </w:rPr>
              <w:t>18</w:t>
            </w:r>
          </w:p>
        </w:tc>
        <w:tc>
          <w:tcPr>
            <w:tcW w:w="3188" w:type="dxa"/>
          </w:tcPr>
          <w:p>
            <w:pPr>
              <w:pStyle w:val="TableParagraph"/>
              <w:spacing w:line="262" w:lineRule="exact"/>
              <w:ind w:left="109"/>
              <w:rPr>
                <w:sz w:val="21"/>
              </w:rPr>
            </w:pPr>
            <w:r>
              <w:rPr>
                <w:sz w:val="21"/>
              </w:rPr>
              <w:t>慢性复发性胰腺炎</w:t>
            </w:r>
          </w:p>
        </w:tc>
        <w:tc>
          <w:tcPr>
            <w:tcW w:w="3186" w:type="dxa"/>
          </w:tcPr>
          <w:p>
            <w:pPr>
              <w:pStyle w:val="TableParagraph"/>
              <w:rPr>
                <w:rFonts w:ascii="Times New Roman"/>
                <w:sz w:val="20"/>
              </w:rPr>
            </w:pPr>
          </w:p>
        </w:tc>
        <w:tc>
          <w:tcPr>
            <w:tcW w:w="3188" w:type="dxa"/>
          </w:tcPr>
          <w:p>
            <w:pPr>
              <w:pStyle w:val="TableParagraph"/>
              <w:spacing w:line="262" w:lineRule="exact"/>
              <w:ind w:left="107"/>
              <w:rPr>
                <w:sz w:val="21"/>
              </w:rPr>
            </w:pPr>
            <w:r>
              <w:rPr>
                <w:sz w:val="21"/>
              </w:rPr>
              <w:t>肌营养不良症</w:t>
            </w:r>
          </w:p>
        </w:tc>
      </w:tr>
    </w:tbl>
    <w:p>
      <w:pPr>
        <w:spacing w:after="0" w:line="262"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3188"/>
        <w:gridCol w:w="3186"/>
        <w:gridCol w:w="3188"/>
      </w:tblGrid>
      <w:tr>
        <w:trPr>
          <w:trHeight w:val="313" w:hRule="atLeast"/>
        </w:trPr>
        <w:tc>
          <w:tcPr>
            <w:tcW w:w="538" w:type="dxa"/>
          </w:tcPr>
          <w:p>
            <w:pPr>
              <w:pStyle w:val="TableParagraph"/>
              <w:spacing w:line="259" w:lineRule="exact"/>
              <w:ind w:left="143" w:right="134"/>
              <w:jc w:val="center"/>
              <w:rPr>
                <w:sz w:val="21"/>
              </w:rPr>
            </w:pPr>
            <w:r>
              <w:rPr>
                <w:sz w:val="21"/>
              </w:rPr>
              <w:t>19</w:t>
            </w:r>
          </w:p>
        </w:tc>
        <w:tc>
          <w:tcPr>
            <w:tcW w:w="3188" w:type="dxa"/>
          </w:tcPr>
          <w:p>
            <w:pPr>
              <w:pStyle w:val="TableParagraph"/>
              <w:spacing w:line="259" w:lineRule="exact"/>
              <w:ind w:left="109"/>
              <w:rPr>
                <w:sz w:val="21"/>
              </w:rPr>
            </w:pPr>
            <w:r>
              <w:rPr>
                <w:sz w:val="21"/>
              </w:rPr>
              <w:t>急性坏死性胰腺炎</w:t>
            </w:r>
          </w:p>
        </w:tc>
        <w:tc>
          <w:tcPr>
            <w:tcW w:w="3186" w:type="dxa"/>
          </w:tcPr>
          <w:p>
            <w:pPr>
              <w:pStyle w:val="TableParagraph"/>
              <w:rPr>
                <w:rFonts w:ascii="Times New Roman"/>
                <w:sz w:val="20"/>
              </w:rPr>
            </w:pPr>
          </w:p>
        </w:tc>
        <w:tc>
          <w:tcPr>
            <w:tcW w:w="3188" w:type="dxa"/>
          </w:tcPr>
          <w:p>
            <w:pPr>
              <w:pStyle w:val="TableParagraph"/>
              <w:spacing w:line="259" w:lineRule="exact"/>
              <w:ind w:left="107"/>
              <w:rPr>
                <w:sz w:val="21"/>
              </w:rPr>
            </w:pPr>
            <w:r>
              <w:rPr>
                <w:sz w:val="21"/>
              </w:rPr>
              <w:t>非阿尔茨海默病所致严重痴呆</w:t>
            </w:r>
          </w:p>
        </w:tc>
      </w:tr>
      <w:tr>
        <w:trPr>
          <w:trHeight w:val="311" w:hRule="atLeast"/>
        </w:trPr>
        <w:tc>
          <w:tcPr>
            <w:tcW w:w="538" w:type="dxa"/>
          </w:tcPr>
          <w:p>
            <w:pPr>
              <w:pStyle w:val="TableParagraph"/>
              <w:spacing w:line="257" w:lineRule="exact"/>
              <w:ind w:left="143" w:right="134"/>
              <w:jc w:val="center"/>
              <w:rPr>
                <w:sz w:val="21"/>
              </w:rPr>
            </w:pPr>
            <w:r>
              <w:rPr>
                <w:sz w:val="21"/>
              </w:rPr>
              <w:t>20</w:t>
            </w:r>
          </w:p>
        </w:tc>
        <w:tc>
          <w:tcPr>
            <w:tcW w:w="3188" w:type="dxa"/>
          </w:tcPr>
          <w:p>
            <w:pPr>
              <w:pStyle w:val="TableParagraph"/>
              <w:spacing w:line="257" w:lineRule="exact"/>
              <w:ind w:left="109"/>
              <w:rPr>
                <w:sz w:val="21"/>
              </w:rPr>
            </w:pPr>
            <w:r>
              <w:rPr>
                <w:sz w:val="21"/>
              </w:rPr>
              <w:t>严重哮喘</w:t>
            </w:r>
          </w:p>
        </w:tc>
        <w:tc>
          <w:tcPr>
            <w:tcW w:w="3186" w:type="dxa"/>
          </w:tcPr>
          <w:p>
            <w:pPr>
              <w:pStyle w:val="TableParagraph"/>
              <w:rPr>
                <w:rFonts w:ascii="Times New Roman"/>
                <w:sz w:val="20"/>
              </w:rPr>
            </w:pPr>
          </w:p>
        </w:tc>
        <w:tc>
          <w:tcPr>
            <w:tcW w:w="3188" w:type="dxa"/>
          </w:tcPr>
          <w:p>
            <w:pPr>
              <w:pStyle w:val="TableParagraph"/>
              <w:spacing w:line="257" w:lineRule="exact"/>
              <w:ind w:left="107"/>
              <w:rPr>
                <w:sz w:val="21"/>
              </w:rPr>
            </w:pPr>
            <w:r>
              <w:rPr>
                <w:sz w:val="21"/>
              </w:rPr>
              <w:t>破裂脑动脉瘤夹闭手术</w:t>
            </w:r>
          </w:p>
        </w:tc>
      </w:tr>
      <w:tr>
        <w:trPr>
          <w:trHeight w:val="311" w:hRule="atLeast"/>
        </w:trPr>
        <w:tc>
          <w:tcPr>
            <w:tcW w:w="538" w:type="dxa"/>
          </w:tcPr>
          <w:p>
            <w:pPr>
              <w:pStyle w:val="TableParagraph"/>
              <w:spacing w:line="257" w:lineRule="exact"/>
              <w:ind w:left="143" w:right="134"/>
              <w:jc w:val="center"/>
              <w:rPr>
                <w:sz w:val="21"/>
              </w:rPr>
            </w:pPr>
            <w:r>
              <w:rPr>
                <w:sz w:val="21"/>
              </w:rPr>
              <w:t>21</w:t>
            </w:r>
          </w:p>
        </w:tc>
        <w:tc>
          <w:tcPr>
            <w:tcW w:w="3188" w:type="dxa"/>
          </w:tcPr>
          <w:p>
            <w:pPr>
              <w:pStyle w:val="TableParagraph"/>
              <w:spacing w:line="257" w:lineRule="exact"/>
              <w:ind w:left="109"/>
              <w:rPr>
                <w:sz w:val="21"/>
              </w:rPr>
            </w:pPr>
            <w:r>
              <w:rPr>
                <w:sz w:val="21"/>
              </w:rPr>
              <w:t>嗜铬细胞瘤</w:t>
            </w:r>
          </w:p>
        </w:tc>
        <w:tc>
          <w:tcPr>
            <w:tcW w:w="3186" w:type="dxa"/>
          </w:tcPr>
          <w:p>
            <w:pPr>
              <w:pStyle w:val="TableParagraph"/>
              <w:rPr>
                <w:rFonts w:ascii="Times New Roman"/>
                <w:sz w:val="20"/>
              </w:rPr>
            </w:pPr>
          </w:p>
        </w:tc>
        <w:tc>
          <w:tcPr>
            <w:tcW w:w="3188" w:type="dxa"/>
          </w:tcPr>
          <w:p>
            <w:pPr>
              <w:pStyle w:val="TableParagraph"/>
              <w:spacing w:line="257" w:lineRule="exact"/>
              <w:ind w:left="107"/>
              <w:rPr>
                <w:sz w:val="21"/>
              </w:rPr>
            </w:pPr>
            <w:r>
              <w:rPr>
                <w:sz w:val="21"/>
              </w:rPr>
              <w:t>疯牛病</w:t>
            </w:r>
          </w:p>
        </w:tc>
      </w:tr>
      <w:tr>
        <w:trPr>
          <w:trHeight w:val="311" w:hRule="atLeast"/>
        </w:trPr>
        <w:tc>
          <w:tcPr>
            <w:tcW w:w="538" w:type="dxa"/>
          </w:tcPr>
          <w:p>
            <w:pPr>
              <w:pStyle w:val="TableParagraph"/>
              <w:spacing w:line="257" w:lineRule="exact"/>
              <w:ind w:left="143" w:right="134"/>
              <w:jc w:val="center"/>
              <w:rPr>
                <w:sz w:val="21"/>
              </w:rPr>
            </w:pPr>
            <w:r>
              <w:rPr>
                <w:sz w:val="21"/>
              </w:rPr>
              <w:t>22</w:t>
            </w:r>
          </w:p>
        </w:tc>
        <w:tc>
          <w:tcPr>
            <w:tcW w:w="3188" w:type="dxa"/>
          </w:tcPr>
          <w:p>
            <w:pPr>
              <w:pStyle w:val="TableParagraph"/>
              <w:spacing w:line="257" w:lineRule="exact"/>
              <w:ind w:left="109"/>
              <w:rPr>
                <w:sz w:val="21"/>
              </w:rPr>
            </w:pPr>
            <w:r>
              <w:rPr>
                <w:sz w:val="21"/>
              </w:rPr>
              <w:t>埃博拉病毒感染</w:t>
            </w:r>
          </w:p>
        </w:tc>
        <w:tc>
          <w:tcPr>
            <w:tcW w:w="3186" w:type="dxa"/>
          </w:tcPr>
          <w:p>
            <w:pPr>
              <w:pStyle w:val="TableParagraph"/>
              <w:rPr>
                <w:rFonts w:ascii="Times New Roman"/>
                <w:sz w:val="20"/>
              </w:rPr>
            </w:pPr>
          </w:p>
        </w:tc>
        <w:tc>
          <w:tcPr>
            <w:tcW w:w="3188" w:type="dxa"/>
          </w:tcPr>
          <w:p>
            <w:pPr>
              <w:pStyle w:val="TableParagraph"/>
              <w:rPr>
                <w:rFonts w:ascii="Times New Roman"/>
                <w:sz w:val="20"/>
              </w:rPr>
            </w:pPr>
          </w:p>
        </w:tc>
      </w:tr>
    </w:tbl>
    <w:p>
      <w:pPr>
        <w:pStyle w:val="BodyText"/>
        <w:spacing w:before="4"/>
        <w:rPr>
          <w:b/>
          <w:sz w:val="18"/>
        </w:rPr>
      </w:pPr>
    </w:p>
    <w:p>
      <w:pPr>
        <w:spacing w:before="26" w:after="38"/>
        <w:ind w:left="220" w:right="0" w:firstLine="0"/>
        <w:jc w:val="left"/>
        <w:rPr>
          <w:b/>
          <w:sz w:val="24"/>
        </w:rPr>
      </w:pPr>
      <w:r>
        <w:rPr>
          <w:b/>
          <w:sz w:val="24"/>
        </w:rPr>
        <w:t>附录三 轻症疾病列表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2807" w:hRule="atLeast"/>
        </w:trPr>
        <w:tc>
          <w:tcPr>
            <w:tcW w:w="852" w:type="dxa"/>
          </w:tcPr>
          <w:p>
            <w:pPr>
              <w:pStyle w:val="TableParagraph"/>
              <w:spacing w:line="262" w:lineRule="exact"/>
              <w:ind w:left="107"/>
              <w:rPr>
                <w:b/>
                <w:sz w:val="21"/>
              </w:rPr>
            </w:pPr>
            <w:r>
              <w:rPr>
                <w:b/>
                <w:w w:val="100"/>
                <w:sz w:val="21"/>
              </w:rPr>
              <w:t>一</w:t>
            </w:r>
          </w:p>
        </w:tc>
        <w:tc>
          <w:tcPr>
            <w:tcW w:w="1932" w:type="dxa"/>
          </w:tcPr>
          <w:p>
            <w:pPr>
              <w:pStyle w:val="TableParagraph"/>
              <w:spacing w:line="273" w:lineRule="auto"/>
              <w:ind w:left="107" w:right="122"/>
              <w:rPr>
                <w:b/>
                <w:sz w:val="21"/>
              </w:rPr>
            </w:pPr>
            <w:r>
              <w:rPr>
                <w:b/>
                <w:sz w:val="21"/>
              </w:rPr>
              <w:t>极早期恶性肿瘤或恶性病变</w:t>
            </w:r>
          </w:p>
        </w:tc>
        <w:tc>
          <w:tcPr>
            <w:tcW w:w="7306" w:type="dxa"/>
          </w:tcPr>
          <w:p>
            <w:pPr>
              <w:pStyle w:val="TableParagraph"/>
              <w:spacing w:line="262" w:lineRule="exact"/>
              <w:ind w:left="107"/>
              <w:jc w:val="both"/>
              <w:rPr>
                <w:sz w:val="21"/>
              </w:rPr>
            </w:pPr>
            <w:r>
              <w:rPr>
                <w:sz w:val="21"/>
              </w:rPr>
              <w:t>指经组织病理学检查被明确诊断为下列恶性病变，并且接受了相应的治疗。</w:t>
            </w:r>
          </w:p>
          <w:p>
            <w:pPr>
              <w:pStyle w:val="TableParagraph"/>
              <w:spacing w:before="37"/>
              <w:ind w:left="107"/>
              <w:jc w:val="both"/>
              <w:rPr>
                <w:sz w:val="21"/>
              </w:rPr>
            </w:pPr>
            <w:r>
              <w:rPr>
                <w:sz w:val="21"/>
              </w:rPr>
              <w:t>（1）原位癌*；</w:t>
            </w:r>
          </w:p>
          <w:p>
            <w:pPr>
              <w:pStyle w:val="TableParagraph"/>
              <w:spacing w:before="37"/>
              <w:ind w:left="107"/>
              <w:jc w:val="both"/>
              <w:rPr>
                <w:sz w:val="21"/>
              </w:rPr>
            </w:pPr>
            <w:r>
              <w:rPr>
                <w:sz w:val="21"/>
              </w:rPr>
              <w:t>（2）相当于 Binet 分期方案 A 期程度的慢性淋巴细胞白血病；</w:t>
            </w:r>
          </w:p>
          <w:p>
            <w:pPr>
              <w:pStyle w:val="TableParagraph"/>
              <w:spacing w:before="37"/>
              <w:ind w:left="107"/>
              <w:jc w:val="both"/>
              <w:rPr>
                <w:sz w:val="21"/>
              </w:rPr>
            </w:pPr>
            <w:r>
              <w:rPr>
                <w:sz w:val="21"/>
              </w:rPr>
              <w:t>（3）相当于 Ann Arbor 分期方案 I 期程度的何杰金氏病；</w:t>
            </w:r>
          </w:p>
          <w:p>
            <w:pPr>
              <w:pStyle w:val="TableParagraph"/>
              <w:spacing w:before="37"/>
              <w:ind w:left="10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3" w:lineRule="auto" w:before="37"/>
              <w:ind w:left="107" w:right="93"/>
              <w:jc w:val="both"/>
              <w:rPr>
                <w:sz w:val="21"/>
              </w:rPr>
            </w:pPr>
            <w:r>
              <w:rPr>
                <w:sz w:val="21"/>
              </w:rPr>
              <w:t>*</w:t>
            </w:r>
            <w:r>
              <w:rPr>
                <w:spacing w:val="-5"/>
                <w:sz w:val="21"/>
              </w:rPr>
              <w:t> 原位癌：指恶性细胞局限于上皮内尚未穿破基底膜浸润周围正常组织的癌细</w:t>
            </w:r>
            <w:r>
              <w:rPr>
                <w:spacing w:val="-8"/>
                <w:sz w:val="21"/>
              </w:rPr>
              <w:t>胞新生物。原位癌必须经对固定活组织的组织病理学检查明确诊断。被保险人</w:t>
            </w:r>
            <w:r>
              <w:rPr>
                <w:spacing w:val="-3"/>
                <w:sz w:val="21"/>
              </w:rPr>
              <w:t>必须已经在医院接受了针对原位癌病灶的治疗。</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62" w:lineRule="exact"/>
              <w:ind w:left="107"/>
              <w:rPr>
                <w:b/>
                <w:sz w:val="21"/>
              </w:rPr>
            </w:pPr>
            <w:r>
              <w:rPr>
                <w:b/>
                <w:w w:val="100"/>
                <w:sz w:val="21"/>
              </w:rPr>
              <w:t>二</w:t>
            </w:r>
          </w:p>
        </w:tc>
        <w:tc>
          <w:tcPr>
            <w:tcW w:w="1932" w:type="dxa"/>
          </w:tcPr>
          <w:p>
            <w:pPr>
              <w:pStyle w:val="TableParagraph"/>
              <w:spacing w:line="262" w:lineRule="exact"/>
              <w:ind w:left="107"/>
              <w:rPr>
                <w:b/>
                <w:sz w:val="21"/>
              </w:rPr>
            </w:pPr>
            <w:r>
              <w:rPr>
                <w:b/>
                <w:sz w:val="21"/>
              </w:rPr>
              <w:t>轻微脑中风</w:t>
            </w:r>
          </w:p>
        </w:tc>
        <w:tc>
          <w:tcPr>
            <w:tcW w:w="7306" w:type="dxa"/>
          </w:tcPr>
          <w:p>
            <w:pPr>
              <w:pStyle w:val="TableParagraph"/>
              <w:spacing w:line="273" w:lineRule="auto"/>
              <w:ind w:left="107" w:right="-15"/>
              <w:rPr>
                <w:sz w:val="21"/>
              </w:rPr>
            </w:pPr>
            <w:r>
              <w:rPr>
                <w:spacing w:val="-6"/>
                <w:sz w:val="21"/>
              </w:rPr>
              <w:t>指实际发生了脑血管的突发病变，出现了神经系统功能障碍表现，并住院接受</w:t>
            </w:r>
            <w:r>
              <w:rPr>
                <w:spacing w:val="-10"/>
                <w:w w:val="100"/>
                <w:sz w:val="21"/>
              </w:rPr>
              <w:t>治疗，头颅断层扫描</w:t>
            </w:r>
            <w:r>
              <w:rPr>
                <w:w w:val="100"/>
                <w:sz w:val="21"/>
              </w:rPr>
              <w:t>（C</w:t>
            </w:r>
            <w:r>
              <w:rPr>
                <w:spacing w:val="-3"/>
                <w:w w:val="100"/>
                <w:sz w:val="21"/>
              </w:rPr>
              <w:t>T</w:t>
            </w:r>
            <w:r>
              <w:rPr>
                <w:spacing w:val="-108"/>
                <w:w w:val="100"/>
                <w:sz w:val="21"/>
              </w:rPr>
              <w:t>）</w:t>
            </w:r>
            <w:r>
              <w:rPr>
                <w:spacing w:val="-14"/>
                <w:w w:val="100"/>
                <w:sz w:val="21"/>
              </w:rPr>
              <w:t>、核磁共振</w:t>
            </w:r>
            <w:r>
              <w:rPr>
                <w:w w:val="100"/>
                <w:sz w:val="21"/>
              </w:rPr>
              <w:t>（M</w:t>
            </w:r>
            <w:r>
              <w:rPr>
                <w:spacing w:val="-3"/>
                <w:w w:val="100"/>
                <w:sz w:val="21"/>
              </w:rPr>
              <w:t>R</w:t>
            </w:r>
            <w:r>
              <w:rPr>
                <w:spacing w:val="-1"/>
                <w:w w:val="100"/>
                <w:sz w:val="21"/>
              </w:rPr>
              <w:t>I</w:t>
            </w:r>
            <w:r>
              <w:rPr>
                <w:spacing w:val="-32"/>
                <w:w w:val="100"/>
                <w:sz w:val="21"/>
              </w:rPr>
              <w:t>）</w:t>
            </w:r>
            <w:r>
              <w:rPr>
                <w:spacing w:val="-3"/>
                <w:w w:val="100"/>
                <w:sz w:val="21"/>
              </w:rPr>
              <w:t>等影像学检查证实存在对应病灶，</w:t>
            </w:r>
            <w:r>
              <w:rPr>
                <w:spacing w:val="-11"/>
                <w:sz w:val="21"/>
              </w:rPr>
              <w:t>确诊为脑出血、脑栓塞或脑梗塞，在确诊 </w:t>
            </w:r>
            <w:r>
              <w:rPr>
                <w:sz w:val="21"/>
              </w:rPr>
              <w:t>180</w:t>
            </w:r>
            <w:r>
              <w:rPr>
                <w:spacing w:val="-8"/>
                <w:sz w:val="21"/>
              </w:rPr>
              <w:t> 天后神经系统功能障碍程度未达</w:t>
            </w:r>
            <w:r>
              <w:rPr>
                <w:spacing w:val="-3"/>
                <w:sz w:val="21"/>
              </w:rPr>
              <w:t>到重大疾病“脑中风后遗症”的给付标准。短暂性脑缺血发作</w:t>
            </w:r>
            <w:r>
              <w:rPr>
                <w:sz w:val="21"/>
              </w:rPr>
              <w:t>（TIA）</w:t>
            </w:r>
            <w:r>
              <w:rPr>
                <w:spacing w:val="-3"/>
                <w:sz w:val="21"/>
              </w:rPr>
              <w:t>和腔隙 性脑梗塞不在保障范围。</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247" w:hRule="atLeast"/>
        </w:trPr>
        <w:tc>
          <w:tcPr>
            <w:tcW w:w="852" w:type="dxa"/>
          </w:tcPr>
          <w:p>
            <w:pPr>
              <w:pStyle w:val="TableParagraph"/>
              <w:spacing w:line="262" w:lineRule="exact"/>
              <w:ind w:left="107"/>
              <w:rPr>
                <w:b/>
                <w:sz w:val="21"/>
              </w:rPr>
            </w:pPr>
            <w:r>
              <w:rPr>
                <w:b/>
                <w:w w:val="100"/>
                <w:sz w:val="21"/>
              </w:rPr>
              <w:t>三</w:t>
            </w:r>
          </w:p>
        </w:tc>
        <w:tc>
          <w:tcPr>
            <w:tcW w:w="1932" w:type="dxa"/>
          </w:tcPr>
          <w:p>
            <w:pPr>
              <w:pStyle w:val="TableParagraph"/>
              <w:spacing w:line="262" w:lineRule="exact"/>
              <w:ind w:left="107"/>
              <w:rPr>
                <w:b/>
                <w:sz w:val="21"/>
              </w:rPr>
            </w:pPr>
            <w:r>
              <w:rPr>
                <w:b/>
                <w:sz w:val="21"/>
              </w:rPr>
              <w:t>不典型心肌梗塞</w:t>
            </w:r>
          </w:p>
        </w:tc>
        <w:tc>
          <w:tcPr>
            <w:tcW w:w="7306" w:type="dxa"/>
          </w:tcPr>
          <w:p>
            <w:pPr>
              <w:pStyle w:val="TableParagraph"/>
              <w:spacing w:line="273" w:lineRule="auto"/>
              <w:ind w:left="107" w:right="249"/>
              <w:rPr>
                <w:sz w:val="21"/>
              </w:rPr>
            </w:pPr>
            <w:r>
              <w:rPr>
                <w:sz w:val="21"/>
              </w:rPr>
              <w:t>指被临床诊断为急性心肌梗塞并接受了急性心肌梗塞治疗虽然未达到重大疾病“急性心肌梗塞”的给付标准，但满足下列全部条件：</w:t>
            </w:r>
          </w:p>
          <w:p>
            <w:pPr>
              <w:pStyle w:val="TableParagraph"/>
              <w:spacing w:before="20"/>
              <w:ind w:left="107"/>
              <w:rPr>
                <w:sz w:val="21"/>
              </w:rPr>
            </w:pPr>
            <w:r>
              <w:rPr>
                <w:sz w:val="21"/>
              </w:rPr>
              <w:t>（1）肌钙蛋白有诊断意义的升高；</w:t>
            </w:r>
          </w:p>
          <w:p>
            <w:pPr>
              <w:pStyle w:val="TableParagraph"/>
              <w:spacing w:before="36"/>
              <w:ind w:left="107"/>
              <w:rPr>
                <w:sz w:val="21"/>
              </w:rPr>
            </w:pPr>
            <w:r>
              <w:rPr>
                <w:sz w:val="21"/>
              </w:rPr>
              <w:t>（2）心电图有损伤性的 ST 段改变但未出现病理 Q 波。</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2183" w:hRule="atLeast"/>
        </w:trPr>
        <w:tc>
          <w:tcPr>
            <w:tcW w:w="852" w:type="dxa"/>
          </w:tcPr>
          <w:p>
            <w:pPr>
              <w:pStyle w:val="TableParagraph"/>
              <w:spacing w:line="262" w:lineRule="exact"/>
              <w:ind w:left="107"/>
              <w:rPr>
                <w:b/>
                <w:sz w:val="21"/>
              </w:rPr>
            </w:pPr>
            <w:r>
              <w:rPr>
                <w:b/>
                <w:w w:val="100"/>
                <w:sz w:val="21"/>
              </w:rPr>
              <w:t>四</w:t>
            </w:r>
          </w:p>
        </w:tc>
        <w:tc>
          <w:tcPr>
            <w:tcW w:w="1932" w:type="dxa"/>
          </w:tcPr>
          <w:p>
            <w:pPr>
              <w:pStyle w:val="TableParagraph"/>
              <w:spacing w:line="262" w:lineRule="exact"/>
              <w:ind w:left="107"/>
              <w:rPr>
                <w:b/>
                <w:sz w:val="21"/>
              </w:rPr>
            </w:pPr>
            <w:r>
              <w:rPr>
                <w:b/>
                <w:sz w:val="21"/>
              </w:rPr>
              <w:t>视力严重受损</w:t>
            </w:r>
          </w:p>
        </w:tc>
        <w:tc>
          <w:tcPr>
            <w:tcW w:w="7306" w:type="dxa"/>
          </w:tcPr>
          <w:p>
            <w:pPr>
              <w:pStyle w:val="TableParagraph"/>
              <w:spacing w:line="273" w:lineRule="auto"/>
              <w:ind w:left="107" w:right="30" w:hanging="1"/>
              <w:rPr>
                <w:sz w:val="21"/>
              </w:rPr>
            </w:pPr>
            <w:r>
              <w:rPr>
                <w:sz w:val="21"/>
              </w:rPr>
              <w:t>指因疾病或意外伤害导致双目视力</w:t>
            </w:r>
            <w:r>
              <w:rPr>
                <w:b/>
                <w:sz w:val="21"/>
              </w:rPr>
              <w:t>永久不可逆</w:t>
            </w:r>
            <w:r>
              <w:rPr>
                <w:sz w:val="21"/>
              </w:rPr>
              <w:t>（见附录二注 4）性丧失，虽然未达到重大疾病“双目失明”的给付标准，但满足下列全部条件：</w:t>
            </w:r>
          </w:p>
          <w:p>
            <w:pPr>
              <w:pStyle w:val="TableParagraph"/>
              <w:spacing w:line="273" w:lineRule="auto" w:before="20"/>
              <w:ind w:left="633" w:right="96" w:hanging="526"/>
              <w:rPr>
                <w:sz w:val="21"/>
              </w:rPr>
            </w:pPr>
            <w:r>
              <w:rPr>
                <w:spacing w:val="-13"/>
                <w:sz w:val="21"/>
              </w:rPr>
              <w:t>（1）</w:t>
            </w:r>
            <w:r>
              <w:rPr>
                <w:spacing w:val="-5"/>
                <w:sz w:val="21"/>
              </w:rPr>
              <w:t>双眼中较好眼矫正视力低于 </w:t>
            </w:r>
            <w:r>
              <w:rPr>
                <w:spacing w:val="-10"/>
                <w:sz w:val="21"/>
              </w:rPr>
              <w:t>0.1（</w:t>
            </w:r>
            <w:r>
              <w:rPr>
                <w:spacing w:val="-7"/>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spacing w:before="7"/>
              <w:ind w:left="108"/>
              <w:rPr>
                <w:sz w:val="21"/>
              </w:rPr>
            </w:pPr>
            <w:r>
              <w:rPr>
                <w:sz w:val="21"/>
              </w:rPr>
              <w:t>（2）双眼中较好眼视野半径小于 20 度。</w:t>
            </w:r>
          </w:p>
          <w:p>
            <w:pPr>
              <w:pStyle w:val="TableParagraph"/>
              <w:spacing w:line="237" w:lineRule="auto" w:before="12"/>
              <w:ind w:left="107"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视力丧失诊断及检查证据。</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62" w:lineRule="exact"/>
              <w:ind w:left="107"/>
              <w:rPr>
                <w:b/>
                <w:sz w:val="21"/>
              </w:rPr>
            </w:pPr>
            <w:r>
              <w:rPr>
                <w:b/>
                <w:w w:val="100"/>
                <w:sz w:val="21"/>
              </w:rPr>
              <w:t>五</w:t>
            </w:r>
          </w:p>
        </w:tc>
        <w:tc>
          <w:tcPr>
            <w:tcW w:w="1932" w:type="dxa"/>
          </w:tcPr>
          <w:p>
            <w:pPr>
              <w:pStyle w:val="TableParagraph"/>
              <w:spacing w:line="262" w:lineRule="exact"/>
              <w:ind w:left="107"/>
              <w:rPr>
                <w:b/>
                <w:sz w:val="21"/>
              </w:rPr>
            </w:pPr>
            <w:r>
              <w:rPr>
                <w:b/>
                <w:sz w:val="21"/>
              </w:rPr>
              <w:t>心脏瓣膜介入手术</w:t>
            </w:r>
          </w:p>
          <w:p>
            <w:pPr>
              <w:pStyle w:val="TableParagraph"/>
              <w:spacing w:before="37"/>
              <w:ind w:left="107"/>
              <w:rPr>
                <w:b/>
                <w:sz w:val="21"/>
              </w:rPr>
            </w:pPr>
            <w:r>
              <w:rPr>
                <w:b/>
                <w:sz w:val="21"/>
              </w:rPr>
              <w:t>（非开胸手术）</w:t>
            </w:r>
          </w:p>
        </w:tc>
        <w:tc>
          <w:tcPr>
            <w:tcW w:w="7306" w:type="dxa"/>
          </w:tcPr>
          <w:p>
            <w:pPr>
              <w:pStyle w:val="TableParagraph"/>
              <w:spacing w:line="273" w:lineRule="auto"/>
              <w:ind w:left="107" w:right="93"/>
              <w:rPr>
                <w:sz w:val="21"/>
              </w:rPr>
            </w:pPr>
            <w:r>
              <w:rPr>
                <w:spacing w:val="-8"/>
                <w:sz w:val="21"/>
              </w:rPr>
              <w:t>为了治疗心脏瓣膜疾病，实际实施了非开胸的经胸壁打孔内镜手术或经皮经导</w:t>
            </w:r>
            <w:r>
              <w:rPr>
                <w:spacing w:val="-5"/>
                <w:sz w:val="21"/>
              </w:rPr>
              <w:t>管介入手术进行的心脏瓣膜置换或修复手术。</w:t>
            </w:r>
          </w:p>
        </w:tc>
      </w:tr>
      <w:tr>
        <w:trPr>
          <w:trHeight w:val="217"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3" w:hRule="atLeast"/>
        </w:trPr>
        <w:tc>
          <w:tcPr>
            <w:tcW w:w="852" w:type="dxa"/>
          </w:tcPr>
          <w:p>
            <w:pPr>
              <w:pStyle w:val="TableParagraph"/>
              <w:spacing w:line="262" w:lineRule="exact"/>
              <w:ind w:left="107"/>
              <w:rPr>
                <w:b/>
                <w:sz w:val="21"/>
              </w:rPr>
            </w:pPr>
            <w:r>
              <w:rPr>
                <w:b/>
                <w:w w:val="100"/>
                <w:sz w:val="21"/>
              </w:rPr>
              <w:t>六</w:t>
            </w:r>
          </w:p>
        </w:tc>
        <w:tc>
          <w:tcPr>
            <w:tcW w:w="1932" w:type="dxa"/>
          </w:tcPr>
          <w:p>
            <w:pPr>
              <w:pStyle w:val="TableParagraph"/>
              <w:spacing w:line="273" w:lineRule="auto"/>
              <w:ind w:left="107" w:right="96"/>
              <w:rPr>
                <w:b/>
                <w:sz w:val="21"/>
              </w:rPr>
            </w:pPr>
            <w:r>
              <w:rPr>
                <w:b/>
                <w:sz w:val="21"/>
              </w:rPr>
              <w:t>较小面积III 度烧伤</w:t>
            </w:r>
          </w:p>
        </w:tc>
        <w:tc>
          <w:tcPr>
            <w:tcW w:w="7306" w:type="dxa"/>
          </w:tcPr>
          <w:p>
            <w:pPr>
              <w:pStyle w:val="TableParagraph"/>
              <w:spacing w:line="273" w:lineRule="auto"/>
              <w:ind w:left="107" w:right="43"/>
              <w:rPr>
                <w:sz w:val="21"/>
              </w:rPr>
            </w:pPr>
            <w:r>
              <w:rPr>
                <w:spacing w:val="-5"/>
                <w:sz w:val="21"/>
              </w:rPr>
              <w:t>指烧伤程度为Ⅲ度，且Ⅲ度烧伤的面积达到全身体表面积的 </w:t>
            </w:r>
            <w:r>
              <w:rPr>
                <w:sz w:val="21"/>
              </w:rPr>
              <w:t>10</w:t>
            </w:r>
            <w:r>
              <w:rPr>
                <w:spacing w:val="-9"/>
                <w:sz w:val="21"/>
              </w:rPr>
              <w:t>％但少于 </w:t>
            </w:r>
            <w:r>
              <w:rPr>
                <w:sz w:val="21"/>
              </w:rPr>
              <w:t>20%。</w:t>
            </w:r>
            <w:r>
              <w:rPr>
                <w:spacing w:val="-3"/>
                <w:sz w:val="21"/>
              </w:rPr>
              <w:t>体表面积根据《中国新九分法》计算。</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1559" w:hRule="atLeast"/>
        </w:trPr>
        <w:tc>
          <w:tcPr>
            <w:tcW w:w="852" w:type="dxa"/>
          </w:tcPr>
          <w:p>
            <w:pPr>
              <w:pStyle w:val="TableParagraph"/>
              <w:spacing w:line="262" w:lineRule="exact"/>
              <w:ind w:left="107"/>
              <w:rPr>
                <w:b/>
                <w:sz w:val="21"/>
              </w:rPr>
            </w:pPr>
            <w:r>
              <w:rPr>
                <w:b/>
                <w:w w:val="100"/>
                <w:sz w:val="21"/>
              </w:rPr>
              <w:t>七</w:t>
            </w:r>
          </w:p>
        </w:tc>
        <w:tc>
          <w:tcPr>
            <w:tcW w:w="1932" w:type="dxa"/>
          </w:tcPr>
          <w:p>
            <w:pPr>
              <w:pStyle w:val="TableParagraph"/>
              <w:spacing w:line="262" w:lineRule="exact"/>
              <w:ind w:left="107"/>
              <w:rPr>
                <w:b/>
                <w:sz w:val="21"/>
              </w:rPr>
            </w:pPr>
            <w:r>
              <w:rPr>
                <w:b/>
                <w:sz w:val="21"/>
              </w:rPr>
              <w:t>重度头部外伤</w:t>
            </w:r>
          </w:p>
        </w:tc>
        <w:tc>
          <w:tcPr>
            <w:tcW w:w="7306" w:type="dxa"/>
          </w:tcPr>
          <w:p>
            <w:pPr>
              <w:pStyle w:val="TableParagraph"/>
              <w:spacing w:line="273" w:lineRule="auto"/>
              <w:ind w:left="107" w:right="-15"/>
              <w:rPr>
                <w:sz w:val="21"/>
              </w:rPr>
            </w:pPr>
            <w:r>
              <w:rPr>
                <w:spacing w:val="-6"/>
                <w:sz w:val="21"/>
              </w:rPr>
              <w:t>指因头部遭受机械性外力，引起脑重要部位损伤，导致神经系统永久性的功能</w:t>
            </w:r>
            <w:r>
              <w:rPr>
                <w:spacing w:val="-19"/>
                <w:w w:val="100"/>
                <w:sz w:val="21"/>
              </w:rPr>
              <w:t>障碍。须由颅断层扫描</w:t>
            </w:r>
            <w:r>
              <w:rPr>
                <w:w w:val="100"/>
                <w:sz w:val="21"/>
              </w:rPr>
              <w:t>（C</w:t>
            </w:r>
            <w:r>
              <w:rPr>
                <w:spacing w:val="-3"/>
                <w:w w:val="100"/>
                <w:sz w:val="21"/>
              </w:rPr>
              <w:t>T</w:t>
            </w:r>
            <w:r>
              <w:rPr>
                <w:spacing w:val="-106"/>
                <w:w w:val="100"/>
                <w:sz w:val="21"/>
              </w:rPr>
              <w:t>）</w:t>
            </w:r>
            <w:r>
              <w:rPr>
                <w:spacing w:val="-25"/>
                <w:w w:val="100"/>
                <w:sz w:val="21"/>
              </w:rPr>
              <w:t>、核磁共振检查</w:t>
            </w:r>
            <w:r>
              <w:rPr>
                <w:spacing w:val="-3"/>
                <w:w w:val="100"/>
                <w:sz w:val="21"/>
              </w:rPr>
              <w:t>（</w:t>
            </w:r>
            <w:r>
              <w:rPr>
                <w:w w:val="100"/>
                <w:sz w:val="21"/>
              </w:rPr>
              <w:t>MRI</w:t>
            </w:r>
            <w:r>
              <w:rPr>
                <w:spacing w:val="-82"/>
                <w:w w:val="100"/>
                <w:sz w:val="21"/>
              </w:rPr>
              <w:t>）</w:t>
            </w:r>
            <w:r>
              <w:rPr>
                <w:spacing w:val="-11"/>
                <w:w w:val="100"/>
                <w:sz w:val="21"/>
              </w:rPr>
              <w:t>或正电子发射断层扫描</w:t>
            </w:r>
            <w:r>
              <w:rPr>
                <w:w w:val="100"/>
                <w:sz w:val="21"/>
              </w:rPr>
              <w:t>（PE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2"/>
                <w:sz w:val="21"/>
              </w:rPr>
              <w:t> 天后，仍完全</w:t>
            </w:r>
            <w:r>
              <w:rPr>
                <w:spacing w:val="-4"/>
                <w:sz w:val="21"/>
              </w:rPr>
              <w:t>丧失自主生活能力，无法独立完成</w:t>
            </w:r>
            <w:r>
              <w:rPr>
                <w:b/>
                <w:spacing w:val="-2"/>
                <w:sz w:val="21"/>
              </w:rPr>
              <w:t>六项基本日常生活活动</w:t>
            </w:r>
            <w:r>
              <w:rPr>
                <w:sz w:val="21"/>
              </w:rPr>
              <w:t>（</w:t>
            </w:r>
            <w:r>
              <w:rPr>
                <w:spacing w:val="-11"/>
                <w:sz w:val="21"/>
              </w:rPr>
              <w:t>见附录二注 </w:t>
            </w:r>
            <w:r>
              <w:rPr>
                <w:spacing w:val="-3"/>
                <w:sz w:val="21"/>
              </w:rPr>
              <w:t>1）</w:t>
            </w:r>
            <w:r>
              <w:rPr>
                <w:sz w:val="21"/>
              </w:rPr>
              <w:t>中</w:t>
            </w:r>
            <w:r>
              <w:rPr>
                <w:spacing w:val="-2"/>
                <w:sz w:val="21"/>
              </w:rPr>
              <w:t>的二项或以上。</w:t>
            </w:r>
          </w:p>
        </w:tc>
      </w:tr>
      <w:tr>
        <w:trPr>
          <w:trHeight w:val="218"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561" w:hRule="atLeast"/>
        </w:trPr>
        <w:tc>
          <w:tcPr>
            <w:tcW w:w="852" w:type="dxa"/>
          </w:tcPr>
          <w:p>
            <w:pPr>
              <w:pStyle w:val="TableParagraph"/>
              <w:spacing w:line="259" w:lineRule="exact"/>
              <w:ind w:left="107"/>
              <w:rPr>
                <w:b/>
                <w:sz w:val="21"/>
              </w:rPr>
            </w:pPr>
            <w:r>
              <w:rPr>
                <w:b/>
                <w:w w:val="100"/>
                <w:sz w:val="21"/>
              </w:rPr>
              <w:t>八</w:t>
            </w:r>
          </w:p>
        </w:tc>
        <w:tc>
          <w:tcPr>
            <w:tcW w:w="1932" w:type="dxa"/>
          </w:tcPr>
          <w:p>
            <w:pPr>
              <w:pStyle w:val="TableParagraph"/>
              <w:spacing w:line="259" w:lineRule="exact"/>
              <w:ind w:left="107" w:right="-15"/>
              <w:rPr>
                <w:b/>
                <w:sz w:val="21"/>
              </w:rPr>
            </w:pPr>
            <w:r>
              <w:rPr>
                <w:b/>
                <w:spacing w:val="-10"/>
                <w:sz w:val="21"/>
              </w:rPr>
              <w:t>脑垂体瘤、脑囊肿、</w:t>
            </w:r>
          </w:p>
          <w:p>
            <w:pPr>
              <w:pStyle w:val="TableParagraph"/>
              <w:spacing w:line="273" w:lineRule="auto" w:before="37"/>
              <w:ind w:left="107" w:right="122"/>
              <w:rPr>
                <w:b/>
                <w:sz w:val="21"/>
              </w:rPr>
            </w:pPr>
            <w:r>
              <w:rPr>
                <w:b/>
                <w:sz w:val="21"/>
              </w:rPr>
              <w:t>脑动脉瘤及脑血管瘤</w:t>
            </w:r>
          </w:p>
        </w:tc>
        <w:tc>
          <w:tcPr>
            <w:tcW w:w="7306" w:type="dxa"/>
          </w:tcPr>
          <w:p>
            <w:pPr>
              <w:pStyle w:val="TableParagraph"/>
              <w:spacing w:line="259" w:lineRule="exact"/>
              <w:ind w:left="107"/>
              <w:rPr>
                <w:sz w:val="21"/>
              </w:rPr>
            </w:pPr>
            <w:r>
              <w:rPr>
                <w:spacing w:val="-5"/>
                <w:w w:val="100"/>
                <w:sz w:val="21"/>
              </w:rPr>
              <w:t>指经头颅断层扫描</w:t>
            </w:r>
            <w:r>
              <w:rPr>
                <w:spacing w:val="-1"/>
                <w:w w:val="100"/>
                <w:sz w:val="21"/>
              </w:rPr>
              <w:t>（</w:t>
            </w:r>
            <w:r>
              <w:rPr>
                <w:w w:val="100"/>
                <w:sz w:val="21"/>
              </w:rPr>
              <w:t>CT</w:t>
            </w:r>
            <w:r>
              <w:rPr>
                <w:spacing w:val="-108"/>
                <w:w w:val="100"/>
                <w:sz w:val="21"/>
              </w:rPr>
              <w:t>）</w:t>
            </w:r>
            <w:r>
              <w:rPr>
                <w:spacing w:val="-8"/>
                <w:w w:val="100"/>
                <w:sz w:val="21"/>
              </w:rPr>
              <w:t>、核磁共振</w:t>
            </w:r>
            <w:r>
              <w:rPr>
                <w:spacing w:val="-1"/>
                <w:w w:val="100"/>
                <w:sz w:val="21"/>
              </w:rPr>
              <w:t>（</w:t>
            </w:r>
            <w:r>
              <w:rPr>
                <w:w w:val="100"/>
                <w:sz w:val="21"/>
              </w:rPr>
              <w:t>MR</w:t>
            </w:r>
            <w:r>
              <w:rPr>
                <w:spacing w:val="-3"/>
                <w:w w:val="100"/>
                <w:sz w:val="21"/>
              </w:rPr>
              <w:t>I</w:t>
            </w:r>
            <w:r>
              <w:rPr>
                <w:spacing w:val="-15"/>
                <w:w w:val="100"/>
                <w:sz w:val="21"/>
              </w:rPr>
              <w:t>）</w:t>
            </w:r>
            <w:r>
              <w:rPr>
                <w:spacing w:val="-3"/>
                <w:w w:val="100"/>
                <w:sz w:val="21"/>
              </w:rPr>
              <w:t>或其他影像学检查被确诊为下列病</w:t>
            </w:r>
          </w:p>
          <w:p>
            <w:pPr>
              <w:pStyle w:val="TableParagraph"/>
              <w:spacing w:before="37"/>
              <w:ind w:left="108"/>
              <w:rPr>
                <w:sz w:val="21"/>
              </w:rPr>
            </w:pPr>
            <w:r>
              <w:rPr>
                <w:sz w:val="21"/>
              </w:rPr>
              <w:t>变，并实际接受了手术或放射治疗。</w:t>
            </w:r>
          </w:p>
          <w:p>
            <w:pPr>
              <w:pStyle w:val="TableParagraph"/>
              <w:spacing w:before="37"/>
              <w:ind w:left="108"/>
              <w:rPr>
                <w:sz w:val="21"/>
              </w:rPr>
            </w:pPr>
            <w:r>
              <w:rPr>
                <w:sz w:val="21"/>
              </w:rPr>
              <w:t>（1）脑垂体瘤；</w:t>
            </w:r>
          </w:p>
          <w:p>
            <w:pPr>
              <w:pStyle w:val="TableParagraph"/>
              <w:spacing w:before="37"/>
              <w:ind w:left="108"/>
              <w:rPr>
                <w:sz w:val="21"/>
              </w:rPr>
            </w:pPr>
            <w:r>
              <w:rPr>
                <w:sz w:val="21"/>
              </w:rPr>
              <w:t>（2）脑囊肿；</w:t>
            </w:r>
          </w:p>
          <w:p>
            <w:pPr>
              <w:pStyle w:val="TableParagraph"/>
              <w:spacing w:before="37"/>
              <w:ind w:left="108"/>
              <w:rPr>
                <w:sz w:val="21"/>
              </w:rPr>
            </w:pPr>
            <w:r>
              <w:rPr>
                <w:sz w:val="21"/>
              </w:rPr>
              <w:t>（3）脑动脉瘤、脑血管瘤。</w:t>
            </w:r>
          </w:p>
        </w:tc>
      </w:tr>
      <w:tr>
        <w:trPr>
          <w:trHeight w:val="215" w:hRule="atLeast"/>
        </w:trPr>
        <w:tc>
          <w:tcPr>
            <w:tcW w:w="852" w:type="dxa"/>
          </w:tcPr>
          <w:p>
            <w:pPr>
              <w:pStyle w:val="TableParagraph"/>
              <w:rPr>
                <w:rFonts w:ascii="Times New Roman"/>
                <w:sz w:val="14"/>
              </w:rPr>
            </w:pPr>
          </w:p>
        </w:tc>
        <w:tc>
          <w:tcPr>
            <w:tcW w:w="1932" w:type="dxa"/>
          </w:tcPr>
          <w:p>
            <w:pPr>
              <w:pStyle w:val="TableParagraph"/>
              <w:rPr>
                <w:rFonts w:ascii="Times New Roman"/>
                <w:sz w:val="14"/>
              </w:rPr>
            </w:pPr>
          </w:p>
        </w:tc>
        <w:tc>
          <w:tcPr>
            <w:tcW w:w="7306" w:type="dxa"/>
          </w:tcPr>
          <w:p>
            <w:pPr>
              <w:pStyle w:val="TableParagraph"/>
              <w:rPr>
                <w:rFonts w:ascii="Times New Roman"/>
                <w:sz w:val="14"/>
              </w:rPr>
            </w:pPr>
          </w:p>
        </w:tc>
      </w:tr>
      <w:tr>
        <w:trPr>
          <w:trHeight w:val="626" w:hRule="atLeast"/>
        </w:trPr>
        <w:tc>
          <w:tcPr>
            <w:tcW w:w="852" w:type="dxa"/>
          </w:tcPr>
          <w:p>
            <w:pPr>
              <w:pStyle w:val="TableParagraph"/>
              <w:spacing w:line="257" w:lineRule="exact"/>
              <w:ind w:left="107"/>
              <w:rPr>
                <w:b/>
                <w:sz w:val="21"/>
              </w:rPr>
            </w:pPr>
            <w:r>
              <w:rPr>
                <w:b/>
                <w:w w:val="100"/>
                <w:sz w:val="21"/>
              </w:rPr>
              <w:t>九</w:t>
            </w:r>
          </w:p>
        </w:tc>
        <w:tc>
          <w:tcPr>
            <w:tcW w:w="1932" w:type="dxa"/>
          </w:tcPr>
          <w:p>
            <w:pPr>
              <w:pStyle w:val="TableParagraph"/>
              <w:spacing w:line="257" w:lineRule="exact"/>
              <w:ind w:left="107"/>
              <w:rPr>
                <w:b/>
                <w:sz w:val="21"/>
              </w:rPr>
            </w:pPr>
            <w:r>
              <w:rPr>
                <w:b/>
                <w:sz w:val="21"/>
              </w:rPr>
              <w:t>主动脉内手术（非</w:t>
            </w:r>
          </w:p>
          <w:p>
            <w:pPr>
              <w:pStyle w:val="TableParagraph"/>
              <w:spacing w:before="37"/>
              <w:ind w:left="107"/>
              <w:rPr>
                <w:b/>
                <w:sz w:val="21"/>
              </w:rPr>
            </w:pPr>
            <w:r>
              <w:rPr>
                <w:b/>
                <w:sz w:val="21"/>
              </w:rPr>
              <w:t>开胸手术）</w:t>
            </w:r>
          </w:p>
        </w:tc>
        <w:tc>
          <w:tcPr>
            <w:tcW w:w="7306" w:type="dxa"/>
          </w:tcPr>
          <w:p>
            <w:pPr>
              <w:pStyle w:val="TableParagraph"/>
              <w:spacing w:line="257" w:lineRule="exact"/>
              <w:ind w:left="107"/>
              <w:rPr>
                <w:sz w:val="21"/>
              </w:rPr>
            </w:pPr>
            <w:r>
              <w:rPr>
                <w:sz w:val="21"/>
              </w:rPr>
              <w:t>为了治疗主动脉疾病实际实施了经皮经导管进行的动脉内手术。主动脉指胸主</w:t>
            </w:r>
          </w:p>
          <w:p>
            <w:pPr>
              <w:pStyle w:val="TableParagraph"/>
              <w:spacing w:before="37"/>
              <w:ind w:left="107"/>
              <w:rPr>
                <w:sz w:val="21"/>
              </w:rPr>
            </w:pPr>
            <w:r>
              <w:rPr>
                <w:sz w:val="21"/>
              </w:rPr>
              <w:t>动脉和腹主动脉，不包括胸主动脉和腹主动脉的分支血管。</w:t>
            </w:r>
          </w:p>
        </w:tc>
      </w:tr>
    </w:tbl>
    <w:sectPr>
      <w:pgSz w:w="11910" w:h="16840"/>
      <w:pgMar w:top="112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68"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5" w:hanging="159"/>
      </w:pPr>
      <w:rPr>
        <w:rFonts w:hint="default"/>
      </w:rPr>
    </w:lvl>
    <w:lvl w:ilvl="5">
      <w:start w:val="0"/>
      <w:numFmt w:val="bullet"/>
      <w:lvlText w:val="•"/>
      <w:lvlJc w:val="left"/>
      <w:pPr>
        <w:ind w:left="3779"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6" w:hanging="159"/>
      </w:pPr>
      <w:rPr>
        <w:rFonts w:hint="default"/>
      </w:rPr>
    </w:lvl>
    <w:lvl w:ilvl="8">
      <w:start w:val="0"/>
      <w:numFmt w:val="bullet"/>
      <w:lvlText w:val="•"/>
      <w:lvlJc w:val="left"/>
      <w:pPr>
        <w:ind w:left="5890" w:hanging="159"/>
      </w:pPr>
      <w:rPr>
        <w:rFonts w:hint="default"/>
      </w:rPr>
    </w:lvl>
  </w:abstractNum>
  <w:abstractNum w:abstractNumId="5">
    <w:multiLevelType w:val="hybridMultilevel"/>
    <w:lvl w:ilvl="0">
      <w:start w:val="8"/>
      <w:numFmt w:val="decimal"/>
      <w:lvlText w:val="%1"/>
      <w:lvlJc w:val="left"/>
      <w:pPr>
        <w:ind w:left="907" w:hanging="423"/>
        <w:jc w:val="left"/>
      </w:pPr>
      <w:rPr>
        <w:rFonts w:hint="default"/>
      </w:rPr>
    </w:lvl>
    <w:lvl w:ilvl="1">
      <w:start w:val="1"/>
      <w:numFmt w:val="decimal"/>
      <w:lvlText w:val="%1.%2"/>
      <w:lvlJc w:val="left"/>
      <w:pPr>
        <w:ind w:left="905" w:hanging="423"/>
        <w:jc w:val="left"/>
      </w:pPr>
      <w:rPr>
        <w:rFonts w:hint="default" w:ascii="宋体" w:hAnsi="宋体" w:eastAsia="宋体" w:cs="宋体"/>
        <w:w w:val="100"/>
        <w:sz w:val="21"/>
        <w:szCs w:val="21"/>
      </w:rPr>
    </w:lvl>
    <w:lvl w:ilvl="2">
      <w:start w:val="0"/>
      <w:numFmt w:val="bullet"/>
      <w:lvlText w:val="•"/>
      <w:lvlJc w:val="left"/>
      <w:pPr>
        <w:ind w:left="2045" w:hanging="423"/>
      </w:pPr>
      <w:rPr>
        <w:rFonts w:hint="default"/>
      </w:rPr>
    </w:lvl>
    <w:lvl w:ilvl="3">
      <w:start w:val="0"/>
      <w:numFmt w:val="bullet"/>
      <w:lvlText w:val="•"/>
      <w:lvlJc w:val="left"/>
      <w:pPr>
        <w:ind w:left="2618" w:hanging="423"/>
      </w:pPr>
      <w:rPr>
        <w:rFonts w:hint="default"/>
      </w:rPr>
    </w:lvl>
    <w:lvl w:ilvl="4">
      <w:start w:val="0"/>
      <w:numFmt w:val="bullet"/>
      <w:lvlText w:val="•"/>
      <w:lvlJc w:val="left"/>
      <w:pPr>
        <w:ind w:left="3191" w:hanging="423"/>
      </w:pPr>
      <w:rPr>
        <w:rFonts w:hint="default"/>
      </w:rPr>
    </w:lvl>
    <w:lvl w:ilvl="5">
      <w:start w:val="0"/>
      <w:numFmt w:val="bullet"/>
      <w:lvlText w:val="•"/>
      <w:lvlJc w:val="left"/>
      <w:pPr>
        <w:ind w:left="3763" w:hanging="423"/>
      </w:pPr>
      <w:rPr>
        <w:rFonts w:hint="default"/>
      </w:rPr>
    </w:lvl>
    <w:lvl w:ilvl="6">
      <w:start w:val="0"/>
      <w:numFmt w:val="bullet"/>
      <w:lvlText w:val="•"/>
      <w:lvlJc w:val="left"/>
      <w:pPr>
        <w:ind w:left="4336" w:hanging="423"/>
      </w:pPr>
      <w:rPr>
        <w:rFonts w:hint="default"/>
      </w:rPr>
    </w:lvl>
    <w:lvl w:ilvl="7">
      <w:start w:val="0"/>
      <w:numFmt w:val="bullet"/>
      <w:lvlText w:val="•"/>
      <w:lvlJc w:val="left"/>
      <w:pPr>
        <w:ind w:left="4909" w:hanging="423"/>
      </w:pPr>
      <w:rPr>
        <w:rFonts w:hint="default"/>
      </w:rPr>
    </w:lvl>
    <w:lvl w:ilvl="8">
      <w:start w:val="0"/>
      <w:numFmt w:val="bullet"/>
      <w:lvlText w:val="•"/>
      <w:lvlJc w:val="left"/>
      <w:pPr>
        <w:ind w:left="5482" w:hanging="423"/>
      </w:pPr>
      <w:rPr>
        <w:rFonts w:hint="default"/>
      </w:rPr>
    </w:lvl>
  </w:abstractNum>
  <w:abstractNum w:abstractNumId="4">
    <w:multiLevelType w:val="hybridMultilevel"/>
    <w:lvl w:ilvl="0">
      <w:start w:val="7"/>
      <w:numFmt w:val="decimal"/>
      <w:lvlText w:val="%1"/>
      <w:lvlJc w:val="left"/>
      <w:pPr>
        <w:ind w:left="907" w:hanging="423"/>
        <w:jc w:val="left"/>
      </w:pPr>
      <w:rPr>
        <w:rFonts w:hint="default"/>
      </w:rPr>
    </w:lvl>
    <w:lvl w:ilvl="1">
      <w:start w:val="1"/>
      <w:numFmt w:val="decimal"/>
      <w:lvlText w:val="%1.%2"/>
      <w:lvlJc w:val="left"/>
      <w:pPr>
        <w:ind w:left="274" w:hanging="423"/>
        <w:jc w:val="left"/>
      </w:pPr>
      <w:rPr>
        <w:rFonts w:hint="default" w:ascii="宋体" w:hAnsi="宋体" w:eastAsia="宋体" w:cs="宋体"/>
        <w:w w:val="100"/>
        <w:sz w:val="21"/>
        <w:szCs w:val="21"/>
      </w:rPr>
    </w:lvl>
    <w:lvl w:ilvl="2">
      <w:start w:val="0"/>
      <w:numFmt w:val="bullet"/>
      <w:lvlText w:val="•"/>
      <w:lvlJc w:val="left"/>
      <w:pPr>
        <w:ind w:left="1536" w:hanging="423"/>
      </w:pPr>
      <w:rPr>
        <w:rFonts w:hint="default"/>
      </w:rPr>
    </w:lvl>
    <w:lvl w:ilvl="3">
      <w:start w:val="0"/>
      <w:numFmt w:val="bullet"/>
      <w:lvlText w:val="•"/>
      <w:lvlJc w:val="left"/>
      <w:pPr>
        <w:ind w:left="2172" w:hanging="423"/>
      </w:pPr>
      <w:rPr>
        <w:rFonts w:hint="default"/>
      </w:rPr>
    </w:lvl>
    <w:lvl w:ilvl="4">
      <w:start w:val="0"/>
      <w:numFmt w:val="bullet"/>
      <w:lvlText w:val="•"/>
      <w:lvlJc w:val="left"/>
      <w:pPr>
        <w:ind w:left="2809" w:hanging="423"/>
      </w:pPr>
      <w:rPr>
        <w:rFonts w:hint="default"/>
      </w:rPr>
    </w:lvl>
    <w:lvl w:ilvl="5">
      <w:start w:val="0"/>
      <w:numFmt w:val="bullet"/>
      <w:lvlText w:val="•"/>
      <w:lvlJc w:val="left"/>
      <w:pPr>
        <w:ind w:left="3445" w:hanging="423"/>
      </w:pPr>
      <w:rPr>
        <w:rFonts w:hint="default"/>
      </w:rPr>
    </w:lvl>
    <w:lvl w:ilvl="6">
      <w:start w:val="0"/>
      <w:numFmt w:val="bullet"/>
      <w:lvlText w:val="•"/>
      <w:lvlJc w:val="left"/>
      <w:pPr>
        <w:ind w:left="4082" w:hanging="423"/>
      </w:pPr>
      <w:rPr>
        <w:rFonts w:hint="default"/>
      </w:rPr>
    </w:lvl>
    <w:lvl w:ilvl="7">
      <w:start w:val="0"/>
      <w:numFmt w:val="bullet"/>
      <w:lvlText w:val="•"/>
      <w:lvlJc w:val="left"/>
      <w:pPr>
        <w:ind w:left="4718" w:hanging="423"/>
      </w:pPr>
      <w:rPr>
        <w:rFonts w:hint="default"/>
      </w:rPr>
    </w:lvl>
    <w:lvl w:ilvl="8">
      <w:start w:val="0"/>
      <w:numFmt w:val="bullet"/>
      <w:lvlText w:val="•"/>
      <w:lvlJc w:val="left"/>
      <w:pPr>
        <w:ind w:left="5355" w:hanging="423"/>
      </w:pPr>
      <w:rPr>
        <w:rFonts w:hint="default"/>
      </w:rPr>
    </w:lvl>
  </w:abstractNum>
  <w:abstractNum w:abstractNumId="3">
    <w:multiLevelType w:val="hybridMultilevel"/>
    <w:lvl w:ilvl="0">
      <w:start w:val="5"/>
      <w:numFmt w:val="decimal"/>
      <w:lvlText w:val="%1"/>
      <w:lvlJc w:val="left"/>
      <w:pPr>
        <w:ind w:left="953" w:hanging="423"/>
        <w:jc w:val="left"/>
      </w:pPr>
      <w:rPr>
        <w:rFonts w:hint="default"/>
      </w:rPr>
    </w:lvl>
    <w:lvl w:ilvl="1">
      <w:start w:val="1"/>
      <w:numFmt w:val="decimal"/>
      <w:lvlText w:val="%1.%2"/>
      <w:lvlJc w:val="left"/>
      <w:pPr>
        <w:ind w:left="953" w:hanging="423"/>
        <w:jc w:val="left"/>
      </w:pPr>
      <w:rPr>
        <w:rFonts w:hint="default" w:ascii="宋体" w:hAnsi="宋体" w:eastAsia="宋体" w:cs="宋体"/>
        <w:w w:val="100"/>
        <w:sz w:val="21"/>
        <w:szCs w:val="21"/>
      </w:rPr>
    </w:lvl>
    <w:lvl w:ilvl="2">
      <w:start w:val="0"/>
      <w:numFmt w:val="bullet"/>
      <w:lvlText w:val="•"/>
      <w:lvlJc w:val="left"/>
      <w:pPr>
        <w:ind w:left="1463" w:hanging="423"/>
      </w:pPr>
      <w:rPr>
        <w:rFonts w:hint="default"/>
      </w:rPr>
    </w:lvl>
    <w:lvl w:ilvl="3">
      <w:start w:val="0"/>
      <w:numFmt w:val="bullet"/>
      <w:lvlText w:val="•"/>
      <w:lvlJc w:val="left"/>
      <w:pPr>
        <w:ind w:left="1715" w:hanging="423"/>
      </w:pPr>
      <w:rPr>
        <w:rFonts w:hint="default"/>
      </w:rPr>
    </w:lvl>
    <w:lvl w:ilvl="4">
      <w:start w:val="0"/>
      <w:numFmt w:val="bullet"/>
      <w:lvlText w:val="•"/>
      <w:lvlJc w:val="left"/>
      <w:pPr>
        <w:ind w:left="1967" w:hanging="423"/>
      </w:pPr>
      <w:rPr>
        <w:rFonts w:hint="default"/>
      </w:rPr>
    </w:lvl>
    <w:lvl w:ilvl="5">
      <w:start w:val="0"/>
      <w:numFmt w:val="bullet"/>
      <w:lvlText w:val="•"/>
      <w:lvlJc w:val="left"/>
      <w:pPr>
        <w:ind w:left="2219" w:hanging="423"/>
      </w:pPr>
      <w:rPr>
        <w:rFonts w:hint="default"/>
      </w:rPr>
    </w:lvl>
    <w:lvl w:ilvl="6">
      <w:start w:val="0"/>
      <w:numFmt w:val="bullet"/>
      <w:lvlText w:val="•"/>
      <w:lvlJc w:val="left"/>
      <w:pPr>
        <w:ind w:left="2471" w:hanging="423"/>
      </w:pPr>
      <w:rPr>
        <w:rFonts w:hint="default"/>
      </w:rPr>
    </w:lvl>
    <w:lvl w:ilvl="7">
      <w:start w:val="0"/>
      <w:numFmt w:val="bullet"/>
      <w:lvlText w:val="•"/>
      <w:lvlJc w:val="left"/>
      <w:pPr>
        <w:ind w:left="2722" w:hanging="423"/>
      </w:pPr>
      <w:rPr>
        <w:rFonts w:hint="default"/>
      </w:rPr>
    </w:lvl>
    <w:lvl w:ilvl="8">
      <w:start w:val="0"/>
      <w:numFmt w:val="bullet"/>
      <w:lvlText w:val="•"/>
      <w:lvlJc w:val="left"/>
      <w:pPr>
        <w:ind w:left="2974" w:hanging="423"/>
      </w:pPr>
      <w:rPr>
        <w:rFonts w:hint="default"/>
      </w:rPr>
    </w:lvl>
  </w:abstractNum>
  <w:abstractNum w:abstractNumId="2">
    <w:multiLevelType w:val="hybridMultilevel"/>
    <w:lvl w:ilvl="0">
      <w:start w:val="3"/>
      <w:numFmt w:val="decimal"/>
      <w:lvlText w:val="%1"/>
      <w:lvlJc w:val="left"/>
      <w:pPr>
        <w:ind w:left="1587" w:hanging="423"/>
        <w:jc w:val="left"/>
      </w:pPr>
      <w:rPr>
        <w:rFonts w:hint="default"/>
      </w:rPr>
    </w:lvl>
    <w:lvl w:ilvl="1">
      <w:start w:val="1"/>
      <w:numFmt w:val="decimal"/>
      <w:lvlText w:val="%1.%2"/>
      <w:lvlJc w:val="left"/>
      <w:pPr>
        <w:ind w:left="953" w:hanging="423"/>
        <w:jc w:val="left"/>
      </w:pPr>
      <w:rPr>
        <w:rFonts w:hint="default" w:ascii="宋体" w:hAnsi="宋体" w:eastAsia="宋体" w:cs="宋体"/>
        <w:w w:val="100"/>
        <w:sz w:val="21"/>
        <w:szCs w:val="21"/>
      </w:rPr>
    </w:lvl>
    <w:lvl w:ilvl="2">
      <w:start w:val="0"/>
      <w:numFmt w:val="bullet"/>
      <w:lvlText w:val="•"/>
      <w:lvlJc w:val="left"/>
      <w:pPr>
        <w:ind w:left="1790" w:hanging="423"/>
      </w:pPr>
      <w:rPr>
        <w:rFonts w:hint="default"/>
      </w:rPr>
    </w:lvl>
    <w:lvl w:ilvl="3">
      <w:start w:val="0"/>
      <w:numFmt w:val="bullet"/>
      <w:lvlText w:val="•"/>
      <w:lvlJc w:val="left"/>
      <w:pPr>
        <w:ind w:left="2001" w:hanging="423"/>
      </w:pPr>
      <w:rPr>
        <w:rFonts w:hint="default"/>
      </w:rPr>
    </w:lvl>
    <w:lvl w:ilvl="4">
      <w:start w:val="0"/>
      <w:numFmt w:val="bullet"/>
      <w:lvlText w:val="•"/>
      <w:lvlJc w:val="left"/>
      <w:pPr>
        <w:ind w:left="2212" w:hanging="423"/>
      </w:pPr>
      <w:rPr>
        <w:rFonts w:hint="default"/>
      </w:rPr>
    </w:lvl>
    <w:lvl w:ilvl="5">
      <w:start w:val="0"/>
      <w:numFmt w:val="bullet"/>
      <w:lvlText w:val="•"/>
      <w:lvlJc w:val="left"/>
      <w:pPr>
        <w:ind w:left="2423" w:hanging="423"/>
      </w:pPr>
      <w:rPr>
        <w:rFonts w:hint="default"/>
      </w:rPr>
    </w:lvl>
    <w:lvl w:ilvl="6">
      <w:start w:val="0"/>
      <w:numFmt w:val="bullet"/>
      <w:lvlText w:val="•"/>
      <w:lvlJc w:val="left"/>
      <w:pPr>
        <w:ind w:left="2634" w:hanging="423"/>
      </w:pPr>
      <w:rPr>
        <w:rFonts w:hint="default"/>
      </w:rPr>
    </w:lvl>
    <w:lvl w:ilvl="7">
      <w:start w:val="0"/>
      <w:numFmt w:val="bullet"/>
      <w:lvlText w:val="•"/>
      <w:lvlJc w:val="left"/>
      <w:pPr>
        <w:ind w:left="2845" w:hanging="423"/>
      </w:pPr>
      <w:rPr>
        <w:rFonts w:hint="default"/>
      </w:rPr>
    </w:lvl>
    <w:lvl w:ilvl="8">
      <w:start w:val="0"/>
      <w:numFmt w:val="bullet"/>
      <w:lvlText w:val="•"/>
      <w:lvlJc w:val="left"/>
      <w:pPr>
        <w:ind w:left="3056" w:hanging="423"/>
      </w:pPr>
      <w:rPr>
        <w:rFonts w:hint="default"/>
      </w:rPr>
    </w:lvl>
  </w:abstractNum>
  <w:abstractNum w:abstractNumId="1">
    <w:multiLevelType w:val="hybridMultilevel"/>
    <w:lvl w:ilvl="0">
      <w:start w:val="2"/>
      <w:numFmt w:val="decimal"/>
      <w:lvlText w:val="%1"/>
      <w:lvlJc w:val="left"/>
      <w:pPr>
        <w:ind w:left="1587" w:hanging="423"/>
        <w:jc w:val="left"/>
      </w:pPr>
      <w:rPr>
        <w:rFonts w:hint="default"/>
      </w:rPr>
    </w:lvl>
    <w:lvl w:ilvl="1">
      <w:start w:val="1"/>
      <w:numFmt w:val="decimal"/>
      <w:lvlText w:val="%1.%2"/>
      <w:lvlJc w:val="left"/>
      <w:pPr>
        <w:ind w:left="953" w:hanging="423"/>
        <w:jc w:val="left"/>
      </w:pPr>
      <w:rPr>
        <w:rFonts w:hint="default" w:ascii="宋体" w:hAnsi="宋体" w:eastAsia="宋体" w:cs="宋体"/>
        <w:w w:val="100"/>
        <w:sz w:val="21"/>
        <w:szCs w:val="21"/>
      </w:rPr>
    </w:lvl>
    <w:lvl w:ilvl="2">
      <w:start w:val="0"/>
      <w:numFmt w:val="bullet"/>
      <w:lvlText w:val="•"/>
      <w:lvlJc w:val="left"/>
      <w:pPr>
        <w:ind w:left="1790" w:hanging="423"/>
      </w:pPr>
      <w:rPr>
        <w:rFonts w:hint="default"/>
      </w:rPr>
    </w:lvl>
    <w:lvl w:ilvl="3">
      <w:start w:val="0"/>
      <w:numFmt w:val="bullet"/>
      <w:lvlText w:val="•"/>
      <w:lvlJc w:val="left"/>
      <w:pPr>
        <w:ind w:left="2001" w:hanging="423"/>
      </w:pPr>
      <w:rPr>
        <w:rFonts w:hint="default"/>
      </w:rPr>
    </w:lvl>
    <w:lvl w:ilvl="4">
      <w:start w:val="0"/>
      <w:numFmt w:val="bullet"/>
      <w:lvlText w:val="•"/>
      <w:lvlJc w:val="left"/>
      <w:pPr>
        <w:ind w:left="2212" w:hanging="423"/>
      </w:pPr>
      <w:rPr>
        <w:rFonts w:hint="default"/>
      </w:rPr>
    </w:lvl>
    <w:lvl w:ilvl="5">
      <w:start w:val="0"/>
      <w:numFmt w:val="bullet"/>
      <w:lvlText w:val="•"/>
      <w:lvlJc w:val="left"/>
      <w:pPr>
        <w:ind w:left="2423" w:hanging="423"/>
      </w:pPr>
      <w:rPr>
        <w:rFonts w:hint="default"/>
      </w:rPr>
    </w:lvl>
    <w:lvl w:ilvl="6">
      <w:start w:val="0"/>
      <w:numFmt w:val="bullet"/>
      <w:lvlText w:val="•"/>
      <w:lvlJc w:val="left"/>
      <w:pPr>
        <w:ind w:left="2634" w:hanging="423"/>
      </w:pPr>
      <w:rPr>
        <w:rFonts w:hint="default"/>
      </w:rPr>
    </w:lvl>
    <w:lvl w:ilvl="7">
      <w:start w:val="0"/>
      <w:numFmt w:val="bullet"/>
      <w:lvlText w:val="•"/>
      <w:lvlJc w:val="left"/>
      <w:pPr>
        <w:ind w:left="2845" w:hanging="423"/>
      </w:pPr>
      <w:rPr>
        <w:rFonts w:hint="default"/>
      </w:rPr>
    </w:lvl>
    <w:lvl w:ilvl="8">
      <w:start w:val="0"/>
      <w:numFmt w:val="bullet"/>
      <w:lvlText w:val="•"/>
      <w:lvlJc w:val="left"/>
      <w:pPr>
        <w:ind w:left="3056" w:hanging="423"/>
      </w:pPr>
      <w:rPr>
        <w:rFonts w:hint="default"/>
      </w:rPr>
    </w:lvl>
  </w:abstractNum>
  <w:abstractNum w:abstractNumId="0">
    <w:multiLevelType w:val="hybridMultilevel"/>
    <w:lvl w:ilvl="0">
      <w:start w:val="0"/>
      <w:numFmt w:val="bullet"/>
      <w:lvlText w:val=""/>
      <w:lvlJc w:val="left"/>
      <w:pPr>
        <w:ind w:left="1531" w:hanging="420"/>
      </w:pPr>
      <w:rPr>
        <w:rFonts w:hint="default" w:ascii="Wingdings" w:hAnsi="Wingdings" w:eastAsia="Wingdings" w:cs="Wingdings"/>
        <w:w w:val="100"/>
        <w:sz w:val="21"/>
        <w:szCs w:val="21"/>
      </w:rPr>
    </w:lvl>
    <w:lvl w:ilvl="1">
      <w:start w:val="0"/>
      <w:numFmt w:val="bullet"/>
      <w:lvlText w:val="•"/>
      <w:lvlJc w:val="left"/>
      <w:pPr>
        <w:ind w:left="2400" w:hanging="420"/>
      </w:pPr>
      <w:rPr>
        <w:rFonts w:hint="default"/>
      </w:rPr>
    </w:lvl>
    <w:lvl w:ilvl="2">
      <w:start w:val="0"/>
      <w:numFmt w:val="bullet"/>
      <w:lvlText w:val="•"/>
      <w:lvlJc w:val="left"/>
      <w:pPr>
        <w:ind w:left="3261" w:hanging="420"/>
      </w:pPr>
      <w:rPr>
        <w:rFonts w:hint="default"/>
      </w:rPr>
    </w:lvl>
    <w:lvl w:ilvl="3">
      <w:start w:val="0"/>
      <w:numFmt w:val="bullet"/>
      <w:lvlText w:val="•"/>
      <w:lvlJc w:val="left"/>
      <w:pPr>
        <w:ind w:left="4121" w:hanging="420"/>
      </w:pPr>
      <w:rPr>
        <w:rFonts w:hint="default"/>
      </w:rPr>
    </w:lvl>
    <w:lvl w:ilvl="4">
      <w:start w:val="0"/>
      <w:numFmt w:val="bullet"/>
      <w:lvlText w:val="•"/>
      <w:lvlJc w:val="left"/>
      <w:pPr>
        <w:ind w:left="4982" w:hanging="420"/>
      </w:pPr>
      <w:rPr>
        <w:rFonts w:hint="default"/>
      </w:rPr>
    </w:lvl>
    <w:lvl w:ilvl="5">
      <w:start w:val="0"/>
      <w:numFmt w:val="bullet"/>
      <w:lvlText w:val="•"/>
      <w:lvlJc w:val="left"/>
      <w:pPr>
        <w:ind w:left="5843" w:hanging="420"/>
      </w:pPr>
      <w:rPr>
        <w:rFonts w:hint="default"/>
      </w:rPr>
    </w:lvl>
    <w:lvl w:ilvl="6">
      <w:start w:val="0"/>
      <w:numFmt w:val="bullet"/>
      <w:lvlText w:val="•"/>
      <w:lvlJc w:val="left"/>
      <w:pPr>
        <w:ind w:left="6703" w:hanging="420"/>
      </w:pPr>
      <w:rPr>
        <w:rFonts w:hint="default"/>
      </w:rPr>
    </w:lvl>
    <w:lvl w:ilvl="7">
      <w:start w:val="0"/>
      <w:numFmt w:val="bullet"/>
      <w:lvlText w:val="•"/>
      <w:lvlJc w:val="left"/>
      <w:pPr>
        <w:ind w:left="7564" w:hanging="420"/>
      </w:pPr>
      <w:rPr>
        <w:rFonts w:hint="default"/>
      </w:rPr>
    </w:lvl>
    <w:lvl w:ilvl="8">
      <w:start w:val="0"/>
      <w:numFmt w:val="bullet"/>
      <w:lvlText w:val="•"/>
      <w:lvlJc w:val="left"/>
      <w:pPr>
        <w:ind w:left="842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44"/>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8"/>
      <w:ind w:left="220"/>
      <w:outlineLvl w:val="2"/>
    </w:pPr>
    <w:rPr>
      <w:rFonts w:ascii="宋体" w:hAnsi="宋体" w:eastAsia="宋体" w:cs="宋体"/>
      <w:b/>
      <w:bCs/>
      <w:sz w:val="24"/>
      <w:szCs w:val="24"/>
    </w:rPr>
  </w:style>
  <w:style w:styleId="ListParagraph" w:type="paragraph">
    <w:name w:val="List Paragraph"/>
    <w:basedOn w:val="Normal"/>
    <w:uiPriority w:val="1"/>
    <w:qFormat/>
    <w:pPr>
      <w:ind w:left="1531" w:firstLine="21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ocommlife.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Ma</dc:creator>
  <dc:title>阅 读 指 引</dc:title>
  <dcterms:created xsi:type="dcterms:W3CDTF">2018-10-20T04:47:33Z</dcterms:created>
  <dcterms:modified xsi:type="dcterms:W3CDTF">2018-10-20T04:47:33Z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Acrobat PDFMaker 10.1 Word 版</vt:lpwstr>
  </property>
  <property fmtid="{D5CDD505-2E9C-101B-9397-08002B2CF9AE}" pid="4" name="LastSaved">
    <vt:filetime>2018-10-19T00:00:00Z</vt:filetime>
  </property>
</Properties>
</file>