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5" w:lineRule="exact" w:before="0"/>
        <w:ind w:left="0" w:right="115" w:firstLine="0"/>
        <w:jc w:val="right"/>
        <w:rPr>
          <w:rFonts w:ascii="微软雅黑" w:eastAsia="微软雅黑" w:hint="eastAsia"/>
          <w:b/>
          <w:sz w:val="18"/>
        </w:rPr>
      </w:pPr>
      <w:r>
        <w:rPr>
          <w:rFonts w:ascii="微软雅黑" w:eastAsia="微软雅黑" w:hint="eastAsia"/>
          <w:b/>
          <w:w w:val="95"/>
          <w:sz w:val="18"/>
        </w:rPr>
        <w:t>天安人寿[2013]疾病保险 008 号</w:t>
      </w:r>
    </w:p>
    <w:p>
      <w:pPr>
        <w:pStyle w:val="BodyText"/>
        <w:spacing w:before="16"/>
        <w:rPr>
          <w:rFonts w:ascii="微软雅黑"/>
          <w:b/>
          <w:sz w:val="12"/>
        </w:rPr>
      </w:pPr>
    </w:p>
    <w:p>
      <w:pPr>
        <w:spacing w:before="45"/>
        <w:ind w:left="323" w:right="0" w:firstLine="0"/>
        <w:jc w:val="left"/>
        <w:rPr>
          <w:sz w:val="18"/>
        </w:rPr>
      </w:pPr>
      <w:r>
        <w:rPr/>
        <w:pict>
          <v:group style="position:absolute;margin-left:64.824997pt;margin-top:-11.788274pt;width:486.55pt;height:57pt;mso-position-horizontal-relative:page;mso-position-vertical-relative:paragraph;z-index:-39040" coordorigin="1296,-236" coordsize="9731,1140">
            <v:line style="position:absolute" from="1304,351" to="10664,329" stroked="true" strokeweight=".75pt" strokecolor="#000000">
              <v:stroke dashstyle="solid"/>
            </v:line>
            <v:shape style="position:absolute;left:9887;top:-236;width:1140;height:1140" type="#_x0000_t75" stroked="false">
              <v:imagedata r:id="rId6" o:title=""/>
            </v:shape>
            <w10:wrap type="none"/>
          </v:group>
        </w:pict>
      </w:r>
      <w:r>
        <w:rPr>
          <w:sz w:val="18"/>
        </w:rPr>
        <w:t>天安人寿附加长泰永恒提前给付重大疾病保险条款</w:t>
      </w:r>
    </w:p>
    <w:p>
      <w:pPr>
        <w:pStyle w:val="BodyText"/>
        <w:rPr>
          <w:sz w:val="20"/>
        </w:rPr>
      </w:pPr>
    </w:p>
    <w:p>
      <w:pPr>
        <w:spacing w:after="0"/>
        <w:rPr>
          <w:sz w:val="20"/>
        </w:rPr>
        <w:sectPr>
          <w:footerReference w:type="default" r:id="rId5"/>
          <w:type w:val="continuous"/>
          <w:pgSz w:w="11910" w:h="16840"/>
          <w:pgMar w:footer="992" w:top="260" w:bottom="1180" w:left="980" w:right="120"/>
          <w:pgNumType w:start="1"/>
        </w:sectPr>
      </w:pPr>
    </w:p>
    <w:p>
      <w:pPr>
        <w:spacing w:before="55"/>
        <w:ind w:left="1939" w:right="24" w:firstLine="0"/>
        <w:jc w:val="center"/>
        <w:rPr>
          <w:rFonts w:ascii="微软雅黑" w:eastAsia="微软雅黑" w:hint="eastAsia"/>
          <w:b/>
          <w:sz w:val="32"/>
        </w:rPr>
      </w:pPr>
      <w:r>
        <w:rPr>
          <w:rFonts w:ascii="微软雅黑" w:eastAsia="微软雅黑" w:hint="eastAsia"/>
          <w:b/>
          <w:sz w:val="32"/>
        </w:rPr>
        <w:t>阅  读  指 引</w:t>
      </w:r>
    </w:p>
    <w:p>
      <w:pPr>
        <w:spacing w:before="49"/>
        <w:ind w:left="1939" w:right="25"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51"/>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51"/>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pStyle w:val="BodyText"/>
        <w:spacing w:before="12"/>
        <w:rPr>
          <w:rFonts w:ascii="微软雅黑"/>
          <w:b/>
          <w:sz w:val="17"/>
        </w:rPr>
      </w:pPr>
      <w:r>
        <w:rPr/>
        <w:br w:type="column"/>
      </w:r>
      <w:r>
        <w:rPr>
          <w:rFonts w:ascii="微软雅黑"/>
          <w:b/>
          <w:sz w:val="17"/>
        </w:rPr>
      </w:r>
    </w:p>
    <w:p>
      <w:pPr>
        <w:spacing w:before="0"/>
        <w:ind w:left="478" w:right="0" w:firstLine="0"/>
        <w:jc w:val="left"/>
        <w:rPr>
          <w:rFonts w:ascii="微软雅黑" w:eastAsia="微软雅黑" w:hint="eastAsia"/>
          <w:b/>
          <w:sz w:val="18"/>
        </w:rPr>
      </w:pPr>
      <w:r>
        <w:rPr>
          <w:rFonts w:ascii="微软雅黑" w:eastAsia="微软雅黑" w:hint="eastAsia"/>
          <w:b/>
          <w:sz w:val="18"/>
        </w:rPr>
        <w:t>请扫描以查询验证条款</w:t>
      </w:r>
    </w:p>
    <w:p>
      <w:pPr>
        <w:spacing w:after="0"/>
        <w:jc w:val="left"/>
        <w:rPr>
          <w:rFonts w:ascii="微软雅黑" w:eastAsia="微软雅黑" w:hint="eastAsia"/>
          <w:sz w:val="18"/>
        </w:rPr>
        <w:sectPr>
          <w:type w:val="continuous"/>
          <w:pgSz w:w="11910" w:h="16840"/>
          <w:pgMar w:top="260" w:bottom="1180" w:left="980" w:right="120"/>
          <w:cols w:num="2" w:equalWidth="0">
            <w:col w:w="8032" w:space="40"/>
            <w:col w:w="2738"/>
          </w:cols>
        </w:sectPr>
      </w:pPr>
    </w:p>
    <w:p>
      <w:pPr>
        <w:pStyle w:val="BodyText"/>
        <w:spacing w:before="5"/>
        <w:rPr>
          <w:rFonts w:ascii="微软雅黑"/>
          <w:b/>
          <w:sz w:val="8"/>
        </w:rPr>
      </w:pPr>
    </w:p>
    <w:p>
      <w:pPr>
        <w:spacing w:line="337" w:lineRule="exact" w:before="0"/>
        <w:ind w:left="862" w:right="1717" w:firstLine="0"/>
        <w:jc w:val="center"/>
        <w:rPr>
          <w:sz w:val="21"/>
        </w:rPr>
      </w:pPr>
      <w:r>
        <w:rPr>
          <w:sz w:val="21"/>
        </w:rPr>
        <w:t>在本条款中，“您”指投保人，“我们”、“本公司”均指</w:t>
      </w:r>
      <w:r>
        <w:rPr>
          <w:rFonts w:ascii="微软雅黑" w:hAnsi="微软雅黑" w:eastAsia="微软雅黑" w:hint="eastAsia"/>
          <w:b/>
          <w:sz w:val="21"/>
        </w:rPr>
        <w:t>天安人寿保险股份有限公司</w:t>
      </w:r>
      <w:r>
        <w:rPr>
          <w:sz w:val="21"/>
        </w:rPr>
        <w:t>。</w:t>
      </w:r>
    </w:p>
    <w:p>
      <w:pPr>
        <w:pStyle w:val="Heading2"/>
        <w:tabs>
          <w:tab w:pos="1254" w:val="left" w:leader="none"/>
        </w:tabs>
        <w:spacing w:line="489" w:lineRule="exact" w:before="52"/>
        <w:ind w:left="244"/>
      </w:pPr>
      <w:r>
        <w:rPr/>
        <w:pict>
          <v:group style="position:absolute;margin-left:54.240002pt;margin-top:5.14771pt;width:480.7pt;height:617.3pt;mso-position-horizontal-relative:page;mso-position-vertical-relative:paragraph;z-index:-39016" coordorigin="1085,103" coordsize="9614,12346">
            <v:shape style="position:absolute;left:1716;top:1692;width:1042;height:521" type="#_x0000_t75" stroked="false">
              <v:imagedata r:id="rId7" o:title=""/>
            </v:shape>
            <v:shape style="position:absolute;left:1716;top:3933;width:1042;height:521" type="#_x0000_t75" stroked="false">
              <v:imagedata r:id="rId7" o:title=""/>
            </v:shape>
            <v:shape style="position:absolute;left:1716;top:4253;width:1042;height:521" type="#_x0000_t75" stroked="false">
              <v:imagedata r:id="rId7" o:title=""/>
            </v:shape>
            <v:shape style="position:absolute;left:1084;top:102;width:9614;height:12346" type="#_x0000_t75" stroked="false">
              <v:imagedata r:id="rId8" o:title=""/>
            </v:shape>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55" w:val="left" w:leader="none"/>
          <w:tab w:pos="1656" w:val="left" w:leader="none"/>
        </w:tabs>
        <w:spacing w:line="232" w:lineRule="exact" w:before="0" w:after="0"/>
        <w:ind w:left="1636" w:right="0" w:hanging="420"/>
        <w:jc w:val="left"/>
        <w:rPr>
          <w:b/>
          <w:sz w:val="21"/>
        </w:rPr>
      </w:pPr>
      <w:r>
        <w:rPr>
          <w:b/>
          <w:spacing w:val="-2"/>
          <w:w w:val="95"/>
          <w:sz w:val="21"/>
        </w:rPr>
        <w:t>签收本附加保险合同之日起</w:t>
      </w:r>
      <w:r>
        <w:rPr>
          <w:b/>
          <w:w w:val="95"/>
          <w:sz w:val="21"/>
        </w:rPr>
        <w:t>10日（即犹豫期）</w:t>
      </w:r>
      <w:r>
        <w:rPr>
          <w:b/>
          <w:spacing w:val="-3"/>
          <w:w w:val="95"/>
          <w:sz w:val="21"/>
        </w:rPr>
        <w:t>内您若要求退保，本公司仅扣除</w:t>
      </w:r>
    </w:p>
    <w:p>
      <w:pPr>
        <w:pStyle w:val="Heading2"/>
        <w:tabs>
          <w:tab w:pos="8909" w:val="right" w:leader="dot"/>
        </w:tabs>
        <w:spacing w:line="320" w:lineRule="exact"/>
        <w:ind w:left="1636"/>
      </w:pPr>
      <w:r>
        <w:rPr/>
        <w:t>保单工本费</w:t>
        <w:tab/>
        <w:t>1.5</w:t>
      </w:r>
    </w:p>
    <w:p>
      <w:pPr>
        <w:pStyle w:val="Heading2"/>
        <w:numPr>
          <w:ilvl w:val="0"/>
          <w:numId w:val="1"/>
        </w:numPr>
        <w:tabs>
          <w:tab w:pos="1679" w:val="left" w:leader="none"/>
          <w:tab w:pos="1680" w:val="left" w:leader="none"/>
          <w:tab w:pos="8953" w:val="right" w:leader="dot"/>
        </w:tabs>
        <w:spacing w:line="320" w:lineRule="exact" w:before="0" w:after="0"/>
        <w:ind w:left="1679" w:right="0" w:hanging="463"/>
        <w:jc w:val="left"/>
      </w:pPr>
      <w:r>
        <w:rPr/>
        <w:t>被保险人享受本附</w:t>
      </w:r>
      <w:r>
        <w:rPr>
          <w:spacing w:val="-3"/>
        </w:rPr>
        <w:t>加</w:t>
      </w:r>
      <w:r>
        <w:rPr/>
        <w:t>保</w:t>
      </w:r>
      <w:r>
        <w:rPr>
          <w:spacing w:val="-3"/>
        </w:rPr>
        <w:t>险</w:t>
      </w:r>
      <w:r>
        <w:rPr/>
        <w:t>合同提供的保障</w:t>
        <w:tab/>
        <w:t>2.3</w:t>
      </w:r>
    </w:p>
    <w:p>
      <w:pPr>
        <w:pStyle w:val="Heading2"/>
        <w:numPr>
          <w:ilvl w:val="0"/>
          <w:numId w:val="1"/>
        </w:numPr>
        <w:tabs>
          <w:tab w:pos="1655" w:val="left" w:leader="none"/>
          <w:tab w:pos="1656" w:val="left" w:leader="none"/>
          <w:tab w:pos="8929" w:val="right" w:leader="dot"/>
        </w:tabs>
        <w:spacing w:line="289" w:lineRule="exact" w:before="0" w:after="0"/>
        <w:ind w:left="1636" w:right="0" w:hanging="420"/>
        <w:jc w:val="left"/>
      </w:pPr>
      <w:r>
        <w:rPr/>
        <w:t>您有退保的权利…</w:t>
        <w:tab/>
        <w:t>1.7</w:t>
      </w:r>
    </w:p>
    <w:p>
      <w:pPr>
        <w:pStyle w:val="Heading2"/>
        <w:tabs>
          <w:tab w:pos="1257" w:val="left" w:leader="none"/>
        </w:tabs>
        <w:spacing w:line="438" w:lineRule="exact"/>
        <w:ind w:left="244"/>
      </w:pPr>
      <w:r>
        <w:rPr>
          <w:rFonts w:ascii="Arial" w:hAnsi="Arial" w:eastAsia="Arial"/>
          <w:w w:val="105"/>
          <w:position w:val="-11"/>
          <w:sz w:val="52"/>
        </w:rPr>
        <w:t></w:t>
        <w:tab/>
      </w:r>
      <w:r>
        <w:rPr>
          <w:spacing w:val="-1"/>
        </w:rPr>
        <w:t>您应当特别注意的事项</w:t>
      </w:r>
    </w:p>
    <w:p>
      <w:pPr>
        <w:pStyle w:val="Heading2"/>
        <w:numPr>
          <w:ilvl w:val="0"/>
          <w:numId w:val="1"/>
        </w:numPr>
        <w:tabs>
          <w:tab w:pos="1655" w:val="left" w:leader="none"/>
          <w:tab w:pos="1656" w:val="left" w:leader="none"/>
          <w:tab w:pos="8929" w:val="right" w:leader="dot"/>
        </w:tabs>
        <w:spacing w:line="233" w:lineRule="exact" w:before="0" w:after="0"/>
        <w:ind w:left="1636" w:right="0" w:hanging="420"/>
        <w:jc w:val="left"/>
      </w:pPr>
      <w:r>
        <w:rPr/>
        <w:t>您解除本附加保险</w:t>
      </w:r>
      <w:r>
        <w:rPr>
          <w:spacing w:val="-3"/>
        </w:rPr>
        <w:t>合</w:t>
      </w:r>
      <w:r>
        <w:rPr/>
        <w:t>同</w:t>
      </w:r>
      <w:r>
        <w:rPr>
          <w:spacing w:val="-3"/>
        </w:rPr>
        <w:t>会</w:t>
      </w:r>
      <w:r>
        <w:rPr/>
        <w:t>有一定的损失，请</w:t>
      </w:r>
      <w:r>
        <w:rPr>
          <w:spacing w:val="-3"/>
        </w:rPr>
        <w:t>慎</w:t>
      </w:r>
      <w:r>
        <w:rPr/>
        <w:t>重</w:t>
      </w:r>
      <w:r>
        <w:rPr>
          <w:spacing w:val="-3"/>
        </w:rPr>
        <w:t>决</w:t>
      </w:r>
      <w:r>
        <w:rPr/>
        <w:t>策</w:t>
        <w:tab/>
        <w:t>1.7</w:t>
      </w:r>
    </w:p>
    <w:p>
      <w:pPr>
        <w:pStyle w:val="Heading2"/>
        <w:numPr>
          <w:ilvl w:val="0"/>
          <w:numId w:val="1"/>
        </w:numPr>
        <w:tabs>
          <w:tab w:pos="1655" w:val="left" w:leader="none"/>
          <w:tab w:pos="1656" w:val="left" w:leader="none"/>
        </w:tabs>
        <w:spacing w:line="319" w:lineRule="exact" w:before="0" w:after="0"/>
        <w:ind w:left="1636" w:right="0" w:hanging="420"/>
        <w:jc w:val="left"/>
      </w:pPr>
      <w:r>
        <w:rPr>
          <w:spacing w:val="-3"/>
        </w:rPr>
        <w:t>本附加保险合同有责任免除条款，在某些情况下，本公司不承担保险责任…</w:t>
      </w:r>
      <w:r>
        <w:rPr/>
        <w:t>2.4</w:t>
      </w:r>
    </w:p>
    <w:p>
      <w:pPr>
        <w:pStyle w:val="Heading2"/>
        <w:numPr>
          <w:ilvl w:val="0"/>
          <w:numId w:val="1"/>
        </w:numPr>
        <w:tabs>
          <w:tab w:pos="1655" w:val="left" w:leader="none"/>
          <w:tab w:pos="1656" w:val="left" w:leader="none"/>
          <w:tab w:pos="8929" w:val="right" w:leader="dot"/>
        </w:tabs>
        <w:spacing w:line="320" w:lineRule="exact" w:before="0" w:after="0"/>
        <w:ind w:left="1636" w:right="0" w:hanging="420"/>
        <w:jc w:val="left"/>
      </w:pPr>
      <w:r>
        <w:rPr/>
        <w:t>申请保险金给付时</w:t>
      </w:r>
      <w:r>
        <w:rPr>
          <w:spacing w:val="-3"/>
        </w:rPr>
        <w:t>，</w:t>
      </w:r>
      <w:r>
        <w:rPr/>
        <w:t>应</w:t>
      </w:r>
      <w:r>
        <w:rPr>
          <w:spacing w:val="-3"/>
        </w:rPr>
        <w:t>当</w:t>
      </w:r>
      <w:r>
        <w:rPr/>
        <w:t>提供的证明和资料</w:t>
        <w:tab/>
        <w:t>4.2</w:t>
      </w:r>
    </w:p>
    <w:p>
      <w:pPr>
        <w:pStyle w:val="Heading2"/>
        <w:numPr>
          <w:ilvl w:val="0"/>
          <w:numId w:val="1"/>
        </w:numPr>
        <w:tabs>
          <w:tab w:pos="1655" w:val="left" w:leader="none"/>
          <w:tab w:pos="1656" w:val="left" w:leader="none"/>
          <w:tab w:pos="8720" w:val="right" w:leader="dot"/>
        </w:tabs>
        <w:spacing w:line="320" w:lineRule="exact" w:before="0" w:after="0"/>
        <w:ind w:left="1636" w:right="0" w:hanging="420"/>
        <w:jc w:val="left"/>
      </w:pPr>
      <w:r>
        <w:rPr/>
        <w:t>我们对一些重要术</w:t>
      </w:r>
      <w:r>
        <w:rPr>
          <w:spacing w:val="-3"/>
        </w:rPr>
        <w:t>语</w:t>
      </w:r>
      <w:r>
        <w:rPr/>
        <w:t>进</w:t>
      </w:r>
      <w:r>
        <w:rPr>
          <w:spacing w:val="-3"/>
        </w:rPr>
        <w:t>行</w:t>
      </w:r>
      <w:r>
        <w:rPr/>
        <w:t>了解释，并作了显</w:t>
      </w:r>
      <w:r>
        <w:rPr>
          <w:spacing w:val="-3"/>
        </w:rPr>
        <w:t>著</w:t>
      </w:r>
      <w:r>
        <w:rPr/>
        <w:t>标</w:t>
      </w:r>
      <w:r>
        <w:rPr>
          <w:spacing w:val="-3"/>
        </w:rPr>
        <w:t>识</w:t>
      </w:r>
      <w:r>
        <w:rPr/>
        <w:t>，请您注意</w:t>
        <w:tab/>
        <w:t>5</w:t>
      </w:r>
    </w:p>
    <w:p>
      <w:pPr>
        <w:pStyle w:val="ListParagraph"/>
        <w:numPr>
          <w:ilvl w:val="0"/>
          <w:numId w:val="1"/>
        </w:numPr>
        <w:tabs>
          <w:tab w:pos="1636" w:val="left" w:leader="none"/>
          <w:tab w:pos="1637" w:val="left" w:leader="none"/>
        </w:tabs>
        <w:spacing w:line="211" w:lineRule="auto" w:before="22" w:after="0"/>
        <w:ind w:left="1636" w:right="1789" w:hanging="420"/>
        <w:jc w:val="left"/>
        <w:rPr>
          <w:b/>
          <w:sz w:val="21"/>
        </w:rPr>
      </w:pPr>
      <w:r>
        <w:rPr>
          <w:b/>
          <w:spacing w:val="-3"/>
          <w:sz w:val="21"/>
        </w:rPr>
        <w:t>我们对可能影响被保险人享受本附加保险合同保障的重要内容进行了显著标识， 请您仔细阅读正文加粗的部分</w:t>
      </w:r>
    </w:p>
    <w:p>
      <w:pPr>
        <w:tabs>
          <w:tab w:pos="1257" w:val="left" w:leader="none"/>
        </w:tabs>
        <w:spacing w:line="357" w:lineRule="exact" w:before="0"/>
        <w:ind w:left="244"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p>
    <w:p>
      <w:pPr>
        <w:tabs>
          <w:tab w:pos="1257" w:val="left" w:leader="none"/>
        </w:tabs>
        <w:spacing w:line="459" w:lineRule="exact" w:before="0"/>
        <w:ind w:left="244"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pStyle w:val="BodyText"/>
        <w:spacing w:before="2"/>
        <w:rPr>
          <w:rFonts w:ascii="微软雅黑"/>
          <w:b/>
          <w:sz w:val="18"/>
        </w:rPr>
      </w:pPr>
    </w:p>
    <w:tbl>
      <w:tblPr>
        <w:tblW w:w="0" w:type="auto"/>
        <w:jc w:val="left"/>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3287"/>
        <w:gridCol w:w="697"/>
        <w:gridCol w:w="1784"/>
      </w:tblGrid>
      <w:tr>
        <w:trPr>
          <w:trHeight w:val="279" w:hRule="atLeast"/>
        </w:trPr>
        <w:tc>
          <w:tcPr>
            <w:tcW w:w="2588" w:type="dxa"/>
          </w:tcPr>
          <w:p>
            <w:pPr>
              <w:pStyle w:val="TableParagraph"/>
              <w:spacing w:line="260" w:lineRule="exact"/>
              <w:ind w:left="50"/>
              <w:rPr>
                <w:rFonts w:ascii="微软雅黑" w:eastAsia="微软雅黑" w:hint="eastAsia"/>
                <w:b/>
                <w:sz w:val="21"/>
              </w:rPr>
            </w:pPr>
            <w:r>
              <w:rPr>
                <w:rFonts w:ascii="微软雅黑" w:eastAsia="微软雅黑" w:hint="eastAsia"/>
                <w:b/>
                <w:w w:val="81"/>
                <w:sz w:val="21"/>
              </w:rPr>
              <w:t>1</w:t>
            </w:r>
            <w:r>
              <w:rPr>
                <w:rFonts w:ascii="微软雅黑" w:eastAsia="微软雅黑" w:hint="eastAsia"/>
                <w:b/>
                <w:w w:val="176"/>
                <w:sz w:val="21"/>
              </w:rPr>
              <w:t>.</w:t>
            </w:r>
            <w:r>
              <w:rPr>
                <w:rFonts w:ascii="微软雅黑" w:eastAsia="微软雅黑" w:hint="eastAsia"/>
                <w:b/>
                <w:w w:val="100"/>
                <w:sz w:val="21"/>
              </w:rPr>
              <w:t>您与我们的合同</w:t>
            </w:r>
          </w:p>
        </w:tc>
        <w:tc>
          <w:tcPr>
            <w:tcW w:w="3287" w:type="dxa"/>
          </w:tcPr>
          <w:p>
            <w:pPr>
              <w:pStyle w:val="TableParagraph"/>
              <w:spacing w:line="251" w:lineRule="exact"/>
              <w:ind w:left="224"/>
              <w:rPr>
                <w:rFonts w:ascii="微软雅黑" w:eastAsia="微软雅黑" w:hint="eastAsia"/>
                <w:b/>
                <w:sz w:val="21"/>
              </w:rPr>
            </w:pPr>
            <w:r>
              <w:rPr>
                <w:rFonts w:ascii="微软雅黑" w:eastAsia="微软雅黑" w:hint="eastAsia"/>
                <w:b/>
                <w:sz w:val="21"/>
              </w:rPr>
              <w:t>3.您的权利和义务</w:t>
            </w:r>
          </w:p>
        </w:tc>
        <w:tc>
          <w:tcPr>
            <w:tcW w:w="697" w:type="dxa"/>
          </w:tcPr>
          <w:p>
            <w:pPr>
              <w:pStyle w:val="TableParagraph"/>
              <w:spacing w:line="211" w:lineRule="exact"/>
              <w:ind w:right="48"/>
              <w:jc w:val="right"/>
              <w:rPr>
                <w:sz w:val="21"/>
              </w:rPr>
            </w:pPr>
            <w:r>
              <w:rPr>
                <w:sz w:val="21"/>
              </w:rPr>
              <w:t>5.6</w:t>
            </w:r>
          </w:p>
        </w:tc>
        <w:tc>
          <w:tcPr>
            <w:tcW w:w="1784" w:type="dxa"/>
          </w:tcPr>
          <w:p>
            <w:pPr>
              <w:pStyle w:val="TableParagraph"/>
              <w:spacing w:line="211" w:lineRule="exact"/>
              <w:ind w:left="54"/>
              <w:rPr>
                <w:sz w:val="21"/>
              </w:rPr>
            </w:pPr>
            <w:r>
              <w:rPr>
                <w:sz w:val="21"/>
              </w:rPr>
              <w:t>遗传性疾病</w:t>
            </w:r>
          </w:p>
        </w:tc>
      </w:tr>
      <w:tr>
        <w:trPr>
          <w:trHeight w:val="312" w:hRule="atLeast"/>
        </w:trPr>
        <w:tc>
          <w:tcPr>
            <w:tcW w:w="2588" w:type="dxa"/>
          </w:tcPr>
          <w:p>
            <w:pPr>
              <w:pStyle w:val="TableParagraph"/>
              <w:spacing w:before="4"/>
              <w:ind w:left="261"/>
              <w:rPr>
                <w:sz w:val="21"/>
              </w:rPr>
            </w:pPr>
            <w:r>
              <w:rPr>
                <w:sz w:val="21"/>
              </w:rPr>
              <w:t>1.1 投保范围</w:t>
            </w:r>
          </w:p>
        </w:tc>
        <w:tc>
          <w:tcPr>
            <w:tcW w:w="3287" w:type="dxa"/>
          </w:tcPr>
          <w:p>
            <w:pPr>
              <w:pStyle w:val="TableParagraph"/>
              <w:spacing w:line="258" w:lineRule="exact"/>
              <w:ind w:left="436"/>
              <w:rPr>
                <w:sz w:val="21"/>
              </w:rPr>
            </w:pPr>
            <w:r>
              <w:rPr>
                <w:sz w:val="21"/>
              </w:rPr>
              <w:t>3.1 保险费的交纳</w:t>
            </w:r>
          </w:p>
        </w:tc>
        <w:tc>
          <w:tcPr>
            <w:tcW w:w="697" w:type="dxa"/>
          </w:tcPr>
          <w:p>
            <w:pPr>
              <w:pStyle w:val="TableParagraph"/>
              <w:spacing w:line="243" w:lineRule="exact"/>
              <w:ind w:right="48"/>
              <w:jc w:val="right"/>
              <w:rPr>
                <w:sz w:val="21"/>
              </w:rPr>
            </w:pPr>
            <w:r>
              <w:rPr>
                <w:sz w:val="21"/>
              </w:rPr>
              <w:t>5.7</w:t>
            </w:r>
          </w:p>
        </w:tc>
        <w:tc>
          <w:tcPr>
            <w:tcW w:w="1784" w:type="dxa"/>
          </w:tcPr>
          <w:p>
            <w:pPr>
              <w:pStyle w:val="TableParagraph"/>
              <w:spacing w:line="243" w:lineRule="exact"/>
              <w:ind w:left="54"/>
              <w:rPr>
                <w:sz w:val="21"/>
              </w:rPr>
            </w:pPr>
            <w:r>
              <w:rPr>
                <w:sz w:val="21"/>
              </w:rPr>
              <w:t>先天性畸形、变形</w:t>
            </w:r>
          </w:p>
        </w:tc>
      </w:tr>
      <w:tr>
        <w:trPr>
          <w:trHeight w:val="312" w:hRule="atLeast"/>
        </w:trPr>
        <w:tc>
          <w:tcPr>
            <w:tcW w:w="2588" w:type="dxa"/>
          </w:tcPr>
          <w:p>
            <w:pPr>
              <w:pStyle w:val="TableParagraph"/>
              <w:spacing w:before="4"/>
              <w:ind w:left="261"/>
              <w:rPr>
                <w:sz w:val="21"/>
              </w:rPr>
            </w:pPr>
            <w:r>
              <w:rPr>
                <w:sz w:val="21"/>
              </w:rPr>
              <w:t>1.2 合同构成</w:t>
            </w:r>
          </w:p>
        </w:tc>
        <w:tc>
          <w:tcPr>
            <w:tcW w:w="3287" w:type="dxa"/>
          </w:tcPr>
          <w:p>
            <w:pPr>
              <w:pStyle w:val="TableParagraph"/>
              <w:spacing w:line="258" w:lineRule="exact"/>
              <w:ind w:left="436"/>
              <w:rPr>
                <w:sz w:val="21"/>
              </w:rPr>
            </w:pPr>
            <w:r>
              <w:rPr>
                <w:sz w:val="21"/>
              </w:rPr>
              <w:t>3.2 保险费率的调整</w:t>
            </w:r>
          </w:p>
        </w:tc>
        <w:tc>
          <w:tcPr>
            <w:tcW w:w="697" w:type="dxa"/>
          </w:tcPr>
          <w:p>
            <w:pPr>
              <w:pStyle w:val="TableParagraph"/>
              <w:rPr>
                <w:rFonts w:ascii="Times New Roman"/>
                <w:sz w:val="20"/>
              </w:rPr>
            </w:pPr>
          </w:p>
        </w:tc>
        <w:tc>
          <w:tcPr>
            <w:tcW w:w="1784" w:type="dxa"/>
          </w:tcPr>
          <w:p>
            <w:pPr>
              <w:pStyle w:val="TableParagraph"/>
              <w:spacing w:line="243" w:lineRule="exact"/>
              <w:ind w:left="52"/>
              <w:rPr>
                <w:sz w:val="21"/>
              </w:rPr>
            </w:pPr>
            <w:r>
              <w:rPr>
                <w:sz w:val="21"/>
              </w:rPr>
              <w:t>或染色体异常</w:t>
            </w:r>
          </w:p>
        </w:tc>
      </w:tr>
      <w:tr>
        <w:trPr>
          <w:trHeight w:val="311" w:hRule="atLeast"/>
        </w:trPr>
        <w:tc>
          <w:tcPr>
            <w:tcW w:w="2588" w:type="dxa"/>
          </w:tcPr>
          <w:p>
            <w:pPr>
              <w:pStyle w:val="TableParagraph"/>
              <w:spacing w:before="4"/>
              <w:ind w:left="261"/>
              <w:rPr>
                <w:sz w:val="21"/>
              </w:rPr>
            </w:pPr>
            <w:r>
              <w:rPr>
                <w:sz w:val="21"/>
              </w:rPr>
              <w:t>1.3 合同成立与生效</w:t>
            </w:r>
          </w:p>
        </w:tc>
        <w:tc>
          <w:tcPr>
            <w:tcW w:w="3287" w:type="dxa"/>
          </w:tcPr>
          <w:p>
            <w:pPr>
              <w:pStyle w:val="TableParagraph"/>
              <w:spacing w:line="283" w:lineRule="exact"/>
              <w:ind w:left="224"/>
              <w:rPr>
                <w:rFonts w:ascii="微软雅黑" w:eastAsia="微软雅黑" w:hint="eastAsia"/>
                <w:b/>
                <w:sz w:val="21"/>
              </w:rPr>
            </w:pPr>
            <w:r>
              <w:rPr>
                <w:rFonts w:ascii="微软雅黑" w:eastAsia="微软雅黑" w:hint="eastAsia"/>
                <w:b/>
                <w:sz w:val="21"/>
              </w:rPr>
              <w:t>4.如何申请领取保险金</w:t>
            </w:r>
          </w:p>
        </w:tc>
        <w:tc>
          <w:tcPr>
            <w:tcW w:w="697" w:type="dxa"/>
          </w:tcPr>
          <w:p>
            <w:pPr>
              <w:pStyle w:val="TableParagraph"/>
              <w:spacing w:line="243" w:lineRule="exact"/>
              <w:ind w:right="48"/>
              <w:jc w:val="right"/>
              <w:rPr>
                <w:sz w:val="21"/>
              </w:rPr>
            </w:pPr>
            <w:r>
              <w:rPr>
                <w:sz w:val="21"/>
              </w:rPr>
              <w:t>5.8</w:t>
            </w:r>
          </w:p>
        </w:tc>
        <w:tc>
          <w:tcPr>
            <w:tcW w:w="1784" w:type="dxa"/>
          </w:tcPr>
          <w:p>
            <w:pPr>
              <w:pStyle w:val="TableParagraph"/>
              <w:spacing w:line="243" w:lineRule="exact"/>
              <w:ind w:left="54"/>
              <w:rPr>
                <w:sz w:val="21"/>
              </w:rPr>
            </w:pPr>
            <w:r>
              <w:rPr>
                <w:sz w:val="21"/>
              </w:rPr>
              <w:t>感染艾滋病病毒或</w:t>
            </w:r>
          </w:p>
        </w:tc>
      </w:tr>
      <w:tr>
        <w:trPr>
          <w:trHeight w:val="319" w:hRule="atLeast"/>
        </w:trPr>
        <w:tc>
          <w:tcPr>
            <w:tcW w:w="2588" w:type="dxa"/>
          </w:tcPr>
          <w:p>
            <w:pPr>
              <w:pStyle w:val="TableParagraph"/>
              <w:spacing w:before="4"/>
              <w:ind w:left="261"/>
              <w:rPr>
                <w:sz w:val="21"/>
              </w:rPr>
            </w:pPr>
            <w:r>
              <w:rPr>
                <w:sz w:val="21"/>
              </w:rPr>
              <w:t>1.4 合同效力</w:t>
            </w:r>
          </w:p>
        </w:tc>
        <w:tc>
          <w:tcPr>
            <w:tcW w:w="3287" w:type="dxa"/>
          </w:tcPr>
          <w:p>
            <w:pPr>
              <w:pStyle w:val="TableParagraph"/>
              <w:spacing w:line="258" w:lineRule="exact"/>
              <w:ind w:left="436"/>
              <w:rPr>
                <w:sz w:val="21"/>
              </w:rPr>
            </w:pPr>
            <w:r>
              <w:rPr>
                <w:sz w:val="21"/>
              </w:rPr>
              <w:t>4.1 保险金受益人的指定</w:t>
            </w:r>
          </w:p>
        </w:tc>
        <w:tc>
          <w:tcPr>
            <w:tcW w:w="697" w:type="dxa"/>
          </w:tcPr>
          <w:p>
            <w:pPr>
              <w:pStyle w:val="TableParagraph"/>
              <w:rPr>
                <w:rFonts w:ascii="Times New Roman"/>
                <w:sz w:val="20"/>
              </w:rPr>
            </w:pPr>
          </w:p>
        </w:tc>
        <w:tc>
          <w:tcPr>
            <w:tcW w:w="1784" w:type="dxa"/>
          </w:tcPr>
          <w:p>
            <w:pPr>
              <w:pStyle w:val="TableParagraph"/>
              <w:spacing w:line="243" w:lineRule="exact"/>
              <w:ind w:left="155"/>
              <w:rPr>
                <w:sz w:val="21"/>
              </w:rPr>
            </w:pPr>
            <w:r>
              <w:rPr>
                <w:sz w:val="21"/>
              </w:rPr>
              <w:t>患艾滋病</w:t>
            </w:r>
          </w:p>
        </w:tc>
      </w:tr>
      <w:tr>
        <w:trPr>
          <w:trHeight w:val="312" w:hRule="atLeast"/>
        </w:trPr>
        <w:tc>
          <w:tcPr>
            <w:tcW w:w="2588" w:type="dxa"/>
          </w:tcPr>
          <w:p>
            <w:pPr>
              <w:pStyle w:val="TableParagraph"/>
              <w:spacing w:line="272" w:lineRule="exact"/>
              <w:ind w:left="261"/>
              <w:rPr>
                <w:sz w:val="21"/>
              </w:rPr>
            </w:pPr>
            <w:r>
              <w:rPr>
                <w:sz w:val="21"/>
              </w:rPr>
              <w:t>1.5 犹豫期</w:t>
            </w:r>
          </w:p>
        </w:tc>
        <w:tc>
          <w:tcPr>
            <w:tcW w:w="3287" w:type="dxa"/>
          </w:tcPr>
          <w:p>
            <w:pPr>
              <w:pStyle w:val="TableParagraph"/>
              <w:spacing w:line="251" w:lineRule="exact"/>
              <w:ind w:left="856"/>
              <w:rPr>
                <w:sz w:val="21"/>
              </w:rPr>
            </w:pPr>
            <w:r>
              <w:rPr>
                <w:sz w:val="21"/>
              </w:rPr>
              <w:t>和变更</w:t>
            </w:r>
          </w:p>
        </w:tc>
        <w:tc>
          <w:tcPr>
            <w:tcW w:w="697" w:type="dxa"/>
          </w:tcPr>
          <w:p>
            <w:pPr>
              <w:pStyle w:val="TableParagraph"/>
              <w:rPr>
                <w:rFonts w:ascii="Times New Roman"/>
                <w:sz w:val="20"/>
              </w:rPr>
            </w:pPr>
          </w:p>
        </w:tc>
        <w:tc>
          <w:tcPr>
            <w:tcW w:w="1784" w:type="dxa"/>
          </w:tcPr>
          <w:p>
            <w:pPr>
              <w:pStyle w:val="TableParagraph"/>
              <w:rPr>
                <w:rFonts w:ascii="Times New Roman"/>
                <w:sz w:val="20"/>
              </w:rPr>
            </w:pPr>
          </w:p>
        </w:tc>
      </w:tr>
      <w:tr>
        <w:trPr>
          <w:trHeight w:val="312" w:hRule="atLeast"/>
        </w:trPr>
        <w:tc>
          <w:tcPr>
            <w:tcW w:w="2588" w:type="dxa"/>
          </w:tcPr>
          <w:p>
            <w:pPr>
              <w:pStyle w:val="TableParagraph"/>
              <w:spacing w:line="272" w:lineRule="exact"/>
              <w:ind w:left="261"/>
              <w:rPr>
                <w:sz w:val="21"/>
              </w:rPr>
            </w:pPr>
            <w:r>
              <w:rPr>
                <w:sz w:val="21"/>
              </w:rPr>
              <w:t>1.6 合同内容变更</w:t>
            </w:r>
          </w:p>
        </w:tc>
        <w:tc>
          <w:tcPr>
            <w:tcW w:w="3287" w:type="dxa"/>
          </w:tcPr>
          <w:p>
            <w:pPr>
              <w:pStyle w:val="TableParagraph"/>
              <w:spacing w:line="251" w:lineRule="exact"/>
              <w:ind w:left="436"/>
              <w:rPr>
                <w:sz w:val="21"/>
              </w:rPr>
            </w:pPr>
            <w:r>
              <w:rPr>
                <w:sz w:val="21"/>
              </w:rPr>
              <w:t>4.2 保险金及豁免保险费</w:t>
            </w:r>
          </w:p>
        </w:tc>
        <w:tc>
          <w:tcPr>
            <w:tcW w:w="697" w:type="dxa"/>
          </w:tcPr>
          <w:p>
            <w:pPr>
              <w:pStyle w:val="TableParagraph"/>
              <w:rPr>
                <w:rFonts w:ascii="Times New Roman"/>
                <w:sz w:val="20"/>
              </w:rPr>
            </w:pPr>
          </w:p>
        </w:tc>
        <w:tc>
          <w:tcPr>
            <w:tcW w:w="1784" w:type="dxa"/>
          </w:tcPr>
          <w:p>
            <w:pPr>
              <w:pStyle w:val="TableParagraph"/>
              <w:rPr>
                <w:rFonts w:ascii="Times New Roman"/>
                <w:sz w:val="20"/>
              </w:rPr>
            </w:pPr>
          </w:p>
        </w:tc>
      </w:tr>
      <w:tr>
        <w:trPr>
          <w:trHeight w:val="312" w:hRule="atLeast"/>
        </w:trPr>
        <w:tc>
          <w:tcPr>
            <w:tcW w:w="2588" w:type="dxa"/>
          </w:tcPr>
          <w:p>
            <w:pPr>
              <w:pStyle w:val="TableParagraph"/>
              <w:spacing w:line="272" w:lineRule="exact"/>
              <w:ind w:left="261"/>
              <w:rPr>
                <w:sz w:val="21"/>
              </w:rPr>
            </w:pPr>
            <w:r>
              <w:rPr>
                <w:sz w:val="21"/>
              </w:rPr>
              <w:t>1.7 您解除合同的手续</w:t>
            </w:r>
          </w:p>
        </w:tc>
        <w:tc>
          <w:tcPr>
            <w:tcW w:w="3287" w:type="dxa"/>
          </w:tcPr>
          <w:p>
            <w:pPr>
              <w:pStyle w:val="TableParagraph"/>
              <w:spacing w:line="251" w:lineRule="exact"/>
              <w:ind w:left="856"/>
              <w:rPr>
                <w:sz w:val="21"/>
              </w:rPr>
            </w:pPr>
            <w:r>
              <w:rPr>
                <w:sz w:val="21"/>
              </w:rPr>
              <w:t>的申请</w:t>
            </w:r>
          </w:p>
        </w:tc>
        <w:tc>
          <w:tcPr>
            <w:tcW w:w="697" w:type="dxa"/>
          </w:tcPr>
          <w:p>
            <w:pPr>
              <w:pStyle w:val="TableParagraph"/>
              <w:rPr>
                <w:rFonts w:ascii="Times New Roman"/>
                <w:sz w:val="20"/>
              </w:rPr>
            </w:pPr>
          </w:p>
        </w:tc>
        <w:tc>
          <w:tcPr>
            <w:tcW w:w="1784" w:type="dxa"/>
          </w:tcPr>
          <w:p>
            <w:pPr>
              <w:pStyle w:val="TableParagraph"/>
              <w:rPr>
                <w:rFonts w:ascii="Times New Roman"/>
                <w:sz w:val="20"/>
              </w:rPr>
            </w:pPr>
          </w:p>
        </w:tc>
      </w:tr>
      <w:tr>
        <w:trPr>
          <w:trHeight w:val="311" w:hRule="atLeast"/>
        </w:trPr>
        <w:tc>
          <w:tcPr>
            <w:tcW w:w="2588" w:type="dxa"/>
          </w:tcPr>
          <w:p>
            <w:pPr>
              <w:pStyle w:val="TableParagraph"/>
              <w:spacing w:line="272" w:lineRule="exact"/>
              <w:ind w:left="681"/>
              <w:rPr>
                <w:sz w:val="21"/>
              </w:rPr>
            </w:pPr>
            <w:r>
              <w:rPr>
                <w:sz w:val="21"/>
              </w:rPr>
              <w:t>及风险</w:t>
            </w:r>
          </w:p>
        </w:tc>
        <w:tc>
          <w:tcPr>
            <w:tcW w:w="3287" w:type="dxa"/>
          </w:tcPr>
          <w:p>
            <w:pPr>
              <w:pStyle w:val="TableParagraph"/>
              <w:spacing w:line="251" w:lineRule="exact"/>
              <w:ind w:left="436"/>
              <w:rPr>
                <w:sz w:val="21"/>
              </w:rPr>
            </w:pPr>
            <w:r>
              <w:rPr>
                <w:sz w:val="21"/>
              </w:rPr>
              <w:t>4.3 诉讼时效</w:t>
            </w:r>
          </w:p>
        </w:tc>
        <w:tc>
          <w:tcPr>
            <w:tcW w:w="697" w:type="dxa"/>
          </w:tcPr>
          <w:p>
            <w:pPr>
              <w:pStyle w:val="TableParagraph"/>
              <w:rPr>
                <w:rFonts w:ascii="Times New Roman"/>
                <w:sz w:val="20"/>
              </w:rPr>
            </w:pPr>
          </w:p>
        </w:tc>
        <w:tc>
          <w:tcPr>
            <w:tcW w:w="1784" w:type="dxa"/>
          </w:tcPr>
          <w:p>
            <w:pPr>
              <w:pStyle w:val="TableParagraph"/>
              <w:rPr>
                <w:rFonts w:ascii="Times New Roman"/>
                <w:sz w:val="20"/>
              </w:rPr>
            </w:pPr>
          </w:p>
        </w:tc>
      </w:tr>
      <w:tr>
        <w:trPr>
          <w:trHeight w:val="311" w:hRule="atLeast"/>
        </w:trPr>
        <w:tc>
          <w:tcPr>
            <w:tcW w:w="2588" w:type="dxa"/>
          </w:tcPr>
          <w:p>
            <w:pPr>
              <w:pStyle w:val="TableParagraph"/>
              <w:spacing w:line="272" w:lineRule="exact"/>
              <w:ind w:left="261"/>
              <w:rPr>
                <w:sz w:val="21"/>
              </w:rPr>
            </w:pPr>
            <w:r>
              <w:rPr>
                <w:sz w:val="21"/>
              </w:rPr>
              <w:t>1.8 合同终止</w:t>
            </w:r>
          </w:p>
        </w:tc>
        <w:tc>
          <w:tcPr>
            <w:tcW w:w="3287" w:type="dxa"/>
          </w:tcPr>
          <w:p>
            <w:pPr>
              <w:pStyle w:val="TableParagraph"/>
              <w:spacing w:line="276" w:lineRule="exact"/>
              <w:ind w:left="224"/>
              <w:rPr>
                <w:rFonts w:ascii="微软雅黑" w:eastAsia="微软雅黑" w:hint="eastAsia"/>
                <w:b/>
                <w:sz w:val="21"/>
              </w:rPr>
            </w:pPr>
            <w:r>
              <w:rPr>
                <w:rFonts w:ascii="微软雅黑" w:eastAsia="微软雅黑" w:hint="eastAsia"/>
                <w:b/>
                <w:sz w:val="21"/>
              </w:rPr>
              <w:t>5.释义</w:t>
            </w:r>
          </w:p>
        </w:tc>
        <w:tc>
          <w:tcPr>
            <w:tcW w:w="697" w:type="dxa"/>
          </w:tcPr>
          <w:p>
            <w:pPr>
              <w:pStyle w:val="TableParagraph"/>
              <w:rPr>
                <w:rFonts w:ascii="Times New Roman"/>
                <w:sz w:val="20"/>
              </w:rPr>
            </w:pPr>
          </w:p>
        </w:tc>
        <w:tc>
          <w:tcPr>
            <w:tcW w:w="1784" w:type="dxa"/>
          </w:tcPr>
          <w:p>
            <w:pPr>
              <w:pStyle w:val="TableParagraph"/>
              <w:rPr>
                <w:rFonts w:ascii="Times New Roman"/>
                <w:sz w:val="20"/>
              </w:rPr>
            </w:pPr>
          </w:p>
        </w:tc>
      </w:tr>
      <w:tr>
        <w:trPr>
          <w:trHeight w:val="312" w:hRule="atLeast"/>
        </w:trPr>
        <w:tc>
          <w:tcPr>
            <w:tcW w:w="2588" w:type="dxa"/>
          </w:tcPr>
          <w:p>
            <w:pPr>
              <w:pStyle w:val="TableParagraph"/>
              <w:spacing w:line="292" w:lineRule="exact"/>
              <w:ind w:left="50"/>
              <w:rPr>
                <w:rFonts w:ascii="微软雅黑" w:eastAsia="微软雅黑" w:hint="eastAsia"/>
                <w:b/>
                <w:sz w:val="21"/>
              </w:rPr>
            </w:pPr>
            <w:r>
              <w:rPr>
                <w:rFonts w:ascii="微软雅黑" w:eastAsia="微软雅黑" w:hint="eastAsia"/>
                <w:b/>
                <w:w w:val="81"/>
                <w:sz w:val="21"/>
              </w:rPr>
              <w:t>2</w:t>
            </w:r>
            <w:r>
              <w:rPr>
                <w:rFonts w:ascii="微软雅黑" w:eastAsia="微软雅黑" w:hint="eastAsia"/>
                <w:b/>
                <w:w w:val="176"/>
                <w:sz w:val="21"/>
              </w:rPr>
              <w:t>.</w:t>
            </w:r>
            <w:r>
              <w:rPr>
                <w:rFonts w:ascii="微软雅黑" w:eastAsia="微软雅黑" w:hint="eastAsia"/>
                <w:b/>
                <w:w w:val="100"/>
                <w:sz w:val="21"/>
              </w:rPr>
              <w:t>我们提供的保障</w:t>
            </w:r>
          </w:p>
        </w:tc>
        <w:tc>
          <w:tcPr>
            <w:tcW w:w="3287" w:type="dxa"/>
          </w:tcPr>
          <w:p>
            <w:pPr>
              <w:pStyle w:val="TableParagraph"/>
              <w:spacing w:line="251" w:lineRule="exact"/>
              <w:ind w:left="436"/>
              <w:rPr>
                <w:sz w:val="21"/>
              </w:rPr>
            </w:pPr>
            <w:r>
              <w:rPr>
                <w:sz w:val="21"/>
              </w:rPr>
              <w:t>5.1 现金价值</w:t>
            </w:r>
          </w:p>
        </w:tc>
        <w:tc>
          <w:tcPr>
            <w:tcW w:w="697" w:type="dxa"/>
          </w:tcPr>
          <w:p>
            <w:pPr>
              <w:pStyle w:val="TableParagraph"/>
              <w:rPr>
                <w:rFonts w:ascii="Times New Roman"/>
                <w:sz w:val="20"/>
              </w:rPr>
            </w:pPr>
          </w:p>
        </w:tc>
        <w:tc>
          <w:tcPr>
            <w:tcW w:w="1784" w:type="dxa"/>
          </w:tcPr>
          <w:p>
            <w:pPr>
              <w:pStyle w:val="TableParagraph"/>
              <w:rPr>
                <w:rFonts w:ascii="Times New Roman"/>
                <w:sz w:val="20"/>
              </w:rPr>
            </w:pPr>
          </w:p>
        </w:tc>
      </w:tr>
      <w:tr>
        <w:trPr>
          <w:trHeight w:val="312" w:hRule="atLeast"/>
        </w:trPr>
        <w:tc>
          <w:tcPr>
            <w:tcW w:w="2588" w:type="dxa"/>
          </w:tcPr>
          <w:p>
            <w:pPr>
              <w:pStyle w:val="TableParagraph"/>
              <w:spacing w:line="273" w:lineRule="exact"/>
              <w:ind w:left="261"/>
              <w:rPr>
                <w:sz w:val="21"/>
              </w:rPr>
            </w:pPr>
            <w:r>
              <w:rPr>
                <w:sz w:val="21"/>
              </w:rPr>
              <w:t>2.1 保险金额</w:t>
            </w:r>
          </w:p>
        </w:tc>
        <w:tc>
          <w:tcPr>
            <w:tcW w:w="3287" w:type="dxa"/>
          </w:tcPr>
          <w:p>
            <w:pPr>
              <w:pStyle w:val="TableParagraph"/>
              <w:spacing w:line="251" w:lineRule="exact"/>
              <w:ind w:left="436"/>
              <w:rPr>
                <w:sz w:val="21"/>
              </w:rPr>
            </w:pPr>
            <w:r>
              <w:rPr>
                <w:sz w:val="21"/>
              </w:rPr>
              <w:t>5.2 认可医院</w:t>
            </w:r>
          </w:p>
        </w:tc>
        <w:tc>
          <w:tcPr>
            <w:tcW w:w="697" w:type="dxa"/>
          </w:tcPr>
          <w:p>
            <w:pPr>
              <w:pStyle w:val="TableParagraph"/>
              <w:rPr>
                <w:rFonts w:ascii="Times New Roman"/>
                <w:sz w:val="20"/>
              </w:rPr>
            </w:pPr>
          </w:p>
        </w:tc>
        <w:tc>
          <w:tcPr>
            <w:tcW w:w="1784" w:type="dxa"/>
          </w:tcPr>
          <w:p>
            <w:pPr>
              <w:pStyle w:val="TableParagraph"/>
              <w:rPr>
                <w:rFonts w:ascii="Times New Roman"/>
                <w:sz w:val="20"/>
              </w:rPr>
            </w:pPr>
          </w:p>
        </w:tc>
      </w:tr>
      <w:tr>
        <w:trPr>
          <w:trHeight w:val="311" w:hRule="atLeast"/>
        </w:trPr>
        <w:tc>
          <w:tcPr>
            <w:tcW w:w="2588" w:type="dxa"/>
          </w:tcPr>
          <w:p>
            <w:pPr>
              <w:pStyle w:val="TableParagraph"/>
              <w:spacing w:line="272" w:lineRule="exact"/>
              <w:ind w:left="261"/>
              <w:rPr>
                <w:sz w:val="21"/>
              </w:rPr>
            </w:pPr>
            <w:r>
              <w:rPr>
                <w:sz w:val="21"/>
              </w:rPr>
              <w:t>2.2 保险期间</w:t>
            </w:r>
          </w:p>
        </w:tc>
        <w:tc>
          <w:tcPr>
            <w:tcW w:w="3287" w:type="dxa"/>
          </w:tcPr>
          <w:p>
            <w:pPr>
              <w:pStyle w:val="TableParagraph"/>
              <w:spacing w:line="251" w:lineRule="exact"/>
              <w:ind w:left="436"/>
              <w:rPr>
                <w:sz w:val="21"/>
              </w:rPr>
            </w:pPr>
            <w:r>
              <w:rPr>
                <w:sz w:val="21"/>
              </w:rPr>
              <w:t>5.3 专科医生</w:t>
            </w:r>
          </w:p>
        </w:tc>
        <w:tc>
          <w:tcPr>
            <w:tcW w:w="697" w:type="dxa"/>
          </w:tcPr>
          <w:p>
            <w:pPr>
              <w:pStyle w:val="TableParagraph"/>
              <w:rPr>
                <w:rFonts w:ascii="Times New Roman"/>
                <w:sz w:val="20"/>
              </w:rPr>
            </w:pPr>
          </w:p>
        </w:tc>
        <w:tc>
          <w:tcPr>
            <w:tcW w:w="1784" w:type="dxa"/>
          </w:tcPr>
          <w:p>
            <w:pPr>
              <w:pStyle w:val="TableParagraph"/>
              <w:rPr>
                <w:rFonts w:ascii="Times New Roman"/>
                <w:sz w:val="20"/>
              </w:rPr>
            </w:pPr>
          </w:p>
        </w:tc>
      </w:tr>
      <w:tr>
        <w:trPr>
          <w:trHeight w:val="311" w:hRule="atLeast"/>
        </w:trPr>
        <w:tc>
          <w:tcPr>
            <w:tcW w:w="2588" w:type="dxa"/>
          </w:tcPr>
          <w:p>
            <w:pPr>
              <w:pStyle w:val="TableParagraph"/>
              <w:spacing w:line="272" w:lineRule="exact"/>
              <w:ind w:left="261"/>
              <w:rPr>
                <w:sz w:val="21"/>
              </w:rPr>
            </w:pPr>
            <w:r>
              <w:rPr>
                <w:sz w:val="21"/>
              </w:rPr>
              <w:t>2.3 保险责任</w:t>
            </w:r>
          </w:p>
        </w:tc>
        <w:tc>
          <w:tcPr>
            <w:tcW w:w="3287" w:type="dxa"/>
          </w:tcPr>
          <w:p>
            <w:pPr>
              <w:pStyle w:val="TableParagraph"/>
              <w:spacing w:line="251" w:lineRule="exact"/>
              <w:ind w:left="436"/>
              <w:rPr>
                <w:sz w:val="21"/>
              </w:rPr>
            </w:pPr>
            <w:r>
              <w:rPr>
                <w:sz w:val="21"/>
              </w:rPr>
              <w:t>5.4 本合同所指的重大疾病</w:t>
            </w:r>
          </w:p>
        </w:tc>
        <w:tc>
          <w:tcPr>
            <w:tcW w:w="697" w:type="dxa"/>
          </w:tcPr>
          <w:p>
            <w:pPr>
              <w:pStyle w:val="TableParagraph"/>
              <w:rPr>
                <w:rFonts w:ascii="Times New Roman"/>
                <w:sz w:val="20"/>
              </w:rPr>
            </w:pPr>
          </w:p>
        </w:tc>
        <w:tc>
          <w:tcPr>
            <w:tcW w:w="1784" w:type="dxa"/>
          </w:tcPr>
          <w:p>
            <w:pPr>
              <w:pStyle w:val="TableParagraph"/>
              <w:rPr>
                <w:rFonts w:ascii="Times New Roman"/>
                <w:sz w:val="20"/>
              </w:rPr>
            </w:pPr>
          </w:p>
        </w:tc>
      </w:tr>
      <w:tr>
        <w:trPr>
          <w:trHeight w:val="272" w:hRule="atLeast"/>
        </w:trPr>
        <w:tc>
          <w:tcPr>
            <w:tcW w:w="2588" w:type="dxa"/>
          </w:tcPr>
          <w:p>
            <w:pPr>
              <w:pStyle w:val="TableParagraph"/>
              <w:spacing w:line="252" w:lineRule="exact"/>
              <w:ind w:left="261"/>
              <w:rPr>
                <w:sz w:val="21"/>
              </w:rPr>
            </w:pPr>
            <w:r>
              <w:rPr>
                <w:sz w:val="21"/>
              </w:rPr>
              <w:t>2.4 责任免除</w:t>
            </w:r>
          </w:p>
        </w:tc>
        <w:tc>
          <w:tcPr>
            <w:tcW w:w="3287" w:type="dxa"/>
          </w:tcPr>
          <w:p>
            <w:pPr>
              <w:pStyle w:val="TableParagraph"/>
              <w:spacing w:line="251" w:lineRule="exact"/>
              <w:ind w:left="436"/>
              <w:rPr>
                <w:sz w:val="21"/>
              </w:rPr>
            </w:pPr>
            <w:r>
              <w:rPr>
                <w:sz w:val="21"/>
              </w:rPr>
              <w:t>5.5 本合同所指的轻症</w:t>
            </w:r>
          </w:p>
        </w:tc>
        <w:tc>
          <w:tcPr>
            <w:tcW w:w="697" w:type="dxa"/>
          </w:tcPr>
          <w:p>
            <w:pPr>
              <w:pStyle w:val="TableParagraph"/>
              <w:rPr>
                <w:rFonts w:ascii="Times New Roman"/>
                <w:sz w:val="20"/>
              </w:rPr>
            </w:pPr>
          </w:p>
        </w:tc>
        <w:tc>
          <w:tcPr>
            <w:tcW w:w="1784" w:type="dxa"/>
          </w:tcPr>
          <w:p>
            <w:pPr>
              <w:pStyle w:val="TableParagraph"/>
              <w:rPr>
                <w:rFonts w:ascii="Times New Roman"/>
                <w:sz w:val="20"/>
              </w:rPr>
            </w:pPr>
          </w:p>
        </w:tc>
      </w:tr>
    </w:tbl>
    <w:p>
      <w:pPr>
        <w:spacing w:after="0"/>
        <w:rPr>
          <w:rFonts w:ascii="Times New Roman"/>
          <w:sz w:val="20"/>
        </w:rPr>
        <w:sectPr>
          <w:type w:val="continuous"/>
          <w:pgSz w:w="11910" w:h="16840"/>
          <w:pgMar w:top="260" w:bottom="1180" w:left="980" w:right="120"/>
        </w:sectPr>
      </w:pPr>
    </w:p>
    <w:p>
      <w:pPr>
        <w:pStyle w:val="BodyText"/>
        <w:spacing w:before="6"/>
        <w:rPr>
          <w:rFonts w:ascii="微软雅黑"/>
          <w:b/>
          <w:sz w:val="2"/>
        </w:rPr>
      </w:pPr>
    </w:p>
    <w:p>
      <w:pPr>
        <w:spacing w:line="38" w:lineRule="exact"/>
        <w:ind w:left="276" w:right="0" w:firstLine="0"/>
        <w:rPr>
          <w:rFonts w:ascii="微软雅黑"/>
          <w:sz w:val="3"/>
        </w:rPr>
      </w:pPr>
      <w:r>
        <w:rPr>
          <w:rFonts w:ascii="Times New Roman"/>
          <w:spacing w:val="-7"/>
          <w:sz w:val="3"/>
        </w:rPr>
        <w:t> </w:t>
      </w:r>
      <w:r>
        <w:rPr>
          <w:rFonts w:ascii="微软雅黑"/>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微软雅黑"/>
          <w:spacing w:val="-7"/>
          <w:position w:val="0"/>
          <w:sz w:val="3"/>
        </w:rPr>
      </w:r>
    </w:p>
    <w:p>
      <w:pPr>
        <w:pStyle w:val="BodyText"/>
        <w:spacing w:before="9"/>
        <w:rPr>
          <w:rFonts w:ascii="微软雅黑"/>
          <w:b/>
          <w:sz w:val="20"/>
        </w:rPr>
      </w:pPr>
    </w:p>
    <w:p>
      <w:pPr>
        <w:pStyle w:val="Heading1"/>
        <w:spacing w:line="415" w:lineRule="exact"/>
      </w:pPr>
      <w:r>
        <w:rPr/>
        <w:t>天安人寿保险股份有限公司</w:t>
      </w:r>
    </w:p>
    <w:p>
      <w:pPr>
        <w:spacing w:before="140"/>
        <w:ind w:left="1834" w:right="1835" w:firstLine="0"/>
        <w:jc w:val="center"/>
        <w:rPr>
          <w:rFonts w:ascii="微软雅黑" w:eastAsia="微软雅黑" w:hint="eastAsia"/>
          <w:b/>
          <w:sz w:val="28"/>
        </w:rPr>
      </w:pPr>
      <w:r>
        <w:rPr>
          <w:rFonts w:ascii="微软雅黑" w:eastAsia="微软雅黑" w:hint="eastAsia"/>
          <w:b/>
          <w:sz w:val="28"/>
        </w:rPr>
        <w:t>天安人寿附加长泰永恒提前给付重大疾病保险条款</w:t>
      </w:r>
    </w:p>
    <w:p>
      <w:pPr>
        <w:pStyle w:val="BodyText"/>
        <w:rPr>
          <w:rFonts w:ascii="微软雅黑"/>
          <w:b/>
          <w:sz w:val="20"/>
        </w:rPr>
      </w:pPr>
    </w:p>
    <w:p>
      <w:pPr>
        <w:pStyle w:val="BodyText"/>
        <w:spacing w:before="15"/>
        <w:rPr>
          <w:rFonts w:ascii="微软雅黑"/>
          <w:b/>
          <w:sz w:val="11"/>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1423"/>
        <w:gridCol w:w="7502"/>
      </w:tblGrid>
      <w:tr>
        <w:trPr>
          <w:trHeight w:val="522" w:hRule="atLeast"/>
        </w:trPr>
        <w:tc>
          <w:tcPr>
            <w:tcW w:w="731"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8925" w:type="dxa"/>
            <w:gridSpan w:val="2"/>
            <w:tcBorders>
              <w:bottom w:val="single" w:sz="8" w:space="0" w:color="000000"/>
            </w:tcBorders>
          </w:tcPr>
          <w:p>
            <w:pPr>
              <w:pStyle w:val="TableParagraph"/>
              <w:spacing w:line="358" w:lineRule="exact"/>
              <w:ind w:left="265"/>
              <w:rPr>
                <w:rFonts w:ascii="微软雅黑" w:eastAsia="微软雅黑" w:hint="eastAsia"/>
                <w:b/>
                <w:sz w:val="24"/>
              </w:rPr>
            </w:pPr>
            <w:r>
              <w:rPr>
                <w:rFonts w:ascii="微软雅黑" w:eastAsia="微软雅黑" w:hint="eastAsia"/>
                <w:b/>
                <w:sz w:val="24"/>
              </w:rPr>
              <w:t>您与我们的合同</w:t>
            </w:r>
          </w:p>
        </w:tc>
      </w:tr>
      <w:tr>
        <w:trPr>
          <w:trHeight w:val="1402" w:hRule="atLeast"/>
        </w:trPr>
        <w:tc>
          <w:tcPr>
            <w:tcW w:w="731" w:type="dxa"/>
            <w:tcBorders>
              <w:top w:val="single" w:sz="8" w:space="0" w:color="000000"/>
            </w:tcBorders>
          </w:tcPr>
          <w:p>
            <w:pPr>
              <w:pStyle w:val="TableParagraph"/>
              <w:spacing w:before="9"/>
              <w:rPr>
                <w:rFonts w:ascii="微软雅黑"/>
                <w:b/>
                <w:sz w:val="13"/>
              </w:rPr>
            </w:pPr>
          </w:p>
          <w:p>
            <w:pPr>
              <w:pStyle w:val="TableParagraph"/>
              <w:ind w:left="107"/>
              <w:rPr>
                <w:rFonts w:ascii="微软雅黑"/>
                <w:b/>
                <w:sz w:val="21"/>
              </w:rPr>
            </w:pPr>
            <w:r>
              <w:rPr>
                <w:rFonts w:ascii="微软雅黑"/>
                <w:b/>
                <w:sz w:val="21"/>
              </w:rPr>
              <w:t>1.1</w:t>
            </w:r>
          </w:p>
        </w:tc>
        <w:tc>
          <w:tcPr>
            <w:tcW w:w="1423" w:type="dxa"/>
            <w:tcBorders>
              <w:top w:val="single" w:sz="8" w:space="0" w:color="000000"/>
            </w:tcBorders>
          </w:tcPr>
          <w:p>
            <w:pPr>
              <w:pStyle w:val="TableParagraph"/>
              <w:spacing w:before="9"/>
              <w:rPr>
                <w:rFonts w:ascii="微软雅黑"/>
                <w:b/>
                <w:sz w:val="13"/>
              </w:rPr>
            </w:pPr>
          </w:p>
          <w:p>
            <w:pPr>
              <w:pStyle w:val="TableParagraph"/>
              <w:ind w:left="265"/>
              <w:rPr>
                <w:rFonts w:ascii="微软雅黑" w:eastAsia="微软雅黑" w:hint="eastAsia"/>
                <w:b/>
                <w:sz w:val="21"/>
              </w:rPr>
            </w:pPr>
            <w:r>
              <w:rPr>
                <w:rFonts w:ascii="微软雅黑" w:eastAsia="微软雅黑" w:hint="eastAsia"/>
                <w:b/>
                <w:sz w:val="21"/>
              </w:rPr>
              <w:t>投保范围</w:t>
            </w:r>
          </w:p>
        </w:tc>
        <w:tc>
          <w:tcPr>
            <w:tcW w:w="7502" w:type="dxa"/>
            <w:tcBorders>
              <w:top w:val="single" w:sz="8" w:space="0" w:color="000000"/>
            </w:tcBorders>
          </w:tcPr>
          <w:p>
            <w:pPr>
              <w:pStyle w:val="TableParagraph"/>
              <w:spacing w:before="3"/>
              <w:rPr>
                <w:rFonts w:ascii="微软雅黑"/>
                <w:b/>
                <w:sz w:val="17"/>
              </w:rPr>
            </w:pPr>
          </w:p>
          <w:p>
            <w:pPr>
              <w:pStyle w:val="TableParagraph"/>
              <w:spacing w:line="273" w:lineRule="auto"/>
              <w:ind w:left="107" w:right="103" w:firstLine="420"/>
              <w:rPr>
                <w:sz w:val="21"/>
              </w:rPr>
            </w:pPr>
            <w:r>
              <w:rPr>
                <w:w w:val="100"/>
                <w:sz w:val="21"/>
              </w:rPr>
              <w:t>本附加保险合同（</w:t>
            </w:r>
            <w:r>
              <w:rPr>
                <w:spacing w:val="-12"/>
                <w:w w:val="100"/>
                <w:sz w:val="21"/>
              </w:rPr>
              <w:t>以下简称“本合同”</w:t>
            </w:r>
            <w:r>
              <w:rPr>
                <w:w w:val="100"/>
                <w:sz w:val="21"/>
              </w:rPr>
              <w:t>）是天安人寿长泰永恒终身寿险</w:t>
            </w:r>
            <w:r>
              <w:rPr>
                <w:spacing w:val="1"/>
                <w:w w:val="100"/>
                <w:sz w:val="21"/>
              </w:rPr>
              <w:t>（</w:t>
            </w:r>
            <w:r>
              <w:rPr>
                <w:w w:val="100"/>
                <w:sz w:val="21"/>
              </w:rPr>
              <w:t>分红型</w:t>
            </w:r>
            <w:r>
              <w:rPr>
                <w:spacing w:val="-3"/>
                <w:w w:val="100"/>
                <w:sz w:val="21"/>
              </w:rPr>
              <w:t>）保险合同</w:t>
            </w:r>
            <w:r>
              <w:rPr>
                <w:w w:val="100"/>
                <w:sz w:val="21"/>
              </w:rPr>
              <w:t>（</w:t>
            </w:r>
            <w:r>
              <w:rPr>
                <w:spacing w:val="-14"/>
                <w:w w:val="100"/>
                <w:sz w:val="21"/>
              </w:rPr>
              <w:t>以下简称“主险合同”</w:t>
            </w:r>
            <w:r>
              <w:rPr>
                <w:w w:val="100"/>
                <w:sz w:val="21"/>
              </w:rPr>
              <w:t>）</w:t>
            </w:r>
            <w:r>
              <w:rPr>
                <w:spacing w:val="-3"/>
                <w:w w:val="100"/>
                <w:sz w:val="21"/>
              </w:rPr>
              <w:t>的附加合同。</w:t>
            </w:r>
          </w:p>
          <w:p>
            <w:pPr>
              <w:pStyle w:val="TableParagraph"/>
              <w:spacing w:before="7"/>
              <w:ind w:left="527"/>
              <w:rPr>
                <w:sz w:val="21"/>
              </w:rPr>
            </w:pPr>
            <w:r>
              <w:rPr>
                <w:sz w:val="21"/>
              </w:rPr>
              <w:t>本合同的投保人、被保险人均与主险合同相同。</w:t>
            </w:r>
          </w:p>
        </w:tc>
      </w:tr>
      <w:tr>
        <w:trPr>
          <w:trHeight w:val="1248" w:hRule="atLeast"/>
        </w:trPr>
        <w:tc>
          <w:tcPr>
            <w:tcW w:w="731" w:type="dxa"/>
          </w:tcPr>
          <w:p>
            <w:pPr>
              <w:pStyle w:val="TableParagraph"/>
              <w:spacing w:before="80"/>
              <w:ind w:left="107"/>
              <w:rPr>
                <w:rFonts w:ascii="微软雅黑"/>
                <w:b/>
                <w:sz w:val="21"/>
              </w:rPr>
            </w:pPr>
            <w:r>
              <w:rPr>
                <w:rFonts w:ascii="微软雅黑"/>
                <w:b/>
                <w:sz w:val="21"/>
              </w:rPr>
              <w:t>1.2</w:t>
            </w:r>
          </w:p>
        </w:tc>
        <w:tc>
          <w:tcPr>
            <w:tcW w:w="1423" w:type="dxa"/>
          </w:tcPr>
          <w:p>
            <w:pPr>
              <w:pStyle w:val="TableParagraph"/>
              <w:spacing w:before="80"/>
              <w:ind w:left="265"/>
              <w:rPr>
                <w:rFonts w:ascii="微软雅黑" w:eastAsia="微软雅黑" w:hint="eastAsia"/>
                <w:b/>
                <w:sz w:val="21"/>
              </w:rPr>
            </w:pPr>
            <w:r>
              <w:rPr>
                <w:rFonts w:ascii="微软雅黑" w:eastAsia="微软雅黑" w:hint="eastAsia"/>
                <w:b/>
                <w:sz w:val="21"/>
              </w:rPr>
              <w:t>合同构成</w:t>
            </w:r>
          </w:p>
        </w:tc>
        <w:tc>
          <w:tcPr>
            <w:tcW w:w="7502" w:type="dxa"/>
          </w:tcPr>
          <w:p>
            <w:pPr>
              <w:pStyle w:val="TableParagraph"/>
              <w:spacing w:line="273" w:lineRule="auto" w:before="143"/>
              <w:ind w:left="107" w:right="102" w:firstLine="420"/>
              <w:jc w:val="both"/>
              <w:rPr>
                <w:sz w:val="21"/>
              </w:rPr>
            </w:pPr>
            <w:r>
              <w:rPr>
                <w:spacing w:val="-7"/>
                <w:sz w:val="21"/>
              </w:rPr>
              <w:t>本合同由保险单或其他保险凭证及所附条款、投保单、与本合同有关的其他</w:t>
            </w:r>
            <w:r>
              <w:rPr>
                <w:spacing w:val="-11"/>
                <w:sz w:val="21"/>
              </w:rPr>
              <w:t>投保文件、健康告知书、保险合同变更申请书、声明、批注、附贴批单及其他书</w:t>
            </w:r>
            <w:r>
              <w:rPr>
                <w:spacing w:val="-6"/>
                <w:sz w:val="21"/>
              </w:rPr>
              <w:t>面协议构成。</w:t>
            </w:r>
          </w:p>
        </w:tc>
      </w:tr>
      <w:tr>
        <w:trPr>
          <w:trHeight w:val="1872" w:hRule="atLeast"/>
        </w:trPr>
        <w:tc>
          <w:tcPr>
            <w:tcW w:w="731" w:type="dxa"/>
          </w:tcPr>
          <w:p>
            <w:pPr>
              <w:pStyle w:val="TableParagraph"/>
              <w:spacing w:before="80"/>
              <w:ind w:left="107"/>
              <w:rPr>
                <w:rFonts w:ascii="微软雅黑"/>
                <w:b/>
                <w:sz w:val="21"/>
              </w:rPr>
            </w:pPr>
            <w:r>
              <w:rPr>
                <w:rFonts w:ascii="微软雅黑"/>
                <w:b/>
                <w:sz w:val="21"/>
              </w:rPr>
              <w:t>1.3</w:t>
            </w:r>
          </w:p>
        </w:tc>
        <w:tc>
          <w:tcPr>
            <w:tcW w:w="1423" w:type="dxa"/>
          </w:tcPr>
          <w:p>
            <w:pPr>
              <w:pStyle w:val="TableParagraph"/>
              <w:spacing w:line="206" w:lineRule="auto" w:before="131"/>
              <w:ind w:left="265" w:right="104"/>
              <w:rPr>
                <w:rFonts w:ascii="微软雅黑" w:eastAsia="微软雅黑" w:hint="eastAsia"/>
                <w:b/>
                <w:sz w:val="21"/>
              </w:rPr>
            </w:pPr>
            <w:r>
              <w:rPr>
                <w:rFonts w:ascii="微软雅黑" w:eastAsia="微软雅黑" w:hint="eastAsia"/>
                <w:b/>
                <w:sz w:val="21"/>
              </w:rPr>
              <w:t>合 同 成 立与生效</w:t>
            </w:r>
          </w:p>
        </w:tc>
        <w:tc>
          <w:tcPr>
            <w:tcW w:w="7502" w:type="dxa"/>
          </w:tcPr>
          <w:p>
            <w:pPr>
              <w:pStyle w:val="TableParagraph"/>
              <w:spacing w:line="273" w:lineRule="auto" w:before="142"/>
              <w:ind w:left="107" w:right="100" w:firstLine="420"/>
              <w:jc w:val="both"/>
              <w:rPr>
                <w:sz w:val="21"/>
              </w:rPr>
            </w:pPr>
            <w:r>
              <w:rPr>
                <w:spacing w:val="-9"/>
                <w:sz w:val="21"/>
              </w:rPr>
              <w:t>您提出保险申请、本公司同意承保，本合同成立，合同成立日期在保险单上载明。</w:t>
            </w:r>
          </w:p>
          <w:p>
            <w:pPr>
              <w:pStyle w:val="TableParagraph"/>
              <w:spacing w:line="273" w:lineRule="auto" w:before="7"/>
              <w:ind w:left="107" w:right="35" w:firstLine="420"/>
              <w:jc w:val="both"/>
              <w:rPr>
                <w:sz w:val="21"/>
              </w:rPr>
            </w:pPr>
            <w:r>
              <w:rPr>
                <w:spacing w:val="-10"/>
                <w:sz w:val="21"/>
              </w:rPr>
              <w:t>除另有约定外，自本合同成立、本公司收取首期保险费并签发保险单的次日</w:t>
            </w:r>
            <w:r>
              <w:rPr>
                <w:spacing w:val="-5"/>
                <w:sz w:val="21"/>
              </w:rPr>
              <w:t>零时起本合同生效，本公司开始承担保险责任，合同生效日期在保险单上载明。</w:t>
            </w:r>
            <w:r>
              <w:rPr>
                <w:spacing w:val="-4"/>
                <w:sz w:val="21"/>
              </w:rPr>
              <w:t>本合同生效日即为保单生效日。</w:t>
            </w:r>
          </w:p>
        </w:tc>
      </w:tr>
      <w:tr>
        <w:trPr>
          <w:trHeight w:val="2808" w:hRule="atLeast"/>
        </w:trPr>
        <w:tc>
          <w:tcPr>
            <w:tcW w:w="731" w:type="dxa"/>
          </w:tcPr>
          <w:p>
            <w:pPr>
              <w:pStyle w:val="TableParagraph"/>
              <w:spacing w:before="80"/>
              <w:ind w:left="107"/>
              <w:rPr>
                <w:rFonts w:ascii="微软雅黑"/>
                <w:b/>
                <w:sz w:val="21"/>
              </w:rPr>
            </w:pPr>
            <w:r>
              <w:rPr>
                <w:rFonts w:ascii="微软雅黑"/>
                <w:b/>
                <w:sz w:val="21"/>
              </w:rPr>
              <w:t>1.4</w:t>
            </w:r>
          </w:p>
        </w:tc>
        <w:tc>
          <w:tcPr>
            <w:tcW w:w="1423" w:type="dxa"/>
          </w:tcPr>
          <w:p>
            <w:pPr>
              <w:pStyle w:val="TableParagraph"/>
              <w:spacing w:before="80"/>
              <w:ind w:left="265"/>
              <w:rPr>
                <w:rFonts w:ascii="微软雅黑" w:eastAsia="微软雅黑" w:hint="eastAsia"/>
                <w:b/>
                <w:sz w:val="21"/>
              </w:rPr>
            </w:pPr>
            <w:r>
              <w:rPr>
                <w:rFonts w:ascii="微软雅黑" w:eastAsia="微软雅黑" w:hint="eastAsia"/>
                <w:b/>
                <w:sz w:val="21"/>
              </w:rPr>
              <w:t>合同效力</w:t>
            </w:r>
          </w:p>
        </w:tc>
        <w:tc>
          <w:tcPr>
            <w:tcW w:w="7502" w:type="dxa"/>
          </w:tcPr>
          <w:p>
            <w:pPr>
              <w:pStyle w:val="TableParagraph"/>
              <w:spacing w:line="273" w:lineRule="auto" w:before="143"/>
              <w:ind w:left="107" w:right="35" w:firstLine="435"/>
              <w:jc w:val="both"/>
              <w:rPr>
                <w:sz w:val="21"/>
              </w:rPr>
            </w:pPr>
            <w:r>
              <w:rPr>
                <w:spacing w:val="-13"/>
                <w:sz w:val="21"/>
              </w:rPr>
              <w:t>主险合同中的“续期保险费的交纳、宽限期”</w:t>
            </w:r>
            <w:r>
              <w:rPr>
                <w:spacing w:val="-28"/>
                <w:sz w:val="21"/>
              </w:rPr>
              <w:t>、“合同效力中止”、“合同效力</w:t>
            </w:r>
            <w:r>
              <w:rPr>
                <w:spacing w:val="-33"/>
                <w:sz w:val="21"/>
              </w:rPr>
              <w:t>恢复”、 “保单质押贷款”、“保险事故通知”、“保险金的给付”、“未还款项的扣</w:t>
            </w:r>
            <w:r>
              <w:rPr>
                <w:spacing w:val="-31"/>
                <w:sz w:val="21"/>
              </w:rPr>
              <w:t>除”、“明确说明与如实告知”、“本公司合同解除权的限制”、“年龄确定与错误处</w:t>
            </w:r>
            <w:r>
              <w:rPr>
                <w:spacing w:val="-30"/>
                <w:sz w:val="21"/>
              </w:rPr>
              <w:t>理”、“地址变更”、“失踪处理”、“争议处理”事项以及“释义”适用于本合同。</w:t>
            </w:r>
            <w:r>
              <w:rPr>
                <w:spacing w:val="-9"/>
                <w:sz w:val="21"/>
              </w:rPr>
              <w:t>本合同内容与主险合同相抵触的，以本合同为准。</w:t>
            </w:r>
          </w:p>
          <w:p>
            <w:pPr>
              <w:pStyle w:val="TableParagraph"/>
              <w:spacing w:before="8"/>
              <w:ind w:left="542"/>
              <w:rPr>
                <w:sz w:val="21"/>
              </w:rPr>
            </w:pPr>
            <w:r>
              <w:rPr>
                <w:sz w:val="21"/>
              </w:rPr>
              <w:t>主险合同无效，本合同亦无效。</w:t>
            </w:r>
          </w:p>
          <w:p>
            <w:pPr>
              <w:pStyle w:val="TableParagraph"/>
              <w:spacing w:line="273" w:lineRule="auto" w:before="37"/>
              <w:ind w:left="527" w:right="2752" w:firstLine="14"/>
              <w:rPr>
                <w:sz w:val="21"/>
              </w:rPr>
            </w:pPr>
            <w:r>
              <w:rPr>
                <w:sz w:val="21"/>
              </w:rPr>
              <w:t>除另有约定外，主险合同中止，本合同中止。主险合同终止，本合同终止。</w:t>
            </w:r>
          </w:p>
        </w:tc>
      </w:tr>
      <w:tr>
        <w:trPr>
          <w:trHeight w:val="1872" w:hRule="atLeast"/>
        </w:trPr>
        <w:tc>
          <w:tcPr>
            <w:tcW w:w="731" w:type="dxa"/>
          </w:tcPr>
          <w:p>
            <w:pPr>
              <w:pStyle w:val="TableParagraph"/>
              <w:spacing w:before="80"/>
              <w:ind w:left="107"/>
              <w:rPr>
                <w:rFonts w:ascii="微软雅黑"/>
                <w:b/>
                <w:sz w:val="21"/>
              </w:rPr>
            </w:pPr>
            <w:r>
              <w:rPr>
                <w:rFonts w:ascii="微软雅黑"/>
                <w:b/>
                <w:w w:val="81"/>
                <w:sz w:val="21"/>
              </w:rPr>
              <w:t>1</w:t>
            </w:r>
            <w:r>
              <w:rPr>
                <w:rFonts w:ascii="微软雅黑"/>
                <w:b/>
                <w:w w:val="176"/>
                <w:sz w:val="21"/>
              </w:rPr>
              <w:t>.</w:t>
            </w:r>
            <w:r>
              <w:rPr>
                <w:rFonts w:ascii="微软雅黑"/>
                <w:b/>
                <w:w w:val="81"/>
                <w:sz w:val="21"/>
              </w:rPr>
              <w:t>5</w:t>
            </w:r>
          </w:p>
        </w:tc>
        <w:tc>
          <w:tcPr>
            <w:tcW w:w="1423" w:type="dxa"/>
          </w:tcPr>
          <w:p>
            <w:pPr>
              <w:pStyle w:val="TableParagraph"/>
              <w:spacing w:before="80"/>
              <w:ind w:left="265"/>
              <w:rPr>
                <w:rFonts w:ascii="微软雅黑" w:eastAsia="微软雅黑" w:hint="eastAsia"/>
                <w:b/>
                <w:sz w:val="21"/>
              </w:rPr>
            </w:pPr>
            <w:r>
              <w:rPr>
                <w:rFonts w:ascii="微软雅黑" w:eastAsia="微软雅黑" w:hint="eastAsia"/>
                <w:b/>
                <w:sz w:val="21"/>
              </w:rPr>
              <w:t>犹豫期</w:t>
            </w:r>
          </w:p>
        </w:tc>
        <w:tc>
          <w:tcPr>
            <w:tcW w:w="7502" w:type="dxa"/>
          </w:tcPr>
          <w:p>
            <w:pPr>
              <w:pStyle w:val="TableParagraph"/>
              <w:spacing w:before="142"/>
              <w:ind w:left="527"/>
              <w:rPr>
                <w:sz w:val="21"/>
              </w:rPr>
            </w:pPr>
            <w:r>
              <w:rPr>
                <w:sz w:val="21"/>
              </w:rPr>
              <w:t>本合同生效后，本公司为您提供 10 日的犹豫期，犹豫期指您收到保险单并</w:t>
            </w:r>
          </w:p>
          <w:p>
            <w:pPr>
              <w:pStyle w:val="TableParagraph"/>
              <w:spacing w:line="273" w:lineRule="auto" w:before="37"/>
              <w:ind w:left="107" w:right="34"/>
              <w:rPr>
                <w:sz w:val="21"/>
              </w:rPr>
            </w:pPr>
            <w:r>
              <w:rPr>
                <w:sz w:val="21"/>
              </w:rPr>
              <w:t>书面签收之日起 10 日的期间，您在上述期间内要求解除本合同的，应书面提出合同解除申请，并提供您的保险合同及有效身份证件，本公司将在扣除不超过</w:t>
            </w:r>
          </w:p>
          <w:p>
            <w:pPr>
              <w:pStyle w:val="TableParagraph"/>
              <w:spacing w:line="273" w:lineRule="auto" w:before="7"/>
              <w:ind w:left="107" w:right="-15"/>
              <w:rPr>
                <w:sz w:val="21"/>
              </w:rPr>
            </w:pPr>
            <w:r>
              <w:rPr>
                <w:sz w:val="21"/>
              </w:rPr>
              <w:t>10 元的保单工本费后退还本合同交纳的保险费。自本公司收到合同解除申请之</w:t>
            </w:r>
            <w:r>
              <w:rPr>
                <w:spacing w:val="-16"/>
                <w:sz w:val="21"/>
              </w:rPr>
              <w:t>日起，本合同即被解除，对本合同解除前发</w:t>
            </w:r>
            <w:r>
              <w:rPr>
                <w:sz w:val="21"/>
              </w:rPr>
              <w:t>Th</w:t>
            </w:r>
            <w:r>
              <w:rPr>
                <w:spacing w:val="-3"/>
                <w:sz w:val="21"/>
              </w:rPr>
              <w:t>的保险事故本公司不承担保险责任。</w:t>
            </w:r>
          </w:p>
        </w:tc>
      </w:tr>
      <w:tr>
        <w:trPr>
          <w:trHeight w:val="935" w:hRule="atLeast"/>
        </w:trPr>
        <w:tc>
          <w:tcPr>
            <w:tcW w:w="731" w:type="dxa"/>
          </w:tcPr>
          <w:p>
            <w:pPr>
              <w:pStyle w:val="TableParagraph"/>
              <w:spacing w:before="80"/>
              <w:ind w:left="107"/>
              <w:rPr>
                <w:rFonts w:ascii="微软雅黑"/>
                <w:b/>
                <w:sz w:val="21"/>
              </w:rPr>
            </w:pPr>
            <w:r>
              <w:rPr>
                <w:rFonts w:ascii="微软雅黑"/>
                <w:b/>
                <w:w w:val="81"/>
                <w:sz w:val="21"/>
              </w:rPr>
              <w:t>1</w:t>
            </w:r>
            <w:r>
              <w:rPr>
                <w:rFonts w:ascii="微软雅黑"/>
                <w:b/>
                <w:w w:val="176"/>
                <w:sz w:val="21"/>
              </w:rPr>
              <w:t>.</w:t>
            </w:r>
            <w:r>
              <w:rPr>
                <w:rFonts w:ascii="微软雅黑"/>
                <w:b/>
                <w:w w:val="81"/>
                <w:sz w:val="21"/>
              </w:rPr>
              <w:t>6</w:t>
            </w:r>
          </w:p>
        </w:tc>
        <w:tc>
          <w:tcPr>
            <w:tcW w:w="1423" w:type="dxa"/>
          </w:tcPr>
          <w:p>
            <w:pPr>
              <w:pStyle w:val="TableParagraph"/>
              <w:spacing w:line="206" w:lineRule="auto" w:before="131"/>
              <w:ind w:left="265" w:right="310"/>
              <w:rPr>
                <w:rFonts w:ascii="微软雅黑" w:eastAsia="微软雅黑" w:hint="eastAsia"/>
                <w:b/>
                <w:sz w:val="21"/>
              </w:rPr>
            </w:pPr>
            <w:r>
              <w:rPr>
                <w:rFonts w:ascii="微软雅黑" w:eastAsia="微软雅黑" w:hint="eastAsia"/>
                <w:b/>
                <w:sz w:val="21"/>
              </w:rPr>
              <w:t>合同内容变更</w:t>
            </w:r>
          </w:p>
        </w:tc>
        <w:tc>
          <w:tcPr>
            <w:tcW w:w="7502" w:type="dxa"/>
          </w:tcPr>
          <w:p>
            <w:pPr>
              <w:pStyle w:val="TableParagraph"/>
              <w:spacing w:line="273" w:lineRule="auto" w:before="142"/>
              <w:ind w:left="107" w:right="37"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1666" w:hRule="atLeast"/>
        </w:trPr>
        <w:tc>
          <w:tcPr>
            <w:tcW w:w="731" w:type="dxa"/>
          </w:tcPr>
          <w:p>
            <w:pPr>
              <w:pStyle w:val="TableParagraph"/>
              <w:spacing w:before="80"/>
              <w:ind w:left="107"/>
              <w:rPr>
                <w:rFonts w:ascii="微软雅黑"/>
                <w:b/>
                <w:sz w:val="21"/>
              </w:rPr>
            </w:pPr>
            <w:r>
              <w:rPr>
                <w:rFonts w:ascii="微软雅黑"/>
                <w:b/>
                <w:w w:val="81"/>
                <w:sz w:val="21"/>
              </w:rPr>
              <w:t>1</w:t>
            </w:r>
            <w:r>
              <w:rPr>
                <w:rFonts w:ascii="微软雅黑"/>
                <w:b/>
                <w:w w:val="176"/>
                <w:sz w:val="21"/>
              </w:rPr>
              <w:t>.</w:t>
            </w:r>
            <w:r>
              <w:rPr>
                <w:rFonts w:ascii="微软雅黑"/>
                <w:b/>
                <w:w w:val="81"/>
                <w:sz w:val="21"/>
              </w:rPr>
              <w:t>7</w:t>
            </w:r>
          </w:p>
        </w:tc>
        <w:tc>
          <w:tcPr>
            <w:tcW w:w="1423" w:type="dxa"/>
          </w:tcPr>
          <w:p>
            <w:pPr>
              <w:pStyle w:val="TableParagraph"/>
              <w:spacing w:line="206" w:lineRule="auto" w:before="131"/>
              <w:ind w:left="265" w:right="310"/>
              <w:jc w:val="both"/>
              <w:rPr>
                <w:rFonts w:ascii="微软雅黑" w:eastAsia="微软雅黑" w:hint="eastAsia"/>
                <w:b/>
                <w:sz w:val="21"/>
              </w:rPr>
            </w:pPr>
            <w:r>
              <w:rPr>
                <w:rFonts w:ascii="微软雅黑" w:eastAsia="微软雅黑" w:hint="eastAsia"/>
                <w:b/>
                <w:sz w:val="21"/>
              </w:rPr>
              <w:t>您解除合同的手续及风险</w:t>
            </w:r>
          </w:p>
        </w:tc>
        <w:tc>
          <w:tcPr>
            <w:tcW w:w="7502" w:type="dxa"/>
          </w:tcPr>
          <w:p>
            <w:pPr>
              <w:pStyle w:val="TableParagraph"/>
              <w:spacing w:line="273" w:lineRule="auto" w:before="142"/>
              <w:ind w:left="107" w:right="102" w:firstLine="420"/>
              <w:rPr>
                <w:sz w:val="21"/>
              </w:rPr>
            </w:pPr>
            <w:r>
              <w:rPr>
                <w:spacing w:val="-7"/>
                <w:sz w:val="21"/>
              </w:rPr>
              <w:t>您在犹豫期后要求解除本合同的，应书面提出合同解除申请，并提供下列证</w:t>
            </w:r>
            <w:r>
              <w:rPr>
                <w:spacing w:val="-4"/>
                <w:sz w:val="21"/>
              </w:rPr>
              <w:t>明和资料：</w:t>
            </w:r>
          </w:p>
          <w:p>
            <w:pPr>
              <w:pStyle w:val="TableParagraph"/>
              <w:spacing w:before="7"/>
              <w:ind w:left="527"/>
              <w:rPr>
                <w:sz w:val="21"/>
              </w:rPr>
            </w:pPr>
            <w:r>
              <w:rPr>
                <w:sz w:val="21"/>
              </w:rPr>
              <w:t>（1）保险合同；</w:t>
            </w:r>
          </w:p>
          <w:p>
            <w:pPr>
              <w:pStyle w:val="TableParagraph"/>
              <w:spacing w:before="36"/>
              <w:ind w:left="527"/>
              <w:rPr>
                <w:sz w:val="21"/>
              </w:rPr>
            </w:pPr>
            <w:r>
              <w:rPr>
                <w:sz w:val="21"/>
              </w:rPr>
              <w:t>（2）您的有效身份证件。</w:t>
            </w:r>
          </w:p>
          <w:p>
            <w:pPr>
              <w:pStyle w:val="TableParagraph"/>
              <w:spacing w:line="255" w:lineRule="exact" w:before="36"/>
              <w:ind w:left="527"/>
              <w:rPr>
                <w:sz w:val="21"/>
              </w:rPr>
            </w:pPr>
            <w:r>
              <w:rPr>
                <w:sz w:val="21"/>
              </w:rPr>
              <w:t>自本公司收到合同解除申请及上述证明和资料之日起，本合同终止。本公司</w:t>
            </w:r>
          </w:p>
        </w:tc>
      </w:tr>
    </w:tbl>
    <w:p>
      <w:pPr>
        <w:spacing w:after="0" w:line="255" w:lineRule="exact"/>
        <w:rPr>
          <w:sz w:val="21"/>
        </w:rPr>
        <w:sectPr>
          <w:headerReference w:type="default" r:id="rId9"/>
          <w:pgSz w:w="11910" w:h="16840"/>
          <w:pgMar w:header="857" w:footer="992" w:top="1040" w:bottom="1180" w:left="1020" w:right="1020"/>
        </w:sectPr>
      </w:pPr>
    </w:p>
    <w:p>
      <w:pPr>
        <w:pStyle w:val="BodyText"/>
        <w:spacing w:before="6"/>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
        <w:gridCol w:w="1235"/>
        <w:gridCol w:w="7603"/>
      </w:tblGrid>
      <w:tr>
        <w:trPr>
          <w:trHeight w:val="1372" w:hRule="atLeast"/>
        </w:trPr>
        <w:tc>
          <w:tcPr>
            <w:tcW w:w="816" w:type="dxa"/>
            <w:tcBorders>
              <w:top w:val="single" w:sz="18" w:space="0" w:color="000000"/>
            </w:tcBorders>
          </w:tcPr>
          <w:p>
            <w:pPr>
              <w:pStyle w:val="TableParagraph"/>
              <w:rPr>
                <w:rFonts w:ascii="Times New Roman"/>
                <w:sz w:val="20"/>
              </w:rPr>
            </w:pPr>
          </w:p>
        </w:tc>
        <w:tc>
          <w:tcPr>
            <w:tcW w:w="1235" w:type="dxa"/>
            <w:tcBorders>
              <w:top w:val="single" w:sz="18" w:space="0" w:color="000000"/>
            </w:tcBorders>
          </w:tcPr>
          <w:p>
            <w:pPr>
              <w:pStyle w:val="TableParagraph"/>
              <w:rPr>
                <w:rFonts w:ascii="Times New Roman"/>
                <w:sz w:val="20"/>
              </w:rPr>
            </w:pPr>
          </w:p>
        </w:tc>
        <w:tc>
          <w:tcPr>
            <w:tcW w:w="7603" w:type="dxa"/>
            <w:tcBorders>
              <w:top w:val="single" w:sz="18" w:space="0" w:color="000000"/>
            </w:tcBorders>
          </w:tcPr>
          <w:p>
            <w:pPr>
              <w:pStyle w:val="TableParagraph"/>
              <w:spacing w:before="8"/>
              <w:rPr>
                <w:rFonts w:ascii="Times New Roman"/>
                <w:sz w:val="17"/>
              </w:rPr>
            </w:pPr>
          </w:p>
          <w:p>
            <w:pPr>
              <w:pStyle w:val="TableParagraph"/>
              <w:spacing w:line="247" w:lineRule="auto" w:before="1"/>
              <w:ind w:left="630" w:right="237" w:hanging="421"/>
              <w:rPr>
                <w:sz w:val="21"/>
              </w:rPr>
            </w:pPr>
            <w:r>
              <w:rPr>
                <w:spacing w:val="-6"/>
                <w:sz w:val="21"/>
              </w:rPr>
              <w:t>自收到解除合同申请之日起 </w:t>
            </w:r>
            <w:r>
              <w:rPr>
                <w:sz w:val="21"/>
              </w:rPr>
              <w:t>30</w:t>
            </w:r>
            <w:r>
              <w:rPr>
                <w:spacing w:val="-8"/>
                <w:sz w:val="21"/>
              </w:rPr>
              <w:t> 日内向您退还保险单的</w:t>
            </w:r>
            <w:r>
              <w:rPr>
                <w:rFonts w:ascii="微软雅黑" w:eastAsia="微软雅黑" w:hint="eastAsia"/>
                <w:b/>
                <w:sz w:val="21"/>
              </w:rPr>
              <w:t>现金价值（详见释义</w:t>
            </w:r>
            <w:r>
              <w:rPr>
                <w:rFonts w:ascii="微软雅黑" w:eastAsia="微软雅黑" w:hint="eastAsia"/>
                <w:b/>
                <w:spacing w:val="-106"/>
                <w:sz w:val="21"/>
              </w:rPr>
              <w:t>）</w:t>
            </w:r>
            <w:r>
              <w:rPr>
                <w:sz w:val="21"/>
              </w:rPr>
              <w:t>。</w:t>
            </w:r>
            <w:r>
              <w:rPr>
                <w:spacing w:val="-3"/>
                <w:sz w:val="21"/>
              </w:rPr>
              <w:t>您犹豫期后解除合同可能会遭受一定损失。</w:t>
            </w:r>
          </w:p>
          <w:p>
            <w:pPr>
              <w:pStyle w:val="TableParagraph"/>
              <w:spacing w:before="31"/>
              <w:ind w:left="630"/>
              <w:rPr>
                <w:sz w:val="21"/>
              </w:rPr>
            </w:pPr>
            <w:r>
              <w:rPr>
                <w:sz w:val="21"/>
              </w:rPr>
              <w:t>如您解除主险合同，本合同须同时解除。</w:t>
            </w:r>
          </w:p>
        </w:tc>
      </w:tr>
      <w:tr>
        <w:trPr>
          <w:trHeight w:val="1584" w:hRule="atLeast"/>
        </w:trPr>
        <w:tc>
          <w:tcPr>
            <w:tcW w:w="816" w:type="dxa"/>
          </w:tcPr>
          <w:p>
            <w:pPr>
              <w:pStyle w:val="TableParagraph"/>
              <w:spacing w:before="80"/>
              <w:ind w:left="107"/>
              <w:rPr>
                <w:rFonts w:ascii="微软雅黑"/>
                <w:b/>
                <w:sz w:val="21"/>
              </w:rPr>
            </w:pPr>
            <w:r>
              <w:rPr>
                <w:rFonts w:ascii="微软雅黑"/>
                <w:b/>
                <w:sz w:val="21"/>
              </w:rPr>
              <w:t>1.8</w:t>
            </w:r>
          </w:p>
        </w:tc>
        <w:tc>
          <w:tcPr>
            <w:tcW w:w="1235" w:type="dxa"/>
          </w:tcPr>
          <w:p>
            <w:pPr>
              <w:pStyle w:val="TableParagraph"/>
              <w:spacing w:before="80"/>
              <w:ind w:left="164" w:right="191"/>
              <w:jc w:val="center"/>
              <w:rPr>
                <w:rFonts w:ascii="微软雅黑" w:eastAsia="微软雅黑" w:hint="eastAsia"/>
                <w:b/>
                <w:sz w:val="21"/>
              </w:rPr>
            </w:pPr>
            <w:r>
              <w:rPr>
                <w:rFonts w:ascii="微软雅黑" w:eastAsia="微软雅黑" w:hint="eastAsia"/>
                <w:b/>
                <w:sz w:val="21"/>
              </w:rPr>
              <w:t>合同终止</w:t>
            </w:r>
          </w:p>
        </w:tc>
        <w:tc>
          <w:tcPr>
            <w:tcW w:w="7603" w:type="dxa"/>
          </w:tcPr>
          <w:p>
            <w:pPr>
              <w:pStyle w:val="TableParagraph"/>
              <w:spacing w:before="142"/>
              <w:ind w:left="630"/>
              <w:rPr>
                <w:sz w:val="21"/>
              </w:rPr>
            </w:pPr>
            <w:r>
              <w:rPr>
                <w:sz w:val="21"/>
              </w:rPr>
              <w:t>以下任何一种情况发生时，本合同终止：</w:t>
            </w:r>
          </w:p>
          <w:p>
            <w:pPr>
              <w:pStyle w:val="TableParagraph"/>
              <w:spacing w:before="36"/>
              <w:ind w:left="630"/>
              <w:rPr>
                <w:sz w:val="21"/>
              </w:rPr>
            </w:pPr>
            <w:r>
              <w:rPr>
                <w:sz w:val="21"/>
              </w:rPr>
              <w:t>1.在本合同有效期内解除本合同的；</w:t>
            </w:r>
          </w:p>
          <w:p>
            <w:pPr>
              <w:pStyle w:val="TableParagraph"/>
              <w:spacing w:before="36"/>
              <w:ind w:left="630"/>
              <w:rPr>
                <w:sz w:val="21"/>
              </w:rPr>
            </w:pPr>
            <w:r>
              <w:rPr>
                <w:sz w:val="21"/>
              </w:rPr>
              <w:t>2.本公司已经履行完毕保险责任的；</w:t>
            </w:r>
          </w:p>
          <w:p>
            <w:pPr>
              <w:pStyle w:val="TableParagraph"/>
              <w:spacing w:before="36"/>
              <w:ind w:left="630"/>
              <w:rPr>
                <w:sz w:val="21"/>
              </w:rPr>
            </w:pPr>
            <w:r>
              <w:rPr>
                <w:sz w:val="21"/>
              </w:rPr>
              <w:t>3.本合同因条款所列其他情况而终止的。</w:t>
            </w:r>
          </w:p>
        </w:tc>
      </w:tr>
      <w:tr>
        <w:trPr>
          <w:trHeight w:val="753" w:hRule="atLeast"/>
        </w:trPr>
        <w:tc>
          <w:tcPr>
            <w:tcW w:w="816"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8838" w:type="dxa"/>
            <w:gridSpan w:val="2"/>
            <w:tcBorders>
              <w:bottom w:val="single" w:sz="8" w:space="0" w:color="000000"/>
            </w:tcBorders>
          </w:tcPr>
          <w:p>
            <w:pPr>
              <w:pStyle w:val="TableParagraph"/>
              <w:spacing w:before="174"/>
              <w:ind w:left="180"/>
              <w:rPr>
                <w:rFonts w:ascii="微软雅黑" w:eastAsia="微软雅黑" w:hint="eastAsia"/>
                <w:b/>
                <w:sz w:val="24"/>
              </w:rPr>
            </w:pPr>
            <w:r>
              <w:rPr>
                <w:rFonts w:ascii="微软雅黑" w:eastAsia="微软雅黑" w:hint="eastAsia"/>
                <w:b/>
                <w:sz w:val="24"/>
              </w:rPr>
              <w:t>我们提供的保障</w:t>
            </w:r>
          </w:p>
        </w:tc>
      </w:tr>
      <w:tr>
        <w:trPr>
          <w:trHeight w:val="1717" w:hRule="atLeast"/>
        </w:trPr>
        <w:tc>
          <w:tcPr>
            <w:tcW w:w="816" w:type="dxa"/>
            <w:tcBorders>
              <w:top w:val="single" w:sz="8" w:space="0" w:color="000000"/>
            </w:tcBorders>
          </w:tcPr>
          <w:p>
            <w:pPr>
              <w:pStyle w:val="TableParagraph"/>
              <w:spacing w:before="7"/>
              <w:rPr>
                <w:rFonts w:ascii="Times New Roman"/>
                <w:sz w:val="20"/>
              </w:rPr>
            </w:pPr>
          </w:p>
          <w:p>
            <w:pPr>
              <w:pStyle w:val="TableParagraph"/>
              <w:ind w:left="107"/>
              <w:rPr>
                <w:rFonts w:ascii="微软雅黑"/>
                <w:b/>
                <w:sz w:val="21"/>
              </w:rPr>
            </w:pPr>
            <w:r>
              <w:rPr>
                <w:rFonts w:ascii="微软雅黑"/>
                <w:b/>
                <w:sz w:val="21"/>
              </w:rPr>
              <w:t>2.1</w:t>
            </w:r>
          </w:p>
        </w:tc>
        <w:tc>
          <w:tcPr>
            <w:tcW w:w="1235" w:type="dxa"/>
            <w:tcBorders>
              <w:top w:val="single" w:sz="8" w:space="0" w:color="000000"/>
            </w:tcBorders>
          </w:tcPr>
          <w:p>
            <w:pPr>
              <w:pStyle w:val="TableParagraph"/>
              <w:spacing w:before="7"/>
              <w:rPr>
                <w:rFonts w:ascii="Times New Roman"/>
                <w:sz w:val="20"/>
              </w:rPr>
            </w:pPr>
          </w:p>
          <w:p>
            <w:pPr>
              <w:pStyle w:val="TableParagraph"/>
              <w:ind w:left="164" w:right="191"/>
              <w:jc w:val="center"/>
              <w:rPr>
                <w:rFonts w:ascii="微软雅黑" w:eastAsia="微软雅黑" w:hint="eastAsia"/>
                <w:b/>
                <w:sz w:val="21"/>
              </w:rPr>
            </w:pPr>
            <w:r>
              <w:rPr>
                <w:rFonts w:ascii="微软雅黑" w:eastAsia="微软雅黑" w:hint="eastAsia"/>
                <w:b/>
                <w:sz w:val="21"/>
              </w:rPr>
              <w:t>保险金额</w:t>
            </w:r>
          </w:p>
        </w:tc>
        <w:tc>
          <w:tcPr>
            <w:tcW w:w="7603" w:type="dxa"/>
            <w:tcBorders>
              <w:top w:val="single" w:sz="8" w:space="0" w:color="000000"/>
            </w:tcBorders>
          </w:tcPr>
          <w:p>
            <w:pPr>
              <w:pStyle w:val="TableParagraph"/>
              <w:rPr>
                <w:rFonts w:ascii="Times New Roman"/>
                <w:sz w:val="26"/>
              </w:rPr>
            </w:pPr>
          </w:p>
          <w:p>
            <w:pPr>
              <w:pStyle w:val="TableParagraph"/>
              <w:ind w:left="630"/>
              <w:rPr>
                <w:sz w:val="21"/>
              </w:rPr>
            </w:pPr>
            <w:r>
              <w:rPr>
                <w:sz w:val="21"/>
              </w:rPr>
              <w:t>本合同保险金额为主险合同的基本保险金额。</w:t>
            </w:r>
          </w:p>
          <w:p>
            <w:pPr>
              <w:pStyle w:val="TableParagraph"/>
              <w:spacing w:line="273" w:lineRule="auto" w:before="36"/>
              <w:ind w:left="210" w:right="100" w:firstLine="420"/>
              <w:jc w:val="both"/>
              <w:rPr>
                <w:sz w:val="21"/>
              </w:rPr>
            </w:pPr>
            <w:r>
              <w:rPr>
                <w:spacing w:val="-10"/>
                <w:sz w:val="21"/>
              </w:rPr>
              <w:t>为未成年子女投保的，因被保险人身故给付的保险金总和不得超过国务院保</w:t>
            </w:r>
            <w:r>
              <w:rPr>
                <w:sz w:val="21"/>
              </w:rPr>
              <w:t>险监督管理机构规定的限额，身故给付的保险金额总和约定也不得超过前述限额。</w:t>
            </w:r>
          </w:p>
        </w:tc>
      </w:tr>
      <w:tr>
        <w:trPr>
          <w:trHeight w:val="623" w:hRule="atLeast"/>
        </w:trPr>
        <w:tc>
          <w:tcPr>
            <w:tcW w:w="816" w:type="dxa"/>
          </w:tcPr>
          <w:p>
            <w:pPr>
              <w:pStyle w:val="TableParagraph"/>
              <w:spacing w:before="80"/>
              <w:ind w:left="107"/>
              <w:rPr>
                <w:rFonts w:ascii="微软雅黑"/>
                <w:b/>
                <w:sz w:val="21"/>
              </w:rPr>
            </w:pPr>
            <w:r>
              <w:rPr>
                <w:rFonts w:ascii="微软雅黑"/>
                <w:b/>
                <w:w w:val="81"/>
                <w:sz w:val="21"/>
              </w:rPr>
              <w:t>2</w:t>
            </w:r>
            <w:r>
              <w:rPr>
                <w:rFonts w:ascii="微软雅黑"/>
                <w:b/>
                <w:w w:val="176"/>
                <w:sz w:val="21"/>
              </w:rPr>
              <w:t>.</w:t>
            </w:r>
            <w:r>
              <w:rPr>
                <w:rFonts w:ascii="微软雅黑"/>
                <w:b/>
                <w:w w:val="81"/>
                <w:sz w:val="21"/>
              </w:rPr>
              <w:t>2</w:t>
            </w:r>
          </w:p>
        </w:tc>
        <w:tc>
          <w:tcPr>
            <w:tcW w:w="1235" w:type="dxa"/>
          </w:tcPr>
          <w:p>
            <w:pPr>
              <w:pStyle w:val="TableParagraph"/>
              <w:spacing w:before="80"/>
              <w:ind w:left="164" w:right="191"/>
              <w:jc w:val="center"/>
              <w:rPr>
                <w:rFonts w:ascii="微软雅黑" w:eastAsia="微软雅黑" w:hint="eastAsia"/>
                <w:b/>
                <w:sz w:val="21"/>
              </w:rPr>
            </w:pPr>
            <w:r>
              <w:rPr>
                <w:rFonts w:ascii="微软雅黑" w:eastAsia="微软雅黑" w:hint="eastAsia"/>
                <w:b/>
                <w:sz w:val="21"/>
              </w:rPr>
              <w:t>保险期间</w:t>
            </w:r>
          </w:p>
        </w:tc>
        <w:tc>
          <w:tcPr>
            <w:tcW w:w="7603" w:type="dxa"/>
          </w:tcPr>
          <w:p>
            <w:pPr>
              <w:pStyle w:val="TableParagraph"/>
              <w:spacing w:before="142"/>
              <w:ind w:left="630"/>
              <w:rPr>
                <w:sz w:val="21"/>
              </w:rPr>
            </w:pPr>
            <w:r>
              <w:rPr>
                <w:sz w:val="21"/>
              </w:rPr>
              <w:t>本合同的保险期间与主险合同相同，且须与主险合同同时投保。</w:t>
            </w:r>
          </w:p>
        </w:tc>
      </w:tr>
      <w:tr>
        <w:trPr>
          <w:trHeight w:val="624" w:hRule="atLeast"/>
        </w:trPr>
        <w:tc>
          <w:tcPr>
            <w:tcW w:w="816" w:type="dxa"/>
          </w:tcPr>
          <w:p>
            <w:pPr>
              <w:pStyle w:val="TableParagraph"/>
              <w:spacing w:before="80"/>
              <w:ind w:left="107"/>
              <w:rPr>
                <w:rFonts w:ascii="微软雅黑"/>
                <w:b/>
                <w:sz w:val="21"/>
              </w:rPr>
            </w:pPr>
            <w:r>
              <w:rPr>
                <w:rFonts w:ascii="微软雅黑"/>
                <w:b/>
                <w:sz w:val="21"/>
              </w:rPr>
              <w:t>2.3</w:t>
            </w:r>
          </w:p>
        </w:tc>
        <w:tc>
          <w:tcPr>
            <w:tcW w:w="1235" w:type="dxa"/>
          </w:tcPr>
          <w:p>
            <w:pPr>
              <w:pStyle w:val="TableParagraph"/>
              <w:spacing w:before="80"/>
              <w:ind w:left="164" w:right="191"/>
              <w:jc w:val="center"/>
              <w:rPr>
                <w:rFonts w:ascii="微软雅黑" w:eastAsia="微软雅黑" w:hint="eastAsia"/>
                <w:b/>
                <w:sz w:val="21"/>
              </w:rPr>
            </w:pPr>
            <w:r>
              <w:rPr>
                <w:rFonts w:ascii="微软雅黑" w:eastAsia="微软雅黑" w:hint="eastAsia"/>
                <w:b/>
                <w:sz w:val="21"/>
              </w:rPr>
              <w:t>保险责任</w:t>
            </w:r>
          </w:p>
        </w:tc>
        <w:tc>
          <w:tcPr>
            <w:tcW w:w="7603" w:type="dxa"/>
          </w:tcPr>
          <w:p>
            <w:pPr>
              <w:pStyle w:val="TableParagraph"/>
              <w:spacing w:before="142"/>
              <w:ind w:left="630"/>
              <w:rPr>
                <w:sz w:val="21"/>
              </w:rPr>
            </w:pPr>
            <w:r>
              <w:rPr>
                <w:sz w:val="21"/>
              </w:rPr>
              <w:t>在本合同保险期间内，本公司承担下列保险责任：</w:t>
            </w:r>
          </w:p>
        </w:tc>
      </w:tr>
      <w:tr>
        <w:trPr>
          <w:trHeight w:val="4992" w:hRule="atLeast"/>
        </w:trPr>
        <w:tc>
          <w:tcPr>
            <w:tcW w:w="816" w:type="dxa"/>
          </w:tcPr>
          <w:p>
            <w:pPr>
              <w:pStyle w:val="TableParagraph"/>
              <w:spacing w:before="80"/>
              <w:ind w:left="107"/>
              <w:rPr>
                <w:rFonts w:ascii="微软雅黑"/>
                <w:b/>
                <w:sz w:val="21"/>
              </w:rPr>
            </w:pPr>
            <w:r>
              <w:rPr>
                <w:rFonts w:ascii="微软雅黑"/>
                <w:b/>
                <w:w w:val="105"/>
                <w:sz w:val="21"/>
              </w:rPr>
              <w:t>2.3.1</w:t>
            </w:r>
          </w:p>
        </w:tc>
        <w:tc>
          <w:tcPr>
            <w:tcW w:w="1235" w:type="dxa"/>
          </w:tcPr>
          <w:p>
            <w:pPr>
              <w:pStyle w:val="TableParagraph"/>
              <w:spacing w:line="206" w:lineRule="auto" w:before="131"/>
              <w:ind w:left="180" w:right="207"/>
              <w:rPr>
                <w:rFonts w:ascii="微软雅黑" w:eastAsia="微软雅黑" w:hint="eastAsia"/>
                <w:b/>
                <w:sz w:val="21"/>
              </w:rPr>
            </w:pPr>
            <w:r>
              <w:rPr>
                <w:rFonts w:ascii="微软雅黑" w:eastAsia="微软雅黑" w:hint="eastAsia"/>
                <w:b/>
                <w:sz w:val="21"/>
              </w:rPr>
              <w:t>重大疾病保险金</w:t>
            </w:r>
          </w:p>
        </w:tc>
        <w:tc>
          <w:tcPr>
            <w:tcW w:w="7603" w:type="dxa"/>
          </w:tcPr>
          <w:p>
            <w:pPr>
              <w:pStyle w:val="TableParagraph"/>
              <w:spacing w:line="225" w:lineRule="auto" w:before="159"/>
              <w:ind w:left="210" w:right="100" w:firstLine="420"/>
              <w:jc w:val="both"/>
              <w:rPr>
                <w:sz w:val="21"/>
              </w:rPr>
            </w:pPr>
            <w:r>
              <w:rPr>
                <w:sz w:val="21"/>
              </w:rPr>
              <w:t>（1）</w:t>
            </w:r>
            <w:r>
              <w:rPr>
                <w:spacing w:val="-3"/>
                <w:sz w:val="21"/>
              </w:rPr>
              <w:t>被保险人于本合同生效</w:t>
            </w:r>
            <w:r>
              <w:rPr>
                <w:sz w:val="21"/>
              </w:rPr>
              <w:t>（</w:t>
            </w:r>
            <w:r>
              <w:rPr>
                <w:spacing w:val="-3"/>
                <w:sz w:val="21"/>
              </w:rPr>
              <w:t>或合同效力恢复</w:t>
            </w:r>
            <w:r>
              <w:rPr>
                <w:sz w:val="21"/>
              </w:rPr>
              <w:t>）</w:t>
            </w:r>
            <w:r>
              <w:rPr>
                <w:spacing w:val="-3"/>
                <w:sz w:val="21"/>
              </w:rPr>
              <w:t>之日起一年内，由本公司</w:t>
            </w:r>
            <w:r>
              <w:rPr>
                <w:rFonts w:ascii="微软雅黑" w:eastAsia="微软雅黑" w:hint="eastAsia"/>
                <w:b/>
                <w:spacing w:val="-8"/>
                <w:sz w:val="21"/>
              </w:rPr>
              <w:t>认可医院</w:t>
            </w:r>
            <w:r>
              <w:rPr>
                <w:rFonts w:ascii="微软雅黑" w:eastAsia="微软雅黑" w:hint="eastAsia"/>
                <w:b/>
                <w:sz w:val="21"/>
              </w:rPr>
              <w:t>（</w:t>
            </w:r>
            <w:r>
              <w:rPr>
                <w:rFonts w:ascii="微软雅黑" w:eastAsia="微软雅黑" w:hint="eastAsia"/>
                <w:b/>
                <w:spacing w:val="-1"/>
                <w:sz w:val="21"/>
              </w:rPr>
              <w:t>详见释义</w:t>
            </w:r>
            <w:r>
              <w:rPr>
                <w:rFonts w:ascii="微软雅黑" w:eastAsia="微软雅黑" w:hint="eastAsia"/>
                <w:b/>
                <w:spacing w:val="-22"/>
                <w:sz w:val="21"/>
              </w:rPr>
              <w:t>）</w:t>
            </w:r>
            <w:r>
              <w:rPr>
                <w:spacing w:val="-3"/>
                <w:sz w:val="21"/>
              </w:rPr>
              <w:t>的</w:t>
            </w:r>
            <w:r>
              <w:rPr>
                <w:rFonts w:ascii="微软雅黑" w:eastAsia="微软雅黑" w:hint="eastAsia"/>
                <w:b/>
                <w:spacing w:val="-6"/>
                <w:sz w:val="21"/>
              </w:rPr>
              <w:t>专科医生</w:t>
            </w:r>
            <w:r>
              <w:rPr>
                <w:rFonts w:ascii="微软雅黑" w:eastAsia="微软雅黑" w:hint="eastAsia"/>
                <w:b/>
                <w:sz w:val="21"/>
              </w:rPr>
              <w:t>（</w:t>
            </w:r>
            <w:r>
              <w:rPr>
                <w:rFonts w:ascii="微软雅黑" w:eastAsia="微软雅黑" w:hint="eastAsia"/>
                <w:b/>
                <w:spacing w:val="-1"/>
                <w:sz w:val="21"/>
              </w:rPr>
              <w:t>详见释义</w:t>
            </w:r>
            <w:r>
              <w:rPr>
                <w:rFonts w:ascii="微软雅黑" w:eastAsia="微软雅黑" w:hint="eastAsia"/>
                <w:b/>
                <w:spacing w:val="-22"/>
                <w:sz w:val="21"/>
              </w:rPr>
              <w:t>）</w:t>
            </w:r>
            <w:r>
              <w:rPr>
                <w:spacing w:val="-3"/>
                <w:sz w:val="21"/>
              </w:rPr>
              <w:t>确诊</w:t>
            </w:r>
            <w:r>
              <w:rPr>
                <w:rFonts w:ascii="微软雅黑" w:eastAsia="微软雅黑" w:hint="eastAsia"/>
                <w:b/>
                <w:sz w:val="21"/>
              </w:rPr>
              <w:t>初次</w:t>
            </w:r>
            <w:r>
              <w:rPr>
                <w:spacing w:val="-2"/>
                <w:sz w:val="21"/>
              </w:rPr>
              <w:t>发生</w:t>
            </w:r>
            <w:r>
              <w:rPr>
                <w:rFonts w:ascii="微软雅黑" w:eastAsia="微软雅黑" w:hint="eastAsia"/>
                <w:b/>
                <w:spacing w:val="-1"/>
                <w:sz w:val="21"/>
              </w:rPr>
              <w:t>本合同所指的重大</w:t>
            </w:r>
            <w:r>
              <w:rPr>
                <w:rFonts w:ascii="微软雅黑" w:eastAsia="微软雅黑" w:hint="eastAsia"/>
                <w:b/>
                <w:spacing w:val="-13"/>
                <w:w w:val="100"/>
                <w:sz w:val="21"/>
              </w:rPr>
              <w:t>疾病</w:t>
            </w:r>
            <w:r>
              <w:rPr>
                <w:rFonts w:ascii="微软雅黑" w:eastAsia="微软雅黑" w:hint="eastAsia"/>
                <w:b/>
                <w:w w:val="100"/>
                <w:sz w:val="21"/>
              </w:rPr>
              <w:t>（详见释义</w:t>
            </w:r>
            <w:r>
              <w:rPr>
                <w:rFonts w:ascii="微软雅黑" w:eastAsia="微软雅黑" w:hint="eastAsia"/>
                <w:b/>
                <w:spacing w:val="-129"/>
                <w:w w:val="100"/>
                <w:sz w:val="21"/>
              </w:rPr>
              <w:t>）</w:t>
            </w:r>
            <w:r>
              <w:rPr>
                <w:spacing w:val="-3"/>
                <w:w w:val="100"/>
                <w:sz w:val="21"/>
              </w:rPr>
              <w:t>（无论一种或多种</w:t>
            </w:r>
            <w:r>
              <w:rPr>
                <w:spacing w:val="-106"/>
                <w:w w:val="100"/>
                <w:sz w:val="21"/>
              </w:rPr>
              <w:t>）</w:t>
            </w:r>
            <w:r>
              <w:rPr>
                <w:spacing w:val="-7"/>
                <w:w w:val="100"/>
                <w:sz w:val="21"/>
              </w:rPr>
              <w:t>，本公司按本合同实际交纳的保险费的</w:t>
            </w:r>
            <w:r>
              <w:rPr>
                <w:w w:val="100"/>
                <w:sz w:val="21"/>
              </w:rPr>
              <w:t>1</w:t>
            </w:r>
            <w:r>
              <w:rPr>
                <w:spacing w:val="-3"/>
                <w:w w:val="100"/>
                <w:sz w:val="21"/>
              </w:rPr>
              <w:t>05</w:t>
            </w:r>
            <w:r>
              <w:rPr>
                <w:w w:val="100"/>
                <w:sz w:val="21"/>
              </w:rPr>
              <w:t>%</w:t>
            </w:r>
            <w:r>
              <w:rPr>
                <w:spacing w:val="-3"/>
                <w:sz w:val="21"/>
              </w:rPr>
              <w:t>给付重大疾病保险金，本合同终止，主险合同继续有效。</w:t>
            </w:r>
          </w:p>
          <w:p>
            <w:pPr>
              <w:pStyle w:val="TableParagraph"/>
              <w:spacing w:line="312" w:lineRule="exact" w:before="32"/>
              <w:ind w:left="210" w:right="33" w:firstLine="420"/>
              <w:rPr>
                <w:sz w:val="21"/>
              </w:rPr>
            </w:pPr>
            <w:r>
              <w:rPr>
                <w:sz w:val="21"/>
              </w:rPr>
              <w:t>（2）</w:t>
            </w:r>
            <w:r>
              <w:rPr>
                <w:spacing w:val="-3"/>
                <w:sz w:val="21"/>
              </w:rPr>
              <w:t>被保险人于本合同生效</w:t>
            </w:r>
            <w:r>
              <w:rPr>
                <w:sz w:val="21"/>
              </w:rPr>
              <w:t>（</w:t>
            </w:r>
            <w:r>
              <w:rPr>
                <w:spacing w:val="-3"/>
                <w:sz w:val="21"/>
              </w:rPr>
              <w:t>或合同效力恢复</w:t>
            </w:r>
            <w:r>
              <w:rPr>
                <w:sz w:val="21"/>
              </w:rPr>
              <w:t>）</w:t>
            </w:r>
            <w:r>
              <w:rPr>
                <w:spacing w:val="-3"/>
                <w:sz w:val="21"/>
              </w:rPr>
              <w:t>之日起一年后，由本公司认可医院的专科医生确诊</w:t>
            </w:r>
            <w:r>
              <w:rPr>
                <w:rFonts w:ascii="微软雅黑" w:eastAsia="微软雅黑" w:hint="eastAsia"/>
                <w:b/>
                <w:sz w:val="21"/>
              </w:rPr>
              <w:t>初次</w:t>
            </w:r>
            <w:r>
              <w:rPr>
                <w:spacing w:val="-3"/>
                <w:sz w:val="21"/>
              </w:rPr>
              <w:t>发生本合同所指的重大疾病</w:t>
            </w:r>
            <w:r>
              <w:rPr>
                <w:sz w:val="21"/>
              </w:rPr>
              <w:t>（</w:t>
            </w:r>
            <w:r>
              <w:rPr>
                <w:spacing w:val="-3"/>
                <w:sz w:val="21"/>
              </w:rPr>
              <w:t>无论一种或多种</w:t>
            </w:r>
            <w:r>
              <w:rPr>
                <w:sz w:val="21"/>
              </w:rPr>
              <w:t>）， </w:t>
            </w:r>
            <w:r>
              <w:rPr>
                <w:spacing w:val="-6"/>
                <w:sz w:val="21"/>
              </w:rPr>
              <w:t>本公司按主险合同的基本保险金额给付重大疾病保险金，本合同与主险合同同时</w:t>
            </w:r>
            <w:r>
              <w:rPr>
                <w:spacing w:val="-9"/>
                <w:sz w:val="21"/>
              </w:rPr>
              <w:t>终止；主险合同的基本保险金额和基本保险金额对应的现金价值减少为零，本公</w:t>
            </w:r>
            <w:r>
              <w:rPr>
                <w:spacing w:val="-5"/>
                <w:sz w:val="21"/>
              </w:rPr>
              <w:t>司给付主险合同累积红利保险金额对应的现金价值及有可能分配的其他终了红 利。</w:t>
            </w:r>
          </w:p>
          <w:p>
            <w:pPr>
              <w:pStyle w:val="TableParagraph"/>
              <w:spacing w:line="280" w:lineRule="exact"/>
              <w:ind w:left="210" w:firstLine="314"/>
              <w:rPr>
                <w:rFonts w:ascii="微软雅黑" w:eastAsia="微软雅黑" w:hint="eastAsia"/>
                <w:b/>
                <w:sz w:val="21"/>
              </w:rPr>
            </w:pPr>
            <w:r>
              <w:rPr>
                <w:sz w:val="21"/>
              </w:rPr>
              <w:t>若被保险人于本合同生效后因意外伤害由本公司认可医院的专科医生确诊</w:t>
            </w:r>
            <w:r>
              <w:rPr>
                <w:rFonts w:ascii="微软雅黑" w:eastAsia="微软雅黑" w:hint="eastAsia"/>
                <w:b/>
                <w:sz w:val="21"/>
              </w:rPr>
              <w:t>初</w:t>
            </w:r>
          </w:p>
          <w:p>
            <w:pPr>
              <w:pStyle w:val="TableParagraph"/>
              <w:spacing w:line="312" w:lineRule="exact" w:before="33"/>
              <w:ind w:left="210" w:right="35"/>
              <w:jc w:val="both"/>
              <w:rPr>
                <w:sz w:val="21"/>
              </w:rPr>
            </w:pPr>
            <w:r>
              <w:rPr>
                <w:rFonts w:ascii="微软雅黑" w:eastAsia="微软雅黑" w:hint="eastAsia"/>
                <w:b/>
                <w:sz w:val="21"/>
              </w:rPr>
              <w:t>次</w:t>
            </w:r>
            <w:r>
              <w:rPr>
                <w:spacing w:val="-5"/>
                <w:sz w:val="21"/>
              </w:rPr>
              <w:t>发生本合同所指的重大疾病</w:t>
            </w:r>
            <w:r>
              <w:rPr>
                <w:spacing w:val="-3"/>
                <w:sz w:val="21"/>
              </w:rPr>
              <w:t>（无论一种或多种</w:t>
            </w:r>
            <w:r>
              <w:rPr>
                <w:spacing w:val="-19"/>
                <w:sz w:val="21"/>
              </w:rPr>
              <w:t>）</w:t>
            </w:r>
            <w:r>
              <w:rPr>
                <w:spacing w:val="-7"/>
                <w:sz w:val="21"/>
              </w:rPr>
              <w:t>，则不受上述一年的限制，本</w:t>
            </w:r>
            <w:r>
              <w:rPr>
                <w:spacing w:val="-6"/>
                <w:sz w:val="21"/>
              </w:rPr>
              <w:t>公司按主险合同的基本保险金额给付重大疾病保险金，本合同与主险合同同时终</w:t>
            </w:r>
            <w:r>
              <w:rPr>
                <w:spacing w:val="-9"/>
                <w:sz w:val="21"/>
              </w:rPr>
              <w:t>止；主险合同的基本保险金额和基本保险金额对应的现金价值减少为零，本公司</w:t>
            </w:r>
            <w:r>
              <w:rPr>
                <w:spacing w:val="-3"/>
                <w:sz w:val="21"/>
              </w:rPr>
              <w:t>给付主险合同累积红利保险金额对应的现金价值及有可能分配的其他终了红利。</w:t>
            </w:r>
          </w:p>
        </w:tc>
      </w:tr>
      <w:tr>
        <w:trPr>
          <w:trHeight w:val="2602" w:hRule="atLeast"/>
        </w:trPr>
        <w:tc>
          <w:tcPr>
            <w:tcW w:w="816" w:type="dxa"/>
          </w:tcPr>
          <w:p>
            <w:pPr>
              <w:pStyle w:val="TableParagraph"/>
              <w:spacing w:before="80"/>
              <w:ind w:left="107"/>
              <w:rPr>
                <w:rFonts w:ascii="微软雅黑"/>
                <w:b/>
                <w:sz w:val="21"/>
              </w:rPr>
            </w:pPr>
            <w:r>
              <w:rPr>
                <w:rFonts w:ascii="微软雅黑"/>
                <w:b/>
                <w:w w:val="105"/>
                <w:sz w:val="21"/>
              </w:rPr>
              <w:t>2.3.2</w:t>
            </w:r>
          </w:p>
        </w:tc>
        <w:tc>
          <w:tcPr>
            <w:tcW w:w="1235" w:type="dxa"/>
          </w:tcPr>
          <w:p>
            <w:pPr>
              <w:pStyle w:val="TableParagraph"/>
              <w:spacing w:line="206" w:lineRule="auto" w:before="131"/>
              <w:ind w:left="180" w:right="207"/>
              <w:rPr>
                <w:rFonts w:ascii="微软雅黑" w:eastAsia="微软雅黑" w:hint="eastAsia"/>
                <w:b/>
                <w:sz w:val="21"/>
              </w:rPr>
            </w:pPr>
            <w:r>
              <w:rPr>
                <w:rFonts w:ascii="微软雅黑" w:eastAsia="微软雅黑" w:hint="eastAsia"/>
                <w:b/>
                <w:sz w:val="21"/>
              </w:rPr>
              <w:t>轻症关爱保险金</w:t>
            </w:r>
          </w:p>
        </w:tc>
        <w:tc>
          <w:tcPr>
            <w:tcW w:w="7603" w:type="dxa"/>
          </w:tcPr>
          <w:p>
            <w:pPr>
              <w:pStyle w:val="TableParagraph"/>
              <w:spacing w:line="312" w:lineRule="exact" w:before="138"/>
              <w:ind w:left="210" w:right="100" w:firstLine="420"/>
              <w:jc w:val="both"/>
              <w:rPr>
                <w:sz w:val="21"/>
              </w:rPr>
            </w:pPr>
            <w:r>
              <w:rPr>
                <w:sz w:val="21"/>
              </w:rPr>
              <w:t>（1）</w:t>
            </w:r>
            <w:r>
              <w:rPr>
                <w:spacing w:val="-3"/>
                <w:sz w:val="21"/>
              </w:rPr>
              <w:t>被保险人于本合同生效</w:t>
            </w:r>
            <w:r>
              <w:rPr>
                <w:sz w:val="21"/>
              </w:rPr>
              <w:t>（</w:t>
            </w:r>
            <w:r>
              <w:rPr>
                <w:spacing w:val="-3"/>
                <w:sz w:val="21"/>
              </w:rPr>
              <w:t>或合同效力恢复</w:t>
            </w:r>
            <w:r>
              <w:rPr>
                <w:sz w:val="21"/>
              </w:rPr>
              <w:t>）</w:t>
            </w:r>
            <w:r>
              <w:rPr>
                <w:spacing w:val="-3"/>
                <w:sz w:val="21"/>
              </w:rPr>
              <w:t>之日起一年内，由本公司</w:t>
            </w:r>
            <w:r>
              <w:rPr>
                <w:spacing w:val="-3"/>
                <w:w w:val="100"/>
                <w:sz w:val="21"/>
              </w:rPr>
              <w:t>认可医院的专科医生确诊</w:t>
            </w:r>
            <w:r>
              <w:rPr>
                <w:rFonts w:ascii="微软雅黑" w:eastAsia="微软雅黑" w:hint="eastAsia"/>
                <w:b/>
                <w:w w:val="100"/>
                <w:sz w:val="21"/>
              </w:rPr>
              <w:t>初次</w:t>
            </w:r>
            <w:r>
              <w:rPr>
                <w:spacing w:val="-1"/>
                <w:w w:val="100"/>
                <w:sz w:val="21"/>
              </w:rPr>
              <w:t>发生</w:t>
            </w:r>
            <w:r>
              <w:rPr>
                <w:rFonts w:ascii="微软雅黑" w:eastAsia="微软雅黑" w:hint="eastAsia"/>
                <w:b/>
                <w:spacing w:val="-1"/>
                <w:w w:val="100"/>
                <w:sz w:val="21"/>
              </w:rPr>
              <w:t>本合同所指的轻症</w:t>
            </w:r>
            <w:r>
              <w:rPr>
                <w:rFonts w:ascii="微软雅黑" w:eastAsia="微软雅黑" w:hint="eastAsia"/>
                <w:b/>
                <w:w w:val="100"/>
                <w:sz w:val="21"/>
              </w:rPr>
              <w:t>（详见释义</w:t>
            </w:r>
            <w:r>
              <w:rPr>
                <w:rFonts w:ascii="微软雅黑" w:eastAsia="微软雅黑" w:hint="eastAsia"/>
                <w:b/>
                <w:spacing w:val="-106"/>
                <w:w w:val="100"/>
                <w:sz w:val="21"/>
              </w:rPr>
              <w:t>）</w:t>
            </w:r>
            <w:r>
              <w:rPr>
                <w:spacing w:val="-3"/>
                <w:w w:val="100"/>
                <w:sz w:val="21"/>
              </w:rPr>
              <w:t>，且确诊日在</w:t>
            </w:r>
            <w:r>
              <w:rPr>
                <w:spacing w:val="-3"/>
                <w:sz w:val="21"/>
              </w:rPr>
              <w:t>被保险人年满</w:t>
            </w:r>
            <w:r>
              <w:rPr>
                <w:sz w:val="21"/>
              </w:rPr>
              <w:t>75</w:t>
            </w:r>
            <w:r>
              <w:rPr>
                <w:spacing w:val="-8"/>
                <w:sz w:val="21"/>
              </w:rPr>
              <w:t>周岁的保单生效对应日之前，本公司按本合同实际交纳的保险费</w:t>
            </w:r>
            <w:r>
              <w:rPr>
                <w:spacing w:val="-1"/>
                <w:sz w:val="21"/>
              </w:rPr>
              <w:t>的105</w:t>
            </w:r>
            <w:r>
              <w:rPr>
                <w:spacing w:val="-3"/>
                <w:sz w:val="21"/>
              </w:rPr>
              <w:t>%给付轻症关爱保险金，本合同终止，主险合同继续有效。</w:t>
            </w:r>
          </w:p>
          <w:p>
            <w:pPr>
              <w:pStyle w:val="TableParagraph"/>
              <w:spacing w:line="223" w:lineRule="auto" w:before="23"/>
              <w:ind w:left="210" w:right="100" w:firstLine="420"/>
              <w:jc w:val="both"/>
              <w:rPr>
                <w:sz w:val="21"/>
              </w:rPr>
            </w:pPr>
            <w:r>
              <w:rPr>
                <w:sz w:val="21"/>
              </w:rPr>
              <w:t>（2）</w:t>
            </w:r>
            <w:r>
              <w:rPr>
                <w:spacing w:val="-3"/>
                <w:sz w:val="21"/>
              </w:rPr>
              <w:t>被保险人于本合同生效</w:t>
            </w:r>
            <w:r>
              <w:rPr>
                <w:sz w:val="21"/>
              </w:rPr>
              <w:t>（</w:t>
            </w:r>
            <w:r>
              <w:rPr>
                <w:spacing w:val="-3"/>
                <w:sz w:val="21"/>
              </w:rPr>
              <w:t>或合同效力恢复</w:t>
            </w:r>
            <w:r>
              <w:rPr>
                <w:sz w:val="21"/>
              </w:rPr>
              <w:t>）</w:t>
            </w:r>
            <w:r>
              <w:rPr>
                <w:spacing w:val="-3"/>
                <w:sz w:val="21"/>
              </w:rPr>
              <w:t>之日起一年后，由本公司认可医院的专科医生确诊</w:t>
            </w:r>
            <w:r>
              <w:rPr>
                <w:rFonts w:ascii="微软雅黑" w:eastAsia="微软雅黑" w:hint="eastAsia"/>
                <w:b/>
                <w:sz w:val="21"/>
              </w:rPr>
              <w:t>初次</w:t>
            </w:r>
            <w:r>
              <w:rPr>
                <w:spacing w:val="-9"/>
                <w:sz w:val="21"/>
              </w:rPr>
              <w:t>发生本合同所指的轻症，且确诊日在被保险人年满</w:t>
            </w:r>
          </w:p>
          <w:p>
            <w:pPr>
              <w:pStyle w:val="TableParagraph"/>
              <w:spacing w:line="312" w:lineRule="exact" w:before="7"/>
              <w:ind w:left="210" w:right="143"/>
              <w:rPr>
                <w:sz w:val="21"/>
              </w:rPr>
            </w:pPr>
            <w:r>
              <w:rPr>
                <w:sz w:val="21"/>
              </w:rPr>
              <w:t>75周岁的保单生效对应日之前，本公司按主险合同的基本保险金额的20%给付轻症关爱保险金，本合同与主险合同继续有效。</w:t>
            </w:r>
          </w:p>
        </w:tc>
      </w:tr>
    </w:tbl>
    <w:p>
      <w:pPr>
        <w:spacing w:after="0" w:line="312" w:lineRule="exact"/>
        <w:rPr>
          <w:sz w:val="21"/>
        </w:rPr>
        <w:sectPr>
          <w:pgSz w:w="11910" w:h="16840"/>
          <w:pgMar w:header="857" w:footer="992" w:top="1040" w:bottom="1180" w:left="1020" w:right="1020"/>
        </w:sectPr>
      </w:pPr>
    </w:p>
    <w:p>
      <w:pPr>
        <w:pStyle w:val="BodyText"/>
        <w:spacing w:before="6"/>
        <w:rPr>
          <w:rFonts w:ascii="Times New Roman"/>
          <w:sz w:val="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
        <w:gridCol w:w="1340"/>
        <w:gridCol w:w="7703"/>
      </w:tblGrid>
      <w:tr>
        <w:trPr>
          <w:trHeight w:val="3244" w:hRule="atLeast"/>
        </w:trPr>
        <w:tc>
          <w:tcPr>
            <w:tcW w:w="908" w:type="dxa"/>
            <w:tcBorders>
              <w:top w:val="single" w:sz="18" w:space="0" w:color="000000"/>
            </w:tcBorders>
          </w:tcPr>
          <w:p>
            <w:pPr>
              <w:pStyle w:val="TableParagraph"/>
              <w:rPr>
                <w:rFonts w:ascii="Times New Roman"/>
                <w:sz w:val="20"/>
              </w:rPr>
            </w:pPr>
          </w:p>
        </w:tc>
        <w:tc>
          <w:tcPr>
            <w:tcW w:w="1340" w:type="dxa"/>
            <w:tcBorders>
              <w:top w:val="single" w:sz="18" w:space="0" w:color="000000"/>
            </w:tcBorders>
          </w:tcPr>
          <w:p>
            <w:pPr>
              <w:pStyle w:val="TableParagraph"/>
              <w:rPr>
                <w:rFonts w:ascii="Times New Roman"/>
                <w:sz w:val="20"/>
              </w:rPr>
            </w:pPr>
          </w:p>
        </w:tc>
        <w:tc>
          <w:tcPr>
            <w:tcW w:w="7703" w:type="dxa"/>
            <w:tcBorders>
              <w:top w:val="single" w:sz="18" w:space="0" w:color="000000"/>
            </w:tcBorders>
          </w:tcPr>
          <w:p>
            <w:pPr>
              <w:pStyle w:val="TableParagraph"/>
              <w:spacing w:before="7"/>
              <w:rPr>
                <w:rFonts w:ascii="Times New Roman"/>
                <w:sz w:val="23"/>
              </w:rPr>
            </w:pPr>
          </w:p>
          <w:p>
            <w:pPr>
              <w:pStyle w:val="TableParagraph"/>
              <w:spacing w:line="235" w:lineRule="auto" w:before="1"/>
              <w:ind w:left="105" w:right="305" w:firstLine="420"/>
              <w:rPr>
                <w:sz w:val="21"/>
              </w:rPr>
            </w:pPr>
            <w:r>
              <w:rPr>
                <w:spacing w:val="-3"/>
                <w:sz w:val="21"/>
              </w:rPr>
              <w:t>若被保险人于本合同生效后因意外伤害由本公司认可医院的专科医生确诊</w:t>
            </w:r>
            <w:r>
              <w:rPr>
                <w:rFonts w:ascii="微软雅黑" w:eastAsia="微软雅黑" w:hint="eastAsia"/>
                <w:b/>
                <w:spacing w:val="-3"/>
                <w:sz w:val="21"/>
              </w:rPr>
              <w:t>初次</w:t>
            </w:r>
            <w:r>
              <w:rPr>
                <w:spacing w:val="-8"/>
                <w:sz w:val="21"/>
              </w:rPr>
              <w:t>发生本合同所指的轻症，则不受上述一年的限制，本公司按主险合同的基本</w:t>
            </w:r>
            <w:r>
              <w:rPr>
                <w:spacing w:val="-3"/>
                <w:sz w:val="21"/>
              </w:rPr>
              <w:t>保险金额的</w:t>
            </w:r>
            <w:r>
              <w:rPr>
                <w:sz w:val="21"/>
              </w:rPr>
              <w:t>20</w:t>
            </w:r>
            <w:r>
              <w:rPr>
                <w:spacing w:val="-3"/>
                <w:sz w:val="21"/>
              </w:rPr>
              <w:t>%给付轻症关爱保险金，本合同与主险合同继续有效。</w:t>
            </w:r>
          </w:p>
          <w:p>
            <w:pPr>
              <w:pStyle w:val="TableParagraph"/>
              <w:spacing w:line="273" w:lineRule="auto" w:before="37"/>
              <w:ind w:left="105" w:right="246" w:firstLine="420"/>
              <w:rPr>
                <w:sz w:val="21"/>
              </w:rPr>
            </w:pPr>
            <w:r>
              <w:rPr>
                <w:sz w:val="21"/>
              </w:rPr>
              <w:t>同一种轻症给付以一次为限，给付金额不超过10万元；且累计给付轻症关爱保险金之和以主险合同的基本保险金额为限。</w:t>
            </w:r>
          </w:p>
          <w:p>
            <w:pPr>
              <w:pStyle w:val="TableParagraph"/>
              <w:spacing w:line="273" w:lineRule="auto" w:before="7"/>
              <w:ind w:left="105" w:right="242" w:firstLine="420"/>
              <w:rPr>
                <w:sz w:val="21"/>
              </w:rPr>
            </w:pPr>
            <w:r>
              <w:rPr>
                <w:sz w:val="21"/>
              </w:rPr>
              <w:t>自每次确定给付轻症关爱保险金的轻症被确诊之日起一年以内，本公司对被保险人确诊的其他轻症疾病不承担给付轻症关爱保险金的责任。</w:t>
            </w:r>
          </w:p>
          <w:p>
            <w:pPr>
              <w:pStyle w:val="TableParagraph"/>
              <w:spacing w:line="273" w:lineRule="auto" w:before="7"/>
              <w:ind w:left="105" w:right="243" w:firstLine="420"/>
              <w:rPr>
                <w:sz w:val="21"/>
              </w:rPr>
            </w:pPr>
            <w:r>
              <w:rPr>
                <w:sz w:val="21"/>
              </w:rPr>
              <w:t>对于已经符合重大疾病保险金给付条件的，本公司给付重大疾病保险金，不再给付轻症关爱保险金。</w:t>
            </w:r>
          </w:p>
        </w:tc>
      </w:tr>
      <w:tr>
        <w:trPr>
          <w:trHeight w:val="1248" w:hRule="atLeast"/>
        </w:trPr>
        <w:tc>
          <w:tcPr>
            <w:tcW w:w="908" w:type="dxa"/>
          </w:tcPr>
          <w:p>
            <w:pPr>
              <w:pStyle w:val="TableParagraph"/>
              <w:spacing w:before="80"/>
              <w:ind w:left="200"/>
              <w:rPr>
                <w:rFonts w:ascii="微软雅黑"/>
                <w:b/>
                <w:sz w:val="21"/>
              </w:rPr>
            </w:pPr>
            <w:r>
              <w:rPr>
                <w:rFonts w:ascii="微软雅黑"/>
                <w:b/>
                <w:w w:val="105"/>
                <w:sz w:val="21"/>
              </w:rPr>
              <w:t>2.3.3</w:t>
            </w:r>
          </w:p>
        </w:tc>
        <w:tc>
          <w:tcPr>
            <w:tcW w:w="1340" w:type="dxa"/>
          </w:tcPr>
          <w:p>
            <w:pPr>
              <w:pStyle w:val="TableParagraph"/>
              <w:spacing w:line="206" w:lineRule="auto" w:before="131"/>
              <w:ind w:left="180" w:right="312"/>
              <w:rPr>
                <w:rFonts w:ascii="微软雅黑" w:eastAsia="微软雅黑" w:hint="eastAsia"/>
                <w:b/>
                <w:sz w:val="21"/>
              </w:rPr>
            </w:pPr>
            <w:r>
              <w:rPr>
                <w:rFonts w:ascii="微软雅黑" w:eastAsia="微软雅黑" w:hint="eastAsia"/>
                <w:b/>
                <w:sz w:val="21"/>
              </w:rPr>
              <w:t>身故保险金</w:t>
            </w:r>
          </w:p>
        </w:tc>
        <w:tc>
          <w:tcPr>
            <w:tcW w:w="7703" w:type="dxa"/>
          </w:tcPr>
          <w:p>
            <w:pPr>
              <w:pStyle w:val="TableParagraph"/>
              <w:spacing w:line="273" w:lineRule="auto" w:before="142"/>
              <w:ind w:left="105" w:right="197" w:firstLine="420"/>
              <w:rPr>
                <w:sz w:val="21"/>
              </w:rPr>
            </w:pPr>
            <w:r>
              <w:rPr>
                <w:spacing w:val="-3"/>
                <w:sz w:val="21"/>
              </w:rPr>
              <w:t>被保险人于本合同生效之日起至</w:t>
            </w:r>
            <w:r>
              <w:rPr>
                <w:sz w:val="21"/>
              </w:rPr>
              <w:t>18</w:t>
            </w:r>
            <w:r>
              <w:rPr>
                <w:spacing w:val="-10"/>
                <w:sz w:val="21"/>
              </w:rPr>
              <w:t>周岁保单生效对应日</w:t>
            </w:r>
            <w:r>
              <w:rPr>
                <w:spacing w:val="-3"/>
                <w:sz w:val="21"/>
              </w:rPr>
              <w:t>（</w:t>
            </w:r>
            <w:r>
              <w:rPr>
                <w:sz w:val="21"/>
              </w:rPr>
              <w:t>不含18</w:t>
            </w:r>
            <w:r>
              <w:rPr>
                <w:spacing w:val="-3"/>
                <w:sz w:val="21"/>
              </w:rPr>
              <w:t>周岁保单生效对应日</w:t>
            </w:r>
            <w:r>
              <w:rPr>
                <w:spacing w:val="-84"/>
                <w:sz w:val="21"/>
              </w:rPr>
              <w:t>）</w:t>
            </w:r>
            <w:r>
              <w:rPr>
                <w:spacing w:val="-11"/>
                <w:sz w:val="21"/>
              </w:rPr>
              <w:t>之前身故，本公司按本合同实际交纳的保险费的</w:t>
            </w:r>
            <w:r>
              <w:rPr>
                <w:sz w:val="21"/>
              </w:rPr>
              <w:t>105</w:t>
            </w:r>
            <w:r>
              <w:rPr>
                <w:spacing w:val="-3"/>
                <w:sz w:val="21"/>
              </w:rPr>
              <w:t>%给付身故保险金， 本合同终止。</w:t>
            </w:r>
          </w:p>
        </w:tc>
      </w:tr>
      <w:tr>
        <w:trPr>
          <w:trHeight w:val="2184" w:hRule="atLeast"/>
        </w:trPr>
        <w:tc>
          <w:tcPr>
            <w:tcW w:w="908" w:type="dxa"/>
          </w:tcPr>
          <w:p>
            <w:pPr>
              <w:pStyle w:val="TableParagraph"/>
              <w:spacing w:before="80"/>
              <w:ind w:left="200"/>
              <w:rPr>
                <w:rFonts w:ascii="微软雅黑"/>
                <w:b/>
                <w:sz w:val="21"/>
              </w:rPr>
            </w:pPr>
            <w:r>
              <w:rPr>
                <w:rFonts w:ascii="微软雅黑"/>
                <w:b/>
                <w:w w:val="110"/>
                <w:sz w:val="21"/>
              </w:rPr>
              <w:t>2.3.4</w:t>
            </w:r>
          </w:p>
        </w:tc>
        <w:tc>
          <w:tcPr>
            <w:tcW w:w="1340" w:type="dxa"/>
          </w:tcPr>
          <w:p>
            <w:pPr>
              <w:pStyle w:val="TableParagraph"/>
              <w:spacing w:line="206" w:lineRule="auto" w:before="131"/>
              <w:ind w:left="180" w:right="312"/>
              <w:jc w:val="both"/>
              <w:rPr>
                <w:rFonts w:ascii="微软雅黑" w:eastAsia="微软雅黑" w:hint="eastAsia"/>
                <w:b/>
                <w:sz w:val="21"/>
              </w:rPr>
            </w:pPr>
            <w:r>
              <w:rPr>
                <w:rFonts w:ascii="微软雅黑" w:eastAsia="微软雅黑" w:hint="eastAsia"/>
                <w:b/>
                <w:sz w:val="21"/>
              </w:rPr>
              <w:t>投保人意外伤害身故或意外伤害身体全残豁免保险费</w:t>
            </w:r>
          </w:p>
        </w:tc>
        <w:tc>
          <w:tcPr>
            <w:tcW w:w="7703" w:type="dxa"/>
          </w:tcPr>
          <w:p>
            <w:pPr>
              <w:pStyle w:val="TableParagraph"/>
              <w:spacing w:line="273" w:lineRule="auto" w:before="142"/>
              <w:ind w:left="196" w:right="303" w:firstLine="420"/>
              <w:jc w:val="both"/>
              <w:rPr>
                <w:sz w:val="21"/>
              </w:rPr>
            </w:pPr>
            <w:r>
              <w:rPr>
                <w:sz w:val="21"/>
              </w:rPr>
              <w:t>除另有约定外，投保人因意外伤害身故或因意外伤害身体全残，且投保人</w:t>
            </w:r>
            <w:r>
              <w:rPr>
                <w:spacing w:val="-6"/>
                <w:sz w:val="21"/>
              </w:rPr>
              <w:t>身故或身体全残时年龄介于 </w:t>
            </w:r>
            <w:r>
              <w:rPr>
                <w:sz w:val="21"/>
              </w:rPr>
              <w:t>18</w:t>
            </w:r>
            <w:r>
              <w:rPr>
                <w:spacing w:val="-14"/>
                <w:sz w:val="21"/>
              </w:rPr>
              <w:t> 周岁至 </w:t>
            </w:r>
            <w:r>
              <w:rPr>
                <w:sz w:val="21"/>
              </w:rPr>
              <w:t>60</w:t>
            </w:r>
            <w:r>
              <w:rPr>
                <w:spacing w:val="-7"/>
                <w:sz w:val="21"/>
              </w:rPr>
              <w:t> 周岁之间，可免交自投保人身故或被</w:t>
            </w:r>
            <w:r>
              <w:rPr>
                <w:spacing w:val="-5"/>
                <w:sz w:val="21"/>
              </w:rPr>
              <w:t>确定身体全残之日起的续期保险费，本合同继续有效。</w:t>
            </w:r>
          </w:p>
          <w:p>
            <w:pPr>
              <w:pStyle w:val="TableParagraph"/>
              <w:spacing w:line="273" w:lineRule="auto" w:before="7"/>
              <w:ind w:left="105" w:right="302" w:firstLine="412"/>
              <w:jc w:val="both"/>
              <w:rPr>
                <w:sz w:val="21"/>
              </w:rPr>
            </w:pPr>
            <w:r>
              <w:rPr>
                <w:spacing w:val="-8"/>
                <w:sz w:val="21"/>
              </w:rPr>
              <w:t>投保人在保险期间内变更的，变更后的投保人因意外伤害身故或因意外伤害</w:t>
            </w:r>
            <w:r>
              <w:rPr>
                <w:spacing w:val="-5"/>
                <w:sz w:val="21"/>
              </w:rPr>
              <w:t>身体全残，本公司不予豁免保险费。</w:t>
            </w:r>
          </w:p>
        </w:tc>
      </w:tr>
      <w:tr>
        <w:trPr>
          <w:trHeight w:val="624" w:hRule="atLeast"/>
        </w:trPr>
        <w:tc>
          <w:tcPr>
            <w:tcW w:w="908" w:type="dxa"/>
          </w:tcPr>
          <w:p>
            <w:pPr>
              <w:pStyle w:val="TableParagraph"/>
              <w:spacing w:before="80"/>
              <w:ind w:left="200"/>
              <w:rPr>
                <w:rFonts w:ascii="微软雅黑"/>
                <w:b/>
                <w:sz w:val="21"/>
              </w:rPr>
            </w:pPr>
            <w:r>
              <w:rPr>
                <w:rFonts w:ascii="微软雅黑"/>
                <w:b/>
                <w:sz w:val="21"/>
              </w:rPr>
              <w:t>2.4</w:t>
            </w:r>
          </w:p>
        </w:tc>
        <w:tc>
          <w:tcPr>
            <w:tcW w:w="1340" w:type="dxa"/>
          </w:tcPr>
          <w:p>
            <w:pPr>
              <w:pStyle w:val="TableParagraph"/>
              <w:spacing w:before="80"/>
              <w:ind w:left="180"/>
              <w:rPr>
                <w:rFonts w:ascii="微软雅黑" w:eastAsia="微软雅黑" w:hint="eastAsia"/>
                <w:b/>
                <w:sz w:val="21"/>
              </w:rPr>
            </w:pPr>
            <w:r>
              <w:rPr>
                <w:rFonts w:ascii="微软雅黑" w:eastAsia="微软雅黑" w:hint="eastAsia"/>
                <w:b/>
                <w:sz w:val="21"/>
              </w:rPr>
              <w:t>责任免除</w:t>
            </w:r>
          </w:p>
        </w:tc>
        <w:tc>
          <w:tcPr>
            <w:tcW w:w="7703" w:type="dxa"/>
          </w:tcPr>
          <w:p>
            <w:pPr>
              <w:pStyle w:val="TableParagraph"/>
              <w:rPr>
                <w:rFonts w:ascii="Times New Roman"/>
                <w:sz w:val="20"/>
              </w:rPr>
            </w:pPr>
          </w:p>
        </w:tc>
      </w:tr>
      <w:tr>
        <w:trPr>
          <w:trHeight w:val="4056" w:hRule="atLeast"/>
        </w:trPr>
        <w:tc>
          <w:tcPr>
            <w:tcW w:w="908" w:type="dxa"/>
          </w:tcPr>
          <w:p>
            <w:pPr>
              <w:pStyle w:val="TableParagraph"/>
              <w:spacing w:before="80"/>
              <w:ind w:left="200"/>
              <w:rPr>
                <w:rFonts w:ascii="微软雅黑"/>
                <w:b/>
                <w:sz w:val="21"/>
              </w:rPr>
            </w:pPr>
            <w:r>
              <w:rPr>
                <w:rFonts w:ascii="微软雅黑"/>
                <w:b/>
                <w:w w:val="105"/>
                <w:sz w:val="21"/>
              </w:rPr>
              <w:t>2.4.1</w:t>
            </w:r>
          </w:p>
        </w:tc>
        <w:tc>
          <w:tcPr>
            <w:tcW w:w="1340" w:type="dxa"/>
          </w:tcPr>
          <w:p>
            <w:pPr>
              <w:pStyle w:val="TableParagraph"/>
              <w:spacing w:line="206" w:lineRule="auto" w:before="131"/>
              <w:ind w:left="180" w:right="101"/>
              <w:rPr>
                <w:rFonts w:ascii="微软雅黑" w:eastAsia="微软雅黑" w:hint="eastAsia"/>
                <w:b/>
                <w:sz w:val="21"/>
              </w:rPr>
            </w:pPr>
            <w:r>
              <w:rPr>
                <w:rFonts w:ascii="微软雅黑" w:eastAsia="微软雅黑" w:hint="eastAsia"/>
                <w:b/>
                <w:sz w:val="21"/>
              </w:rPr>
              <w:t>重大疾病、轻 症 保 险 责任免除</w:t>
            </w:r>
          </w:p>
        </w:tc>
        <w:tc>
          <w:tcPr>
            <w:tcW w:w="7703" w:type="dxa"/>
          </w:tcPr>
          <w:p>
            <w:pPr>
              <w:pStyle w:val="TableParagraph"/>
              <w:spacing w:line="273" w:lineRule="auto" w:before="142"/>
              <w:ind w:left="105" w:right="250" w:firstLine="412"/>
              <w:rPr>
                <w:sz w:val="21"/>
              </w:rPr>
            </w:pPr>
            <w:r>
              <w:rPr>
                <w:sz w:val="21"/>
              </w:rPr>
              <w:t>被保险人因下列情形之一发Th本合同所指的重大疾病、轻症的，本公司不承担保险责任：</w:t>
            </w:r>
          </w:p>
          <w:p>
            <w:pPr>
              <w:pStyle w:val="TableParagraph"/>
              <w:spacing w:before="7"/>
              <w:ind w:left="518"/>
              <w:rPr>
                <w:sz w:val="21"/>
              </w:rPr>
            </w:pPr>
            <w:r>
              <w:rPr>
                <w:sz w:val="21"/>
              </w:rPr>
              <w:t>1.投保人对被保险人的故意杀害、故意伤害；</w:t>
            </w:r>
          </w:p>
          <w:p>
            <w:pPr>
              <w:pStyle w:val="TableParagraph"/>
              <w:spacing w:before="37"/>
              <w:ind w:left="518"/>
              <w:rPr>
                <w:sz w:val="21"/>
              </w:rPr>
            </w:pPr>
            <w:r>
              <w:rPr>
                <w:sz w:val="21"/>
              </w:rPr>
              <w:t>2.被保险人故意自伤、故意犯罪或抗拒依法采取的刑事强制措施；</w:t>
            </w:r>
          </w:p>
          <w:p>
            <w:pPr>
              <w:pStyle w:val="TableParagraph"/>
              <w:spacing w:before="37"/>
              <w:ind w:left="518"/>
              <w:rPr>
                <w:sz w:val="21"/>
              </w:rPr>
            </w:pPr>
            <w:r>
              <w:rPr>
                <w:sz w:val="21"/>
              </w:rPr>
              <w:t>3.被保险人主动吸食或注射毒品；</w:t>
            </w:r>
          </w:p>
          <w:p>
            <w:pPr>
              <w:pStyle w:val="TableParagraph"/>
              <w:spacing w:line="273" w:lineRule="auto" w:before="37"/>
              <w:ind w:left="105" w:right="312" w:firstLine="412"/>
              <w:rPr>
                <w:sz w:val="21"/>
              </w:rPr>
            </w:pPr>
            <w:r>
              <w:rPr>
                <w:sz w:val="21"/>
              </w:rPr>
              <w:t>4.被保险人酒后驾驶、无合法有效驾驶证驾驶或驾驶无有效行驶证的机动车；</w:t>
            </w:r>
          </w:p>
          <w:p>
            <w:pPr>
              <w:pStyle w:val="TableParagraph"/>
              <w:spacing w:before="7"/>
              <w:ind w:left="518"/>
              <w:rPr>
                <w:sz w:val="21"/>
              </w:rPr>
            </w:pPr>
            <w:r>
              <w:rPr>
                <w:sz w:val="21"/>
              </w:rPr>
              <w:t>5.战争、军事冲突、暴乱或武装叛乱；</w:t>
            </w:r>
          </w:p>
          <w:p>
            <w:pPr>
              <w:pStyle w:val="TableParagraph"/>
              <w:spacing w:line="260" w:lineRule="exact" w:before="36"/>
              <w:ind w:left="518"/>
              <w:rPr>
                <w:sz w:val="21"/>
              </w:rPr>
            </w:pPr>
            <w:r>
              <w:rPr>
                <w:sz w:val="21"/>
              </w:rPr>
              <w:t>6.核爆炸、核辐射或核污染；</w:t>
            </w:r>
          </w:p>
          <w:p>
            <w:pPr>
              <w:pStyle w:val="TableParagraph"/>
              <w:spacing w:line="324" w:lineRule="exact"/>
              <w:ind w:left="518"/>
              <w:rPr>
                <w:sz w:val="21"/>
              </w:rPr>
            </w:pPr>
            <w:r>
              <w:rPr>
                <w:w w:val="100"/>
                <w:sz w:val="21"/>
              </w:rPr>
              <w:t>7</w:t>
            </w:r>
            <w:r>
              <w:rPr>
                <w:spacing w:val="-2"/>
                <w:w w:val="100"/>
                <w:sz w:val="21"/>
              </w:rPr>
              <w:t>.</w:t>
            </w:r>
            <w:r>
              <w:rPr>
                <w:rFonts w:ascii="Microsoft JhengHei" w:eastAsia="Microsoft JhengHei" w:hint="eastAsia"/>
                <w:b/>
                <w:w w:val="100"/>
                <w:sz w:val="21"/>
              </w:rPr>
              <w:t>遗传性疾病（详见释义</w:t>
            </w:r>
            <w:r>
              <w:rPr>
                <w:rFonts w:ascii="Microsoft JhengHei" w:eastAsia="Microsoft JhengHei" w:hint="eastAsia"/>
                <w:b/>
                <w:spacing w:val="-108"/>
                <w:w w:val="100"/>
                <w:sz w:val="21"/>
              </w:rPr>
              <w:t>）</w:t>
            </w:r>
            <w:r>
              <w:rPr>
                <w:spacing w:val="-2"/>
                <w:w w:val="100"/>
                <w:sz w:val="21"/>
              </w:rPr>
              <w:t>，</w:t>
            </w:r>
            <w:r>
              <w:rPr>
                <w:rFonts w:ascii="Microsoft JhengHei" w:eastAsia="Microsoft JhengHei" w:hint="eastAsia"/>
                <w:b/>
                <w:spacing w:val="-1"/>
                <w:w w:val="100"/>
                <w:sz w:val="21"/>
              </w:rPr>
              <w:t>先天性畸形、变形或染色体异常</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w w:val="100"/>
                <w:sz w:val="21"/>
              </w:rPr>
              <w:t>；</w:t>
            </w:r>
          </w:p>
          <w:p>
            <w:pPr>
              <w:pStyle w:val="TableParagraph"/>
              <w:spacing w:line="312" w:lineRule="exact" w:before="36"/>
              <w:ind w:left="105" w:right="341" w:firstLine="412"/>
              <w:rPr>
                <w:sz w:val="21"/>
              </w:rPr>
            </w:pPr>
            <w:r>
              <w:rPr>
                <w:sz w:val="21"/>
              </w:rPr>
              <w:t>8.被保险人感染</w:t>
            </w:r>
            <w:r>
              <w:rPr>
                <w:rFonts w:ascii="Microsoft JhengHei" w:eastAsia="Microsoft JhengHei" w:hint="eastAsia"/>
                <w:b/>
                <w:sz w:val="21"/>
              </w:rPr>
              <w:t>艾滋病病毒或患艾滋病</w:t>
            </w:r>
            <w:r>
              <w:rPr>
                <w:rFonts w:ascii="Microsoft JhengHei" w:eastAsia="Microsoft JhengHei" w:hint="eastAsia"/>
                <w:b/>
                <w:w w:val="115"/>
                <w:sz w:val="21"/>
              </w:rPr>
              <w:t>(</w:t>
            </w:r>
            <w:r>
              <w:rPr>
                <w:rFonts w:ascii="Microsoft JhengHei" w:eastAsia="Microsoft JhengHei" w:hint="eastAsia"/>
                <w:b/>
                <w:sz w:val="21"/>
              </w:rPr>
              <w:t>详见释义)</w:t>
            </w:r>
            <w:r>
              <w:rPr>
                <w:sz w:val="21"/>
              </w:rPr>
              <w:t>(因职业行为感染艾滋病病毒或患艾滋病除外，见本条款第 5.4.27 条)。</w:t>
            </w:r>
          </w:p>
        </w:tc>
      </w:tr>
      <w:tr>
        <w:trPr>
          <w:trHeight w:val="2914" w:hRule="atLeast"/>
        </w:trPr>
        <w:tc>
          <w:tcPr>
            <w:tcW w:w="908" w:type="dxa"/>
          </w:tcPr>
          <w:p>
            <w:pPr>
              <w:pStyle w:val="TableParagraph"/>
              <w:spacing w:before="80"/>
              <w:ind w:left="200"/>
              <w:rPr>
                <w:rFonts w:ascii="微软雅黑"/>
                <w:b/>
                <w:sz w:val="21"/>
              </w:rPr>
            </w:pPr>
            <w:r>
              <w:rPr>
                <w:rFonts w:ascii="微软雅黑"/>
                <w:b/>
                <w:w w:val="105"/>
                <w:sz w:val="21"/>
              </w:rPr>
              <w:t>2.4.2</w:t>
            </w:r>
          </w:p>
        </w:tc>
        <w:tc>
          <w:tcPr>
            <w:tcW w:w="1340" w:type="dxa"/>
          </w:tcPr>
          <w:p>
            <w:pPr>
              <w:pStyle w:val="TableParagraph"/>
              <w:spacing w:line="206" w:lineRule="auto" w:before="131"/>
              <w:ind w:left="180" w:right="312"/>
              <w:jc w:val="both"/>
              <w:rPr>
                <w:rFonts w:ascii="微软雅黑" w:eastAsia="微软雅黑" w:hint="eastAsia"/>
                <w:b/>
                <w:sz w:val="21"/>
              </w:rPr>
            </w:pPr>
            <w:r>
              <w:rPr>
                <w:rFonts w:ascii="微软雅黑" w:eastAsia="微软雅黑" w:hint="eastAsia"/>
                <w:b/>
                <w:sz w:val="21"/>
              </w:rPr>
              <w:t>身故或身体全残保险责任免除</w:t>
            </w:r>
          </w:p>
        </w:tc>
        <w:tc>
          <w:tcPr>
            <w:tcW w:w="7703" w:type="dxa"/>
          </w:tcPr>
          <w:p>
            <w:pPr>
              <w:pStyle w:val="TableParagraph"/>
              <w:spacing w:before="142"/>
              <w:ind w:left="518"/>
              <w:rPr>
                <w:sz w:val="21"/>
              </w:rPr>
            </w:pPr>
            <w:r>
              <w:rPr>
                <w:sz w:val="21"/>
              </w:rPr>
              <w:t>被保险人因下列情形之一身故的，本公司不承担保险责任：</w:t>
            </w:r>
          </w:p>
          <w:p>
            <w:pPr>
              <w:pStyle w:val="TableParagraph"/>
              <w:spacing w:before="36"/>
              <w:ind w:left="525"/>
              <w:rPr>
                <w:sz w:val="21"/>
              </w:rPr>
            </w:pPr>
            <w:r>
              <w:rPr>
                <w:sz w:val="21"/>
              </w:rPr>
              <w:t>1.投保人对被保险人的故意杀害、故意伤害；</w:t>
            </w:r>
          </w:p>
          <w:p>
            <w:pPr>
              <w:pStyle w:val="TableParagraph"/>
              <w:spacing w:before="36"/>
              <w:ind w:left="525"/>
              <w:rPr>
                <w:sz w:val="21"/>
              </w:rPr>
            </w:pPr>
            <w:r>
              <w:rPr>
                <w:sz w:val="21"/>
              </w:rPr>
              <w:t>2.故意犯罪或抗拒依法采取的刑事强制措施；</w:t>
            </w:r>
          </w:p>
          <w:p>
            <w:pPr>
              <w:pStyle w:val="TableParagraph"/>
              <w:spacing w:line="273" w:lineRule="auto" w:before="36"/>
              <w:ind w:left="105" w:right="239" w:firstLine="420"/>
              <w:rPr>
                <w:sz w:val="21"/>
              </w:rPr>
            </w:pPr>
            <w:r>
              <w:rPr>
                <w:sz w:val="21"/>
              </w:rPr>
              <w:t>3.自本合同成立或合同效力恢复之日起二年内自杀，但自杀时为无民事行为能力人的除外；</w:t>
            </w:r>
          </w:p>
          <w:p>
            <w:pPr>
              <w:pStyle w:val="TableParagraph"/>
              <w:spacing w:before="7"/>
              <w:ind w:left="525"/>
              <w:rPr>
                <w:sz w:val="21"/>
              </w:rPr>
            </w:pPr>
            <w:r>
              <w:rPr>
                <w:sz w:val="21"/>
              </w:rPr>
              <w:t>4.主动吸食或注射毒品；</w:t>
            </w:r>
          </w:p>
          <w:p>
            <w:pPr>
              <w:pStyle w:val="TableParagraph"/>
              <w:spacing w:before="37"/>
              <w:ind w:left="525"/>
              <w:rPr>
                <w:sz w:val="21"/>
              </w:rPr>
            </w:pPr>
            <w:r>
              <w:rPr>
                <w:sz w:val="21"/>
              </w:rPr>
              <w:t>5.酒后驾驶、无合法有效驾驶证驾驶或驾驶无有效行驶证的机动车；</w:t>
            </w:r>
          </w:p>
          <w:p>
            <w:pPr>
              <w:pStyle w:val="TableParagraph"/>
              <w:spacing w:before="37"/>
              <w:ind w:left="525"/>
              <w:rPr>
                <w:sz w:val="21"/>
              </w:rPr>
            </w:pPr>
            <w:r>
              <w:rPr>
                <w:sz w:val="21"/>
              </w:rPr>
              <w:t>6.战争、军事冲突、暴乱或武装叛乱；</w:t>
            </w:r>
          </w:p>
          <w:p>
            <w:pPr>
              <w:pStyle w:val="TableParagraph"/>
              <w:spacing w:line="255" w:lineRule="exact" w:before="37"/>
              <w:ind w:left="525"/>
              <w:rPr>
                <w:sz w:val="21"/>
              </w:rPr>
            </w:pPr>
            <w:r>
              <w:rPr>
                <w:sz w:val="21"/>
              </w:rPr>
              <w:t>7.核爆炸、核辐射或核污染。</w:t>
            </w:r>
          </w:p>
        </w:tc>
      </w:tr>
    </w:tbl>
    <w:p>
      <w:pPr>
        <w:spacing w:after="0" w:line="255" w:lineRule="exact"/>
        <w:rPr>
          <w:sz w:val="21"/>
        </w:rPr>
        <w:sectPr>
          <w:pgSz w:w="11910" w:h="16840"/>
          <w:pgMar w:header="857" w:footer="992" w:top="1040" w:bottom="1180" w:left="920" w:right="820"/>
        </w:sectPr>
      </w:pPr>
    </w:p>
    <w:p>
      <w:pPr>
        <w:pStyle w:val="BodyText"/>
        <w:spacing w:before="6"/>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1320"/>
        <w:gridCol w:w="7606"/>
      </w:tblGrid>
      <w:tr>
        <w:trPr>
          <w:trHeight w:val="2333" w:hRule="atLeast"/>
        </w:trPr>
        <w:tc>
          <w:tcPr>
            <w:tcW w:w="731" w:type="dxa"/>
            <w:tcBorders>
              <w:top w:val="single" w:sz="18" w:space="0" w:color="000000"/>
            </w:tcBorders>
          </w:tcPr>
          <w:p>
            <w:pPr>
              <w:pStyle w:val="TableParagraph"/>
              <w:rPr>
                <w:rFonts w:ascii="Times New Roman"/>
                <w:sz w:val="20"/>
              </w:rPr>
            </w:pPr>
          </w:p>
        </w:tc>
        <w:tc>
          <w:tcPr>
            <w:tcW w:w="1320" w:type="dxa"/>
            <w:tcBorders>
              <w:top w:val="single" w:sz="18" w:space="0" w:color="000000"/>
            </w:tcBorders>
          </w:tcPr>
          <w:p>
            <w:pPr>
              <w:pStyle w:val="TableParagraph"/>
              <w:rPr>
                <w:rFonts w:ascii="Times New Roman"/>
                <w:sz w:val="20"/>
              </w:rPr>
            </w:pPr>
          </w:p>
        </w:tc>
        <w:tc>
          <w:tcPr>
            <w:tcW w:w="7606" w:type="dxa"/>
            <w:tcBorders>
              <w:top w:val="single" w:sz="18" w:space="0" w:color="000000"/>
            </w:tcBorders>
          </w:tcPr>
          <w:p>
            <w:pPr>
              <w:pStyle w:val="TableParagraph"/>
              <w:spacing w:before="2"/>
              <w:rPr>
                <w:rFonts w:ascii="Times New Roman"/>
                <w:sz w:val="23"/>
              </w:rPr>
            </w:pPr>
          </w:p>
          <w:p>
            <w:pPr>
              <w:pStyle w:val="TableParagraph"/>
              <w:spacing w:line="273" w:lineRule="auto"/>
              <w:ind w:left="210" w:right="168" w:firstLine="499"/>
              <w:rPr>
                <w:sz w:val="21"/>
              </w:rPr>
            </w:pPr>
            <w:r>
              <w:rPr>
                <w:spacing w:val="-7"/>
                <w:sz w:val="21"/>
              </w:rPr>
              <w:t>被保险人因上述第 </w:t>
            </w:r>
            <w:r>
              <w:rPr>
                <w:sz w:val="21"/>
              </w:rPr>
              <w:t>1</w:t>
            </w:r>
            <w:r>
              <w:rPr>
                <w:spacing w:val="-8"/>
                <w:sz w:val="21"/>
              </w:rPr>
              <w:t> 项情形身故的，本合同终止，本公司向身故保险金受</w:t>
            </w:r>
            <w:r>
              <w:rPr>
                <w:spacing w:val="-5"/>
                <w:sz w:val="21"/>
              </w:rPr>
              <w:t>益人退还保险单的现金价值。</w:t>
            </w:r>
          </w:p>
          <w:p>
            <w:pPr>
              <w:pStyle w:val="TableParagraph"/>
              <w:spacing w:line="273" w:lineRule="auto" w:before="7"/>
              <w:ind w:left="210" w:right="168" w:firstLine="499"/>
              <w:rPr>
                <w:sz w:val="21"/>
              </w:rPr>
            </w:pPr>
            <w:r>
              <w:rPr>
                <w:sz w:val="21"/>
              </w:rPr>
              <w:t>被保险人因上述其他情形身故的，本合同终止，本公司向您退还保险单的现金价值。</w:t>
            </w:r>
          </w:p>
          <w:p>
            <w:pPr>
              <w:pStyle w:val="TableParagraph"/>
              <w:spacing w:line="273" w:lineRule="auto" w:before="7"/>
              <w:ind w:left="210" w:right="38" w:firstLine="420"/>
              <w:rPr>
                <w:sz w:val="21"/>
              </w:rPr>
            </w:pPr>
            <w:r>
              <w:rPr>
                <w:spacing w:val="-8"/>
                <w:sz w:val="21"/>
              </w:rPr>
              <w:t>投保人因上述第 </w:t>
            </w:r>
            <w:r>
              <w:rPr>
                <w:sz w:val="21"/>
              </w:rPr>
              <w:t>2-7</w:t>
            </w:r>
            <w:r>
              <w:rPr>
                <w:spacing w:val="-13"/>
                <w:sz w:val="21"/>
              </w:rPr>
              <w:t> 项情形导致身故或身体全残，以及因被保险人对投保人</w:t>
            </w:r>
            <w:r>
              <w:rPr>
                <w:spacing w:val="-6"/>
                <w:sz w:val="21"/>
              </w:rPr>
              <w:t>的故意杀害、故意伤害导致投保人身故或身体全残的，本公司不予豁免保险费。</w:t>
            </w:r>
          </w:p>
        </w:tc>
      </w:tr>
      <w:tr>
        <w:trPr>
          <w:trHeight w:val="753" w:hRule="atLeast"/>
        </w:trPr>
        <w:tc>
          <w:tcPr>
            <w:tcW w:w="731"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8926" w:type="dxa"/>
            <w:gridSpan w:val="2"/>
            <w:tcBorders>
              <w:bottom w:val="single" w:sz="8" w:space="0" w:color="000000"/>
            </w:tcBorders>
          </w:tcPr>
          <w:p>
            <w:pPr>
              <w:pStyle w:val="TableParagraph"/>
              <w:spacing w:before="174"/>
              <w:ind w:left="265"/>
              <w:rPr>
                <w:rFonts w:ascii="微软雅黑" w:eastAsia="微软雅黑" w:hint="eastAsia"/>
                <w:b/>
                <w:sz w:val="24"/>
              </w:rPr>
            </w:pPr>
            <w:r>
              <w:rPr>
                <w:rFonts w:ascii="微软雅黑" w:eastAsia="微软雅黑" w:hint="eastAsia"/>
                <w:b/>
                <w:sz w:val="24"/>
              </w:rPr>
              <w:t>您的权利和义务</w:t>
            </w:r>
          </w:p>
        </w:tc>
      </w:tr>
      <w:tr>
        <w:trPr>
          <w:trHeight w:val="1093" w:hRule="atLeast"/>
        </w:trPr>
        <w:tc>
          <w:tcPr>
            <w:tcW w:w="731" w:type="dxa"/>
            <w:tcBorders>
              <w:top w:val="single" w:sz="8" w:space="0" w:color="000000"/>
            </w:tcBorders>
          </w:tcPr>
          <w:p>
            <w:pPr>
              <w:pStyle w:val="TableParagraph"/>
              <w:spacing w:before="6"/>
              <w:rPr>
                <w:rFonts w:ascii="Times New Roman"/>
                <w:sz w:val="20"/>
              </w:rPr>
            </w:pPr>
          </w:p>
          <w:p>
            <w:pPr>
              <w:pStyle w:val="TableParagraph"/>
              <w:ind w:left="107"/>
              <w:rPr>
                <w:rFonts w:ascii="微软雅黑"/>
                <w:b/>
                <w:sz w:val="21"/>
              </w:rPr>
            </w:pPr>
            <w:r>
              <w:rPr>
                <w:rFonts w:ascii="微软雅黑"/>
                <w:b/>
                <w:sz w:val="21"/>
              </w:rPr>
              <w:t>3.1</w:t>
            </w:r>
          </w:p>
        </w:tc>
        <w:tc>
          <w:tcPr>
            <w:tcW w:w="1320" w:type="dxa"/>
            <w:tcBorders>
              <w:top w:val="single" w:sz="8" w:space="0" w:color="000000"/>
            </w:tcBorders>
          </w:tcPr>
          <w:p>
            <w:pPr>
              <w:pStyle w:val="TableParagraph"/>
              <w:spacing w:before="11"/>
              <w:rPr>
                <w:rFonts w:ascii="Times New Roman"/>
                <w:sz w:val="24"/>
              </w:rPr>
            </w:pPr>
          </w:p>
          <w:p>
            <w:pPr>
              <w:pStyle w:val="TableParagraph"/>
              <w:spacing w:line="206" w:lineRule="auto"/>
              <w:ind w:left="265" w:right="207"/>
              <w:rPr>
                <w:rFonts w:ascii="微软雅黑" w:eastAsia="微软雅黑" w:hint="eastAsia"/>
                <w:b/>
                <w:sz w:val="21"/>
              </w:rPr>
            </w:pPr>
            <w:r>
              <w:rPr>
                <w:rFonts w:ascii="微软雅黑" w:eastAsia="微软雅黑" w:hint="eastAsia"/>
                <w:b/>
                <w:sz w:val="21"/>
              </w:rPr>
              <w:t>保险费的交纳</w:t>
            </w:r>
          </w:p>
        </w:tc>
        <w:tc>
          <w:tcPr>
            <w:tcW w:w="7606" w:type="dxa"/>
            <w:tcBorders>
              <w:top w:val="single" w:sz="8" w:space="0" w:color="000000"/>
            </w:tcBorders>
          </w:tcPr>
          <w:p>
            <w:pPr>
              <w:pStyle w:val="TableParagraph"/>
              <w:rPr>
                <w:rFonts w:ascii="Times New Roman"/>
                <w:sz w:val="26"/>
              </w:rPr>
            </w:pPr>
          </w:p>
          <w:p>
            <w:pPr>
              <w:pStyle w:val="TableParagraph"/>
              <w:spacing w:line="273" w:lineRule="auto"/>
              <w:ind w:left="210" w:right="103" w:firstLine="420"/>
              <w:rPr>
                <w:sz w:val="21"/>
              </w:rPr>
            </w:pPr>
            <w:r>
              <w:rPr>
                <w:spacing w:val="-9"/>
                <w:sz w:val="21"/>
              </w:rPr>
              <w:t>除另有约定外，本合同的交费方式和交费期间须与主险合同一致，且须与主</w:t>
            </w:r>
            <w:r>
              <w:rPr>
                <w:spacing w:val="-5"/>
                <w:sz w:val="21"/>
              </w:rPr>
              <w:t>险合同同时交纳保险费。</w:t>
            </w:r>
          </w:p>
        </w:tc>
      </w:tr>
      <w:tr>
        <w:trPr>
          <w:trHeight w:val="2521" w:hRule="atLeast"/>
        </w:trPr>
        <w:tc>
          <w:tcPr>
            <w:tcW w:w="731" w:type="dxa"/>
          </w:tcPr>
          <w:p>
            <w:pPr>
              <w:pStyle w:val="TableParagraph"/>
              <w:spacing w:before="80"/>
              <w:ind w:left="107"/>
              <w:rPr>
                <w:rFonts w:ascii="微软雅黑"/>
                <w:b/>
                <w:sz w:val="21"/>
              </w:rPr>
            </w:pPr>
            <w:r>
              <w:rPr>
                <w:rFonts w:ascii="微软雅黑"/>
                <w:b/>
                <w:sz w:val="21"/>
              </w:rPr>
              <w:t>3.2</w:t>
            </w:r>
          </w:p>
        </w:tc>
        <w:tc>
          <w:tcPr>
            <w:tcW w:w="1320" w:type="dxa"/>
          </w:tcPr>
          <w:p>
            <w:pPr>
              <w:pStyle w:val="TableParagraph"/>
              <w:spacing w:line="206" w:lineRule="auto" w:before="131"/>
              <w:ind w:left="265" w:right="207"/>
              <w:rPr>
                <w:rFonts w:ascii="微软雅黑" w:eastAsia="微软雅黑" w:hint="eastAsia"/>
                <w:b/>
                <w:sz w:val="21"/>
              </w:rPr>
            </w:pPr>
            <w:r>
              <w:rPr>
                <w:rFonts w:ascii="微软雅黑" w:eastAsia="微软雅黑" w:hint="eastAsia"/>
                <w:b/>
                <w:sz w:val="21"/>
              </w:rPr>
              <w:t>保险费率的调整</w:t>
            </w:r>
          </w:p>
        </w:tc>
        <w:tc>
          <w:tcPr>
            <w:tcW w:w="7606" w:type="dxa"/>
          </w:tcPr>
          <w:p>
            <w:pPr>
              <w:pStyle w:val="TableParagraph"/>
              <w:spacing w:line="273" w:lineRule="auto" w:before="142"/>
              <w:ind w:left="210" w:right="100" w:firstLine="420"/>
              <w:jc w:val="both"/>
              <w:rPr>
                <w:sz w:val="21"/>
              </w:rPr>
            </w:pPr>
            <w:r>
              <w:rPr>
                <w:spacing w:val="-6"/>
                <w:sz w:val="21"/>
              </w:rPr>
              <w:t>当我们厘定费率时采用的预定重大疾病发生率与实际情况发生偏离，足以影</w:t>
            </w:r>
            <w:r>
              <w:rPr>
                <w:spacing w:val="-10"/>
                <w:sz w:val="21"/>
              </w:rPr>
              <w:t>响保险费率水平的，我们将合理调整保险费率。本合同的费率调整针对所有被保</w:t>
            </w:r>
            <w:r>
              <w:rPr>
                <w:spacing w:val="-5"/>
                <w:sz w:val="21"/>
              </w:rPr>
              <w:t>险人或同一投保年龄的所有被保险人。</w:t>
            </w:r>
          </w:p>
          <w:p>
            <w:pPr>
              <w:pStyle w:val="TableParagraph"/>
              <w:spacing w:line="273" w:lineRule="auto" w:before="7"/>
              <w:ind w:left="210" w:right="38" w:firstLine="420"/>
              <w:jc w:val="right"/>
              <w:rPr>
                <w:sz w:val="21"/>
              </w:rPr>
            </w:pPr>
            <w:r>
              <w:rPr>
                <w:sz w:val="21"/>
              </w:rPr>
              <w:t>在我们对保险费率的调整经过国务院保险监督管理机构的备案后，请您按调整后的保险费率支付续期保险费，保险费率调整前您已支付的保险费不受影响。我们调整保险费率的，将及时通知您。您不接受保险费率调整的，可按本合</w:t>
            </w:r>
          </w:p>
          <w:p>
            <w:pPr>
              <w:pStyle w:val="TableParagraph"/>
              <w:spacing w:before="7"/>
              <w:ind w:left="210"/>
              <w:rPr>
                <w:sz w:val="21"/>
              </w:rPr>
            </w:pPr>
            <w:r>
              <w:rPr>
                <w:sz w:val="21"/>
              </w:rPr>
              <w:t>同的约定申请解除合同。</w:t>
            </w:r>
          </w:p>
        </w:tc>
      </w:tr>
      <w:tr>
        <w:trPr>
          <w:trHeight w:val="753" w:hRule="atLeast"/>
        </w:trPr>
        <w:tc>
          <w:tcPr>
            <w:tcW w:w="731"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8926" w:type="dxa"/>
            <w:gridSpan w:val="2"/>
            <w:tcBorders>
              <w:bottom w:val="single" w:sz="8" w:space="0" w:color="000000"/>
            </w:tcBorders>
          </w:tcPr>
          <w:p>
            <w:pPr>
              <w:pStyle w:val="TableParagraph"/>
              <w:spacing w:before="174"/>
              <w:ind w:left="265"/>
              <w:rPr>
                <w:rFonts w:ascii="微软雅黑" w:eastAsia="微软雅黑" w:hint="eastAsia"/>
                <w:b/>
                <w:sz w:val="24"/>
              </w:rPr>
            </w:pPr>
            <w:r>
              <w:rPr>
                <w:rFonts w:ascii="微软雅黑" w:eastAsia="微软雅黑" w:hint="eastAsia"/>
                <w:b/>
                <w:sz w:val="24"/>
              </w:rPr>
              <w:t>如何申请领取保险金</w:t>
            </w:r>
          </w:p>
        </w:tc>
      </w:tr>
      <w:tr>
        <w:trPr>
          <w:trHeight w:val="6085" w:hRule="atLeast"/>
        </w:trPr>
        <w:tc>
          <w:tcPr>
            <w:tcW w:w="731" w:type="dxa"/>
            <w:tcBorders>
              <w:top w:val="single" w:sz="8" w:space="0" w:color="000000"/>
            </w:tcBorders>
          </w:tcPr>
          <w:p>
            <w:pPr>
              <w:pStyle w:val="TableParagraph"/>
              <w:spacing w:before="6"/>
              <w:rPr>
                <w:rFonts w:ascii="Times New Roman"/>
                <w:sz w:val="20"/>
              </w:rPr>
            </w:pPr>
          </w:p>
          <w:p>
            <w:pPr>
              <w:pStyle w:val="TableParagraph"/>
              <w:ind w:left="107"/>
              <w:rPr>
                <w:rFonts w:ascii="微软雅黑"/>
                <w:b/>
                <w:sz w:val="21"/>
              </w:rPr>
            </w:pPr>
            <w:r>
              <w:rPr>
                <w:rFonts w:ascii="微软雅黑"/>
                <w:b/>
                <w:sz w:val="21"/>
              </w:rPr>
              <w:t>4.1</w:t>
            </w:r>
          </w:p>
        </w:tc>
        <w:tc>
          <w:tcPr>
            <w:tcW w:w="1320" w:type="dxa"/>
            <w:tcBorders>
              <w:top w:val="single" w:sz="8" w:space="0" w:color="000000"/>
            </w:tcBorders>
          </w:tcPr>
          <w:p>
            <w:pPr>
              <w:pStyle w:val="TableParagraph"/>
              <w:spacing w:before="11"/>
              <w:rPr>
                <w:rFonts w:ascii="Times New Roman"/>
                <w:sz w:val="24"/>
              </w:rPr>
            </w:pPr>
          </w:p>
          <w:p>
            <w:pPr>
              <w:pStyle w:val="TableParagraph"/>
              <w:spacing w:line="206" w:lineRule="auto"/>
              <w:ind w:left="265" w:right="207"/>
              <w:jc w:val="both"/>
              <w:rPr>
                <w:rFonts w:ascii="微软雅黑" w:eastAsia="微软雅黑" w:hint="eastAsia"/>
                <w:b/>
                <w:sz w:val="21"/>
              </w:rPr>
            </w:pPr>
            <w:r>
              <w:rPr>
                <w:rFonts w:ascii="微软雅黑" w:eastAsia="微软雅黑" w:hint="eastAsia"/>
                <w:b/>
                <w:sz w:val="21"/>
              </w:rPr>
              <w:t>保险金受益人的指定和变更</w:t>
            </w:r>
          </w:p>
        </w:tc>
        <w:tc>
          <w:tcPr>
            <w:tcW w:w="7606" w:type="dxa"/>
            <w:tcBorders>
              <w:top w:val="single" w:sz="8" w:space="0" w:color="000000"/>
            </w:tcBorders>
          </w:tcPr>
          <w:p>
            <w:pPr>
              <w:pStyle w:val="TableParagraph"/>
              <w:rPr>
                <w:rFonts w:ascii="Times New Roman"/>
                <w:sz w:val="26"/>
              </w:rPr>
            </w:pPr>
          </w:p>
          <w:p>
            <w:pPr>
              <w:pStyle w:val="TableParagraph"/>
              <w:ind w:left="630"/>
              <w:rPr>
                <w:sz w:val="21"/>
              </w:rPr>
            </w:pPr>
            <w:r>
              <w:rPr>
                <w:sz w:val="21"/>
              </w:rPr>
              <w:t>重大疾病保险金、轻症关爱保险金受益人为被保险人本人。</w:t>
            </w:r>
          </w:p>
          <w:p>
            <w:pPr>
              <w:pStyle w:val="TableParagraph"/>
              <w:spacing w:line="273" w:lineRule="auto" w:before="37"/>
              <w:ind w:left="210" w:firstLine="420"/>
              <w:rPr>
                <w:sz w:val="21"/>
              </w:rPr>
            </w:pPr>
            <w:r>
              <w:rPr>
                <w:spacing w:val="-6"/>
                <w:sz w:val="21"/>
              </w:rPr>
              <w:t>您或被保险人可指定一人或数人为身故保险金受益人，受益人为数人时，应</w:t>
            </w:r>
            <w:r>
              <w:rPr>
                <w:spacing w:val="-15"/>
                <w:sz w:val="21"/>
              </w:rPr>
              <w:t>确定受益顺序和受益份额，未确定受益份额的，各受益人按相等份额享有受益权。</w:t>
            </w:r>
            <w:r>
              <w:rPr>
                <w:spacing w:val="-10"/>
                <w:sz w:val="21"/>
              </w:rPr>
              <w:t>被保险人为无民事行为能力人或限制民事行为能力人的，可以由其监护人指定受益人。</w:t>
            </w:r>
          </w:p>
          <w:p>
            <w:pPr>
              <w:pStyle w:val="TableParagraph"/>
              <w:spacing w:line="273" w:lineRule="auto" w:before="7"/>
              <w:ind w:left="210" w:right="41" w:firstLine="420"/>
              <w:rPr>
                <w:sz w:val="21"/>
              </w:rPr>
            </w:pPr>
            <w:r>
              <w:rPr>
                <w:sz w:val="21"/>
              </w:rPr>
              <w:t>您或被保险人可以变更身故保险金受益人，但须书面通知本公司，由本公司在保险单或其他保险凭证上批注或附贴批单。</w:t>
            </w:r>
          </w:p>
          <w:p>
            <w:pPr>
              <w:pStyle w:val="TableParagraph"/>
              <w:spacing w:line="273" w:lineRule="auto" w:before="7"/>
              <w:ind w:left="210" w:right="103" w:firstLine="420"/>
              <w:rPr>
                <w:sz w:val="21"/>
              </w:rPr>
            </w:pPr>
            <w:r>
              <w:rPr>
                <w:spacing w:val="-7"/>
                <w:sz w:val="21"/>
              </w:rPr>
              <w:t>您在指定和变更身故保险金受益人时，须经被保险人书面同意。为与您有劳</w:t>
            </w:r>
            <w:r>
              <w:rPr>
                <w:spacing w:val="-5"/>
                <w:sz w:val="21"/>
              </w:rPr>
              <w:t>动关系的劳动者投保，不得指定被保险人及其近亲属以外的人为受益人。</w:t>
            </w:r>
          </w:p>
          <w:p>
            <w:pPr>
              <w:pStyle w:val="TableParagraph"/>
              <w:spacing w:line="273" w:lineRule="auto" w:before="7"/>
              <w:ind w:left="210" w:right="100" w:firstLine="420"/>
              <w:rPr>
                <w:sz w:val="21"/>
              </w:rPr>
            </w:pPr>
            <w:r>
              <w:rPr>
                <w:spacing w:val="-8"/>
                <w:sz w:val="21"/>
              </w:rPr>
              <w:t>被保险人身故后，有下列情形之一的，身故保险金作为被保险人的遗产，由</w:t>
            </w:r>
            <w:r>
              <w:rPr>
                <w:spacing w:val="-5"/>
                <w:sz w:val="21"/>
              </w:rPr>
              <w:t>本公司依照《中华人民共和国继承法》的规定履行给付保险金的义务：</w:t>
            </w:r>
          </w:p>
          <w:p>
            <w:pPr>
              <w:pStyle w:val="TableParagraph"/>
              <w:spacing w:before="7"/>
              <w:ind w:left="630"/>
              <w:rPr>
                <w:sz w:val="21"/>
              </w:rPr>
            </w:pPr>
            <w:r>
              <w:rPr>
                <w:sz w:val="21"/>
              </w:rPr>
              <w:t>1.没有指定受益人或受益人指定不明无法确定的；</w:t>
            </w:r>
          </w:p>
          <w:p>
            <w:pPr>
              <w:pStyle w:val="TableParagraph"/>
              <w:spacing w:before="37"/>
              <w:ind w:left="630"/>
              <w:rPr>
                <w:sz w:val="21"/>
              </w:rPr>
            </w:pPr>
            <w:r>
              <w:rPr>
                <w:sz w:val="21"/>
              </w:rPr>
              <w:t>2.受益人先于被保险人身故，没有其他受益人的；</w:t>
            </w:r>
          </w:p>
          <w:p>
            <w:pPr>
              <w:pStyle w:val="TableParagraph"/>
              <w:spacing w:before="37"/>
              <w:ind w:left="630"/>
              <w:rPr>
                <w:sz w:val="21"/>
              </w:rPr>
            </w:pPr>
            <w:r>
              <w:rPr>
                <w:sz w:val="21"/>
              </w:rPr>
              <w:t>3.受益人依法丧失受益权或放弃受益权，没有其他受益人的。</w:t>
            </w:r>
          </w:p>
          <w:p>
            <w:pPr>
              <w:pStyle w:val="TableParagraph"/>
              <w:spacing w:line="273" w:lineRule="auto" w:before="37"/>
              <w:ind w:left="210" w:right="41" w:firstLine="420"/>
              <w:rPr>
                <w:sz w:val="21"/>
              </w:rPr>
            </w:pPr>
            <w:r>
              <w:rPr>
                <w:sz w:val="21"/>
              </w:rPr>
              <w:t>被保险人和受益人在同一事件中身故，无法确定两者身故先后顺序的，推定受益人先于被保险人身故。</w:t>
            </w:r>
          </w:p>
          <w:p>
            <w:pPr>
              <w:pStyle w:val="TableParagraph"/>
              <w:spacing w:line="273" w:lineRule="auto" w:before="7"/>
              <w:ind w:left="210" w:right="-15" w:firstLine="420"/>
              <w:rPr>
                <w:sz w:val="21"/>
              </w:rPr>
            </w:pPr>
            <w:r>
              <w:rPr>
                <w:spacing w:val="-13"/>
                <w:sz w:val="21"/>
              </w:rPr>
              <w:t>受益人故意造成被保险人身故、伤残、疾病的，或故意杀害被保险人未遂的， </w:t>
            </w:r>
            <w:r>
              <w:rPr>
                <w:spacing w:val="-6"/>
                <w:sz w:val="21"/>
              </w:rPr>
              <w:t>该受益人丧失受益权。</w:t>
            </w:r>
          </w:p>
        </w:tc>
      </w:tr>
      <w:tr>
        <w:trPr>
          <w:trHeight w:val="729" w:hRule="atLeast"/>
        </w:trPr>
        <w:tc>
          <w:tcPr>
            <w:tcW w:w="731" w:type="dxa"/>
          </w:tcPr>
          <w:p>
            <w:pPr>
              <w:pStyle w:val="TableParagraph"/>
              <w:spacing w:before="80"/>
              <w:ind w:left="107"/>
              <w:rPr>
                <w:rFonts w:ascii="微软雅黑"/>
                <w:b/>
                <w:sz w:val="21"/>
              </w:rPr>
            </w:pPr>
            <w:r>
              <w:rPr>
                <w:rFonts w:ascii="微软雅黑"/>
                <w:b/>
                <w:w w:val="81"/>
                <w:sz w:val="21"/>
              </w:rPr>
              <w:t>4</w:t>
            </w:r>
            <w:r>
              <w:rPr>
                <w:rFonts w:ascii="微软雅黑"/>
                <w:b/>
                <w:w w:val="176"/>
                <w:sz w:val="21"/>
              </w:rPr>
              <w:t>.</w:t>
            </w:r>
            <w:r>
              <w:rPr>
                <w:rFonts w:ascii="微软雅黑"/>
                <w:b/>
                <w:w w:val="81"/>
                <w:sz w:val="21"/>
              </w:rPr>
              <w:t>2</w:t>
            </w:r>
          </w:p>
        </w:tc>
        <w:tc>
          <w:tcPr>
            <w:tcW w:w="1320" w:type="dxa"/>
          </w:tcPr>
          <w:p>
            <w:pPr>
              <w:pStyle w:val="TableParagraph"/>
              <w:spacing w:line="312" w:lineRule="exact" w:before="138"/>
              <w:ind w:left="265" w:right="207"/>
              <w:rPr>
                <w:rFonts w:ascii="微软雅黑" w:eastAsia="微软雅黑" w:hint="eastAsia"/>
                <w:b/>
                <w:sz w:val="21"/>
              </w:rPr>
            </w:pPr>
            <w:r>
              <w:rPr>
                <w:rFonts w:ascii="微软雅黑" w:eastAsia="微软雅黑" w:hint="eastAsia"/>
                <w:b/>
                <w:sz w:val="21"/>
              </w:rPr>
              <w:t>保险金及豁免保险</w:t>
            </w:r>
          </w:p>
        </w:tc>
        <w:tc>
          <w:tcPr>
            <w:tcW w:w="7606" w:type="dxa"/>
          </w:tcPr>
          <w:p>
            <w:pPr>
              <w:pStyle w:val="TableParagraph"/>
              <w:spacing w:line="310" w:lineRule="atLeast" w:before="107"/>
              <w:ind w:left="210" w:right="103" w:firstLine="420"/>
              <w:rPr>
                <w:sz w:val="21"/>
              </w:rPr>
            </w:pPr>
            <w:r>
              <w:rPr>
                <w:sz w:val="21"/>
              </w:rPr>
              <w:t>1.</w:t>
            </w:r>
            <w:r>
              <w:rPr>
                <w:spacing w:val="-9"/>
                <w:sz w:val="21"/>
              </w:rPr>
              <w:t>申请重大疾病保险金、轻症关爱保险金时，由被保险人作为申请人书面提</w:t>
            </w:r>
            <w:r>
              <w:rPr>
                <w:spacing w:val="-5"/>
                <w:sz w:val="21"/>
              </w:rPr>
              <w:t>出保险金给付申请，并提供下列证明和资料：</w:t>
            </w:r>
          </w:p>
        </w:tc>
      </w:tr>
    </w:tbl>
    <w:p>
      <w:pPr>
        <w:spacing w:after="0" w:line="310" w:lineRule="atLeast"/>
        <w:rPr>
          <w:sz w:val="21"/>
        </w:rPr>
        <w:sectPr>
          <w:pgSz w:w="11910" w:h="16840"/>
          <w:pgMar w:header="857" w:footer="992" w:top="1040" w:bottom="1180" w:left="1020" w:right="1020"/>
        </w:sectPr>
      </w:pPr>
    </w:p>
    <w:p>
      <w:pPr>
        <w:pStyle w:val="BodyText"/>
        <w:spacing w:before="6"/>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1320"/>
        <w:gridCol w:w="7605"/>
      </w:tblGrid>
      <w:tr>
        <w:trPr>
          <w:trHeight w:val="8861" w:hRule="atLeast"/>
        </w:trPr>
        <w:tc>
          <w:tcPr>
            <w:tcW w:w="731" w:type="dxa"/>
            <w:tcBorders>
              <w:top w:val="single" w:sz="18" w:space="0" w:color="000000"/>
            </w:tcBorders>
          </w:tcPr>
          <w:p>
            <w:pPr>
              <w:pStyle w:val="TableParagraph"/>
              <w:rPr>
                <w:rFonts w:ascii="Times New Roman"/>
                <w:sz w:val="20"/>
              </w:rPr>
            </w:pPr>
          </w:p>
        </w:tc>
        <w:tc>
          <w:tcPr>
            <w:tcW w:w="1320" w:type="dxa"/>
            <w:tcBorders>
              <w:top w:val="single" w:sz="18" w:space="0" w:color="000000"/>
            </w:tcBorders>
          </w:tcPr>
          <w:p>
            <w:pPr>
              <w:pStyle w:val="TableParagraph"/>
              <w:spacing w:before="8"/>
              <w:rPr>
                <w:rFonts w:ascii="Times New Roman"/>
                <w:sz w:val="17"/>
              </w:rPr>
            </w:pPr>
          </w:p>
          <w:p>
            <w:pPr>
              <w:pStyle w:val="TableParagraph"/>
              <w:spacing w:before="1"/>
              <w:ind w:left="265"/>
              <w:rPr>
                <w:rFonts w:ascii="微软雅黑" w:eastAsia="微软雅黑" w:hint="eastAsia"/>
                <w:b/>
                <w:sz w:val="21"/>
              </w:rPr>
            </w:pPr>
            <w:r>
              <w:rPr>
                <w:rFonts w:ascii="微软雅黑" w:eastAsia="微软雅黑" w:hint="eastAsia"/>
                <w:b/>
                <w:sz w:val="21"/>
              </w:rPr>
              <w:t>费的申请</w:t>
            </w:r>
          </w:p>
        </w:tc>
        <w:tc>
          <w:tcPr>
            <w:tcW w:w="7605" w:type="dxa"/>
            <w:tcBorders>
              <w:top w:val="single" w:sz="18" w:space="0" w:color="000000"/>
            </w:tcBorders>
          </w:tcPr>
          <w:p>
            <w:pPr>
              <w:pStyle w:val="TableParagraph"/>
              <w:spacing w:before="2"/>
              <w:rPr>
                <w:rFonts w:ascii="Times New Roman"/>
                <w:sz w:val="23"/>
              </w:rPr>
            </w:pPr>
          </w:p>
          <w:p>
            <w:pPr>
              <w:pStyle w:val="TableParagraph"/>
              <w:ind w:left="630"/>
              <w:rPr>
                <w:sz w:val="21"/>
              </w:rPr>
            </w:pPr>
            <w:r>
              <w:rPr>
                <w:sz w:val="21"/>
              </w:rPr>
              <w:t>（1）保险合同；</w:t>
            </w:r>
          </w:p>
          <w:p>
            <w:pPr>
              <w:pStyle w:val="TableParagraph"/>
              <w:spacing w:before="37"/>
              <w:ind w:left="630"/>
              <w:rPr>
                <w:sz w:val="21"/>
              </w:rPr>
            </w:pPr>
            <w:r>
              <w:rPr>
                <w:sz w:val="21"/>
              </w:rPr>
              <w:t>（2）被保险人的有效身份证件；</w:t>
            </w:r>
          </w:p>
          <w:p>
            <w:pPr>
              <w:pStyle w:val="TableParagraph"/>
              <w:spacing w:line="273" w:lineRule="auto" w:before="37"/>
              <w:ind w:left="210" w:right="143" w:firstLine="420"/>
              <w:rPr>
                <w:sz w:val="21"/>
              </w:rPr>
            </w:pPr>
            <w:r>
              <w:rPr>
                <w:sz w:val="21"/>
              </w:rPr>
              <w:t>（3）本公司认可医院出具的附有病历、必要病理检验、血液检验及其他科学方法检验报告的疾病诊断书；</w:t>
            </w:r>
          </w:p>
          <w:p>
            <w:pPr>
              <w:pStyle w:val="TableParagraph"/>
              <w:spacing w:line="273" w:lineRule="auto" w:before="7"/>
              <w:ind w:left="210" w:right="103" w:firstLine="420"/>
              <w:rPr>
                <w:sz w:val="21"/>
              </w:rPr>
            </w:pPr>
            <w:r>
              <w:rPr>
                <w:sz w:val="21"/>
              </w:rPr>
              <w:t>（4）所能提供的与确认保险事故的性质、原因、伤害程度等有关的其他证明和资料。</w:t>
            </w:r>
          </w:p>
          <w:p>
            <w:pPr>
              <w:pStyle w:val="TableParagraph"/>
              <w:spacing w:line="273" w:lineRule="auto" w:before="7"/>
              <w:ind w:left="210" w:right="102" w:firstLine="420"/>
              <w:rPr>
                <w:sz w:val="21"/>
              </w:rPr>
            </w:pPr>
            <w:r>
              <w:rPr>
                <w:sz w:val="21"/>
              </w:rPr>
              <w:t>2.</w:t>
            </w:r>
            <w:r>
              <w:rPr>
                <w:spacing w:val="-10"/>
                <w:sz w:val="21"/>
              </w:rPr>
              <w:t>申请身故保险金时，由受益人或其他有权领取保险金的人作为申请人书面</w:t>
            </w:r>
            <w:r>
              <w:rPr>
                <w:spacing w:val="-5"/>
                <w:sz w:val="21"/>
              </w:rPr>
              <w:t>提出保险金给付申请，并提供下列证明和资料：</w:t>
            </w:r>
          </w:p>
          <w:p>
            <w:pPr>
              <w:pStyle w:val="TableParagraph"/>
              <w:spacing w:before="7"/>
              <w:ind w:left="630"/>
              <w:rPr>
                <w:sz w:val="21"/>
              </w:rPr>
            </w:pPr>
            <w:r>
              <w:rPr>
                <w:sz w:val="21"/>
              </w:rPr>
              <w:t>（1）保险合同；</w:t>
            </w:r>
          </w:p>
          <w:p>
            <w:pPr>
              <w:pStyle w:val="TableParagraph"/>
              <w:spacing w:before="36"/>
              <w:ind w:left="630"/>
              <w:rPr>
                <w:sz w:val="21"/>
              </w:rPr>
            </w:pPr>
            <w:r>
              <w:rPr>
                <w:sz w:val="21"/>
              </w:rPr>
              <w:t>（2）申请人的有效身份证件；</w:t>
            </w:r>
          </w:p>
          <w:p>
            <w:pPr>
              <w:pStyle w:val="TableParagraph"/>
              <w:spacing w:line="273" w:lineRule="auto" w:before="36"/>
              <w:ind w:left="210" w:right="143" w:firstLine="420"/>
              <w:rPr>
                <w:sz w:val="21"/>
              </w:rPr>
            </w:pPr>
            <w:r>
              <w:rPr>
                <w:sz w:val="21"/>
              </w:rPr>
              <w:t>（3）国家卫生行政部门认定的医疗机构、公安部门或其他相关机构出具的被保险人的死亡证明；</w:t>
            </w:r>
          </w:p>
          <w:p>
            <w:pPr>
              <w:pStyle w:val="TableParagraph"/>
              <w:spacing w:line="273" w:lineRule="auto" w:before="7"/>
              <w:ind w:left="210" w:right="143" w:firstLine="420"/>
              <w:rPr>
                <w:sz w:val="21"/>
              </w:rPr>
            </w:pPr>
            <w:r>
              <w:rPr>
                <w:sz w:val="21"/>
              </w:rPr>
              <w:t>（4）所能提供的与确认保险事故的性质、原因、伤害程度等有关的其他证明和资料。</w:t>
            </w:r>
          </w:p>
          <w:p>
            <w:pPr>
              <w:pStyle w:val="TableParagraph"/>
              <w:spacing w:before="7"/>
              <w:ind w:left="674"/>
              <w:rPr>
                <w:sz w:val="21"/>
              </w:rPr>
            </w:pPr>
            <w:r>
              <w:rPr>
                <w:sz w:val="21"/>
              </w:rPr>
              <w:t>保险金作为被保险人遗产时，须提供可证明合法继承权的相关权利文件。</w:t>
            </w:r>
          </w:p>
          <w:p>
            <w:pPr>
              <w:pStyle w:val="TableParagraph"/>
              <w:spacing w:line="273" w:lineRule="auto" w:before="36"/>
              <w:ind w:left="210" w:right="37" w:firstLine="420"/>
              <w:rPr>
                <w:sz w:val="21"/>
              </w:rPr>
            </w:pPr>
            <w:r>
              <w:rPr>
                <w:sz w:val="21"/>
              </w:rPr>
              <w:t>3.申请投保人意外伤害身故或意外伤害身体全残豁免保险费时，由被保险人作为申请人书面提出豁免保险费申请，并提供下列证明和资料：</w:t>
            </w:r>
          </w:p>
          <w:p>
            <w:pPr>
              <w:pStyle w:val="TableParagraph"/>
              <w:spacing w:before="7"/>
              <w:ind w:left="630"/>
              <w:rPr>
                <w:sz w:val="21"/>
              </w:rPr>
            </w:pPr>
            <w:r>
              <w:rPr>
                <w:sz w:val="21"/>
              </w:rPr>
              <w:t>（1）保险合同；</w:t>
            </w:r>
          </w:p>
          <w:p>
            <w:pPr>
              <w:pStyle w:val="TableParagraph"/>
              <w:spacing w:before="37"/>
              <w:ind w:left="630"/>
              <w:rPr>
                <w:sz w:val="21"/>
              </w:rPr>
            </w:pPr>
            <w:r>
              <w:rPr>
                <w:sz w:val="21"/>
              </w:rPr>
              <w:t>（2）被保险人的有效身份证件；</w:t>
            </w:r>
          </w:p>
          <w:p>
            <w:pPr>
              <w:pStyle w:val="TableParagraph"/>
              <w:spacing w:line="273" w:lineRule="auto" w:before="37"/>
              <w:ind w:left="210" w:right="143" w:firstLine="420"/>
              <w:rPr>
                <w:sz w:val="21"/>
              </w:rPr>
            </w:pPr>
            <w:r>
              <w:rPr>
                <w:sz w:val="21"/>
              </w:rPr>
              <w:t>（3）国家卫生行政部门认定的医疗机构、公安部门或其他相关机构出具的投保人的死亡证明或本公司指定鉴定机构出具的投保人身体全残鉴定书；</w:t>
            </w:r>
          </w:p>
          <w:p>
            <w:pPr>
              <w:pStyle w:val="TableParagraph"/>
              <w:spacing w:line="273" w:lineRule="auto" w:before="8"/>
              <w:ind w:left="210" w:right="143" w:firstLine="420"/>
              <w:rPr>
                <w:sz w:val="21"/>
              </w:rPr>
            </w:pPr>
            <w:r>
              <w:rPr>
                <w:sz w:val="21"/>
              </w:rPr>
              <w:t>（4）所能提供的与确认保险事故的性质、原因、伤害程度等有关的其他证明和资料。</w:t>
            </w:r>
          </w:p>
          <w:p>
            <w:pPr>
              <w:pStyle w:val="TableParagraph"/>
              <w:spacing w:line="273" w:lineRule="auto" w:before="7"/>
              <w:ind w:left="210" w:right="-15" w:firstLine="420"/>
              <w:rPr>
                <w:sz w:val="21"/>
              </w:rPr>
            </w:pPr>
            <w:r>
              <w:rPr>
                <w:sz w:val="21"/>
              </w:rPr>
              <w:t>4.</w:t>
            </w:r>
            <w:r>
              <w:rPr>
                <w:spacing w:val="-10"/>
                <w:sz w:val="21"/>
              </w:rPr>
              <w:t> 如委托他人代为申请，还须填写《索赔申请书</w:t>
            </w:r>
            <w:r>
              <w:rPr>
                <w:sz w:val="21"/>
              </w:rPr>
              <w:t>（</w:t>
            </w:r>
            <w:r>
              <w:rPr>
                <w:spacing w:val="-3"/>
                <w:sz w:val="21"/>
              </w:rPr>
              <w:t>含授权委托书</w:t>
            </w:r>
            <w:r>
              <w:rPr>
                <w:spacing w:val="-106"/>
                <w:sz w:val="21"/>
              </w:rPr>
              <w:t>）</w:t>
            </w:r>
            <w:r>
              <w:rPr>
                <w:spacing w:val="-11"/>
                <w:sz w:val="21"/>
              </w:rPr>
              <w:t>》委托栏， </w:t>
            </w:r>
            <w:r>
              <w:rPr>
                <w:spacing w:val="-6"/>
                <w:sz w:val="21"/>
              </w:rPr>
              <w:t>并提供受托人有效身份证件。</w:t>
            </w:r>
          </w:p>
          <w:p>
            <w:pPr>
              <w:pStyle w:val="TableParagraph"/>
              <w:spacing w:line="273" w:lineRule="auto" w:before="7"/>
              <w:ind w:left="210" w:right="246" w:firstLine="420"/>
              <w:rPr>
                <w:sz w:val="21"/>
              </w:rPr>
            </w:pPr>
            <w:r>
              <w:rPr>
                <w:sz w:val="21"/>
              </w:rPr>
              <w:t>5.本公司认为有关证明和资料不完整的，将及时一次性通知申请人补充提供。</w:t>
            </w:r>
          </w:p>
        </w:tc>
      </w:tr>
      <w:tr>
        <w:trPr>
          <w:trHeight w:val="1585" w:hRule="atLeast"/>
        </w:trPr>
        <w:tc>
          <w:tcPr>
            <w:tcW w:w="731" w:type="dxa"/>
          </w:tcPr>
          <w:p>
            <w:pPr>
              <w:pStyle w:val="TableParagraph"/>
              <w:spacing w:before="80"/>
              <w:ind w:left="107"/>
              <w:rPr>
                <w:rFonts w:ascii="微软雅黑"/>
                <w:b/>
                <w:sz w:val="21"/>
              </w:rPr>
            </w:pPr>
            <w:r>
              <w:rPr>
                <w:rFonts w:ascii="微软雅黑"/>
                <w:b/>
                <w:sz w:val="21"/>
              </w:rPr>
              <w:t>4.3</w:t>
            </w:r>
          </w:p>
        </w:tc>
        <w:tc>
          <w:tcPr>
            <w:tcW w:w="1320" w:type="dxa"/>
          </w:tcPr>
          <w:p>
            <w:pPr>
              <w:pStyle w:val="TableParagraph"/>
              <w:spacing w:before="80"/>
              <w:ind w:left="265"/>
              <w:rPr>
                <w:rFonts w:ascii="微软雅黑" w:eastAsia="微软雅黑" w:hint="eastAsia"/>
                <w:b/>
                <w:sz w:val="21"/>
              </w:rPr>
            </w:pPr>
            <w:r>
              <w:rPr>
                <w:rFonts w:ascii="微软雅黑" w:eastAsia="微软雅黑" w:hint="eastAsia"/>
                <w:b/>
                <w:sz w:val="21"/>
              </w:rPr>
              <w:t>诉讼时效</w:t>
            </w:r>
          </w:p>
        </w:tc>
        <w:tc>
          <w:tcPr>
            <w:tcW w:w="7605" w:type="dxa"/>
          </w:tcPr>
          <w:p>
            <w:pPr>
              <w:pStyle w:val="TableParagraph"/>
              <w:spacing w:line="273" w:lineRule="auto" w:before="142"/>
              <w:ind w:left="210" w:right="102" w:firstLine="360"/>
              <w:rPr>
                <w:sz w:val="21"/>
              </w:rPr>
            </w:pPr>
            <w:r>
              <w:rPr>
                <w:spacing w:val="-5"/>
                <w:sz w:val="21"/>
              </w:rPr>
              <w:t>受益人向本公司请求给付身故保险金的诉讼时效为 </w:t>
            </w:r>
            <w:r>
              <w:rPr>
                <w:sz w:val="21"/>
              </w:rPr>
              <w:t>5</w:t>
            </w:r>
            <w:r>
              <w:rPr>
                <w:spacing w:val="-8"/>
                <w:sz w:val="21"/>
              </w:rPr>
              <w:t> 年，自其知道或应当知</w:t>
            </w:r>
            <w:r>
              <w:rPr>
                <w:spacing w:val="-5"/>
                <w:sz w:val="21"/>
              </w:rPr>
              <w:t>道保险事故发生之日起计算。</w:t>
            </w:r>
          </w:p>
          <w:p>
            <w:pPr>
              <w:pStyle w:val="TableParagraph"/>
              <w:spacing w:line="273" w:lineRule="auto" w:before="7"/>
              <w:ind w:left="210" w:right="102" w:firstLine="360"/>
              <w:rPr>
                <w:sz w:val="21"/>
              </w:rPr>
            </w:pPr>
            <w:r>
              <w:rPr>
                <w:spacing w:val="-5"/>
                <w:sz w:val="21"/>
              </w:rPr>
              <w:t>受益人向本公司请求给付其他保险金的诉讼时效为 </w:t>
            </w:r>
            <w:r>
              <w:rPr>
                <w:sz w:val="21"/>
              </w:rPr>
              <w:t>2</w:t>
            </w:r>
            <w:r>
              <w:rPr>
                <w:spacing w:val="-8"/>
                <w:sz w:val="21"/>
              </w:rPr>
              <w:t> 年，自其知道或应当知</w:t>
            </w:r>
            <w:r>
              <w:rPr>
                <w:spacing w:val="-5"/>
                <w:sz w:val="21"/>
              </w:rPr>
              <w:t>道保险事故发生之日起计算。</w:t>
            </w:r>
          </w:p>
        </w:tc>
      </w:tr>
      <w:tr>
        <w:trPr>
          <w:trHeight w:val="754" w:hRule="atLeast"/>
        </w:trPr>
        <w:tc>
          <w:tcPr>
            <w:tcW w:w="731"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320" w:type="dxa"/>
            <w:tcBorders>
              <w:bottom w:val="single" w:sz="8" w:space="0" w:color="000000"/>
            </w:tcBorders>
          </w:tcPr>
          <w:p>
            <w:pPr>
              <w:pStyle w:val="TableParagraph"/>
              <w:spacing w:before="174"/>
              <w:ind w:left="265"/>
              <w:rPr>
                <w:rFonts w:ascii="微软雅黑" w:eastAsia="微软雅黑" w:hint="eastAsia"/>
                <w:b/>
                <w:sz w:val="24"/>
              </w:rPr>
            </w:pPr>
            <w:r>
              <w:rPr>
                <w:rFonts w:ascii="微软雅黑" w:eastAsia="微软雅黑" w:hint="eastAsia"/>
                <w:b/>
                <w:sz w:val="24"/>
              </w:rPr>
              <w:t>释义</w:t>
            </w:r>
          </w:p>
        </w:tc>
        <w:tc>
          <w:tcPr>
            <w:tcW w:w="7605" w:type="dxa"/>
            <w:tcBorders>
              <w:bottom w:val="single" w:sz="8" w:space="0" w:color="000000"/>
            </w:tcBorders>
          </w:tcPr>
          <w:p>
            <w:pPr>
              <w:pStyle w:val="TableParagraph"/>
              <w:rPr>
                <w:rFonts w:ascii="Times New Roman"/>
                <w:sz w:val="20"/>
              </w:rPr>
            </w:pPr>
          </w:p>
        </w:tc>
      </w:tr>
      <w:tr>
        <w:trPr>
          <w:trHeight w:val="1716" w:hRule="atLeast"/>
        </w:trPr>
        <w:tc>
          <w:tcPr>
            <w:tcW w:w="731" w:type="dxa"/>
            <w:tcBorders>
              <w:top w:val="single" w:sz="8" w:space="0" w:color="000000"/>
            </w:tcBorders>
          </w:tcPr>
          <w:p>
            <w:pPr>
              <w:pStyle w:val="TableParagraph"/>
              <w:spacing w:line="287" w:lineRule="exact"/>
              <w:ind w:left="107"/>
              <w:rPr>
                <w:rFonts w:ascii="微软雅黑"/>
                <w:b/>
                <w:sz w:val="21"/>
              </w:rPr>
            </w:pPr>
            <w:r>
              <w:rPr>
                <w:rFonts w:ascii="微软雅黑"/>
                <w:b/>
                <w:sz w:val="21"/>
              </w:rPr>
              <w:t>5.1</w:t>
            </w:r>
          </w:p>
        </w:tc>
        <w:tc>
          <w:tcPr>
            <w:tcW w:w="1320" w:type="dxa"/>
            <w:tcBorders>
              <w:top w:val="single" w:sz="8" w:space="0" w:color="000000"/>
            </w:tcBorders>
          </w:tcPr>
          <w:p>
            <w:pPr>
              <w:pStyle w:val="TableParagraph"/>
              <w:spacing w:line="287" w:lineRule="exact"/>
              <w:ind w:left="265"/>
              <w:rPr>
                <w:rFonts w:ascii="微软雅黑" w:eastAsia="微软雅黑" w:hint="eastAsia"/>
                <w:b/>
                <w:sz w:val="21"/>
              </w:rPr>
            </w:pPr>
            <w:r>
              <w:rPr>
                <w:rFonts w:ascii="微软雅黑" w:eastAsia="微软雅黑" w:hint="eastAsia"/>
                <w:b/>
                <w:sz w:val="21"/>
              </w:rPr>
              <w:t>现金价值</w:t>
            </w:r>
          </w:p>
        </w:tc>
        <w:tc>
          <w:tcPr>
            <w:tcW w:w="7605" w:type="dxa"/>
            <w:tcBorders>
              <w:top w:val="single" w:sz="8" w:space="0" w:color="000000"/>
            </w:tcBorders>
          </w:tcPr>
          <w:p>
            <w:pPr>
              <w:pStyle w:val="TableParagraph"/>
              <w:spacing w:line="273" w:lineRule="auto"/>
              <w:ind w:left="210" w:right="100" w:firstLine="420"/>
              <w:jc w:val="both"/>
              <w:rPr>
                <w:sz w:val="21"/>
              </w:rPr>
            </w:pPr>
            <w:r>
              <w:rPr>
                <w:spacing w:val="-7"/>
                <w:sz w:val="21"/>
              </w:rPr>
              <w:t>指保险单所具有的价值，通常体现为解除合同时，根据精算原理计算的，由</w:t>
            </w:r>
            <w:r>
              <w:rPr>
                <w:spacing w:val="-9"/>
                <w:sz w:val="21"/>
              </w:rPr>
              <w:t>本公司退还的那部分金额。保单年度末的现金价值金额在现金价值表上载明，保</w:t>
            </w:r>
            <w:r>
              <w:rPr>
                <w:spacing w:val="-5"/>
                <w:sz w:val="21"/>
              </w:rPr>
              <w:t>单年度之内的现金价值金额您可以向我们查询。</w:t>
            </w:r>
          </w:p>
          <w:p>
            <w:pPr>
              <w:pStyle w:val="TableParagraph"/>
              <w:spacing w:line="312" w:lineRule="exact" w:before="16"/>
              <w:ind w:left="210" w:right="100" w:firstLine="423"/>
              <w:jc w:val="both"/>
              <w:rPr>
                <w:sz w:val="21"/>
              </w:rPr>
            </w:pPr>
            <w:r>
              <w:rPr>
                <w:rFonts w:ascii="微软雅黑" w:eastAsia="微软雅黑" w:hint="eastAsia"/>
                <w:b/>
                <w:sz w:val="21"/>
              </w:rPr>
              <w:t>保单年度</w:t>
            </w:r>
            <w:r>
              <w:rPr>
                <w:spacing w:val="-9"/>
                <w:sz w:val="21"/>
              </w:rPr>
              <w:t>：从保单生效日或保单生效对应日零时起至下一年度保单生效对应</w:t>
            </w:r>
            <w:r>
              <w:rPr>
                <w:spacing w:val="-5"/>
                <w:sz w:val="21"/>
              </w:rPr>
              <w:t>日零时止为一个保单年度。</w:t>
            </w:r>
          </w:p>
        </w:tc>
      </w:tr>
      <w:tr>
        <w:trPr>
          <w:trHeight w:val="1042" w:hRule="atLeast"/>
        </w:trPr>
        <w:tc>
          <w:tcPr>
            <w:tcW w:w="731" w:type="dxa"/>
          </w:tcPr>
          <w:p>
            <w:pPr>
              <w:pStyle w:val="TableParagraph"/>
              <w:spacing w:before="80"/>
              <w:ind w:left="107"/>
              <w:rPr>
                <w:rFonts w:ascii="微软雅黑"/>
                <w:b/>
                <w:sz w:val="21"/>
              </w:rPr>
            </w:pPr>
            <w:r>
              <w:rPr>
                <w:rFonts w:ascii="微软雅黑"/>
                <w:b/>
                <w:sz w:val="21"/>
              </w:rPr>
              <w:t>5.2</w:t>
            </w:r>
          </w:p>
        </w:tc>
        <w:tc>
          <w:tcPr>
            <w:tcW w:w="1320" w:type="dxa"/>
          </w:tcPr>
          <w:p>
            <w:pPr>
              <w:pStyle w:val="TableParagraph"/>
              <w:spacing w:before="80"/>
              <w:ind w:left="265"/>
              <w:rPr>
                <w:rFonts w:ascii="微软雅黑" w:eastAsia="微软雅黑" w:hint="eastAsia"/>
                <w:b/>
                <w:sz w:val="21"/>
              </w:rPr>
            </w:pPr>
            <w:r>
              <w:rPr>
                <w:rFonts w:ascii="微软雅黑" w:eastAsia="微软雅黑" w:hint="eastAsia"/>
                <w:b/>
                <w:sz w:val="21"/>
              </w:rPr>
              <w:t>认可医院</w:t>
            </w:r>
          </w:p>
        </w:tc>
        <w:tc>
          <w:tcPr>
            <w:tcW w:w="7605" w:type="dxa"/>
          </w:tcPr>
          <w:p>
            <w:pPr>
              <w:pStyle w:val="TableParagraph"/>
              <w:spacing w:line="273" w:lineRule="auto" w:before="142"/>
              <w:ind w:left="210" w:right="102" w:firstLine="420"/>
              <w:rPr>
                <w:sz w:val="21"/>
              </w:rPr>
            </w:pPr>
            <w:r>
              <w:rPr>
                <w:spacing w:val="-8"/>
                <w:sz w:val="21"/>
              </w:rPr>
              <w:t>指二级及以上非盈利性医院、二级及以上社保定点医院或本公司认可的其他</w:t>
            </w:r>
            <w:r>
              <w:rPr>
                <w:spacing w:val="-5"/>
                <w:sz w:val="21"/>
              </w:rPr>
              <w:t>医院。具体可咨询本公司全国客户服务电话或登陆本公司主页</w:t>
            </w:r>
          </w:p>
          <w:p>
            <w:pPr>
              <w:pStyle w:val="TableParagraph"/>
              <w:spacing w:line="255" w:lineRule="exact" w:before="7"/>
              <w:ind w:left="210"/>
              <w:rPr>
                <w:sz w:val="21"/>
              </w:rPr>
            </w:pPr>
            <w:hyperlink r:id="rId10">
              <w:r>
                <w:rPr>
                  <w:sz w:val="21"/>
                </w:rPr>
                <w:t>（www.tianan-life.com</w:t>
              </w:r>
            </w:hyperlink>
            <w:r>
              <w:rPr>
                <w:sz w:val="21"/>
              </w:rPr>
              <w:t>）查询。</w:t>
            </w:r>
          </w:p>
        </w:tc>
      </w:tr>
    </w:tbl>
    <w:p>
      <w:pPr>
        <w:spacing w:after="0" w:line="255" w:lineRule="exact"/>
        <w:rPr>
          <w:sz w:val="21"/>
        </w:rPr>
        <w:sectPr>
          <w:pgSz w:w="11910" w:h="16840"/>
          <w:pgMar w:header="857" w:footer="992" w:top="1040" w:bottom="1180" w:left="1020" w:right="1020"/>
        </w:sectPr>
      </w:pPr>
    </w:p>
    <w:p>
      <w:pPr>
        <w:pStyle w:val="BodyText"/>
        <w:spacing w:before="6"/>
        <w:rPr>
          <w:rFonts w:ascii="Times New Roman"/>
          <w:sz w:val="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
        <w:gridCol w:w="1234"/>
        <w:gridCol w:w="7502"/>
      </w:tblGrid>
      <w:tr>
        <w:trPr>
          <w:trHeight w:val="2620" w:hRule="atLeast"/>
        </w:trPr>
        <w:tc>
          <w:tcPr>
            <w:tcW w:w="908" w:type="dxa"/>
            <w:tcBorders>
              <w:top w:val="single" w:sz="18" w:space="0" w:color="000000"/>
            </w:tcBorders>
          </w:tcPr>
          <w:p>
            <w:pPr>
              <w:pStyle w:val="TableParagraph"/>
              <w:spacing w:before="8"/>
              <w:rPr>
                <w:rFonts w:ascii="Times New Roman"/>
                <w:sz w:val="17"/>
              </w:rPr>
            </w:pPr>
          </w:p>
          <w:p>
            <w:pPr>
              <w:pStyle w:val="TableParagraph"/>
              <w:spacing w:before="1"/>
              <w:ind w:left="200"/>
              <w:rPr>
                <w:rFonts w:ascii="微软雅黑"/>
                <w:b/>
                <w:sz w:val="21"/>
              </w:rPr>
            </w:pPr>
            <w:r>
              <w:rPr>
                <w:rFonts w:ascii="微软雅黑"/>
                <w:b/>
                <w:sz w:val="21"/>
              </w:rPr>
              <w:t>5.3</w:t>
            </w:r>
          </w:p>
        </w:tc>
        <w:tc>
          <w:tcPr>
            <w:tcW w:w="1234" w:type="dxa"/>
            <w:tcBorders>
              <w:top w:val="single" w:sz="18" w:space="0" w:color="000000"/>
            </w:tcBorders>
          </w:tcPr>
          <w:p>
            <w:pPr>
              <w:pStyle w:val="TableParagraph"/>
              <w:spacing w:before="8"/>
              <w:rPr>
                <w:rFonts w:ascii="Times New Roman"/>
                <w:sz w:val="17"/>
              </w:rPr>
            </w:pPr>
          </w:p>
          <w:p>
            <w:pPr>
              <w:pStyle w:val="TableParagraph"/>
              <w:spacing w:before="1"/>
              <w:ind w:left="164" w:right="190"/>
              <w:jc w:val="center"/>
              <w:rPr>
                <w:rFonts w:ascii="微软雅黑" w:eastAsia="微软雅黑" w:hint="eastAsia"/>
                <w:b/>
                <w:sz w:val="21"/>
              </w:rPr>
            </w:pPr>
            <w:r>
              <w:rPr>
                <w:rFonts w:ascii="微软雅黑" w:eastAsia="微软雅黑" w:hint="eastAsia"/>
                <w:b/>
                <w:sz w:val="21"/>
              </w:rPr>
              <w:t>专科医生</w:t>
            </w:r>
          </w:p>
        </w:tc>
        <w:tc>
          <w:tcPr>
            <w:tcW w:w="7502" w:type="dxa"/>
            <w:tcBorders>
              <w:top w:val="single" w:sz="18" w:space="0" w:color="000000"/>
            </w:tcBorders>
          </w:tcPr>
          <w:p>
            <w:pPr>
              <w:pStyle w:val="TableParagraph"/>
              <w:spacing w:before="2"/>
              <w:rPr>
                <w:rFonts w:ascii="Times New Roman"/>
                <w:sz w:val="23"/>
              </w:rPr>
            </w:pPr>
          </w:p>
          <w:p>
            <w:pPr>
              <w:pStyle w:val="TableParagraph"/>
              <w:ind w:left="631"/>
              <w:rPr>
                <w:sz w:val="21"/>
              </w:rPr>
            </w:pPr>
            <w:r>
              <w:rPr>
                <w:sz w:val="21"/>
              </w:rPr>
              <w:t>专科医生应当同时满足以下四项资格条件：</w:t>
            </w:r>
          </w:p>
          <w:p>
            <w:pPr>
              <w:pStyle w:val="TableParagraph"/>
              <w:spacing w:before="37"/>
              <w:ind w:left="651"/>
              <w:rPr>
                <w:sz w:val="21"/>
              </w:rPr>
            </w:pPr>
            <w:r>
              <w:rPr>
                <w:sz w:val="21"/>
              </w:rPr>
              <w:t>1.具有有效的中华人民共和国《医师资格证书》；</w:t>
            </w:r>
          </w:p>
          <w:p>
            <w:pPr>
              <w:pStyle w:val="TableParagraph"/>
              <w:spacing w:line="273" w:lineRule="auto" w:before="37"/>
              <w:ind w:left="651" w:right="-15"/>
              <w:rPr>
                <w:sz w:val="21"/>
              </w:rPr>
            </w:pPr>
            <w:r>
              <w:rPr>
                <w:sz w:val="21"/>
              </w:rPr>
              <w:t>2.</w:t>
            </w:r>
            <w:r>
              <w:rPr>
                <w:spacing w:val="-9"/>
                <w:sz w:val="21"/>
              </w:rPr>
              <w:t>具有有效的中华人民共和国《医师执业证书》，并按期到相关部门登记注册；</w:t>
            </w:r>
          </w:p>
          <w:p>
            <w:pPr>
              <w:pStyle w:val="TableParagraph"/>
              <w:spacing w:line="273" w:lineRule="auto" w:before="7"/>
              <w:ind w:left="211" w:right="-15" w:firstLine="420"/>
              <w:rPr>
                <w:sz w:val="21"/>
              </w:rPr>
            </w:pPr>
            <w:r>
              <w:rPr>
                <w:sz w:val="21"/>
              </w:rPr>
              <w:t>3.</w:t>
            </w:r>
            <w:r>
              <w:rPr>
                <w:spacing w:val="-6"/>
                <w:sz w:val="21"/>
              </w:rPr>
              <w:t>具有有效的中华人民共和国主治医师或主治医师以上职称的《医师职称证</w:t>
            </w:r>
            <w:r>
              <w:rPr>
                <w:spacing w:val="-38"/>
                <w:sz w:val="21"/>
              </w:rPr>
              <w:t>书》；</w:t>
            </w:r>
          </w:p>
          <w:p>
            <w:pPr>
              <w:pStyle w:val="TableParagraph"/>
              <w:spacing w:before="7"/>
              <w:ind w:left="631"/>
              <w:rPr>
                <w:sz w:val="21"/>
              </w:rPr>
            </w:pPr>
            <w:r>
              <w:rPr>
                <w:sz w:val="21"/>
              </w:rPr>
              <w:t>4.在二级或二级以上医院的相应科室从事临床工作三年以上。</w:t>
            </w:r>
          </w:p>
        </w:tc>
      </w:tr>
      <w:tr>
        <w:trPr>
          <w:trHeight w:val="1237" w:hRule="atLeast"/>
        </w:trPr>
        <w:tc>
          <w:tcPr>
            <w:tcW w:w="908" w:type="dxa"/>
          </w:tcPr>
          <w:p>
            <w:pPr>
              <w:pStyle w:val="TableParagraph"/>
              <w:spacing w:before="80"/>
              <w:ind w:left="200"/>
              <w:rPr>
                <w:rFonts w:ascii="微软雅黑"/>
                <w:b/>
                <w:sz w:val="21"/>
              </w:rPr>
            </w:pPr>
            <w:r>
              <w:rPr>
                <w:rFonts w:ascii="微软雅黑"/>
                <w:b/>
                <w:sz w:val="21"/>
              </w:rPr>
              <w:t>5.4</w:t>
            </w:r>
          </w:p>
        </w:tc>
        <w:tc>
          <w:tcPr>
            <w:tcW w:w="1234" w:type="dxa"/>
          </w:tcPr>
          <w:p>
            <w:pPr>
              <w:pStyle w:val="TableParagraph"/>
              <w:spacing w:line="206" w:lineRule="auto" w:before="131"/>
              <w:ind w:left="180" w:right="206"/>
              <w:jc w:val="both"/>
              <w:rPr>
                <w:rFonts w:ascii="微软雅黑" w:eastAsia="微软雅黑" w:hint="eastAsia"/>
                <w:b/>
                <w:sz w:val="21"/>
              </w:rPr>
            </w:pPr>
            <w:r>
              <w:rPr>
                <w:rFonts w:ascii="微软雅黑" w:eastAsia="微软雅黑" w:hint="eastAsia"/>
                <w:b/>
                <w:sz w:val="21"/>
              </w:rPr>
              <w:t>本合同所指的重大疾病</w:t>
            </w:r>
          </w:p>
        </w:tc>
        <w:tc>
          <w:tcPr>
            <w:tcW w:w="7502" w:type="dxa"/>
          </w:tcPr>
          <w:p>
            <w:pPr>
              <w:pStyle w:val="TableParagraph"/>
              <w:spacing w:before="142"/>
              <w:ind w:left="631"/>
              <w:rPr>
                <w:sz w:val="21"/>
              </w:rPr>
            </w:pPr>
            <w:r>
              <w:rPr>
                <w:sz w:val="21"/>
              </w:rPr>
              <w:t>本合同所指的重大疾病，是指符合下列定义的疾病、疾病状态或手术：</w:t>
            </w:r>
          </w:p>
        </w:tc>
      </w:tr>
      <w:tr>
        <w:trPr>
          <w:trHeight w:val="3953" w:hRule="atLeast"/>
        </w:trPr>
        <w:tc>
          <w:tcPr>
            <w:tcW w:w="908" w:type="dxa"/>
          </w:tcPr>
          <w:p>
            <w:pPr>
              <w:pStyle w:val="TableParagraph"/>
              <w:spacing w:before="91"/>
              <w:ind w:left="200"/>
              <w:rPr>
                <w:rFonts w:ascii="微软雅黑"/>
                <w:b/>
                <w:sz w:val="21"/>
              </w:rPr>
            </w:pPr>
            <w:r>
              <w:rPr>
                <w:rFonts w:ascii="微软雅黑"/>
                <w:b/>
                <w:w w:val="105"/>
                <w:sz w:val="21"/>
              </w:rPr>
              <w:t>5.4.1</w:t>
            </w:r>
          </w:p>
        </w:tc>
        <w:tc>
          <w:tcPr>
            <w:tcW w:w="1234" w:type="dxa"/>
          </w:tcPr>
          <w:p>
            <w:pPr>
              <w:pStyle w:val="TableParagraph"/>
              <w:spacing w:before="91"/>
              <w:ind w:left="164" w:right="190"/>
              <w:jc w:val="center"/>
              <w:rPr>
                <w:rFonts w:ascii="微软雅黑" w:eastAsia="微软雅黑" w:hint="eastAsia"/>
                <w:b/>
                <w:sz w:val="21"/>
              </w:rPr>
            </w:pPr>
            <w:r>
              <w:rPr>
                <w:rFonts w:ascii="微软雅黑" w:eastAsia="微软雅黑" w:hint="eastAsia"/>
                <w:b/>
                <w:sz w:val="21"/>
              </w:rPr>
              <w:t>恶性肿瘤</w:t>
            </w:r>
          </w:p>
        </w:tc>
        <w:tc>
          <w:tcPr>
            <w:tcW w:w="7502" w:type="dxa"/>
          </w:tcPr>
          <w:p>
            <w:pPr>
              <w:pStyle w:val="TableParagraph"/>
              <w:spacing w:line="237" w:lineRule="auto" w:before="135"/>
              <w:ind w:left="211" w:firstLine="420"/>
              <w:jc w:val="both"/>
              <w:rPr>
                <w:sz w:val="21"/>
              </w:rPr>
            </w:pPr>
            <w:r>
              <w:rPr>
                <w:spacing w:val="-6"/>
                <w:sz w:val="21"/>
              </w:rPr>
              <w:t>指恶性细胞不受控制的进行性增长和扩散，浸润和破坏周围正常组织，可以</w:t>
            </w:r>
            <w:r>
              <w:rPr>
                <w:spacing w:val="-9"/>
                <w:sz w:val="21"/>
              </w:rPr>
              <w:t>经血管、淋巴管和体腔扩散转移到身体其他部位的疾病。经病理学检查结果明确</w:t>
            </w:r>
            <w:r>
              <w:rPr>
                <w:spacing w:val="-5"/>
                <w:sz w:val="21"/>
              </w:rPr>
              <w:t>诊断，临床诊断属于世界卫生组织《疾病和有关健康问题的国际统计分类》</w:t>
            </w:r>
          </w:p>
          <w:p>
            <w:pPr>
              <w:pStyle w:val="TableParagraph"/>
              <w:spacing w:line="271" w:lineRule="exact"/>
              <w:ind w:left="211"/>
              <w:rPr>
                <w:sz w:val="21"/>
              </w:rPr>
            </w:pPr>
            <w:r>
              <w:rPr>
                <w:sz w:val="21"/>
              </w:rPr>
              <w:t>（ICD-10）的恶性肿瘤范畴。</w:t>
            </w:r>
          </w:p>
          <w:p>
            <w:pPr>
              <w:pStyle w:val="TableParagraph"/>
              <w:spacing w:before="44"/>
              <w:ind w:left="631"/>
              <w:rPr>
                <w:sz w:val="21"/>
              </w:rPr>
            </w:pPr>
            <w:r>
              <w:rPr>
                <w:sz w:val="21"/>
              </w:rPr>
              <w:t>下列疾病不在本项保障范围内：</w:t>
            </w:r>
          </w:p>
          <w:p>
            <w:pPr>
              <w:pStyle w:val="TableParagraph"/>
              <w:spacing w:before="44"/>
              <w:ind w:left="631"/>
              <w:rPr>
                <w:sz w:val="21"/>
              </w:rPr>
            </w:pPr>
            <w:r>
              <w:rPr>
                <w:sz w:val="21"/>
              </w:rPr>
              <w:t>(1)原位癌；</w:t>
            </w:r>
          </w:p>
          <w:p>
            <w:pPr>
              <w:pStyle w:val="TableParagraph"/>
              <w:spacing w:before="44"/>
              <w:ind w:left="631"/>
              <w:rPr>
                <w:sz w:val="21"/>
              </w:rPr>
            </w:pPr>
            <w:r>
              <w:rPr>
                <w:sz w:val="21"/>
              </w:rPr>
              <w:t>(2)相当于 Binet 分期方案 A 期程度的慢性淋巴细胞白血病；</w:t>
            </w:r>
          </w:p>
          <w:p>
            <w:pPr>
              <w:pStyle w:val="TableParagraph"/>
              <w:spacing w:before="46"/>
              <w:ind w:left="631"/>
              <w:rPr>
                <w:sz w:val="21"/>
              </w:rPr>
            </w:pPr>
            <w:r>
              <w:rPr>
                <w:sz w:val="21"/>
              </w:rPr>
              <w:t>(3)相当于 Ann Arbor 分期方案 I 期程度的何杰金氏病；</w:t>
            </w:r>
          </w:p>
          <w:p>
            <w:pPr>
              <w:pStyle w:val="TableParagraph"/>
              <w:spacing w:before="44"/>
              <w:ind w:left="631"/>
              <w:rPr>
                <w:sz w:val="21"/>
              </w:rPr>
            </w:pPr>
            <w:r>
              <w:rPr>
                <w:sz w:val="21"/>
              </w:rPr>
              <w:t>(4)皮肤癌（不包括恶性黑色素瘤及已发Th转移的皮肤癌）；</w:t>
            </w:r>
          </w:p>
          <w:p>
            <w:pPr>
              <w:pStyle w:val="TableParagraph"/>
              <w:spacing w:line="231" w:lineRule="exact" w:before="44"/>
              <w:ind w:left="631"/>
              <w:rPr>
                <w:sz w:val="21"/>
              </w:rPr>
            </w:pPr>
            <w:r>
              <w:rPr>
                <w:sz w:val="21"/>
              </w:rPr>
              <w:t>(5)TNM</w:t>
            </w:r>
            <w:r>
              <w:rPr>
                <w:spacing w:val="-20"/>
                <w:sz w:val="21"/>
              </w:rPr>
              <w:t> 分期为 </w:t>
            </w:r>
            <w:r>
              <w:rPr>
                <w:sz w:val="21"/>
              </w:rPr>
              <w:t>T N M</w:t>
            </w:r>
            <w:r>
              <w:rPr>
                <w:spacing w:val="-5"/>
                <w:sz w:val="21"/>
              </w:rPr>
              <w:t> 期或更轻分期的前列腺癌</w:t>
            </w:r>
            <w:r>
              <w:rPr>
                <w:sz w:val="21"/>
              </w:rPr>
              <w:t>（</w:t>
            </w:r>
            <w:r>
              <w:rPr>
                <w:spacing w:val="-3"/>
                <w:sz w:val="21"/>
              </w:rPr>
              <w:t>如为女性被保险人，则不</w:t>
            </w:r>
          </w:p>
          <w:p>
            <w:pPr>
              <w:pStyle w:val="TableParagraph"/>
              <w:spacing w:line="96" w:lineRule="exact"/>
              <w:ind w:left="2103"/>
              <w:rPr>
                <w:sz w:val="11"/>
              </w:rPr>
            </w:pPr>
            <w:r>
              <w:rPr>
                <w:sz w:val="11"/>
              </w:rPr>
              <w:t>1  0 0</w:t>
            </w:r>
          </w:p>
          <w:p>
            <w:pPr>
              <w:pStyle w:val="TableParagraph"/>
              <w:spacing w:line="270" w:lineRule="exact"/>
              <w:ind w:left="211"/>
              <w:rPr>
                <w:sz w:val="21"/>
              </w:rPr>
            </w:pPr>
            <w:r>
              <w:rPr>
                <w:sz w:val="21"/>
              </w:rPr>
              <w:t>包括此项）；</w:t>
            </w:r>
          </w:p>
          <w:p>
            <w:pPr>
              <w:pStyle w:val="TableParagraph"/>
              <w:spacing w:before="20"/>
              <w:ind w:left="631"/>
              <w:rPr>
                <w:sz w:val="21"/>
              </w:rPr>
            </w:pPr>
            <w:r>
              <w:rPr>
                <w:sz w:val="21"/>
              </w:rPr>
              <w:t>(6)感染艾滋病病毒或患艾滋病期间所患恶性肿瘤。</w:t>
            </w:r>
          </w:p>
        </w:tc>
      </w:tr>
      <w:tr>
        <w:trPr>
          <w:trHeight w:val="2581" w:hRule="atLeast"/>
        </w:trPr>
        <w:tc>
          <w:tcPr>
            <w:tcW w:w="908" w:type="dxa"/>
          </w:tcPr>
          <w:p>
            <w:pPr>
              <w:pStyle w:val="TableParagraph"/>
              <w:spacing w:before="91"/>
              <w:ind w:left="200"/>
              <w:rPr>
                <w:rFonts w:ascii="微软雅黑"/>
                <w:b/>
                <w:sz w:val="21"/>
              </w:rPr>
            </w:pPr>
            <w:r>
              <w:rPr>
                <w:rFonts w:ascii="微软雅黑"/>
                <w:b/>
                <w:w w:val="99"/>
                <w:sz w:val="21"/>
              </w:rPr>
              <w:t>5.4</w:t>
            </w:r>
            <w:r>
              <w:rPr>
                <w:rFonts w:ascii="微软雅黑"/>
                <w:b/>
                <w:w w:val="176"/>
                <w:sz w:val="21"/>
              </w:rPr>
              <w:t>.</w:t>
            </w:r>
            <w:r>
              <w:rPr>
                <w:rFonts w:ascii="微软雅黑"/>
                <w:b/>
                <w:w w:val="81"/>
                <w:sz w:val="21"/>
              </w:rPr>
              <w:t>2</w:t>
            </w:r>
          </w:p>
        </w:tc>
        <w:tc>
          <w:tcPr>
            <w:tcW w:w="1234" w:type="dxa"/>
          </w:tcPr>
          <w:p>
            <w:pPr>
              <w:pStyle w:val="TableParagraph"/>
              <w:spacing w:line="206" w:lineRule="auto" w:before="141"/>
              <w:ind w:left="180" w:right="206"/>
              <w:rPr>
                <w:rFonts w:ascii="微软雅黑" w:eastAsia="微软雅黑" w:hint="eastAsia"/>
                <w:b/>
                <w:sz w:val="21"/>
              </w:rPr>
            </w:pPr>
            <w:r>
              <w:rPr>
                <w:rFonts w:ascii="微软雅黑" w:eastAsia="微软雅黑" w:hint="eastAsia"/>
                <w:b/>
                <w:sz w:val="21"/>
              </w:rPr>
              <w:t>急性心肌梗塞</w:t>
            </w:r>
          </w:p>
        </w:tc>
        <w:tc>
          <w:tcPr>
            <w:tcW w:w="7502" w:type="dxa"/>
          </w:tcPr>
          <w:p>
            <w:pPr>
              <w:pStyle w:val="TableParagraph"/>
              <w:spacing w:before="132"/>
              <w:ind w:left="211" w:right="-15" w:firstLine="420"/>
              <w:rPr>
                <w:sz w:val="21"/>
              </w:rPr>
            </w:pPr>
            <w:r>
              <w:rPr>
                <w:spacing w:val="-6"/>
                <w:sz w:val="21"/>
              </w:rPr>
              <w:t>指因冠状动脉阻塞导致的相应区域供血不足造成部分心肌坏死。须满足下列</w:t>
            </w:r>
            <w:r>
              <w:rPr>
                <w:spacing w:val="-4"/>
                <w:sz w:val="21"/>
              </w:rPr>
              <w:t>至少三项条件：</w:t>
            </w:r>
          </w:p>
          <w:p>
            <w:pPr>
              <w:pStyle w:val="TableParagraph"/>
              <w:spacing w:line="269" w:lineRule="exact"/>
              <w:ind w:left="631"/>
              <w:rPr>
                <w:sz w:val="21"/>
              </w:rPr>
            </w:pPr>
            <w:r>
              <w:rPr>
                <w:sz w:val="21"/>
              </w:rPr>
              <w:t>（1）典型临床表现，例如急性胸痛等；</w:t>
            </w:r>
          </w:p>
          <w:p>
            <w:pPr>
              <w:pStyle w:val="TableParagraph"/>
              <w:spacing w:line="272" w:lineRule="exact"/>
              <w:ind w:left="631"/>
              <w:rPr>
                <w:sz w:val="21"/>
              </w:rPr>
            </w:pPr>
            <w:r>
              <w:rPr>
                <w:sz w:val="21"/>
              </w:rPr>
              <w:t>（2）新近的心电图改变提示急性心肌梗塞；</w:t>
            </w:r>
          </w:p>
          <w:p>
            <w:pPr>
              <w:pStyle w:val="TableParagraph"/>
              <w:spacing w:line="237" w:lineRule="auto" w:before="2"/>
              <w:ind w:left="211" w:right="39" w:firstLine="420"/>
              <w:rPr>
                <w:sz w:val="21"/>
              </w:rPr>
            </w:pPr>
            <w:r>
              <w:rPr>
                <w:sz w:val="21"/>
              </w:rPr>
              <w:t>（3）心肌酶或肌钙蛋白有诊断意义的升高，或呈符合急性心肌梗塞的动态性变化；</w:t>
            </w:r>
          </w:p>
          <w:p>
            <w:pPr>
              <w:pStyle w:val="TableParagraph"/>
              <w:spacing w:before="20"/>
              <w:ind w:left="631"/>
              <w:rPr>
                <w:sz w:val="21"/>
              </w:rPr>
            </w:pPr>
            <w:r>
              <w:rPr>
                <w:sz w:val="21"/>
              </w:rPr>
              <w:t>（4）发病 90 天后，经检查证实左心室功能降低，如左心室射血分数低于</w:t>
            </w:r>
          </w:p>
          <w:p>
            <w:pPr>
              <w:pStyle w:val="TableParagraph"/>
              <w:spacing w:before="37"/>
              <w:ind w:left="211"/>
              <w:rPr>
                <w:sz w:val="21"/>
              </w:rPr>
            </w:pPr>
            <w:r>
              <w:rPr>
                <w:sz w:val="21"/>
              </w:rPr>
              <w:t>50%。</w:t>
            </w:r>
          </w:p>
        </w:tc>
      </w:tr>
      <w:tr>
        <w:trPr>
          <w:trHeight w:val="3850" w:hRule="atLeast"/>
        </w:trPr>
        <w:tc>
          <w:tcPr>
            <w:tcW w:w="908" w:type="dxa"/>
          </w:tcPr>
          <w:p>
            <w:pPr>
              <w:pStyle w:val="TableParagraph"/>
              <w:spacing w:before="80"/>
              <w:ind w:left="200"/>
              <w:rPr>
                <w:rFonts w:ascii="微软雅黑"/>
                <w:b/>
                <w:sz w:val="21"/>
              </w:rPr>
            </w:pPr>
            <w:r>
              <w:rPr>
                <w:rFonts w:ascii="微软雅黑"/>
                <w:b/>
                <w:w w:val="105"/>
                <w:sz w:val="21"/>
              </w:rPr>
              <w:t>5.4.3</w:t>
            </w:r>
          </w:p>
        </w:tc>
        <w:tc>
          <w:tcPr>
            <w:tcW w:w="1234" w:type="dxa"/>
          </w:tcPr>
          <w:p>
            <w:pPr>
              <w:pStyle w:val="TableParagraph"/>
              <w:spacing w:line="206" w:lineRule="auto" w:before="131"/>
              <w:ind w:left="180" w:right="206"/>
              <w:rPr>
                <w:rFonts w:ascii="微软雅黑" w:eastAsia="微软雅黑" w:hint="eastAsia"/>
                <w:b/>
                <w:sz w:val="21"/>
              </w:rPr>
            </w:pPr>
            <w:r>
              <w:rPr>
                <w:rFonts w:ascii="微软雅黑" w:eastAsia="微软雅黑" w:hint="eastAsia"/>
                <w:b/>
                <w:sz w:val="21"/>
              </w:rPr>
              <w:t>脑中风后遗症</w:t>
            </w:r>
          </w:p>
        </w:tc>
        <w:tc>
          <w:tcPr>
            <w:tcW w:w="7502" w:type="dxa"/>
          </w:tcPr>
          <w:p>
            <w:pPr>
              <w:pStyle w:val="TableParagraph"/>
              <w:spacing w:line="273" w:lineRule="auto" w:before="143"/>
              <w:ind w:left="211" w:firstLine="420"/>
              <w:rPr>
                <w:sz w:val="21"/>
              </w:rPr>
            </w:pPr>
            <w:r>
              <w:rPr>
                <w:spacing w:val="-7"/>
                <w:sz w:val="21"/>
              </w:rPr>
              <w:t>指因脑血管的突发病变引起脑血管出血、栓塞或梗塞，并导致神经系统永久</w:t>
            </w:r>
            <w:r>
              <w:rPr>
                <w:spacing w:val="-5"/>
                <w:sz w:val="21"/>
              </w:rPr>
              <w:t>性的功能障碍。</w:t>
            </w:r>
          </w:p>
          <w:p>
            <w:pPr>
              <w:pStyle w:val="TableParagraph"/>
              <w:spacing w:line="273" w:lineRule="auto" w:before="8"/>
              <w:ind w:left="211" w:firstLine="420"/>
              <w:rPr>
                <w:sz w:val="21"/>
              </w:rPr>
            </w:pPr>
            <w:r>
              <w:rPr>
                <w:spacing w:val="-8"/>
                <w:sz w:val="21"/>
              </w:rPr>
              <w:t>神经系统永久性的功能障碍，指疾病确诊 </w:t>
            </w:r>
            <w:r>
              <w:rPr>
                <w:sz w:val="21"/>
              </w:rPr>
              <w:t>180</w:t>
            </w:r>
            <w:r>
              <w:rPr>
                <w:spacing w:val="-10"/>
                <w:sz w:val="21"/>
              </w:rPr>
              <w:t> 天后，仍遗留下列一种或一种</w:t>
            </w:r>
            <w:r>
              <w:rPr>
                <w:spacing w:val="-5"/>
                <w:sz w:val="21"/>
              </w:rPr>
              <w:t>以上障碍：</w:t>
            </w:r>
          </w:p>
          <w:p>
            <w:pPr>
              <w:pStyle w:val="TableParagraph"/>
              <w:spacing w:line="283" w:lineRule="exact"/>
              <w:ind w:left="631"/>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2" w:lineRule="exact"/>
              <w:ind w:left="631"/>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12" w:lineRule="exact" w:before="33"/>
              <w:ind w:left="211" w:right="3" w:firstLine="420"/>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TableParagraph"/>
              <w:spacing w:line="305" w:lineRule="exact"/>
              <w:ind w:left="634"/>
              <w:rPr>
                <w:sz w:val="21"/>
              </w:rPr>
            </w:pPr>
            <w:r>
              <w:rPr>
                <w:rFonts w:ascii="微软雅黑" w:eastAsia="微软雅黑" w:hint="eastAsia"/>
                <w:b/>
                <w:sz w:val="21"/>
              </w:rPr>
              <w:t>肢体机能完全丧失</w:t>
            </w:r>
            <w:r>
              <w:rPr>
                <w:spacing w:val="-10"/>
                <w:sz w:val="21"/>
              </w:rPr>
              <w:t>：指肢体的三大关节中的两大关节僵硬，或不能随意识活</w:t>
            </w:r>
          </w:p>
          <w:p>
            <w:pPr>
              <w:pStyle w:val="TableParagraph"/>
              <w:spacing w:line="223" w:lineRule="auto" w:before="31"/>
              <w:ind w:left="634" w:right="1402" w:hanging="423"/>
              <w:rPr>
                <w:rFonts w:ascii="微软雅黑" w:eastAsia="微软雅黑" w:hint="eastAsia"/>
                <w:b/>
                <w:sz w:val="21"/>
              </w:rPr>
            </w:pPr>
            <w:r>
              <w:rPr>
                <w:sz w:val="21"/>
              </w:rPr>
              <w:t>动。肢体是指包括肩关节的整个上肢或包括髋关节的整个下肢。</w:t>
            </w:r>
            <w:r>
              <w:rPr>
                <w:rFonts w:ascii="微软雅黑" w:eastAsia="微软雅黑" w:hint="eastAsia"/>
                <w:b/>
                <w:sz w:val="21"/>
              </w:rPr>
              <w:t>语言能力或咀嚼吞咽能力完全丧失：</w:t>
            </w:r>
          </w:p>
          <w:p>
            <w:pPr>
              <w:pStyle w:val="TableParagraph"/>
              <w:spacing w:line="255" w:lineRule="exact" w:before="11"/>
              <w:ind w:left="631"/>
              <w:rPr>
                <w:sz w:val="21"/>
              </w:rPr>
            </w:pPr>
            <w:r>
              <w:rPr>
                <w:spacing w:val="-6"/>
                <w:sz w:val="21"/>
              </w:rPr>
              <w:t>语言能力完全丧失，指无法发出四种语音</w:t>
            </w:r>
            <w:r>
              <w:rPr>
                <w:sz w:val="21"/>
              </w:rPr>
              <w:t>（</w:t>
            </w:r>
            <w:r>
              <w:rPr>
                <w:spacing w:val="-8"/>
                <w:sz w:val="21"/>
              </w:rPr>
              <w:t>包括口唇音、齿舌音、口盖音和</w:t>
            </w:r>
          </w:p>
        </w:tc>
      </w:tr>
    </w:tbl>
    <w:p>
      <w:pPr>
        <w:spacing w:after="0" w:line="255" w:lineRule="exact"/>
        <w:rPr>
          <w:sz w:val="21"/>
        </w:rPr>
        <w:sectPr>
          <w:pgSz w:w="11910" w:h="16840"/>
          <w:pgMar w:header="857" w:footer="992" w:top="1040" w:bottom="1180" w:left="920" w:right="1120"/>
        </w:sectPr>
      </w:pPr>
    </w:p>
    <w:p>
      <w:pPr>
        <w:pStyle w:val="BodyText"/>
        <w:spacing w:before="6"/>
        <w:rPr>
          <w:rFonts w:ascii="Times New Roman"/>
          <w:sz w:val="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
        <w:gridCol w:w="1338"/>
        <w:gridCol w:w="7702"/>
      </w:tblGrid>
      <w:tr>
        <w:trPr>
          <w:trHeight w:val="3514" w:hRule="atLeast"/>
        </w:trPr>
        <w:tc>
          <w:tcPr>
            <w:tcW w:w="908" w:type="dxa"/>
            <w:tcBorders>
              <w:top w:val="single" w:sz="18" w:space="0" w:color="000000"/>
            </w:tcBorders>
          </w:tcPr>
          <w:p>
            <w:pPr>
              <w:pStyle w:val="TableParagraph"/>
              <w:rPr>
                <w:rFonts w:ascii="Times New Roman"/>
                <w:sz w:val="20"/>
              </w:rPr>
            </w:pPr>
          </w:p>
        </w:tc>
        <w:tc>
          <w:tcPr>
            <w:tcW w:w="1338" w:type="dxa"/>
            <w:tcBorders>
              <w:top w:val="single" w:sz="18" w:space="0" w:color="000000"/>
            </w:tcBorders>
          </w:tcPr>
          <w:p>
            <w:pPr>
              <w:pStyle w:val="TableParagraph"/>
              <w:rPr>
                <w:rFonts w:ascii="Times New Roman"/>
                <w:sz w:val="20"/>
              </w:rPr>
            </w:pPr>
          </w:p>
        </w:tc>
        <w:tc>
          <w:tcPr>
            <w:tcW w:w="7702" w:type="dxa"/>
            <w:tcBorders>
              <w:top w:val="single" w:sz="18" w:space="0" w:color="000000"/>
            </w:tcBorders>
          </w:tcPr>
          <w:p>
            <w:pPr>
              <w:pStyle w:val="TableParagraph"/>
              <w:spacing w:before="2"/>
              <w:rPr>
                <w:rFonts w:ascii="Times New Roman"/>
                <w:sz w:val="23"/>
              </w:rPr>
            </w:pPr>
          </w:p>
          <w:p>
            <w:pPr>
              <w:pStyle w:val="TableParagraph"/>
              <w:spacing w:line="273" w:lineRule="auto"/>
              <w:ind w:left="527" w:right="197" w:hanging="421"/>
              <w:rPr>
                <w:sz w:val="21"/>
              </w:rPr>
            </w:pPr>
            <w:r>
              <w:rPr>
                <w:spacing w:val="-1"/>
                <w:sz w:val="21"/>
              </w:rPr>
              <w:t>喉头音</w:t>
            </w:r>
            <w:r>
              <w:rPr>
                <w:spacing w:val="-58"/>
                <w:sz w:val="21"/>
              </w:rPr>
              <w:t>）</w:t>
            </w:r>
            <w:r>
              <w:rPr>
                <w:spacing w:val="-13"/>
                <w:sz w:val="21"/>
              </w:rPr>
              <w:t>中的任何三种、或声带全部切除，或因大脑语言中枢受伤害而患失语症。</w:t>
            </w:r>
            <w:r>
              <w:rPr>
                <w:spacing w:val="-10"/>
                <w:sz w:val="21"/>
              </w:rPr>
              <w:t>咀嚼吞咽能力完全丧失，指因牙齿以外的原因导致器质障碍或机能障碍，以</w:t>
            </w:r>
          </w:p>
          <w:p>
            <w:pPr>
              <w:pStyle w:val="TableParagraph"/>
              <w:spacing w:line="223" w:lineRule="auto" w:before="26"/>
              <w:ind w:left="530" w:right="1707" w:hanging="423"/>
              <w:rPr>
                <w:sz w:val="21"/>
              </w:rPr>
            </w:pPr>
            <w:r>
              <w:rPr>
                <w:sz w:val="21"/>
              </w:rPr>
              <w:t>致不能作咀嚼吞咽运动，除流质食物外不能摄取或吞咽的状态。</w:t>
            </w:r>
            <w:r>
              <w:rPr>
                <w:rFonts w:ascii="微软雅黑" w:eastAsia="微软雅黑" w:hint="eastAsia"/>
                <w:b/>
                <w:sz w:val="21"/>
              </w:rPr>
              <w:t>六项基本日常生活活动</w:t>
            </w:r>
            <w:r>
              <w:rPr>
                <w:sz w:val="21"/>
              </w:rPr>
              <w:t>，指：</w:t>
            </w:r>
          </w:p>
          <w:p>
            <w:pPr>
              <w:pStyle w:val="TableParagraph"/>
              <w:spacing w:before="11"/>
              <w:ind w:left="527"/>
              <w:rPr>
                <w:sz w:val="21"/>
              </w:rPr>
            </w:pPr>
            <w:r>
              <w:rPr>
                <w:sz w:val="21"/>
              </w:rPr>
              <w:t>（1）穿衣：自己能够穿衣及脱衣；</w:t>
            </w:r>
          </w:p>
          <w:p>
            <w:pPr>
              <w:pStyle w:val="TableParagraph"/>
              <w:spacing w:before="37"/>
              <w:ind w:left="527"/>
              <w:rPr>
                <w:sz w:val="21"/>
              </w:rPr>
            </w:pPr>
            <w:r>
              <w:rPr>
                <w:sz w:val="21"/>
              </w:rPr>
              <w:t>（2）移动：自己从一个房间到另一个房间；</w:t>
            </w:r>
          </w:p>
          <w:p>
            <w:pPr>
              <w:pStyle w:val="TableParagraph"/>
              <w:spacing w:before="37"/>
              <w:ind w:left="527"/>
              <w:rPr>
                <w:sz w:val="21"/>
              </w:rPr>
            </w:pPr>
            <w:r>
              <w:rPr>
                <w:sz w:val="21"/>
              </w:rPr>
              <w:t>（3）行动：自己上下床或上下轮椅；</w:t>
            </w:r>
          </w:p>
          <w:p>
            <w:pPr>
              <w:pStyle w:val="TableParagraph"/>
              <w:spacing w:before="37"/>
              <w:ind w:left="527"/>
              <w:rPr>
                <w:sz w:val="21"/>
              </w:rPr>
            </w:pPr>
            <w:r>
              <w:rPr>
                <w:sz w:val="21"/>
              </w:rPr>
              <w:t>（4）如厕：自己控制进行大小便；</w:t>
            </w:r>
          </w:p>
          <w:p>
            <w:pPr>
              <w:pStyle w:val="TableParagraph"/>
              <w:spacing w:before="37"/>
              <w:ind w:left="527"/>
              <w:rPr>
                <w:sz w:val="21"/>
              </w:rPr>
            </w:pPr>
            <w:r>
              <w:rPr>
                <w:sz w:val="21"/>
              </w:rPr>
              <w:t>（5）进食：自己从已准备好的碗或碟中取食物放入口中；</w:t>
            </w:r>
          </w:p>
          <w:p>
            <w:pPr>
              <w:pStyle w:val="TableParagraph"/>
              <w:spacing w:before="15"/>
              <w:ind w:left="527"/>
              <w:rPr>
                <w:sz w:val="21"/>
              </w:rPr>
            </w:pPr>
            <w:r>
              <w:rPr>
                <w:sz w:val="21"/>
              </w:rPr>
              <w:t>（6）洗澡：自己进行淋浴或盆浴。</w:t>
            </w:r>
          </w:p>
        </w:tc>
      </w:tr>
      <w:tr>
        <w:trPr>
          <w:trHeight w:val="1674" w:hRule="atLeast"/>
        </w:trPr>
        <w:tc>
          <w:tcPr>
            <w:tcW w:w="908" w:type="dxa"/>
          </w:tcPr>
          <w:p>
            <w:pPr>
              <w:pStyle w:val="TableParagraph"/>
              <w:spacing w:before="81"/>
              <w:ind w:left="177" w:right="157"/>
              <w:jc w:val="center"/>
              <w:rPr>
                <w:rFonts w:ascii="微软雅黑"/>
                <w:b/>
                <w:sz w:val="21"/>
              </w:rPr>
            </w:pPr>
            <w:r>
              <w:rPr>
                <w:rFonts w:ascii="微软雅黑"/>
                <w:b/>
                <w:w w:val="105"/>
                <w:sz w:val="21"/>
              </w:rPr>
              <w:t>5.4.4</w:t>
            </w:r>
          </w:p>
        </w:tc>
        <w:tc>
          <w:tcPr>
            <w:tcW w:w="1338" w:type="dxa"/>
          </w:tcPr>
          <w:p>
            <w:pPr>
              <w:pStyle w:val="TableParagraph"/>
              <w:spacing w:line="206" w:lineRule="auto" w:before="132"/>
              <w:ind w:left="180" w:right="310"/>
              <w:jc w:val="both"/>
              <w:rPr>
                <w:rFonts w:ascii="微软雅黑" w:eastAsia="微软雅黑" w:hint="eastAsia"/>
                <w:b/>
                <w:sz w:val="21"/>
              </w:rPr>
            </w:pPr>
            <w:r>
              <w:rPr>
                <w:rFonts w:ascii="微软雅黑" w:eastAsia="微软雅黑" w:hint="eastAsia"/>
                <w:b/>
                <w:sz w:val="21"/>
              </w:rPr>
              <w:t>重大器官移植术或造血干细胞移植术</w:t>
            </w:r>
          </w:p>
        </w:tc>
        <w:tc>
          <w:tcPr>
            <w:tcW w:w="7702" w:type="dxa"/>
          </w:tcPr>
          <w:p>
            <w:pPr>
              <w:pStyle w:val="TableParagraph"/>
              <w:spacing w:before="122"/>
              <w:ind w:left="107" w:right="302" w:firstLine="420"/>
              <w:jc w:val="both"/>
              <w:rPr>
                <w:sz w:val="21"/>
              </w:rPr>
            </w:pPr>
            <w:r>
              <w:rPr>
                <w:spacing w:val="-8"/>
                <w:sz w:val="21"/>
              </w:rPr>
              <w:t>重大器官移植术，指因相应器官功能衰竭，已经实施了肾脏、肝脏、心脏或</w:t>
            </w:r>
            <w:r>
              <w:rPr>
                <w:spacing w:val="-5"/>
                <w:sz w:val="21"/>
              </w:rPr>
              <w:t>肺脏的异体移植手术。</w:t>
            </w:r>
          </w:p>
          <w:p>
            <w:pPr>
              <w:pStyle w:val="TableParagraph"/>
              <w:spacing w:line="237" w:lineRule="auto"/>
              <w:ind w:left="107" w:right="300" w:firstLine="420"/>
              <w:jc w:val="both"/>
              <w:rPr>
                <w:sz w:val="21"/>
              </w:rPr>
            </w:pPr>
            <w:r>
              <w:rPr>
                <w:spacing w:val="-8"/>
                <w:sz w:val="21"/>
              </w:rPr>
              <w:t>造血干细胞移植术，指因造血功能损害或造血系统恶性肿瘤，已经实施了造</w:t>
            </w:r>
            <w:r>
              <w:rPr>
                <w:spacing w:val="-11"/>
                <w:sz w:val="21"/>
              </w:rPr>
              <w:t>血干细胞</w:t>
            </w:r>
            <w:r>
              <w:rPr>
                <w:spacing w:val="-3"/>
                <w:sz w:val="21"/>
              </w:rPr>
              <w:t>（</w:t>
            </w:r>
            <w:r>
              <w:rPr>
                <w:spacing w:val="-5"/>
                <w:sz w:val="21"/>
              </w:rPr>
              <w:t>包括骨髓造血干细胞、外周血造血干细胞和脐血造血干细胞</w:t>
            </w:r>
            <w:r>
              <w:rPr>
                <w:spacing w:val="-22"/>
                <w:sz w:val="21"/>
              </w:rPr>
              <w:t>）</w:t>
            </w:r>
            <w:r>
              <w:rPr>
                <w:spacing w:val="-2"/>
                <w:sz w:val="21"/>
              </w:rPr>
              <w:t>的异体</w:t>
            </w:r>
            <w:r>
              <w:rPr>
                <w:spacing w:val="-3"/>
                <w:sz w:val="21"/>
              </w:rPr>
              <w:t>移植手术。</w:t>
            </w:r>
          </w:p>
        </w:tc>
      </w:tr>
      <w:tr>
        <w:trPr>
          <w:trHeight w:val="1874" w:hRule="atLeast"/>
        </w:trPr>
        <w:tc>
          <w:tcPr>
            <w:tcW w:w="908" w:type="dxa"/>
          </w:tcPr>
          <w:p>
            <w:pPr>
              <w:pStyle w:val="TableParagraph"/>
              <w:spacing w:before="82"/>
              <w:ind w:left="177" w:right="157"/>
              <w:jc w:val="center"/>
              <w:rPr>
                <w:rFonts w:ascii="微软雅黑"/>
                <w:b/>
                <w:sz w:val="21"/>
              </w:rPr>
            </w:pPr>
            <w:r>
              <w:rPr>
                <w:rFonts w:ascii="微软雅黑"/>
                <w:b/>
                <w:w w:val="105"/>
                <w:sz w:val="21"/>
              </w:rPr>
              <w:t>5.4.5</w:t>
            </w:r>
          </w:p>
        </w:tc>
        <w:tc>
          <w:tcPr>
            <w:tcW w:w="1338" w:type="dxa"/>
          </w:tcPr>
          <w:p>
            <w:pPr>
              <w:pStyle w:val="TableParagraph"/>
              <w:spacing w:line="206" w:lineRule="auto" w:before="133"/>
              <w:ind w:left="180" w:right="104"/>
              <w:rPr>
                <w:rFonts w:ascii="微软雅黑" w:eastAsia="微软雅黑" w:hint="eastAsia"/>
                <w:b/>
                <w:sz w:val="21"/>
              </w:rPr>
            </w:pPr>
            <w:r>
              <w:rPr>
                <w:rFonts w:ascii="微软雅黑" w:eastAsia="微软雅黑" w:hint="eastAsia"/>
                <w:b/>
                <w:sz w:val="21"/>
              </w:rPr>
              <w:t>冠 状 动 脉 搭桥术（或称 冠 状 动 脉 旁 路 移 植术）</w:t>
            </w:r>
          </w:p>
        </w:tc>
        <w:tc>
          <w:tcPr>
            <w:tcW w:w="7702" w:type="dxa"/>
          </w:tcPr>
          <w:p>
            <w:pPr>
              <w:pStyle w:val="TableParagraph"/>
              <w:spacing w:line="237" w:lineRule="auto" w:before="126"/>
              <w:ind w:left="107" w:right="300" w:firstLine="420"/>
              <w:jc w:val="both"/>
              <w:rPr>
                <w:sz w:val="21"/>
              </w:rPr>
            </w:pPr>
            <w:r>
              <w:rPr>
                <w:spacing w:val="-9"/>
                <w:sz w:val="21"/>
              </w:rPr>
              <w:t>指为治疗严重的冠心病，实际实施了开胸进行的冠状动脉血管旁路移植的手</w:t>
            </w:r>
            <w:r>
              <w:rPr>
                <w:spacing w:val="-10"/>
                <w:sz w:val="21"/>
              </w:rPr>
              <w:t>术。冠状动脉支架植入术、心导管球囊扩张术、激光射频技术及其他非开胸的介</w:t>
            </w:r>
            <w:r>
              <w:rPr>
                <w:spacing w:val="-5"/>
                <w:sz w:val="21"/>
              </w:rPr>
              <w:t>入手术、腔镜手术不在保障范围内。</w:t>
            </w:r>
          </w:p>
        </w:tc>
      </w:tr>
      <w:tr>
        <w:trPr>
          <w:trHeight w:val="1861" w:hRule="atLeast"/>
        </w:trPr>
        <w:tc>
          <w:tcPr>
            <w:tcW w:w="908" w:type="dxa"/>
          </w:tcPr>
          <w:p>
            <w:pPr>
              <w:pStyle w:val="TableParagraph"/>
              <w:spacing w:before="80"/>
              <w:ind w:left="177" w:right="157"/>
              <w:jc w:val="center"/>
              <w:rPr>
                <w:rFonts w:ascii="微软雅黑"/>
                <w:b/>
                <w:sz w:val="21"/>
              </w:rPr>
            </w:pPr>
            <w:r>
              <w:rPr>
                <w:rFonts w:ascii="微软雅黑"/>
                <w:b/>
                <w:w w:val="105"/>
                <w:sz w:val="21"/>
              </w:rPr>
              <w:t>5.4.6</w:t>
            </w:r>
          </w:p>
        </w:tc>
        <w:tc>
          <w:tcPr>
            <w:tcW w:w="1338" w:type="dxa"/>
          </w:tcPr>
          <w:p>
            <w:pPr>
              <w:pStyle w:val="TableParagraph"/>
              <w:spacing w:line="206" w:lineRule="auto" w:before="131"/>
              <w:ind w:left="180" w:right="104"/>
              <w:rPr>
                <w:rFonts w:ascii="微软雅黑" w:eastAsia="微软雅黑" w:hint="eastAsia"/>
                <w:b/>
                <w:sz w:val="21"/>
              </w:rPr>
            </w:pPr>
            <w:r>
              <w:rPr>
                <w:rFonts w:ascii="微软雅黑" w:eastAsia="微软雅黑" w:hint="eastAsia"/>
                <w:b/>
                <w:sz w:val="21"/>
              </w:rPr>
              <w:t>终 末 期 肾 病（或称慢性 肾 功 能 衰 竭 尿 毒 症期）</w:t>
            </w:r>
          </w:p>
        </w:tc>
        <w:tc>
          <w:tcPr>
            <w:tcW w:w="7702" w:type="dxa"/>
          </w:tcPr>
          <w:p>
            <w:pPr>
              <w:pStyle w:val="TableParagraph"/>
              <w:spacing w:before="143"/>
              <w:ind w:left="527"/>
              <w:rPr>
                <w:sz w:val="21"/>
              </w:rPr>
            </w:pPr>
            <w:r>
              <w:rPr>
                <w:sz w:val="21"/>
              </w:rPr>
              <w:t>指双肾功能慢性不可逆性衰竭，达到尿毒症期，经诊断后已经进行了至少</w:t>
            </w:r>
          </w:p>
          <w:p>
            <w:pPr>
              <w:pStyle w:val="TableParagraph"/>
              <w:spacing w:before="37"/>
              <w:ind w:left="107"/>
              <w:rPr>
                <w:sz w:val="21"/>
              </w:rPr>
            </w:pPr>
            <w:r>
              <w:rPr>
                <w:sz w:val="21"/>
              </w:rPr>
              <w:t>90 天的规律性透析治疗或实施了肾脏移植手术。</w:t>
            </w:r>
          </w:p>
        </w:tc>
      </w:tr>
      <w:tr>
        <w:trPr>
          <w:trHeight w:val="936" w:hRule="atLeast"/>
        </w:trPr>
        <w:tc>
          <w:tcPr>
            <w:tcW w:w="908" w:type="dxa"/>
          </w:tcPr>
          <w:p>
            <w:pPr>
              <w:pStyle w:val="TableParagraph"/>
              <w:spacing w:before="91"/>
              <w:ind w:left="177" w:right="157"/>
              <w:jc w:val="center"/>
              <w:rPr>
                <w:rFonts w:ascii="微软雅黑"/>
                <w:b/>
                <w:sz w:val="21"/>
              </w:rPr>
            </w:pPr>
            <w:r>
              <w:rPr>
                <w:rFonts w:ascii="微软雅黑"/>
                <w:b/>
                <w:w w:val="105"/>
                <w:sz w:val="21"/>
              </w:rPr>
              <w:t>5.4.7</w:t>
            </w:r>
          </w:p>
        </w:tc>
        <w:tc>
          <w:tcPr>
            <w:tcW w:w="1338" w:type="dxa"/>
          </w:tcPr>
          <w:p>
            <w:pPr>
              <w:pStyle w:val="TableParagraph"/>
              <w:spacing w:line="206" w:lineRule="auto" w:before="141"/>
              <w:ind w:left="180" w:right="310"/>
              <w:rPr>
                <w:rFonts w:ascii="微软雅黑" w:eastAsia="微软雅黑" w:hint="eastAsia"/>
                <w:b/>
                <w:sz w:val="21"/>
              </w:rPr>
            </w:pPr>
            <w:r>
              <w:rPr>
                <w:rFonts w:ascii="微软雅黑" w:eastAsia="微软雅黑" w:hint="eastAsia"/>
                <w:b/>
                <w:sz w:val="21"/>
              </w:rPr>
              <w:t>多个肢体缺失</w:t>
            </w:r>
          </w:p>
        </w:tc>
        <w:tc>
          <w:tcPr>
            <w:tcW w:w="7702" w:type="dxa"/>
          </w:tcPr>
          <w:p>
            <w:pPr>
              <w:pStyle w:val="TableParagraph"/>
              <w:spacing w:line="237" w:lineRule="auto" w:before="134"/>
              <w:ind w:left="107" w:right="231" w:firstLine="420"/>
              <w:rPr>
                <w:sz w:val="21"/>
              </w:rPr>
            </w:pPr>
            <w:r>
              <w:rPr>
                <w:sz w:val="21"/>
              </w:rPr>
              <w:t>指因疾病或意外伤害导致两个或两个以上肢体自腕关节或踝关节近端（靠近躯干端）以上完全性断离。</w:t>
            </w:r>
          </w:p>
        </w:tc>
      </w:tr>
      <w:tr>
        <w:trPr>
          <w:trHeight w:val="1955" w:hRule="atLeast"/>
        </w:trPr>
        <w:tc>
          <w:tcPr>
            <w:tcW w:w="908" w:type="dxa"/>
          </w:tcPr>
          <w:p>
            <w:pPr>
              <w:pStyle w:val="TableParagraph"/>
              <w:spacing w:before="91"/>
              <w:ind w:left="177" w:right="157"/>
              <w:jc w:val="center"/>
              <w:rPr>
                <w:rFonts w:ascii="微软雅黑"/>
                <w:b/>
                <w:sz w:val="21"/>
              </w:rPr>
            </w:pPr>
            <w:r>
              <w:rPr>
                <w:rFonts w:ascii="微软雅黑"/>
                <w:b/>
                <w:w w:val="105"/>
                <w:sz w:val="21"/>
              </w:rPr>
              <w:t>5.4.8</w:t>
            </w:r>
          </w:p>
        </w:tc>
        <w:tc>
          <w:tcPr>
            <w:tcW w:w="1338" w:type="dxa"/>
          </w:tcPr>
          <w:p>
            <w:pPr>
              <w:pStyle w:val="TableParagraph"/>
              <w:spacing w:line="206" w:lineRule="auto" w:before="141"/>
              <w:ind w:left="180" w:right="310"/>
              <w:jc w:val="both"/>
              <w:rPr>
                <w:rFonts w:ascii="微软雅黑" w:eastAsia="微软雅黑" w:hint="eastAsia"/>
                <w:b/>
                <w:sz w:val="21"/>
              </w:rPr>
            </w:pPr>
            <w:r>
              <w:rPr>
                <w:rFonts w:ascii="微软雅黑" w:eastAsia="微软雅黑" w:hint="eastAsia"/>
                <w:b/>
                <w:sz w:val="21"/>
              </w:rPr>
              <w:t>急性或亚急性重症肝炎</w:t>
            </w:r>
          </w:p>
        </w:tc>
        <w:tc>
          <w:tcPr>
            <w:tcW w:w="7702" w:type="dxa"/>
          </w:tcPr>
          <w:p>
            <w:pPr>
              <w:pStyle w:val="TableParagraph"/>
              <w:spacing w:line="237" w:lineRule="auto" w:before="134"/>
              <w:ind w:left="107" w:right="302" w:firstLine="439"/>
              <w:rPr>
                <w:sz w:val="21"/>
              </w:rPr>
            </w:pPr>
            <w:r>
              <w:rPr>
                <w:spacing w:val="-7"/>
                <w:sz w:val="21"/>
              </w:rPr>
              <w:t>指因肝炎病毒感染引起肝脏组织弥漫性坏死，导致急性肝功能衰竭，且经血</w:t>
            </w:r>
            <w:r>
              <w:rPr>
                <w:spacing w:val="-3"/>
                <w:sz w:val="21"/>
              </w:rPr>
              <w:t>清学或病毒学检查证实，并须满足下列全部条件：</w:t>
            </w:r>
          </w:p>
          <w:p>
            <w:pPr>
              <w:pStyle w:val="TableParagraph"/>
              <w:spacing w:line="272" w:lineRule="exact"/>
              <w:ind w:left="546"/>
              <w:rPr>
                <w:sz w:val="21"/>
              </w:rPr>
            </w:pPr>
            <w:r>
              <w:rPr>
                <w:sz w:val="21"/>
              </w:rPr>
              <w:t>（1）重度黄疸或黄疸迅速加重；</w:t>
            </w:r>
          </w:p>
          <w:p>
            <w:pPr>
              <w:pStyle w:val="TableParagraph"/>
              <w:spacing w:line="272" w:lineRule="exact"/>
              <w:ind w:left="546"/>
              <w:rPr>
                <w:sz w:val="21"/>
              </w:rPr>
            </w:pPr>
            <w:r>
              <w:rPr>
                <w:sz w:val="21"/>
              </w:rPr>
              <w:t>（2）肝性脑病；</w:t>
            </w:r>
          </w:p>
          <w:p>
            <w:pPr>
              <w:pStyle w:val="TableParagraph"/>
              <w:spacing w:line="272" w:lineRule="exact"/>
              <w:ind w:left="546"/>
              <w:rPr>
                <w:sz w:val="21"/>
              </w:rPr>
            </w:pPr>
            <w:r>
              <w:rPr>
                <w:sz w:val="21"/>
              </w:rPr>
              <w:t>（3）B 超或其他影像学检查显示肝脏体积急速萎缩；</w:t>
            </w:r>
          </w:p>
          <w:p>
            <w:pPr>
              <w:pStyle w:val="TableParagraph"/>
              <w:spacing w:line="273" w:lineRule="exact"/>
              <w:ind w:left="546"/>
              <w:rPr>
                <w:sz w:val="21"/>
              </w:rPr>
            </w:pPr>
            <w:r>
              <w:rPr>
                <w:sz w:val="21"/>
              </w:rPr>
              <w:t>（4）肝功能指标进行性恶化。</w:t>
            </w:r>
          </w:p>
        </w:tc>
      </w:tr>
      <w:tr>
        <w:trPr>
          <w:trHeight w:val="2030" w:hRule="atLeast"/>
        </w:trPr>
        <w:tc>
          <w:tcPr>
            <w:tcW w:w="908" w:type="dxa"/>
          </w:tcPr>
          <w:p>
            <w:pPr>
              <w:pStyle w:val="TableParagraph"/>
              <w:spacing w:before="82"/>
              <w:ind w:left="177" w:right="157"/>
              <w:jc w:val="center"/>
              <w:rPr>
                <w:rFonts w:ascii="微软雅黑"/>
                <w:b/>
                <w:sz w:val="21"/>
              </w:rPr>
            </w:pPr>
            <w:r>
              <w:rPr>
                <w:rFonts w:ascii="微软雅黑"/>
                <w:b/>
                <w:w w:val="105"/>
                <w:sz w:val="21"/>
              </w:rPr>
              <w:t>5.4.9</w:t>
            </w:r>
          </w:p>
        </w:tc>
        <w:tc>
          <w:tcPr>
            <w:tcW w:w="1338" w:type="dxa"/>
          </w:tcPr>
          <w:p>
            <w:pPr>
              <w:pStyle w:val="TableParagraph"/>
              <w:spacing w:line="206" w:lineRule="auto" w:before="133"/>
              <w:ind w:left="180" w:right="310"/>
              <w:rPr>
                <w:rFonts w:ascii="微软雅黑" w:eastAsia="微软雅黑" w:hint="eastAsia"/>
                <w:b/>
                <w:sz w:val="21"/>
              </w:rPr>
            </w:pPr>
            <w:r>
              <w:rPr>
                <w:rFonts w:ascii="微软雅黑" w:eastAsia="微软雅黑" w:hint="eastAsia"/>
                <w:b/>
                <w:sz w:val="21"/>
              </w:rPr>
              <w:t>良性脑肿瘤</w:t>
            </w:r>
          </w:p>
        </w:tc>
        <w:tc>
          <w:tcPr>
            <w:tcW w:w="7702" w:type="dxa"/>
          </w:tcPr>
          <w:p>
            <w:pPr>
              <w:pStyle w:val="TableParagraph"/>
              <w:spacing w:line="237" w:lineRule="auto" w:before="126"/>
              <w:ind w:left="107" w:right="300" w:firstLine="420"/>
              <w:jc w:val="both"/>
              <w:rPr>
                <w:sz w:val="21"/>
              </w:rPr>
            </w:pPr>
            <w:r>
              <w:rPr>
                <w:spacing w:val="-9"/>
                <w:sz w:val="21"/>
              </w:rPr>
              <w:t>指脑的良性肿瘤，已经引起颅内压增高，临床表现为视神经乳头水肿、精神</w:t>
            </w:r>
            <w:r>
              <w:rPr>
                <w:spacing w:val="-5"/>
                <w:w w:val="100"/>
                <w:sz w:val="21"/>
              </w:rPr>
              <w:t>症状、癫痫及运动感觉障碍等，并危及生命。须由头颅断层扫描</w:t>
            </w:r>
            <w:r>
              <w:rPr>
                <w:spacing w:val="-2"/>
                <w:w w:val="100"/>
                <w:sz w:val="21"/>
              </w:rPr>
              <w:t>（</w:t>
            </w:r>
            <w:r>
              <w:rPr>
                <w:w w:val="100"/>
                <w:sz w:val="21"/>
              </w:rPr>
              <w:t>CT</w:t>
            </w:r>
            <w:r>
              <w:rPr>
                <w:spacing w:val="-108"/>
                <w:w w:val="100"/>
                <w:sz w:val="21"/>
              </w:rPr>
              <w:t>）</w:t>
            </w:r>
            <w:r>
              <w:rPr>
                <w:spacing w:val="-3"/>
                <w:w w:val="100"/>
                <w:sz w:val="21"/>
              </w:rPr>
              <w:t>、核磁共</w:t>
            </w:r>
            <w:r>
              <w:rPr>
                <w:spacing w:val="-7"/>
                <w:sz w:val="21"/>
              </w:rPr>
              <w:t>振检查</w:t>
            </w:r>
            <w:r>
              <w:rPr>
                <w:spacing w:val="-4"/>
                <w:sz w:val="21"/>
              </w:rPr>
              <w:t>（MRI）</w:t>
            </w:r>
            <w:r>
              <w:rPr>
                <w:spacing w:val="-5"/>
                <w:sz w:val="21"/>
              </w:rPr>
              <w:t>或正电子发射断层扫描</w:t>
            </w:r>
            <w:r>
              <w:rPr>
                <w:spacing w:val="-4"/>
                <w:sz w:val="21"/>
              </w:rPr>
              <w:t>（PET）</w:t>
            </w:r>
            <w:r>
              <w:rPr>
                <w:spacing w:val="-5"/>
                <w:sz w:val="21"/>
              </w:rPr>
              <w:t>等影像学检查证实，并须满足下列</w:t>
            </w:r>
            <w:r>
              <w:rPr>
                <w:spacing w:val="-4"/>
                <w:sz w:val="21"/>
              </w:rPr>
              <w:t>至少一项条件：</w:t>
            </w:r>
          </w:p>
          <w:p>
            <w:pPr>
              <w:pStyle w:val="TableParagraph"/>
              <w:spacing w:line="271" w:lineRule="exact"/>
              <w:ind w:left="527"/>
              <w:rPr>
                <w:sz w:val="21"/>
              </w:rPr>
            </w:pPr>
            <w:r>
              <w:rPr>
                <w:sz w:val="21"/>
              </w:rPr>
              <w:t>（1）实际实施了开颅进行的脑肿瘤完全切除或部分切除的手术；</w:t>
            </w:r>
          </w:p>
          <w:p>
            <w:pPr>
              <w:pStyle w:val="TableParagraph"/>
              <w:spacing w:line="273" w:lineRule="exact"/>
              <w:ind w:left="527"/>
              <w:rPr>
                <w:sz w:val="21"/>
              </w:rPr>
            </w:pPr>
            <w:r>
              <w:rPr>
                <w:sz w:val="21"/>
              </w:rPr>
              <w:t>（2）实际实施了对脑肿瘤进行的放射治疗。</w:t>
            </w:r>
          </w:p>
          <w:p>
            <w:pPr>
              <w:pStyle w:val="TableParagraph"/>
              <w:spacing w:line="253" w:lineRule="exact"/>
              <w:ind w:left="527"/>
              <w:rPr>
                <w:sz w:val="21"/>
              </w:rPr>
            </w:pPr>
            <w:r>
              <w:rPr>
                <w:sz w:val="21"/>
              </w:rPr>
              <w:t>脑垂体瘤、脑囊肿、脑血管性疾病不在保障范围内。</w:t>
            </w:r>
          </w:p>
        </w:tc>
      </w:tr>
    </w:tbl>
    <w:p>
      <w:pPr>
        <w:spacing w:after="0" w:line="253" w:lineRule="exact"/>
        <w:rPr>
          <w:sz w:val="21"/>
        </w:rPr>
        <w:sectPr>
          <w:pgSz w:w="11910" w:h="16840"/>
          <w:pgMar w:header="857" w:footer="992" w:top="1040" w:bottom="1180" w:left="920" w:right="820"/>
        </w:sectPr>
      </w:pPr>
    </w:p>
    <w:p>
      <w:pPr>
        <w:pStyle w:val="BodyText"/>
        <w:spacing w:before="6"/>
        <w:rPr>
          <w:rFonts w:ascii="Times New Roman"/>
          <w:sz w:val="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181"/>
        <w:gridCol w:w="7805"/>
      </w:tblGrid>
      <w:tr>
        <w:trPr>
          <w:trHeight w:val="2308" w:hRule="atLeast"/>
        </w:trPr>
        <w:tc>
          <w:tcPr>
            <w:tcW w:w="962" w:type="dxa"/>
            <w:tcBorders>
              <w:top w:val="single" w:sz="18" w:space="0" w:color="000000"/>
            </w:tcBorders>
          </w:tcPr>
          <w:p>
            <w:pPr>
              <w:pStyle w:val="TableParagraph"/>
              <w:spacing w:before="8"/>
              <w:rPr>
                <w:rFonts w:ascii="Times New Roman"/>
                <w:sz w:val="17"/>
              </w:rPr>
            </w:pPr>
          </w:p>
          <w:p>
            <w:pPr>
              <w:pStyle w:val="TableParagraph"/>
              <w:spacing w:before="1"/>
              <w:ind w:left="178" w:right="105"/>
              <w:jc w:val="center"/>
              <w:rPr>
                <w:rFonts w:ascii="微软雅黑"/>
                <w:b/>
                <w:sz w:val="21"/>
              </w:rPr>
            </w:pPr>
            <w:r>
              <w:rPr>
                <w:rFonts w:ascii="微软雅黑"/>
                <w:b/>
                <w:sz w:val="21"/>
              </w:rPr>
              <w:t>5.4.10</w:t>
            </w:r>
          </w:p>
        </w:tc>
        <w:tc>
          <w:tcPr>
            <w:tcW w:w="1181" w:type="dxa"/>
            <w:tcBorders>
              <w:top w:val="single" w:sz="18" w:space="0" w:color="000000"/>
            </w:tcBorders>
          </w:tcPr>
          <w:p>
            <w:pPr>
              <w:pStyle w:val="TableParagraph"/>
              <w:spacing w:before="2"/>
              <w:rPr>
                <w:rFonts w:ascii="Times New Roman"/>
                <w:sz w:val="22"/>
              </w:rPr>
            </w:pPr>
          </w:p>
          <w:p>
            <w:pPr>
              <w:pStyle w:val="TableParagraph"/>
              <w:spacing w:line="206" w:lineRule="auto"/>
              <w:ind w:left="126" w:right="207"/>
              <w:jc w:val="both"/>
              <w:rPr>
                <w:rFonts w:ascii="微软雅黑" w:eastAsia="微软雅黑" w:hint="eastAsia"/>
                <w:b/>
                <w:sz w:val="21"/>
              </w:rPr>
            </w:pPr>
            <w:r>
              <w:rPr>
                <w:rFonts w:ascii="微软雅黑" w:eastAsia="微软雅黑" w:hint="eastAsia"/>
                <w:b/>
                <w:sz w:val="21"/>
              </w:rPr>
              <w:t>慢性肝功能衰竭失代偿期</w:t>
            </w:r>
          </w:p>
        </w:tc>
        <w:tc>
          <w:tcPr>
            <w:tcW w:w="7805" w:type="dxa"/>
            <w:tcBorders>
              <w:top w:val="single" w:sz="18" w:space="0" w:color="000000"/>
            </w:tcBorders>
          </w:tcPr>
          <w:p>
            <w:pPr>
              <w:pStyle w:val="TableParagraph"/>
              <w:spacing w:before="2"/>
              <w:rPr>
                <w:rFonts w:ascii="Times New Roman"/>
                <w:sz w:val="23"/>
              </w:rPr>
            </w:pPr>
          </w:p>
          <w:p>
            <w:pPr>
              <w:pStyle w:val="TableParagraph"/>
              <w:ind w:left="630"/>
              <w:rPr>
                <w:sz w:val="21"/>
              </w:rPr>
            </w:pPr>
            <w:r>
              <w:rPr>
                <w:sz w:val="21"/>
              </w:rPr>
              <w:t>指因慢性肝脏疾病导致肝功能衰竭。须满足下列全部条件：</w:t>
            </w:r>
          </w:p>
          <w:p>
            <w:pPr>
              <w:pStyle w:val="TableParagraph"/>
              <w:spacing w:before="37"/>
              <w:ind w:left="630"/>
              <w:rPr>
                <w:sz w:val="21"/>
              </w:rPr>
            </w:pPr>
            <w:r>
              <w:rPr>
                <w:sz w:val="21"/>
              </w:rPr>
              <w:t>（1）持续性黄疸；</w:t>
            </w:r>
          </w:p>
          <w:p>
            <w:pPr>
              <w:pStyle w:val="TableParagraph"/>
              <w:spacing w:before="37"/>
              <w:ind w:left="630"/>
              <w:rPr>
                <w:sz w:val="21"/>
              </w:rPr>
            </w:pPr>
            <w:r>
              <w:rPr>
                <w:sz w:val="21"/>
              </w:rPr>
              <w:t>（2）腹水；</w:t>
            </w:r>
          </w:p>
          <w:p>
            <w:pPr>
              <w:pStyle w:val="TableParagraph"/>
              <w:spacing w:before="37"/>
              <w:ind w:left="630"/>
              <w:rPr>
                <w:sz w:val="21"/>
              </w:rPr>
            </w:pPr>
            <w:r>
              <w:rPr>
                <w:sz w:val="21"/>
              </w:rPr>
              <w:t>（3）肝性脑病；</w:t>
            </w:r>
          </w:p>
          <w:p>
            <w:pPr>
              <w:pStyle w:val="TableParagraph"/>
              <w:spacing w:before="37"/>
              <w:ind w:left="630"/>
              <w:rPr>
                <w:sz w:val="21"/>
              </w:rPr>
            </w:pPr>
            <w:r>
              <w:rPr>
                <w:sz w:val="21"/>
              </w:rPr>
              <w:t>（4）充血性脾肿大伴脾功能亢进或食管胃底静脉曲张。</w:t>
            </w:r>
          </w:p>
          <w:p>
            <w:pPr>
              <w:pStyle w:val="TableParagraph"/>
              <w:spacing w:before="37"/>
              <w:ind w:left="630"/>
              <w:rPr>
                <w:sz w:val="21"/>
              </w:rPr>
            </w:pPr>
            <w:r>
              <w:rPr>
                <w:sz w:val="21"/>
              </w:rPr>
              <w:t>因酗酒或药物滥用导致的肝功能衰竭不在保障范围内。</w:t>
            </w:r>
          </w:p>
        </w:tc>
      </w:tr>
      <w:tr>
        <w:trPr>
          <w:trHeight w:val="2113" w:hRule="atLeast"/>
        </w:trPr>
        <w:tc>
          <w:tcPr>
            <w:tcW w:w="962" w:type="dxa"/>
          </w:tcPr>
          <w:p>
            <w:pPr>
              <w:pStyle w:val="TableParagraph"/>
              <w:spacing w:before="80"/>
              <w:ind w:left="178" w:right="105"/>
              <w:jc w:val="center"/>
              <w:rPr>
                <w:rFonts w:ascii="微软雅黑"/>
                <w:b/>
                <w:sz w:val="21"/>
              </w:rPr>
            </w:pPr>
            <w:r>
              <w:rPr>
                <w:rFonts w:ascii="微软雅黑"/>
                <w:b/>
                <w:sz w:val="21"/>
              </w:rPr>
              <w:t>5.4.11</w:t>
            </w:r>
          </w:p>
        </w:tc>
        <w:tc>
          <w:tcPr>
            <w:tcW w:w="1181" w:type="dxa"/>
          </w:tcPr>
          <w:p>
            <w:pPr>
              <w:pStyle w:val="TableParagraph"/>
              <w:spacing w:line="206" w:lineRule="auto" w:before="131"/>
              <w:ind w:left="126" w:right="207"/>
              <w:jc w:val="both"/>
              <w:rPr>
                <w:rFonts w:ascii="微软雅黑" w:eastAsia="微软雅黑" w:hint="eastAsia"/>
                <w:b/>
                <w:sz w:val="21"/>
              </w:rPr>
            </w:pPr>
            <w:r>
              <w:rPr>
                <w:rFonts w:ascii="微软雅黑" w:eastAsia="微软雅黑" w:hint="eastAsia"/>
                <w:b/>
                <w:sz w:val="21"/>
              </w:rPr>
              <w:t>脑炎后遗症或脑膜炎后遗症</w:t>
            </w:r>
          </w:p>
        </w:tc>
        <w:tc>
          <w:tcPr>
            <w:tcW w:w="7805" w:type="dxa"/>
          </w:tcPr>
          <w:p>
            <w:pPr>
              <w:pStyle w:val="TableParagraph"/>
              <w:spacing w:line="273" w:lineRule="auto" w:before="142"/>
              <w:ind w:left="210" w:right="242" w:firstLine="42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650"/>
              <w:rPr>
                <w:sz w:val="21"/>
              </w:rPr>
            </w:pPr>
            <w:r>
              <w:rPr>
                <w:sz w:val="21"/>
              </w:rPr>
              <w:t>（1）一肢或一肢以上肢体机能完全丧失；</w:t>
            </w:r>
          </w:p>
          <w:p>
            <w:pPr>
              <w:pStyle w:val="TableParagraph"/>
              <w:spacing w:before="37"/>
              <w:ind w:left="650"/>
              <w:rPr>
                <w:sz w:val="21"/>
              </w:rPr>
            </w:pPr>
            <w:r>
              <w:rPr>
                <w:sz w:val="21"/>
              </w:rPr>
              <w:t>（2）语言能力或咀嚼吞咽能力完全丧失；</w:t>
            </w:r>
          </w:p>
          <w:p>
            <w:pPr>
              <w:pStyle w:val="TableParagraph"/>
              <w:spacing w:line="237" w:lineRule="auto" w:before="19"/>
              <w:ind w:left="210" w:right="323" w:firstLine="439"/>
              <w:rPr>
                <w:sz w:val="21"/>
              </w:rPr>
            </w:pPr>
            <w:r>
              <w:rPr>
                <w:sz w:val="21"/>
              </w:rPr>
              <w:t>（3）自主生活能力完全丧失，无法独立完成六项基本日常生活活动中的三项或三项以上。</w:t>
            </w:r>
          </w:p>
        </w:tc>
      </w:tr>
      <w:tr>
        <w:trPr>
          <w:trHeight w:val="1551" w:hRule="atLeast"/>
        </w:trPr>
        <w:tc>
          <w:tcPr>
            <w:tcW w:w="962" w:type="dxa"/>
          </w:tcPr>
          <w:p>
            <w:pPr>
              <w:pStyle w:val="TableParagraph"/>
              <w:spacing w:before="71"/>
              <w:ind w:left="178" w:right="105"/>
              <w:jc w:val="center"/>
              <w:rPr>
                <w:rFonts w:ascii="微软雅黑"/>
                <w:b/>
                <w:sz w:val="21"/>
              </w:rPr>
            </w:pPr>
            <w:r>
              <w:rPr>
                <w:rFonts w:ascii="微软雅黑"/>
                <w:b/>
                <w:sz w:val="21"/>
              </w:rPr>
              <w:t>5.4.12</w:t>
            </w:r>
          </w:p>
        </w:tc>
        <w:tc>
          <w:tcPr>
            <w:tcW w:w="1181" w:type="dxa"/>
          </w:tcPr>
          <w:p>
            <w:pPr>
              <w:pStyle w:val="TableParagraph"/>
              <w:spacing w:before="71"/>
              <w:ind w:left="126"/>
              <w:rPr>
                <w:rFonts w:ascii="微软雅黑" w:eastAsia="微软雅黑" w:hint="eastAsia"/>
                <w:b/>
                <w:sz w:val="21"/>
              </w:rPr>
            </w:pPr>
            <w:r>
              <w:rPr>
                <w:rFonts w:ascii="微软雅黑" w:eastAsia="微软雅黑" w:hint="eastAsia"/>
                <w:b/>
                <w:sz w:val="21"/>
              </w:rPr>
              <w:t>深度昏迷</w:t>
            </w:r>
          </w:p>
        </w:tc>
        <w:tc>
          <w:tcPr>
            <w:tcW w:w="7805" w:type="dxa"/>
          </w:tcPr>
          <w:p>
            <w:pPr>
              <w:pStyle w:val="TableParagraph"/>
              <w:spacing w:line="273" w:lineRule="auto" w:before="134"/>
              <w:ind w:left="210" w:right="239" w:firstLine="420"/>
              <w:jc w:val="both"/>
              <w:rPr>
                <w:sz w:val="21"/>
              </w:rPr>
            </w:pPr>
            <w:r>
              <w:rPr>
                <w:sz w:val="21"/>
              </w:rPr>
              <w:t>指因疾病或意外伤害导致意识丧失,对外界刺激和体内需求均无反应,昏迷</w:t>
            </w:r>
            <w:r>
              <w:rPr>
                <w:spacing w:val="-3"/>
                <w:sz w:val="21"/>
              </w:rPr>
              <w:t>程度按照格拉斯哥昏迷分级</w:t>
            </w:r>
            <w:r>
              <w:rPr>
                <w:sz w:val="21"/>
              </w:rPr>
              <w:t>（Glasgow coma</w:t>
            </w:r>
            <w:r>
              <w:rPr>
                <w:spacing w:val="1"/>
                <w:sz w:val="21"/>
              </w:rPr>
              <w:t>  </w:t>
            </w:r>
            <w:r>
              <w:rPr>
                <w:sz w:val="21"/>
              </w:rPr>
              <w:t>scale）</w:t>
            </w:r>
            <w:r>
              <w:rPr>
                <w:spacing w:val="-15"/>
                <w:sz w:val="21"/>
              </w:rPr>
              <w:t>结果为 </w:t>
            </w:r>
            <w:r>
              <w:rPr>
                <w:sz w:val="21"/>
              </w:rPr>
              <w:t>5</w:t>
            </w:r>
            <w:r>
              <w:rPr>
                <w:spacing w:val="-28"/>
                <w:sz w:val="21"/>
              </w:rPr>
              <w:t> 分或 </w:t>
            </w:r>
            <w:r>
              <w:rPr>
                <w:sz w:val="21"/>
              </w:rPr>
              <w:t>5</w:t>
            </w:r>
            <w:r>
              <w:rPr>
                <w:spacing w:val="-12"/>
                <w:sz w:val="21"/>
              </w:rPr>
              <w:t> 分以下， </w:t>
            </w:r>
            <w:r>
              <w:rPr>
                <w:spacing w:val="-6"/>
                <w:sz w:val="21"/>
              </w:rPr>
              <w:t>且已经持续使用呼吸机及其他生命维持系统 </w:t>
            </w:r>
            <w:r>
              <w:rPr>
                <w:sz w:val="21"/>
              </w:rPr>
              <w:t>96 小时以上。</w:t>
            </w:r>
          </w:p>
          <w:p>
            <w:pPr>
              <w:pStyle w:val="TableParagraph"/>
              <w:spacing w:before="7"/>
              <w:ind w:left="1050"/>
              <w:rPr>
                <w:sz w:val="21"/>
              </w:rPr>
            </w:pPr>
            <w:r>
              <w:rPr>
                <w:sz w:val="21"/>
              </w:rPr>
              <w:t>因酗酒或药物滥用导致的深度昏迷不在保障范围内。</w:t>
            </w:r>
          </w:p>
        </w:tc>
      </w:tr>
      <w:tr>
        <w:trPr>
          <w:trHeight w:val="2496" w:hRule="atLeast"/>
        </w:trPr>
        <w:tc>
          <w:tcPr>
            <w:tcW w:w="962" w:type="dxa"/>
          </w:tcPr>
          <w:p>
            <w:pPr>
              <w:pStyle w:val="TableParagraph"/>
              <w:spacing w:before="80"/>
              <w:ind w:left="178" w:right="105"/>
              <w:jc w:val="center"/>
              <w:rPr>
                <w:rFonts w:ascii="微软雅黑"/>
                <w:b/>
                <w:sz w:val="21"/>
              </w:rPr>
            </w:pPr>
            <w:r>
              <w:rPr>
                <w:rFonts w:ascii="微软雅黑"/>
                <w:b/>
                <w:sz w:val="21"/>
              </w:rPr>
              <w:t>5.4.13</w:t>
            </w:r>
          </w:p>
        </w:tc>
        <w:tc>
          <w:tcPr>
            <w:tcW w:w="1181" w:type="dxa"/>
          </w:tcPr>
          <w:p>
            <w:pPr>
              <w:pStyle w:val="TableParagraph"/>
              <w:spacing w:before="80"/>
              <w:ind w:left="126"/>
              <w:rPr>
                <w:rFonts w:ascii="微软雅黑" w:eastAsia="微软雅黑" w:hint="eastAsia"/>
                <w:b/>
                <w:sz w:val="21"/>
              </w:rPr>
            </w:pPr>
            <w:r>
              <w:rPr>
                <w:rFonts w:ascii="微软雅黑" w:eastAsia="微软雅黑" w:hint="eastAsia"/>
                <w:b/>
                <w:sz w:val="21"/>
              </w:rPr>
              <w:t>双耳失聪</w:t>
            </w:r>
          </w:p>
        </w:tc>
        <w:tc>
          <w:tcPr>
            <w:tcW w:w="7805" w:type="dxa"/>
          </w:tcPr>
          <w:p>
            <w:pPr>
              <w:pStyle w:val="TableParagraph"/>
              <w:spacing w:before="80"/>
              <w:ind w:left="630"/>
              <w:rPr>
                <w:sz w:val="21"/>
              </w:rPr>
            </w:pPr>
            <w:r>
              <w:rPr>
                <w:sz w:val="21"/>
              </w:rPr>
              <w:t>指因疾病或意外伤害导致双耳听力</w:t>
            </w:r>
            <w:r>
              <w:rPr>
                <w:rFonts w:ascii="微软雅黑" w:eastAsia="微软雅黑" w:hint="eastAsia"/>
                <w:b/>
                <w:sz w:val="21"/>
              </w:rPr>
              <w:t>永久不可逆</w:t>
            </w:r>
            <w:r>
              <w:rPr>
                <w:sz w:val="21"/>
              </w:rPr>
              <w:t>性丧失，在 500 赫兹、1000</w:t>
            </w:r>
          </w:p>
          <w:p>
            <w:pPr>
              <w:pStyle w:val="TableParagraph"/>
              <w:spacing w:line="273" w:lineRule="auto" w:before="11"/>
              <w:ind w:left="210" w:right="231"/>
              <w:rPr>
                <w:sz w:val="21"/>
              </w:rPr>
            </w:pPr>
            <w:r>
              <w:rPr>
                <w:sz w:val="21"/>
              </w:rPr>
              <w:t>赫兹和 2000 赫兹语音频率下，平均听阈大于 90 分贝，且经纯音听力测试、声导抗检测或听觉诱发电位检测等证实。</w:t>
            </w:r>
          </w:p>
          <w:p>
            <w:pPr>
              <w:pStyle w:val="TableParagraph"/>
              <w:spacing w:line="312" w:lineRule="exact" w:before="3"/>
              <w:ind w:left="210" w:right="302" w:firstLine="423"/>
              <w:rPr>
                <w:sz w:val="21"/>
              </w:rPr>
            </w:pPr>
            <w:r>
              <w:rPr>
                <w:rFonts w:ascii="微软雅黑" w:eastAsia="微软雅黑" w:hint="eastAsia"/>
                <w:b/>
                <w:sz w:val="21"/>
              </w:rPr>
              <w:t>永久不可逆</w:t>
            </w:r>
            <w:r>
              <w:rPr>
                <w:sz w:val="21"/>
              </w:rPr>
              <w:t>，指自疾病确诊或意外伤害发生之日起，经过积极治疗 180 天后， 仍无法通过现有医疗手段恢复。</w:t>
            </w:r>
          </w:p>
          <w:p>
            <w:pPr>
              <w:pStyle w:val="TableParagraph"/>
              <w:spacing w:line="273" w:lineRule="auto" w:before="4"/>
              <w:ind w:left="630" w:right="446" w:firstLine="420"/>
              <w:rPr>
                <w:sz w:val="21"/>
              </w:rPr>
            </w:pPr>
            <w:r>
              <w:rPr>
                <w:sz w:val="21"/>
              </w:rPr>
              <w:t>除内耳结构损伤等情形外，被保险人申请理赔时年龄必须在三周岁以上，并且提供理赔当时的听力丧失诊断及检查证据。</w:t>
            </w:r>
          </w:p>
        </w:tc>
      </w:tr>
      <w:tr>
        <w:trPr>
          <w:trHeight w:val="2808" w:hRule="atLeast"/>
        </w:trPr>
        <w:tc>
          <w:tcPr>
            <w:tcW w:w="962" w:type="dxa"/>
          </w:tcPr>
          <w:p>
            <w:pPr>
              <w:pStyle w:val="TableParagraph"/>
              <w:spacing w:before="80"/>
              <w:ind w:left="178" w:right="105"/>
              <w:jc w:val="center"/>
              <w:rPr>
                <w:rFonts w:ascii="微软雅黑"/>
                <w:b/>
                <w:sz w:val="21"/>
              </w:rPr>
            </w:pPr>
            <w:r>
              <w:rPr>
                <w:rFonts w:ascii="微软雅黑"/>
                <w:b/>
                <w:sz w:val="21"/>
              </w:rPr>
              <w:t>5.4.14</w:t>
            </w:r>
          </w:p>
        </w:tc>
        <w:tc>
          <w:tcPr>
            <w:tcW w:w="1181" w:type="dxa"/>
          </w:tcPr>
          <w:p>
            <w:pPr>
              <w:pStyle w:val="TableParagraph"/>
              <w:spacing w:before="80"/>
              <w:ind w:left="126"/>
              <w:rPr>
                <w:rFonts w:ascii="微软雅黑" w:eastAsia="微软雅黑" w:hint="eastAsia"/>
                <w:b/>
                <w:sz w:val="21"/>
              </w:rPr>
            </w:pPr>
            <w:r>
              <w:rPr>
                <w:rFonts w:ascii="微软雅黑" w:eastAsia="微软雅黑" w:hint="eastAsia"/>
                <w:b/>
                <w:sz w:val="21"/>
              </w:rPr>
              <w:t>双目失明</w:t>
            </w:r>
          </w:p>
        </w:tc>
        <w:tc>
          <w:tcPr>
            <w:tcW w:w="7805" w:type="dxa"/>
          </w:tcPr>
          <w:p>
            <w:pPr>
              <w:pStyle w:val="TableParagraph"/>
              <w:spacing w:line="273" w:lineRule="auto" w:before="142"/>
              <w:ind w:left="210" w:right="240" w:firstLine="420"/>
              <w:rPr>
                <w:sz w:val="21"/>
              </w:rPr>
            </w:pPr>
            <w:r>
              <w:rPr>
                <w:sz w:val="21"/>
              </w:rPr>
              <w:t>指因疾病或意外伤害导致双眼视力永久不可逆性丧失，双眼中较好眼须满足下列至少一项条件：</w:t>
            </w:r>
          </w:p>
          <w:p>
            <w:pPr>
              <w:pStyle w:val="TableParagraph"/>
              <w:spacing w:before="7"/>
              <w:ind w:left="650"/>
              <w:rPr>
                <w:sz w:val="21"/>
              </w:rPr>
            </w:pPr>
            <w:r>
              <w:rPr>
                <w:sz w:val="21"/>
              </w:rPr>
              <w:t>（1）眼球缺失或摘除；</w:t>
            </w:r>
          </w:p>
          <w:p>
            <w:pPr>
              <w:pStyle w:val="TableParagraph"/>
              <w:spacing w:line="273" w:lineRule="auto" w:before="37"/>
              <w:ind w:left="210" w:right="300" w:firstLine="439"/>
              <w:rPr>
                <w:sz w:val="21"/>
              </w:rPr>
            </w:pPr>
            <w:r>
              <w:rPr>
                <w:sz w:val="21"/>
              </w:rPr>
              <w:t>（2）</w:t>
            </w:r>
            <w:r>
              <w:rPr>
                <w:spacing w:val="1"/>
                <w:sz w:val="21"/>
              </w:rPr>
              <w:t> 矫正视力低于 </w:t>
            </w:r>
            <w:r>
              <w:rPr>
                <w:sz w:val="21"/>
              </w:rPr>
              <w:t>0.02（</w:t>
            </w:r>
            <w:r>
              <w:rPr>
                <w:spacing w:val="-3"/>
                <w:sz w:val="21"/>
              </w:rPr>
              <w:t>采用国际标准视力表，如使用其他视力表应进</w:t>
            </w:r>
            <w:r>
              <w:rPr>
                <w:spacing w:val="-3"/>
                <w:w w:val="100"/>
                <w:sz w:val="21"/>
              </w:rPr>
              <w:t>行换算</w:t>
            </w:r>
            <w:r>
              <w:rPr>
                <w:spacing w:val="-106"/>
                <w:w w:val="100"/>
                <w:sz w:val="21"/>
              </w:rPr>
              <w:t>）</w:t>
            </w:r>
            <w:r>
              <w:rPr>
                <w:w w:val="100"/>
                <w:sz w:val="21"/>
              </w:rPr>
              <w:t>；</w:t>
            </w:r>
          </w:p>
          <w:p>
            <w:pPr>
              <w:pStyle w:val="TableParagraph"/>
              <w:spacing w:before="8"/>
              <w:ind w:left="650"/>
              <w:rPr>
                <w:sz w:val="21"/>
              </w:rPr>
            </w:pPr>
            <w:r>
              <w:rPr>
                <w:sz w:val="21"/>
              </w:rPr>
              <w:t>（3）视野半径小于 5 度。</w:t>
            </w:r>
          </w:p>
          <w:p>
            <w:pPr>
              <w:pStyle w:val="TableParagraph"/>
              <w:spacing w:line="273" w:lineRule="auto" w:before="37"/>
              <w:ind w:left="210" w:right="215" w:firstLine="439"/>
              <w:rPr>
                <w:sz w:val="21"/>
              </w:rPr>
            </w:pPr>
            <w:r>
              <w:rPr>
                <w:sz w:val="21"/>
              </w:rPr>
              <w:t>除眼球缺失或摘除等情形外，被保险人申请理赔时年龄必须在三周岁以上， 并且提供理赔当时的视力丧失诊断及检查证据。</w:t>
            </w:r>
          </w:p>
        </w:tc>
      </w:tr>
      <w:tr>
        <w:trPr>
          <w:trHeight w:val="1248" w:hRule="atLeast"/>
        </w:trPr>
        <w:tc>
          <w:tcPr>
            <w:tcW w:w="962" w:type="dxa"/>
          </w:tcPr>
          <w:p>
            <w:pPr>
              <w:pStyle w:val="TableParagraph"/>
              <w:spacing w:before="80"/>
              <w:ind w:left="178" w:right="105"/>
              <w:jc w:val="center"/>
              <w:rPr>
                <w:rFonts w:ascii="微软雅黑"/>
                <w:b/>
                <w:sz w:val="21"/>
              </w:rPr>
            </w:pPr>
            <w:r>
              <w:rPr>
                <w:rFonts w:ascii="微软雅黑"/>
                <w:b/>
                <w:sz w:val="21"/>
              </w:rPr>
              <w:t>5.4.15</w:t>
            </w:r>
          </w:p>
        </w:tc>
        <w:tc>
          <w:tcPr>
            <w:tcW w:w="1181" w:type="dxa"/>
          </w:tcPr>
          <w:p>
            <w:pPr>
              <w:pStyle w:val="TableParagraph"/>
              <w:spacing w:before="80"/>
              <w:ind w:left="126"/>
              <w:rPr>
                <w:rFonts w:ascii="微软雅黑" w:eastAsia="微软雅黑" w:hint="eastAsia"/>
                <w:b/>
                <w:sz w:val="21"/>
              </w:rPr>
            </w:pPr>
            <w:r>
              <w:rPr>
                <w:rFonts w:ascii="微软雅黑" w:eastAsia="微软雅黑" w:hint="eastAsia"/>
                <w:b/>
                <w:sz w:val="21"/>
              </w:rPr>
              <w:t>瘫痪</w:t>
            </w:r>
          </w:p>
        </w:tc>
        <w:tc>
          <w:tcPr>
            <w:tcW w:w="7805" w:type="dxa"/>
          </w:tcPr>
          <w:p>
            <w:pPr>
              <w:pStyle w:val="TableParagraph"/>
              <w:spacing w:before="142"/>
              <w:ind w:left="630"/>
              <w:rPr>
                <w:sz w:val="21"/>
              </w:rPr>
            </w:pPr>
            <w:r>
              <w:rPr>
                <w:sz w:val="21"/>
              </w:rPr>
              <w:t>指因疾病或意外伤害导致两肢或两肢以上肢体机能永久完全丧失。</w:t>
            </w:r>
          </w:p>
          <w:p>
            <w:pPr>
              <w:pStyle w:val="TableParagraph"/>
              <w:spacing w:line="273" w:lineRule="auto" w:before="36"/>
              <w:ind w:left="210" w:right="302" w:firstLine="420"/>
              <w:rPr>
                <w:sz w:val="21"/>
              </w:rPr>
            </w:pPr>
            <w:r>
              <w:rPr>
                <w:spacing w:val="-9"/>
                <w:sz w:val="21"/>
              </w:rPr>
              <w:t>肢体机能永久完全丧失，指疾病确诊 </w:t>
            </w:r>
            <w:r>
              <w:rPr>
                <w:sz w:val="21"/>
              </w:rPr>
              <w:t>180</w:t>
            </w:r>
            <w:r>
              <w:rPr>
                <w:spacing w:val="-13"/>
                <w:sz w:val="21"/>
              </w:rPr>
              <w:t> 天后或意外伤害发生 </w:t>
            </w:r>
            <w:r>
              <w:rPr>
                <w:sz w:val="21"/>
              </w:rPr>
              <w:t>180</w:t>
            </w:r>
            <w:r>
              <w:rPr>
                <w:spacing w:val="-18"/>
                <w:sz w:val="21"/>
              </w:rPr>
              <w:t> 天后，每</w:t>
            </w:r>
            <w:r>
              <w:rPr>
                <w:spacing w:val="-7"/>
                <w:sz w:val="21"/>
              </w:rPr>
              <w:t>肢三大关节中的两大关节仍然完全僵硬，或不能随意识活动。</w:t>
            </w:r>
          </w:p>
        </w:tc>
      </w:tr>
      <w:tr>
        <w:trPr>
          <w:trHeight w:val="936" w:hRule="atLeast"/>
        </w:trPr>
        <w:tc>
          <w:tcPr>
            <w:tcW w:w="962" w:type="dxa"/>
          </w:tcPr>
          <w:p>
            <w:pPr>
              <w:pStyle w:val="TableParagraph"/>
              <w:spacing w:before="80"/>
              <w:ind w:left="178" w:right="105"/>
              <w:jc w:val="center"/>
              <w:rPr>
                <w:rFonts w:ascii="微软雅黑"/>
                <w:b/>
                <w:sz w:val="21"/>
              </w:rPr>
            </w:pPr>
            <w:r>
              <w:rPr>
                <w:rFonts w:ascii="微软雅黑"/>
                <w:b/>
                <w:sz w:val="21"/>
              </w:rPr>
              <w:t>5.4.16</w:t>
            </w:r>
          </w:p>
        </w:tc>
        <w:tc>
          <w:tcPr>
            <w:tcW w:w="1181" w:type="dxa"/>
          </w:tcPr>
          <w:p>
            <w:pPr>
              <w:pStyle w:val="TableParagraph"/>
              <w:spacing w:line="206" w:lineRule="auto" w:before="131"/>
              <w:ind w:left="126" w:right="207"/>
              <w:rPr>
                <w:rFonts w:ascii="微软雅黑" w:eastAsia="微软雅黑" w:hint="eastAsia"/>
                <w:b/>
                <w:sz w:val="21"/>
              </w:rPr>
            </w:pPr>
            <w:r>
              <w:rPr>
                <w:rFonts w:ascii="微软雅黑" w:eastAsia="微软雅黑" w:hint="eastAsia"/>
                <w:b/>
                <w:sz w:val="21"/>
              </w:rPr>
              <w:t>心脏瓣膜手术</w:t>
            </w:r>
          </w:p>
        </w:tc>
        <w:tc>
          <w:tcPr>
            <w:tcW w:w="7805" w:type="dxa"/>
          </w:tcPr>
          <w:p>
            <w:pPr>
              <w:pStyle w:val="TableParagraph"/>
              <w:spacing w:line="273" w:lineRule="auto" w:before="142"/>
              <w:ind w:left="210" w:right="446" w:firstLine="420"/>
              <w:rPr>
                <w:sz w:val="21"/>
              </w:rPr>
            </w:pPr>
            <w:r>
              <w:rPr>
                <w:sz w:val="21"/>
              </w:rPr>
              <w:t>指为治疗心脏瓣膜疾病，实际实施了开胸进行的心脏瓣膜置换或修复的手术。</w:t>
            </w:r>
          </w:p>
        </w:tc>
      </w:tr>
      <w:tr>
        <w:trPr>
          <w:trHeight w:val="729" w:hRule="atLeast"/>
        </w:trPr>
        <w:tc>
          <w:tcPr>
            <w:tcW w:w="962" w:type="dxa"/>
          </w:tcPr>
          <w:p>
            <w:pPr>
              <w:pStyle w:val="TableParagraph"/>
              <w:spacing w:before="80"/>
              <w:ind w:left="178" w:right="105"/>
              <w:jc w:val="center"/>
              <w:rPr>
                <w:rFonts w:ascii="微软雅黑"/>
                <w:b/>
                <w:sz w:val="21"/>
              </w:rPr>
            </w:pPr>
            <w:r>
              <w:rPr>
                <w:rFonts w:ascii="微软雅黑"/>
                <w:b/>
                <w:sz w:val="21"/>
              </w:rPr>
              <w:t>5.4.17</w:t>
            </w:r>
          </w:p>
        </w:tc>
        <w:tc>
          <w:tcPr>
            <w:tcW w:w="1181" w:type="dxa"/>
          </w:tcPr>
          <w:p>
            <w:pPr>
              <w:pStyle w:val="TableParagraph"/>
              <w:spacing w:line="312" w:lineRule="exact" w:before="138"/>
              <w:ind w:left="126" w:right="207"/>
              <w:rPr>
                <w:rFonts w:ascii="微软雅黑" w:eastAsia="微软雅黑" w:hint="eastAsia"/>
                <w:b/>
                <w:sz w:val="21"/>
              </w:rPr>
            </w:pPr>
            <w:r>
              <w:rPr>
                <w:rFonts w:ascii="微软雅黑" w:eastAsia="微软雅黑" w:hint="eastAsia"/>
                <w:b/>
                <w:sz w:val="21"/>
              </w:rPr>
              <w:t>严重阿尔茨海默病</w:t>
            </w:r>
          </w:p>
        </w:tc>
        <w:tc>
          <w:tcPr>
            <w:tcW w:w="7805" w:type="dxa"/>
          </w:tcPr>
          <w:p>
            <w:pPr>
              <w:pStyle w:val="TableParagraph"/>
              <w:spacing w:line="310" w:lineRule="atLeast" w:before="107"/>
              <w:ind w:left="210" w:right="197" w:firstLine="420"/>
              <w:rPr>
                <w:sz w:val="21"/>
              </w:rPr>
            </w:pPr>
            <w:r>
              <w:rPr>
                <w:spacing w:val="-9"/>
                <w:sz w:val="21"/>
              </w:rPr>
              <w:t>指因大脑进行性、不可逆性改变导致智能严重衰退或丧失，临床表现为明显</w:t>
            </w:r>
            <w:r>
              <w:rPr>
                <w:spacing w:val="-16"/>
                <w:sz w:val="21"/>
              </w:rPr>
              <w:t>的认知能力障碍、行为异常和社交能力减退，其日常生活必须持续受到他人监护。</w:t>
            </w:r>
          </w:p>
        </w:tc>
      </w:tr>
    </w:tbl>
    <w:p>
      <w:pPr>
        <w:spacing w:after="0" w:line="310" w:lineRule="atLeast"/>
        <w:rPr>
          <w:sz w:val="21"/>
        </w:rPr>
        <w:sectPr>
          <w:pgSz w:w="11910" w:h="16840"/>
          <w:pgMar w:header="857" w:footer="992" w:top="1040" w:bottom="1180" w:left="920" w:right="820"/>
        </w:sectPr>
      </w:pPr>
    </w:p>
    <w:p>
      <w:pPr>
        <w:pStyle w:val="BodyText"/>
        <w:spacing w:before="6"/>
        <w:rPr>
          <w:rFonts w:ascii="Times New Roman"/>
          <w:sz w:val="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181"/>
        <w:gridCol w:w="7806"/>
      </w:tblGrid>
      <w:tr>
        <w:trPr>
          <w:trHeight w:val="1684" w:hRule="atLeast"/>
        </w:trPr>
        <w:tc>
          <w:tcPr>
            <w:tcW w:w="962" w:type="dxa"/>
            <w:tcBorders>
              <w:top w:val="single" w:sz="18" w:space="0" w:color="000000"/>
            </w:tcBorders>
          </w:tcPr>
          <w:p>
            <w:pPr>
              <w:pStyle w:val="TableParagraph"/>
              <w:rPr>
                <w:rFonts w:ascii="Times New Roman"/>
                <w:sz w:val="20"/>
              </w:rPr>
            </w:pPr>
          </w:p>
        </w:tc>
        <w:tc>
          <w:tcPr>
            <w:tcW w:w="1181" w:type="dxa"/>
            <w:tcBorders>
              <w:top w:val="single" w:sz="18" w:space="0" w:color="000000"/>
            </w:tcBorders>
          </w:tcPr>
          <w:p>
            <w:pPr>
              <w:pStyle w:val="TableParagraph"/>
              <w:rPr>
                <w:rFonts w:ascii="Times New Roman"/>
                <w:sz w:val="20"/>
              </w:rPr>
            </w:pPr>
          </w:p>
        </w:tc>
        <w:tc>
          <w:tcPr>
            <w:tcW w:w="7806" w:type="dxa"/>
            <w:tcBorders>
              <w:top w:val="single" w:sz="18" w:space="0" w:color="000000"/>
            </w:tcBorders>
          </w:tcPr>
          <w:p>
            <w:pPr>
              <w:pStyle w:val="TableParagraph"/>
              <w:spacing w:before="2"/>
              <w:rPr>
                <w:rFonts w:ascii="Times New Roman"/>
                <w:sz w:val="23"/>
              </w:rPr>
            </w:pPr>
          </w:p>
          <w:p>
            <w:pPr>
              <w:pStyle w:val="TableParagraph"/>
              <w:spacing w:line="273" w:lineRule="auto"/>
              <w:ind w:left="210" w:right="303"/>
              <w:jc w:val="both"/>
              <w:rPr>
                <w:sz w:val="21"/>
              </w:rPr>
            </w:pPr>
            <w:r>
              <w:rPr>
                <w:w w:val="100"/>
                <w:sz w:val="21"/>
              </w:rPr>
              <w:t>须由头颅断层扫描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2"/>
                <w:w w:val="100"/>
                <w:sz w:val="21"/>
              </w:rPr>
              <w:t>（</w:t>
            </w:r>
            <w:r>
              <w:rPr>
                <w:w w:val="100"/>
                <w:sz w:val="21"/>
              </w:rPr>
              <w:t>P</w:t>
            </w:r>
            <w:r>
              <w:rPr>
                <w:spacing w:val="-3"/>
                <w:w w:val="100"/>
                <w:sz w:val="21"/>
              </w:rPr>
              <w:t>E</w:t>
            </w:r>
            <w:r>
              <w:rPr>
                <w:spacing w:val="-1"/>
                <w:w w:val="100"/>
                <w:sz w:val="21"/>
              </w:rPr>
              <w:t>T</w:t>
            </w:r>
            <w:r>
              <w:rPr>
                <w:w w:val="100"/>
                <w:sz w:val="21"/>
              </w:rPr>
              <w:t>）</w:t>
            </w:r>
            <w:r>
              <w:rPr>
                <w:spacing w:val="-9"/>
                <w:sz w:val="21"/>
              </w:rPr>
              <w:t>等影像学检查证实，且自主生活能力完全丧失，无法独立完成六项基本日常生活</w:t>
            </w:r>
            <w:r>
              <w:rPr>
                <w:spacing w:val="-5"/>
                <w:sz w:val="21"/>
              </w:rPr>
              <w:t>活动中的三项或三项以上。</w:t>
            </w:r>
          </w:p>
          <w:p>
            <w:pPr>
              <w:pStyle w:val="TableParagraph"/>
              <w:spacing w:before="7"/>
              <w:ind w:left="630"/>
              <w:rPr>
                <w:sz w:val="21"/>
              </w:rPr>
            </w:pPr>
            <w:r>
              <w:rPr>
                <w:sz w:val="21"/>
              </w:rPr>
              <w:t>神经官能症和精神疾病不在保障范围内。</w:t>
            </w:r>
          </w:p>
        </w:tc>
      </w:tr>
      <w:tr>
        <w:trPr>
          <w:trHeight w:val="2808" w:hRule="atLeast"/>
        </w:trPr>
        <w:tc>
          <w:tcPr>
            <w:tcW w:w="962" w:type="dxa"/>
          </w:tcPr>
          <w:p>
            <w:pPr>
              <w:pStyle w:val="TableParagraph"/>
              <w:spacing w:before="80"/>
              <w:ind w:left="178" w:right="105"/>
              <w:jc w:val="center"/>
              <w:rPr>
                <w:rFonts w:ascii="微软雅黑"/>
                <w:b/>
                <w:sz w:val="21"/>
              </w:rPr>
            </w:pPr>
            <w:r>
              <w:rPr>
                <w:rFonts w:ascii="微软雅黑"/>
                <w:b/>
                <w:sz w:val="21"/>
              </w:rPr>
              <w:t>5.4.18</w:t>
            </w:r>
          </w:p>
        </w:tc>
        <w:tc>
          <w:tcPr>
            <w:tcW w:w="1181" w:type="dxa"/>
          </w:tcPr>
          <w:p>
            <w:pPr>
              <w:pStyle w:val="TableParagraph"/>
              <w:spacing w:line="206" w:lineRule="auto" w:before="131"/>
              <w:ind w:left="126" w:right="207"/>
              <w:rPr>
                <w:rFonts w:ascii="微软雅黑" w:eastAsia="微软雅黑" w:hint="eastAsia"/>
                <w:b/>
                <w:sz w:val="21"/>
              </w:rPr>
            </w:pPr>
            <w:r>
              <w:rPr>
                <w:rFonts w:ascii="微软雅黑" w:eastAsia="微软雅黑" w:hint="eastAsia"/>
                <w:b/>
                <w:sz w:val="21"/>
              </w:rPr>
              <w:t>严重脑损伤</w:t>
            </w:r>
          </w:p>
        </w:tc>
        <w:tc>
          <w:tcPr>
            <w:tcW w:w="7806" w:type="dxa"/>
          </w:tcPr>
          <w:p>
            <w:pPr>
              <w:pStyle w:val="TableParagraph"/>
              <w:spacing w:line="273" w:lineRule="auto" w:before="142"/>
              <w:ind w:left="210" w:right="303" w:firstLine="420"/>
              <w:rPr>
                <w:sz w:val="21"/>
              </w:rPr>
            </w:pPr>
            <w:r>
              <w:rPr>
                <w:spacing w:val="-8"/>
                <w:sz w:val="21"/>
              </w:rPr>
              <w:t>指因头部遭受机械性外力，引起脑重要部位损伤，导致神经系统永久性的功</w:t>
            </w:r>
            <w:r>
              <w:rPr>
                <w:spacing w:val="-8"/>
                <w:w w:val="100"/>
                <w:sz w:val="21"/>
              </w:rPr>
              <w:t>能障碍。须由头颅断层扫描</w:t>
            </w:r>
            <w:r>
              <w:rPr>
                <w:spacing w:val="-3"/>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w:t>
            </w:r>
            <w:r>
              <w:rPr>
                <w:spacing w:val="-3"/>
                <w:w w:val="100"/>
                <w:sz w:val="21"/>
              </w:rPr>
              <w:t>I</w:t>
            </w:r>
            <w:r>
              <w:rPr>
                <w:spacing w:val="-13"/>
                <w:w w:val="100"/>
                <w:sz w:val="21"/>
              </w:rPr>
              <w:t>）</w:t>
            </w:r>
            <w:r>
              <w:rPr>
                <w:spacing w:val="-3"/>
                <w:w w:val="100"/>
                <w:sz w:val="21"/>
              </w:rPr>
              <w:t>或正电子发射断层扫描</w:t>
            </w:r>
          </w:p>
          <w:p>
            <w:pPr>
              <w:pStyle w:val="TableParagraph"/>
              <w:spacing w:line="273" w:lineRule="auto" w:before="7"/>
              <w:ind w:left="210" w:right="234"/>
              <w:rPr>
                <w:sz w:val="21"/>
              </w:rPr>
            </w:pPr>
            <w:r>
              <w:rPr>
                <w:sz w:val="21"/>
              </w:rPr>
              <w:t>（PET）等影像学检查证实。神经系统永久性的功能障碍，指脑损伤 180 天后， 仍遗留下列一种或一种以上障碍：</w:t>
            </w:r>
          </w:p>
          <w:p>
            <w:pPr>
              <w:pStyle w:val="TableParagraph"/>
              <w:spacing w:before="7"/>
              <w:ind w:left="650"/>
              <w:rPr>
                <w:sz w:val="21"/>
              </w:rPr>
            </w:pPr>
            <w:r>
              <w:rPr>
                <w:sz w:val="21"/>
              </w:rPr>
              <w:t>（1）一肢或一肢以上肢体机能完全丧失；</w:t>
            </w:r>
          </w:p>
          <w:p>
            <w:pPr>
              <w:pStyle w:val="TableParagraph"/>
              <w:spacing w:before="36"/>
              <w:ind w:left="650"/>
              <w:rPr>
                <w:sz w:val="21"/>
              </w:rPr>
            </w:pPr>
            <w:r>
              <w:rPr>
                <w:sz w:val="21"/>
              </w:rPr>
              <w:t>（2）语言能力或咀嚼吞咽能力完全丧失；</w:t>
            </w:r>
          </w:p>
          <w:p>
            <w:pPr>
              <w:pStyle w:val="TableParagraph"/>
              <w:spacing w:line="273" w:lineRule="auto" w:before="37"/>
              <w:ind w:left="210" w:right="344" w:firstLine="420"/>
              <w:rPr>
                <w:sz w:val="21"/>
              </w:rPr>
            </w:pPr>
            <w:r>
              <w:rPr>
                <w:sz w:val="21"/>
              </w:rPr>
              <w:t>（3）自主生活能力完全丧失，无法独立完成六项基本日常生活活动中的三项或三项以上。</w:t>
            </w:r>
          </w:p>
        </w:tc>
      </w:tr>
      <w:tr>
        <w:trPr>
          <w:trHeight w:val="2184" w:hRule="atLeast"/>
        </w:trPr>
        <w:tc>
          <w:tcPr>
            <w:tcW w:w="962" w:type="dxa"/>
          </w:tcPr>
          <w:p>
            <w:pPr>
              <w:pStyle w:val="TableParagraph"/>
              <w:spacing w:before="80"/>
              <w:ind w:left="178" w:right="105"/>
              <w:jc w:val="center"/>
              <w:rPr>
                <w:rFonts w:ascii="微软雅黑"/>
                <w:b/>
                <w:sz w:val="21"/>
              </w:rPr>
            </w:pPr>
            <w:r>
              <w:rPr>
                <w:rFonts w:ascii="微软雅黑"/>
                <w:b/>
                <w:sz w:val="21"/>
              </w:rPr>
              <w:t>5.4.19</w:t>
            </w:r>
          </w:p>
        </w:tc>
        <w:tc>
          <w:tcPr>
            <w:tcW w:w="1181" w:type="dxa"/>
          </w:tcPr>
          <w:p>
            <w:pPr>
              <w:pStyle w:val="TableParagraph"/>
              <w:spacing w:line="206" w:lineRule="auto" w:before="131"/>
              <w:ind w:left="126" w:right="207"/>
              <w:rPr>
                <w:rFonts w:ascii="微软雅黑" w:eastAsia="微软雅黑" w:hint="eastAsia"/>
                <w:b/>
                <w:sz w:val="21"/>
              </w:rPr>
            </w:pPr>
            <w:r>
              <w:rPr>
                <w:rFonts w:ascii="微软雅黑" w:eastAsia="微软雅黑" w:hint="eastAsia"/>
                <w:b/>
                <w:sz w:val="21"/>
              </w:rPr>
              <w:t>严重帕金森病</w:t>
            </w:r>
          </w:p>
        </w:tc>
        <w:tc>
          <w:tcPr>
            <w:tcW w:w="7806" w:type="dxa"/>
          </w:tcPr>
          <w:p>
            <w:pPr>
              <w:pStyle w:val="TableParagraph"/>
              <w:spacing w:line="273" w:lineRule="auto" w:before="142"/>
              <w:ind w:left="210" w:right="301" w:firstLine="420"/>
              <w:rPr>
                <w:sz w:val="21"/>
              </w:rPr>
            </w:pPr>
            <w:r>
              <w:rPr>
                <w:spacing w:val="-7"/>
                <w:sz w:val="21"/>
              </w:rPr>
              <w:t>是一种中枢神经系统的退行性疾病，临床表现为震颤麻痹、共济失调等。须</w:t>
            </w:r>
            <w:r>
              <w:rPr>
                <w:spacing w:val="-5"/>
                <w:sz w:val="21"/>
              </w:rPr>
              <w:t>满足下列全部条件：</w:t>
            </w:r>
          </w:p>
          <w:p>
            <w:pPr>
              <w:pStyle w:val="TableParagraph"/>
              <w:spacing w:before="7"/>
              <w:ind w:left="650"/>
              <w:rPr>
                <w:sz w:val="21"/>
              </w:rPr>
            </w:pPr>
            <w:r>
              <w:rPr>
                <w:sz w:val="21"/>
              </w:rPr>
              <w:t>（1）药物治疗无法控制病情；</w:t>
            </w:r>
          </w:p>
          <w:p>
            <w:pPr>
              <w:pStyle w:val="TableParagraph"/>
              <w:spacing w:line="273" w:lineRule="auto" w:before="37"/>
              <w:ind w:left="210" w:right="301" w:firstLine="439"/>
              <w:rPr>
                <w:sz w:val="21"/>
              </w:rPr>
            </w:pPr>
            <w:r>
              <w:rPr>
                <w:sz w:val="21"/>
              </w:rPr>
              <w:t>（2）自主生活能力完全丧失，无法独立完成六项基本日常生活活动中的三项或三项以上。</w:t>
            </w:r>
          </w:p>
          <w:p>
            <w:pPr>
              <w:pStyle w:val="TableParagraph"/>
              <w:spacing w:before="7"/>
              <w:ind w:left="630"/>
              <w:rPr>
                <w:sz w:val="21"/>
              </w:rPr>
            </w:pPr>
            <w:r>
              <w:rPr>
                <w:sz w:val="21"/>
              </w:rPr>
              <w:t>继发性帕金森综合征不在保障范围内。</w:t>
            </w:r>
          </w:p>
        </w:tc>
      </w:tr>
      <w:tr>
        <w:trPr>
          <w:trHeight w:val="936" w:hRule="atLeast"/>
        </w:trPr>
        <w:tc>
          <w:tcPr>
            <w:tcW w:w="962" w:type="dxa"/>
          </w:tcPr>
          <w:p>
            <w:pPr>
              <w:pStyle w:val="TableParagraph"/>
              <w:spacing w:before="80"/>
              <w:ind w:left="178" w:right="105"/>
              <w:jc w:val="center"/>
              <w:rPr>
                <w:rFonts w:ascii="微软雅黑"/>
                <w:b/>
                <w:sz w:val="21"/>
              </w:rPr>
            </w:pPr>
            <w:r>
              <w:rPr>
                <w:rFonts w:ascii="微软雅黑"/>
                <w:b/>
                <w:sz w:val="21"/>
              </w:rPr>
              <w:t>5.4.20</w:t>
            </w:r>
          </w:p>
        </w:tc>
        <w:tc>
          <w:tcPr>
            <w:tcW w:w="1181" w:type="dxa"/>
          </w:tcPr>
          <w:p>
            <w:pPr>
              <w:pStyle w:val="TableParagraph"/>
              <w:spacing w:line="206" w:lineRule="auto" w:before="131"/>
              <w:ind w:left="126" w:right="207"/>
              <w:rPr>
                <w:rFonts w:ascii="微软雅黑" w:hAnsi="微软雅黑" w:eastAsia="微软雅黑" w:hint="eastAsia"/>
                <w:b/>
                <w:sz w:val="21"/>
              </w:rPr>
            </w:pPr>
            <w:r>
              <w:rPr>
                <w:rFonts w:ascii="微软雅黑" w:hAnsi="微软雅黑" w:eastAsia="微软雅黑" w:hint="eastAsia"/>
                <w:b/>
                <w:sz w:val="21"/>
              </w:rPr>
              <w:t>严重Ⅲ度烧伤</w:t>
            </w:r>
          </w:p>
        </w:tc>
        <w:tc>
          <w:tcPr>
            <w:tcW w:w="7806" w:type="dxa"/>
          </w:tcPr>
          <w:p>
            <w:pPr>
              <w:pStyle w:val="TableParagraph"/>
              <w:spacing w:line="273" w:lineRule="auto" w:before="143"/>
              <w:ind w:left="210" w:right="197" w:firstLine="420"/>
              <w:rPr>
                <w:sz w:val="21"/>
              </w:rPr>
            </w:pPr>
            <w:r>
              <w:rPr>
                <w:spacing w:val="-12"/>
                <w:sz w:val="21"/>
              </w:rPr>
              <w:t>指烧伤程度为Ⅲ度，且Ⅲ度烧伤的面积达到全身体表面积的 </w:t>
            </w:r>
            <w:r>
              <w:rPr>
                <w:sz w:val="21"/>
              </w:rPr>
              <w:t>20</w:t>
            </w:r>
            <w:r>
              <w:rPr>
                <w:spacing w:val="-13"/>
                <w:sz w:val="21"/>
              </w:rPr>
              <w:t>%或 </w:t>
            </w:r>
            <w:r>
              <w:rPr>
                <w:sz w:val="21"/>
              </w:rPr>
              <w:t>20</w:t>
            </w:r>
            <w:r>
              <w:rPr>
                <w:spacing w:val="-2"/>
                <w:sz w:val="21"/>
              </w:rPr>
              <w:t>%以上。</w:t>
            </w:r>
            <w:r>
              <w:rPr>
                <w:spacing w:val="-3"/>
                <w:sz w:val="21"/>
              </w:rPr>
              <w:t>体表面积根据《中国新九分法》计算。</w:t>
            </w:r>
          </w:p>
        </w:tc>
      </w:tr>
      <w:tr>
        <w:trPr>
          <w:trHeight w:val="1247" w:hRule="atLeast"/>
        </w:trPr>
        <w:tc>
          <w:tcPr>
            <w:tcW w:w="962" w:type="dxa"/>
          </w:tcPr>
          <w:p>
            <w:pPr>
              <w:pStyle w:val="TableParagraph"/>
              <w:spacing w:before="80"/>
              <w:ind w:left="178" w:right="105"/>
              <w:jc w:val="center"/>
              <w:rPr>
                <w:rFonts w:ascii="微软雅黑"/>
                <w:b/>
                <w:sz w:val="21"/>
              </w:rPr>
            </w:pPr>
            <w:r>
              <w:rPr>
                <w:rFonts w:ascii="微软雅黑"/>
                <w:b/>
                <w:sz w:val="21"/>
              </w:rPr>
              <w:t>5.4.21</w:t>
            </w:r>
          </w:p>
        </w:tc>
        <w:tc>
          <w:tcPr>
            <w:tcW w:w="1181" w:type="dxa"/>
          </w:tcPr>
          <w:p>
            <w:pPr>
              <w:pStyle w:val="TableParagraph"/>
              <w:spacing w:line="206" w:lineRule="auto" w:before="131"/>
              <w:ind w:left="126" w:right="207"/>
              <w:jc w:val="both"/>
              <w:rPr>
                <w:rFonts w:ascii="微软雅黑" w:eastAsia="微软雅黑" w:hint="eastAsia"/>
                <w:b/>
                <w:sz w:val="21"/>
              </w:rPr>
            </w:pPr>
            <w:r>
              <w:rPr>
                <w:rFonts w:ascii="微软雅黑" w:eastAsia="微软雅黑" w:hint="eastAsia"/>
                <w:b/>
                <w:sz w:val="21"/>
              </w:rPr>
              <w:t>严重原发性肺动脉高压</w:t>
            </w:r>
          </w:p>
        </w:tc>
        <w:tc>
          <w:tcPr>
            <w:tcW w:w="7806" w:type="dxa"/>
          </w:tcPr>
          <w:p>
            <w:pPr>
              <w:pStyle w:val="TableParagraph"/>
              <w:spacing w:line="273" w:lineRule="auto" w:before="142"/>
              <w:ind w:left="210" w:right="303" w:firstLine="420"/>
              <w:jc w:val="both"/>
              <w:rPr>
                <w:sz w:val="21"/>
              </w:rPr>
            </w:pPr>
            <w:r>
              <w:rPr>
                <w:spacing w:val="-6"/>
                <w:sz w:val="21"/>
              </w:rPr>
              <w:t>指不明原因的肺动脉压力持续性增高，进行性发展而导致的慢性疾病，已经</w:t>
            </w:r>
            <w:r>
              <w:rPr>
                <w:spacing w:val="-8"/>
                <w:sz w:val="21"/>
              </w:rPr>
              <w:t>造成永久不可逆性的体力活动能力受限，达到美国纽约心脏病学会心功能状态分</w:t>
            </w:r>
            <w:r>
              <w:rPr>
                <w:spacing w:val="-28"/>
                <w:sz w:val="21"/>
              </w:rPr>
              <w:t>级 </w:t>
            </w:r>
            <w:r>
              <w:rPr>
                <w:sz w:val="21"/>
              </w:rPr>
              <w:t>IV</w:t>
            </w:r>
            <w:r>
              <w:rPr>
                <w:spacing w:val="-11"/>
                <w:sz w:val="21"/>
              </w:rPr>
              <w:t> 级，且静息状态下肺动脉平均压超过 </w:t>
            </w:r>
            <w:r>
              <w:rPr>
                <w:sz w:val="21"/>
              </w:rPr>
              <w:t>30mmHg。</w:t>
            </w:r>
          </w:p>
        </w:tc>
      </w:tr>
      <w:tr>
        <w:trPr>
          <w:trHeight w:val="1560" w:hRule="atLeast"/>
        </w:trPr>
        <w:tc>
          <w:tcPr>
            <w:tcW w:w="962" w:type="dxa"/>
          </w:tcPr>
          <w:p>
            <w:pPr>
              <w:pStyle w:val="TableParagraph"/>
              <w:spacing w:before="80"/>
              <w:ind w:left="178" w:right="105"/>
              <w:jc w:val="center"/>
              <w:rPr>
                <w:rFonts w:ascii="微软雅黑"/>
                <w:b/>
                <w:sz w:val="21"/>
              </w:rPr>
            </w:pPr>
            <w:r>
              <w:rPr>
                <w:rFonts w:ascii="微软雅黑"/>
                <w:b/>
                <w:sz w:val="21"/>
              </w:rPr>
              <w:t>5.4.22</w:t>
            </w:r>
          </w:p>
        </w:tc>
        <w:tc>
          <w:tcPr>
            <w:tcW w:w="1181" w:type="dxa"/>
          </w:tcPr>
          <w:p>
            <w:pPr>
              <w:pStyle w:val="TableParagraph"/>
              <w:spacing w:line="206" w:lineRule="auto" w:before="131"/>
              <w:ind w:left="126" w:right="207"/>
              <w:rPr>
                <w:rFonts w:ascii="微软雅黑" w:eastAsia="微软雅黑" w:hint="eastAsia"/>
                <w:b/>
                <w:sz w:val="21"/>
              </w:rPr>
            </w:pPr>
            <w:r>
              <w:rPr>
                <w:rFonts w:ascii="微软雅黑" w:eastAsia="微软雅黑" w:hint="eastAsia"/>
                <w:b/>
                <w:sz w:val="21"/>
              </w:rPr>
              <w:t>严重运动神经元病</w:t>
            </w:r>
          </w:p>
        </w:tc>
        <w:tc>
          <w:tcPr>
            <w:tcW w:w="7806" w:type="dxa"/>
          </w:tcPr>
          <w:p>
            <w:pPr>
              <w:pStyle w:val="TableParagraph"/>
              <w:spacing w:line="273" w:lineRule="auto" w:before="142"/>
              <w:ind w:left="210" w:right="303" w:firstLine="420"/>
              <w:rPr>
                <w:sz w:val="21"/>
              </w:rPr>
            </w:pPr>
            <w:r>
              <w:rPr>
                <w:spacing w:val="-3"/>
                <w:sz w:val="21"/>
              </w:rPr>
              <w:t>是一组中枢神经系统运动神经元的进行性变性疾病，包括进行性脊肌萎缩</w:t>
            </w:r>
            <w:r>
              <w:rPr>
                <w:spacing w:val="-9"/>
                <w:sz w:val="21"/>
              </w:rPr>
              <w:t>症、进行性延髓麻痹症、原发性侧索硬化症、肌萎缩性侧索硬化症。须满足自主</w:t>
            </w:r>
            <w:r>
              <w:rPr>
                <w:spacing w:val="-11"/>
                <w:sz w:val="21"/>
              </w:rPr>
              <w:t>生活能力完全丧失，无法独立完成六项基本日常生活活动中的三项或三项以上的条件。</w:t>
            </w:r>
          </w:p>
        </w:tc>
      </w:tr>
      <w:tr>
        <w:trPr>
          <w:trHeight w:val="1872" w:hRule="atLeast"/>
        </w:trPr>
        <w:tc>
          <w:tcPr>
            <w:tcW w:w="962" w:type="dxa"/>
          </w:tcPr>
          <w:p>
            <w:pPr>
              <w:pStyle w:val="TableParagraph"/>
              <w:spacing w:before="80"/>
              <w:ind w:left="178" w:right="105"/>
              <w:jc w:val="center"/>
              <w:rPr>
                <w:rFonts w:ascii="微软雅黑"/>
                <w:b/>
                <w:sz w:val="21"/>
              </w:rPr>
            </w:pPr>
            <w:r>
              <w:rPr>
                <w:rFonts w:ascii="微软雅黑"/>
                <w:b/>
                <w:sz w:val="21"/>
              </w:rPr>
              <w:t>5.4.23</w:t>
            </w:r>
          </w:p>
        </w:tc>
        <w:tc>
          <w:tcPr>
            <w:tcW w:w="1181" w:type="dxa"/>
          </w:tcPr>
          <w:p>
            <w:pPr>
              <w:pStyle w:val="TableParagraph"/>
              <w:spacing w:line="206" w:lineRule="auto" w:before="131"/>
              <w:ind w:left="126" w:right="207"/>
              <w:rPr>
                <w:rFonts w:ascii="微软雅黑" w:eastAsia="微软雅黑" w:hint="eastAsia"/>
                <w:b/>
                <w:sz w:val="21"/>
              </w:rPr>
            </w:pPr>
            <w:r>
              <w:rPr>
                <w:rFonts w:ascii="微软雅黑" w:eastAsia="微软雅黑" w:hint="eastAsia"/>
                <w:b/>
                <w:sz w:val="21"/>
              </w:rPr>
              <w:t>语言能力丧失</w:t>
            </w:r>
          </w:p>
        </w:tc>
        <w:tc>
          <w:tcPr>
            <w:tcW w:w="7806" w:type="dxa"/>
          </w:tcPr>
          <w:p>
            <w:pPr>
              <w:pStyle w:val="TableParagraph"/>
              <w:spacing w:line="273" w:lineRule="auto" w:before="143"/>
              <w:ind w:left="210" w:right="303" w:firstLine="420"/>
              <w:rPr>
                <w:sz w:val="21"/>
              </w:rPr>
            </w:pPr>
            <w:r>
              <w:rPr>
                <w:spacing w:val="-11"/>
                <w:sz w:val="21"/>
              </w:rPr>
              <w:t>指因疾病或意外伤害导致完全丧失语言能力，经过积极治疗至少 </w:t>
            </w:r>
            <w:r>
              <w:rPr>
                <w:sz w:val="21"/>
              </w:rPr>
              <w:t>12</w:t>
            </w:r>
            <w:r>
              <w:rPr>
                <w:spacing w:val="-28"/>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
              <w:ind w:left="630"/>
              <w:rPr>
                <w:sz w:val="21"/>
              </w:rPr>
            </w:pPr>
            <w:r>
              <w:rPr>
                <w:sz w:val="21"/>
              </w:rPr>
              <w:t>精神心理因素所致的语言能力丧失不在保障范围内。</w:t>
            </w:r>
          </w:p>
          <w:p>
            <w:pPr>
              <w:pStyle w:val="TableParagraph"/>
              <w:spacing w:line="273" w:lineRule="auto" w:before="37"/>
              <w:ind w:left="210" w:right="303" w:firstLine="420"/>
              <w:rPr>
                <w:sz w:val="21"/>
              </w:rPr>
            </w:pPr>
            <w:r>
              <w:rPr>
                <w:spacing w:val="-7"/>
                <w:sz w:val="21"/>
              </w:rPr>
              <w:t>除声带完全切除等情形外，被保险人申请理赔时年龄必须在三周岁以上，并</w:t>
            </w:r>
            <w:r>
              <w:rPr>
                <w:spacing w:val="-5"/>
                <w:sz w:val="21"/>
              </w:rPr>
              <w:t>且提供理赔当时的语言能力丧失诊断及检查证据。</w:t>
            </w:r>
          </w:p>
        </w:tc>
      </w:tr>
      <w:tr>
        <w:trPr>
          <w:trHeight w:val="1977" w:hRule="atLeast"/>
        </w:trPr>
        <w:tc>
          <w:tcPr>
            <w:tcW w:w="962" w:type="dxa"/>
          </w:tcPr>
          <w:p>
            <w:pPr>
              <w:pStyle w:val="TableParagraph"/>
              <w:spacing w:before="80"/>
              <w:ind w:left="178" w:right="105"/>
              <w:jc w:val="center"/>
              <w:rPr>
                <w:rFonts w:ascii="微软雅黑"/>
                <w:b/>
                <w:sz w:val="21"/>
              </w:rPr>
            </w:pPr>
            <w:r>
              <w:rPr>
                <w:rFonts w:ascii="微软雅黑"/>
                <w:b/>
                <w:sz w:val="21"/>
              </w:rPr>
              <w:t>5.4.24</w:t>
            </w:r>
          </w:p>
        </w:tc>
        <w:tc>
          <w:tcPr>
            <w:tcW w:w="1181" w:type="dxa"/>
          </w:tcPr>
          <w:p>
            <w:pPr>
              <w:pStyle w:val="TableParagraph"/>
              <w:spacing w:line="206" w:lineRule="auto" w:before="131"/>
              <w:ind w:left="126" w:right="207"/>
              <w:jc w:val="both"/>
              <w:rPr>
                <w:rFonts w:ascii="微软雅黑" w:eastAsia="微软雅黑" w:hint="eastAsia"/>
                <w:b/>
                <w:sz w:val="21"/>
              </w:rPr>
            </w:pPr>
            <w:r>
              <w:rPr>
                <w:rFonts w:ascii="微软雅黑" w:eastAsia="微软雅黑" w:hint="eastAsia"/>
                <w:b/>
                <w:sz w:val="21"/>
              </w:rPr>
              <w:t>重型再生障碍性贫血</w:t>
            </w:r>
          </w:p>
        </w:tc>
        <w:tc>
          <w:tcPr>
            <w:tcW w:w="7806" w:type="dxa"/>
          </w:tcPr>
          <w:p>
            <w:pPr>
              <w:pStyle w:val="TableParagraph"/>
              <w:spacing w:line="273" w:lineRule="auto" w:before="142"/>
              <w:ind w:left="210" w:right="241" w:firstLine="420"/>
              <w:rPr>
                <w:sz w:val="21"/>
              </w:rPr>
            </w:pPr>
            <w:r>
              <w:rPr>
                <w:sz w:val="21"/>
              </w:rPr>
              <w:t>指因骨髓造血功能慢性持续性衰竭导致的贫血、中性粒细胞减少及血小板减少。须满足下列全部条件：</w:t>
            </w:r>
          </w:p>
          <w:p>
            <w:pPr>
              <w:pStyle w:val="TableParagraph"/>
              <w:spacing w:before="7"/>
              <w:ind w:left="630"/>
              <w:rPr>
                <w:sz w:val="21"/>
              </w:rPr>
            </w:pPr>
            <w:r>
              <w:rPr>
                <w:sz w:val="21"/>
              </w:rPr>
              <w:t>（1）骨髓穿刺检查或骨髓活检结果支持诊断；</w:t>
            </w:r>
          </w:p>
          <w:p>
            <w:pPr>
              <w:pStyle w:val="TableParagraph"/>
              <w:spacing w:before="37"/>
              <w:ind w:left="630"/>
              <w:rPr>
                <w:sz w:val="21"/>
              </w:rPr>
            </w:pPr>
            <w:r>
              <w:rPr>
                <w:sz w:val="21"/>
              </w:rPr>
              <w:t>（2）外周血象须具备以下三项条件：</w:t>
            </w:r>
          </w:p>
          <w:p>
            <w:pPr>
              <w:pStyle w:val="TableParagraph"/>
              <w:tabs>
                <w:tab w:pos="1511" w:val="left" w:leader="none"/>
              </w:tabs>
              <w:spacing w:before="36"/>
              <w:ind w:left="1089"/>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1511" w:val="left" w:leader="none"/>
              </w:tabs>
              <w:spacing w:line="255" w:lineRule="exact" w:before="36"/>
              <w:ind w:left="1089"/>
              <w:rPr>
                <w:sz w:val="21"/>
              </w:rPr>
            </w:pPr>
            <w:r>
              <w:rPr>
                <w:sz w:val="21"/>
              </w:rPr>
              <w:t>②</w:t>
              <w:tab/>
            </w:r>
            <w:r>
              <w:rPr>
                <w:spacing w:val="-3"/>
                <w:sz w:val="21"/>
              </w:rPr>
              <w:t>网织红细胞＜</w:t>
            </w:r>
            <w:r>
              <w:rPr>
                <w:spacing w:val="-1"/>
                <w:sz w:val="21"/>
              </w:rPr>
              <w:t>1%；</w:t>
            </w:r>
          </w:p>
        </w:tc>
      </w:tr>
    </w:tbl>
    <w:p>
      <w:pPr>
        <w:spacing w:after="0" w:line="255" w:lineRule="exact"/>
        <w:rPr>
          <w:sz w:val="21"/>
        </w:rPr>
        <w:sectPr>
          <w:pgSz w:w="11910" w:h="16840"/>
          <w:pgMar w:header="857" w:footer="992" w:top="1040" w:bottom="1180" w:left="920" w:right="820"/>
        </w:sectPr>
      </w:pPr>
    </w:p>
    <w:p>
      <w:pPr>
        <w:pStyle w:val="BodyText"/>
        <w:spacing w:before="3"/>
        <w:rPr>
          <w:rFonts w:ascii="Times New Roman"/>
          <w:sz w:val="18"/>
        </w:rPr>
      </w:pPr>
    </w:p>
    <w:p>
      <w:pPr>
        <w:pStyle w:val="BodyText"/>
        <w:tabs>
          <w:tab w:pos="3568" w:val="left" w:leader="none"/>
        </w:tabs>
        <w:spacing w:before="61"/>
        <w:ind w:left="3145"/>
      </w:pPr>
      <w:r>
        <w:rPr/>
        <w:t>③</w:t>
        <w:tab/>
      </w:r>
      <w:r>
        <w:rPr>
          <w:spacing w:val="-3"/>
        </w:rPr>
        <w:t>血小板绝对值≤</w:t>
      </w:r>
      <w:r>
        <w:rPr>
          <w:spacing w:val="-1"/>
        </w:rPr>
        <w:t>20×10</w:t>
      </w:r>
      <w:r>
        <w:rPr>
          <w:spacing w:val="-1"/>
          <w:position w:val="11"/>
          <w:sz w:val="11"/>
        </w:rPr>
        <w:t>9</w:t>
      </w:r>
      <w:r>
        <w:rPr>
          <w:spacing w:val="-1"/>
        </w:rPr>
        <w:t>/L</w:t>
      </w:r>
      <w:r>
        <w:rPr/>
        <w:t>。</w:t>
      </w:r>
    </w:p>
    <w:p>
      <w:pPr>
        <w:pStyle w:val="BodyText"/>
        <w:spacing w:before="12"/>
        <w:rPr>
          <w:sz w:val="23"/>
        </w:rPr>
      </w:pPr>
    </w:p>
    <w:p>
      <w:pPr>
        <w:spacing w:after="0"/>
        <w:rPr>
          <w:sz w:val="23"/>
        </w:rPr>
        <w:sectPr>
          <w:headerReference w:type="default" r:id="rId11"/>
          <w:pgSz w:w="11910" w:h="16840"/>
          <w:pgMar w:header="877" w:footer="992" w:top="1120" w:bottom="1180" w:left="1120" w:right="1020"/>
        </w:sectPr>
      </w:pPr>
    </w:p>
    <w:p>
      <w:pPr>
        <w:pStyle w:val="Heading2"/>
        <w:numPr>
          <w:ilvl w:val="2"/>
          <w:numId w:val="2"/>
        </w:numPr>
        <w:tabs>
          <w:tab w:pos="1001" w:val="left" w:leader="none"/>
          <w:tab w:pos="1002" w:val="left" w:leader="none"/>
        </w:tabs>
        <w:spacing w:line="311" w:lineRule="exact" w:before="0" w:after="0"/>
        <w:ind w:left="1002" w:right="0" w:hanging="889"/>
        <w:jc w:val="left"/>
      </w:pPr>
      <w:r>
        <w:rPr/>
        <w:t>主动脉手</w:t>
      </w:r>
    </w:p>
    <w:p>
      <w:pPr>
        <w:spacing w:line="337" w:lineRule="exact" w:before="0"/>
        <w:ind w:left="368" w:right="0" w:firstLine="0"/>
        <w:jc w:val="center"/>
        <w:rPr>
          <w:rFonts w:ascii="微软雅黑" w:eastAsia="微软雅黑" w:hint="eastAsia"/>
          <w:b/>
          <w:sz w:val="21"/>
        </w:rPr>
      </w:pPr>
      <w:r>
        <w:rPr>
          <w:rFonts w:ascii="微软雅黑" w:eastAsia="微软雅黑" w:hint="eastAsia"/>
          <w:b/>
          <w:w w:val="100"/>
          <w:sz w:val="21"/>
        </w:rPr>
        <w:t>术</w:t>
      </w:r>
    </w:p>
    <w:p>
      <w:pPr>
        <w:pStyle w:val="BodyText"/>
        <w:spacing w:line="273" w:lineRule="auto" w:before="36"/>
        <w:ind w:left="113" w:right="204" w:firstLine="420"/>
        <w:jc w:val="both"/>
      </w:pPr>
      <w:r>
        <w:rPr/>
        <w:br w:type="column"/>
      </w:r>
      <w:r>
        <w:rPr>
          <w:spacing w:val="-7"/>
        </w:rPr>
        <w:t>指为治疗主动脉疾病，实际实施了开胸或开腹进行的切除、置换、修补病损</w:t>
      </w:r>
      <w:r>
        <w:rPr>
          <w:spacing w:val="-10"/>
        </w:rPr>
        <w:t>主动脉血管的手术。主动脉指胸主动脉和腹主动脉，不包括胸主动脉和腹主动脉</w:t>
      </w:r>
      <w:r>
        <w:rPr>
          <w:spacing w:val="-5"/>
        </w:rPr>
        <w:t>的分支血管。</w:t>
      </w:r>
    </w:p>
    <w:p>
      <w:pPr>
        <w:pStyle w:val="BodyText"/>
        <w:spacing w:line="261" w:lineRule="exact"/>
        <w:ind w:left="534"/>
      </w:pPr>
      <w:r>
        <w:rPr/>
        <w:t>动脉内血管成形术不在保障范围内。</w:t>
      </w:r>
    </w:p>
    <w:p>
      <w:pPr>
        <w:spacing w:after="0" w:line="261" w:lineRule="exact"/>
        <w:sectPr>
          <w:type w:val="continuous"/>
          <w:pgSz w:w="11910" w:h="16840"/>
          <w:pgMar w:top="260" w:bottom="1180" w:left="1120" w:right="1020"/>
          <w:cols w:num="2" w:equalWidth="0">
            <w:col w:w="1847" w:space="306"/>
            <w:col w:w="7617"/>
          </w:cols>
        </w:sectPr>
      </w:pPr>
    </w:p>
    <w:p>
      <w:pPr>
        <w:pStyle w:val="BodyText"/>
        <w:spacing w:before="6"/>
        <w:rPr>
          <w:sz w:val="22"/>
        </w:rPr>
      </w:pPr>
    </w:p>
    <w:p>
      <w:pPr>
        <w:spacing w:after="0"/>
        <w:rPr>
          <w:sz w:val="22"/>
        </w:rPr>
        <w:sectPr>
          <w:type w:val="continuous"/>
          <w:pgSz w:w="11910" w:h="16840"/>
          <w:pgMar w:top="260" w:bottom="1180" w:left="1120" w:right="1020"/>
        </w:sectPr>
      </w:pPr>
    </w:p>
    <w:p>
      <w:pPr>
        <w:pStyle w:val="Heading2"/>
        <w:numPr>
          <w:ilvl w:val="2"/>
          <w:numId w:val="2"/>
        </w:numPr>
        <w:tabs>
          <w:tab w:pos="1001" w:val="left" w:leader="none"/>
          <w:tab w:pos="1002" w:val="left" w:leader="none"/>
        </w:tabs>
        <w:spacing w:line="311" w:lineRule="exact" w:before="0" w:after="0"/>
        <w:ind w:left="1002" w:right="0" w:hanging="889"/>
        <w:jc w:val="left"/>
      </w:pPr>
      <w:r>
        <w:rPr/>
        <w:t>严重多发</w:t>
      </w:r>
    </w:p>
    <w:p>
      <w:pPr>
        <w:spacing w:line="337" w:lineRule="exact" w:before="0"/>
        <w:ind w:left="1001" w:right="0" w:firstLine="0"/>
        <w:jc w:val="left"/>
        <w:rPr>
          <w:rFonts w:ascii="微软雅黑" w:eastAsia="微软雅黑" w:hint="eastAsia"/>
          <w:b/>
          <w:sz w:val="21"/>
        </w:rPr>
      </w:pPr>
      <w:r>
        <w:rPr>
          <w:rFonts w:ascii="微软雅黑" w:eastAsia="微软雅黑" w:hint="eastAsia"/>
          <w:b/>
          <w:sz w:val="21"/>
        </w:rPr>
        <w:t>性硬化</w:t>
      </w:r>
    </w:p>
    <w:p>
      <w:pPr>
        <w:pStyle w:val="BodyText"/>
        <w:spacing w:line="273" w:lineRule="auto" w:before="36"/>
        <w:ind w:left="113" w:right="207" w:firstLine="420"/>
        <w:jc w:val="both"/>
      </w:pPr>
      <w:r>
        <w:rPr/>
        <w:br w:type="column"/>
      </w:r>
      <w:r>
        <w:rPr>
          <w:spacing w:val="-6"/>
        </w:rPr>
        <w:t>指中枢神经系统白质多灶性脱髓鞘病变，病变有时累及灰质。多发性硬化必须明确诊断并由断层扫描（CT）或核磁共振检查（MRI）等影像学检查证实，而</w:t>
      </w:r>
      <w:r>
        <w:rPr>
          <w:spacing w:val="-4"/>
        </w:rPr>
        <w:t>且已经造成永久不可逆的神经系统功能损害。</w:t>
      </w:r>
    </w:p>
    <w:p>
      <w:pPr>
        <w:pStyle w:val="BodyText"/>
        <w:spacing w:line="273" w:lineRule="auto" w:before="7"/>
        <w:ind w:left="113" w:right="207" w:firstLine="420"/>
        <w:jc w:val="both"/>
      </w:pPr>
      <w:r>
        <w:rPr>
          <w:spacing w:val="-10"/>
        </w:rPr>
        <w:t>永久不可逆的神经系统损害，指被保险人持续 </w:t>
      </w:r>
      <w:r>
        <w:rPr/>
        <w:t>180</w:t>
      </w:r>
      <w:r>
        <w:rPr>
          <w:spacing w:val="-8"/>
        </w:rPr>
        <w:t> 天无法独立完成下列基本</w:t>
      </w:r>
      <w:r>
        <w:rPr>
          <w:spacing w:val="-5"/>
        </w:rPr>
        <w:t>日常生活活动：</w:t>
      </w:r>
    </w:p>
    <w:p>
      <w:pPr>
        <w:pStyle w:val="BodyText"/>
        <w:spacing w:before="7"/>
        <w:ind w:left="534"/>
      </w:pPr>
      <w:r>
        <w:rPr/>
        <w:t>（1）移动：自己从一个房间到另一个房间；或者</w:t>
      </w:r>
    </w:p>
    <w:p>
      <w:pPr>
        <w:pStyle w:val="BodyText"/>
        <w:spacing w:before="15"/>
        <w:ind w:left="534"/>
      </w:pPr>
      <w:r>
        <w:rPr/>
        <w:t>（2）进食：自己从已准备好的碗或碟中取食物放入口中。</w:t>
      </w:r>
    </w:p>
    <w:p>
      <w:pPr>
        <w:spacing w:after="0"/>
        <w:sectPr>
          <w:type w:val="continuous"/>
          <w:pgSz w:w="11910" w:h="16840"/>
          <w:pgMar w:top="260" w:bottom="1180" w:left="1120" w:right="1020"/>
          <w:cols w:num="2" w:equalWidth="0">
            <w:col w:w="1847" w:space="306"/>
            <w:col w:w="7617"/>
          </w:cols>
        </w:sectPr>
      </w:pPr>
    </w:p>
    <w:p>
      <w:pPr>
        <w:pStyle w:val="BodyText"/>
        <w:spacing w:before="8"/>
        <w:rPr>
          <w:sz w:val="22"/>
        </w:rPr>
      </w:pPr>
    </w:p>
    <w:p>
      <w:pPr>
        <w:spacing w:after="0"/>
        <w:rPr>
          <w:sz w:val="22"/>
        </w:rPr>
        <w:sectPr>
          <w:type w:val="continuous"/>
          <w:pgSz w:w="11910" w:h="16840"/>
          <w:pgMar w:top="260" w:bottom="1180" w:left="1120" w:right="1020"/>
        </w:sectPr>
      </w:pPr>
    </w:p>
    <w:p>
      <w:pPr>
        <w:pStyle w:val="Heading2"/>
        <w:numPr>
          <w:ilvl w:val="2"/>
          <w:numId w:val="2"/>
        </w:numPr>
        <w:tabs>
          <w:tab w:pos="1001" w:val="left" w:leader="none"/>
          <w:tab w:pos="1002" w:val="left" w:leader="none"/>
        </w:tabs>
        <w:spacing w:line="311" w:lineRule="exact" w:before="0" w:after="0"/>
        <w:ind w:left="1002" w:right="0" w:hanging="889"/>
        <w:jc w:val="left"/>
      </w:pPr>
      <w:r>
        <w:rPr/>
        <w:t>因职业关</w:t>
      </w:r>
    </w:p>
    <w:p>
      <w:pPr>
        <w:spacing w:line="206" w:lineRule="auto" w:before="25"/>
        <w:ind w:left="1001" w:right="103" w:firstLine="0"/>
        <w:jc w:val="both"/>
        <w:rPr>
          <w:rFonts w:ascii="微软雅黑" w:eastAsia="微软雅黑" w:hint="eastAsia"/>
          <w:b/>
          <w:sz w:val="21"/>
        </w:rPr>
      </w:pPr>
      <w:r>
        <w:rPr>
          <w:rFonts w:ascii="微软雅黑" w:eastAsia="微软雅黑" w:hint="eastAsia"/>
          <w:b/>
          <w:sz w:val="21"/>
        </w:rPr>
        <w:t>系导致的人类免疫缺陷病毒</w:t>
      </w:r>
    </w:p>
    <w:p>
      <w:pPr>
        <w:spacing w:line="206" w:lineRule="auto" w:before="0"/>
        <w:ind w:left="1001" w:right="0" w:firstLine="0"/>
        <w:jc w:val="left"/>
        <w:rPr>
          <w:rFonts w:ascii="微软雅黑" w:eastAsia="微软雅黑" w:hint="eastAsia"/>
          <w:b/>
          <w:sz w:val="21"/>
        </w:rPr>
      </w:pPr>
      <w:r>
        <w:rPr>
          <w:rFonts w:ascii="微软雅黑" w:eastAsia="微软雅黑" w:hint="eastAsia"/>
          <w:b/>
          <w:w w:val="90"/>
          <w:sz w:val="21"/>
        </w:rPr>
        <w:t>（HIV）感</w:t>
      </w:r>
      <w:r>
        <w:rPr>
          <w:rFonts w:ascii="微软雅黑" w:eastAsia="微软雅黑" w:hint="eastAsia"/>
          <w:b/>
          <w:sz w:val="21"/>
        </w:rPr>
        <w:t>染</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3"/>
        </w:rPr>
      </w:pPr>
    </w:p>
    <w:p>
      <w:pPr>
        <w:pStyle w:val="ListParagraph"/>
        <w:numPr>
          <w:ilvl w:val="2"/>
          <w:numId w:val="2"/>
        </w:numPr>
        <w:tabs>
          <w:tab w:pos="1001" w:val="left" w:leader="none"/>
          <w:tab w:pos="1002" w:val="left" w:leader="none"/>
        </w:tabs>
        <w:spacing w:line="337" w:lineRule="exact" w:before="0" w:after="0"/>
        <w:ind w:left="1002" w:right="0" w:hanging="889"/>
        <w:jc w:val="left"/>
        <w:rPr>
          <w:b/>
          <w:sz w:val="21"/>
        </w:rPr>
      </w:pPr>
      <w:r>
        <w:rPr>
          <w:b/>
          <w:sz w:val="21"/>
        </w:rPr>
        <w:t>重症急性</w:t>
      </w:r>
    </w:p>
    <w:p>
      <w:pPr>
        <w:spacing w:line="337" w:lineRule="exact" w:before="0"/>
        <w:ind w:left="1001" w:right="0" w:firstLine="0"/>
        <w:jc w:val="both"/>
        <w:rPr>
          <w:rFonts w:ascii="微软雅黑" w:eastAsia="微软雅黑" w:hint="eastAsia"/>
          <w:b/>
          <w:sz w:val="21"/>
        </w:rPr>
      </w:pPr>
      <w:r>
        <w:rPr>
          <w:rFonts w:ascii="微软雅黑" w:eastAsia="微软雅黑" w:hint="eastAsia"/>
          <w:b/>
          <w:sz w:val="21"/>
        </w:rPr>
        <w:t>胰腺炎</w:t>
      </w:r>
    </w:p>
    <w:p>
      <w:pPr>
        <w:pStyle w:val="BodyText"/>
        <w:spacing w:line="273" w:lineRule="auto" w:before="36"/>
        <w:ind w:left="113" w:right="207" w:firstLine="420"/>
      </w:pPr>
      <w:r>
        <w:rPr/>
        <w:br w:type="column"/>
      </w:r>
      <w:r>
        <w:rPr>
          <w:spacing w:val="-7"/>
        </w:rPr>
        <w:t>被保险人在其常规职业工作过程中遭遇外伤，或者职业需要处理血液或者其</w:t>
      </w:r>
      <w:r>
        <w:rPr>
          <w:spacing w:val="-5"/>
          <w:w w:val="100"/>
        </w:rPr>
        <w:t>他体液时感染上人类免疫缺陷病毒</w:t>
      </w:r>
      <w:r>
        <w:rPr>
          <w:spacing w:val="-2"/>
          <w:w w:val="100"/>
        </w:rPr>
        <w:t>（</w:t>
      </w:r>
      <w:r>
        <w:rPr>
          <w:w w:val="100"/>
        </w:rPr>
        <w:t>HIV</w:t>
      </w:r>
      <w:r>
        <w:rPr>
          <w:spacing w:val="-108"/>
          <w:w w:val="100"/>
        </w:rPr>
        <w:t>）</w:t>
      </w:r>
      <w:r>
        <w:rPr>
          <w:spacing w:val="-3"/>
          <w:w w:val="100"/>
        </w:rPr>
        <w:t>。必须满足下列全部条件：</w:t>
      </w:r>
    </w:p>
    <w:p>
      <w:pPr>
        <w:pStyle w:val="BodyText"/>
        <w:spacing w:line="273" w:lineRule="auto" w:before="7"/>
        <w:ind w:left="113" w:right="210" w:firstLine="420"/>
      </w:pPr>
      <w:r>
        <w:rPr/>
        <w:t>（1）感染必须是在被保险人正在从事其职业工作中发生，该职业必须属于以下列表内的职业；</w:t>
      </w:r>
    </w:p>
    <w:p>
      <w:pPr>
        <w:pStyle w:val="BodyText"/>
        <w:spacing w:line="273" w:lineRule="auto" w:before="7"/>
        <w:ind w:left="113" w:right="138" w:firstLine="423"/>
      </w:pPr>
      <w:r>
        <w:rPr/>
        <w:t>（2）必须提供被保险人在所报事故发生后的 5 天以内进行的检查报告，该报告必须显示被保险人血液 HIV 病毒阴性和/或 HIV 抗体阴性；</w:t>
      </w:r>
    </w:p>
    <w:p>
      <w:pPr>
        <w:pStyle w:val="BodyText"/>
        <w:spacing w:line="273" w:lineRule="auto" w:before="7"/>
        <w:ind w:left="113" w:right="204" w:firstLine="423"/>
      </w:pPr>
      <w:r>
        <w:rPr>
          <w:spacing w:val="-3"/>
          <w:w w:val="100"/>
        </w:rPr>
        <w:t>（</w:t>
      </w:r>
      <w:r>
        <w:rPr>
          <w:w w:val="100"/>
        </w:rPr>
        <w:t>3</w:t>
      </w:r>
      <w:r>
        <w:rPr>
          <w:spacing w:val="-106"/>
          <w:w w:val="100"/>
        </w:rPr>
        <w:t>）</w:t>
      </w:r>
      <w:r>
        <w:rPr>
          <w:spacing w:val="-3"/>
          <w:w w:val="100"/>
        </w:rPr>
        <w:t>必须在事故发生后的</w:t>
      </w:r>
      <w:r>
        <w:rPr>
          <w:spacing w:val="-55"/>
        </w:rPr>
        <w:t> </w:t>
      </w:r>
      <w:r>
        <w:rPr>
          <w:w w:val="100"/>
        </w:rPr>
        <w:t>6</w:t>
      </w:r>
      <w:r>
        <w:rPr>
          <w:spacing w:val="-57"/>
        </w:rPr>
        <w:t> </w:t>
      </w:r>
      <w:r>
        <w:rPr>
          <w:spacing w:val="-3"/>
          <w:w w:val="100"/>
        </w:rPr>
        <w:t>个月内证实被保险人体内存在</w:t>
      </w:r>
      <w:r>
        <w:rPr>
          <w:spacing w:val="-55"/>
        </w:rPr>
        <w:t> </w:t>
      </w:r>
      <w:r>
        <w:rPr>
          <w:w w:val="100"/>
        </w:rPr>
        <w:t>HIV</w:t>
      </w:r>
      <w:r>
        <w:rPr>
          <w:spacing w:val="-57"/>
        </w:rPr>
        <w:t> </w:t>
      </w:r>
      <w:r>
        <w:rPr>
          <w:spacing w:val="-2"/>
          <w:w w:val="100"/>
        </w:rPr>
        <w:t>病毒或者</w:t>
      </w:r>
      <w:r>
        <w:rPr>
          <w:spacing w:val="-58"/>
        </w:rPr>
        <w:t> </w:t>
      </w:r>
      <w:r>
        <w:rPr>
          <w:w w:val="100"/>
        </w:rPr>
        <w:t>HIV</w:t>
      </w:r>
      <w:r>
        <w:rPr/>
        <w:t>抗体。</w:t>
      </w:r>
    </w:p>
    <w:p>
      <w:pPr>
        <w:pStyle w:val="BodyText"/>
        <w:spacing w:before="7"/>
        <w:ind w:left="534"/>
      </w:pPr>
      <w:r>
        <w:rPr/>
        <w:t>职业限制如下所示:</w:t>
      </w:r>
    </w:p>
    <w:p>
      <w:pPr>
        <w:pStyle w:val="BodyText"/>
        <w:spacing w:before="4"/>
        <w:rPr>
          <w:sz w:val="5"/>
        </w:rPr>
      </w:pPr>
    </w:p>
    <w:tbl>
      <w:tblPr>
        <w:tblW w:w="0" w:type="auto"/>
        <w:jc w:val="left"/>
        <w:tblInd w:w="131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9"/>
      </w:tblGrid>
      <w:tr>
        <w:trPr>
          <w:trHeight w:val="362" w:hRule="atLeast"/>
        </w:trPr>
        <w:tc>
          <w:tcPr>
            <w:tcW w:w="2789" w:type="dxa"/>
          </w:tcPr>
          <w:p>
            <w:pPr>
              <w:pStyle w:val="TableParagraph"/>
              <w:spacing w:before="12"/>
              <w:ind w:left="447"/>
              <w:rPr>
                <w:sz w:val="21"/>
              </w:rPr>
            </w:pPr>
            <w:r>
              <w:rPr>
                <w:sz w:val="21"/>
              </w:rPr>
              <w:t>医生和牙科医生</w:t>
            </w:r>
          </w:p>
        </w:tc>
        <w:tc>
          <w:tcPr>
            <w:tcW w:w="2109" w:type="dxa"/>
          </w:tcPr>
          <w:p>
            <w:pPr>
              <w:pStyle w:val="TableParagraph"/>
              <w:spacing w:before="12"/>
              <w:ind w:left="449"/>
              <w:rPr>
                <w:sz w:val="21"/>
              </w:rPr>
            </w:pPr>
            <w:r>
              <w:rPr>
                <w:sz w:val="21"/>
              </w:rPr>
              <w:t>护士</w:t>
            </w:r>
          </w:p>
        </w:tc>
      </w:tr>
      <w:tr>
        <w:trPr>
          <w:trHeight w:val="361" w:hRule="atLeast"/>
        </w:trPr>
        <w:tc>
          <w:tcPr>
            <w:tcW w:w="2789" w:type="dxa"/>
          </w:tcPr>
          <w:p>
            <w:pPr>
              <w:pStyle w:val="TableParagraph"/>
              <w:spacing w:before="11"/>
              <w:ind w:left="447"/>
              <w:rPr>
                <w:sz w:val="21"/>
              </w:rPr>
            </w:pPr>
            <w:r>
              <w:rPr>
                <w:sz w:val="21"/>
              </w:rPr>
              <w:t>医院化验室工作人员</w:t>
            </w:r>
          </w:p>
        </w:tc>
        <w:tc>
          <w:tcPr>
            <w:tcW w:w="2109" w:type="dxa"/>
          </w:tcPr>
          <w:p>
            <w:pPr>
              <w:pStyle w:val="TableParagraph"/>
              <w:spacing w:before="11"/>
              <w:ind w:left="449"/>
              <w:rPr>
                <w:sz w:val="21"/>
              </w:rPr>
            </w:pPr>
            <w:r>
              <w:rPr>
                <w:sz w:val="21"/>
              </w:rPr>
              <w:t>医院护工</w:t>
            </w:r>
          </w:p>
        </w:tc>
      </w:tr>
      <w:tr>
        <w:trPr>
          <w:trHeight w:val="361" w:hRule="atLeast"/>
        </w:trPr>
        <w:tc>
          <w:tcPr>
            <w:tcW w:w="2789" w:type="dxa"/>
          </w:tcPr>
          <w:p>
            <w:pPr>
              <w:pStyle w:val="TableParagraph"/>
              <w:spacing w:before="13"/>
              <w:ind w:left="447"/>
              <w:rPr>
                <w:sz w:val="21"/>
              </w:rPr>
            </w:pPr>
            <w:r>
              <w:rPr>
                <w:sz w:val="21"/>
              </w:rPr>
              <w:t>医生助理和牙医助理</w:t>
            </w:r>
          </w:p>
        </w:tc>
        <w:tc>
          <w:tcPr>
            <w:tcW w:w="2109" w:type="dxa"/>
          </w:tcPr>
          <w:p>
            <w:pPr>
              <w:pStyle w:val="TableParagraph"/>
              <w:spacing w:before="13"/>
              <w:ind w:left="449"/>
              <w:rPr>
                <w:sz w:val="21"/>
              </w:rPr>
            </w:pPr>
            <w:r>
              <w:rPr>
                <w:sz w:val="21"/>
              </w:rPr>
              <w:t>救护车工作人员</w:t>
            </w:r>
          </w:p>
        </w:tc>
      </w:tr>
      <w:tr>
        <w:trPr>
          <w:trHeight w:val="362" w:hRule="atLeast"/>
        </w:trPr>
        <w:tc>
          <w:tcPr>
            <w:tcW w:w="2789" w:type="dxa"/>
          </w:tcPr>
          <w:p>
            <w:pPr>
              <w:pStyle w:val="TableParagraph"/>
              <w:spacing w:before="13"/>
              <w:ind w:left="447"/>
              <w:rPr>
                <w:sz w:val="21"/>
              </w:rPr>
            </w:pPr>
            <w:r>
              <w:rPr>
                <w:sz w:val="21"/>
              </w:rPr>
              <w:t>助产士</w:t>
            </w:r>
          </w:p>
        </w:tc>
        <w:tc>
          <w:tcPr>
            <w:tcW w:w="2109" w:type="dxa"/>
          </w:tcPr>
          <w:p>
            <w:pPr>
              <w:pStyle w:val="TableParagraph"/>
              <w:rPr>
                <w:rFonts w:ascii="Times New Roman"/>
                <w:sz w:val="20"/>
              </w:rPr>
            </w:pPr>
          </w:p>
        </w:tc>
      </w:tr>
    </w:tbl>
    <w:p>
      <w:pPr>
        <w:pStyle w:val="BodyText"/>
        <w:spacing w:before="6"/>
        <w:rPr>
          <w:sz w:val="24"/>
        </w:rPr>
      </w:pPr>
    </w:p>
    <w:p>
      <w:pPr>
        <w:pStyle w:val="BodyText"/>
        <w:spacing w:line="273" w:lineRule="auto"/>
        <w:ind w:left="113" w:right="207" w:firstLine="420"/>
      </w:pPr>
      <w:r>
        <w:rPr>
          <w:spacing w:val="-8"/>
        </w:rPr>
        <w:t>指急性胰腺炎伴有脏器功能障碍。被保险人所患的重症急性胰腺炎必须明确</w:t>
      </w:r>
      <w:r>
        <w:rPr>
          <w:spacing w:val="-13"/>
        </w:rPr>
        <w:t>诊断，按 </w:t>
      </w:r>
      <w:r>
        <w:rPr/>
        <w:t>APACHE</w:t>
      </w:r>
      <w:r>
        <w:rPr>
          <w:spacing w:val="-8"/>
        </w:rPr>
        <w:t>Ⅱ评分达到 </w:t>
      </w:r>
      <w:r>
        <w:rPr/>
        <w:t>8</w:t>
      </w:r>
      <w:r>
        <w:rPr>
          <w:spacing w:val="-19"/>
        </w:rPr>
        <w:t> 分或 </w:t>
      </w:r>
      <w:r>
        <w:rPr/>
        <w:t>8</w:t>
      </w:r>
      <w:r>
        <w:rPr>
          <w:spacing w:val="-14"/>
        </w:rPr>
        <w:t> 分以上和 </w:t>
      </w:r>
      <w:r>
        <w:rPr/>
        <w:t>Balthazar</w:t>
      </w:r>
      <w:r>
        <w:rPr>
          <w:spacing w:val="-8"/>
        </w:rPr>
        <w:t> 分级系统达到Ⅱ级或</w:t>
      </w:r>
    </w:p>
    <w:p>
      <w:pPr>
        <w:pStyle w:val="BodyText"/>
        <w:spacing w:line="273" w:lineRule="auto" w:before="8"/>
        <w:ind w:left="113" w:right="204"/>
      </w:pPr>
      <w:r>
        <w:rPr>
          <w:spacing w:val="-7"/>
        </w:rPr>
        <w:t>Ⅱ级以上，并且接受了外科剖腹手术治疗，以进行坏死组织清除、坏死病灶切除</w:t>
      </w:r>
      <w:r>
        <w:rPr>
          <w:spacing w:val="-5"/>
        </w:rPr>
        <w:t>或胰腺切除。</w:t>
      </w:r>
    </w:p>
    <w:p>
      <w:pPr>
        <w:pStyle w:val="BodyText"/>
        <w:spacing w:before="7"/>
        <w:ind w:left="534"/>
      </w:pPr>
      <w:r>
        <w:rPr/>
        <w:t>因酗酒或饮酒过量所致的胰腺炎以及腹腔镜手术不在保障范围内。</w:t>
      </w:r>
    </w:p>
    <w:p>
      <w:pPr>
        <w:spacing w:after="0"/>
        <w:sectPr>
          <w:type w:val="continuous"/>
          <w:pgSz w:w="11910" w:h="16840"/>
          <w:pgMar w:top="260" w:bottom="1180" w:left="1120" w:right="1020"/>
          <w:cols w:num="2" w:equalWidth="0">
            <w:col w:w="1953" w:space="200"/>
            <w:col w:w="7617"/>
          </w:cols>
        </w:sectPr>
      </w:pPr>
    </w:p>
    <w:p>
      <w:pPr>
        <w:pStyle w:val="BodyText"/>
        <w:spacing w:before="11"/>
        <w:rPr>
          <w:sz w:val="23"/>
        </w:rPr>
      </w:pPr>
    </w:p>
    <w:p>
      <w:pPr>
        <w:spacing w:after="0"/>
        <w:rPr>
          <w:sz w:val="23"/>
        </w:rPr>
        <w:sectPr>
          <w:type w:val="continuous"/>
          <w:pgSz w:w="11910" w:h="16840"/>
          <w:pgMar w:top="260" w:bottom="1180" w:left="1120" w:right="1020"/>
        </w:sectPr>
      </w:pPr>
    </w:p>
    <w:p>
      <w:pPr>
        <w:pStyle w:val="Heading2"/>
        <w:numPr>
          <w:ilvl w:val="2"/>
          <w:numId w:val="2"/>
        </w:numPr>
        <w:tabs>
          <w:tab w:pos="1001" w:val="left" w:leader="none"/>
          <w:tab w:pos="1002" w:val="left" w:leader="none"/>
        </w:tabs>
        <w:spacing w:line="312" w:lineRule="exact" w:before="0" w:after="0"/>
        <w:ind w:left="1002" w:right="0" w:hanging="889"/>
        <w:jc w:val="left"/>
      </w:pPr>
      <w:r>
        <w:rPr/>
        <w:t>全身性重</w:t>
      </w:r>
    </w:p>
    <w:p>
      <w:pPr>
        <w:spacing w:line="337" w:lineRule="exact" w:before="0"/>
        <w:ind w:left="1001" w:right="0" w:firstLine="0"/>
        <w:jc w:val="left"/>
        <w:rPr>
          <w:rFonts w:ascii="微软雅黑" w:eastAsia="微软雅黑" w:hint="eastAsia"/>
          <w:b/>
          <w:sz w:val="21"/>
        </w:rPr>
      </w:pPr>
      <w:r>
        <w:rPr>
          <w:rFonts w:ascii="微软雅黑" w:eastAsia="微软雅黑" w:hint="eastAsia"/>
          <w:b/>
          <w:sz w:val="21"/>
        </w:rPr>
        <w:t>症肌无力</w:t>
      </w:r>
    </w:p>
    <w:p>
      <w:pPr>
        <w:pStyle w:val="BodyText"/>
        <w:spacing w:line="273" w:lineRule="auto" w:before="36"/>
        <w:ind w:left="113" w:right="101" w:firstLine="420"/>
      </w:pPr>
      <w:r>
        <w:rPr/>
        <w:br w:type="column"/>
      </w:r>
      <w:r>
        <w:rPr>
          <w:spacing w:val="-6"/>
        </w:rPr>
        <w:t>指一种神经肌肉接头传递障碍所致的疾病，表现为局部或全身骨骼肌</w:t>
      </w:r>
      <w:r>
        <w:rPr/>
        <w:t>（</w:t>
      </w:r>
      <w:r>
        <w:rPr>
          <w:spacing w:val="-2"/>
        </w:rPr>
        <w:t>特别</w:t>
      </w:r>
      <w:r>
        <w:rPr>
          <w:spacing w:val="-3"/>
        </w:rPr>
        <w:t>是眼外肌</w:t>
      </w:r>
      <w:r>
        <w:rPr>
          <w:spacing w:val="-56"/>
        </w:rPr>
        <w:t>）</w:t>
      </w:r>
      <w:r>
        <w:rPr>
          <w:spacing w:val="-14"/>
        </w:rPr>
        <w:t>极易疲劳。疾病可以累及呼吸肌、上肢或下肢的近端肌群或全身肌肉， </w:t>
      </w:r>
      <w:r>
        <w:rPr>
          <w:spacing w:val="-7"/>
        </w:rPr>
        <w:t>必须满足下列全部条件：</w:t>
      </w:r>
    </w:p>
    <w:p>
      <w:pPr>
        <w:pStyle w:val="BodyText"/>
        <w:spacing w:before="7"/>
        <w:ind w:left="534"/>
      </w:pPr>
      <w:r>
        <w:rPr/>
        <w:t>（1）经药物治疗和胸腺切除治疗一年以上仍无法控制病情；</w:t>
      </w:r>
    </w:p>
    <w:p>
      <w:pPr>
        <w:pStyle w:val="BodyText"/>
        <w:spacing w:line="273" w:lineRule="auto" w:before="37"/>
        <w:ind w:left="113" w:right="247" w:firstLine="420"/>
      </w:pPr>
      <w:r>
        <w:rPr/>
        <w:t>（2）自主生活能力完全丧失，无法独立完成六项基本日常生活活动中的三项或三项以上。</w:t>
      </w:r>
    </w:p>
    <w:p>
      <w:pPr>
        <w:spacing w:after="0" w:line="273" w:lineRule="auto"/>
        <w:sectPr>
          <w:type w:val="continuous"/>
          <w:pgSz w:w="11910" w:h="16840"/>
          <w:pgMar w:top="260" w:bottom="1180" w:left="1120" w:right="1020"/>
          <w:cols w:num="2" w:equalWidth="0">
            <w:col w:w="1847" w:space="306"/>
            <w:col w:w="7617"/>
          </w:cols>
        </w:sectPr>
      </w:pPr>
    </w:p>
    <w:p>
      <w:pPr>
        <w:pStyle w:val="BodyText"/>
        <w:spacing w:before="9"/>
      </w:pPr>
    </w:p>
    <w:p>
      <w:pPr>
        <w:spacing w:after="0"/>
        <w:sectPr>
          <w:type w:val="continuous"/>
          <w:pgSz w:w="11910" w:h="16840"/>
          <w:pgMar w:top="260" w:bottom="1180" w:left="1120" w:right="1020"/>
        </w:sectPr>
      </w:pPr>
    </w:p>
    <w:p>
      <w:pPr>
        <w:pStyle w:val="Heading2"/>
        <w:numPr>
          <w:ilvl w:val="2"/>
          <w:numId w:val="2"/>
        </w:numPr>
        <w:tabs>
          <w:tab w:pos="1001" w:val="left" w:leader="none"/>
          <w:tab w:pos="1002" w:val="left" w:leader="none"/>
        </w:tabs>
        <w:spacing w:line="311" w:lineRule="exact" w:before="0" w:after="0"/>
        <w:ind w:left="1002" w:right="0" w:hanging="889"/>
        <w:jc w:val="left"/>
      </w:pPr>
      <w:r>
        <w:rPr/>
        <w:t>系统性红</w:t>
      </w:r>
    </w:p>
    <w:p>
      <w:pPr>
        <w:spacing w:line="337" w:lineRule="exact" w:before="0"/>
        <w:ind w:left="1001" w:right="0" w:firstLine="0"/>
        <w:jc w:val="left"/>
        <w:rPr>
          <w:rFonts w:ascii="微软雅黑" w:eastAsia="微软雅黑" w:hint="eastAsia"/>
          <w:b/>
          <w:sz w:val="21"/>
        </w:rPr>
      </w:pPr>
      <w:r>
        <w:rPr>
          <w:rFonts w:ascii="微软雅黑" w:eastAsia="微软雅黑" w:hint="eastAsia"/>
          <w:b/>
          <w:sz w:val="21"/>
        </w:rPr>
        <w:t>斑狼疮－</w:t>
      </w:r>
    </w:p>
    <w:p>
      <w:pPr>
        <w:pStyle w:val="BodyText"/>
        <w:spacing w:line="273" w:lineRule="auto" w:before="36"/>
        <w:ind w:left="113" w:right="149" w:firstLine="420"/>
      </w:pPr>
      <w:r>
        <w:rPr/>
        <w:br w:type="column"/>
      </w:r>
      <w:r>
        <w:rPr/>
        <w:t>系统性红斑狼疮是一种表现有多系统损害的慢性系统性自身免疫病，其特点是血清具有以抗核抗体为代表的多种自身抗体。</w:t>
      </w:r>
    </w:p>
    <w:p>
      <w:pPr>
        <w:spacing w:after="0" w:line="273" w:lineRule="auto"/>
        <w:sectPr>
          <w:type w:val="continuous"/>
          <w:pgSz w:w="11910" w:h="16840"/>
          <w:pgMar w:top="260" w:bottom="1180" w:left="1120" w:right="1020"/>
          <w:cols w:num="2" w:equalWidth="0">
            <w:col w:w="1847" w:space="306"/>
            <w:col w:w="7617"/>
          </w:cols>
        </w:sectPr>
      </w:pPr>
    </w:p>
    <w:p>
      <w:pPr>
        <w:pStyle w:val="BodyText"/>
        <w:spacing w:before="5"/>
        <w:rPr>
          <w:sz w:val="17"/>
        </w:rPr>
      </w:pPr>
    </w:p>
    <w:p>
      <w:pPr>
        <w:spacing w:after="0"/>
        <w:rPr>
          <w:sz w:val="17"/>
        </w:rPr>
        <w:sectPr>
          <w:pgSz w:w="11910" w:h="16840"/>
          <w:pgMar w:header="877" w:footer="992" w:top="1120" w:bottom="1180" w:left="1080" w:right="1060"/>
        </w:sectPr>
      </w:pPr>
    </w:p>
    <w:p>
      <w:pPr>
        <w:pStyle w:val="Heading2"/>
        <w:spacing w:line="206" w:lineRule="auto" w:before="31"/>
        <w:ind w:left="1041"/>
        <w:jc w:val="both"/>
      </w:pPr>
      <w:r>
        <w:rPr>
          <w:rFonts w:ascii="Times New Roman" w:eastAsia="Times New Roman"/>
        </w:rPr>
        <w:t>III </w:t>
      </w:r>
      <w:r>
        <w:rPr/>
        <w:t>型或以上狼疮性肾炎</w:t>
      </w:r>
    </w:p>
    <w:p>
      <w:pPr>
        <w:pStyle w:val="BodyText"/>
        <w:spacing w:before="43"/>
        <w:ind w:left="714"/>
      </w:pPr>
      <w:r>
        <w:rPr/>
        <w:br w:type="column"/>
      </w:r>
      <w:r>
        <w:rPr/>
        <w:t>本合同所指的系统性红斑狼疮仅限于累及肾脏（经肾脏活检确认的，符合</w:t>
      </w:r>
    </w:p>
    <w:p>
      <w:pPr>
        <w:pStyle w:val="BodyText"/>
        <w:spacing w:line="273" w:lineRule="auto" w:before="37"/>
        <w:ind w:left="293" w:right="164"/>
      </w:pPr>
      <w:r>
        <w:rPr/>
        <w:t>WHO</w:t>
      </w:r>
      <w:r>
        <w:rPr>
          <w:spacing w:val="-15"/>
        </w:rPr>
        <w:t> 诊断标准定义 </w:t>
      </w:r>
      <w:r>
        <w:rPr/>
        <w:t>III</w:t>
      </w:r>
      <w:r>
        <w:rPr>
          <w:spacing w:val="-25"/>
        </w:rPr>
        <w:t> 型或 </w:t>
      </w:r>
      <w:r>
        <w:rPr/>
        <w:t>III</w:t>
      </w:r>
      <w:r>
        <w:rPr>
          <w:spacing w:val="-8"/>
        </w:rPr>
        <w:t> 型以上狼疮性肾炎</w:t>
      </w:r>
      <w:r>
        <w:rPr>
          <w:spacing w:val="-5"/>
        </w:rPr>
        <w:t>）</w:t>
      </w:r>
      <w:r>
        <w:rPr>
          <w:spacing w:val="-4"/>
        </w:rPr>
        <w:t>的系统性红斑狼疮。其他类</w:t>
      </w:r>
      <w:r>
        <w:rPr>
          <w:spacing w:val="-3"/>
        </w:rPr>
        <w:t>型的红斑性狼疮，如盘状狼疮、仅累及血液及关节的狼疮不在保障范围內。</w:t>
      </w:r>
    </w:p>
    <w:p>
      <w:pPr>
        <w:pStyle w:val="BodyText"/>
        <w:spacing w:before="8"/>
        <w:ind w:left="714"/>
      </w:pPr>
      <w:r>
        <w:rPr/>
        <w:pict>
          <v:shape style="position:absolute;margin-left:59.18pt;margin-top:154.938644pt;width:477.35pt;height:166.6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181"/>
                    <w:gridCol w:w="7553"/>
                  </w:tblGrid>
                  <w:tr>
                    <w:trPr>
                      <w:trHeight w:val="885" w:hRule="atLeast"/>
                    </w:trPr>
                    <w:tc>
                      <w:tcPr>
                        <w:tcW w:w="812" w:type="dxa"/>
                      </w:tcPr>
                      <w:p>
                        <w:pPr>
                          <w:pStyle w:val="TableParagraph"/>
                          <w:spacing w:line="236" w:lineRule="exact"/>
                          <w:ind w:left="50"/>
                          <w:rPr>
                            <w:rFonts w:ascii="微软雅黑"/>
                            <w:b/>
                            <w:sz w:val="21"/>
                          </w:rPr>
                        </w:pPr>
                        <w:r>
                          <w:rPr>
                            <w:rFonts w:ascii="微软雅黑"/>
                            <w:b/>
                            <w:sz w:val="21"/>
                          </w:rPr>
                          <w:t>5.4.31</w:t>
                        </w:r>
                      </w:p>
                    </w:tc>
                    <w:tc>
                      <w:tcPr>
                        <w:tcW w:w="1181" w:type="dxa"/>
                      </w:tcPr>
                      <w:p>
                        <w:pPr>
                          <w:pStyle w:val="TableParagraph"/>
                          <w:spacing w:line="211" w:lineRule="exact"/>
                          <w:ind w:left="126"/>
                          <w:rPr>
                            <w:rFonts w:ascii="微软雅黑" w:eastAsia="微软雅黑" w:hint="eastAsia"/>
                            <w:b/>
                            <w:sz w:val="21"/>
                          </w:rPr>
                        </w:pPr>
                        <w:r>
                          <w:rPr>
                            <w:rFonts w:ascii="微软雅黑" w:eastAsia="微软雅黑" w:hint="eastAsia"/>
                            <w:b/>
                            <w:sz w:val="21"/>
                          </w:rPr>
                          <w:t>慢性呼吸</w:t>
                        </w:r>
                      </w:p>
                      <w:p>
                        <w:pPr>
                          <w:pStyle w:val="TableParagraph"/>
                          <w:spacing w:line="337" w:lineRule="exact"/>
                          <w:ind w:left="126"/>
                          <w:rPr>
                            <w:rFonts w:ascii="微软雅黑" w:eastAsia="微软雅黑" w:hint="eastAsia"/>
                            <w:b/>
                            <w:sz w:val="21"/>
                          </w:rPr>
                        </w:pPr>
                        <w:r>
                          <w:rPr>
                            <w:rFonts w:ascii="微软雅黑" w:eastAsia="微软雅黑" w:hint="eastAsia"/>
                            <w:b/>
                            <w:sz w:val="21"/>
                          </w:rPr>
                          <w:t>功能衰竭</w:t>
                        </w:r>
                      </w:p>
                    </w:tc>
                    <w:tc>
                      <w:tcPr>
                        <w:tcW w:w="7553" w:type="dxa"/>
                      </w:tcPr>
                      <w:p>
                        <w:pPr>
                          <w:pStyle w:val="TableParagraph"/>
                          <w:spacing w:line="211" w:lineRule="exact"/>
                          <w:ind w:left="630"/>
                          <w:rPr>
                            <w:sz w:val="21"/>
                          </w:rPr>
                        </w:pPr>
                        <w:r>
                          <w:rPr>
                            <w:spacing w:val="-6"/>
                            <w:sz w:val="21"/>
                          </w:rPr>
                          <w:t>指慢性肺部疾病导致永久不可逆性的慢性呼吸功能衰竭。慢性呼吸功能衰竭</w:t>
                        </w:r>
                      </w:p>
                      <w:p>
                        <w:pPr>
                          <w:pStyle w:val="TableParagraph"/>
                          <w:spacing w:before="37"/>
                          <w:ind w:left="194" w:right="3959"/>
                          <w:jc w:val="center"/>
                          <w:rPr>
                            <w:sz w:val="21"/>
                          </w:rPr>
                        </w:pPr>
                        <w:r>
                          <w:rPr>
                            <w:sz w:val="21"/>
                          </w:rPr>
                          <w:t>必须明确诊断并满足下列全部条件：</w:t>
                        </w:r>
                      </w:p>
                      <w:p>
                        <w:pPr>
                          <w:pStyle w:val="TableParagraph"/>
                          <w:spacing w:before="37"/>
                          <w:ind w:left="630"/>
                          <w:rPr>
                            <w:sz w:val="21"/>
                          </w:rPr>
                        </w:pPr>
                        <w:r>
                          <w:rPr>
                            <w:sz w:val="21"/>
                          </w:rPr>
                          <w:t>（1）休息时出现呼吸困难；</w:t>
                        </w:r>
                      </w:p>
                    </w:tc>
                  </w:tr>
                  <w:tr>
                    <w:trPr>
                      <w:trHeight w:val="1092" w:hRule="atLeast"/>
                    </w:trPr>
                    <w:tc>
                      <w:tcPr>
                        <w:tcW w:w="812" w:type="dxa"/>
                      </w:tcPr>
                      <w:p>
                        <w:pPr>
                          <w:pStyle w:val="TableParagraph"/>
                          <w:rPr>
                            <w:rFonts w:ascii="Times New Roman"/>
                            <w:sz w:val="20"/>
                          </w:rPr>
                        </w:pPr>
                      </w:p>
                    </w:tc>
                    <w:tc>
                      <w:tcPr>
                        <w:tcW w:w="1181" w:type="dxa"/>
                      </w:tcPr>
                      <w:p>
                        <w:pPr>
                          <w:pStyle w:val="TableParagraph"/>
                          <w:rPr>
                            <w:rFonts w:ascii="Times New Roman"/>
                            <w:sz w:val="20"/>
                          </w:rPr>
                        </w:pPr>
                      </w:p>
                    </w:tc>
                    <w:tc>
                      <w:tcPr>
                        <w:tcW w:w="7553" w:type="dxa"/>
                      </w:tcPr>
                      <w:p>
                        <w:pPr>
                          <w:pStyle w:val="TableParagraph"/>
                          <w:spacing w:line="261" w:lineRule="exact"/>
                          <w:ind w:left="630"/>
                          <w:rPr>
                            <w:sz w:val="21"/>
                          </w:rPr>
                        </w:pPr>
                        <w:r>
                          <w:rPr>
                            <w:sz w:val="21"/>
                          </w:rPr>
                          <w:t>（2）动脉血氧分压（PaO</w:t>
                        </w:r>
                        <w:r>
                          <w:rPr>
                            <w:sz w:val="21"/>
                            <w:vertAlign w:val="subscript"/>
                          </w:rPr>
                          <w:t>2</w:t>
                        </w:r>
                        <w:r>
                          <w:rPr>
                            <w:sz w:val="21"/>
                            <w:vertAlign w:val="baseline"/>
                          </w:rPr>
                          <w:t>）&lt;</w:t>
                        </w:r>
                        <w:r>
                          <w:rPr>
                            <w:sz w:val="21"/>
                            <w:vertAlign w:val="baseline"/>
                          </w:rPr>
                          <w:t> 50mmHg；</w:t>
                        </w:r>
                      </w:p>
                      <w:p>
                        <w:pPr>
                          <w:pStyle w:val="TableParagraph"/>
                          <w:spacing w:before="37"/>
                          <w:ind w:left="630"/>
                          <w:rPr>
                            <w:sz w:val="21"/>
                          </w:rPr>
                        </w:pPr>
                        <w:r>
                          <w:rPr>
                            <w:sz w:val="21"/>
                          </w:rPr>
                          <w:t>（3）动脉血氧饱和度（SaO</w:t>
                        </w:r>
                        <w:r>
                          <w:rPr>
                            <w:sz w:val="21"/>
                            <w:vertAlign w:val="subscript"/>
                          </w:rPr>
                          <w:t>2</w:t>
                        </w:r>
                        <w:r>
                          <w:rPr>
                            <w:sz w:val="21"/>
                            <w:vertAlign w:val="baseline"/>
                          </w:rPr>
                          <w:t>）&lt;</w:t>
                        </w:r>
                        <w:r>
                          <w:rPr>
                            <w:sz w:val="21"/>
                            <w:vertAlign w:val="baseline"/>
                          </w:rPr>
                          <w:t> 80％；</w:t>
                        </w:r>
                      </w:p>
                      <w:p>
                        <w:pPr>
                          <w:pStyle w:val="TableParagraph"/>
                          <w:spacing w:before="37"/>
                          <w:ind w:left="630"/>
                          <w:rPr>
                            <w:sz w:val="21"/>
                          </w:rPr>
                        </w:pPr>
                        <w:r>
                          <w:rPr>
                            <w:sz w:val="21"/>
                          </w:rPr>
                          <w:t>（4）因缺氧必须接受持续的输氧治疗。</w:t>
                        </w:r>
                      </w:p>
                    </w:tc>
                  </w:tr>
                  <w:tr>
                    <w:trPr>
                      <w:trHeight w:val="467" w:hRule="atLeast"/>
                    </w:trPr>
                    <w:tc>
                      <w:tcPr>
                        <w:tcW w:w="812" w:type="dxa"/>
                      </w:tcPr>
                      <w:p>
                        <w:pPr>
                          <w:pStyle w:val="TableParagraph"/>
                          <w:spacing w:before="80"/>
                          <w:ind w:left="50"/>
                          <w:rPr>
                            <w:rFonts w:ascii="微软雅黑"/>
                            <w:b/>
                            <w:sz w:val="21"/>
                          </w:rPr>
                        </w:pPr>
                        <w:r>
                          <w:rPr>
                            <w:rFonts w:ascii="微软雅黑"/>
                            <w:b/>
                            <w:sz w:val="21"/>
                          </w:rPr>
                          <w:t>5.4.32</w:t>
                        </w:r>
                      </w:p>
                    </w:tc>
                    <w:tc>
                      <w:tcPr>
                        <w:tcW w:w="1181" w:type="dxa"/>
                      </w:tcPr>
                      <w:p>
                        <w:pPr>
                          <w:pStyle w:val="TableParagraph"/>
                          <w:spacing w:before="80"/>
                          <w:ind w:left="126"/>
                          <w:rPr>
                            <w:rFonts w:ascii="微软雅黑" w:hAnsi="微软雅黑" w:eastAsia="微软雅黑" w:hint="eastAsia"/>
                            <w:b/>
                            <w:sz w:val="21"/>
                          </w:rPr>
                        </w:pPr>
                        <w:r>
                          <w:rPr>
                            <w:rFonts w:ascii="微软雅黑" w:hAnsi="微软雅黑" w:eastAsia="微软雅黑" w:hint="eastAsia"/>
                            <w:b/>
                            <w:sz w:val="21"/>
                          </w:rPr>
                          <w:t>Ⅰ型糖尿</w:t>
                        </w:r>
                      </w:p>
                    </w:tc>
                    <w:tc>
                      <w:tcPr>
                        <w:tcW w:w="7553" w:type="dxa"/>
                      </w:tcPr>
                      <w:p>
                        <w:pPr>
                          <w:pStyle w:val="TableParagraph"/>
                          <w:spacing w:before="142"/>
                          <w:ind w:right="58"/>
                          <w:jc w:val="right"/>
                          <w:rPr>
                            <w:sz w:val="21"/>
                          </w:rPr>
                        </w:pPr>
                        <w:r>
                          <w:rPr>
                            <w:sz w:val="21"/>
                          </w:rPr>
                          <w:t>Ⅰ型糖尿病的特征为由于胰岛素分泌绝对不足引起严重胰岛素缺乏导致慢</w:t>
                        </w:r>
                      </w:p>
                    </w:tc>
                  </w:tr>
                  <w:tr>
                    <w:trPr>
                      <w:trHeight w:val="312" w:hRule="atLeast"/>
                    </w:trPr>
                    <w:tc>
                      <w:tcPr>
                        <w:tcW w:w="812" w:type="dxa"/>
                      </w:tcPr>
                      <w:p>
                        <w:pPr>
                          <w:pStyle w:val="TableParagraph"/>
                          <w:rPr>
                            <w:rFonts w:ascii="Times New Roman"/>
                            <w:sz w:val="20"/>
                          </w:rPr>
                        </w:pPr>
                      </w:p>
                    </w:tc>
                    <w:tc>
                      <w:tcPr>
                        <w:tcW w:w="1181" w:type="dxa"/>
                      </w:tcPr>
                      <w:p>
                        <w:pPr>
                          <w:pStyle w:val="TableParagraph"/>
                          <w:spacing w:line="287" w:lineRule="exact"/>
                          <w:ind w:left="126"/>
                          <w:rPr>
                            <w:rFonts w:ascii="微软雅黑" w:eastAsia="微软雅黑" w:hint="eastAsia"/>
                            <w:b/>
                            <w:sz w:val="21"/>
                          </w:rPr>
                        </w:pPr>
                        <w:r>
                          <w:rPr>
                            <w:rFonts w:ascii="微软雅黑" w:eastAsia="微软雅黑" w:hint="eastAsia"/>
                            <w:b/>
                            <w:w w:val="100"/>
                            <w:sz w:val="21"/>
                          </w:rPr>
                          <w:t>病</w:t>
                        </w:r>
                      </w:p>
                    </w:tc>
                    <w:tc>
                      <w:tcPr>
                        <w:tcW w:w="7553" w:type="dxa"/>
                      </w:tcPr>
                      <w:p>
                        <w:pPr>
                          <w:pStyle w:val="TableParagraph"/>
                          <w:spacing w:line="261" w:lineRule="exact"/>
                          <w:ind w:right="50"/>
                          <w:jc w:val="right"/>
                          <w:rPr>
                            <w:sz w:val="21"/>
                          </w:rPr>
                        </w:pPr>
                        <w:r>
                          <w:rPr>
                            <w:sz w:val="21"/>
                          </w:rPr>
                          <w:t>性血糖升高，需要依赖外源性胰岛素进行机体的葡萄糖代谢和维持生命。被保险</w:t>
                        </w:r>
                      </w:p>
                    </w:tc>
                  </w:tr>
                  <w:tr>
                    <w:trPr>
                      <w:trHeight w:val="312" w:hRule="atLeast"/>
                    </w:trPr>
                    <w:tc>
                      <w:tcPr>
                        <w:tcW w:w="812" w:type="dxa"/>
                      </w:tcPr>
                      <w:p>
                        <w:pPr>
                          <w:pStyle w:val="TableParagraph"/>
                          <w:rPr>
                            <w:rFonts w:ascii="Times New Roman"/>
                            <w:sz w:val="20"/>
                          </w:rPr>
                        </w:pPr>
                      </w:p>
                    </w:tc>
                    <w:tc>
                      <w:tcPr>
                        <w:tcW w:w="1181" w:type="dxa"/>
                      </w:tcPr>
                      <w:p>
                        <w:pPr>
                          <w:pStyle w:val="TableParagraph"/>
                          <w:rPr>
                            <w:rFonts w:ascii="Times New Roman"/>
                            <w:sz w:val="20"/>
                          </w:rPr>
                        </w:pPr>
                      </w:p>
                    </w:tc>
                    <w:tc>
                      <w:tcPr>
                        <w:tcW w:w="7553" w:type="dxa"/>
                      </w:tcPr>
                      <w:p>
                        <w:pPr>
                          <w:pStyle w:val="TableParagraph"/>
                          <w:spacing w:line="262" w:lineRule="exact"/>
                          <w:ind w:right="50"/>
                          <w:jc w:val="right"/>
                          <w:rPr>
                            <w:sz w:val="21"/>
                          </w:rPr>
                        </w:pPr>
                        <w:r>
                          <w:rPr>
                            <w:spacing w:val="-16"/>
                            <w:sz w:val="21"/>
                          </w:rPr>
                          <w:t>人的 </w:t>
                        </w:r>
                        <w:r>
                          <w:rPr>
                            <w:sz w:val="21"/>
                          </w:rPr>
                          <w:t>1</w:t>
                        </w:r>
                        <w:r>
                          <w:rPr>
                            <w:spacing w:val="-15"/>
                            <w:sz w:val="21"/>
                          </w:rPr>
                          <w:t> 型糖尿病必须明确诊断Ⅰ，而且有血胰岛素测定及血 </w:t>
                        </w:r>
                        <w:r>
                          <w:rPr>
                            <w:sz w:val="21"/>
                          </w:rPr>
                          <w:t>C</w:t>
                        </w:r>
                        <w:r>
                          <w:rPr>
                            <w:spacing w:val="-21"/>
                            <w:sz w:val="21"/>
                          </w:rPr>
                          <w:t> 肽或尿 </w:t>
                        </w:r>
                        <w:r>
                          <w:rPr>
                            <w:sz w:val="21"/>
                          </w:rPr>
                          <w:t>C</w:t>
                        </w:r>
                        <w:r>
                          <w:rPr>
                            <w:spacing w:val="-12"/>
                            <w:sz w:val="21"/>
                          </w:rPr>
                          <w:t> 肽测定结</w:t>
                        </w:r>
                      </w:p>
                    </w:tc>
                  </w:tr>
                  <w:tr>
                    <w:trPr>
                      <w:trHeight w:val="261" w:hRule="atLeast"/>
                    </w:trPr>
                    <w:tc>
                      <w:tcPr>
                        <w:tcW w:w="812" w:type="dxa"/>
                      </w:tcPr>
                      <w:p>
                        <w:pPr>
                          <w:pStyle w:val="TableParagraph"/>
                          <w:rPr>
                            <w:rFonts w:ascii="Times New Roman"/>
                            <w:sz w:val="18"/>
                          </w:rPr>
                        </w:pPr>
                      </w:p>
                    </w:tc>
                    <w:tc>
                      <w:tcPr>
                        <w:tcW w:w="1181" w:type="dxa"/>
                      </w:tcPr>
                      <w:p>
                        <w:pPr>
                          <w:pStyle w:val="TableParagraph"/>
                          <w:rPr>
                            <w:rFonts w:ascii="Times New Roman"/>
                            <w:sz w:val="18"/>
                          </w:rPr>
                        </w:pPr>
                      </w:p>
                    </w:tc>
                    <w:tc>
                      <w:tcPr>
                        <w:tcW w:w="7553" w:type="dxa"/>
                      </w:tcPr>
                      <w:p>
                        <w:pPr>
                          <w:pStyle w:val="TableParagraph"/>
                          <w:spacing w:line="242" w:lineRule="exact"/>
                          <w:ind w:left="210"/>
                          <w:rPr>
                            <w:sz w:val="21"/>
                          </w:rPr>
                        </w:pPr>
                        <w:r>
                          <w:rPr>
                            <w:sz w:val="21"/>
                          </w:rPr>
                          <w:t>果支持诊断，并且满足下列全部条件：</w:t>
                        </w:r>
                      </w:p>
                    </w:tc>
                  </w:tr>
                </w:tbl>
                <w:p>
                  <w:pPr>
                    <w:pStyle w:val="BodyText"/>
                  </w:pPr>
                </w:p>
              </w:txbxContent>
            </v:textbox>
            <w10:wrap type="none"/>
          </v:shape>
        </w:pict>
      </w:r>
      <w:r>
        <w:rPr/>
        <w:t>世界卫生组织（WHO）狼疮性肾炎分型：</w:t>
      </w:r>
    </w:p>
    <w:p>
      <w:pPr>
        <w:pStyle w:val="BodyText"/>
        <w:spacing w:before="4"/>
        <w:rPr>
          <w:sz w:val="5"/>
        </w:rPr>
      </w:pPr>
    </w:p>
    <w:tbl>
      <w:tblPr>
        <w:tblW w:w="0" w:type="auto"/>
        <w:jc w:val="left"/>
        <w:tblInd w:w="274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6"/>
        <w:gridCol w:w="1757"/>
      </w:tblGrid>
      <w:tr>
        <w:trPr>
          <w:trHeight w:val="362" w:hRule="atLeast"/>
        </w:trPr>
        <w:tc>
          <w:tcPr>
            <w:tcW w:w="656" w:type="dxa"/>
          </w:tcPr>
          <w:p>
            <w:pPr>
              <w:pStyle w:val="TableParagraph"/>
              <w:spacing w:before="12"/>
              <w:ind w:right="200"/>
              <w:jc w:val="center"/>
              <w:rPr>
                <w:sz w:val="21"/>
              </w:rPr>
            </w:pPr>
            <w:r>
              <w:rPr>
                <w:sz w:val="21"/>
              </w:rPr>
              <w:t>I 型</w:t>
            </w:r>
          </w:p>
        </w:tc>
        <w:tc>
          <w:tcPr>
            <w:tcW w:w="1757" w:type="dxa"/>
          </w:tcPr>
          <w:p>
            <w:pPr>
              <w:pStyle w:val="TableParagraph"/>
              <w:spacing w:before="12"/>
              <w:ind w:left="29"/>
              <w:rPr>
                <w:sz w:val="21"/>
              </w:rPr>
            </w:pPr>
            <w:r>
              <w:rPr>
                <w:sz w:val="21"/>
              </w:rPr>
              <w:t>微小病变型</w:t>
            </w:r>
          </w:p>
        </w:tc>
      </w:tr>
      <w:tr>
        <w:trPr>
          <w:trHeight w:val="361" w:hRule="atLeast"/>
        </w:trPr>
        <w:tc>
          <w:tcPr>
            <w:tcW w:w="656" w:type="dxa"/>
          </w:tcPr>
          <w:p>
            <w:pPr>
              <w:pStyle w:val="TableParagraph"/>
              <w:spacing w:before="11"/>
              <w:ind w:right="94"/>
              <w:jc w:val="center"/>
              <w:rPr>
                <w:sz w:val="21"/>
              </w:rPr>
            </w:pPr>
            <w:r>
              <w:rPr>
                <w:sz w:val="21"/>
              </w:rPr>
              <w:t>II 型</w:t>
            </w:r>
          </w:p>
        </w:tc>
        <w:tc>
          <w:tcPr>
            <w:tcW w:w="1757" w:type="dxa"/>
          </w:tcPr>
          <w:p>
            <w:pPr>
              <w:pStyle w:val="TableParagraph"/>
              <w:spacing w:before="11"/>
              <w:ind w:left="29"/>
              <w:rPr>
                <w:sz w:val="21"/>
              </w:rPr>
            </w:pPr>
            <w:r>
              <w:rPr>
                <w:sz w:val="21"/>
              </w:rPr>
              <w:t>系膜病变型</w:t>
            </w:r>
          </w:p>
        </w:tc>
      </w:tr>
      <w:tr>
        <w:trPr>
          <w:trHeight w:val="361" w:hRule="atLeast"/>
        </w:trPr>
        <w:tc>
          <w:tcPr>
            <w:tcW w:w="656" w:type="dxa"/>
          </w:tcPr>
          <w:p>
            <w:pPr>
              <w:pStyle w:val="TableParagraph"/>
              <w:spacing w:before="13"/>
              <w:ind w:left="8"/>
              <w:jc w:val="center"/>
              <w:rPr>
                <w:sz w:val="21"/>
              </w:rPr>
            </w:pPr>
            <w:r>
              <w:rPr>
                <w:sz w:val="21"/>
              </w:rPr>
              <w:t>III</w:t>
            </w:r>
            <w:r>
              <w:rPr>
                <w:spacing w:val="-25"/>
                <w:sz w:val="21"/>
              </w:rPr>
              <w:t> 型</w:t>
            </w:r>
          </w:p>
        </w:tc>
        <w:tc>
          <w:tcPr>
            <w:tcW w:w="1757" w:type="dxa"/>
          </w:tcPr>
          <w:p>
            <w:pPr>
              <w:pStyle w:val="TableParagraph"/>
              <w:spacing w:before="13"/>
              <w:ind w:left="29"/>
              <w:rPr>
                <w:sz w:val="21"/>
              </w:rPr>
            </w:pPr>
            <w:r>
              <w:rPr>
                <w:sz w:val="21"/>
              </w:rPr>
              <w:t>局灶及节段增生型</w:t>
            </w:r>
          </w:p>
        </w:tc>
      </w:tr>
      <w:tr>
        <w:trPr>
          <w:trHeight w:val="363" w:hRule="atLeast"/>
        </w:trPr>
        <w:tc>
          <w:tcPr>
            <w:tcW w:w="656" w:type="dxa"/>
          </w:tcPr>
          <w:p>
            <w:pPr>
              <w:pStyle w:val="TableParagraph"/>
              <w:spacing w:before="13"/>
              <w:ind w:right="94"/>
              <w:jc w:val="center"/>
              <w:rPr>
                <w:sz w:val="21"/>
              </w:rPr>
            </w:pPr>
            <w:r>
              <w:rPr>
                <w:sz w:val="21"/>
              </w:rPr>
              <w:t>IV 型</w:t>
            </w:r>
          </w:p>
        </w:tc>
        <w:tc>
          <w:tcPr>
            <w:tcW w:w="1757" w:type="dxa"/>
          </w:tcPr>
          <w:p>
            <w:pPr>
              <w:pStyle w:val="TableParagraph"/>
              <w:spacing w:before="13"/>
              <w:ind w:left="29"/>
              <w:rPr>
                <w:sz w:val="21"/>
              </w:rPr>
            </w:pPr>
            <w:r>
              <w:rPr>
                <w:sz w:val="21"/>
              </w:rPr>
              <w:t>弥漫增生型</w:t>
            </w:r>
          </w:p>
        </w:tc>
      </w:tr>
      <w:tr>
        <w:trPr>
          <w:trHeight w:val="361" w:hRule="atLeast"/>
        </w:trPr>
        <w:tc>
          <w:tcPr>
            <w:tcW w:w="656" w:type="dxa"/>
          </w:tcPr>
          <w:p>
            <w:pPr>
              <w:pStyle w:val="TableParagraph"/>
              <w:spacing w:before="11"/>
              <w:ind w:right="200"/>
              <w:jc w:val="center"/>
              <w:rPr>
                <w:sz w:val="21"/>
              </w:rPr>
            </w:pPr>
            <w:r>
              <w:rPr>
                <w:sz w:val="21"/>
              </w:rPr>
              <w:t>V 型</w:t>
            </w:r>
          </w:p>
        </w:tc>
        <w:tc>
          <w:tcPr>
            <w:tcW w:w="1757" w:type="dxa"/>
          </w:tcPr>
          <w:p>
            <w:pPr>
              <w:pStyle w:val="TableParagraph"/>
              <w:spacing w:before="11"/>
              <w:ind w:left="29"/>
              <w:rPr>
                <w:sz w:val="21"/>
              </w:rPr>
            </w:pPr>
            <w:r>
              <w:rPr>
                <w:sz w:val="21"/>
              </w:rPr>
              <w:t>膜型</w:t>
            </w:r>
          </w:p>
        </w:tc>
      </w:tr>
      <w:tr>
        <w:trPr>
          <w:trHeight w:val="362" w:hRule="atLeast"/>
        </w:trPr>
        <w:tc>
          <w:tcPr>
            <w:tcW w:w="656" w:type="dxa"/>
          </w:tcPr>
          <w:p>
            <w:pPr>
              <w:pStyle w:val="TableParagraph"/>
              <w:spacing w:before="14"/>
              <w:ind w:right="94"/>
              <w:jc w:val="center"/>
              <w:rPr>
                <w:sz w:val="21"/>
              </w:rPr>
            </w:pPr>
            <w:r>
              <w:rPr>
                <w:sz w:val="21"/>
              </w:rPr>
              <w:t>VI 型</w:t>
            </w:r>
          </w:p>
        </w:tc>
        <w:tc>
          <w:tcPr>
            <w:tcW w:w="1757" w:type="dxa"/>
          </w:tcPr>
          <w:p>
            <w:pPr>
              <w:pStyle w:val="TableParagraph"/>
              <w:spacing w:before="14"/>
              <w:ind w:left="29"/>
              <w:rPr>
                <w:sz w:val="21"/>
              </w:rPr>
            </w:pPr>
            <w:r>
              <w:rPr>
                <w:sz w:val="21"/>
              </w:rPr>
              <w:t>肾小球硬化型</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6"/>
        </w:rPr>
      </w:pPr>
    </w:p>
    <w:p>
      <w:pPr>
        <w:pStyle w:val="BodyText"/>
        <w:ind w:left="714"/>
      </w:pPr>
      <w:r>
        <w:rPr/>
        <w:t>（1）已经持续性地接受外源性胰岛素注射治疗连续 180 天以上；</w:t>
      </w:r>
    </w:p>
    <w:p>
      <w:pPr>
        <w:pStyle w:val="BodyText"/>
        <w:spacing w:line="273" w:lineRule="auto" w:before="36"/>
        <w:ind w:left="293" w:right="168" w:firstLine="420"/>
      </w:pPr>
      <w:r>
        <w:rPr/>
        <w:t>（2）因需要已经接受了下列治疗：因严重心律失常植入了心脏起搏器；或因坏疽自跖趾关节或以上切除了一趾或多趾。</w:t>
      </w:r>
    </w:p>
    <w:p>
      <w:pPr>
        <w:spacing w:after="0" w:line="273" w:lineRule="auto"/>
        <w:sectPr>
          <w:type w:val="continuous"/>
          <w:pgSz w:w="11910" w:h="16840"/>
          <w:pgMar w:top="260" w:bottom="1180" w:left="1080" w:right="1060"/>
          <w:cols w:num="2" w:equalWidth="0">
            <w:col w:w="1974" w:space="40"/>
            <w:col w:w="7756"/>
          </w:cols>
        </w:sectPr>
      </w:pPr>
    </w:p>
    <w:p>
      <w:pPr>
        <w:pStyle w:val="BodyText"/>
        <w:spacing w:before="7"/>
      </w:pPr>
    </w:p>
    <w:p>
      <w:pPr>
        <w:spacing w:after="0"/>
        <w:sectPr>
          <w:type w:val="continuous"/>
          <w:pgSz w:w="11910" w:h="16840"/>
          <w:pgMar w:top="260" w:bottom="1180" w:left="1080" w:right="1060"/>
        </w:sectPr>
      </w:pPr>
    </w:p>
    <w:p>
      <w:pPr>
        <w:pStyle w:val="Heading2"/>
        <w:numPr>
          <w:ilvl w:val="2"/>
          <w:numId w:val="3"/>
        </w:numPr>
        <w:tabs>
          <w:tab w:pos="1041" w:val="left" w:leader="none"/>
          <w:tab w:pos="1042" w:val="left" w:leader="none"/>
        </w:tabs>
        <w:spacing w:line="312" w:lineRule="exact" w:before="0" w:after="0"/>
        <w:ind w:left="1042" w:right="0" w:hanging="889"/>
        <w:jc w:val="left"/>
      </w:pPr>
      <w:r>
        <w:rPr>
          <w:spacing w:val="1"/>
        </w:rPr>
        <w:t>坏 死 性 筋</w:t>
      </w:r>
    </w:p>
    <w:p>
      <w:pPr>
        <w:spacing w:line="337" w:lineRule="exact" w:before="0"/>
        <w:ind w:left="1041" w:right="0" w:firstLine="0"/>
        <w:jc w:val="left"/>
        <w:rPr>
          <w:rFonts w:ascii="微软雅黑" w:eastAsia="微软雅黑" w:hint="eastAsia"/>
          <w:b/>
          <w:sz w:val="21"/>
        </w:rPr>
      </w:pPr>
      <w:r>
        <w:rPr>
          <w:rFonts w:ascii="微软雅黑" w:eastAsia="微软雅黑" w:hint="eastAsia"/>
          <w:b/>
          <w:sz w:val="21"/>
        </w:rPr>
        <w:t>膜炎</w:t>
      </w:r>
    </w:p>
    <w:p>
      <w:pPr>
        <w:pStyle w:val="BodyText"/>
        <w:spacing w:before="37"/>
        <w:ind w:left="574"/>
      </w:pPr>
      <w:r>
        <w:rPr/>
        <w:br w:type="column"/>
      </w:r>
      <w:r>
        <w:rPr/>
        <w:t>坏死性筋膜炎的诊断须同时符合下列要求：</w:t>
      </w:r>
    </w:p>
    <w:p>
      <w:pPr>
        <w:pStyle w:val="BodyText"/>
        <w:spacing w:before="37"/>
        <w:ind w:left="574"/>
      </w:pPr>
      <w:r>
        <w:rPr/>
        <w:t>（1）符合坏死性筋膜炎的一般临床表现；</w:t>
      </w:r>
    </w:p>
    <w:p>
      <w:pPr>
        <w:pStyle w:val="BodyText"/>
        <w:spacing w:before="37"/>
        <w:ind w:left="574"/>
      </w:pPr>
      <w:r>
        <w:rPr/>
        <w:t>（2）细菌培养检出致病菌；</w:t>
      </w:r>
    </w:p>
    <w:p>
      <w:pPr>
        <w:pStyle w:val="BodyText"/>
        <w:spacing w:line="273" w:lineRule="auto" w:before="37"/>
        <w:ind w:left="153" w:right="207" w:firstLine="420"/>
      </w:pPr>
      <w:r>
        <w:rPr/>
        <w:t>（3）出现广泛性肌肉及组织坏死，并确实实施了坏死组织和筋膜以及肌肉的切除手术。清创术不在保障范围内。</w:t>
      </w:r>
    </w:p>
    <w:p>
      <w:pPr>
        <w:spacing w:after="0" w:line="273" w:lineRule="auto"/>
        <w:sectPr>
          <w:type w:val="continuous"/>
          <w:pgSz w:w="11910" w:h="16840"/>
          <w:pgMar w:top="260" w:bottom="1180" w:left="1080" w:right="1060"/>
          <w:cols w:num="2" w:equalWidth="0">
            <w:col w:w="2093" w:space="60"/>
            <w:col w:w="7617"/>
          </w:cols>
        </w:sectPr>
      </w:pPr>
    </w:p>
    <w:p>
      <w:pPr>
        <w:pStyle w:val="BodyText"/>
        <w:spacing w:before="8"/>
      </w:pPr>
    </w:p>
    <w:p>
      <w:pPr>
        <w:spacing w:after="0"/>
        <w:sectPr>
          <w:type w:val="continuous"/>
          <w:pgSz w:w="11910" w:h="16840"/>
          <w:pgMar w:top="260" w:bottom="1180" w:left="1080" w:right="1060"/>
        </w:sectPr>
      </w:pPr>
    </w:p>
    <w:p>
      <w:pPr>
        <w:pStyle w:val="Heading2"/>
        <w:numPr>
          <w:ilvl w:val="2"/>
          <w:numId w:val="3"/>
        </w:numPr>
        <w:tabs>
          <w:tab w:pos="1041" w:val="left" w:leader="none"/>
          <w:tab w:pos="1042" w:val="left" w:leader="none"/>
        </w:tabs>
        <w:spacing w:line="312" w:lineRule="exact" w:before="0" w:after="0"/>
        <w:ind w:left="1042" w:right="0" w:hanging="889"/>
        <w:jc w:val="left"/>
      </w:pPr>
      <w:r>
        <w:rPr/>
        <w:t>严重类风</w:t>
      </w:r>
    </w:p>
    <w:p>
      <w:pPr>
        <w:spacing w:line="206" w:lineRule="auto" w:before="25"/>
        <w:ind w:left="1041" w:right="0" w:firstLine="0"/>
        <w:jc w:val="left"/>
        <w:rPr>
          <w:rFonts w:ascii="微软雅黑" w:eastAsia="微软雅黑" w:hint="eastAsia"/>
          <w:b/>
          <w:sz w:val="21"/>
        </w:rPr>
      </w:pPr>
      <w:r>
        <w:rPr>
          <w:rFonts w:ascii="微软雅黑" w:eastAsia="微软雅黑" w:hint="eastAsia"/>
          <w:b/>
          <w:sz w:val="21"/>
        </w:rPr>
        <w:t>湿性关节炎</w:t>
      </w:r>
    </w:p>
    <w:p>
      <w:pPr>
        <w:pStyle w:val="BodyText"/>
        <w:spacing w:line="273" w:lineRule="auto" w:before="37"/>
        <w:ind w:left="153" w:right="167" w:firstLine="420"/>
        <w:jc w:val="both"/>
      </w:pPr>
      <w:r>
        <w:rPr/>
        <w:br w:type="column"/>
      </w:r>
      <w:r>
        <w:rPr>
          <w:spacing w:val="-6"/>
        </w:rPr>
        <w:t>指广泛分布的慢性进行性多关节病变，表现为关节严重变形，侵犯至少三个</w:t>
      </w:r>
      <w:r>
        <w:rPr>
          <w:spacing w:val="-10"/>
        </w:rPr>
        <w:t>主要四肢关节或关节组。类风湿性关节炎必须明确诊断并且已经达到类风湿性关</w:t>
      </w:r>
      <w:r>
        <w:rPr>
          <w:spacing w:val="-7"/>
        </w:rPr>
        <w:t>节炎功能分类 </w:t>
      </w:r>
      <w:r>
        <w:rPr/>
        <w:t>IV</w:t>
      </w:r>
      <w:r>
        <w:rPr>
          <w:spacing w:val="-5"/>
        </w:rPr>
        <w:t> 级的永久不可逆性关节功能障碍</w:t>
      </w:r>
      <w:r>
        <w:rPr>
          <w:spacing w:val="-3"/>
        </w:rPr>
        <w:t>（生活不能自理，且丧失工作能力）并且满足下列全部条件：</w:t>
      </w:r>
    </w:p>
    <w:p>
      <w:pPr>
        <w:pStyle w:val="BodyText"/>
        <w:spacing w:before="7"/>
        <w:ind w:left="574"/>
      </w:pPr>
      <w:r>
        <w:rPr/>
        <w:t>（1）晨僵；</w:t>
      </w:r>
    </w:p>
    <w:p>
      <w:pPr>
        <w:pStyle w:val="BodyText"/>
        <w:spacing w:before="36"/>
        <w:ind w:left="574"/>
      </w:pPr>
      <w:r>
        <w:rPr/>
        <w:t>（2）对称性关节炎；</w:t>
      </w:r>
    </w:p>
    <w:p>
      <w:pPr>
        <w:pStyle w:val="BodyText"/>
        <w:spacing w:before="36"/>
        <w:ind w:left="574"/>
      </w:pPr>
      <w:r>
        <w:rPr/>
        <w:t>（3）类风湿性皮下结节；</w:t>
      </w:r>
    </w:p>
    <w:p>
      <w:pPr>
        <w:pStyle w:val="BodyText"/>
        <w:spacing w:before="36"/>
        <w:ind w:left="574"/>
      </w:pPr>
      <w:r>
        <w:rPr/>
        <w:t>（4）类风湿因子滴度升高；</w:t>
      </w:r>
    </w:p>
    <w:p>
      <w:pPr>
        <w:pStyle w:val="BodyText"/>
        <w:spacing w:before="36"/>
        <w:ind w:left="574"/>
      </w:pPr>
      <w:r>
        <w:rPr/>
        <w:t>（5）X 线显示严重的关节（软骨和骨）破坏和关节畸形。</w:t>
      </w:r>
    </w:p>
    <w:p>
      <w:pPr>
        <w:pStyle w:val="BodyText"/>
        <w:spacing w:line="273" w:lineRule="auto" w:before="37"/>
        <w:ind w:left="153" w:right="105" w:firstLine="420"/>
      </w:pPr>
      <w:r>
        <w:rPr/>
        <w:t>主要四肢关节或关节组，指双手（多手指）关节、双腕关节、双肘关节、双肩关节、双足（多足趾）关节、双踝关节、双膝关节和双髋关节。</w:t>
      </w:r>
    </w:p>
    <w:p>
      <w:pPr>
        <w:spacing w:after="0" w:line="273" w:lineRule="auto"/>
        <w:sectPr>
          <w:type w:val="continuous"/>
          <w:pgSz w:w="11910" w:h="16840"/>
          <w:pgMar w:top="260" w:bottom="1180" w:left="1080" w:right="1060"/>
          <w:cols w:num="2" w:equalWidth="0">
            <w:col w:w="1887" w:space="266"/>
            <w:col w:w="7617"/>
          </w:cols>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84"/>
        <w:gridCol w:w="7600"/>
      </w:tblGrid>
      <w:tr>
        <w:trPr>
          <w:trHeight w:val="1041" w:hRule="atLeast"/>
        </w:trPr>
        <w:tc>
          <w:tcPr>
            <w:tcW w:w="962" w:type="dxa"/>
          </w:tcPr>
          <w:p>
            <w:pPr>
              <w:pStyle w:val="TableParagraph"/>
              <w:spacing w:line="236" w:lineRule="exact"/>
              <w:ind w:left="200"/>
              <w:rPr>
                <w:rFonts w:ascii="微软雅黑"/>
                <w:b/>
                <w:sz w:val="21"/>
              </w:rPr>
            </w:pPr>
            <w:r>
              <w:rPr>
                <w:rFonts w:ascii="微软雅黑"/>
                <w:b/>
                <w:sz w:val="21"/>
              </w:rPr>
              <w:t>5.4.35</w:t>
            </w:r>
          </w:p>
        </w:tc>
        <w:tc>
          <w:tcPr>
            <w:tcW w:w="1284" w:type="dxa"/>
          </w:tcPr>
          <w:p>
            <w:pPr>
              <w:pStyle w:val="TableParagraph"/>
              <w:spacing w:line="211" w:lineRule="exact"/>
              <w:ind w:left="126"/>
              <w:rPr>
                <w:rFonts w:ascii="微软雅黑" w:eastAsia="微软雅黑" w:hint="eastAsia"/>
                <w:b/>
                <w:sz w:val="21"/>
              </w:rPr>
            </w:pPr>
            <w:r>
              <w:rPr>
                <w:rFonts w:ascii="微软雅黑" w:eastAsia="微软雅黑" w:hint="eastAsia"/>
                <w:b/>
                <w:sz w:val="21"/>
              </w:rPr>
              <w:t>严重克隆</w:t>
            </w:r>
          </w:p>
          <w:p>
            <w:pPr>
              <w:pStyle w:val="TableParagraph"/>
              <w:spacing w:line="337" w:lineRule="exact"/>
              <w:ind w:left="126"/>
              <w:rPr>
                <w:rFonts w:ascii="微软雅黑" w:eastAsia="微软雅黑" w:hint="eastAsia"/>
                <w:b/>
                <w:sz w:val="21"/>
              </w:rPr>
            </w:pPr>
            <w:r>
              <w:rPr>
                <w:rFonts w:ascii="微软雅黑" w:eastAsia="微软雅黑" w:hint="eastAsia"/>
                <w:b/>
                <w:w w:val="100"/>
                <w:sz w:val="21"/>
              </w:rPr>
              <w:t>病</w:t>
            </w:r>
          </w:p>
        </w:tc>
        <w:tc>
          <w:tcPr>
            <w:tcW w:w="7600" w:type="dxa"/>
          </w:tcPr>
          <w:p>
            <w:pPr>
              <w:pStyle w:val="TableParagraph"/>
              <w:spacing w:line="211" w:lineRule="exact"/>
              <w:ind w:left="530"/>
              <w:rPr>
                <w:sz w:val="21"/>
              </w:rPr>
            </w:pPr>
            <w:r>
              <w:rPr>
                <w:sz w:val="21"/>
              </w:rPr>
              <w:t>指一种慢性肉芽肿性肠炎，具有特征性的克隆病病理组织学变化。诊断必须</w:t>
            </w:r>
          </w:p>
          <w:p>
            <w:pPr>
              <w:pStyle w:val="TableParagraph"/>
              <w:spacing w:line="273" w:lineRule="auto" w:before="37"/>
              <w:ind w:left="107" w:right="200"/>
              <w:rPr>
                <w:sz w:val="21"/>
              </w:rPr>
            </w:pPr>
            <w:r>
              <w:rPr>
                <w:spacing w:val="-10"/>
                <w:sz w:val="21"/>
              </w:rPr>
              <w:t>由病理检查结果证实。被保险人所患的克隆病必须已经造成瘘管形成并伴有肠梗</w:t>
            </w:r>
            <w:r>
              <w:rPr>
                <w:spacing w:val="-5"/>
                <w:sz w:val="21"/>
              </w:rPr>
              <w:t>阻或肠穿孔。</w:t>
            </w:r>
          </w:p>
        </w:tc>
      </w:tr>
      <w:tr>
        <w:trPr>
          <w:trHeight w:val="1560" w:hRule="atLeast"/>
        </w:trPr>
        <w:tc>
          <w:tcPr>
            <w:tcW w:w="962" w:type="dxa"/>
          </w:tcPr>
          <w:p>
            <w:pPr>
              <w:pStyle w:val="TableParagraph"/>
              <w:spacing w:before="80"/>
              <w:ind w:left="200"/>
              <w:rPr>
                <w:rFonts w:ascii="微软雅黑"/>
                <w:b/>
                <w:sz w:val="21"/>
              </w:rPr>
            </w:pPr>
            <w:r>
              <w:rPr>
                <w:rFonts w:ascii="微软雅黑"/>
                <w:b/>
                <w:sz w:val="21"/>
              </w:rPr>
              <w:t>5.4.36</w:t>
            </w:r>
          </w:p>
        </w:tc>
        <w:tc>
          <w:tcPr>
            <w:tcW w:w="1284" w:type="dxa"/>
          </w:tcPr>
          <w:p>
            <w:pPr>
              <w:pStyle w:val="TableParagraph"/>
              <w:spacing w:line="206" w:lineRule="auto" w:before="131"/>
              <w:ind w:left="126" w:right="310"/>
              <w:rPr>
                <w:rFonts w:ascii="微软雅黑" w:eastAsia="微软雅黑" w:hint="eastAsia"/>
                <w:b/>
                <w:sz w:val="21"/>
              </w:rPr>
            </w:pPr>
            <w:r>
              <w:rPr>
                <w:rFonts w:ascii="微软雅黑" w:eastAsia="微软雅黑" w:hint="eastAsia"/>
                <w:b/>
                <w:sz w:val="21"/>
              </w:rPr>
              <w:t>严重冠心病</w:t>
            </w:r>
          </w:p>
        </w:tc>
        <w:tc>
          <w:tcPr>
            <w:tcW w:w="7600" w:type="dxa"/>
          </w:tcPr>
          <w:p>
            <w:pPr>
              <w:pStyle w:val="TableParagraph"/>
              <w:spacing w:line="273" w:lineRule="auto" w:before="142"/>
              <w:ind w:left="107" w:right="197" w:firstLine="420"/>
              <w:jc w:val="both"/>
              <w:rPr>
                <w:sz w:val="21"/>
              </w:rPr>
            </w:pPr>
            <w:r>
              <w:rPr>
                <w:spacing w:val="-6"/>
                <w:sz w:val="21"/>
              </w:rPr>
              <w:t>指经根据冠状动脉造影检查结果确诊为三支主要血管</w:t>
            </w:r>
            <w:r>
              <w:rPr>
                <w:sz w:val="21"/>
              </w:rPr>
              <w:t>（</w:t>
            </w:r>
            <w:r>
              <w:rPr>
                <w:spacing w:val="-3"/>
                <w:sz w:val="21"/>
              </w:rPr>
              <w:t>左冠状动脉主干和右</w:t>
            </w:r>
            <w:r>
              <w:rPr>
                <w:spacing w:val="-8"/>
                <w:sz w:val="21"/>
              </w:rPr>
              <w:t>冠状动脉，或前降支、左旋支和右冠状动脉</w:t>
            </w:r>
            <w:r>
              <w:rPr>
                <w:spacing w:val="-20"/>
                <w:sz w:val="21"/>
              </w:rPr>
              <w:t>）</w:t>
            </w:r>
            <w:r>
              <w:rPr>
                <w:spacing w:val="-6"/>
                <w:sz w:val="21"/>
              </w:rPr>
              <w:t>严重狭窄性病变</w:t>
            </w:r>
            <w:r>
              <w:rPr>
                <w:sz w:val="21"/>
              </w:rPr>
              <w:t>（</w:t>
            </w:r>
            <w:r>
              <w:rPr>
                <w:spacing w:val="-3"/>
                <w:sz w:val="21"/>
              </w:rPr>
              <w:t>至少一支血管管腔直径减少</w:t>
            </w:r>
            <w:r>
              <w:rPr>
                <w:sz w:val="21"/>
              </w:rPr>
              <w:t>75</w:t>
            </w:r>
            <w:r>
              <w:rPr>
                <w:spacing w:val="-3"/>
                <w:sz w:val="21"/>
              </w:rPr>
              <w:t>％以上和其它两支血管管腔直径减少</w:t>
            </w:r>
            <w:r>
              <w:rPr>
                <w:sz w:val="21"/>
              </w:rPr>
              <w:t>60％</w:t>
            </w:r>
            <w:r>
              <w:rPr>
                <w:spacing w:val="-2"/>
                <w:sz w:val="21"/>
              </w:rPr>
              <w:t>以上</w:t>
            </w:r>
            <w:r>
              <w:rPr>
                <w:spacing w:val="-106"/>
                <w:sz w:val="21"/>
              </w:rPr>
              <w:t>）</w:t>
            </w:r>
            <w:r>
              <w:rPr>
                <w:spacing w:val="-3"/>
                <w:sz w:val="21"/>
              </w:rPr>
              <w:t>。前降支、左旋支及右冠状动脉的分支血管的狭窄不作为本保障的衡量指标。</w:t>
            </w:r>
          </w:p>
        </w:tc>
      </w:tr>
      <w:tr>
        <w:trPr>
          <w:trHeight w:val="1560" w:hRule="atLeast"/>
        </w:trPr>
        <w:tc>
          <w:tcPr>
            <w:tcW w:w="962" w:type="dxa"/>
          </w:tcPr>
          <w:p>
            <w:pPr>
              <w:pStyle w:val="TableParagraph"/>
              <w:spacing w:before="80"/>
              <w:ind w:left="200"/>
              <w:rPr>
                <w:rFonts w:ascii="微软雅黑"/>
                <w:b/>
                <w:sz w:val="21"/>
              </w:rPr>
            </w:pPr>
            <w:r>
              <w:rPr>
                <w:rFonts w:ascii="微软雅黑"/>
                <w:b/>
                <w:sz w:val="21"/>
              </w:rPr>
              <w:t>5.4.37</w:t>
            </w:r>
          </w:p>
        </w:tc>
        <w:tc>
          <w:tcPr>
            <w:tcW w:w="1284" w:type="dxa"/>
          </w:tcPr>
          <w:p>
            <w:pPr>
              <w:pStyle w:val="TableParagraph"/>
              <w:spacing w:line="206" w:lineRule="auto" w:before="131"/>
              <w:ind w:left="126" w:right="310"/>
              <w:rPr>
                <w:rFonts w:ascii="微软雅黑" w:eastAsia="微软雅黑" w:hint="eastAsia"/>
                <w:b/>
                <w:sz w:val="21"/>
              </w:rPr>
            </w:pPr>
            <w:r>
              <w:rPr>
                <w:rFonts w:ascii="微软雅黑" w:eastAsia="微软雅黑" w:hint="eastAsia"/>
                <w:b/>
                <w:sz w:val="21"/>
              </w:rPr>
              <w:t>严重溃疡性结肠炎</w:t>
            </w:r>
          </w:p>
        </w:tc>
        <w:tc>
          <w:tcPr>
            <w:tcW w:w="7600" w:type="dxa"/>
          </w:tcPr>
          <w:p>
            <w:pPr>
              <w:pStyle w:val="TableParagraph"/>
              <w:spacing w:line="273" w:lineRule="auto" w:before="142"/>
              <w:ind w:left="107" w:right="138" w:firstLine="420"/>
              <w:rPr>
                <w:sz w:val="21"/>
              </w:rPr>
            </w:pPr>
            <w:r>
              <w:rPr>
                <w:sz w:val="21"/>
              </w:rPr>
              <w:t>指伴有致命性电解质紊乱的急性暴发性溃疡性结肠炎，病变累及全结肠，表现为严重的血便和系统性症状体征，治疗通常采取全结肠切除和回肠造瘘术。</w:t>
            </w:r>
          </w:p>
          <w:p>
            <w:pPr>
              <w:pStyle w:val="TableParagraph"/>
              <w:spacing w:line="273" w:lineRule="auto" w:before="7"/>
              <w:ind w:left="107" w:right="200" w:firstLine="420"/>
              <w:rPr>
                <w:sz w:val="21"/>
              </w:rPr>
            </w:pPr>
            <w:r>
              <w:rPr>
                <w:spacing w:val="-7"/>
                <w:sz w:val="21"/>
              </w:rPr>
              <w:t>溃疡性结肠炎必须根据组织病理学特点诊断，并且被保险人已经接受了结肠</w:t>
            </w:r>
            <w:r>
              <w:rPr>
                <w:spacing w:val="-5"/>
                <w:sz w:val="21"/>
              </w:rPr>
              <w:t>切除和回肠造瘘术。</w:t>
            </w:r>
          </w:p>
        </w:tc>
      </w:tr>
      <w:tr>
        <w:trPr>
          <w:trHeight w:val="1559" w:hRule="atLeast"/>
        </w:trPr>
        <w:tc>
          <w:tcPr>
            <w:tcW w:w="962" w:type="dxa"/>
          </w:tcPr>
          <w:p>
            <w:pPr>
              <w:pStyle w:val="TableParagraph"/>
              <w:spacing w:before="80"/>
              <w:ind w:left="200"/>
              <w:rPr>
                <w:rFonts w:ascii="微软雅黑"/>
                <w:b/>
                <w:sz w:val="21"/>
              </w:rPr>
            </w:pPr>
            <w:r>
              <w:rPr>
                <w:rFonts w:ascii="微软雅黑"/>
                <w:b/>
                <w:sz w:val="21"/>
              </w:rPr>
              <w:t>5.4.38</w:t>
            </w:r>
          </w:p>
        </w:tc>
        <w:tc>
          <w:tcPr>
            <w:tcW w:w="1284" w:type="dxa"/>
          </w:tcPr>
          <w:p>
            <w:pPr>
              <w:pStyle w:val="TableParagraph"/>
              <w:spacing w:line="206" w:lineRule="auto" w:before="131"/>
              <w:ind w:left="126" w:right="310"/>
              <w:rPr>
                <w:rFonts w:ascii="微软雅黑" w:eastAsia="微软雅黑" w:hint="eastAsia"/>
                <w:b/>
                <w:sz w:val="21"/>
              </w:rPr>
            </w:pPr>
            <w:r>
              <w:rPr>
                <w:rFonts w:ascii="微软雅黑" w:eastAsia="微软雅黑" w:hint="eastAsia"/>
                <w:b/>
                <w:sz w:val="21"/>
              </w:rPr>
              <w:t>持续植物人状态</w:t>
            </w:r>
          </w:p>
        </w:tc>
        <w:tc>
          <w:tcPr>
            <w:tcW w:w="7600" w:type="dxa"/>
          </w:tcPr>
          <w:p>
            <w:pPr>
              <w:pStyle w:val="TableParagraph"/>
              <w:spacing w:line="266" w:lineRule="auto" w:before="142"/>
              <w:ind w:left="107" w:right="198" w:firstLine="423"/>
              <w:rPr>
                <w:sz w:val="21"/>
              </w:rPr>
            </w:pPr>
            <w:r>
              <w:rPr>
                <w:spacing w:val="-3"/>
                <w:sz w:val="21"/>
              </w:rPr>
              <w:t>指由于严重颅脑外伤造成大脑和脑干严重损害导致完全永久性的对自身和</w:t>
            </w:r>
            <w:r>
              <w:rPr>
                <w:spacing w:val="-6"/>
                <w:sz w:val="21"/>
              </w:rPr>
              <w:t>环境的意识丧失和中枢神经系统功能丧失，仅残存植物神经功能的疾病状态，且</w:t>
            </w:r>
            <w:r>
              <w:rPr>
                <w:spacing w:val="-4"/>
                <w:sz w:val="21"/>
              </w:rPr>
              <w:t>植物人状态须已持续</w:t>
            </w:r>
            <w:r>
              <w:rPr>
                <w:rFonts w:ascii="Times New Roman" w:eastAsia="Times New Roman"/>
                <w:sz w:val="21"/>
              </w:rPr>
              <w:t>30</w:t>
            </w:r>
            <w:r>
              <w:rPr>
                <w:spacing w:val="-10"/>
                <w:sz w:val="21"/>
              </w:rPr>
              <w:t>天以上。诊断必须确诊并且具有严重颅脑外伤和脑损害的证据。</w:t>
            </w:r>
          </w:p>
        </w:tc>
      </w:tr>
      <w:tr>
        <w:trPr>
          <w:trHeight w:val="1872" w:hRule="atLeast"/>
        </w:trPr>
        <w:tc>
          <w:tcPr>
            <w:tcW w:w="962" w:type="dxa"/>
          </w:tcPr>
          <w:p>
            <w:pPr>
              <w:pStyle w:val="TableParagraph"/>
              <w:spacing w:before="80"/>
              <w:ind w:left="200"/>
              <w:rPr>
                <w:rFonts w:ascii="微软雅黑"/>
                <w:b/>
                <w:sz w:val="21"/>
              </w:rPr>
            </w:pPr>
            <w:r>
              <w:rPr>
                <w:rFonts w:ascii="微软雅黑"/>
                <w:b/>
                <w:sz w:val="21"/>
              </w:rPr>
              <w:t>5.4.39</w:t>
            </w:r>
          </w:p>
        </w:tc>
        <w:tc>
          <w:tcPr>
            <w:tcW w:w="1284" w:type="dxa"/>
          </w:tcPr>
          <w:p>
            <w:pPr>
              <w:pStyle w:val="TableParagraph"/>
              <w:spacing w:line="206" w:lineRule="auto" w:before="131"/>
              <w:ind w:left="126" w:right="310"/>
              <w:rPr>
                <w:rFonts w:ascii="微软雅黑" w:eastAsia="微软雅黑" w:hint="eastAsia"/>
                <w:b/>
                <w:sz w:val="21"/>
              </w:rPr>
            </w:pPr>
            <w:r>
              <w:rPr>
                <w:rFonts w:ascii="微软雅黑" w:eastAsia="微软雅黑" w:hint="eastAsia"/>
                <w:b/>
                <w:sz w:val="21"/>
              </w:rPr>
              <w:t>急性脊髓灰质炎</w:t>
            </w:r>
          </w:p>
        </w:tc>
        <w:tc>
          <w:tcPr>
            <w:tcW w:w="7600" w:type="dxa"/>
          </w:tcPr>
          <w:p>
            <w:pPr>
              <w:pStyle w:val="TableParagraph"/>
              <w:spacing w:line="273" w:lineRule="auto" w:before="142"/>
              <w:ind w:left="107" w:right="198" w:firstLine="420"/>
              <w:rPr>
                <w:sz w:val="21"/>
              </w:rPr>
            </w:pPr>
            <w:r>
              <w:rPr>
                <w:spacing w:val="-3"/>
                <w:sz w:val="21"/>
              </w:rPr>
              <w:t>指由于脊髓灰质炎病毒感染所导致的运动功能障碍或呼吸功能减弱的瘫痪</w:t>
            </w:r>
            <w:r>
              <w:rPr>
                <w:spacing w:val="-7"/>
                <w:sz w:val="21"/>
              </w:rPr>
              <w:t>性疾病。理赔时必须提供相关的脊髓灰质炎病毒感染的证据</w:t>
            </w:r>
            <w:r>
              <w:rPr>
                <w:spacing w:val="-3"/>
                <w:sz w:val="21"/>
              </w:rPr>
              <w:t>（</w:t>
            </w:r>
            <w:r>
              <w:rPr>
                <w:spacing w:val="-6"/>
                <w:sz w:val="21"/>
              </w:rPr>
              <w:t>例如：脑脊液检查</w:t>
            </w:r>
            <w:r>
              <w:rPr>
                <w:spacing w:val="-4"/>
                <w:sz w:val="21"/>
              </w:rPr>
              <w:t>或血清学抗体检查报告</w:t>
            </w:r>
            <w:r>
              <w:rPr>
                <w:spacing w:val="-24"/>
                <w:sz w:val="21"/>
              </w:rPr>
              <w:t>）</w:t>
            </w:r>
            <w:r>
              <w:rPr>
                <w:spacing w:val="-8"/>
                <w:sz w:val="21"/>
              </w:rPr>
              <w:t>，被保险人若无因此感染而导致的瘫痪，则不符合理赔</w:t>
            </w:r>
            <w:r>
              <w:rPr>
                <w:spacing w:val="-10"/>
                <w:sz w:val="21"/>
              </w:rPr>
              <w:t>条件。未导致肢体瘫痪及其它病因所致的瘫痪，例如格林一巴利综合症</w:t>
            </w:r>
            <w:r>
              <w:rPr>
                <w:sz w:val="21"/>
              </w:rPr>
              <w:t>（</w:t>
            </w:r>
            <w:r>
              <w:rPr>
                <w:spacing w:val="-2"/>
                <w:sz w:val="21"/>
              </w:rPr>
              <w:t>急性感</w:t>
            </w:r>
            <w:r>
              <w:rPr>
                <w:spacing w:val="-3"/>
                <w:sz w:val="21"/>
              </w:rPr>
              <w:t>染性多神经炎</w:t>
            </w:r>
            <w:r>
              <w:rPr>
                <w:sz w:val="21"/>
              </w:rPr>
              <w:t>）</w:t>
            </w:r>
            <w:r>
              <w:rPr>
                <w:spacing w:val="-3"/>
                <w:sz w:val="21"/>
              </w:rPr>
              <w:t>，则不在保障范围内。</w:t>
            </w:r>
          </w:p>
        </w:tc>
      </w:tr>
      <w:tr>
        <w:trPr>
          <w:trHeight w:val="2184" w:hRule="atLeast"/>
        </w:trPr>
        <w:tc>
          <w:tcPr>
            <w:tcW w:w="962" w:type="dxa"/>
          </w:tcPr>
          <w:p>
            <w:pPr>
              <w:pStyle w:val="TableParagraph"/>
              <w:spacing w:before="80"/>
              <w:ind w:left="200"/>
              <w:rPr>
                <w:rFonts w:ascii="微软雅黑"/>
                <w:b/>
                <w:sz w:val="21"/>
              </w:rPr>
            </w:pPr>
            <w:r>
              <w:rPr>
                <w:rFonts w:ascii="微软雅黑"/>
                <w:b/>
                <w:sz w:val="21"/>
              </w:rPr>
              <w:t>5.4.40</w:t>
            </w:r>
          </w:p>
        </w:tc>
        <w:tc>
          <w:tcPr>
            <w:tcW w:w="1284" w:type="dxa"/>
          </w:tcPr>
          <w:p>
            <w:pPr>
              <w:pStyle w:val="TableParagraph"/>
              <w:spacing w:line="206" w:lineRule="auto" w:before="131"/>
              <w:ind w:left="126" w:right="310"/>
              <w:jc w:val="both"/>
              <w:rPr>
                <w:rFonts w:ascii="微软雅黑" w:eastAsia="微软雅黑" w:hint="eastAsia"/>
                <w:b/>
                <w:sz w:val="21"/>
              </w:rPr>
            </w:pPr>
            <w:r>
              <w:rPr>
                <w:rFonts w:ascii="微软雅黑" w:eastAsia="微软雅黑" w:hint="eastAsia"/>
                <w:b/>
                <w:sz w:val="21"/>
              </w:rPr>
              <w:t>非阿尔茨海默病所致严重痴呆</w:t>
            </w:r>
          </w:p>
        </w:tc>
        <w:tc>
          <w:tcPr>
            <w:tcW w:w="7600" w:type="dxa"/>
          </w:tcPr>
          <w:p>
            <w:pPr>
              <w:pStyle w:val="TableParagraph"/>
              <w:spacing w:line="273" w:lineRule="auto" w:before="142"/>
              <w:ind w:left="107" w:right="198" w:firstLine="420"/>
              <w:jc w:val="both"/>
              <w:rPr>
                <w:sz w:val="21"/>
              </w:rPr>
            </w:pPr>
            <w:r>
              <w:rPr>
                <w:sz w:val="21"/>
              </w:rPr>
              <w:t>指因阿尔茨海默病以外的脑的器质性疾病造成脑功能衰竭导致永久不可逆</w:t>
            </w:r>
            <w:r>
              <w:rPr>
                <w:spacing w:val="-8"/>
                <w:sz w:val="21"/>
              </w:rPr>
              <w:t>性的严重痴呆，临床表现为明显的认知能力障碍、行为异常和社交能力减退。被</w:t>
            </w:r>
            <w:r>
              <w:rPr>
                <w:spacing w:val="-10"/>
                <w:sz w:val="21"/>
              </w:rPr>
              <w:t>保险人自主生活能力完全丧失，无法独立完成六项基本日常生活活动中的三项或三项以上，日常生活必须持续受到他人监护。导致痴呆的疾病必须明确诊断，并</w:t>
            </w:r>
            <w:r>
              <w:rPr>
                <w:spacing w:val="-5"/>
                <w:sz w:val="21"/>
              </w:rPr>
              <w:t>且由完整的临床、实验室和影像学检查结果证实。</w:t>
            </w:r>
          </w:p>
          <w:p>
            <w:pPr>
              <w:pStyle w:val="TableParagraph"/>
              <w:spacing w:before="7"/>
              <w:ind w:left="527"/>
              <w:rPr>
                <w:sz w:val="21"/>
              </w:rPr>
            </w:pPr>
            <w:r>
              <w:rPr>
                <w:sz w:val="21"/>
              </w:rPr>
              <w:t>神经官能症、精神疾病及酒精中毒所致脑损害不在保障范围内。</w:t>
            </w:r>
          </w:p>
        </w:tc>
      </w:tr>
      <w:tr>
        <w:trPr>
          <w:trHeight w:val="1248" w:hRule="atLeast"/>
        </w:trPr>
        <w:tc>
          <w:tcPr>
            <w:tcW w:w="962" w:type="dxa"/>
          </w:tcPr>
          <w:p>
            <w:pPr>
              <w:pStyle w:val="TableParagraph"/>
              <w:rPr>
                <w:rFonts w:ascii="Times New Roman"/>
                <w:sz w:val="20"/>
              </w:rPr>
            </w:pPr>
          </w:p>
        </w:tc>
        <w:tc>
          <w:tcPr>
            <w:tcW w:w="1284" w:type="dxa"/>
          </w:tcPr>
          <w:p>
            <w:pPr>
              <w:pStyle w:val="TableParagraph"/>
              <w:rPr>
                <w:rFonts w:ascii="Times New Roman"/>
                <w:sz w:val="20"/>
              </w:rPr>
            </w:pPr>
          </w:p>
        </w:tc>
        <w:tc>
          <w:tcPr>
            <w:tcW w:w="7600" w:type="dxa"/>
          </w:tcPr>
          <w:p>
            <w:pPr>
              <w:pStyle w:val="TableParagraph"/>
              <w:spacing w:before="143"/>
              <w:ind w:left="527"/>
              <w:rPr>
                <w:sz w:val="21"/>
              </w:rPr>
            </w:pPr>
            <w:r>
              <w:rPr>
                <w:sz w:val="21"/>
              </w:rPr>
              <w:t>以上第 1 至 25 种疾病的名称和释义为中国保险行业协会制定的《重大疾病</w:t>
            </w:r>
          </w:p>
          <w:p>
            <w:pPr>
              <w:pStyle w:val="TableParagraph"/>
              <w:spacing w:line="273" w:lineRule="auto" w:before="37"/>
              <w:ind w:left="107" w:right="197"/>
              <w:rPr>
                <w:sz w:val="21"/>
              </w:rPr>
            </w:pPr>
            <w:r>
              <w:rPr>
                <w:spacing w:val="-10"/>
                <w:sz w:val="21"/>
              </w:rPr>
              <w:t>保险的疾病定义使用规范》中的疾病名称和释义。第 </w:t>
            </w:r>
            <w:r>
              <w:rPr>
                <w:sz w:val="21"/>
              </w:rPr>
              <w:t>26</w:t>
            </w:r>
            <w:r>
              <w:rPr>
                <w:spacing w:val="-24"/>
                <w:sz w:val="21"/>
              </w:rPr>
              <w:t> 种至 </w:t>
            </w:r>
            <w:r>
              <w:rPr>
                <w:sz w:val="21"/>
              </w:rPr>
              <w:t>40</w:t>
            </w:r>
            <w:r>
              <w:rPr>
                <w:spacing w:val="-8"/>
                <w:sz w:val="21"/>
              </w:rPr>
              <w:t> 种疾病为本公司</w:t>
            </w:r>
            <w:r>
              <w:rPr>
                <w:spacing w:val="-5"/>
                <w:sz w:val="21"/>
              </w:rPr>
              <w:t>增加的疾病类型。</w:t>
            </w:r>
          </w:p>
        </w:tc>
      </w:tr>
      <w:tr>
        <w:trPr>
          <w:trHeight w:val="936" w:hRule="atLeast"/>
        </w:trPr>
        <w:tc>
          <w:tcPr>
            <w:tcW w:w="962" w:type="dxa"/>
          </w:tcPr>
          <w:p>
            <w:pPr>
              <w:pStyle w:val="TableParagraph"/>
              <w:spacing w:before="80"/>
              <w:ind w:left="200"/>
              <w:rPr>
                <w:rFonts w:ascii="微软雅黑"/>
                <w:b/>
                <w:sz w:val="21"/>
              </w:rPr>
            </w:pPr>
            <w:r>
              <w:rPr>
                <w:rFonts w:ascii="微软雅黑"/>
                <w:b/>
                <w:sz w:val="21"/>
              </w:rPr>
              <w:t>5.5</w:t>
            </w:r>
          </w:p>
        </w:tc>
        <w:tc>
          <w:tcPr>
            <w:tcW w:w="1284" w:type="dxa"/>
          </w:tcPr>
          <w:p>
            <w:pPr>
              <w:pStyle w:val="TableParagraph"/>
              <w:spacing w:line="206" w:lineRule="auto" w:before="131"/>
              <w:ind w:left="126" w:right="310"/>
              <w:rPr>
                <w:rFonts w:ascii="微软雅黑" w:eastAsia="微软雅黑" w:hint="eastAsia"/>
                <w:b/>
                <w:sz w:val="21"/>
              </w:rPr>
            </w:pPr>
            <w:r>
              <w:rPr>
                <w:rFonts w:ascii="微软雅黑" w:eastAsia="微软雅黑" w:hint="eastAsia"/>
                <w:b/>
                <w:sz w:val="21"/>
              </w:rPr>
              <w:t>本合同所指的轻症</w:t>
            </w:r>
          </w:p>
        </w:tc>
        <w:tc>
          <w:tcPr>
            <w:tcW w:w="7600" w:type="dxa"/>
          </w:tcPr>
          <w:p>
            <w:pPr>
              <w:pStyle w:val="TableParagraph"/>
              <w:spacing w:before="142"/>
              <w:ind w:left="527"/>
              <w:rPr>
                <w:sz w:val="21"/>
              </w:rPr>
            </w:pPr>
            <w:r>
              <w:rPr>
                <w:sz w:val="21"/>
              </w:rPr>
              <w:t>本合同所指的轻症，是指符合下列定义的疾病、疾病状态或手术：</w:t>
            </w:r>
          </w:p>
        </w:tc>
      </w:tr>
      <w:tr>
        <w:trPr>
          <w:trHeight w:val="1665" w:hRule="atLeast"/>
        </w:trPr>
        <w:tc>
          <w:tcPr>
            <w:tcW w:w="962" w:type="dxa"/>
          </w:tcPr>
          <w:p>
            <w:pPr>
              <w:pStyle w:val="TableParagraph"/>
              <w:spacing w:before="80"/>
              <w:ind w:left="200"/>
              <w:rPr>
                <w:rFonts w:ascii="微软雅黑"/>
                <w:b/>
                <w:sz w:val="21"/>
              </w:rPr>
            </w:pPr>
            <w:r>
              <w:rPr>
                <w:rFonts w:ascii="微软雅黑"/>
                <w:b/>
                <w:w w:val="105"/>
                <w:sz w:val="21"/>
              </w:rPr>
              <w:t>5.5.1</w:t>
            </w:r>
          </w:p>
        </w:tc>
        <w:tc>
          <w:tcPr>
            <w:tcW w:w="1284" w:type="dxa"/>
          </w:tcPr>
          <w:p>
            <w:pPr>
              <w:pStyle w:val="TableParagraph"/>
              <w:spacing w:line="206" w:lineRule="auto" w:before="131"/>
              <w:ind w:left="126" w:right="104"/>
              <w:rPr>
                <w:rFonts w:ascii="微软雅黑" w:eastAsia="微软雅黑" w:hint="eastAsia"/>
                <w:b/>
                <w:sz w:val="21"/>
              </w:rPr>
            </w:pPr>
            <w:r>
              <w:rPr>
                <w:rFonts w:ascii="微软雅黑" w:eastAsia="微软雅黑" w:hint="eastAsia"/>
                <w:b/>
                <w:sz w:val="21"/>
              </w:rPr>
              <w:t>非 危 及 生 命的（极早期的）恶性病变</w:t>
            </w:r>
          </w:p>
        </w:tc>
        <w:tc>
          <w:tcPr>
            <w:tcW w:w="7600" w:type="dxa"/>
          </w:tcPr>
          <w:p>
            <w:pPr>
              <w:pStyle w:val="TableParagraph"/>
              <w:spacing w:line="273" w:lineRule="auto" w:before="142"/>
              <w:ind w:left="107" w:right="138" w:firstLine="420"/>
              <w:rPr>
                <w:sz w:val="21"/>
              </w:rPr>
            </w:pPr>
            <w:r>
              <w:rPr>
                <w:sz w:val="21"/>
              </w:rPr>
              <w:t>指被保险人生前经组织病理学检查被明确诊断为下列恶性病变，并且接受了相应的治疗。</w:t>
            </w:r>
          </w:p>
          <w:p>
            <w:pPr>
              <w:pStyle w:val="TableParagraph"/>
              <w:spacing w:line="308" w:lineRule="exact"/>
              <w:ind w:left="327"/>
              <w:rPr>
                <w:sz w:val="21"/>
              </w:rPr>
            </w:pPr>
            <w:r>
              <w:rPr>
                <w:sz w:val="21"/>
              </w:rPr>
              <w:t>（1）</w:t>
            </w:r>
            <w:r>
              <w:rPr>
                <w:rFonts w:ascii="微软雅黑" w:eastAsia="微软雅黑" w:hint="eastAsia"/>
                <w:b/>
                <w:sz w:val="21"/>
              </w:rPr>
              <w:t>原位癌</w:t>
            </w:r>
            <w:r>
              <w:rPr>
                <w:sz w:val="21"/>
              </w:rPr>
              <w:t>；</w:t>
            </w:r>
          </w:p>
          <w:p>
            <w:pPr>
              <w:pStyle w:val="TableParagraph"/>
              <w:spacing w:before="12"/>
              <w:ind w:left="327"/>
              <w:rPr>
                <w:sz w:val="21"/>
              </w:rPr>
            </w:pPr>
            <w:r>
              <w:rPr>
                <w:sz w:val="21"/>
              </w:rPr>
              <w:t>（2）相当于 Binet 分期方案 A 期程度的慢性淋巴细胞白血病；</w:t>
            </w:r>
          </w:p>
          <w:p>
            <w:pPr>
              <w:pStyle w:val="TableParagraph"/>
              <w:spacing w:line="255" w:lineRule="exact" w:before="37"/>
              <w:ind w:left="327"/>
              <w:rPr>
                <w:sz w:val="21"/>
              </w:rPr>
            </w:pPr>
            <w:r>
              <w:rPr>
                <w:sz w:val="21"/>
              </w:rPr>
              <w:t>（3）相当于 Ann Arbor 分期方案 I 期程度的何杰金氏病；</w:t>
            </w:r>
          </w:p>
        </w:tc>
      </w:tr>
    </w:tbl>
    <w:p>
      <w:pPr>
        <w:spacing w:after="0" w:line="255" w:lineRule="exact"/>
        <w:rPr>
          <w:sz w:val="21"/>
        </w:rPr>
        <w:sectPr>
          <w:pgSz w:w="11910" w:h="16840"/>
          <w:pgMar w:header="877" w:footer="992" w:top="1120" w:bottom="1180" w:left="920" w:right="920"/>
        </w:sectPr>
      </w:pPr>
    </w:p>
    <w:p>
      <w:pPr>
        <w:pStyle w:val="BodyText"/>
        <w:spacing w:before="6"/>
        <w:rPr>
          <w:rFonts w:ascii="Times New Roman"/>
          <w:sz w:val="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
        <w:gridCol w:w="1340"/>
        <w:gridCol w:w="7700"/>
      </w:tblGrid>
      <w:tr>
        <w:trPr>
          <w:trHeight w:val="1996" w:hRule="atLeast"/>
        </w:trPr>
        <w:tc>
          <w:tcPr>
            <w:tcW w:w="908" w:type="dxa"/>
            <w:tcBorders>
              <w:top w:val="single" w:sz="18" w:space="0" w:color="000000"/>
            </w:tcBorders>
          </w:tcPr>
          <w:p>
            <w:pPr>
              <w:pStyle w:val="TableParagraph"/>
              <w:rPr>
                <w:rFonts w:ascii="Times New Roman"/>
                <w:sz w:val="20"/>
              </w:rPr>
            </w:pPr>
          </w:p>
        </w:tc>
        <w:tc>
          <w:tcPr>
            <w:tcW w:w="1340" w:type="dxa"/>
            <w:tcBorders>
              <w:top w:val="single" w:sz="18" w:space="0" w:color="000000"/>
            </w:tcBorders>
          </w:tcPr>
          <w:p>
            <w:pPr>
              <w:pStyle w:val="TableParagraph"/>
              <w:rPr>
                <w:rFonts w:ascii="Times New Roman"/>
                <w:sz w:val="20"/>
              </w:rPr>
            </w:pPr>
          </w:p>
        </w:tc>
        <w:tc>
          <w:tcPr>
            <w:tcW w:w="7700" w:type="dxa"/>
            <w:tcBorders>
              <w:top w:val="single" w:sz="18" w:space="0" w:color="000000"/>
            </w:tcBorders>
          </w:tcPr>
          <w:p>
            <w:pPr>
              <w:pStyle w:val="TableParagraph"/>
              <w:spacing w:before="2"/>
              <w:rPr>
                <w:rFonts w:ascii="Times New Roman"/>
                <w:sz w:val="23"/>
              </w:rPr>
            </w:pPr>
          </w:p>
          <w:p>
            <w:pPr>
              <w:pStyle w:val="TableParagraph"/>
              <w:ind w:left="32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62" w:lineRule="exact" w:before="36"/>
              <w:ind w:left="32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59" w:lineRule="auto"/>
              <w:ind w:left="105" w:right="302" w:firstLine="480"/>
              <w:jc w:val="both"/>
              <w:rPr>
                <w:sz w:val="21"/>
              </w:rPr>
            </w:pPr>
            <w:r>
              <w:rPr>
                <w:rFonts w:ascii="微软雅黑" w:eastAsia="微软雅黑" w:hint="eastAsia"/>
                <w:b/>
                <w:sz w:val="21"/>
              </w:rPr>
              <w:t>原位癌：</w:t>
            </w:r>
            <w:r>
              <w:rPr>
                <w:sz w:val="21"/>
              </w:rPr>
              <w:t>指恶性细胞局限于上皮内尚未穿破基底膜浸润周围正常组织的癌</w:t>
            </w:r>
            <w:r>
              <w:rPr>
                <w:spacing w:val="-8"/>
                <w:sz w:val="21"/>
              </w:rPr>
              <w:t>细胞新生物。原位癌必须经对固定活组织的组织病理学检查明确诊断。被保险人</w:t>
            </w:r>
            <w:r>
              <w:rPr>
                <w:spacing w:val="-5"/>
                <w:sz w:val="21"/>
              </w:rPr>
              <w:t>必须己经接受了针对原位癌病灶的积极治疗。</w:t>
            </w:r>
          </w:p>
        </w:tc>
      </w:tr>
      <w:tr>
        <w:trPr>
          <w:trHeight w:val="3120" w:hRule="atLeast"/>
        </w:trPr>
        <w:tc>
          <w:tcPr>
            <w:tcW w:w="908" w:type="dxa"/>
          </w:tcPr>
          <w:p>
            <w:pPr>
              <w:pStyle w:val="TableParagraph"/>
              <w:spacing w:before="80"/>
              <w:ind w:left="177" w:right="157"/>
              <w:jc w:val="center"/>
              <w:rPr>
                <w:rFonts w:ascii="微软雅黑"/>
                <w:b/>
                <w:sz w:val="21"/>
              </w:rPr>
            </w:pPr>
            <w:r>
              <w:rPr>
                <w:rFonts w:ascii="微软雅黑"/>
                <w:b/>
                <w:w w:val="105"/>
                <w:sz w:val="21"/>
              </w:rPr>
              <w:t>5.5.2</w:t>
            </w:r>
          </w:p>
        </w:tc>
        <w:tc>
          <w:tcPr>
            <w:tcW w:w="1340" w:type="dxa"/>
          </w:tcPr>
          <w:p>
            <w:pPr>
              <w:pStyle w:val="TableParagraph"/>
              <w:spacing w:line="206" w:lineRule="auto" w:before="131"/>
              <w:ind w:left="180" w:right="312"/>
              <w:jc w:val="both"/>
              <w:rPr>
                <w:rFonts w:ascii="微软雅黑" w:eastAsia="微软雅黑" w:hint="eastAsia"/>
                <w:b/>
                <w:sz w:val="21"/>
              </w:rPr>
            </w:pPr>
            <w:r>
              <w:rPr>
                <w:rFonts w:ascii="微软雅黑" w:eastAsia="微软雅黑" w:hint="eastAsia"/>
                <w:b/>
                <w:sz w:val="21"/>
              </w:rPr>
              <w:t>不典型的急性心肌梗塞及冠状动脉成形手术</w:t>
            </w:r>
          </w:p>
        </w:tc>
        <w:tc>
          <w:tcPr>
            <w:tcW w:w="7700" w:type="dxa"/>
          </w:tcPr>
          <w:p>
            <w:pPr>
              <w:pStyle w:val="TableParagraph"/>
              <w:spacing w:line="273" w:lineRule="auto" w:before="142"/>
              <w:ind w:left="105" w:right="231" w:firstLine="420"/>
              <w:rPr>
                <w:sz w:val="21"/>
              </w:rPr>
            </w:pPr>
            <w:r>
              <w:rPr>
                <w:sz w:val="21"/>
              </w:rPr>
              <w:t>指被保险人被确诊为以下定义的不典型急性心肌梗塞或（和）接受了冠状动脉成形手术。</w:t>
            </w:r>
          </w:p>
          <w:p>
            <w:pPr>
              <w:pStyle w:val="TableParagraph"/>
              <w:spacing w:line="273" w:lineRule="auto" w:before="7"/>
              <w:ind w:left="105" w:right="237" w:firstLine="420"/>
              <w:rPr>
                <w:sz w:val="21"/>
              </w:rPr>
            </w:pPr>
            <w:r>
              <w:rPr>
                <w:spacing w:val="-10"/>
                <w:sz w:val="21"/>
              </w:rPr>
              <w:t>不典型急性心肌梗塞：指被临床诊断为急性心肌梗塞并接受了急性心肌梗塞</w:t>
            </w:r>
            <w:r>
              <w:rPr>
                <w:spacing w:val="-5"/>
                <w:sz w:val="21"/>
              </w:rPr>
              <w:t>治疗虽然未达到重大疾病“急性心肌梗塞”的给付标准，但满足下列全部条件：</w:t>
            </w:r>
          </w:p>
          <w:p>
            <w:pPr>
              <w:pStyle w:val="TableParagraph"/>
              <w:spacing w:before="7"/>
              <w:ind w:left="525"/>
              <w:rPr>
                <w:sz w:val="21"/>
              </w:rPr>
            </w:pPr>
            <w:r>
              <w:rPr>
                <w:sz w:val="21"/>
              </w:rPr>
              <w:t>（1）肌钙蛋白有诊断意义的升高；</w:t>
            </w:r>
          </w:p>
          <w:p>
            <w:pPr>
              <w:pStyle w:val="TableParagraph"/>
              <w:spacing w:before="37"/>
              <w:ind w:left="525"/>
              <w:rPr>
                <w:sz w:val="21"/>
              </w:rPr>
            </w:pPr>
            <w:r>
              <w:rPr>
                <w:sz w:val="21"/>
              </w:rPr>
              <w:t>（2）心电图有损伤性的 ST 段改变但未出现病理 Q 波。</w:t>
            </w:r>
          </w:p>
          <w:p>
            <w:pPr>
              <w:pStyle w:val="TableParagraph"/>
              <w:spacing w:line="273" w:lineRule="auto" w:before="37"/>
              <w:ind w:left="105" w:right="302" w:firstLine="420"/>
              <w:jc w:val="both"/>
              <w:rPr>
                <w:sz w:val="21"/>
              </w:rPr>
            </w:pPr>
            <w:r>
              <w:rPr>
                <w:spacing w:val="-8"/>
                <w:sz w:val="21"/>
              </w:rPr>
              <w:t>冠状动脉成形手术：指为了治疗明显的冠状动脉狭窄性疾病，首次实际实施</w:t>
            </w:r>
            <w:r>
              <w:rPr>
                <w:spacing w:val="-10"/>
                <w:sz w:val="21"/>
              </w:rPr>
              <w:t>了冠状动脉球囊扩张成形术、冠状动脉支架植入术、冠状动脉粥肿斑块切除术或</w:t>
            </w:r>
            <w:r>
              <w:rPr>
                <w:spacing w:val="-5"/>
                <w:sz w:val="21"/>
              </w:rPr>
              <w:t>激光冠状动脉成形术。</w:t>
            </w:r>
          </w:p>
        </w:tc>
      </w:tr>
      <w:tr>
        <w:trPr>
          <w:trHeight w:val="936" w:hRule="atLeast"/>
        </w:trPr>
        <w:tc>
          <w:tcPr>
            <w:tcW w:w="908" w:type="dxa"/>
          </w:tcPr>
          <w:p>
            <w:pPr>
              <w:pStyle w:val="TableParagraph"/>
              <w:spacing w:before="80"/>
              <w:ind w:left="177" w:right="157"/>
              <w:jc w:val="center"/>
              <w:rPr>
                <w:rFonts w:ascii="微软雅黑"/>
                <w:b/>
                <w:sz w:val="21"/>
              </w:rPr>
            </w:pPr>
            <w:r>
              <w:rPr>
                <w:rFonts w:ascii="微软雅黑"/>
                <w:b/>
                <w:w w:val="105"/>
                <w:sz w:val="21"/>
              </w:rPr>
              <w:t>5.5.3</w:t>
            </w:r>
          </w:p>
        </w:tc>
        <w:tc>
          <w:tcPr>
            <w:tcW w:w="1340" w:type="dxa"/>
          </w:tcPr>
          <w:p>
            <w:pPr>
              <w:pStyle w:val="TableParagraph"/>
              <w:spacing w:line="206" w:lineRule="auto" w:before="131"/>
              <w:ind w:left="180" w:right="312"/>
              <w:rPr>
                <w:rFonts w:ascii="微软雅黑" w:eastAsia="微软雅黑" w:hint="eastAsia"/>
                <w:b/>
                <w:sz w:val="21"/>
              </w:rPr>
            </w:pPr>
            <w:r>
              <w:rPr>
                <w:rFonts w:ascii="微软雅黑" w:eastAsia="微软雅黑" w:hint="eastAsia"/>
                <w:b/>
                <w:sz w:val="21"/>
              </w:rPr>
              <w:t>心脏瓣膜介入手术</w:t>
            </w:r>
          </w:p>
        </w:tc>
        <w:tc>
          <w:tcPr>
            <w:tcW w:w="7700" w:type="dxa"/>
          </w:tcPr>
          <w:p>
            <w:pPr>
              <w:pStyle w:val="TableParagraph"/>
              <w:spacing w:line="273" w:lineRule="auto" w:before="142"/>
              <w:ind w:left="105" w:right="302" w:firstLine="420"/>
              <w:rPr>
                <w:sz w:val="21"/>
              </w:rPr>
            </w:pPr>
            <w:r>
              <w:rPr>
                <w:spacing w:val="-9"/>
                <w:sz w:val="21"/>
              </w:rPr>
              <w:t>为了治疗心脏瓣膜疾病，实际实施了非开胸的经胸壁打孔内镜手术或经皮经</w:t>
            </w:r>
            <w:r>
              <w:rPr>
                <w:spacing w:val="-5"/>
                <w:sz w:val="21"/>
              </w:rPr>
              <w:t>导管介入手术进行的心脏瓣膜置换或修复手术。</w:t>
            </w:r>
          </w:p>
        </w:tc>
      </w:tr>
      <w:tr>
        <w:trPr>
          <w:trHeight w:val="2496" w:hRule="atLeast"/>
        </w:trPr>
        <w:tc>
          <w:tcPr>
            <w:tcW w:w="908" w:type="dxa"/>
          </w:tcPr>
          <w:p>
            <w:pPr>
              <w:pStyle w:val="TableParagraph"/>
              <w:spacing w:before="80"/>
              <w:ind w:left="177" w:right="157"/>
              <w:jc w:val="center"/>
              <w:rPr>
                <w:rFonts w:ascii="微软雅黑"/>
                <w:b/>
                <w:sz w:val="21"/>
              </w:rPr>
            </w:pPr>
            <w:r>
              <w:rPr>
                <w:rFonts w:ascii="微软雅黑"/>
                <w:b/>
                <w:w w:val="105"/>
                <w:sz w:val="21"/>
              </w:rPr>
              <w:t>5.5.4</w:t>
            </w:r>
          </w:p>
        </w:tc>
        <w:tc>
          <w:tcPr>
            <w:tcW w:w="1340" w:type="dxa"/>
          </w:tcPr>
          <w:p>
            <w:pPr>
              <w:pStyle w:val="TableParagraph"/>
              <w:spacing w:line="206" w:lineRule="auto" w:before="131"/>
              <w:ind w:left="180" w:right="243"/>
              <w:jc w:val="both"/>
              <w:rPr>
                <w:rFonts w:ascii="微软雅黑" w:eastAsia="微软雅黑" w:hint="eastAsia"/>
                <w:b/>
                <w:sz w:val="21"/>
              </w:rPr>
            </w:pPr>
            <w:r>
              <w:rPr>
                <w:rFonts w:ascii="微软雅黑" w:eastAsia="微软雅黑" w:hint="eastAsia"/>
                <w:b/>
                <w:sz w:val="21"/>
              </w:rPr>
              <w:t>视力严重受损</w:t>
            </w:r>
            <w:r>
              <w:rPr>
                <w:rFonts w:ascii="Times New Roman" w:eastAsia="Times New Roman"/>
                <w:b/>
                <w:sz w:val="21"/>
              </w:rPr>
              <w:t>-</w:t>
            </w:r>
            <w:r>
              <w:rPr>
                <w:rFonts w:ascii="微软雅黑" w:eastAsia="微软雅黑" w:hint="eastAsia"/>
                <w:b/>
                <w:sz w:val="21"/>
              </w:rPr>
              <w:t>三岁始理赔</w:t>
            </w:r>
          </w:p>
        </w:tc>
        <w:tc>
          <w:tcPr>
            <w:tcW w:w="7700" w:type="dxa"/>
          </w:tcPr>
          <w:p>
            <w:pPr>
              <w:pStyle w:val="TableParagraph"/>
              <w:spacing w:before="142"/>
              <w:ind w:left="525"/>
              <w:rPr>
                <w:sz w:val="21"/>
              </w:rPr>
            </w:pPr>
            <w:r>
              <w:rPr>
                <w:sz w:val="21"/>
              </w:rPr>
              <w:t>指因疾病或意外伤害导致双目视力永久不可逆性丧失，虽然未达到重大疾病</w:t>
            </w:r>
          </w:p>
          <w:p>
            <w:pPr>
              <w:pStyle w:val="TableParagraph"/>
              <w:spacing w:before="36"/>
              <w:ind w:left="105"/>
              <w:rPr>
                <w:sz w:val="21"/>
              </w:rPr>
            </w:pPr>
            <w:r>
              <w:rPr>
                <w:sz w:val="21"/>
              </w:rPr>
              <w:t>“双目失明”的给付标准，但满足下列全部条件：</w:t>
            </w:r>
          </w:p>
          <w:p>
            <w:pPr>
              <w:pStyle w:val="TableParagraph"/>
              <w:spacing w:line="273" w:lineRule="auto" w:before="37"/>
              <w:ind w:left="105" w:right="303" w:firstLine="420"/>
              <w:rPr>
                <w:sz w:val="21"/>
              </w:rPr>
            </w:pPr>
            <w:r>
              <w:rPr>
                <w:sz w:val="21"/>
              </w:rPr>
              <w:t>（1）</w:t>
            </w:r>
            <w:r>
              <w:rPr>
                <w:spacing w:val="1"/>
                <w:sz w:val="21"/>
              </w:rPr>
              <w:t>双眼中较好眼矫正视力低于 </w:t>
            </w:r>
            <w:r>
              <w:rPr>
                <w:sz w:val="21"/>
              </w:rPr>
              <w:t>0.1（采用国际标准视力表，如果使用其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7"/>
              <w:ind w:left="525"/>
              <w:rPr>
                <w:sz w:val="21"/>
              </w:rPr>
            </w:pPr>
            <w:r>
              <w:rPr>
                <w:sz w:val="21"/>
              </w:rPr>
              <w:t>（2）视野半径小于 20 度。</w:t>
            </w:r>
          </w:p>
          <w:p>
            <w:pPr>
              <w:pStyle w:val="TableParagraph"/>
              <w:spacing w:line="273" w:lineRule="auto" w:before="36"/>
              <w:ind w:left="105" w:right="302" w:firstLine="432"/>
              <w:rPr>
                <w:sz w:val="21"/>
              </w:rPr>
            </w:pPr>
            <w:r>
              <w:rPr>
                <w:spacing w:val="-7"/>
                <w:sz w:val="21"/>
              </w:rPr>
              <w:t>被保险人申请理赔时年龄必须在三周岁以上，并且提供理赔当时的视力丧失</w:t>
            </w:r>
            <w:r>
              <w:rPr>
                <w:spacing w:val="-5"/>
                <w:sz w:val="21"/>
              </w:rPr>
              <w:t>诊断及检查证据。</w:t>
            </w:r>
          </w:p>
        </w:tc>
      </w:tr>
      <w:tr>
        <w:trPr>
          <w:trHeight w:val="936" w:hRule="atLeast"/>
        </w:trPr>
        <w:tc>
          <w:tcPr>
            <w:tcW w:w="908" w:type="dxa"/>
          </w:tcPr>
          <w:p>
            <w:pPr>
              <w:pStyle w:val="TableParagraph"/>
              <w:spacing w:before="80"/>
              <w:ind w:left="177" w:right="157"/>
              <w:jc w:val="center"/>
              <w:rPr>
                <w:rFonts w:ascii="微软雅黑"/>
                <w:b/>
                <w:sz w:val="21"/>
              </w:rPr>
            </w:pPr>
            <w:r>
              <w:rPr>
                <w:rFonts w:ascii="微软雅黑"/>
                <w:b/>
                <w:w w:val="105"/>
                <w:sz w:val="21"/>
              </w:rPr>
              <w:t>5.5.5</w:t>
            </w:r>
          </w:p>
        </w:tc>
        <w:tc>
          <w:tcPr>
            <w:tcW w:w="1340" w:type="dxa"/>
          </w:tcPr>
          <w:p>
            <w:pPr>
              <w:pStyle w:val="TableParagraph"/>
              <w:spacing w:line="206" w:lineRule="auto" w:before="131"/>
              <w:ind w:left="180" w:right="312"/>
              <w:rPr>
                <w:rFonts w:ascii="微软雅黑" w:eastAsia="微软雅黑" w:hint="eastAsia"/>
                <w:b/>
                <w:sz w:val="21"/>
              </w:rPr>
            </w:pPr>
            <w:r>
              <w:rPr>
                <w:rFonts w:ascii="微软雅黑" w:eastAsia="微软雅黑" w:hint="eastAsia"/>
                <w:b/>
                <w:sz w:val="21"/>
              </w:rPr>
              <w:t>主动脉内手术</w:t>
            </w:r>
          </w:p>
        </w:tc>
        <w:tc>
          <w:tcPr>
            <w:tcW w:w="7700" w:type="dxa"/>
          </w:tcPr>
          <w:p>
            <w:pPr>
              <w:pStyle w:val="TableParagraph"/>
              <w:spacing w:line="273" w:lineRule="auto" w:before="142"/>
              <w:ind w:left="105" w:right="240" w:firstLine="420"/>
              <w:rPr>
                <w:sz w:val="21"/>
              </w:rPr>
            </w:pPr>
            <w:r>
              <w:rPr>
                <w:sz w:val="21"/>
              </w:rPr>
              <w:t>为了治疗主动脉疾病实际实施了经皮经导管进行的动脉内手术。主动脉指胸主动脉和腹主动脉，不包括胸主动脉和腹主动脉的分支血管。</w:t>
            </w:r>
          </w:p>
        </w:tc>
      </w:tr>
      <w:tr>
        <w:trPr>
          <w:trHeight w:val="1855" w:hRule="atLeast"/>
        </w:trPr>
        <w:tc>
          <w:tcPr>
            <w:tcW w:w="908" w:type="dxa"/>
          </w:tcPr>
          <w:p>
            <w:pPr>
              <w:pStyle w:val="TableParagraph"/>
              <w:spacing w:before="80"/>
              <w:ind w:left="177" w:right="157"/>
              <w:jc w:val="center"/>
              <w:rPr>
                <w:rFonts w:ascii="微软雅黑"/>
                <w:b/>
                <w:sz w:val="21"/>
              </w:rPr>
            </w:pPr>
            <w:r>
              <w:rPr>
                <w:rFonts w:ascii="微软雅黑"/>
                <w:b/>
                <w:w w:val="105"/>
                <w:sz w:val="21"/>
              </w:rPr>
              <w:t>5.5.6</w:t>
            </w:r>
          </w:p>
        </w:tc>
        <w:tc>
          <w:tcPr>
            <w:tcW w:w="1340" w:type="dxa"/>
          </w:tcPr>
          <w:p>
            <w:pPr>
              <w:pStyle w:val="TableParagraph"/>
              <w:spacing w:line="206" w:lineRule="auto" w:before="131"/>
              <w:ind w:left="180" w:right="101"/>
              <w:rPr>
                <w:rFonts w:ascii="微软雅黑" w:eastAsia="微软雅黑" w:hint="eastAsia"/>
                <w:b/>
                <w:sz w:val="21"/>
              </w:rPr>
            </w:pPr>
            <w:r>
              <w:rPr>
                <w:rFonts w:ascii="微软雅黑" w:eastAsia="微软雅黑" w:hint="eastAsia"/>
                <w:b/>
                <w:sz w:val="21"/>
              </w:rPr>
              <w:t>脑垂体瘤、脑囊肿、脑动 脉 瘤 及 脑血管瘤</w:t>
            </w:r>
          </w:p>
        </w:tc>
        <w:tc>
          <w:tcPr>
            <w:tcW w:w="7700" w:type="dxa"/>
          </w:tcPr>
          <w:p>
            <w:pPr>
              <w:pStyle w:val="TableParagraph"/>
              <w:spacing w:line="273" w:lineRule="auto" w:before="142"/>
              <w:ind w:left="105" w:right="302" w:firstLine="420"/>
              <w:rPr>
                <w:sz w:val="21"/>
              </w:rPr>
            </w:pPr>
            <w:r>
              <w:rPr>
                <w:spacing w:val="-5"/>
                <w:w w:val="100"/>
                <w:sz w:val="21"/>
              </w:rPr>
              <w:t>指经头颅断层扫描</w:t>
            </w:r>
            <w:r>
              <w:rPr>
                <w:spacing w:val="-1"/>
                <w:w w:val="100"/>
                <w:sz w:val="21"/>
              </w:rPr>
              <w:t>（</w:t>
            </w:r>
            <w:r>
              <w:rPr>
                <w:spacing w:val="-3"/>
                <w:w w:val="100"/>
                <w:sz w:val="21"/>
              </w:rPr>
              <w:t>C</w:t>
            </w:r>
            <w:r>
              <w:rPr>
                <w:w w:val="100"/>
                <w:sz w:val="21"/>
              </w:rPr>
              <w:t>T</w:t>
            </w:r>
            <w:r>
              <w:rPr>
                <w:spacing w:val="-106"/>
                <w:w w:val="100"/>
                <w:sz w:val="21"/>
              </w:rPr>
              <w:t>）</w:t>
            </w:r>
            <w:r>
              <w:rPr>
                <w:spacing w:val="-9"/>
                <w:w w:val="100"/>
                <w:sz w:val="21"/>
              </w:rPr>
              <w:t>、核磁共振</w:t>
            </w:r>
            <w:r>
              <w:rPr>
                <w:w w:val="100"/>
                <w:sz w:val="21"/>
              </w:rPr>
              <w:t>（</w:t>
            </w:r>
            <w:r>
              <w:rPr>
                <w:spacing w:val="-3"/>
                <w:w w:val="100"/>
                <w:sz w:val="21"/>
              </w:rPr>
              <w:t>M</w:t>
            </w:r>
            <w:r>
              <w:rPr>
                <w:w w:val="100"/>
                <w:sz w:val="21"/>
              </w:rPr>
              <w:t>R</w:t>
            </w:r>
            <w:r>
              <w:rPr>
                <w:spacing w:val="-1"/>
                <w:w w:val="100"/>
                <w:sz w:val="21"/>
              </w:rPr>
              <w:t>I</w:t>
            </w:r>
            <w:r>
              <w:rPr>
                <w:spacing w:val="-20"/>
                <w:w w:val="100"/>
                <w:sz w:val="21"/>
              </w:rPr>
              <w:t>）</w:t>
            </w:r>
            <w:r>
              <w:rPr>
                <w:spacing w:val="-3"/>
                <w:w w:val="100"/>
                <w:sz w:val="21"/>
              </w:rPr>
              <w:t>或其他影像学检查被确诊为下列</w:t>
            </w:r>
            <w:r>
              <w:rPr>
                <w:spacing w:val="-3"/>
                <w:sz w:val="21"/>
              </w:rPr>
              <w:t>病变，并实际接受了手术或放射治疗。</w:t>
            </w:r>
          </w:p>
          <w:p>
            <w:pPr>
              <w:pStyle w:val="TableParagraph"/>
              <w:spacing w:before="7"/>
              <w:ind w:left="525"/>
              <w:rPr>
                <w:sz w:val="21"/>
              </w:rPr>
            </w:pPr>
            <w:r>
              <w:rPr>
                <w:sz w:val="21"/>
              </w:rPr>
              <w:t>（1）脑垂体瘤；</w:t>
            </w:r>
          </w:p>
          <w:p>
            <w:pPr>
              <w:pStyle w:val="TableParagraph"/>
              <w:spacing w:before="36"/>
              <w:ind w:left="525"/>
              <w:rPr>
                <w:sz w:val="21"/>
              </w:rPr>
            </w:pPr>
            <w:r>
              <w:rPr>
                <w:sz w:val="21"/>
              </w:rPr>
              <w:t>（2）脑囊肿；</w:t>
            </w:r>
          </w:p>
          <w:p>
            <w:pPr>
              <w:pStyle w:val="TableParagraph"/>
              <w:spacing w:before="36"/>
              <w:ind w:left="525"/>
              <w:rPr>
                <w:sz w:val="21"/>
              </w:rPr>
            </w:pPr>
            <w:r>
              <w:rPr>
                <w:sz w:val="21"/>
              </w:rPr>
              <w:t>（3）脑动脉瘤、脑血管瘤。</w:t>
            </w:r>
          </w:p>
        </w:tc>
      </w:tr>
      <w:tr>
        <w:trPr>
          <w:trHeight w:val="1231" w:hRule="atLeast"/>
        </w:trPr>
        <w:tc>
          <w:tcPr>
            <w:tcW w:w="908" w:type="dxa"/>
          </w:tcPr>
          <w:p>
            <w:pPr>
              <w:pStyle w:val="TableParagraph"/>
              <w:spacing w:before="63"/>
              <w:ind w:left="177" w:right="157"/>
              <w:jc w:val="center"/>
              <w:rPr>
                <w:rFonts w:ascii="微软雅黑"/>
                <w:b/>
                <w:sz w:val="21"/>
              </w:rPr>
            </w:pPr>
            <w:r>
              <w:rPr>
                <w:rFonts w:ascii="微软雅黑"/>
                <w:b/>
                <w:w w:val="105"/>
                <w:sz w:val="21"/>
              </w:rPr>
              <w:t>5.5.7</w:t>
            </w:r>
          </w:p>
        </w:tc>
        <w:tc>
          <w:tcPr>
            <w:tcW w:w="1340" w:type="dxa"/>
          </w:tcPr>
          <w:p>
            <w:pPr>
              <w:pStyle w:val="TableParagraph"/>
              <w:spacing w:line="337" w:lineRule="exact" w:before="63"/>
              <w:ind w:left="180"/>
              <w:rPr>
                <w:rFonts w:ascii="微软雅黑" w:eastAsia="微软雅黑" w:hint="eastAsia"/>
                <w:b/>
                <w:sz w:val="21"/>
              </w:rPr>
            </w:pPr>
            <w:r>
              <w:rPr>
                <w:rFonts w:ascii="微软雅黑" w:eastAsia="微软雅黑" w:hint="eastAsia"/>
                <w:b/>
                <w:sz w:val="21"/>
              </w:rPr>
              <w:t>较小面积</w:t>
            </w:r>
          </w:p>
          <w:p>
            <w:pPr>
              <w:pStyle w:val="TableParagraph"/>
              <w:spacing w:line="312" w:lineRule="exact"/>
              <w:ind w:left="180"/>
              <w:rPr>
                <w:rFonts w:ascii="微软雅黑" w:eastAsia="微软雅黑" w:hint="eastAsia"/>
                <w:b/>
                <w:sz w:val="21"/>
              </w:rPr>
            </w:pPr>
            <w:r>
              <w:rPr>
                <w:rFonts w:ascii="Times New Roman" w:eastAsia="Times New Roman"/>
                <w:b/>
                <w:sz w:val="21"/>
              </w:rPr>
              <w:t>III </w:t>
            </w:r>
            <w:r>
              <w:rPr>
                <w:rFonts w:ascii="微软雅黑" w:eastAsia="微软雅黑" w:hint="eastAsia"/>
                <w:b/>
                <w:sz w:val="21"/>
              </w:rPr>
              <w:t>度烧伤</w:t>
            </w:r>
          </w:p>
          <w:p>
            <w:pPr>
              <w:pStyle w:val="TableParagraph"/>
              <w:spacing w:line="337" w:lineRule="exact"/>
              <w:ind w:left="180"/>
              <w:rPr>
                <w:rFonts w:ascii="微软雅黑" w:eastAsia="微软雅黑" w:hint="eastAsia"/>
                <w:b/>
                <w:sz w:val="21"/>
              </w:rPr>
            </w:pPr>
            <w:r>
              <w:rPr>
                <w:rFonts w:ascii="微软雅黑" w:eastAsia="微软雅黑" w:hint="eastAsia"/>
                <w:b/>
                <w:w w:val="90"/>
                <w:sz w:val="21"/>
              </w:rPr>
              <w:t>（10%）</w:t>
            </w:r>
          </w:p>
        </w:tc>
        <w:tc>
          <w:tcPr>
            <w:tcW w:w="7700" w:type="dxa"/>
          </w:tcPr>
          <w:p>
            <w:pPr>
              <w:pStyle w:val="TableParagraph"/>
              <w:spacing w:before="126"/>
              <w:ind w:left="533"/>
              <w:rPr>
                <w:sz w:val="21"/>
              </w:rPr>
            </w:pPr>
            <w:r>
              <w:rPr>
                <w:sz w:val="21"/>
              </w:rPr>
              <w:t>指烧伤程度为Ⅲ度，且Ⅲ度烧伤的面积大于全身体表面积的 10%但小于</w:t>
            </w:r>
          </w:p>
          <w:p>
            <w:pPr>
              <w:pStyle w:val="TableParagraph"/>
              <w:spacing w:before="37"/>
              <w:ind w:left="105"/>
              <w:rPr>
                <w:sz w:val="21"/>
              </w:rPr>
            </w:pPr>
            <w:r>
              <w:rPr>
                <w:sz w:val="21"/>
              </w:rPr>
              <w:t>20％。体表面积根据 《中国新九分法》计算。</w:t>
            </w:r>
          </w:p>
        </w:tc>
      </w:tr>
      <w:tr>
        <w:trPr>
          <w:trHeight w:val="1665" w:hRule="atLeast"/>
        </w:trPr>
        <w:tc>
          <w:tcPr>
            <w:tcW w:w="908" w:type="dxa"/>
          </w:tcPr>
          <w:p>
            <w:pPr>
              <w:pStyle w:val="TableParagraph"/>
              <w:spacing w:before="80"/>
              <w:ind w:left="177" w:right="157"/>
              <w:jc w:val="center"/>
              <w:rPr>
                <w:rFonts w:ascii="微软雅黑"/>
                <w:b/>
                <w:sz w:val="21"/>
              </w:rPr>
            </w:pPr>
            <w:r>
              <w:rPr>
                <w:rFonts w:ascii="微软雅黑"/>
                <w:b/>
                <w:w w:val="105"/>
                <w:sz w:val="21"/>
              </w:rPr>
              <w:t>5.5.8</w:t>
            </w:r>
          </w:p>
        </w:tc>
        <w:tc>
          <w:tcPr>
            <w:tcW w:w="1340" w:type="dxa"/>
          </w:tcPr>
          <w:p>
            <w:pPr>
              <w:pStyle w:val="TableParagraph"/>
              <w:spacing w:line="206" w:lineRule="auto" w:before="131"/>
              <w:ind w:left="180" w:right="312"/>
              <w:rPr>
                <w:rFonts w:ascii="微软雅黑" w:eastAsia="微软雅黑" w:hint="eastAsia"/>
                <w:b/>
                <w:sz w:val="21"/>
              </w:rPr>
            </w:pPr>
            <w:r>
              <w:rPr>
                <w:rFonts w:ascii="微软雅黑" w:eastAsia="微软雅黑" w:hint="eastAsia"/>
                <w:b/>
                <w:sz w:val="21"/>
              </w:rPr>
              <w:t>重症头部外伤</w:t>
            </w:r>
          </w:p>
        </w:tc>
        <w:tc>
          <w:tcPr>
            <w:tcW w:w="7700" w:type="dxa"/>
          </w:tcPr>
          <w:p>
            <w:pPr>
              <w:pStyle w:val="TableParagraph"/>
              <w:spacing w:before="142"/>
              <w:ind w:left="525"/>
              <w:rPr>
                <w:sz w:val="21"/>
              </w:rPr>
            </w:pPr>
            <w:r>
              <w:rPr>
                <w:sz w:val="21"/>
              </w:rPr>
              <w:t>指因头部遭受机械性外力伤害，引起脑重要部位损伤，并且由头颅断层扫描</w:t>
            </w:r>
          </w:p>
          <w:p>
            <w:pPr>
              <w:pStyle w:val="TableParagraph"/>
              <w:spacing w:line="273" w:lineRule="auto" w:before="36"/>
              <w:ind w:left="105" w:right="197"/>
              <w:rPr>
                <w:sz w:val="21"/>
              </w:rPr>
            </w:pPr>
            <w:r>
              <w:rPr>
                <w:w w:val="100"/>
                <w:sz w:val="21"/>
              </w:rPr>
              <w:t>（CT</w:t>
            </w:r>
            <w:r>
              <w:rPr>
                <w:spacing w:val="-108"/>
                <w:w w:val="100"/>
                <w:sz w:val="21"/>
              </w:rPr>
              <w:t>）</w:t>
            </w:r>
            <w:r>
              <w:rPr>
                <w:spacing w:val="-7"/>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（P</w:t>
            </w:r>
            <w:r>
              <w:rPr>
                <w:spacing w:val="-3"/>
                <w:w w:val="100"/>
                <w:sz w:val="21"/>
              </w:rPr>
              <w:t>E</w:t>
            </w:r>
            <w:r>
              <w:rPr>
                <w:spacing w:val="-1"/>
                <w:w w:val="100"/>
                <w:sz w:val="21"/>
              </w:rPr>
              <w:t>T</w:t>
            </w:r>
            <w:r>
              <w:rPr>
                <w:spacing w:val="-15"/>
                <w:w w:val="100"/>
                <w:sz w:val="21"/>
              </w:rPr>
              <w:t>）</w:t>
            </w:r>
            <w:r>
              <w:rPr>
                <w:spacing w:val="-3"/>
                <w:w w:val="100"/>
                <w:sz w:val="21"/>
              </w:rPr>
              <w:t>等影像学检查证实。</w:t>
            </w:r>
            <w:r>
              <w:rPr>
                <w:spacing w:val="-8"/>
                <w:sz w:val="21"/>
              </w:rPr>
              <w:t>头部外伤导致神经系统功能障碍，虽然未达到重大疾病“严重脑损伤”的给付标</w:t>
            </w:r>
            <w:r>
              <w:rPr>
                <w:spacing w:val="-5"/>
                <w:sz w:val="21"/>
              </w:rPr>
              <w:t>准，但是符合以下条件之一：</w:t>
            </w:r>
          </w:p>
          <w:p>
            <w:pPr>
              <w:pStyle w:val="TableParagraph"/>
              <w:spacing w:line="255" w:lineRule="exact" w:before="7"/>
              <w:ind w:left="525"/>
              <w:rPr>
                <w:sz w:val="21"/>
              </w:rPr>
            </w:pPr>
            <w:r>
              <w:rPr>
                <w:w w:val="100"/>
                <w:sz w:val="21"/>
              </w:rPr>
              <w:t>（1</w:t>
            </w:r>
            <w:r>
              <w:rPr>
                <w:spacing w:val="-3"/>
                <w:w w:val="100"/>
                <w:sz w:val="21"/>
              </w:rPr>
              <w:t>）被保险人接受了全麻下颅骨切开颅内血肿清除术</w:t>
            </w:r>
            <w:r>
              <w:rPr>
                <w:w w:val="100"/>
                <w:sz w:val="21"/>
              </w:rPr>
              <w:t>（</w:t>
            </w:r>
            <w:r>
              <w:rPr>
                <w:spacing w:val="-3"/>
                <w:w w:val="100"/>
                <w:sz w:val="21"/>
              </w:rPr>
              <w:t>颅骨钻孔术除外</w:t>
            </w:r>
            <w:r>
              <w:rPr>
                <w:spacing w:val="-106"/>
                <w:w w:val="100"/>
                <w:sz w:val="21"/>
              </w:rPr>
              <w:t>）</w:t>
            </w:r>
            <w:r>
              <w:rPr>
                <w:w w:val="100"/>
                <w:sz w:val="21"/>
              </w:rPr>
              <w:t>；</w:t>
            </w:r>
          </w:p>
        </w:tc>
      </w:tr>
    </w:tbl>
    <w:p>
      <w:pPr>
        <w:spacing w:after="0" w:line="255" w:lineRule="exact"/>
        <w:rPr>
          <w:sz w:val="21"/>
        </w:rPr>
        <w:sectPr>
          <w:headerReference w:type="default" r:id="rId12"/>
          <w:pgSz w:w="11910" w:h="16840"/>
          <w:pgMar w:header="857" w:footer="992" w:top="1040" w:bottom="1180" w:left="920" w:right="820"/>
        </w:sectPr>
      </w:pPr>
    </w:p>
    <w:p>
      <w:pPr>
        <w:pStyle w:val="BodyText"/>
        <w:spacing w:before="6"/>
        <w:rPr>
          <w:rFonts w:ascii="Times New Roman"/>
          <w:sz w:val="3"/>
        </w:rPr>
      </w:pPr>
      <w:r>
        <w:rPr/>
        <w:drawing>
          <wp:anchor distT="0" distB="0" distL="0" distR="0" allowOverlap="1" layoutInCell="1" locked="0" behindDoc="1" simplePos="0" relativeHeight="268396511">
            <wp:simplePos x="0" y="0"/>
            <wp:positionH relativeFrom="page">
              <wp:posOffset>2150617</wp:posOffset>
            </wp:positionH>
            <wp:positionV relativeFrom="page">
              <wp:posOffset>5490336</wp:posOffset>
            </wp:positionV>
            <wp:extent cx="397763" cy="132587"/>
            <wp:effectExtent l="0" t="0" r="0" b="0"/>
            <wp:wrapNone/>
            <wp:docPr id="1" name="image4.png" descr=""/>
            <wp:cNvGraphicFramePr>
              <a:graphicFrameLocks noChangeAspect="1"/>
            </wp:cNvGraphicFramePr>
            <a:graphic>
              <a:graphicData uri="http://schemas.openxmlformats.org/drawingml/2006/picture">
                <pic:pic>
                  <pic:nvPicPr>
                    <pic:cNvPr id="2" name="image4.png"/>
                    <pic:cNvPicPr/>
                  </pic:nvPicPr>
                  <pic:blipFill>
                    <a:blip r:embed="rId13" cstate="print"/>
                    <a:stretch>
                      <a:fillRect/>
                    </a:stretch>
                  </pic:blipFill>
                  <pic:spPr>
                    <a:xfrm>
                      <a:off x="0" y="0"/>
                      <a:ext cx="397763" cy="132587"/>
                    </a:xfrm>
                    <a:prstGeom prst="rect">
                      <a:avLst/>
                    </a:prstGeom>
                  </pic:spPr>
                </pic:pic>
              </a:graphicData>
            </a:graphic>
          </wp:anchor>
        </w:drawing>
      </w:r>
      <w:r>
        <w:rPr/>
        <w:drawing>
          <wp:anchor distT="0" distB="0" distL="0" distR="0" allowOverlap="1" layoutInCell="1" locked="0" behindDoc="1" simplePos="0" relativeHeight="268396535">
            <wp:simplePos x="0" y="0"/>
            <wp:positionH relativeFrom="page">
              <wp:posOffset>2150617</wp:posOffset>
            </wp:positionH>
            <wp:positionV relativeFrom="page">
              <wp:posOffset>5688456</wp:posOffset>
            </wp:positionV>
            <wp:extent cx="397763" cy="132587"/>
            <wp:effectExtent l="0" t="0" r="0" b="0"/>
            <wp:wrapNone/>
            <wp:docPr id="3" name="image4.png" descr=""/>
            <wp:cNvGraphicFramePr>
              <a:graphicFrameLocks noChangeAspect="1"/>
            </wp:cNvGraphicFramePr>
            <a:graphic>
              <a:graphicData uri="http://schemas.openxmlformats.org/drawingml/2006/picture">
                <pic:pic>
                  <pic:nvPicPr>
                    <pic:cNvPr id="4" name="image4.png"/>
                    <pic:cNvPicPr/>
                  </pic:nvPicPr>
                  <pic:blipFill>
                    <a:blip r:embed="rId13" cstate="print"/>
                    <a:stretch>
                      <a:fillRect/>
                    </a:stretch>
                  </pic:blipFill>
                  <pic:spPr>
                    <a:xfrm>
                      <a:off x="0" y="0"/>
                      <a:ext cx="397763" cy="132587"/>
                    </a:xfrm>
                    <a:prstGeom prst="rect">
                      <a:avLst/>
                    </a:prstGeom>
                  </pic:spPr>
                </pic:pic>
              </a:graphicData>
            </a:graphic>
          </wp:anchor>
        </w:drawing>
      </w:r>
      <w:r>
        <w:rPr/>
        <w:drawing>
          <wp:anchor distT="0" distB="0" distL="0" distR="0" allowOverlap="1" layoutInCell="1" locked="0" behindDoc="1" simplePos="0" relativeHeight="268396559">
            <wp:simplePos x="0" y="0"/>
            <wp:positionH relativeFrom="page">
              <wp:posOffset>2150617</wp:posOffset>
            </wp:positionH>
            <wp:positionV relativeFrom="page">
              <wp:posOffset>5886576</wp:posOffset>
            </wp:positionV>
            <wp:extent cx="397763" cy="132587"/>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397763" cy="132587"/>
                    </a:xfrm>
                    <a:prstGeom prst="rect">
                      <a:avLst/>
                    </a:prstGeom>
                  </pic:spPr>
                </pic:pic>
              </a:graphicData>
            </a:graphic>
          </wp:anchor>
        </w:drawing>
      </w:r>
      <w:r>
        <w:rPr/>
        <w:drawing>
          <wp:anchor distT="0" distB="0" distL="0" distR="0" allowOverlap="1" layoutInCell="1" locked="0" behindDoc="1" simplePos="0" relativeHeight="268396583">
            <wp:simplePos x="0" y="0"/>
            <wp:positionH relativeFrom="page">
              <wp:posOffset>2150617</wp:posOffset>
            </wp:positionH>
            <wp:positionV relativeFrom="page">
              <wp:posOffset>6084696</wp:posOffset>
            </wp:positionV>
            <wp:extent cx="395503" cy="132587"/>
            <wp:effectExtent l="0" t="0" r="0" b="0"/>
            <wp:wrapNone/>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395503" cy="132587"/>
                    </a:xfrm>
                    <a:prstGeom prst="rect">
                      <a:avLst/>
                    </a:prstGeom>
                  </pic:spPr>
                </pic:pic>
              </a:graphicData>
            </a:graphic>
          </wp:anchor>
        </w:drawing>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1283"/>
        <w:gridCol w:w="7703"/>
      </w:tblGrid>
      <w:tr>
        <w:trPr>
          <w:trHeight w:val="1060" w:hRule="atLeast"/>
        </w:trPr>
        <w:tc>
          <w:tcPr>
            <w:tcW w:w="964" w:type="dxa"/>
            <w:tcBorders>
              <w:top w:val="single" w:sz="18" w:space="0" w:color="000000"/>
            </w:tcBorders>
          </w:tcPr>
          <w:p>
            <w:pPr>
              <w:pStyle w:val="TableParagraph"/>
              <w:rPr>
                <w:rFonts w:ascii="Times New Roman"/>
                <w:sz w:val="20"/>
              </w:rPr>
            </w:pPr>
          </w:p>
        </w:tc>
        <w:tc>
          <w:tcPr>
            <w:tcW w:w="1283" w:type="dxa"/>
            <w:tcBorders>
              <w:top w:val="single" w:sz="18" w:space="0" w:color="000000"/>
            </w:tcBorders>
          </w:tcPr>
          <w:p>
            <w:pPr>
              <w:pStyle w:val="TableParagraph"/>
              <w:rPr>
                <w:rFonts w:ascii="Times New Roman"/>
                <w:sz w:val="20"/>
              </w:rPr>
            </w:pPr>
          </w:p>
        </w:tc>
        <w:tc>
          <w:tcPr>
            <w:tcW w:w="7703" w:type="dxa"/>
            <w:tcBorders>
              <w:top w:val="single" w:sz="18" w:space="0" w:color="000000"/>
            </w:tcBorders>
          </w:tcPr>
          <w:p>
            <w:pPr>
              <w:pStyle w:val="TableParagraph"/>
              <w:spacing w:before="2"/>
              <w:rPr>
                <w:rFonts w:ascii="Times New Roman"/>
                <w:sz w:val="23"/>
              </w:rPr>
            </w:pPr>
          </w:p>
          <w:p>
            <w:pPr>
              <w:pStyle w:val="TableParagraph"/>
              <w:spacing w:line="273" w:lineRule="auto"/>
              <w:ind w:left="106" w:right="304" w:firstLine="420"/>
              <w:rPr>
                <w:sz w:val="21"/>
              </w:rPr>
            </w:pPr>
            <w:r>
              <w:rPr>
                <w:sz w:val="21"/>
              </w:rPr>
              <w:t>（2）</w:t>
            </w:r>
            <w:r>
              <w:rPr>
                <w:spacing w:val="-12"/>
                <w:sz w:val="21"/>
              </w:rPr>
              <w:t>在外伤 </w:t>
            </w:r>
            <w:r>
              <w:rPr>
                <w:sz w:val="21"/>
              </w:rPr>
              <w:t>180</w:t>
            </w:r>
            <w:r>
              <w:rPr>
                <w:spacing w:val="-10"/>
                <w:sz w:val="21"/>
              </w:rPr>
              <w:t> 后仍然遗留一肢或一肢以上肢体肌力 </w:t>
            </w:r>
            <w:r>
              <w:rPr>
                <w:sz w:val="21"/>
              </w:rPr>
              <w:t>III</w:t>
            </w:r>
            <w:r>
              <w:rPr>
                <w:spacing w:val="-22"/>
                <w:sz w:val="21"/>
              </w:rPr>
              <w:t> 级或 </w:t>
            </w:r>
            <w:r>
              <w:rPr>
                <w:sz w:val="21"/>
              </w:rPr>
              <w:t>III</w:t>
            </w:r>
            <w:r>
              <w:rPr>
                <w:spacing w:val="-13"/>
                <w:sz w:val="21"/>
              </w:rPr>
              <w:t> 级以下</w:t>
            </w:r>
            <w:r>
              <w:rPr>
                <w:spacing w:val="-6"/>
                <w:sz w:val="21"/>
              </w:rPr>
              <w:t>的运动功能障碍。</w:t>
            </w:r>
          </w:p>
        </w:tc>
      </w:tr>
      <w:tr>
        <w:trPr>
          <w:trHeight w:val="1560" w:hRule="atLeast"/>
        </w:trPr>
        <w:tc>
          <w:tcPr>
            <w:tcW w:w="964" w:type="dxa"/>
          </w:tcPr>
          <w:p>
            <w:pPr>
              <w:pStyle w:val="TableParagraph"/>
              <w:spacing w:before="80"/>
              <w:ind w:left="200"/>
              <w:rPr>
                <w:rFonts w:ascii="微软雅黑"/>
                <w:b/>
                <w:sz w:val="21"/>
              </w:rPr>
            </w:pPr>
            <w:r>
              <w:rPr>
                <w:rFonts w:ascii="微软雅黑"/>
                <w:b/>
                <w:w w:val="105"/>
                <w:sz w:val="21"/>
              </w:rPr>
              <w:t>5.5.9</w:t>
            </w:r>
          </w:p>
        </w:tc>
        <w:tc>
          <w:tcPr>
            <w:tcW w:w="1283" w:type="dxa"/>
          </w:tcPr>
          <w:p>
            <w:pPr>
              <w:pStyle w:val="TableParagraph"/>
              <w:spacing w:line="206" w:lineRule="auto" w:before="131"/>
              <w:ind w:left="124" w:right="311"/>
              <w:rPr>
                <w:rFonts w:ascii="微软雅黑" w:eastAsia="微软雅黑" w:hint="eastAsia"/>
                <w:b/>
                <w:sz w:val="21"/>
              </w:rPr>
            </w:pPr>
            <w:r>
              <w:rPr>
                <w:rFonts w:ascii="微软雅黑" w:eastAsia="微软雅黑" w:hint="eastAsia"/>
                <w:b/>
                <w:sz w:val="21"/>
              </w:rPr>
              <w:t>轻微脑中风</w:t>
            </w:r>
          </w:p>
        </w:tc>
        <w:tc>
          <w:tcPr>
            <w:tcW w:w="7703" w:type="dxa"/>
          </w:tcPr>
          <w:p>
            <w:pPr>
              <w:pStyle w:val="TableParagraph"/>
              <w:spacing w:before="142"/>
              <w:ind w:left="526"/>
              <w:rPr>
                <w:sz w:val="21"/>
              </w:rPr>
            </w:pPr>
            <w:r>
              <w:rPr>
                <w:sz w:val="21"/>
              </w:rPr>
              <w:t>指实际发生了脑血管的突发病变出现神经系统功能障碍表现，头颅断层扫描</w:t>
            </w:r>
          </w:p>
          <w:p>
            <w:pPr>
              <w:pStyle w:val="TableParagraph"/>
              <w:spacing w:line="273" w:lineRule="auto" w:before="36"/>
              <w:ind w:left="106" w:right="302"/>
              <w:jc w:val="both"/>
              <w:rPr>
                <w:sz w:val="21"/>
              </w:rPr>
            </w:pPr>
            <w:r>
              <w:rPr>
                <w:w w:val="100"/>
                <w:sz w:val="21"/>
              </w:rPr>
              <w:t>（CT</w:t>
            </w:r>
            <w:r>
              <w:rPr>
                <w:spacing w:val="-108"/>
                <w:w w:val="100"/>
                <w:sz w:val="21"/>
              </w:rPr>
              <w:t>）</w:t>
            </w:r>
            <w:r>
              <w:rPr>
                <w:spacing w:val="-8"/>
                <w:w w:val="100"/>
                <w:sz w:val="21"/>
              </w:rPr>
              <w:t>、核磁共振</w:t>
            </w:r>
            <w:r>
              <w:rPr>
                <w:spacing w:val="-1"/>
                <w:w w:val="100"/>
                <w:sz w:val="21"/>
              </w:rPr>
              <w:t>（</w:t>
            </w:r>
            <w:r>
              <w:rPr>
                <w:w w:val="100"/>
                <w:sz w:val="21"/>
              </w:rPr>
              <w:t>M</w:t>
            </w:r>
            <w:r>
              <w:rPr>
                <w:spacing w:val="-3"/>
                <w:w w:val="100"/>
                <w:sz w:val="21"/>
              </w:rPr>
              <w:t>R</w:t>
            </w:r>
            <w:r>
              <w:rPr>
                <w:spacing w:val="-1"/>
                <w:w w:val="100"/>
                <w:sz w:val="21"/>
              </w:rPr>
              <w:t>I</w:t>
            </w:r>
            <w:r>
              <w:rPr>
                <w:spacing w:val="-15"/>
                <w:w w:val="100"/>
                <w:sz w:val="21"/>
              </w:rPr>
              <w:t>）</w:t>
            </w:r>
            <w:r>
              <w:rPr>
                <w:spacing w:val="-5"/>
                <w:w w:val="100"/>
                <w:sz w:val="21"/>
              </w:rPr>
              <w:t>等影像学检查证实存在对应病灶，确诊为脑出血、脑栓</w:t>
            </w:r>
            <w:r>
              <w:rPr>
                <w:spacing w:val="-16"/>
                <w:sz w:val="21"/>
              </w:rPr>
              <w:t>塞或脑梗塞，在确诊 </w:t>
            </w:r>
            <w:r>
              <w:rPr>
                <w:sz w:val="21"/>
              </w:rPr>
              <w:t>180</w:t>
            </w:r>
            <w:r>
              <w:rPr>
                <w:spacing w:val="-10"/>
                <w:sz w:val="21"/>
              </w:rPr>
              <w:t> 天后仍然遗留一肢或一肢以上肢体肌力 </w:t>
            </w:r>
            <w:r>
              <w:rPr>
                <w:sz w:val="21"/>
              </w:rPr>
              <w:t>III</w:t>
            </w:r>
            <w:r>
              <w:rPr>
                <w:spacing w:val="-26"/>
                <w:sz w:val="21"/>
              </w:rPr>
              <w:t> 级或 </w:t>
            </w:r>
            <w:r>
              <w:rPr>
                <w:sz w:val="21"/>
              </w:rPr>
              <w:t>III</w:t>
            </w:r>
            <w:r>
              <w:rPr>
                <w:spacing w:val="-25"/>
                <w:sz w:val="21"/>
              </w:rPr>
              <w:t> 级</w:t>
            </w:r>
            <w:r>
              <w:rPr>
                <w:spacing w:val="-8"/>
                <w:sz w:val="21"/>
              </w:rPr>
              <w:t>以下的运动功能障碍。</w:t>
            </w:r>
          </w:p>
        </w:tc>
      </w:tr>
      <w:tr>
        <w:trPr>
          <w:trHeight w:val="936" w:hRule="atLeast"/>
        </w:trPr>
        <w:tc>
          <w:tcPr>
            <w:tcW w:w="964" w:type="dxa"/>
          </w:tcPr>
          <w:p>
            <w:pPr>
              <w:pStyle w:val="TableParagraph"/>
              <w:spacing w:before="80"/>
              <w:ind w:left="200"/>
              <w:rPr>
                <w:rFonts w:ascii="微软雅黑"/>
                <w:b/>
                <w:sz w:val="21"/>
              </w:rPr>
            </w:pPr>
            <w:r>
              <w:rPr>
                <w:rFonts w:ascii="微软雅黑"/>
                <w:b/>
                <w:sz w:val="21"/>
              </w:rPr>
              <w:t>5.5.10</w:t>
            </w:r>
          </w:p>
        </w:tc>
        <w:tc>
          <w:tcPr>
            <w:tcW w:w="1283" w:type="dxa"/>
          </w:tcPr>
          <w:p>
            <w:pPr>
              <w:pStyle w:val="TableParagraph"/>
              <w:spacing w:line="206" w:lineRule="auto" w:before="131"/>
              <w:ind w:left="124" w:right="311"/>
              <w:rPr>
                <w:rFonts w:ascii="微软雅黑" w:eastAsia="微软雅黑" w:hint="eastAsia"/>
                <w:b/>
                <w:sz w:val="21"/>
              </w:rPr>
            </w:pPr>
            <w:r>
              <w:rPr>
                <w:rFonts w:ascii="微软雅黑" w:eastAsia="微软雅黑" w:hint="eastAsia"/>
                <w:b/>
                <w:sz w:val="21"/>
              </w:rPr>
              <w:t>单个肢体缺失</w:t>
            </w:r>
          </w:p>
        </w:tc>
        <w:tc>
          <w:tcPr>
            <w:tcW w:w="7703" w:type="dxa"/>
          </w:tcPr>
          <w:p>
            <w:pPr>
              <w:pStyle w:val="TableParagraph"/>
              <w:spacing w:line="273" w:lineRule="auto" w:before="142"/>
              <w:ind w:left="106" w:right="313" w:firstLine="480"/>
              <w:rPr>
                <w:sz w:val="21"/>
              </w:rPr>
            </w:pPr>
            <w:r>
              <w:rPr>
                <w:sz w:val="21"/>
              </w:rPr>
              <w:t>指因疾病或意外伤害导致一个肢体自腕关节或踝关节近端（靠近躯干端） 以上完全性断离。</w:t>
            </w:r>
          </w:p>
        </w:tc>
      </w:tr>
      <w:tr>
        <w:trPr>
          <w:trHeight w:val="3120" w:hRule="atLeast"/>
        </w:trPr>
        <w:tc>
          <w:tcPr>
            <w:tcW w:w="964" w:type="dxa"/>
          </w:tcPr>
          <w:p>
            <w:pPr>
              <w:pStyle w:val="TableParagraph"/>
              <w:spacing w:before="80"/>
              <w:ind w:left="200"/>
              <w:rPr>
                <w:rFonts w:ascii="微软雅黑"/>
                <w:b/>
                <w:sz w:val="21"/>
              </w:rPr>
            </w:pPr>
            <w:r>
              <w:rPr>
                <w:rFonts w:ascii="微软雅黑"/>
                <w:b/>
                <w:sz w:val="21"/>
              </w:rPr>
              <w:t>5.5.11</w:t>
            </w:r>
          </w:p>
        </w:tc>
        <w:tc>
          <w:tcPr>
            <w:tcW w:w="1283" w:type="dxa"/>
          </w:tcPr>
          <w:p>
            <w:pPr>
              <w:pStyle w:val="TableParagraph"/>
              <w:spacing w:line="206" w:lineRule="auto" w:before="131"/>
              <w:ind w:left="124" w:right="311"/>
              <w:jc w:val="both"/>
              <w:rPr>
                <w:rFonts w:ascii="微软雅黑" w:eastAsia="微软雅黑" w:hint="eastAsia"/>
                <w:b/>
                <w:sz w:val="21"/>
              </w:rPr>
            </w:pPr>
            <w:r>
              <w:rPr>
                <w:rFonts w:ascii="微软雅黑" w:eastAsia="微软雅黑" w:hint="eastAsia"/>
                <w:b/>
                <w:sz w:val="21"/>
              </w:rPr>
              <w:t>因意外伤害毁容而施行的面部整形手术</w:t>
            </w:r>
          </w:p>
        </w:tc>
        <w:tc>
          <w:tcPr>
            <w:tcW w:w="7703" w:type="dxa"/>
          </w:tcPr>
          <w:p>
            <w:pPr>
              <w:pStyle w:val="TableParagraph"/>
              <w:spacing w:line="273" w:lineRule="auto" w:before="143"/>
              <w:ind w:left="106" w:right="304" w:firstLine="480"/>
              <w:jc w:val="both"/>
              <w:rPr>
                <w:sz w:val="21"/>
              </w:rPr>
            </w:pPr>
            <w:r>
              <w:rPr>
                <w:sz w:val="21"/>
              </w:rPr>
              <w:t>实际接受了在全身麻醉的情況下，由整形外科医生实施的对严重缺陷、缺</w:t>
            </w:r>
            <w:r>
              <w:rPr>
                <w:spacing w:val="-8"/>
                <w:sz w:val="21"/>
              </w:rPr>
              <w:t>失、损害或变形的面部形态和结构进行修复或重建的面部整形手术，以矫正由于</w:t>
            </w:r>
            <w:r>
              <w:rPr>
                <w:spacing w:val="-5"/>
                <w:sz w:val="21"/>
              </w:rPr>
              <w:t>意外伤害或暴力袭击造成的面部毁损。</w:t>
            </w:r>
          </w:p>
          <w:p>
            <w:pPr>
              <w:pStyle w:val="TableParagraph"/>
              <w:spacing w:line="273" w:lineRule="auto" w:before="8"/>
              <w:ind w:left="106" w:right="304" w:firstLine="480"/>
              <w:jc w:val="both"/>
              <w:rPr>
                <w:sz w:val="21"/>
              </w:rPr>
            </w:pPr>
            <w:r>
              <w:rPr>
                <w:spacing w:val="-4"/>
                <w:sz w:val="21"/>
              </w:rPr>
              <w:t>面部整形手术必须在意外伤害后的 </w:t>
            </w:r>
            <w:r>
              <w:rPr>
                <w:sz w:val="21"/>
              </w:rPr>
              <w:t>180</w:t>
            </w:r>
            <w:r>
              <w:rPr>
                <w:spacing w:val="-3"/>
                <w:sz w:val="21"/>
              </w:rPr>
              <w:t> 天内实施。因面部外伤后遗留的线条状瘢痕及色素沉着而施行的手术不在保障范围内。</w:t>
            </w:r>
          </w:p>
          <w:p>
            <w:pPr>
              <w:pStyle w:val="TableParagraph"/>
              <w:spacing w:before="8"/>
              <w:ind w:left="586"/>
              <w:rPr>
                <w:sz w:val="21"/>
              </w:rPr>
            </w:pPr>
            <w:r>
              <w:rPr>
                <w:sz w:val="21"/>
              </w:rPr>
              <w:t>意外伤害必须满足下列全部条件：</w:t>
            </w:r>
          </w:p>
          <w:p>
            <w:pPr>
              <w:pStyle w:val="TableParagraph"/>
              <w:spacing w:line="273" w:lineRule="auto" w:before="37"/>
              <w:ind w:left="106" w:right="313" w:firstLine="480"/>
              <w:jc w:val="both"/>
              <w:rPr>
                <w:sz w:val="21"/>
              </w:rPr>
            </w:pPr>
            <w:r>
              <w:rPr>
                <w:sz w:val="21"/>
              </w:rPr>
              <w:t>1.由外在暴力引起并且造成表面可视性伤口和面部骨结构损害的，或面部皮肤三度或全层意外烧伤；</w:t>
            </w:r>
          </w:p>
          <w:p>
            <w:pPr>
              <w:pStyle w:val="TableParagraph"/>
              <w:spacing w:before="7"/>
              <w:ind w:left="586"/>
              <w:rPr>
                <w:sz w:val="21"/>
              </w:rPr>
            </w:pPr>
            <w:r>
              <w:rPr>
                <w:sz w:val="21"/>
              </w:rPr>
              <w:t>2.是造成面部毁损的直接和独立的原因。</w:t>
            </w:r>
          </w:p>
        </w:tc>
      </w:tr>
      <w:tr>
        <w:trPr>
          <w:trHeight w:val="2496" w:hRule="atLeast"/>
        </w:trPr>
        <w:tc>
          <w:tcPr>
            <w:tcW w:w="964" w:type="dxa"/>
          </w:tcPr>
          <w:p>
            <w:pPr>
              <w:pStyle w:val="TableParagraph"/>
              <w:spacing w:before="80"/>
              <w:ind w:left="200"/>
              <w:rPr>
                <w:rFonts w:ascii="微软雅黑"/>
                <w:b/>
                <w:sz w:val="21"/>
              </w:rPr>
            </w:pPr>
            <w:r>
              <w:rPr>
                <w:rFonts w:ascii="微软雅黑"/>
                <w:b/>
                <w:sz w:val="21"/>
              </w:rPr>
              <w:t>5.5.12</w:t>
            </w:r>
          </w:p>
        </w:tc>
        <w:tc>
          <w:tcPr>
            <w:tcW w:w="1283" w:type="dxa"/>
          </w:tcPr>
          <w:p>
            <w:pPr>
              <w:pStyle w:val="TableParagraph"/>
              <w:spacing w:line="206" w:lineRule="auto" w:before="131"/>
              <w:ind w:left="124" w:right="311"/>
              <w:rPr>
                <w:rFonts w:ascii="微软雅黑" w:eastAsia="微软雅黑" w:hint="eastAsia"/>
                <w:b/>
                <w:sz w:val="21"/>
              </w:rPr>
            </w:pPr>
            <w:r>
              <w:rPr>
                <w:rFonts w:ascii="微软雅黑" w:eastAsia="微软雅黑" w:hint="eastAsia"/>
                <w:b/>
                <w:sz w:val="21"/>
              </w:rPr>
              <w:t>严重脑炎或脑膜炎</w:t>
            </w:r>
          </w:p>
        </w:tc>
        <w:tc>
          <w:tcPr>
            <w:tcW w:w="7703" w:type="dxa"/>
          </w:tcPr>
          <w:p>
            <w:pPr>
              <w:pStyle w:val="TableParagraph"/>
              <w:spacing w:line="273" w:lineRule="auto" w:before="143"/>
              <w:ind w:left="106" w:right="129" w:firstLine="480"/>
              <w:rPr>
                <w:sz w:val="21"/>
              </w:rPr>
            </w:pPr>
            <w:r>
              <w:rPr>
                <w:sz w:val="21"/>
              </w:rPr>
              <w:t>指因患脑炎或脑膜炎住院治疗，并且导致神经系统永久性的功能障碍。神经系统永久性的功能障碍，指疾病确 180 天后，仍遗留下列一种或一种以上障碍：</w:t>
            </w:r>
          </w:p>
          <w:p>
            <w:pPr>
              <w:pStyle w:val="TableParagraph"/>
              <w:spacing w:before="8"/>
              <w:ind w:left="529"/>
              <w:rPr>
                <w:sz w:val="21"/>
              </w:rPr>
            </w:pPr>
            <w:r>
              <w:rPr>
                <w:sz w:val="21"/>
              </w:rPr>
              <w:t>1）一肢或一肢以上肢体肌力 III 级或 III 级以下的运动功能障碍；</w:t>
            </w:r>
          </w:p>
          <w:p>
            <w:pPr>
              <w:pStyle w:val="TableParagraph"/>
              <w:spacing w:before="37"/>
              <w:ind w:left="529"/>
              <w:rPr>
                <w:sz w:val="21"/>
              </w:rPr>
            </w:pPr>
            <w:r>
              <w:rPr>
                <w:sz w:val="21"/>
              </w:rPr>
              <w:t>2）听力丧失，双耳平均听阈大于 55 分贝或一耳平均听阈大于 90 分贝；</w:t>
            </w:r>
          </w:p>
          <w:p>
            <w:pPr>
              <w:pStyle w:val="TableParagraph"/>
              <w:spacing w:before="37"/>
              <w:ind w:left="529"/>
              <w:rPr>
                <w:sz w:val="21"/>
              </w:rPr>
            </w:pPr>
            <w:r>
              <w:rPr>
                <w:sz w:val="21"/>
              </w:rPr>
              <w:t>3）视野缺损，双眼视野半径小于 20 度；</w:t>
            </w:r>
          </w:p>
          <w:p>
            <w:pPr>
              <w:pStyle w:val="TableParagraph"/>
              <w:spacing w:line="273" w:lineRule="auto" w:before="37"/>
              <w:ind w:left="106" w:right="201" w:firstLine="420"/>
              <w:rPr>
                <w:sz w:val="21"/>
              </w:rPr>
            </w:pPr>
            <w:r>
              <w:rPr>
                <w:spacing w:val="-4"/>
                <w:sz w:val="21"/>
              </w:rPr>
              <w:t>4）</w:t>
            </w:r>
            <w:r>
              <w:rPr>
                <w:spacing w:val="-5"/>
                <w:sz w:val="21"/>
              </w:rPr>
              <w:t>视力严重受损，双眼中较好眼矫正视力低于 </w:t>
            </w:r>
            <w:r>
              <w:rPr>
                <w:sz w:val="21"/>
              </w:rPr>
              <w:t>0.1（</w:t>
            </w:r>
            <w:r>
              <w:rPr>
                <w:spacing w:val="-3"/>
                <w:sz w:val="21"/>
              </w:rPr>
              <w:t>采用国际标准视力表， 图个使用其他视力表应进行换算</w:t>
            </w:r>
            <w:r>
              <w:rPr>
                <w:spacing w:val="-106"/>
                <w:sz w:val="21"/>
              </w:rPr>
              <w:t>）</w:t>
            </w:r>
            <w:r>
              <w:rPr>
                <w:sz w:val="21"/>
              </w:rPr>
              <w:t>。</w:t>
            </w:r>
          </w:p>
        </w:tc>
      </w:tr>
      <w:tr>
        <w:trPr>
          <w:trHeight w:val="936" w:hRule="atLeast"/>
        </w:trPr>
        <w:tc>
          <w:tcPr>
            <w:tcW w:w="964" w:type="dxa"/>
          </w:tcPr>
          <w:p>
            <w:pPr>
              <w:pStyle w:val="TableParagraph"/>
              <w:spacing w:before="80"/>
              <w:ind w:left="200"/>
              <w:rPr>
                <w:rFonts w:ascii="微软雅黑"/>
                <w:b/>
                <w:sz w:val="21"/>
              </w:rPr>
            </w:pPr>
            <w:r>
              <w:rPr>
                <w:rFonts w:ascii="微软雅黑"/>
                <w:b/>
                <w:sz w:val="21"/>
              </w:rPr>
              <w:t>5.6</w:t>
            </w:r>
          </w:p>
        </w:tc>
        <w:tc>
          <w:tcPr>
            <w:tcW w:w="1283" w:type="dxa"/>
          </w:tcPr>
          <w:p>
            <w:pPr>
              <w:pStyle w:val="TableParagraph"/>
              <w:spacing w:line="206" w:lineRule="auto" w:before="131"/>
              <w:ind w:left="124" w:right="311"/>
              <w:rPr>
                <w:rFonts w:ascii="微软雅黑" w:eastAsia="微软雅黑" w:hint="eastAsia"/>
                <w:b/>
                <w:sz w:val="21"/>
              </w:rPr>
            </w:pPr>
            <w:r>
              <w:rPr>
                <w:rFonts w:ascii="微软雅黑" w:eastAsia="微软雅黑" w:hint="eastAsia"/>
                <w:b/>
                <w:sz w:val="21"/>
              </w:rPr>
              <w:t>遗传性疾病</w:t>
            </w:r>
          </w:p>
        </w:tc>
        <w:tc>
          <w:tcPr>
            <w:tcW w:w="7703" w:type="dxa"/>
          </w:tcPr>
          <w:p>
            <w:pPr>
              <w:pStyle w:val="TableParagraph"/>
              <w:spacing w:line="273" w:lineRule="auto" w:before="142"/>
              <w:ind w:left="106" w:right="235" w:firstLine="420"/>
              <w:rPr>
                <w:sz w:val="21"/>
              </w:rPr>
            </w:pPr>
            <w:r>
              <w:rPr>
                <w:sz w:val="21"/>
              </w:rPr>
              <w:t>指生殖细胞或受精卵的遗传物质（染色体和基因）发生突变或畸变所引起的疾病，通常具有由亲代传至后代的垂直传递的特征。</w:t>
            </w:r>
          </w:p>
        </w:tc>
      </w:tr>
      <w:tr>
        <w:trPr>
          <w:trHeight w:val="1560" w:hRule="atLeast"/>
        </w:trPr>
        <w:tc>
          <w:tcPr>
            <w:tcW w:w="964" w:type="dxa"/>
          </w:tcPr>
          <w:p>
            <w:pPr>
              <w:pStyle w:val="TableParagraph"/>
              <w:spacing w:before="80"/>
              <w:ind w:left="200"/>
              <w:rPr>
                <w:rFonts w:ascii="微软雅黑"/>
                <w:b/>
                <w:sz w:val="21"/>
              </w:rPr>
            </w:pPr>
            <w:r>
              <w:rPr>
                <w:rFonts w:ascii="微软雅黑"/>
                <w:b/>
                <w:sz w:val="21"/>
              </w:rPr>
              <w:t>5.7</w:t>
            </w:r>
          </w:p>
        </w:tc>
        <w:tc>
          <w:tcPr>
            <w:tcW w:w="1283" w:type="dxa"/>
          </w:tcPr>
          <w:p>
            <w:pPr>
              <w:pStyle w:val="TableParagraph"/>
              <w:spacing w:line="206" w:lineRule="auto" w:before="131"/>
              <w:ind w:left="124" w:right="105"/>
              <w:rPr>
                <w:rFonts w:ascii="微软雅黑" w:eastAsia="微软雅黑" w:hint="eastAsia"/>
                <w:b/>
                <w:sz w:val="21"/>
              </w:rPr>
            </w:pPr>
            <w:r>
              <w:rPr>
                <w:rFonts w:ascii="微软雅黑" w:eastAsia="微软雅黑" w:hint="eastAsia"/>
                <w:b/>
                <w:sz w:val="21"/>
              </w:rPr>
              <w:t>先 天 性 畸 形、变形或染 色 体 异 常</w:t>
            </w:r>
          </w:p>
        </w:tc>
        <w:tc>
          <w:tcPr>
            <w:tcW w:w="7703" w:type="dxa"/>
          </w:tcPr>
          <w:p>
            <w:pPr>
              <w:pStyle w:val="TableParagraph"/>
              <w:spacing w:line="273" w:lineRule="auto" w:before="143"/>
              <w:ind w:left="106" w:right="198" w:firstLine="420"/>
              <w:rPr>
                <w:sz w:val="21"/>
              </w:rPr>
            </w:pPr>
            <w:r>
              <w:rPr>
                <w:spacing w:val="-7"/>
                <w:sz w:val="21"/>
              </w:rPr>
              <w:t>指被保险人出生时就具有的畸形、变形或染色体异常。先天性畸形、变形和</w:t>
            </w:r>
            <w:r>
              <w:rPr>
                <w:spacing w:val="-8"/>
                <w:sz w:val="21"/>
              </w:rPr>
              <w:t>染色体异常依照世界卫生组织《疾病和有关健康问题的国际统计分类</w:t>
            </w:r>
            <w:r>
              <w:rPr>
                <w:spacing w:val="-140"/>
                <w:sz w:val="21"/>
              </w:rPr>
              <w:t>》</w:t>
            </w:r>
            <w:r>
              <w:rPr>
                <w:sz w:val="21"/>
              </w:rPr>
              <w:t>（ICD-10） 确定。</w:t>
            </w:r>
          </w:p>
        </w:tc>
      </w:tr>
      <w:tr>
        <w:trPr>
          <w:trHeight w:val="1665" w:hRule="atLeast"/>
        </w:trPr>
        <w:tc>
          <w:tcPr>
            <w:tcW w:w="964" w:type="dxa"/>
          </w:tcPr>
          <w:p>
            <w:pPr>
              <w:pStyle w:val="TableParagraph"/>
              <w:spacing w:before="80"/>
              <w:ind w:left="200"/>
              <w:rPr>
                <w:rFonts w:ascii="微软雅黑"/>
                <w:b/>
                <w:sz w:val="21"/>
              </w:rPr>
            </w:pPr>
            <w:r>
              <w:rPr>
                <w:rFonts w:ascii="微软雅黑"/>
                <w:b/>
                <w:sz w:val="21"/>
              </w:rPr>
              <w:t>5.8</w:t>
            </w:r>
          </w:p>
        </w:tc>
        <w:tc>
          <w:tcPr>
            <w:tcW w:w="1283" w:type="dxa"/>
          </w:tcPr>
          <w:p>
            <w:pPr>
              <w:pStyle w:val="TableParagraph"/>
              <w:spacing w:line="206" w:lineRule="auto" w:before="131"/>
              <w:ind w:left="124" w:right="311"/>
              <w:jc w:val="both"/>
              <w:rPr>
                <w:rFonts w:ascii="微软雅黑" w:eastAsia="微软雅黑" w:hint="eastAsia"/>
                <w:b/>
                <w:sz w:val="21"/>
              </w:rPr>
            </w:pPr>
            <w:r>
              <w:rPr>
                <w:rFonts w:ascii="微软雅黑" w:eastAsia="微软雅黑" w:hint="eastAsia"/>
                <w:b/>
                <w:sz w:val="21"/>
              </w:rPr>
              <w:t>感染艾滋病病毒或患艾滋病</w:t>
            </w:r>
          </w:p>
        </w:tc>
        <w:tc>
          <w:tcPr>
            <w:tcW w:w="7703" w:type="dxa"/>
          </w:tcPr>
          <w:p>
            <w:pPr>
              <w:pStyle w:val="TableParagraph"/>
              <w:spacing w:line="273" w:lineRule="auto" w:before="142"/>
              <w:ind w:left="106" w:right="304" w:firstLine="420"/>
              <w:jc w:val="both"/>
              <w:rPr>
                <w:sz w:val="21"/>
              </w:rPr>
            </w:pPr>
            <w:r>
              <w:rPr>
                <w:spacing w:val="-6"/>
                <w:sz w:val="21"/>
              </w:rPr>
              <w:t>艾滋病病毒指人类免疫缺陷病毒，英文缩写 </w:t>
            </w:r>
            <w:r>
              <w:rPr>
                <w:sz w:val="21"/>
              </w:rPr>
              <w:t>HIV</w:t>
            </w:r>
            <w:r>
              <w:rPr>
                <w:spacing w:val="-3"/>
                <w:sz w:val="21"/>
              </w:rPr>
              <w:t>。艾滋病指人类免疫缺陷病</w:t>
            </w:r>
            <w:r>
              <w:rPr>
                <w:spacing w:val="-5"/>
                <w:sz w:val="21"/>
              </w:rPr>
              <w:t>毒引起的获得性免疫缺陷综合征，英文缩写 </w:t>
            </w:r>
            <w:r>
              <w:rPr>
                <w:sz w:val="21"/>
              </w:rPr>
              <w:t>AIDS。</w:t>
            </w:r>
          </w:p>
          <w:p>
            <w:pPr>
              <w:pStyle w:val="TableParagraph"/>
              <w:spacing w:line="312" w:lineRule="exact" w:before="3"/>
              <w:ind w:left="106" w:right="303" w:firstLine="420"/>
              <w:jc w:val="both"/>
              <w:rPr>
                <w:sz w:val="21"/>
              </w:rPr>
            </w:pPr>
            <w:r>
              <w:rPr>
                <w:spacing w:val="-6"/>
                <w:sz w:val="21"/>
              </w:rPr>
              <w:t>在人体血液或其他样本中检测到艾滋病病毒或其抗体呈阳性，没有出现临床</w:t>
            </w:r>
            <w:r>
              <w:rPr>
                <w:spacing w:val="-10"/>
                <w:sz w:val="21"/>
              </w:rPr>
              <w:t>症状或体征的，为感染艾滋病病毒；如同时出现了明显临床症状或体征的，为患</w:t>
            </w:r>
            <w:r>
              <w:rPr>
                <w:spacing w:val="-6"/>
                <w:sz w:val="21"/>
              </w:rPr>
              <w:t>艾滋病。</w:t>
            </w:r>
          </w:p>
        </w:tc>
      </w:tr>
    </w:tbl>
    <w:sectPr>
      <w:pgSz w:w="11910" w:h="16840"/>
      <w:pgMar w:header="857" w:footer="992" w:top="1040" w:bottom="1180" w:left="9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39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200.05pt;height:11pt;mso-position-horizontal-relative:page;mso-position-vertical-relative:page;z-index:-39016" type="#_x0000_t202" filled="false" stroked="false">
          <v:textbox inset="0,0,0,0">
            <w:txbxContent>
              <w:p>
                <w:pPr>
                  <w:spacing w:line="200" w:lineRule="exact" w:before="0"/>
                  <w:ind w:left="20" w:right="0" w:firstLine="0"/>
                  <w:jc w:val="left"/>
                  <w:rPr>
                    <w:sz w:val="18"/>
                  </w:rPr>
                </w:pPr>
                <w:r>
                  <w:rPr>
                    <w:sz w:val="18"/>
                  </w:rPr>
                  <w:t>天安人寿附加长泰永恒提前给付重大疾病保险条款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992" from="65.199997pt,56.399984pt" to="533.199997pt,55.299984pt" stroked="true" strokeweight=".75pt" strokecolor="#000000">
          <v:stroke dashstyle="solid"/>
          <w10:wrap type="none"/>
        </v:line>
      </w:pict>
    </w:r>
    <w:r>
      <w:rPr/>
      <w:pict>
        <v:shape style="position:absolute;margin-left:64.183998pt;margin-top:42.865608pt;width:200.05pt;height:11pt;mso-position-horizontal-relative:page;mso-position-vertical-relative:page;z-index:-38968" type="#_x0000_t202" filled="false" stroked="false">
          <v:textbox inset="0,0,0,0">
            <w:txbxContent>
              <w:p>
                <w:pPr>
                  <w:spacing w:line="200" w:lineRule="exact" w:before="0"/>
                  <w:ind w:left="20" w:right="0" w:firstLine="0"/>
                  <w:jc w:val="left"/>
                  <w:rPr>
                    <w:sz w:val="18"/>
                  </w:rPr>
                </w:pPr>
                <w:r>
                  <w:rPr>
                    <w:sz w:val="18"/>
                  </w:rPr>
                  <w:t>天安人寿附加长泰永恒提前给付重大疾病保险条款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200.05pt;height:11pt;mso-position-horizontal-relative:page;mso-position-vertical-relative:page;z-index:-38944" type="#_x0000_t202" filled="false" stroked="false">
          <v:textbox inset="0,0,0,0">
            <w:txbxContent>
              <w:p>
                <w:pPr>
                  <w:spacing w:line="200" w:lineRule="exact" w:before="0"/>
                  <w:ind w:left="20" w:right="0" w:firstLine="0"/>
                  <w:jc w:val="left"/>
                  <w:rPr>
                    <w:sz w:val="18"/>
                  </w:rPr>
                </w:pPr>
                <w:r>
                  <w:rPr>
                    <w:sz w:val="18"/>
                  </w:rPr>
                  <w:t>天安人寿附加长泰永恒提前给付重大疾病保险条款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5"/>
      <w:numFmt w:val="decimal"/>
      <w:lvlText w:val="%1"/>
      <w:lvlJc w:val="left"/>
      <w:pPr>
        <w:ind w:left="1042" w:hanging="889"/>
        <w:jc w:val="left"/>
      </w:pPr>
      <w:rPr>
        <w:rFonts w:hint="default"/>
      </w:rPr>
    </w:lvl>
    <w:lvl w:ilvl="1">
      <w:start w:val="4"/>
      <w:numFmt w:val="decimal"/>
      <w:lvlText w:val="%1.%2"/>
      <w:lvlJc w:val="left"/>
      <w:pPr>
        <w:ind w:left="1042" w:hanging="889"/>
        <w:jc w:val="left"/>
      </w:pPr>
      <w:rPr>
        <w:rFonts w:hint="default"/>
      </w:rPr>
    </w:lvl>
    <w:lvl w:ilvl="2">
      <w:start w:val="33"/>
      <w:numFmt w:val="decimal"/>
      <w:lvlText w:val="%1.%2.%3"/>
      <w:lvlJc w:val="left"/>
      <w:pPr>
        <w:ind w:left="1042" w:hanging="889"/>
        <w:jc w:val="left"/>
      </w:pPr>
      <w:rPr>
        <w:rFonts w:hint="default" w:ascii="微软雅黑" w:hAnsi="微软雅黑" w:eastAsia="微软雅黑" w:cs="微软雅黑"/>
        <w:b/>
        <w:bCs/>
        <w:w w:val="81"/>
        <w:sz w:val="21"/>
        <w:szCs w:val="21"/>
      </w:rPr>
    </w:lvl>
    <w:lvl w:ilvl="3">
      <w:start w:val="0"/>
      <w:numFmt w:val="bullet"/>
      <w:lvlText w:val="•"/>
      <w:lvlJc w:val="left"/>
      <w:pPr>
        <w:ind w:left="1355" w:hanging="889"/>
      </w:pPr>
      <w:rPr>
        <w:rFonts w:hint="default"/>
      </w:rPr>
    </w:lvl>
    <w:lvl w:ilvl="4">
      <w:start w:val="0"/>
      <w:numFmt w:val="bullet"/>
      <w:lvlText w:val="•"/>
      <w:lvlJc w:val="left"/>
      <w:pPr>
        <w:ind w:left="1461" w:hanging="889"/>
      </w:pPr>
      <w:rPr>
        <w:rFonts w:hint="default"/>
      </w:rPr>
    </w:lvl>
    <w:lvl w:ilvl="5">
      <w:start w:val="0"/>
      <w:numFmt w:val="bullet"/>
      <w:lvlText w:val="•"/>
      <w:lvlJc w:val="left"/>
      <w:pPr>
        <w:ind w:left="1566" w:hanging="889"/>
      </w:pPr>
      <w:rPr>
        <w:rFonts w:hint="default"/>
      </w:rPr>
    </w:lvl>
    <w:lvl w:ilvl="6">
      <w:start w:val="0"/>
      <w:numFmt w:val="bullet"/>
      <w:lvlText w:val="•"/>
      <w:lvlJc w:val="left"/>
      <w:pPr>
        <w:ind w:left="1671" w:hanging="889"/>
      </w:pPr>
      <w:rPr>
        <w:rFonts w:hint="default"/>
      </w:rPr>
    </w:lvl>
    <w:lvl w:ilvl="7">
      <w:start w:val="0"/>
      <w:numFmt w:val="bullet"/>
      <w:lvlText w:val="•"/>
      <w:lvlJc w:val="left"/>
      <w:pPr>
        <w:ind w:left="1776" w:hanging="889"/>
      </w:pPr>
      <w:rPr>
        <w:rFonts w:hint="default"/>
      </w:rPr>
    </w:lvl>
    <w:lvl w:ilvl="8">
      <w:start w:val="0"/>
      <w:numFmt w:val="bullet"/>
      <w:lvlText w:val="•"/>
      <w:lvlJc w:val="left"/>
      <w:pPr>
        <w:ind w:left="1882" w:hanging="889"/>
      </w:pPr>
      <w:rPr>
        <w:rFonts w:hint="default"/>
      </w:rPr>
    </w:lvl>
  </w:abstractNum>
  <w:abstractNum w:abstractNumId="1">
    <w:multiLevelType w:val="hybridMultilevel"/>
    <w:lvl w:ilvl="0">
      <w:start w:val="5"/>
      <w:numFmt w:val="decimal"/>
      <w:lvlText w:val="%1"/>
      <w:lvlJc w:val="left"/>
      <w:pPr>
        <w:ind w:left="1002" w:hanging="889"/>
        <w:jc w:val="left"/>
      </w:pPr>
      <w:rPr>
        <w:rFonts w:hint="default"/>
      </w:rPr>
    </w:lvl>
    <w:lvl w:ilvl="1">
      <w:start w:val="4"/>
      <w:numFmt w:val="decimal"/>
      <w:lvlText w:val="%1.%2"/>
      <w:lvlJc w:val="left"/>
      <w:pPr>
        <w:ind w:left="1002" w:hanging="889"/>
        <w:jc w:val="left"/>
      </w:pPr>
      <w:rPr>
        <w:rFonts w:hint="default"/>
      </w:rPr>
    </w:lvl>
    <w:lvl w:ilvl="2">
      <w:start w:val="25"/>
      <w:numFmt w:val="decimal"/>
      <w:lvlText w:val="%1.%2.%3"/>
      <w:lvlJc w:val="left"/>
      <w:pPr>
        <w:ind w:left="1002" w:hanging="889"/>
        <w:jc w:val="left"/>
      </w:pPr>
      <w:rPr>
        <w:rFonts w:hint="default" w:ascii="微软雅黑" w:hAnsi="微软雅黑" w:eastAsia="微软雅黑" w:cs="微软雅黑"/>
        <w:b/>
        <w:bCs/>
        <w:w w:val="81"/>
        <w:sz w:val="21"/>
        <w:szCs w:val="21"/>
      </w:rPr>
    </w:lvl>
    <w:lvl w:ilvl="3">
      <w:start w:val="0"/>
      <w:numFmt w:val="bullet"/>
      <w:lvlText w:val="•"/>
      <w:lvlJc w:val="left"/>
      <w:pPr>
        <w:ind w:left="1219" w:hanging="889"/>
      </w:pPr>
      <w:rPr>
        <w:rFonts w:hint="default"/>
      </w:rPr>
    </w:lvl>
    <w:lvl w:ilvl="4">
      <w:start w:val="0"/>
      <w:numFmt w:val="bullet"/>
      <w:lvlText w:val="•"/>
      <w:lvlJc w:val="left"/>
      <w:pPr>
        <w:ind w:left="1308" w:hanging="889"/>
      </w:pPr>
      <w:rPr>
        <w:rFonts w:hint="default"/>
      </w:rPr>
    </w:lvl>
    <w:lvl w:ilvl="5">
      <w:start w:val="0"/>
      <w:numFmt w:val="bullet"/>
      <w:lvlText w:val="•"/>
      <w:lvlJc w:val="left"/>
      <w:pPr>
        <w:ind w:left="1398" w:hanging="889"/>
      </w:pPr>
      <w:rPr>
        <w:rFonts w:hint="default"/>
      </w:rPr>
    </w:lvl>
    <w:lvl w:ilvl="6">
      <w:start w:val="0"/>
      <w:numFmt w:val="bullet"/>
      <w:lvlText w:val="•"/>
      <w:lvlJc w:val="left"/>
      <w:pPr>
        <w:ind w:left="1488" w:hanging="889"/>
      </w:pPr>
      <w:rPr>
        <w:rFonts w:hint="default"/>
      </w:rPr>
    </w:lvl>
    <w:lvl w:ilvl="7">
      <w:start w:val="0"/>
      <w:numFmt w:val="bullet"/>
      <w:lvlText w:val="•"/>
      <w:lvlJc w:val="left"/>
      <w:pPr>
        <w:ind w:left="1577" w:hanging="889"/>
      </w:pPr>
      <w:rPr>
        <w:rFonts w:hint="default"/>
      </w:rPr>
    </w:lvl>
    <w:lvl w:ilvl="8">
      <w:start w:val="0"/>
      <w:numFmt w:val="bullet"/>
      <w:lvlText w:val="•"/>
      <w:lvlJc w:val="left"/>
      <w:pPr>
        <w:ind w:left="1667" w:hanging="889"/>
      </w:pPr>
      <w:rPr>
        <w:rFonts w:hint="default"/>
      </w:rPr>
    </w:lvl>
  </w:abstractNum>
  <w:abstractNum w:abstractNumId="0">
    <w:multiLevelType w:val="hybridMultilevel"/>
    <w:lvl w:ilvl="0">
      <w:start w:val="0"/>
      <w:numFmt w:val="bullet"/>
      <w:lvlText w:val=""/>
      <w:lvlJc w:val="left"/>
      <w:pPr>
        <w:ind w:left="1636" w:hanging="440"/>
      </w:pPr>
      <w:rPr>
        <w:rFonts w:hint="default" w:ascii="Wingdings" w:hAnsi="Wingdings" w:eastAsia="Wingdings" w:cs="Wingdings"/>
        <w:w w:val="100"/>
        <w:sz w:val="21"/>
        <w:szCs w:val="21"/>
      </w:rPr>
    </w:lvl>
    <w:lvl w:ilvl="1">
      <w:start w:val="0"/>
      <w:numFmt w:val="bullet"/>
      <w:lvlText w:val="•"/>
      <w:lvlJc w:val="left"/>
      <w:pPr>
        <w:ind w:left="2556" w:hanging="440"/>
      </w:pPr>
      <w:rPr>
        <w:rFonts w:hint="default"/>
      </w:rPr>
    </w:lvl>
    <w:lvl w:ilvl="2">
      <w:start w:val="0"/>
      <w:numFmt w:val="bullet"/>
      <w:lvlText w:val="•"/>
      <w:lvlJc w:val="left"/>
      <w:pPr>
        <w:ind w:left="3473" w:hanging="440"/>
      </w:pPr>
      <w:rPr>
        <w:rFonts w:hint="default"/>
      </w:rPr>
    </w:lvl>
    <w:lvl w:ilvl="3">
      <w:start w:val="0"/>
      <w:numFmt w:val="bullet"/>
      <w:lvlText w:val="•"/>
      <w:lvlJc w:val="left"/>
      <w:pPr>
        <w:ind w:left="4389" w:hanging="440"/>
      </w:pPr>
      <w:rPr>
        <w:rFonts w:hint="default"/>
      </w:rPr>
    </w:lvl>
    <w:lvl w:ilvl="4">
      <w:start w:val="0"/>
      <w:numFmt w:val="bullet"/>
      <w:lvlText w:val="•"/>
      <w:lvlJc w:val="left"/>
      <w:pPr>
        <w:ind w:left="5306" w:hanging="440"/>
      </w:pPr>
      <w:rPr>
        <w:rFonts w:hint="default"/>
      </w:rPr>
    </w:lvl>
    <w:lvl w:ilvl="5">
      <w:start w:val="0"/>
      <w:numFmt w:val="bullet"/>
      <w:lvlText w:val="•"/>
      <w:lvlJc w:val="left"/>
      <w:pPr>
        <w:ind w:left="6223" w:hanging="440"/>
      </w:pPr>
      <w:rPr>
        <w:rFonts w:hint="default"/>
      </w:rPr>
    </w:lvl>
    <w:lvl w:ilvl="6">
      <w:start w:val="0"/>
      <w:numFmt w:val="bullet"/>
      <w:lvlText w:val="•"/>
      <w:lvlJc w:val="left"/>
      <w:pPr>
        <w:ind w:left="7139" w:hanging="440"/>
      </w:pPr>
      <w:rPr>
        <w:rFonts w:hint="default"/>
      </w:rPr>
    </w:lvl>
    <w:lvl w:ilvl="7">
      <w:start w:val="0"/>
      <w:numFmt w:val="bullet"/>
      <w:lvlText w:val="•"/>
      <w:lvlJc w:val="left"/>
      <w:pPr>
        <w:ind w:left="8056" w:hanging="440"/>
      </w:pPr>
      <w:rPr>
        <w:rFonts w:hint="default"/>
      </w:rPr>
    </w:lvl>
    <w:lvl w:ilvl="8">
      <w:start w:val="0"/>
      <w:numFmt w:val="bullet"/>
      <w:lvlText w:val="•"/>
      <w:lvlJc w:val="left"/>
      <w:pPr>
        <w:ind w:left="8973" w:hanging="4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834" w:right="1832"/>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spacing w:line="337" w:lineRule="exact"/>
      <w:ind w:left="10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line="311" w:lineRule="exact"/>
      <w:ind w:left="1636" w:hanging="889"/>
    </w:pPr>
    <w:rPr>
      <w:rFonts w:ascii="微软雅黑" w:hAnsi="微软雅黑" w:eastAsia="微软雅黑" w:cs="微软雅黑"/>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yperlink" Target="http://www.tianan-life.com/"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天安人寿</dc:creator>
  <dc:title>附加长泰永恒提前给付重大疾病保险条款</dc:title>
  <dcterms:created xsi:type="dcterms:W3CDTF">2018-10-20T04:59:44Z</dcterms:created>
  <dcterms:modified xsi:type="dcterms:W3CDTF">2018-10-20T04:59:44Z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Word 2013</vt:lpwstr>
  </property>
  <property fmtid="{D5CDD505-2E9C-101B-9397-08002B2CF9AE}" pid="4" name="LastSaved">
    <vt:filetime>2018-10-19T00:00:00Z</vt:filetime>
  </property>
</Properties>
</file>