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中国太平洋人寿保险股份有限公司附加惠安康疾病保险条款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8"/>
        <w:ind w:left="53" w:right="54" w:firstLine="0"/>
        <w:jc w:val="center"/>
        <w:rPr>
          <w:sz w:val="15"/>
        </w:rPr>
      </w:pPr>
      <w:r>
        <w:rPr/>
        <w:br w:type="column"/>
      </w:r>
      <w:r>
        <w:rPr>
          <w:sz w:val="15"/>
        </w:rPr>
        <w:t>太平洋人寿[2010]疾病保险 053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39;height:1139" type="#_x0000_t75" stroked="false">
              <v:imagedata r:id="rId6" o:title=""/>
            </v:shape>
          </v:group>
        </w:pict>
      </w:r>
      <w:r>
        <w:rPr>
          <w:sz w:val="20"/>
        </w:rPr>
      </w:r>
    </w:p>
    <w:p>
      <w:pPr>
        <w:spacing w:before="61"/>
        <w:ind w:left="29" w:right="54"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1"/>
            <w:col w:w="2472"/>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本附加险合同提供的保障在保险责任条款中列明…</w:t>
        <w:tab/>
        <w:t>2.4</w:t>
      </w:r>
    </w:p>
    <w:p>
      <w:pPr>
        <w:pStyle w:val="ListParagraph"/>
        <w:numPr>
          <w:ilvl w:val="0"/>
          <w:numId w:val="1"/>
        </w:numPr>
        <w:tabs>
          <w:tab w:pos="843" w:val="left" w:leader="none"/>
          <w:tab w:pos="844" w:val="left" w:leader="none"/>
          <w:tab w:pos="939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7" w:lineRule="exact" w:before="0" w:after="0"/>
        <w:ind w:left="843" w:right="0" w:hanging="452"/>
        <w:jc w:val="left"/>
        <w:rPr>
          <w:sz w:val="18"/>
        </w:rPr>
      </w:pPr>
      <w:r>
        <w:rPr>
          <w:sz w:val="18"/>
        </w:rPr>
        <w:t>本附加险合同有未成年人身故给付限制条款，请您注意…</w:t>
        <w:tab/>
        <w:t>2.2</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本附加险合同有责任免除条款，请您注意…</w:t>
        <w:tab/>
        <w:t>2.5</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213" w:val="right" w:leader="dot"/>
        </w:tabs>
        <w:spacing w:line="207" w:lineRule="exact" w:before="85" w:after="0"/>
        <w:ind w:left="843" w:right="0" w:hanging="452"/>
        <w:jc w:val="left"/>
        <w:rPr>
          <w:sz w:val="18"/>
        </w:rPr>
      </w:pPr>
      <w:r>
        <w:rPr>
          <w:sz w:val="18"/>
        </w:rPr>
        <w:t>我们对一些重要术语进行了解释，并作了显著标识，请您注意…</w:t>
        <w:tab/>
        <w:t>8</w:t>
      </w:r>
    </w:p>
    <w:p>
      <w:pPr>
        <w:pStyle w:val="Heading2"/>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tabs>
          <w:tab w:pos="836" w:val="left" w:leader="none"/>
        </w:tabs>
        <w:spacing w:line="407"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80.339996pt;margin-top:18.979275pt;width:121.5pt;height:11.8pt;mso-position-horizontal-relative:page;mso-position-vertical-relative:paragraph;z-index:-148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w w:val="150"/>
          <w:position w:val="-11"/>
          <w:sz w:val="52"/>
        </w:rPr>
        <w:t>¤</w:t>
        <w:tab/>
      </w:r>
      <w:r>
        <w:rPr>
          <w:rFonts w:ascii="黑体" w:hAnsi="黑体" w:eastAsia="黑体" w:hint="eastAsia"/>
          <w:b/>
          <w:w w:val="95"/>
          <w:sz w:val="21"/>
        </w:rPr>
        <w:t>条款目录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3.4 诉讼时效</w:t>
        <w:tab/>
        <w:t>8.2 现金价值</w:t>
      </w:r>
    </w:p>
    <w:p>
      <w:pPr>
        <w:pStyle w:val="BodyText"/>
        <w:spacing w:before="8"/>
        <w:rPr>
          <w:rFonts w:ascii="黑体"/>
          <w:sz w:val="8"/>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0"/>
        <w:gridCol w:w="2430"/>
        <w:gridCol w:w="3148"/>
      </w:tblGrid>
      <w:tr>
        <w:trPr>
          <w:trHeight w:val="235" w:hRule="atLeast"/>
        </w:trPr>
        <w:tc>
          <w:tcPr>
            <w:tcW w:w="3330" w:type="dxa"/>
          </w:tcPr>
          <w:p>
            <w:pPr>
              <w:pStyle w:val="TableParagraph"/>
              <w:spacing w:line="208" w:lineRule="exact"/>
              <w:ind w:left="50"/>
              <w:rPr>
                <w:rFonts w:ascii="黑体" w:eastAsia="黑体" w:hint="eastAsia"/>
                <w:sz w:val="18"/>
              </w:rPr>
            </w:pPr>
            <w:r>
              <w:rPr>
                <w:rFonts w:ascii="黑体" w:eastAsia="黑体" w:hint="eastAsia"/>
                <w:sz w:val="18"/>
              </w:rPr>
              <w:t>1.1 合同订立</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4.保险费的支付</w:t>
            </w:r>
          </w:p>
        </w:tc>
        <w:tc>
          <w:tcPr>
            <w:tcW w:w="3148" w:type="dxa"/>
          </w:tcPr>
          <w:p>
            <w:pPr>
              <w:pStyle w:val="TableParagraph"/>
              <w:spacing w:line="208" w:lineRule="exact"/>
              <w:ind w:left="847"/>
              <w:rPr>
                <w:rFonts w:ascii="黑体" w:eastAsia="黑体" w:hint="eastAsia"/>
                <w:sz w:val="18"/>
              </w:rPr>
            </w:pPr>
            <w:r>
              <w:rPr>
                <w:rFonts w:ascii="黑体" w:eastAsia="黑体" w:hint="eastAsia"/>
                <w:sz w:val="18"/>
              </w:rPr>
              <w:t>8.3 毒品</w:t>
            </w:r>
          </w:p>
        </w:tc>
      </w:tr>
      <w:tr>
        <w:trPr>
          <w:trHeight w:val="361" w:hRule="atLeast"/>
        </w:trPr>
        <w:tc>
          <w:tcPr>
            <w:tcW w:w="3330" w:type="dxa"/>
          </w:tcPr>
          <w:p>
            <w:pPr>
              <w:pStyle w:val="TableParagraph"/>
              <w:spacing w:before="56"/>
              <w:ind w:left="50"/>
              <w:rPr>
                <w:rFonts w:ascii="黑体" w:eastAsia="黑体" w:hint="eastAsia"/>
                <w:sz w:val="18"/>
              </w:rPr>
            </w:pPr>
            <w:r>
              <w:rPr>
                <w:rFonts w:ascii="黑体" w:eastAsia="黑体" w:hint="eastAsia"/>
                <w:sz w:val="18"/>
              </w:rPr>
              <w:t>1.2 合同构成</w:t>
            </w:r>
          </w:p>
        </w:tc>
        <w:tc>
          <w:tcPr>
            <w:tcW w:w="2430" w:type="dxa"/>
          </w:tcPr>
          <w:p>
            <w:pPr>
              <w:pStyle w:val="TableParagraph"/>
              <w:spacing w:before="56"/>
              <w:ind w:left="-1"/>
              <w:rPr>
                <w:rFonts w:ascii="黑体" w:eastAsia="黑体" w:hint="eastAsia"/>
                <w:sz w:val="18"/>
              </w:rPr>
            </w:pPr>
            <w:r>
              <w:rPr>
                <w:rFonts w:ascii="黑体" w:eastAsia="黑体" w:hint="eastAsia"/>
                <w:sz w:val="18"/>
              </w:rPr>
              <w:t>4.1 保险费的支付</w:t>
            </w:r>
          </w:p>
        </w:tc>
        <w:tc>
          <w:tcPr>
            <w:tcW w:w="3148" w:type="dxa"/>
          </w:tcPr>
          <w:p>
            <w:pPr>
              <w:pStyle w:val="TableParagraph"/>
              <w:spacing w:before="56"/>
              <w:ind w:left="847"/>
              <w:rPr>
                <w:rFonts w:ascii="黑体" w:eastAsia="黑体" w:hint="eastAsia"/>
                <w:sz w:val="18"/>
              </w:rPr>
            </w:pPr>
            <w:r>
              <w:rPr>
                <w:rFonts w:ascii="黑体" w:eastAsia="黑体" w:hint="eastAsia"/>
                <w:sz w:val="18"/>
              </w:rPr>
              <w:t>8.4 酒后驾驶</w:t>
            </w:r>
          </w:p>
        </w:tc>
      </w:tr>
      <w:tr>
        <w:trPr>
          <w:trHeight w:val="362" w:hRule="atLeast"/>
        </w:trPr>
        <w:tc>
          <w:tcPr>
            <w:tcW w:w="3330"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2430" w:type="dxa"/>
          </w:tcPr>
          <w:p>
            <w:pPr>
              <w:pStyle w:val="TableParagraph"/>
              <w:spacing w:before="14"/>
              <w:ind w:left="-1"/>
              <w:rPr>
                <w:rFonts w:ascii="黑体" w:eastAsia="黑体" w:hint="eastAsia"/>
                <w:sz w:val="18"/>
              </w:rPr>
            </w:pPr>
            <w:r>
              <w:rPr>
                <w:rFonts w:ascii="黑体" w:eastAsia="黑体" w:hint="eastAsia"/>
                <w:sz w:val="18"/>
              </w:rPr>
              <w:t>4.2 保险费率的调整</w:t>
            </w:r>
          </w:p>
        </w:tc>
        <w:tc>
          <w:tcPr>
            <w:tcW w:w="3148" w:type="dxa"/>
          </w:tcPr>
          <w:p>
            <w:pPr>
              <w:pStyle w:val="TableParagraph"/>
              <w:spacing w:before="14"/>
              <w:ind w:left="847"/>
              <w:rPr>
                <w:rFonts w:ascii="黑体" w:eastAsia="黑体" w:hint="eastAsia"/>
                <w:sz w:val="18"/>
              </w:rPr>
            </w:pPr>
            <w:r>
              <w:rPr>
                <w:rFonts w:ascii="黑体" w:eastAsia="黑体" w:hint="eastAsia"/>
                <w:sz w:val="18"/>
              </w:rPr>
              <w:t>8.5 无合法有效驾驶证驾驶</w:t>
            </w:r>
          </w:p>
        </w:tc>
      </w:tr>
      <w:tr>
        <w:trPr>
          <w:trHeight w:val="235" w:hRule="atLeast"/>
        </w:trPr>
        <w:tc>
          <w:tcPr>
            <w:tcW w:w="3330" w:type="dxa"/>
          </w:tcPr>
          <w:p>
            <w:pPr>
              <w:pStyle w:val="TableParagraph"/>
              <w:spacing w:line="208" w:lineRule="exact"/>
              <w:ind w:left="50"/>
              <w:rPr>
                <w:rFonts w:ascii="黑体" w:eastAsia="黑体" w:hint="eastAsia"/>
                <w:sz w:val="18"/>
              </w:rPr>
            </w:pPr>
            <w:r>
              <w:rPr>
                <w:rFonts w:ascii="黑体" w:eastAsia="黑体" w:hint="eastAsia"/>
                <w:sz w:val="18"/>
              </w:rPr>
              <w:t>1.4 投保年龄</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5.合同终止与解除</w:t>
            </w:r>
          </w:p>
        </w:tc>
        <w:tc>
          <w:tcPr>
            <w:tcW w:w="3148" w:type="dxa"/>
          </w:tcPr>
          <w:p>
            <w:pPr>
              <w:pStyle w:val="TableParagraph"/>
              <w:spacing w:line="208" w:lineRule="exact"/>
              <w:ind w:left="847"/>
              <w:rPr>
                <w:rFonts w:ascii="黑体" w:eastAsia="黑体" w:hint="eastAsia"/>
                <w:sz w:val="18"/>
              </w:rPr>
            </w:pPr>
            <w:r>
              <w:rPr>
                <w:rFonts w:ascii="黑体" w:eastAsia="黑体" w:hint="eastAsia"/>
                <w:sz w:val="18"/>
              </w:rPr>
              <w:t>8.6 无有效行驶证</w:t>
            </w:r>
          </w:p>
        </w:tc>
      </w:tr>
      <w:tr>
        <w:trPr>
          <w:trHeight w:val="361" w:hRule="atLeast"/>
        </w:trPr>
        <w:tc>
          <w:tcPr>
            <w:tcW w:w="3330" w:type="dxa"/>
          </w:tcPr>
          <w:p>
            <w:pPr>
              <w:pStyle w:val="TableParagraph"/>
              <w:tabs>
                <w:tab w:pos="2479" w:val="left" w:leader="none"/>
              </w:tabs>
              <w:spacing w:before="56"/>
              <w:ind w:left="50"/>
              <w:rPr>
                <w:rFonts w:ascii="黑体" w:eastAsia="黑体" w:hint="eastAsia"/>
                <w:sz w:val="18"/>
              </w:rPr>
            </w:pPr>
            <w:r>
              <w:rPr>
                <w:rFonts w:ascii="黑体" w:eastAsia="黑体" w:hint="eastAsia"/>
                <w:sz w:val="18"/>
                <w:shd w:fill="D9D9D9" w:color="auto" w:val="clear"/>
              </w:rPr>
              <w:t>2.我们提供的保障</w:t>
              <w:tab/>
            </w:r>
          </w:p>
        </w:tc>
        <w:tc>
          <w:tcPr>
            <w:tcW w:w="2430" w:type="dxa"/>
          </w:tcPr>
          <w:p>
            <w:pPr>
              <w:pStyle w:val="TableParagraph"/>
              <w:spacing w:before="56"/>
              <w:ind w:left="-1"/>
              <w:rPr>
                <w:rFonts w:ascii="黑体" w:eastAsia="黑体" w:hint="eastAsia"/>
                <w:sz w:val="18"/>
              </w:rPr>
            </w:pPr>
            <w:r>
              <w:rPr>
                <w:rFonts w:ascii="黑体" w:eastAsia="黑体" w:hint="eastAsia"/>
                <w:sz w:val="18"/>
              </w:rPr>
              <w:t>5.1 合同终止</w:t>
            </w:r>
          </w:p>
        </w:tc>
        <w:tc>
          <w:tcPr>
            <w:tcW w:w="3148" w:type="dxa"/>
          </w:tcPr>
          <w:p>
            <w:pPr>
              <w:pStyle w:val="TableParagraph"/>
              <w:spacing w:before="56"/>
              <w:ind w:left="847"/>
              <w:rPr>
                <w:rFonts w:ascii="黑体" w:eastAsia="黑体" w:hint="eastAsia"/>
                <w:sz w:val="18"/>
              </w:rPr>
            </w:pPr>
            <w:r>
              <w:rPr>
                <w:rFonts w:ascii="黑体" w:eastAsia="黑体" w:hint="eastAsia"/>
                <w:sz w:val="18"/>
              </w:rPr>
              <w:t>8.7 机动车</w:t>
            </w:r>
          </w:p>
        </w:tc>
      </w:tr>
      <w:tr>
        <w:trPr>
          <w:trHeight w:val="362" w:hRule="atLeast"/>
        </w:trPr>
        <w:tc>
          <w:tcPr>
            <w:tcW w:w="3330"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2430" w:type="dxa"/>
          </w:tcPr>
          <w:p>
            <w:pPr>
              <w:pStyle w:val="TableParagraph"/>
              <w:spacing w:before="14"/>
              <w:ind w:left="-1"/>
              <w:rPr>
                <w:rFonts w:ascii="黑体" w:eastAsia="黑体" w:hint="eastAsia"/>
                <w:sz w:val="18"/>
              </w:rPr>
            </w:pPr>
            <w:r>
              <w:rPr>
                <w:rFonts w:ascii="黑体" w:eastAsia="黑体" w:hint="eastAsia"/>
                <w:sz w:val="18"/>
              </w:rPr>
              <w:t>5.2 您解除合同的手续及风险</w:t>
            </w:r>
          </w:p>
        </w:tc>
        <w:tc>
          <w:tcPr>
            <w:tcW w:w="3148" w:type="dxa"/>
          </w:tcPr>
          <w:p>
            <w:pPr>
              <w:pStyle w:val="TableParagraph"/>
              <w:spacing w:before="14"/>
              <w:ind w:left="847"/>
              <w:rPr>
                <w:rFonts w:ascii="黑体" w:eastAsia="黑体" w:hint="eastAsia"/>
                <w:sz w:val="18"/>
              </w:rPr>
            </w:pPr>
            <w:r>
              <w:rPr>
                <w:rFonts w:ascii="黑体" w:eastAsia="黑体" w:hint="eastAsia"/>
                <w:sz w:val="18"/>
              </w:rPr>
              <w:t>8.8 感染艾滋病病毒或患艾</w:t>
            </w:r>
          </w:p>
        </w:tc>
      </w:tr>
      <w:tr>
        <w:trPr>
          <w:trHeight w:val="235" w:hRule="atLeast"/>
        </w:trPr>
        <w:tc>
          <w:tcPr>
            <w:tcW w:w="3330" w:type="dxa"/>
          </w:tcPr>
          <w:p>
            <w:pPr>
              <w:pStyle w:val="TableParagraph"/>
              <w:spacing w:line="208" w:lineRule="exact"/>
              <w:ind w:left="50"/>
              <w:rPr>
                <w:rFonts w:ascii="黑体" w:eastAsia="黑体" w:hint="eastAsia"/>
                <w:sz w:val="18"/>
              </w:rPr>
            </w:pPr>
            <w:r>
              <w:rPr>
                <w:rFonts w:ascii="黑体" w:eastAsia="黑体" w:hint="eastAsia"/>
                <w:sz w:val="18"/>
              </w:rPr>
              <w:t>2.2 未成年人身故保险金限制</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6.其他需要关注的事项</w:t>
            </w:r>
          </w:p>
        </w:tc>
        <w:tc>
          <w:tcPr>
            <w:tcW w:w="3148" w:type="dxa"/>
          </w:tcPr>
          <w:p>
            <w:pPr>
              <w:pStyle w:val="TableParagraph"/>
              <w:spacing w:line="208" w:lineRule="exact"/>
              <w:ind w:left="740" w:right="1110"/>
              <w:jc w:val="center"/>
              <w:rPr>
                <w:rFonts w:ascii="黑体" w:eastAsia="黑体" w:hint="eastAsia"/>
                <w:sz w:val="18"/>
              </w:rPr>
            </w:pPr>
            <w:r>
              <w:rPr>
                <w:rFonts w:ascii="黑体" w:eastAsia="黑体" w:hint="eastAsia"/>
                <w:sz w:val="18"/>
              </w:rPr>
              <w:t>滋病</w:t>
            </w:r>
          </w:p>
        </w:tc>
      </w:tr>
      <w:tr>
        <w:trPr>
          <w:trHeight w:val="361" w:hRule="atLeast"/>
        </w:trPr>
        <w:tc>
          <w:tcPr>
            <w:tcW w:w="3330" w:type="dxa"/>
          </w:tcPr>
          <w:p>
            <w:pPr>
              <w:pStyle w:val="TableParagraph"/>
              <w:spacing w:before="56"/>
              <w:ind w:left="50"/>
              <w:rPr>
                <w:rFonts w:ascii="黑体" w:eastAsia="黑体" w:hint="eastAsia"/>
                <w:sz w:val="18"/>
              </w:rPr>
            </w:pPr>
            <w:r>
              <w:rPr>
                <w:rFonts w:ascii="黑体" w:eastAsia="黑体" w:hint="eastAsia"/>
                <w:sz w:val="18"/>
              </w:rPr>
              <w:t>2.3 保险期间</w:t>
            </w:r>
          </w:p>
        </w:tc>
        <w:tc>
          <w:tcPr>
            <w:tcW w:w="2430" w:type="dxa"/>
          </w:tcPr>
          <w:p>
            <w:pPr>
              <w:pStyle w:val="TableParagraph"/>
              <w:spacing w:before="56"/>
              <w:ind w:left="-1"/>
              <w:rPr>
                <w:rFonts w:ascii="黑体" w:eastAsia="黑体" w:hint="eastAsia"/>
                <w:sz w:val="18"/>
              </w:rPr>
            </w:pPr>
            <w:r>
              <w:rPr>
                <w:rFonts w:ascii="黑体" w:eastAsia="黑体" w:hint="eastAsia"/>
                <w:sz w:val="18"/>
              </w:rPr>
              <w:t>6.1 年龄错误</w:t>
            </w:r>
          </w:p>
        </w:tc>
        <w:tc>
          <w:tcPr>
            <w:tcW w:w="3148" w:type="dxa"/>
          </w:tcPr>
          <w:p>
            <w:pPr>
              <w:pStyle w:val="TableParagraph"/>
              <w:spacing w:before="56"/>
              <w:ind w:left="847"/>
              <w:rPr>
                <w:rFonts w:ascii="黑体" w:eastAsia="黑体" w:hint="eastAsia"/>
                <w:sz w:val="18"/>
              </w:rPr>
            </w:pPr>
            <w:r>
              <w:rPr>
                <w:rFonts w:ascii="黑体" w:eastAsia="黑体" w:hint="eastAsia"/>
                <w:sz w:val="18"/>
              </w:rPr>
              <w:t>8.9 遗传性疾病</w:t>
            </w:r>
          </w:p>
        </w:tc>
      </w:tr>
      <w:tr>
        <w:trPr>
          <w:trHeight w:val="362" w:hRule="atLeast"/>
        </w:trPr>
        <w:tc>
          <w:tcPr>
            <w:tcW w:w="3330" w:type="dxa"/>
          </w:tcPr>
          <w:p>
            <w:pPr>
              <w:pStyle w:val="TableParagraph"/>
              <w:spacing w:before="14"/>
              <w:ind w:left="50"/>
              <w:rPr>
                <w:rFonts w:ascii="黑体" w:eastAsia="黑体" w:hint="eastAsia"/>
                <w:sz w:val="18"/>
              </w:rPr>
            </w:pPr>
            <w:r>
              <w:rPr>
                <w:rFonts w:ascii="黑体" w:eastAsia="黑体" w:hint="eastAsia"/>
                <w:sz w:val="18"/>
              </w:rPr>
              <w:t>2.4 保险责任</w:t>
            </w:r>
          </w:p>
        </w:tc>
        <w:tc>
          <w:tcPr>
            <w:tcW w:w="2430" w:type="dxa"/>
          </w:tcPr>
          <w:p>
            <w:pPr>
              <w:pStyle w:val="TableParagraph"/>
              <w:spacing w:before="14"/>
              <w:ind w:left="-1"/>
              <w:rPr>
                <w:rFonts w:ascii="黑体" w:eastAsia="黑体" w:hint="eastAsia"/>
                <w:sz w:val="18"/>
              </w:rPr>
            </w:pPr>
            <w:r>
              <w:rPr>
                <w:rFonts w:ascii="黑体" w:eastAsia="黑体" w:hint="eastAsia"/>
                <w:sz w:val="18"/>
              </w:rPr>
              <w:t>6.2 适用主险合同条款</w:t>
            </w:r>
          </w:p>
        </w:tc>
        <w:tc>
          <w:tcPr>
            <w:tcW w:w="3148" w:type="dxa"/>
          </w:tcPr>
          <w:p>
            <w:pPr>
              <w:pStyle w:val="TableParagraph"/>
              <w:spacing w:before="14"/>
              <w:ind w:left="847"/>
              <w:rPr>
                <w:rFonts w:ascii="黑体" w:eastAsia="黑体" w:hint="eastAsia"/>
                <w:sz w:val="18"/>
              </w:rPr>
            </w:pPr>
            <w:r>
              <w:rPr>
                <w:rFonts w:ascii="黑体" w:eastAsia="黑体" w:hint="eastAsia"/>
                <w:sz w:val="18"/>
              </w:rPr>
              <w:t>8.10 先天性畸形、变形或染</w:t>
            </w:r>
          </w:p>
        </w:tc>
      </w:tr>
      <w:tr>
        <w:trPr>
          <w:trHeight w:val="235" w:hRule="atLeast"/>
        </w:trPr>
        <w:tc>
          <w:tcPr>
            <w:tcW w:w="3330" w:type="dxa"/>
          </w:tcPr>
          <w:p>
            <w:pPr>
              <w:pStyle w:val="TableParagraph"/>
              <w:spacing w:line="208" w:lineRule="exact"/>
              <w:ind w:left="50"/>
              <w:rPr>
                <w:rFonts w:ascii="黑体" w:eastAsia="黑体" w:hint="eastAsia"/>
                <w:sz w:val="18"/>
              </w:rPr>
            </w:pPr>
            <w:r>
              <w:rPr>
                <w:rFonts w:ascii="黑体" w:eastAsia="黑体" w:hint="eastAsia"/>
                <w:sz w:val="18"/>
              </w:rPr>
              <w:t>2.5 责任免除</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7.疾病定义</w:t>
            </w:r>
          </w:p>
        </w:tc>
        <w:tc>
          <w:tcPr>
            <w:tcW w:w="3148" w:type="dxa"/>
          </w:tcPr>
          <w:p>
            <w:pPr>
              <w:pStyle w:val="TableParagraph"/>
              <w:spacing w:line="208" w:lineRule="exact"/>
              <w:ind w:left="1189" w:right="1022"/>
              <w:jc w:val="center"/>
              <w:rPr>
                <w:rFonts w:ascii="黑体" w:eastAsia="黑体" w:hint="eastAsia"/>
                <w:sz w:val="18"/>
              </w:rPr>
            </w:pPr>
            <w:r>
              <w:rPr>
                <w:rFonts w:ascii="黑体" w:eastAsia="黑体" w:hint="eastAsia"/>
                <w:sz w:val="18"/>
              </w:rPr>
              <w:t>色体异常</w:t>
            </w:r>
          </w:p>
        </w:tc>
      </w:tr>
      <w:tr>
        <w:trPr>
          <w:trHeight w:val="361" w:hRule="atLeast"/>
        </w:trPr>
        <w:tc>
          <w:tcPr>
            <w:tcW w:w="3330" w:type="dxa"/>
          </w:tcPr>
          <w:p>
            <w:pPr>
              <w:pStyle w:val="TableParagraph"/>
              <w:tabs>
                <w:tab w:pos="2479" w:val="left" w:leader="none"/>
              </w:tabs>
              <w:spacing w:before="56"/>
              <w:ind w:left="50"/>
              <w:rPr>
                <w:rFonts w:ascii="黑体" w:eastAsia="黑体" w:hint="eastAsia"/>
                <w:sz w:val="18"/>
              </w:rPr>
            </w:pPr>
            <w:r>
              <w:rPr>
                <w:rFonts w:ascii="黑体" w:eastAsia="黑体" w:hint="eastAsia"/>
                <w:sz w:val="18"/>
                <w:shd w:fill="D9D9D9" w:color="auto" w:val="clear"/>
              </w:rPr>
              <w:t>3.保险金的申请</w:t>
              <w:tab/>
            </w:r>
          </w:p>
        </w:tc>
        <w:tc>
          <w:tcPr>
            <w:tcW w:w="2430" w:type="dxa"/>
          </w:tcPr>
          <w:p>
            <w:pPr>
              <w:pStyle w:val="TableParagraph"/>
              <w:spacing w:before="56"/>
              <w:ind w:left="-1"/>
              <w:rPr>
                <w:rFonts w:ascii="黑体" w:eastAsia="黑体" w:hint="eastAsia"/>
                <w:sz w:val="18"/>
              </w:rPr>
            </w:pPr>
            <w:r>
              <w:rPr>
                <w:rFonts w:ascii="黑体" w:eastAsia="黑体" w:hint="eastAsia"/>
                <w:sz w:val="18"/>
              </w:rPr>
              <w:t>7.1 疾病定义</w:t>
            </w:r>
          </w:p>
        </w:tc>
        <w:tc>
          <w:tcPr>
            <w:tcW w:w="3148" w:type="dxa"/>
          </w:tcPr>
          <w:p>
            <w:pPr>
              <w:pStyle w:val="TableParagraph"/>
              <w:spacing w:before="56"/>
              <w:ind w:left="847"/>
              <w:rPr>
                <w:rFonts w:ascii="黑体" w:eastAsia="黑体" w:hint="eastAsia"/>
                <w:sz w:val="18"/>
              </w:rPr>
            </w:pPr>
            <w:r>
              <w:rPr>
                <w:rFonts w:ascii="黑体" w:eastAsia="黑体" w:hint="eastAsia"/>
                <w:sz w:val="18"/>
              </w:rPr>
              <w:t>8.11 有效身份证件</w:t>
            </w:r>
          </w:p>
        </w:tc>
      </w:tr>
      <w:tr>
        <w:trPr>
          <w:trHeight w:val="362" w:hRule="atLeast"/>
        </w:trPr>
        <w:tc>
          <w:tcPr>
            <w:tcW w:w="333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2430" w:type="dxa"/>
          </w:tcPr>
          <w:p>
            <w:pPr>
              <w:pStyle w:val="TableParagraph"/>
              <w:spacing w:before="14"/>
              <w:ind w:left="-1"/>
              <w:rPr>
                <w:rFonts w:ascii="黑体" w:eastAsia="黑体" w:hint="eastAsia"/>
                <w:sz w:val="18"/>
              </w:rPr>
            </w:pPr>
            <w:r>
              <w:rPr>
                <w:rFonts w:ascii="黑体" w:eastAsia="黑体" w:hint="eastAsia"/>
                <w:sz w:val="18"/>
              </w:rPr>
              <w:t>7.2 确诊医院范围</w:t>
            </w:r>
          </w:p>
        </w:tc>
        <w:tc>
          <w:tcPr>
            <w:tcW w:w="3148" w:type="dxa"/>
          </w:tcPr>
          <w:p>
            <w:pPr>
              <w:pStyle w:val="TableParagraph"/>
              <w:spacing w:before="14"/>
              <w:ind w:left="847"/>
              <w:rPr>
                <w:rFonts w:ascii="黑体" w:eastAsia="黑体" w:hint="eastAsia"/>
                <w:sz w:val="18"/>
              </w:rPr>
            </w:pPr>
            <w:r>
              <w:rPr>
                <w:rFonts w:ascii="黑体" w:eastAsia="黑体" w:hint="eastAsia"/>
                <w:sz w:val="18"/>
              </w:rPr>
              <w:t>8.12 情形复杂</w:t>
            </w:r>
          </w:p>
        </w:tc>
      </w:tr>
      <w:tr>
        <w:trPr>
          <w:trHeight w:val="235" w:hRule="atLeast"/>
        </w:trPr>
        <w:tc>
          <w:tcPr>
            <w:tcW w:w="3330" w:type="dxa"/>
          </w:tcPr>
          <w:p>
            <w:pPr>
              <w:pStyle w:val="TableParagraph"/>
              <w:spacing w:line="208" w:lineRule="exact"/>
              <w:ind w:left="50"/>
              <w:rPr>
                <w:rFonts w:ascii="黑体" w:eastAsia="黑体" w:hint="eastAsia"/>
                <w:sz w:val="18"/>
              </w:rPr>
            </w:pPr>
            <w:r>
              <w:rPr>
                <w:rFonts w:ascii="黑体" w:eastAsia="黑体" w:hint="eastAsia"/>
                <w:sz w:val="18"/>
              </w:rPr>
              <w:t>3.2 保险金申请</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8.释义</w:t>
            </w:r>
          </w:p>
        </w:tc>
        <w:tc>
          <w:tcPr>
            <w:tcW w:w="3148" w:type="dxa"/>
          </w:tcPr>
          <w:p>
            <w:pPr>
              <w:pStyle w:val="TableParagraph"/>
              <w:spacing w:line="208" w:lineRule="exact"/>
              <w:ind w:left="847"/>
              <w:rPr>
                <w:rFonts w:ascii="黑体" w:eastAsia="黑体" w:hint="eastAsia"/>
                <w:sz w:val="18"/>
              </w:rPr>
            </w:pPr>
            <w:r>
              <w:rPr>
                <w:rFonts w:ascii="黑体" w:eastAsia="黑体" w:hint="eastAsia"/>
                <w:sz w:val="18"/>
              </w:rPr>
              <w:t>8.13 专科医Th</w:t>
            </w:r>
          </w:p>
        </w:tc>
      </w:tr>
      <w:tr>
        <w:trPr>
          <w:trHeight w:val="291" w:hRule="atLeast"/>
        </w:trPr>
        <w:tc>
          <w:tcPr>
            <w:tcW w:w="3330" w:type="dxa"/>
          </w:tcPr>
          <w:p>
            <w:pPr>
              <w:pStyle w:val="TableParagraph"/>
              <w:spacing w:line="216" w:lineRule="exact" w:before="56"/>
              <w:ind w:left="50"/>
              <w:rPr>
                <w:rFonts w:ascii="黑体" w:eastAsia="黑体" w:hint="eastAsia"/>
                <w:sz w:val="18"/>
              </w:rPr>
            </w:pPr>
            <w:r>
              <w:rPr>
                <w:rFonts w:ascii="黑体" w:eastAsia="黑体" w:hint="eastAsia"/>
                <w:sz w:val="18"/>
              </w:rPr>
              <w:t>3.3 保险金给付</w:t>
            </w:r>
          </w:p>
        </w:tc>
        <w:tc>
          <w:tcPr>
            <w:tcW w:w="2430" w:type="dxa"/>
          </w:tcPr>
          <w:p>
            <w:pPr>
              <w:pStyle w:val="TableParagraph"/>
              <w:spacing w:line="216" w:lineRule="exact" w:before="56"/>
              <w:ind w:left="-1"/>
              <w:rPr>
                <w:rFonts w:ascii="黑体" w:eastAsia="黑体" w:hint="eastAsia"/>
                <w:sz w:val="18"/>
              </w:rPr>
            </w:pPr>
            <w:r>
              <w:rPr>
                <w:rFonts w:ascii="黑体" w:eastAsia="黑体" w:hint="eastAsia"/>
                <w:sz w:val="18"/>
              </w:rPr>
              <w:t>8.1 周岁</w:t>
            </w:r>
          </w:p>
        </w:tc>
        <w:tc>
          <w:tcPr>
            <w:tcW w:w="3148" w:type="dxa"/>
          </w:tcPr>
          <w:p>
            <w:pPr>
              <w:pStyle w:val="TableParagraph"/>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206" w:lineRule="auto"/>
        <w:ind w:left="3166" w:right="2520"/>
      </w:pPr>
      <w:r>
        <w:rPr/>
        <w:t>中国太平洋人寿保险股份有限公司</w:t>
      </w:r>
      <w:r>
        <w:rPr>
          <w:w w:val="95"/>
        </w:rPr>
        <w:t>附加惠安康疾病保险条款</w:t>
      </w:r>
    </w:p>
    <w:p>
      <w:pPr>
        <w:pStyle w:val="BodyText"/>
        <w:spacing w:before="69"/>
        <w:ind w:left="2543"/>
      </w:pPr>
      <w:r>
        <w:rPr/>
        <w:t>（2010 年 12 月呈报中国保险监督管理委员会备案）</w:t>
      </w:r>
    </w:p>
    <w:p>
      <w:pPr>
        <w:pStyle w:val="BodyText"/>
        <w:spacing w:before="0"/>
        <w:rPr>
          <w:sz w:val="20"/>
        </w:rPr>
      </w:pPr>
    </w:p>
    <w:p>
      <w:pPr>
        <w:pStyle w:val="BodyText"/>
        <w:spacing w:line="278" w:lineRule="auto" w:before="150"/>
        <w:ind w:left="113" w:right="106" w:firstLine="420"/>
      </w:pPr>
      <w:r>
        <w:rPr>
          <w:spacing w:val="-13"/>
        </w:rPr>
        <w:t>“附加惠安康疾病保险”简称“附加惠安康”。在本附加险条款中，“您”指投保人，“我们”指中国</w:t>
      </w:r>
      <w:r>
        <w:rPr>
          <w:spacing w:val="-11"/>
        </w:rPr>
        <w:t>太平洋人寿保险股份有限公司，“本附加险合同”指您与我们之间订立的“附加惠安康疾病保险合同”。</w:t>
      </w:r>
    </w:p>
    <w:p>
      <w:pPr>
        <w:pStyle w:val="BodyText"/>
        <w:spacing w:before="2"/>
        <w:rPr>
          <w:sz w:val="10"/>
        </w:rPr>
      </w:pPr>
      <w:r>
        <w:rPr/>
        <w:pict>
          <v:shape style="position:absolute;margin-left:58.619999pt;margin-top:7.85269pt;width:478.05pt;height:15.6pt;mso-position-horizontal-relative:page;mso-position-vertical-relative:paragraph;z-index:1072;mso-wrap-distance-left:0;mso-wrap-distance-right:0" type="#_x0000_t202" filled="true" fillcolor="#d3d3d3" stroked="false">
            <v:textbox inset="0,0,0,0">
              <w:txbxContent>
                <w:p>
                  <w:pPr>
                    <w:tabs>
                      <w:tab w:pos="1319"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473" w:val="left" w:leader="none"/>
        </w:tabs>
        <w:spacing w:line="280" w:lineRule="auto" w:before="35" w:after="0"/>
        <w:ind w:left="3032" w:right="257" w:hanging="2772"/>
        <w:jc w:val="both"/>
        <w:rPr>
          <w:sz w:val="21"/>
        </w:rPr>
      </w:pPr>
      <w:r>
        <w:rPr>
          <w:rFonts w:ascii="黑体" w:hAnsi="黑体" w:eastAsia="黑体" w:hint="eastAsia"/>
          <w:spacing w:val="-3"/>
          <w:sz w:val="21"/>
        </w:rPr>
        <w:t>合同订立       </w:t>
      </w:r>
      <w:r>
        <w:rPr>
          <w:spacing w:val="-2"/>
          <w:sz w:val="21"/>
        </w:rPr>
        <w:t>本附加险合同由主保险合同</w:t>
      </w:r>
      <w:r>
        <w:rPr>
          <w:sz w:val="21"/>
        </w:rPr>
        <w:t>（</w:t>
      </w:r>
      <w:r>
        <w:rPr>
          <w:spacing w:val="-15"/>
          <w:sz w:val="21"/>
        </w:rPr>
        <w:t>以下简称“主险合同”）</w:t>
      </w:r>
      <w:r>
        <w:rPr>
          <w:sz w:val="21"/>
        </w:rPr>
        <w:t>的投保人与我们订立。</w:t>
      </w:r>
    </w:p>
    <w:p>
      <w:pPr>
        <w:pStyle w:val="ListParagraph"/>
        <w:numPr>
          <w:ilvl w:val="1"/>
          <w:numId w:val="2"/>
        </w:numPr>
        <w:tabs>
          <w:tab w:pos="1473" w:val="left" w:leader="none"/>
        </w:tabs>
        <w:spacing w:line="278" w:lineRule="auto" w:before="151" w:after="0"/>
        <w:ind w:left="3032" w:right="255" w:hanging="2772"/>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472" w:val="left" w:leader="none"/>
          <w:tab w:pos="1473" w:val="left" w:leader="none"/>
        </w:tabs>
        <w:spacing w:line="280" w:lineRule="auto" w:before="35" w:after="0"/>
        <w:ind w:left="1472" w:right="0" w:hanging="1212"/>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60"/>
      </w:pPr>
      <w:r>
        <w:rPr/>
        <w:br w:type="column"/>
      </w:r>
      <w:r>
        <w:rPr/>
        <w:t>您提出保险申请、我们同意承保，本附加险合同成立。</w:t>
      </w:r>
    </w:p>
    <w:p>
      <w:pPr>
        <w:pStyle w:val="BodyText"/>
        <w:spacing w:line="280" w:lineRule="auto" w:before="45"/>
        <w:ind w:left="260" w:right="255"/>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20" w:right="1020"/>
          <w:cols w:num="2" w:equalWidth="0">
            <w:col w:w="2732" w:space="40"/>
            <w:col w:w="7098"/>
          </w:cols>
        </w:sectPr>
      </w:pPr>
    </w:p>
    <w:p>
      <w:pPr>
        <w:pStyle w:val="BodyText"/>
        <w:spacing w:before="11"/>
        <w:rPr>
          <w:sz w:val="8"/>
        </w:rPr>
      </w:pPr>
    </w:p>
    <w:p>
      <w:pPr>
        <w:pStyle w:val="ListParagraph"/>
        <w:numPr>
          <w:ilvl w:val="1"/>
          <w:numId w:val="2"/>
        </w:numPr>
        <w:tabs>
          <w:tab w:pos="1472" w:val="left" w:leader="none"/>
          <w:tab w:pos="1473" w:val="left" w:leader="none"/>
          <w:tab w:pos="3032" w:val="left" w:leader="none"/>
        </w:tabs>
        <w:spacing w:line="223" w:lineRule="auto" w:before="55" w:after="0"/>
        <w:ind w:left="3032" w:right="255" w:hanging="2772"/>
        <w:jc w:val="left"/>
        <w:rPr>
          <w:sz w:val="21"/>
        </w:rPr>
      </w:pPr>
      <w:r>
        <w:rPr>
          <w:rFonts w:ascii="黑体" w:eastAsia="黑体" w:hint="eastAsia"/>
          <w:sz w:val="21"/>
        </w:rPr>
        <w:t>投保年龄</w:t>
        <w:tab/>
      </w:r>
      <w:r>
        <w:rPr>
          <w:sz w:val="21"/>
        </w:rPr>
        <w:t>指您投保时被保险人的年龄，本附加险合同接受的投保年龄范围为出生 满</w:t>
      </w:r>
      <w:r>
        <w:rPr>
          <w:spacing w:val="-53"/>
          <w:sz w:val="21"/>
        </w:rPr>
        <w:t> </w:t>
      </w:r>
      <w:r>
        <w:rPr>
          <w:sz w:val="21"/>
        </w:rPr>
        <w:t>90</w:t>
      </w:r>
      <w:r>
        <w:rPr>
          <w:spacing w:val="-53"/>
          <w:sz w:val="21"/>
        </w:rPr>
        <w:t> </w:t>
      </w:r>
      <w:r>
        <w:rPr>
          <w:sz w:val="21"/>
        </w:rPr>
        <w:t>天至</w:t>
      </w:r>
      <w:r>
        <w:rPr>
          <w:spacing w:val="-52"/>
          <w:sz w:val="21"/>
        </w:rPr>
        <w:t> </w:t>
      </w:r>
      <w:r>
        <w:rPr>
          <w:sz w:val="21"/>
        </w:rPr>
        <w:t>55</w:t>
      </w:r>
      <w:r>
        <w:rPr>
          <w:spacing w:val="-53"/>
          <w:sz w:val="21"/>
        </w:rPr>
        <w:t> </w:t>
      </w:r>
      <w:r>
        <w:rPr>
          <w:rFonts w:ascii="Microsoft JhengHei" w:eastAsia="Microsoft JhengHei" w:hint="eastAsia"/>
          <w:b/>
          <w:sz w:val="21"/>
        </w:rPr>
        <w:t>周岁</w:t>
      </w:r>
      <w:r>
        <w:rPr>
          <w:sz w:val="21"/>
        </w:rPr>
        <w:t>。</w:t>
      </w:r>
    </w:p>
    <w:p>
      <w:pPr>
        <w:pStyle w:val="BodyText"/>
        <w:spacing w:before="11"/>
        <w:rPr>
          <w:sz w:val="9"/>
        </w:rPr>
      </w:pPr>
      <w:r>
        <w:rPr/>
        <w:pict>
          <v:shape style="position:absolute;margin-left:58.619999pt;margin-top:7.644894pt;width:478.05pt;height:15.6pt;mso-position-horizontal-relative:page;mso-position-vertical-relative:paragraph;z-index:1096;mso-wrap-distance-left:0;mso-wrap-distance-right:0" type="#_x0000_t202" filled="true" fillcolor="#d3d3d3" stroked="false">
            <v:textbox inset="0,0,0,0">
              <w:txbxContent>
                <w:p>
                  <w:pPr>
                    <w:tabs>
                      <w:tab w:pos="1319"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472" w:val="left" w:leader="none"/>
          <w:tab w:pos="1473" w:val="left" w:leader="none"/>
          <w:tab w:pos="3032" w:val="left" w:leader="none"/>
        </w:tabs>
        <w:spacing w:line="240" w:lineRule="auto" w:before="35" w:after="0"/>
        <w:ind w:left="1472" w:right="0" w:hanging="1212"/>
        <w:jc w:val="left"/>
        <w:rPr>
          <w:sz w:val="21"/>
        </w:rPr>
      </w:pPr>
      <w:r>
        <w:rPr>
          <w:rFonts w:ascii="黑体" w:eastAsia="黑体" w:hint="eastAsia"/>
          <w:sz w:val="21"/>
        </w:rPr>
        <w:t>基本保险金额</w:t>
        <w:tab/>
      </w:r>
      <w:r>
        <w:rPr>
          <w:sz w:val="21"/>
        </w:rPr>
        <w:t>本附加险合同的基本保险金额按份计算，每份为人民币</w:t>
      </w:r>
      <w:r>
        <w:rPr>
          <w:spacing w:val="-68"/>
          <w:sz w:val="21"/>
        </w:rPr>
        <w:t> </w:t>
      </w:r>
      <w:r>
        <w:rPr>
          <w:sz w:val="21"/>
        </w:rPr>
        <w:t>10,000</w:t>
      </w:r>
      <w:r>
        <w:rPr>
          <w:spacing w:val="-68"/>
          <w:sz w:val="21"/>
        </w:rPr>
        <w:t> </w:t>
      </w:r>
      <w:r>
        <w:rPr>
          <w:sz w:val="21"/>
        </w:rPr>
        <w:t>元。</w:t>
      </w:r>
    </w:p>
    <w:p>
      <w:pPr>
        <w:pStyle w:val="BodyText"/>
        <w:spacing w:before="7"/>
        <w:rPr>
          <w:sz w:val="11"/>
        </w:rPr>
      </w:pPr>
    </w:p>
    <w:p>
      <w:pPr>
        <w:spacing w:after="0"/>
        <w:rPr>
          <w:sz w:val="11"/>
        </w:rPr>
        <w:sectPr>
          <w:type w:val="continuous"/>
          <w:pgSz w:w="11910" w:h="16840"/>
          <w:pgMar w:top="1280" w:bottom="280" w:left="1020" w:right="1020"/>
        </w:sectPr>
      </w:pPr>
    </w:p>
    <w:p>
      <w:pPr>
        <w:pStyle w:val="ListParagraph"/>
        <w:numPr>
          <w:ilvl w:val="1"/>
          <w:numId w:val="3"/>
        </w:numPr>
        <w:tabs>
          <w:tab w:pos="1472" w:val="left" w:leader="none"/>
          <w:tab w:pos="1473" w:val="left" w:leader="none"/>
        </w:tabs>
        <w:spacing w:line="278" w:lineRule="auto" w:before="35" w:after="0"/>
        <w:ind w:left="1472" w:right="0" w:hanging="1212"/>
        <w:jc w:val="left"/>
        <w:rPr>
          <w:rFonts w:ascii="黑体" w:eastAsia="黑体" w:hint="eastAsia"/>
          <w:sz w:val="21"/>
        </w:rPr>
      </w:pPr>
      <w:r>
        <w:rPr>
          <w:rFonts w:ascii="黑体" w:eastAsia="黑体" w:hint="eastAsia"/>
          <w:sz w:val="21"/>
        </w:rPr>
        <w:t>未成年人身故保险金限制</w:t>
      </w:r>
    </w:p>
    <w:p>
      <w:pPr>
        <w:pStyle w:val="BodyText"/>
        <w:spacing w:line="278" w:lineRule="auto"/>
        <w:ind w:left="260" w:right="255"/>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8" w:lineRule="auto"/>
        <w:jc w:val="both"/>
        <w:sectPr>
          <w:type w:val="continuous"/>
          <w:pgSz w:w="11910" w:h="16840"/>
          <w:pgMar w:top="1280" w:bottom="280" w:left="1020" w:right="1020"/>
          <w:cols w:num="2" w:equalWidth="0">
            <w:col w:w="2733" w:space="40"/>
            <w:col w:w="7097"/>
          </w:cols>
        </w:sectPr>
      </w:pPr>
    </w:p>
    <w:p>
      <w:pPr>
        <w:pStyle w:val="BodyText"/>
        <w:spacing w:before="12"/>
        <w:rPr>
          <w:sz w:val="8"/>
        </w:rPr>
      </w:pPr>
    </w:p>
    <w:p>
      <w:pPr>
        <w:pStyle w:val="ListParagraph"/>
        <w:numPr>
          <w:ilvl w:val="1"/>
          <w:numId w:val="3"/>
        </w:numPr>
        <w:tabs>
          <w:tab w:pos="1472" w:val="left" w:leader="none"/>
          <w:tab w:pos="1473" w:val="left" w:leader="none"/>
          <w:tab w:pos="3032" w:val="left" w:leader="none"/>
        </w:tabs>
        <w:spacing w:line="240" w:lineRule="auto" w:before="36" w:after="0"/>
        <w:ind w:left="1472" w:right="0" w:hanging="1212"/>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472" w:val="left" w:leader="none"/>
          <w:tab w:pos="1473" w:val="left" w:leader="none"/>
          <w:tab w:pos="3032" w:val="left" w:leader="none"/>
        </w:tabs>
        <w:spacing w:line="280" w:lineRule="auto" w:before="1" w:after="0"/>
        <w:ind w:left="3032" w:right="255" w:hanging="2772"/>
        <w:jc w:val="left"/>
        <w:rPr>
          <w:sz w:val="21"/>
        </w:rPr>
      </w:pPr>
      <w:r>
        <w:rPr>
          <w:rFonts w:ascii="黑体" w:eastAsia="黑体" w:hint="eastAsia"/>
          <w:sz w:val="21"/>
        </w:rPr>
        <w:t>保险责任</w:t>
        <w:tab/>
      </w:r>
      <w:r>
        <w:rPr>
          <w:sz w:val="21"/>
        </w:rPr>
        <w:t>在本附加险合同保险期间内，且主险合同和本附加险合同均有效的前提 下，我们按以下约定承担保险责任：</w:t>
      </w:r>
    </w:p>
    <w:p>
      <w:pPr>
        <w:pStyle w:val="BodyText"/>
        <w:spacing w:before="11"/>
        <w:rPr>
          <w:sz w:val="8"/>
        </w:rPr>
      </w:pPr>
    </w:p>
    <w:p>
      <w:pPr>
        <w:spacing w:after="0"/>
        <w:rPr>
          <w:sz w:val="8"/>
        </w:rPr>
        <w:sectPr>
          <w:type w:val="continuous"/>
          <w:pgSz w:w="11910" w:h="16840"/>
          <w:pgMar w:top="1280" w:bottom="280" w:left="1020" w:right="1020"/>
        </w:sectPr>
      </w:pPr>
    </w:p>
    <w:p>
      <w:pPr>
        <w:pStyle w:val="BodyText"/>
        <w:spacing w:line="278" w:lineRule="auto" w:before="36"/>
        <w:ind w:left="1472"/>
        <w:rPr>
          <w:rFonts w:ascii="黑体" w:eastAsia="黑体" w:hint="eastAsia"/>
        </w:rPr>
      </w:pPr>
      <w:r>
        <w:rPr>
          <w:rFonts w:ascii="黑体" w:eastAsia="黑体" w:hint="eastAsia"/>
        </w:rPr>
        <w:t>轻症关爱保险金</w:t>
      </w:r>
    </w:p>
    <w:p>
      <w:pPr>
        <w:pStyle w:val="BodyText"/>
        <w:spacing w:line="278" w:lineRule="auto" w:before="36"/>
        <w:ind w:left="260" w:right="153"/>
      </w:pPr>
      <w:r>
        <w:rPr/>
        <w:br w:type="column"/>
      </w:r>
      <w:r>
        <w:rPr>
          <w:spacing w:val="-2"/>
        </w:rPr>
        <w:t>在本附加险合同生效或最后一次复效</w:t>
      </w:r>
      <w:r>
        <w:rPr/>
        <w:t>（以较迟者为准</w:t>
      </w:r>
      <w:r>
        <w:rPr>
          <w:spacing w:val="-22"/>
        </w:rPr>
        <w:t>）</w:t>
      </w:r>
      <w:r>
        <w:rPr>
          <w:spacing w:val="-14"/>
        </w:rPr>
        <w:t>之日起 </w:t>
      </w:r>
      <w:r>
        <w:rPr/>
        <w:t>180</w:t>
      </w:r>
      <w:r>
        <w:rPr>
          <w:spacing w:val="-14"/>
        </w:rPr>
        <w:t> 日内， 若被保险人被确诊初次发生本附加险条款“7.疾病定义”约定的“非危</w:t>
      </w:r>
      <w:r>
        <w:rPr>
          <w:spacing w:val="-17"/>
        </w:rPr>
        <w:t>及生命的恶性病变”，我们按您根据本附加险合同约定已支付的保险费总额给付轻症关爱保险金，本附加险合同终止。</w:t>
      </w:r>
    </w:p>
    <w:p>
      <w:pPr>
        <w:pStyle w:val="BodyText"/>
        <w:spacing w:line="278" w:lineRule="auto" w:before="11"/>
        <w:ind w:left="260" w:right="153"/>
      </w:pPr>
      <w:r>
        <w:rPr>
          <w:spacing w:val="-2"/>
        </w:rPr>
        <w:t>在本附加险合同生效或最后一次复效</w:t>
      </w:r>
      <w:r>
        <w:rPr/>
        <w:t>（以较迟者为准</w:t>
      </w:r>
      <w:r>
        <w:rPr>
          <w:spacing w:val="-22"/>
        </w:rPr>
        <w:t>）</w:t>
      </w:r>
      <w:r>
        <w:rPr>
          <w:spacing w:val="-14"/>
        </w:rPr>
        <w:t>之日起 </w:t>
      </w:r>
      <w:r>
        <w:rPr/>
        <w:t>180</w:t>
      </w:r>
      <w:r>
        <w:rPr>
          <w:spacing w:val="-14"/>
        </w:rPr>
        <w:t> 日后， 若被保险人被确诊初次发生本附加险条款“7.疾病定义”约定的“非危及生命的恶性病变</w:t>
      </w:r>
      <w:r>
        <w:rPr>
          <w:spacing w:val="-105"/>
        </w:rPr>
        <w:t>”</w:t>
      </w:r>
      <w:r>
        <w:rPr>
          <w:spacing w:val="-1"/>
        </w:rPr>
        <w:t>，</w:t>
      </w:r>
      <w:r>
        <w:rPr>
          <w:spacing w:val="-2"/>
        </w:rPr>
        <w:t>我</w:t>
      </w:r>
      <w:r>
        <w:rPr>
          <w:spacing w:val="-1"/>
        </w:rPr>
        <w:t>们按基本保险金额</w:t>
      </w:r>
      <w:r>
        <w:rPr/>
        <w:t>的</w:t>
      </w:r>
      <w:r>
        <w:rPr>
          <w:spacing w:val="-53"/>
        </w:rPr>
        <w:t> </w:t>
      </w:r>
      <w:r>
        <w:rPr>
          <w:spacing w:val="-1"/>
        </w:rPr>
        <w:t>2</w:t>
      </w:r>
      <w:r>
        <w:rPr>
          <w:spacing w:val="3"/>
        </w:rPr>
        <w:t>0</w:t>
      </w:r>
      <w:r>
        <w:rPr>
          <w:spacing w:val="3"/>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spacing w:val="-1"/>
        </w:rPr>
        <w:t>给付轻症关爱保险金。</w:t>
      </w:r>
      <w:r>
        <w:rPr/>
        <w:t>  </w:t>
      </w:r>
      <w:r>
        <w:rPr>
          <w:spacing w:val="-9"/>
        </w:rPr>
        <w:t>对于同一器官的同一种“非危及生命的恶性病变”，轻症关爱保险金给付以一次为限。</w:t>
      </w:r>
    </w:p>
    <w:p>
      <w:pPr>
        <w:spacing w:after="0" w:line="278" w:lineRule="auto"/>
        <w:sectPr>
          <w:type w:val="continuous"/>
          <w:pgSz w:w="11910" w:h="16840"/>
          <w:pgMar w:top="1280" w:bottom="280" w:left="1020" w:right="1020"/>
          <w:cols w:num="2" w:equalWidth="0">
            <w:col w:w="2733" w:space="40"/>
            <w:col w:w="7097"/>
          </w:cols>
        </w:sectPr>
      </w:pPr>
    </w:p>
    <w:p>
      <w:pPr>
        <w:pStyle w:val="BodyText"/>
        <w:spacing w:before="0"/>
        <w:rPr>
          <w:sz w:val="9"/>
        </w:rPr>
      </w:pPr>
    </w:p>
    <w:p>
      <w:pPr>
        <w:spacing w:after="0"/>
        <w:rPr>
          <w:sz w:val="9"/>
        </w:rPr>
        <w:sectPr>
          <w:type w:val="continuous"/>
          <w:pgSz w:w="11910" w:h="16840"/>
          <w:pgMar w:top="1280" w:bottom="280" w:left="1020" w:right="1020"/>
        </w:sectPr>
      </w:pPr>
    </w:p>
    <w:p>
      <w:pPr>
        <w:pStyle w:val="BodyText"/>
        <w:spacing w:line="280" w:lineRule="auto" w:before="36"/>
        <w:ind w:left="1472"/>
        <w:rPr>
          <w:rFonts w:ascii="黑体" w:eastAsia="黑体" w:hint="eastAsia"/>
        </w:rPr>
      </w:pPr>
      <w:r>
        <w:rPr>
          <w:rFonts w:ascii="黑体" w:eastAsia="黑体" w:hint="eastAsia"/>
        </w:rPr>
        <w:t>癌症关爱保险金</w:t>
      </w:r>
    </w:p>
    <w:p>
      <w:pPr>
        <w:pStyle w:val="BodyText"/>
        <w:spacing w:line="278" w:lineRule="auto" w:before="36"/>
        <w:ind w:left="260" w:right="153"/>
      </w:pPr>
      <w:r>
        <w:rPr/>
        <w:br w:type="column"/>
      </w:r>
      <w:r>
        <w:rPr>
          <w:spacing w:val="-2"/>
        </w:rPr>
        <w:t>在本附加险合同生效或最后一次复效</w:t>
      </w:r>
      <w:r>
        <w:rPr/>
        <w:t>（以较迟者为准</w:t>
      </w:r>
      <w:r>
        <w:rPr>
          <w:spacing w:val="-22"/>
        </w:rPr>
        <w:t>）</w:t>
      </w:r>
      <w:r>
        <w:rPr>
          <w:spacing w:val="-14"/>
        </w:rPr>
        <w:t>之日起 </w:t>
      </w:r>
      <w:r>
        <w:rPr/>
        <w:t>180</w:t>
      </w:r>
      <w:r>
        <w:rPr>
          <w:spacing w:val="-14"/>
        </w:rPr>
        <w:t> 日内， 若被保险人被确诊初次发生本附加险条款“7.疾病定义”约定的“恶性肿瘤”，我们按您根据本附加险合同约定已支付的保险费总额给付癌症关</w:t>
      </w:r>
    </w:p>
    <w:p>
      <w:pPr>
        <w:spacing w:after="0" w:line="278" w:lineRule="auto"/>
        <w:sectPr>
          <w:type w:val="continuous"/>
          <w:pgSz w:w="11910" w:h="16840"/>
          <w:pgMar w:top="1280" w:bottom="280" w:left="1020" w:right="1020"/>
          <w:cols w:num="2" w:equalWidth="0">
            <w:col w:w="2733" w:space="40"/>
            <w:col w:w="7097"/>
          </w:cols>
        </w:sectPr>
      </w:pPr>
    </w:p>
    <w:p>
      <w:pPr>
        <w:pStyle w:val="BodyText"/>
        <w:spacing w:before="8"/>
        <w:ind w:left="2992"/>
      </w:pPr>
      <w:r>
        <w:rPr/>
        <w:t>爱保险金，本附加险合同终止。</w:t>
      </w:r>
    </w:p>
    <w:p>
      <w:pPr>
        <w:pStyle w:val="BodyText"/>
        <w:spacing w:line="278" w:lineRule="auto" w:before="43"/>
        <w:ind w:left="2992" w:right="113"/>
      </w:pPr>
      <w:r>
        <w:rPr>
          <w:spacing w:val="-2"/>
        </w:rPr>
        <w:t>在本附加险合同生效或最后一次复效</w:t>
      </w:r>
      <w:r>
        <w:rPr/>
        <w:t>（以较迟者为准</w:t>
      </w:r>
      <w:r>
        <w:rPr>
          <w:spacing w:val="-22"/>
        </w:rPr>
        <w:t>）</w:t>
      </w:r>
      <w:r>
        <w:rPr>
          <w:spacing w:val="-14"/>
        </w:rPr>
        <w:t>之日起 </w:t>
      </w:r>
      <w:r>
        <w:rPr/>
        <w:t>180</w:t>
      </w:r>
      <w:r>
        <w:rPr>
          <w:spacing w:val="-14"/>
        </w:rPr>
        <w:t> 日后， 若被保险人被确诊初次发生本附加险条款“7.疾病定义”约定的“恶性</w:t>
      </w:r>
      <w:r>
        <w:rPr>
          <w:spacing w:val="-13"/>
        </w:rPr>
        <w:t>肿瘤”，我们按基本保险金额给付癌症关爱保险金，本附加险合同终止。若已发生轻症关爱保险金给付，我们在给付癌症关爱保险金时，将扣除已给付的轻症关爱保险金金额。</w:t>
      </w:r>
    </w:p>
    <w:p>
      <w:pPr>
        <w:pStyle w:val="BodyText"/>
        <w:spacing w:line="278" w:lineRule="auto" w:before="153"/>
        <w:ind w:left="2992" w:right="215"/>
        <w:jc w:val="both"/>
      </w:pPr>
      <w:r>
        <w:rPr/>
        <w:t>在任何情况下，我们对被保险人所负给付“轻症关爱保险金”和“癌症关爱保险金”的责任以保险单所载基本保险金额为限，我们一次或累计给付的“轻症关爱保险金”和“癌症关爱保险金”总额达到保险单所载基本保险金额时，本附加险合同终止。</w:t>
      </w:r>
    </w:p>
    <w:p>
      <w:pPr>
        <w:pStyle w:val="BodyText"/>
        <w:tabs>
          <w:tab w:pos="2992" w:val="left" w:leader="none"/>
        </w:tabs>
        <w:spacing w:line="278" w:lineRule="auto" w:before="153"/>
        <w:ind w:left="2992" w:right="215" w:hanging="1561"/>
      </w:pPr>
      <w:r>
        <w:rPr>
          <w:rFonts w:ascii="黑体" w:eastAsia="黑体" w:hint="eastAsia"/>
        </w:rPr>
        <w:t>身故保险金</w:t>
        <w:tab/>
      </w:r>
      <w:r>
        <w:rPr/>
        <w:t>若被保险人身故，我们按以下两项中金额较大者给付身故保险金，本附 加险合同终止：                                              </w:t>
      </w:r>
      <w:r>
        <w:rPr>
          <w:spacing w:val="-1"/>
        </w:rPr>
        <w:t>(1)被保险人身故时您根据本附加险合同约定已支付的保险费总额；</w:t>
      </w:r>
    </w:p>
    <w:p>
      <w:pPr>
        <w:spacing w:line="311" w:lineRule="exact" w:before="0"/>
        <w:ind w:left="2992" w:right="0" w:firstLine="0"/>
        <w:jc w:val="left"/>
        <w:rPr>
          <w:sz w:val="21"/>
        </w:rPr>
      </w:pPr>
      <w:r>
        <w:rPr>
          <w:sz w:val="21"/>
        </w:rPr>
        <w:t>(2)被保险人身故时保险单的</w:t>
      </w:r>
      <w:r>
        <w:rPr>
          <w:rFonts w:ascii="Microsoft JhengHei" w:eastAsia="Microsoft JhengHei" w:hint="eastAsia"/>
          <w:b/>
          <w:sz w:val="21"/>
        </w:rPr>
        <w:t>现金价值</w:t>
      </w:r>
      <w:r>
        <w:rPr>
          <w:sz w:val="21"/>
        </w:rPr>
        <w:t>。</w:t>
      </w:r>
    </w:p>
    <w:p>
      <w:pPr>
        <w:pStyle w:val="ListParagraph"/>
        <w:numPr>
          <w:ilvl w:val="1"/>
          <w:numId w:val="3"/>
        </w:numPr>
        <w:tabs>
          <w:tab w:pos="1432" w:val="left" w:leader="none"/>
          <w:tab w:pos="1433" w:val="left" w:leader="none"/>
          <w:tab w:pos="2992" w:val="left" w:leader="none"/>
        </w:tabs>
        <w:spacing w:line="280" w:lineRule="auto" w:before="164" w:after="0"/>
        <w:ind w:left="2992" w:right="215" w:hanging="2772"/>
        <w:jc w:val="left"/>
        <w:rPr>
          <w:rFonts w:ascii="黑体" w:eastAsia="黑体" w:hint="eastAsia"/>
          <w:sz w:val="21"/>
        </w:rPr>
      </w:pPr>
      <w:r>
        <w:rPr>
          <w:rFonts w:ascii="黑体" w:eastAsia="黑体" w:hint="eastAsia"/>
          <w:sz w:val="21"/>
        </w:rPr>
        <w:t>责任免除</w:t>
        <w:tab/>
        <w:t>因下列情形之一，导致被保险人身故、发Th疾病的，我们不承担保险责 任：</w:t>
      </w:r>
    </w:p>
    <w:p>
      <w:pPr>
        <w:pStyle w:val="BodyText"/>
        <w:spacing w:line="280" w:lineRule="auto" w:before="8"/>
        <w:ind w:left="2992" w:right="595"/>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pStyle w:val="BodyText"/>
        <w:spacing w:before="9"/>
        <w:ind w:left="2992"/>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307" w:right="152"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8" w:lineRule="auto" w:before="9"/>
        <w:ind w:left="2992" w:right="2883"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 (6)战争、军事冲突、暴乱或武装叛乱； (7)核爆炸、核辐射或核污染；</w:t>
      </w:r>
    </w:p>
    <w:p>
      <w:pPr>
        <w:spacing w:before="11"/>
        <w:ind w:left="2992"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before="44"/>
        <w:ind w:left="2992"/>
        <w:rPr>
          <w:rFonts w:ascii="黑体" w:eastAsia="黑体" w:hint="eastAsia"/>
        </w:rPr>
      </w:pPr>
      <w:r>
        <w:rPr>
          <w:rFonts w:ascii="黑体" w:eastAsia="黑体" w:hint="eastAsia"/>
        </w:rPr>
        <w:t>因上述第(1)项情形导致被保险人身故的，本附加险合同终止，您已交足</w:t>
      </w:r>
    </w:p>
    <w:p>
      <w:pPr>
        <w:pStyle w:val="BodyText"/>
        <w:spacing w:line="278" w:lineRule="auto" w:before="45"/>
        <w:ind w:left="2992" w:right="211"/>
        <w:rPr>
          <w:rFonts w:ascii="黑体" w:hAnsi="黑体" w:eastAsia="黑体" w:hint="eastAsia"/>
        </w:rPr>
      </w:pPr>
      <w:r>
        <w:rPr>
          <w:rFonts w:ascii="黑体" w:hAnsi="黑体" w:eastAsia="黑体" w:hint="eastAsia"/>
        </w:rPr>
        <w:t>2</w:t>
      </w:r>
      <w:r>
        <w:rPr>
          <w:rFonts w:ascii="黑体" w:hAnsi="黑体" w:eastAsia="黑体" w:hint="eastAsia"/>
          <w:spacing w:val="-8"/>
        </w:rPr>
        <w:t> 年以上保险费的，我们向被保险人的继承人退还保险单的现金价值。</w:t>
      </w:r>
      <w:r>
        <w:rPr>
          <w:rFonts w:ascii="黑体" w:hAnsi="黑体" w:eastAsia="黑体" w:hint="eastAsia"/>
          <w:spacing w:val="3"/>
        </w:rPr>
        <w:t>因上述第(</w:t>
      </w:r>
      <w:r>
        <w:rPr>
          <w:rFonts w:ascii="黑体" w:hAnsi="黑体" w:eastAsia="黑体" w:hint="eastAsia"/>
        </w:rPr>
        <w:t>1</w:t>
      </w:r>
      <w:r>
        <w:rPr>
          <w:rFonts w:ascii="黑体" w:hAnsi="黑体" w:eastAsia="黑体" w:hint="eastAsia"/>
          <w:spacing w:val="1"/>
        </w:rPr>
        <w:t>)项情形导致被保险人被确诊发</w:t>
      </w:r>
      <w:r>
        <w:rPr>
          <w:rFonts w:ascii="黑体" w:hAnsi="黑体" w:eastAsia="黑体" w:hint="eastAsia"/>
        </w:rPr>
        <w:t>Th</w:t>
      </w:r>
      <w:r>
        <w:rPr>
          <w:rFonts w:ascii="黑体" w:hAnsi="黑体" w:eastAsia="黑体" w:hint="eastAsia"/>
          <w:spacing w:val="2"/>
        </w:rPr>
        <w:t>本附加险条款“7.疾病定</w:t>
      </w:r>
      <w:r>
        <w:rPr>
          <w:rFonts w:ascii="黑体" w:hAnsi="黑体" w:eastAsia="黑体" w:hint="eastAsia"/>
          <w:spacing w:val="-15"/>
        </w:rPr>
        <w:t>义”约定的“恶性肿瘤”，本附加险合同终止，您已交足 </w:t>
      </w:r>
      <w:r>
        <w:rPr>
          <w:rFonts w:ascii="黑体" w:hAnsi="黑体" w:eastAsia="黑体" w:hint="eastAsia"/>
        </w:rPr>
        <w:t>2</w:t>
      </w:r>
      <w:r>
        <w:rPr>
          <w:rFonts w:ascii="黑体" w:hAnsi="黑体" w:eastAsia="黑体" w:hint="eastAsia"/>
          <w:spacing w:val="-9"/>
        </w:rPr>
        <w:t> 年以上保险费的，我们向被保险人退还保险单的现金价值。</w:t>
      </w:r>
    </w:p>
    <w:p>
      <w:pPr>
        <w:pStyle w:val="BodyText"/>
        <w:spacing w:line="278" w:lineRule="auto" w:before="11"/>
        <w:ind w:left="2992" w:right="212"/>
        <w:jc w:val="both"/>
        <w:rPr>
          <w:rFonts w:ascii="黑体" w:hAnsi="黑体" w:eastAsia="黑体" w:hint="eastAsia"/>
        </w:rPr>
      </w:pPr>
      <w:r>
        <w:rPr>
          <w:rFonts w:ascii="黑体" w:hAnsi="黑体" w:eastAsia="黑体" w:hint="eastAsia"/>
        </w:rPr>
        <w:t>因上述其他情形导致被保险人身故或被确诊发Th本附加险条款“7.疾病</w:t>
      </w:r>
      <w:r>
        <w:rPr>
          <w:rFonts w:ascii="黑体" w:hAnsi="黑体" w:eastAsia="黑体" w:hint="eastAsia"/>
          <w:spacing w:val="-13"/>
        </w:rPr>
        <w:t>定义”约定的“恶性肿瘤”，本附加险合同终止，我们向您退还保险单的现金价值。</w:t>
      </w:r>
    </w:p>
    <w:p>
      <w:pPr>
        <w:pStyle w:val="BodyText"/>
        <w:spacing w:before="1"/>
        <w:rPr>
          <w:rFonts w:ascii="黑体"/>
          <w:sz w:val="9"/>
        </w:rPr>
      </w:pPr>
      <w:r>
        <w:rPr/>
        <w:pict>
          <v:shape style="position:absolute;margin-left:58.619999pt;margin-top:7.142704pt;width:478.05pt;height:15.6pt;mso-position-horizontal-relative:page;mso-position-vertical-relative:paragraph;z-index:1120;mso-wrap-distance-left:0;mso-wrap-distance-right:0" type="#_x0000_t202" filled="true" fillcolor="#d3d3d3" stroked="false">
            <v:textbox inset="0,0,0,0">
              <w:txbxContent>
                <w:p>
                  <w:pPr>
                    <w:tabs>
                      <w:tab w:pos="1319"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432" w:val="left" w:leader="none"/>
          <w:tab w:pos="1433" w:val="left" w:leader="none"/>
          <w:tab w:pos="2992" w:val="left" w:leader="none"/>
        </w:tabs>
        <w:spacing w:line="240" w:lineRule="auto" w:before="35" w:after="0"/>
        <w:ind w:left="2872" w:right="0" w:hanging="2652"/>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992" w:right="215"/>
      </w:pPr>
      <w:r>
        <w:rPr/>
        <w:t>身故保险金受益人为多人时，可以确定受益顺序和受益份额；如果没有确定份额，各受益人按照相等份额享有受益权。</w:t>
      </w:r>
    </w:p>
    <w:p>
      <w:pPr>
        <w:pStyle w:val="BodyText"/>
        <w:spacing w:line="280" w:lineRule="auto" w:before="8"/>
        <w:ind w:left="2992" w:right="215"/>
      </w:pPr>
      <w:r>
        <w:rPr/>
        <w:t>被保险人为无民事行为能力人或限制民事行为能力人的，可以由其监护人指定受益人。</w:t>
      </w:r>
    </w:p>
    <w:p>
      <w:pPr>
        <w:pStyle w:val="BodyText"/>
        <w:spacing w:line="278" w:lineRule="auto" w:before="9"/>
        <w:ind w:left="2992" w:right="113"/>
      </w:pPr>
      <w:r>
        <w:rPr/>
        <w:t>您或者被保险人可以变更身故保险金受益人并书面通知我们。我们收到</w:t>
      </w:r>
      <w:r>
        <w:rPr>
          <w:spacing w:val="-4"/>
        </w:rPr>
        <w:t>变更受益人的书面通知后，在保险单或其他保险凭证上批注或附贴批单。</w:t>
      </w:r>
    </w:p>
    <w:p>
      <w:pPr>
        <w:spacing w:after="0" w:line="278" w:lineRule="auto"/>
        <w:sectPr>
          <w:pgSz w:w="11910" w:h="16840"/>
          <w:pgMar w:top="1420" w:bottom="280" w:left="1060" w:right="1060"/>
        </w:sectPr>
      </w:pPr>
    </w:p>
    <w:p>
      <w:pPr>
        <w:pStyle w:val="BodyText"/>
        <w:spacing w:before="8"/>
        <w:ind w:left="2872"/>
      </w:pPr>
      <w:r>
        <w:rPr/>
        <w:t>您在指定和变更身故保险金受益人时，必须经过被保险人同意。</w:t>
      </w:r>
    </w:p>
    <w:p>
      <w:pPr>
        <w:pStyle w:val="BodyText"/>
        <w:spacing w:line="278" w:lineRule="auto" w:before="43"/>
        <w:ind w:left="2872" w:right="215"/>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1"/>
        <w:ind w:left="2872" w:right="215"/>
      </w:pPr>
      <w:r>
        <w:rPr/>
        <w:t>受益人与被保险人在同一事件中身故，且不能确定身故先后顺序的，推定受益人身故在先。</w:t>
      </w:r>
    </w:p>
    <w:p>
      <w:pPr>
        <w:pStyle w:val="BodyText"/>
        <w:spacing w:line="280" w:lineRule="auto" w:before="11"/>
        <w:ind w:left="2872" w:right="215"/>
      </w:pPr>
      <w:r>
        <w:rPr/>
        <w:t>受益人故意造成被保险人身故、伤残、疾病的，或者故意杀害被保险人未遂的，该受益人丧失受益权。</w:t>
      </w:r>
    </w:p>
    <w:p>
      <w:pPr>
        <w:pStyle w:val="BodyText"/>
        <w:spacing w:line="280" w:lineRule="auto" w:before="8"/>
        <w:ind w:left="2872" w:right="215"/>
      </w:pPr>
      <w:r>
        <w:rPr/>
        <w:t>除另有指定外，轻症关爱保险金、癌症关爱保险金的受益人为被保险人本人。</w:t>
      </w:r>
    </w:p>
    <w:p>
      <w:pPr>
        <w:pStyle w:val="ListParagraph"/>
        <w:numPr>
          <w:ilvl w:val="1"/>
          <w:numId w:val="4"/>
        </w:numPr>
        <w:tabs>
          <w:tab w:pos="1312" w:val="left" w:leader="none"/>
          <w:tab w:pos="1313" w:val="left" w:leader="none"/>
          <w:tab w:pos="2872" w:val="left" w:leader="none"/>
        </w:tabs>
        <w:spacing w:line="240" w:lineRule="auto" w:before="151" w:after="0"/>
        <w:ind w:left="1312" w:right="0" w:hanging="1212"/>
        <w:jc w:val="left"/>
        <w:rPr>
          <w:sz w:val="21"/>
        </w:rPr>
      </w:pPr>
      <w:r>
        <w:rPr>
          <w:rFonts w:ascii="黑体" w:eastAsia="黑体" w:hint="eastAsia"/>
          <w:sz w:val="21"/>
        </w:rPr>
        <w:t>保险金申请</w:t>
        <w:tab/>
      </w:r>
      <w:r>
        <w:rPr>
          <w:sz w:val="21"/>
        </w:rPr>
        <w:t>在申请保险金给付时，请按照下列方式办理：</w:t>
      </w:r>
    </w:p>
    <w:p>
      <w:pPr>
        <w:pStyle w:val="BodyText"/>
        <w:spacing w:before="7"/>
        <w:rPr>
          <w:sz w:val="11"/>
        </w:rPr>
      </w:pPr>
    </w:p>
    <w:p>
      <w:pPr>
        <w:spacing w:after="0"/>
        <w:rPr>
          <w:sz w:val="11"/>
        </w:rPr>
        <w:sectPr>
          <w:pgSz w:w="11910" w:h="16840"/>
          <w:pgMar w:top="1420" w:bottom="280" w:left="1180" w:right="1060"/>
        </w:sectPr>
      </w:pPr>
    </w:p>
    <w:p>
      <w:pPr>
        <w:pStyle w:val="BodyText"/>
        <w:spacing w:line="278" w:lineRule="auto"/>
        <w:ind w:left="1312"/>
        <w:jc w:val="both"/>
        <w:rPr>
          <w:rFonts w:ascii="黑体" w:eastAsia="黑体" w:hint="eastAsia"/>
        </w:rPr>
      </w:pPr>
      <w:r>
        <w:rPr>
          <w:rFonts w:ascii="黑体" w:eastAsia="黑体" w:hint="eastAsia"/>
        </w:rPr>
        <w:t>轻症关爱保险金、癌症关爱保险金申请</w:t>
      </w:r>
    </w:p>
    <w:p>
      <w:pPr>
        <w:pStyle w:val="BodyText"/>
        <w:spacing w:line="280" w:lineRule="auto"/>
        <w:ind w:left="260" w:right="1317"/>
      </w:pPr>
      <w:r>
        <w:rPr/>
        <w:br w:type="column"/>
      </w:r>
      <w:r>
        <w:rPr/>
        <w:t>申请人须填写保险金给付申请书，并提供下列证明和资料： (1)保险合同；</w:t>
      </w:r>
    </w:p>
    <w:p>
      <w:pPr>
        <w:spacing w:line="307" w:lineRule="exact" w:before="0"/>
        <w:ind w:left="260" w:right="0" w:firstLine="0"/>
        <w:jc w:val="left"/>
        <w:rPr>
          <w:sz w:val="21"/>
        </w:rPr>
      </w:pPr>
      <w:r>
        <w:rPr>
          <w:sz w:val="21"/>
        </w:rPr>
        <w:t>(2)申请人的</w:t>
      </w:r>
      <w:r>
        <w:rPr>
          <w:rFonts w:ascii="Microsoft JhengHei" w:eastAsia="Microsoft JhengHei" w:hint="eastAsia"/>
          <w:b/>
          <w:sz w:val="21"/>
        </w:rPr>
        <w:t>有效身份证件</w:t>
      </w:r>
      <w:r>
        <w:rPr>
          <w:sz w:val="21"/>
        </w:rPr>
        <w:t>；</w:t>
      </w:r>
    </w:p>
    <w:p>
      <w:pPr>
        <w:pStyle w:val="BodyText"/>
        <w:spacing w:line="278" w:lineRule="auto" w:before="22"/>
        <w:ind w:left="575" w:right="217" w:hanging="316"/>
        <w:jc w:val="both"/>
      </w:pPr>
      <w:r>
        <w:rPr>
          <w:spacing w:val="-1"/>
        </w:rPr>
        <w:t>(3)</w:t>
      </w:r>
      <w:r>
        <w:rPr>
          <w:spacing w:val="-3"/>
        </w:rPr>
        <w:t>卫生行政部门认定的二级以上</w:t>
      </w:r>
      <w:r>
        <w:rPr/>
        <w:t>（含二级</w:t>
      </w:r>
      <w:r>
        <w:rPr>
          <w:spacing w:val="-22"/>
        </w:rPr>
        <w:t>）</w:t>
      </w:r>
      <w:r>
        <w:rPr/>
        <w:t>医院出具的附有病理显微镜</w:t>
      </w:r>
      <w:r>
        <w:rPr>
          <w:spacing w:val="-7"/>
        </w:rPr>
        <w:t>检查报告、血液检查及其他科学方法检验报告的病史资料及疾病诊断</w:t>
      </w:r>
      <w:r>
        <w:rPr>
          <w:spacing w:val="-8"/>
        </w:rPr>
        <w:t>报告书；如有必要，我们有权对被保险人进行复检，复检费用由我们承担；</w:t>
      </w:r>
    </w:p>
    <w:p>
      <w:pPr>
        <w:pStyle w:val="BodyText"/>
        <w:spacing w:before="11"/>
        <w:ind w:left="260"/>
      </w:pPr>
      <w:r>
        <w:rPr/>
        <w:t>(4)所能提供的与确认保险事故的性质、原因等有关的其他证明和资料。</w:t>
      </w:r>
    </w:p>
    <w:p>
      <w:pPr>
        <w:spacing w:after="0"/>
        <w:sectPr>
          <w:type w:val="continuous"/>
          <w:pgSz w:w="11910" w:h="16840"/>
          <w:pgMar w:top="1280" w:bottom="280" w:left="1180" w:right="1060"/>
          <w:cols w:num="2" w:equalWidth="0">
            <w:col w:w="2573" w:space="40"/>
            <w:col w:w="7057"/>
          </w:cols>
        </w:sectPr>
      </w:pPr>
    </w:p>
    <w:p>
      <w:pPr>
        <w:pStyle w:val="BodyText"/>
        <w:spacing w:before="7"/>
        <w:rPr>
          <w:sz w:val="11"/>
        </w:rPr>
      </w:pPr>
    </w:p>
    <w:p>
      <w:pPr>
        <w:spacing w:after="0"/>
        <w:rPr>
          <w:sz w:val="11"/>
        </w:rPr>
        <w:sectPr>
          <w:type w:val="continuous"/>
          <w:pgSz w:w="11910" w:h="16840"/>
          <w:pgMar w:top="1280" w:bottom="280" w:left="1180" w:right="1060"/>
        </w:sectPr>
      </w:pPr>
    </w:p>
    <w:p>
      <w:pPr>
        <w:pStyle w:val="BodyText"/>
        <w:spacing w:line="278" w:lineRule="auto"/>
        <w:ind w:left="1312"/>
        <w:rPr>
          <w:rFonts w:ascii="黑体" w:eastAsia="黑体" w:hint="eastAsia"/>
        </w:rPr>
      </w:pPr>
      <w:r>
        <w:rPr>
          <w:rFonts w:ascii="黑体" w:eastAsia="黑体" w:hint="eastAsia"/>
        </w:rPr>
        <w:t>身故保险金申请</w:t>
      </w:r>
    </w:p>
    <w:p>
      <w:pPr>
        <w:pStyle w:val="BodyText"/>
        <w:spacing w:line="278" w:lineRule="auto"/>
        <w:ind w:left="260" w:right="1317"/>
      </w:pPr>
      <w:r>
        <w:rPr/>
        <w:br w:type="column"/>
      </w:r>
      <w:r>
        <w:rPr/>
        <w:t>申请人须填写保险金给付申请书，并提供下列证明和资料： (1)保险合同；</w:t>
      </w:r>
    </w:p>
    <w:p>
      <w:pPr>
        <w:pStyle w:val="BodyText"/>
        <w:spacing w:before="11"/>
        <w:ind w:left="260"/>
      </w:pPr>
      <w:r>
        <w:rPr/>
        <w:t>(2)申请人的有效身份证件；</w:t>
      </w:r>
    </w:p>
    <w:p>
      <w:pPr>
        <w:pStyle w:val="BodyText"/>
        <w:spacing w:line="278" w:lineRule="auto" w:before="45"/>
        <w:ind w:left="575" w:right="160" w:hanging="316"/>
      </w:pPr>
      <w:r>
        <w:rPr/>
        <w:t>(3)卫生行政部门认定的医疗机构、公安部门或其他相关机构出具的被保险人的死亡证明；</w:t>
      </w:r>
    </w:p>
    <w:p>
      <w:pPr>
        <w:pStyle w:val="BodyText"/>
        <w:spacing w:line="278" w:lineRule="auto" w:before="11"/>
        <w:ind w:left="260" w:right="175"/>
        <w:jc w:val="both"/>
      </w:pPr>
      <w:r>
        <w:rPr/>
        <w:t>(4)所能提供的与确认保险事故的性质、原因等有关的其他证明和资料。保险金作为被保险人遗产时，必须提供可证明合法继承权的相关权利文件。</w:t>
      </w:r>
    </w:p>
    <w:p>
      <w:pPr>
        <w:pStyle w:val="BodyText"/>
        <w:spacing w:line="280" w:lineRule="auto" w:before="153"/>
        <w:ind w:left="260" w:right="215"/>
      </w:pPr>
      <w:r>
        <w:rPr/>
        <w:t>以上各项保险金申请的证明和资料不完整的，我们将及时一次性通知申请人补充提供有关证明和资料。</w:t>
      </w:r>
    </w:p>
    <w:p>
      <w:pPr>
        <w:spacing w:after="0" w:line="280" w:lineRule="auto"/>
        <w:sectPr>
          <w:type w:val="continuous"/>
          <w:pgSz w:w="11910" w:h="16840"/>
          <w:pgMar w:top="1280" w:bottom="280" w:left="1180" w:right="1060"/>
          <w:cols w:num="2" w:equalWidth="0">
            <w:col w:w="2573" w:space="40"/>
            <w:col w:w="7057"/>
          </w:cols>
        </w:sectPr>
      </w:pPr>
    </w:p>
    <w:p>
      <w:pPr>
        <w:pStyle w:val="BodyText"/>
        <w:spacing w:before="11"/>
        <w:rPr>
          <w:sz w:val="8"/>
        </w:rPr>
      </w:pPr>
    </w:p>
    <w:p>
      <w:pPr>
        <w:pStyle w:val="ListParagraph"/>
        <w:numPr>
          <w:ilvl w:val="1"/>
          <w:numId w:val="4"/>
        </w:numPr>
        <w:tabs>
          <w:tab w:pos="1312" w:val="left" w:leader="none"/>
          <w:tab w:pos="1313" w:val="left" w:leader="none"/>
          <w:tab w:pos="2872" w:val="left" w:leader="none"/>
        </w:tabs>
        <w:spacing w:line="240" w:lineRule="auto" w:before="36" w:after="0"/>
        <w:ind w:left="2872" w:right="113" w:hanging="2772"/>
        <w:jc w:val="left"/>
        <w:rPr>
          <w:sz w:val="21"/>
        </w:rPr>
      </w:pPr>
      <w:r>
        <w:rPr>
          <w:rFonts w:ascii="黑体" w:eastAsia="黑体" w:hint="eastAsia"/>
          <w:sz w:val="21"/>
        </w:rPr>
        <w:t>保险金给付</w:t>
        <w:tab/>
      </w:r>
      <w:r>
        <w:rPr>
          <w:sz w:val="21"/>
        </w:rPr>
        <w:t>我们在收到保险金给付申请书及合同约定的证明和资料后，将在</w:t>
      </w:r>
      <w:r>
        <w:rPr>
          <w:spacing w:val="-21"/>
          <w:sz w:val="21"/>
        </w:rPr>
        <w:t> </w:t>
      </w:r>
      <w:r>
        <w:rPr>
          <w:sz w:val="21"/>
        </w:rPr>
        <w:t>5</w:t>
      </w:r>
      <w:r>
        <w:rPr>
          <w:spacing w:val="-22"/>
          <w:sz w:val="21"/>
        </w:rPr>
        <w:t> </w:t>
      </w:r>
      <w:r>
        <w:rPr>
          <w:sz w:val="21"/>
        </w:rPr>
        <w:t>个工作日内作出核定</w:t>
      </w:r>
      <w:r>
        <w:rPr>
          <w:spacing w:val="-51"/>
          <w:sz w:val="21"/>
        </w:rPr>
        <w:t>；</w:t>
      </w:r>
      <w:r>
        <w:rPr>
          <w:rFonts w:ascii="Microsoft JhengHei" w:eastAsia="Microsoft JhengHei" w:hint="eastAsia"/>
          <w:b/>
          <w:sz w:val="21"/>
        </w:rPr>
        <w:t>情形复杂</w:t>
      </w:r>
      <w:r>
        <w:rPr>
          <w:sz w:val="21"/>
        </w:rPr>
        <w:t>的</w:t>
      </w:r>
      <w:r>
        <w:rPr>
          <w:spacing w:val="-51"/>
          <w:sz w:val="21"/>
        </w:rPr>
        <w:t>，</w:t>
      </w:r>
      <w:r>
        <w:rPr>
          <w:sz w:val="21"/>
        </w:rPr>
        <w:t>在</w:t>
      </w:r>
      <w:r>
        <w:rPr>
          <w:spacing w:val="-53"/>
          <w:sz w:val="21"/>
        </w:rPr>
        <w:t> </w:t>
      </w:r>
      <w:r>
        <w:rPr>
          <w:sz w:val="21"/>
        </w:rPr>
        <w:t>30</w:t>
      </w:r>
      <w:r>
        <w:rPr>
          <w:spacing w:val="-53"/>
          <w:sz w:val="21"/>
        </w:rPr>
        <w:t> </w:t>
      </w:r>
      <w:r>
        <w:rPr>
          <w:sz w:val="21"/>
        </w:rPr>
        <w:t>日内作出核定</w:t>
      </w:r>
      <w:r>
        <w:rPr>
          <w:spacing w:val="-51"/>
          <w:sz w:val="21"/>
        </w:rPr>
        <w:t>。</w:t>
      </w:r>
      <w:r>
        <w:rPr>
          <w:sz w:val="21"/>
        </w:rPr>
        <w:t>对属于保险责任的， 我们在与受益人达成给付保险金的协议</w:t>
      </w:r>
      <w:r>
        <w:rPr>
          <w:spacing w:val="30"/>
          <w:sz w:val="21"/>
        </w:rPr>
        <w:t>后</w:t>
      </w:r>
      <w:r>
        <w:rPr>
          <w:sz w:val="21"/>
        </w:rPr>
        <w:t>10</w:t>
      </w:r>
      <w:r>
        <w:rPr>
          <w:spacing w:val="-76"/>
          <w:sz w:val="21"/>
        </w:rPr>
        <w:t> </w:t>
      </w:r>
      <w:r>
        <w:rPr>
          <w:sz w:val="21"/>
        </w:rPr>
        <w:t>日内</w:t>
      </w:r>
      <w:r>
        <w:rPr>
          <w:spacing w:val="-106"/>
          <w:sz w:val="21"/>
        </w:rPr>
        <w:t>，</w:t>
      </w:r>
      <w:r>
        <w:rPr>
          <w:sz w:val="21"/>
        </w:rPr>
        <w:t>履行给付保险金义务。</w:t>
      </w:r>
    </w:p>
    <w:p>
      <w:pPr>
        <w:pStyle w:val="BodyText"/>
        <w:spacing w:line="278" w:lineRule="auto" w:before="45"/>
        <w:ind w:left="2872" w:right="215"/>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80" w:lineRule="auto" w:before="11"/>
        <w:ind w:left="2872" w:right="217"/>
        <w:jc w:val="both"/>
      </w:pPr>
      <w:r>
        <w:rPr>
          <w:spacing w:val="-1"/>
        </w:rPr>
        <w:t>对不属于保险责任的，我们自作出核定之日起 </w:t>
      </w:r>
      <w:r>
        <w:rPr/>
        <w:t>3</w:t>
      </w:r>
      <w:r>
        <w:rPr>
          <w:spacing w:val="-5"/>
        </w:rPr>
        <w:t> 日内向受益人发出拒绝给付保险金通知书并说明理由。</w:t>
      </w:r>
    </w:p>
    <w:p>
      <w:pPr>
        <w:pStyle w:val="BodyText"/>
        <w:spacing w:line="280" w:lineRule="auto" w:before="8"/>
        <w:ind w:left="2872" w:right="215"/>
        <w:jc w:val="both"/>
      </w:pPr>
      <w:r>
        <w:rPr>
          <w:spacing w:val="-3"/>
        </w:rPr>
        <w:t>我们在收到保险金给付申请书及有关证明和资料之日起 </w:t>
      </w:r>
      <w:r>
        <w:rPr/>
        <w:t>60</w:t>
      </w:r>
      <w:r>
        <w:rPr>
          <w:spacing w:val="-18"/>
        </w:rPr>
        <w:t> 日内，对给付保险金的数额不能确定的，根据已有证明和资料可以确定的数额先予支</w:t>
      </w:r>
    </w:p>
    <w:p>
      <w:pPr>
        <w:spacing w:after="0" w:line="280" w:lineRule="auto"/>
        <w:jc w:val="both"/>
        <w:sectPr>
          <w:type w:val="continuous"/>
          <w:pgSz w:w="11910" w:h="16840"/>
          <w:pgMar w:top="1280" w:bottom="280" w:left="1180" w:right="10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965"/>
        <w:gridCol w:w="6723"/>
      </w:tblGrid>
      <w:tr>
        <w:trPr>
          <w:trHeight w:val="726" w:hRule="atLeast"/>
        </w:trPr>
        <w:tc>
          <w:tcPr>
            <w:tcW w:w="872" w:type="dxa"/>
          </w:tcPr>
          <w:p>
            <w:pPr>
              <w:pStyle w:val="TableParagraph"/>
              <w:spacing w:before="11"/>
              <w:ind w:left="0"/>
              <w:rPr>
                <w:sz w:val="29"/>
              </w:rPr>
            </w:pPr>
          </w:p>
          <w:p>
            <w:pPr>
              <w:pStyle w:val="TableParagraph"/>
              <w:ind w:left="108"/>
              <w:rPr>
                <w:rFonts w:ascii="黑体"/>
                <w:sz w:val="21"/>
              </w:rPr>
            </w:pPr>
            <w:r>
              <w:rPr>
                <w:rFonts w:ascii="黑体"/>
                <w:sz w:val="21"/>
              </w:rPr>
              <w:t>3.4</w:t>
            </w:r>
          </w:p>
        </w:tc>
        <w:tc>
          <w:tcPr>
            <w:tcW w:w="1965" w:type="dxa"/>
          </w:tcPr>
          <w:p>
            <w:pPr>
              <w:pStyle w:val="TableParagraph"/>
              <w:spacing w:before="11"/>
              <w:ind w:left="0"/>
              <w:rPr>
                <w:sz w:val="29"/>
              </w:rPr>
            </w:pPr>
          </w:p>
          <w:p>
            <w:pPr>
              <w:pStyle w:val="TableParagraph"/>
              <w:ind w:left="447"/>
              <w:rPr>
                <w:rFonts w:ascii="黑体" w:eastAsia="黑体" w:hint="eastAsia"/>
                <w:sz w:val="21"/>
              </w:rPr>
            </w:pPr>
            <w:r>
              <w:rPr>
                <w:rFonts w:ascii="黑体" w:eastAsia="黑体" w:hint="eastAsia"/>
                <w:sz w:val="21"/>
              </w:rPr>
              <w:t>诉讼时效</w:t>
            </w:r>
          </w:p>
        </w:tc>
        <w:tc>
          <w:tcPr>
            <w:tcW w:w="6723" w:type="dxa"/>
          </w:tcPr>
          <w:p>
            <w:pPr>
              <w:pStyle w:val="TableParagraph"/>
              <w:spacing w:line="204" w:lineRule="exact"/>
              <w:ind w:left="43"/>
              <w:rPr>
                <w:sz w:val="21"/>
              </w:rPr>
            </w:pPr>
            <w:r>
              <w:rPr>
                <w:sz w:val="21"/>
              </w:rPr>
              <w:t>付；我们最终确定给付保险金的数额后，将支付相应的差额。</w:t>
            </w:r>
          </w:p>
          <w:p>
            <w:pPr>
              <w:pStyle w:val="TableParagraph"/>
              <w:spacing w:before="3"/>
              <w:ind w:left="0"/>
              <w:rPr>
                <w:sz w:val="14"/>
              </w:rPr>
            </w:pPr>
          </w:p>
          <w:p>
            <w:pPr>
              <w:pStyle w:val="TableParagraph"/>
              <w:spacing w:before="1"/>
              <w:ind w:left="43"/>
              <w:rPr>
                <w:sz w:val="21"/>
              </w:rPr>
            </w:pPr>
            <w:r>
              <w:rPr>
                <w:sz w:val="21"/>
              </w:rPr>
              <w:t>受益人向我们请求给付保险金的诉讼时效期间为 2 年，自其知道或应当</w:t>
            </w:r>
          </w:p>
        </w:tc>
      </w:tr>
      <w:tr>
        <w:trPr>
          <w:trHeight w:val="441" w:hRule="atLeast"/>
        </w:trPr>
        <w:tc>
          <w:tcPr>
            <w:tcW w:w="872" w:type="dxa"/>
          </w:tcPr>
          <w:p>
            <w:pPr>
              <w:pStyle w:val="TableParagraph"/>
              <w:ind w:left="0"/>
              <w:rPr>
                <w:rFonts w:ascii="Times New Roman"/>
                <w:sz w:val="20"/>
              </w:rPr>
            </w:pPr>
          </w:p>
        </w:tc>
        <w:tc>
          <w:tcPr>
            <w:tcW w:w="1965" w:type="dxa"/>
          </w:tcPr>
          <w:p>
            <w:pPr>
              <w:pStyle w:val="TableParagraph"/>
              <w:ind w:left="0"/>
              <w:rPr>
                <w:rFonts w:ascii="Times New Roman"/>
                <w:sz w:val="20"/>
              </w:rPr>
            </w:pPr>
          </w:p>
        </w:tc>
        <w:tc>
          <w:tcPr>
            <w:tcW w:w="6723" w:type="dxa"/>
          </w:tcPr>
          <w:p>
            <w:pPr>
              <w:pStyle w:val="TableParagraph"/>
              <w:spacing w:line="258" w:lineRule="exact"/>
              <w:ind w:left="43"/>
              <w:rPr>
                <w:sz w:val="21"/>
              </w:rPr>
            </w:pPr>
            <w:r>
              <w:rPr>
                <w:sz w:val="21"/>
              </w:rPr>
              <w:t>知道保险事故发生之日起计算。</w:t>
            </w:r>
          </w:p>
        </w:tc>
      </w:tr>
      <w:tr>
        <w:trPr>
          <w:trHeight w:val="311" w:hRule="atLeast"/>
        </w:trPr>
        <w:tc>
          <w:tcPr>
            <w:tcW w:w="872"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965" w:type="dxa"/>
            <w:shd w:val="clear" w:color="auto" w:fill="D3D3D3"/>
          </w:tcPr>
          <w:p>
            <w:pPr>
              <w:pStyle w:val="TableParagraph"/>
              <w:spacing w:before="4"/>
              <w:rPr>
                <w:rFonts w:ascii="黑体" w:eastAsia="黑体" w:hint="eastAsia"/>
                <w:b/>
                <w:sz w:val="21"/>
              </w:rPr>
            </w:pPr>
            <w:r>
              <w:rPr>
                <w:rFonts w:ascii="黑体" w:eastAsia="黑体" w:hint="eastAsia"/>
                <w:b/>
                <w:w w:val="95"/>
                <w:sz w:val="21"/>
              </w:rPr>
              <w:t>保险费的支付</w:t>
            </w:r>
          </w:p>
        </w:tc>
        <w:tc>
          <w:tcPr>
            <w:tcW w:w="6723" w:type="dxa"/>
            <w:shd w:val="clear" w:color="auto" w:fill="D3D3D3"/>
          </w:tcPr>
          <w:p>
            <w:pPr>
              <w:pStyle w:val="TableParagraph"/>
              <w:ind w:left="0"/>
              <w:rPr>
                <w:rFonts w:ascii="Times New Roman"/>
                <w:sz w:val="20"/>
              </w:rPr>
            </w:pPr>
          </w:p>
        </w:tc>
      </w:tr>
      <w:tr>
        <w:trPr>
          <w:trHeight w:val="873" w:hRule="atLeast"/>
        </w:trPr>
        <w:tc>
          <w:tcPr>
            <w:tcW w:w="872" w:type="dxa"/>
          </w:tcPr>
          <w:p>
            <w:pPr>
              <w:pStyle w:val="TableParagraph"/>
              <w:spacing w:before="146"/>
              <w:ind w:left="108"/>
              <w:rPr>
                <w:rFonts w:ascii="黑体"/>
                <w:sz w:val="21"/>
              </w:rPr>
            </w:pPr>
            <w:r>
              <w:rPr>
                <w:rFonts w:ascii="黑体"/>
                <w:sz w:val="21"/>
              </w:rPr>
              <w:t>4.1</w:t>
            </w:r>
          </w:p>
        </w:tc>
        <w:tc>
          <w:tcPr>
            <w:tcW w:w="1965" w:type="dxa"/>
          </w:tcPr>
          <w:p>
            <w:pPr>
              <w:pStyle w:val="TableParagraph"/>
              <w:spacing w:before="146"/>
              <w:rPr>
                <w:rFonts w:ascii="黑体" w:eastAsia="黑体" w:hint="eastAsia"/>
                <w:sz w:val="21"/>
              </w:rPr>
            </w:pPr>
            <w:r>
              <w:rPr>
                <w:rFonts w:ascii="黑体" w:eastAsia="黑体" w:hint="eastAsia"/>
                <w:sz w:val="21"/>
              </w:rPr>
              <w:t>保险费的支付</w:t>
            </w:r>
          </w:p>
        </w:tc>
        <w:tc>
          <w:tcPr>
            <w:tcW w:w="6723" w:type="dxa"/>
          </w:tcPr>
          <w:p>
            <w:pPr>
              <w:pStyle w:val="TableParagraph"/>
              <w:spacing w:line="278" w:lineRule="auto" w:before="146"/>
              <w:ind w:left="43" w:right="103"/>
              <w:rPr>
                <w:sz w:val="21"/>
              </w:rPr>
            </w:pPr>
            <w:r>
              <w:rPr>
                <w:sz w:val="21"/>
              </w:rPr>
              <w:t>本附加险合同保险费的交费方式、交费期间及保险费约定支付日与主险合同一致。</w:t>
            </w:r>
          </w:p>
        </w:tc>
      </w:tr>
      <w:tr>
        <w:trPr>
          <w:trHeight w:val="2432" w:hRule="atLeast"/>
        </w:trPr>
        <w:tc>
          <w:tcPr>
            <w:tcW w:w="872" w:type="dxa"/>
          </w:tcPr>
          <w:p>
            <w:pPr>
              <w:pStyle w:val="TableParagraph"/>
              <w:spacing w:before="54"/>
              <w:ind w:left="108"/>
              <w:rPr>
                <w:rFonts w:ascii="黑体"/>
                <w:sz w:val="21"/>
              </w:rPr>
            </w:pPr>
            <w:r>
              <w:rPr>
                <w:rFonts w:ascii="黑体"/>
                <w:sz w:val="21"/>
              </w:rPr>
              <w:t>4.2</w:t>
            </w:r>
          </w:p>
        </w:tc>
        <w:tc>
          <w:tcPr>
            <w:tcW w:w="1965" w:type="dxa"/>
          </w:tcPr>
          <w:p>
            <w:pPr>
              <w:pStyle w:val="TableParagraph"/>
              <w:spacing w:line="280" w:lineRule="auto" w:before="54"/>
              <w:ind w:right="255"/>
              <w:rPr>
                <w:rFonts w:ascii="黑体" w:eastAsia="黑体" w:hint="eastAsia"/>
                <w:sz w:val="21"/>
              </w:rPr>
            </w:pPr>
            <w:r>
              <w:rPr>
                <w:rFonts w:ascii="黑体" w:eastAsia="黑体" w:hint="eastAsia"/>
                <w:sz w:val="21"/>
              </w:rPr>
              <w:t>保险费率的调整</w:t>
            </w:r>
          </w:p>
        </w:tc>
        <w:tc>
          <w:tcPr>
            <w:tcW w:w="6723" w:type="dxa"/>
          </w:tcPr>
          <w:p>
            <w:pPr>
              <w:pStyle w:val="TableParagraph"/>
              <w:spacing w:line="280" w:lineRule="auto" w:before="54"/>
              <w:ind w:left="43" w:right="103"/>
              <w:jc w:val="both"/>
              <w:rPr>
                <w:sz w:val="21"/>
              </w:rPr>
            </w:pPr>
            <w:r>
              <w:rPr>
                <w:sz w:val="21"/>
              </w:rPr>
              <w:t>当我们厘定费率时采用的预定疾病发生率与实际疾病发生率发生偏离， 足以影响保险费率水平的，我们将调整保险费率。保险费率的调整针对所有被保险人或同一投保年龄的所有被保险人。</w:t>
            </w:r>
          </w:p>
          <w:p>
            <w:pPr>
              <w:pStyle w:val="TableParagraph"/>
              <w:spacing w:line="280" w:lineRule="auto" w:before="8"/>
              <w:ind w:left="43" w:right="103"/>
              <w:jc w:val="both"/>
              <w:rPr>
                <w:sz w:val="21"/>
              </w:rPr>
            </w:pPr>
            <w:r>
              <w:rPr>
                <w:sz w:val="21"/>
              </w:rPr>
              <w:t>我们调整保险费率后，您应按调整后的保险费率支付续期保险费，保险费率调整前您已支付的保险费不受影响。</w:t>
            </w:r>
          </w:p>
          <w:p>
            <w:pPr>
              <w:pStyle w:val="TableParagraph"/>
              <w:spacing w:line="278" w:lineRule="auto" w:before="10"/>
              <w:ind w:left="43" w:right="103"/>
              <w:jc w:val="both"/>
              <w:rPr>
                <w:sz w:val="21"/>
              </w:rPr>
            </w:pPr>
            <w:r>
              <w:rPr>
                <w:sz w:val="21"/>
              </w:rPr>
              <w:t>我们调整保险费率的，将及时通知您。您不接受保险费率调整的，可按本附加险条款“5.2 您解除合同的手续及风险”的约定申请解除合同。</w:t>
            </w:r>
          </w:p>
        </w:tc>
      </w:tr>
      <w:tr>
        <w:trPr>
          <w:trHeight w:val="311" w:hRule="atLeast"/>
        </w:trPr>
        <w:tc>
          <w:tcPr>
            <w:tcW w:w="872"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965" w:type="dxa"/>
            <w:shd w:val="clear" w:color="auto" w:fill="D3D3D3"/>
          </w:tcPr>
          <w:p>
            <w:pPr>
              <w:pStyle w:val="TableParagraph"/>
              <w:spacing w:before="4"/>
              <w:rPr>
                <w:rFonts w:ascii="黑体" w:eastAsia="黑体" w:hint="eastAsia"/>
                <w:b/>
                <w:sz w:val="21"/>
              </w:rPr>
            </w:pPr>
            <w:r>
              <w:rPr>
                <w:rFonts w:ascii="黑体" w:eastAsia="黑体" w:hint="eastAsia"/>
                <w:b/>
                <w:w w:val="95"/>
                <w:sz w:val="21"/>
              </w:rPr>
              <w:t>合同终止与解除</w:t>
            </w:r>
          </w:p>
        </w:tc>
        <w:tc>
          <w:tcPr>
            <w:tcW w:w="6723" w:type="dxa"/>
            <w:shd w:val="clear" w:color="auto" w:fill="D3D3D3"/>
          </w:tcPr>
          <w:p>
            <w:pPr>
              <w:pStyle w:val="TableParagraph"/>
              <w:ind w:left="0"/>
              <w:rPr>
                <w:rFonts w:ascii="Times New Roman"/>
                <w:sz w:val="20"/>
              </w:rPr>
            </w:pPr>
          </w:p>
        </w:tc>
      </w:tr>
      <w:tr>
        <w:trPr>
          <w:trHeight w:val="1193" w:hRule="atLeast"/>
        </w:trPr>
        <w:tc>
          <w:tcPr>
            <w:tcW w:w="872" w:type="dxa"/>
          </w:tcPr>
          <w:p>
            <w:pPr>
              <w:pStyle w:val="TableParagraph"/>
              <w:spacing w:before="146"/>
              <w:ind w:left="108"/>
              <w:rPr>
                <w:rFonts w:ascii="黑体"/>
                <w:sz w:val="21"/>
              </w:rPr>
            </w:pPr>
            <w:r>
              <w:rPr>
                <w:rFonts w:ascii="黑体"/>
                <w:sz w:val="21"/>
              </w:rPr>
              <w:t>5.1</w:t>
            </w:r>
          </w:p>
        </w:tc>
        <w:tc>
          <w:tcPr>
            <w:tcW w:w="1965" w:type="dxa"/>
          </w:tcPr>
          <w:p>
            <w:pPr>
              <w:pStyle w:val="TableParagraph"/>
              <w:spacing w:before="146"/>
              <w:rPr>
                <w:rFonts w:ascii="黑体" w:eastAsia="黑体" w:hint="eastAsia"/>
                <w:sz w:val="21"/>
              </w:rPr>
            </w:pPr>
            <w:r>
              <w:rPr>
                <w:rFonts w:ascii="黑体" w:eastAsia="黑体" w:hint="eastAsia"/>
                <w:sz w:val="21"/>
              </w:rPr>
              <w:t>合同终止</w:t>
            </w:r>
          </w:p>
        </w:tc>
        <w:tc>
          <w:tcPr>
            <w:tcW w:w="6723" w:type="dxa"/>
          </w:tcPr>
          <w:p>
            <w:pPr>
              <w:pStyle w:val="TableParagraph"/>
              <w:spacing w:line="278" w:lineRule="auto" w:before="146"/>
              <w:ind w:left="43" w:right="2267"/>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872" w:type="dxa"/>
          </w:tcPr>
          <w:p>
            <w:pPr>
              <w:pStyle w:val="TableParagraph"/>
              <w:spacing w:before="54"/>
              <w:ind w:left="108"/>
              <w:rPr>
                <w:rFonts w:ascii="黑体"/>
                <w:sz w:val="21"/>
              </w:rPr>
            </w:pPr>
            <w:r>
              <w:rPr>
                <w:rFonts w:ascii="黑体"/>
                <w:sz w:val="21"/>
              </w:rPr>
              <w:t>5.2</w:t>
            </w:r>
          </w:p>
        </w:tc>
        <w:tc>
          <w:tcPr>
            <w:tcW w:w="1965" w:type="dxa"/>
          </w:tcPr>
          <w:p>
            <w:pPr>
              <w:pStyle w:val="TableParagraph"/>
              <w:spacing w:line="280" w:lineRule="auto" w:before="54"/>
              <w:ind w:right="255"/>
              <w:rPr>
                <w:rFonts w:ascii="黑体" w:eastAsia="黑体" w:hint="eastAsia"/>
                <w:sz w:val="21"/>
              </w:rPr>
            </w:pPr>
            <w:r>
              <w:rPr>
                <w:rFonts w:ascii="黑体" w:eastAsia="黑体" w:hint="eastAsia"/>
                <w:sz w:val="21"/>
              </w:rPr>
              <w:t>您解除合同的手续及风险</w:t>
            </w:r>
          </w:p>
        </w:tc>
        <w:tc>
          <w:tcPr>
            <w:tcW w:w="6723" w:type="dxa"/>
          </w:tcPr>
          <w:p>
            <w:pPr>
              <w:pStyle w:val="TableParagraph"/>
              <w:spacing w:line="280" w:lineRule="auto" w:before="54"/>
              <w:ind w:left="43" w:right="103"/>
              <w:rPr>
                <w:sz w:val="21"/>
              </w:rPr>
            </w:pPr>
            <w:r>
              <w:rPr>
                <w:sz w:val="21"/>
              </w:rPr>
              <w:t>如您在犹豫期后申请解除本附加险合同，请填写解除合同申请书并向我们提供下列资料：</w:t>
            </w:r>
          </w:p>
          <w:p>
            <w:pPr>
              <w:pStyle w:val="TableParagraph"/>
              <w:spacing w:line="280" w:lineRule="auto" w:before="8"/>
              <w:ind w:left="43" w:right="4473"/>
              <w:rPr>
                <w:sz w:val="21"/>
              </w:rPr>
            </w:pPr>
            <w:r>
              <w:rPr>
                <w:sz w:val="21"/>
              </w:rPr>
              <w:t>(1)保险合同；      </w:t>
            </w:r>
            <w:r>
              <w:rPr>
                <w:spacing w:val="-1"/>
                <w:sz w:val="21"/>
              </w:rPr>
              <w:t>(2)您的有效身份证件。</w:t>
            </w:r>
          </w:p>
          <w:p>
            <w:pPr>
              <w:pStyle w:val="TableParagraph"/>
              <w:spacing w:line="278" w:lineRule="auto" w:before="10"/>
              <w:ind w:left="43" w:right="103"/>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43"/>
              <w:rPr>
                <w:sz w:val="21"/>
              </w:rPr>
            </w:pPr>
            <w:r>
              <w:rPr>
                <w:sz w:val="21"/>
              </w:rPr>
              <w:t>您犹豫期后解除合同会遭受一定损失。</w:t>
            </w:r>
          </w:p>
        </w:tc>
      </w:tr>
    </w:tbl>
    <w:p>
      <w:pPr>
        <w:pStyle w:val="BodyText"/>
        <w:spacing w:before="2"/>
        <w:rPr>
          <w:sz w:val="11"/>
        </w:rPr>
      </w:pPr>
      <w:r>
        <w:rPr/>
        <w:pict>
          <v:shape style="position:absolute;margin-left:58.619999pt;margin-top:8.521pt;width:478.05pt;height:15.6pt;mso-position-horizontal-relative:page;mso-position-vertical-relative:paragraph;z-index:1144;mso-wrap-distance-left:0;mso-wrap-distance-right:0" type="#_x0000_t202" filled="true" fillcolor="#d3d3d3" stroked="false">
            <v:textbox inset="0,0,0,0">
              <w:txbxContent>
                <w:p>
                  <w:pPr>
                    <w:tabs>
                      <w:tab w:pos="1319"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432" w:val="left" w:leader="none"/>
          <w:tab w:pos="2992" w:val="left" w:leader="none"/>
        </w:tabs>
        <w:spacing w:line="280" w:lineRule="auto"/>
        <w:ind w:left="2992" w:right="215" w:hanging="2772"/>
      </w:pPr>
      <w:r>
        <w:rPr>
          <w:rFonts w:ascii="黑体" w:eastAsia="黑体" w:hint="eastAsia"/>
        </w:rPr>
        <w:t>6.1</w:t>
        <w:tab/>
        <w:t>年龄错误</w:t>
        <w:tab/>
      </w:r>
      <w:r>
        <w:rPr/>
        <w:t>您在申请投保时，应将与有效身份证件相符的被保险人的出生日期在投 保单上填明，如果发生错误按照下列方式办理：</w:t>
      </w:r>
    </w:p>
    <w:p>
      <w:pPr>
        <w:pStyle w:val="BodyText"/>
        <w:spacing w:line="278" w:lineRule="auto" w:before="9"/>
        <w:ind w:left="3308" w:right="215" w:hanging="316"/>
        <w:jc w:val="both"/>
      </w:pPr>
      <w:r>
        <w:rPr>
          <w:spacing w:val="-1"/>
        </w:rPr>
        <w:t>(1)</w:t>
      </w:r>
      <w:r>
        <w:rPr>
          <w:spacing w:val="-4"/>
        </w:rPr>
        <w:t>您申报的被保险人年龄不真实，并且其真实年龄不符合本附加险合同</w:t>
      </w:r>
      <w:r>
        <w:rPr>
          <w:spacing w:val="-7"/>
        </w:rPr>
        <w:t>约定投保年龄限制的，在保险事故发生之前我们有权解除合同，并向</w:t>
      </w:r>
      <w:r>
        <w:rPr>
          <w:spacing w:val="-9"/>
        </w:rPr>
        <w:t>您退还本附加险合同保险单的现金价值。本条规定的合同解除权，自</w:t>
      </w:r>
      <w:r>
        <w:rPr>
          <w:spacing w:val="-10"/>
        </w:rPr>
        <w:t>我们知道有解除事由之日起，超过 </w:t>
      </w:r>
      <w:r>
        <w:rPr/>
        <w:t>30</w:t>
      </w:r>
      <w:r>
        <w:rPr>
          <w:spacing w:val="-5"/>
        </w:rPr>
        <w:t> 日不行使而消灭。自本附加险</w:t>
      </w:r>
    </w:p>
    <w:p>
      <w:pPr>
        <w:pStyle w:val="BodyText"/>
        <w:spacing w:line="280" w:lineRule="auto" w:before="10"/>
        <w:ind w:left="3308" w:right="174"/>
      </w:pPr>
      <w:r>
        <w:rPr>
          <w:spacing w:val="-6"/>
        </w:rPr>
        <w:t>合同成立之日起超过 </w:t>
      </w:r>
      <w:r>
        <w:rPr/>
        <w:t>2</w:t>
      </w:r>
      <w:r>
        <w:rPr>
          <w:spacing w:val="-8"/>
        </w:rPr>
        <w:t> 年的，我们不得解除合同；发生保险事故的， 我们承担保险责任。</w:t>
      </w:r>
    </w:p>
    <w:p>
      <w:pPr>
        <w:pStyle w:val="BodyText"/>
        <w:spacing w:line="278" w:lineRule="auto" w:before="9"/>
        <w:ind w:left="3308" w:right="211" w:hanging="316"/>
        <w:jc w:val="both"/>
      </w:pPr>
      <w:r>
        <w:rPr/>
        <w:t>(2</w:t>
      </w:r>
      <w:r>
        <w:rPr>
          <w:spacing w:val="1"/>
        </w:rPr>
        <w:t>)您申报的被保险人年龄不真实，致使您实付保险费少于应付保险费</w:t>
      </w:r>
      <w:r>
        <w:rPr>
          <w:spacing w:val="-6"/>
        </w:rPr>
        <w:t>的，我们有权更正并要求您补交保险费。若已经发生保险事故，在给付保险金时按实付保险费和应付保险费的比例给付。</w:t>
      </w:r>
    </w:p>
    <w:p>
      <w:pPr>
        <w:pStyle w:val="BodyText"/>
        <w:spacing w:line="278" w:lineRule="auto" w:before="11"/>
        <w:ind w:left="3308" w:right="211" w:hanging="316"/>
        <w:jc w:val="both"/>
      </w:pPr>
      <w:r>
        <w:rPr/>
        <w:t>(3)您申报的被保险人年龄不真实，致使您实付保险费多于应付保险费的，我们会将多收的保险费退还给您。</w:t>
      </w:r>
    </w:p>
    <w:p>
      <w:pPr>
        <w:pStyle w:val="BodyText"/>
        <w:spacing w:before="11"/>
        <w:ind w:left="2992"/>
      </w:pPr>
      <w:r>
        <w:rPr/>
        <w:t>(4)您申报的被保险人年龄不真实，致使本附加险合同保险单的现金价值</w:t>
      </w:r>
    </w:p>
    <w:p>
      <w:pPr>
        <w:spacing w:after="0"/>
        <w:sectPr>
          <w:pgSz w:w="11910" w:h="16840"/>
          <w:pgMar w:top="1500" w:bottom="280" w:left="1060" w:right="1060"/>
        </w:sectPr>
      </w:pPr>
    </w:p>
    <w:p>
      <w:pPr>
        <w:pStyle w:val="BodyText"/>
        <w:spacing w:before="8"/>
        <w:ind w:left="3308"/>
      </w:pPr>
      <w:r>
        <w:rPr/>
        <w:t>与实际不符的，我们有权根据被保险人的实际年龄调整。</w:t>
      </w:r>
    </w:p>
    <w:p>
      <w:pPr>
        <w:pStyle w:val="BodyText"/>
        <w:spacing w:before="2"/>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857"/>
        <w:gridCol w:w="6830"/>
      </w:tblGrid>
      <w:tr>
        <w:trPr>
          <w:trHeight w:val="4226" w:hRule="atLeast"/>
        </w:trPr>
        <w:tc>
          <w:tcPr>
            <w:tcW w:w="872" w:type="dxa"/>
          </w:tcPr>
          <w:p>
            <w:pPr>
              <w:pStyle w:val="TableParagraph"/>
              <w:spacing w:line="210" w:lineRule="exact"/>
              <w:ind w:left="107"/>
              <w:rPr>
                <w:rFonts w:ascii="黑体"/>
                <w:sz w:val="21"/>
              </w:rPr>
            </w:pPr>
            <w:r>
              <w:rPr>
                <w:rFonts w:ascii="黑体"/>
                <w:sz w:val="21"/>
              </w:rPr>
              <w:t>6.2</w:t>
            </w:r>
          </w:p>
        </w:tc>
        <w:tc>
          <w:tcPr>
            <w:tcW w:w="1857" w:type="dxa"/>
          </w:tcPr>
          <w:p>
            <w:pPr>
              <w:pStyle w:val="TableParagraph"/>
              <w:spacing w:line="210" w:lineRule="exact"/>
              <w:rPr>
                <w:rFonts w:ascii="黑体" w:eastAsia="黑体" w:hint="eastAsia"/>
                <w:sz w:val="21"/>
              </w:rPr>
            </w:pPr>
            <w:r>
              <w:rPr>
                <w:rFonts w:ascii="黑体" w:eastAsia="黑体" w:hint="eastAsia"/>
                <w:sz w:val="21"/>
              </w:rPr>
              <w:t>适用主险合同</w:t>
            </w:r>
          </w:p>
          <w:p>
            <w:pPr>
              <w:pStyle w:val="TableParagraph"/>
              <w:spacing w:before="44"/>
              <w:ind w:left="447"/>
              <w:rPr>
                <w:rFonts w:ascii="黑体" w:eastAsia="黑体" w:hint="eastAsia"/>
                <w:sz w:val="21"/>
              </w:rPr>
            </w:pPr>
            <w:r>
              <w:rPr>
                <w:rFonts w:ascii="黑体" w:eastAsia="黑体" w:hint="eastAsia"/>
                <w:sz w:val="21"/>
              </w:rPr>
              <w:t>条款</w:t>
            </w:r>
          </w:p>
        </w:tc>
        <w:tc>
          <w:tcPr>
            <w:tcW w:w="6830" w:type="dxa"/>
          </w:tcPr>
          <w:p>
            <w:pPr>
              <w:pStyle w:val="TableParagraph"/>
              <w:spacing w:line="210" w:lineRule="exact"/>
              <w:ind w:left="150"/>
              <w:rPr>
                <w:sz w:val="21"/>
              </w:rPr>
            </w:pPr>
            <w:r>
              <w:rPr>
                <w:sz w:val="21"/>
              </w:rPr>
              <w:t>下列事项，适用主险合同条款：</w:t>
            </w:r>
          </w:p>
          <w:p>
            <w:pPr>
              <w:pStyle w:val="TableParagraph"/>
              <w:spacing w:line="278" w:lineRule="auto" w:before="44"/>
              <w:ind w:left="150" w:right="4262"/>
              <w:rPr>
                <w:sz w:val="21"/>
              </w:rPr>
            </w:pPr>
            <w:r>
              <w:rPr>
                <w:sz w:val="21"/>
              </w:rPr>
              <w:t>(1)犹豫期；          (2)保险事故通知；    (3)宣告死亡处理；    (4)宽限期；          (5)效力中止；        (6)效力恢复；        </w:t>
            </w:r>
            <w:r>
              <w:rPr>
                <w:spacing w:val="-1"/>
                <w:sz w:val="21"/>
              </w:rPr>
              <w:t>(7)明确说明与如实告知；</w:t>
            </w:r>
          </w:p>
          <w:p>
            <w:pPr>
              <w:pStyle w:val="TableParagraph"/>
              <w:spacing w:line="278" w:lineRule="auto" w:before="11"/>
              <w:ind w:left="150" w:right="4052"/>
              <w:rPr>
                <w:sz w:val="21"/>
              </w:rPr>
            </w:pPr>
            <w:r>
              <w:rPr>
                <w:spacing w:val="-1"/>
                <w:sz w:val="21"/>
              </w:rPr>
              <w:t>(8)</w:t>
            </w:r>
            <w:r>
              <w:rPr>
                <w:sz w:val="21"/>
              </w:rPr>
              <w:t>我们合同解除权的限制； (9)未还款项；         (10)联系方式变更；    (11)合同内容变更；    (12)争议处理。</w:t>
            </w:r>
          </w:p>
        </w:tc>
      </w:tr>
      <w:tr>
        <w:trPr>
          <w:trHeight w:val="311" w:hRule="atLeast"/>
        </w:trPr>
        <w:tc>
          <w:tcPr>
            <w:tcW w:w="872"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7．</w:t>
            </w:r>
          </w:p>
        </w:tc>
        <w:tc>
          <w:tcPr>
            <w:tcW w:w="1857" w:type="dxa"/>
            <w:shd w:val="clear" w:color="auto" w:fill="D3D3D3"/>
          </w:tcPr>
          <w:p>
            <w:pPr>
              <w:pStyle w:val="TableParagraph"/>
              <w:spacing w:before="10"/>
              <w:rPr>
                <w:rFonts w:ascii="黑体" w:eastAsia="黑体" w:hint="eastAsia"/>
                <w:b/>
                <w:sz w:val="21"/>
              </w:rPr>
            </w:pPr>
            <w:r>
              <w:rPr>
                <w:rFonts w:ascii="黑体" w:eastAsia="黑体" w:hint="eastAsia"/>
                <w:b/>
                <w:sz w:val="21"/>
              </w:rPr>
              <w:t>疾病定义</w:t>
            </w:r>
          </w:p>
        </w:tc>
        <w:tc>
          <w:tcPr>
            <w:tcW w:w="6830" w:type="dxa"/>
            <w:shd w:val="clear" w:color="auto" w:fill="D3D3D3"/>
          </w:tcPr>
          <w:p>
            <w:pPr>
              <w:pStyle w:val="TableParagraph"/>
              <w:ind w:left="0"/>
              <w:rPr>
                <w:rFonts w:ascii="Times New Roman"/>
                <w:sz w:val="20"/>
              </w:rPr>
            </w:pPr>
          </w:p>
        </w:tc>
      </w:tr>
      <w:tr>
        <w:trPr>
          <w:trHeight w:val="873" w:hRule="atLeast"/>
        </w:trPr>
        <w:tc>
          <w:tcPr>
            <w:tcW w:w="872" w:type="dxa"/>
          </w:tcPr>
          <w:p>
            <w:pPr>
              <w:pStyle w:val="TableParagraph"/>
              <w:spacing w:before="152"/>
              <w:ind w:left="107"/>
              <w:rPr>
                <w:rFonts w:ascii="黑体"/>
                <w:sz w:val="21"/>
              </w:rPr>
            </w:pPr>
            <w:r>
              <w:rPr>
                <w:rFonts w:ascii="黑体"/>
                <w:sz w:val="21"/>
              </w:rPr>
              <w:t>7.1</w:t>
            </w:r>
          </w:p>
        </w:tc>
        <w:tc>
          <w:tcPr>
            <w:tcW w:w="1857" w:type="dxa"/>
          </w:tcPr>
          <w:p>
            <w:pPr>
              <w:pStyle w:val="TableParagraph"/>
              <w:spacing w:before="152"/>
              <w:rPr>
                <w:rFonts w:ascii="黑体" w:eastAsia="黑体" w:hint="eastAsia"/>
                <w:sz w:val="21"/>
              </w:rPr>
            </w:pPr>
            <w:r>
              <w:rPr>
                <w:rFonts w:ascii="黑体" w:eastAsia="黑体" w:hint="eastAsia"/>
                <w:sz w:val="21"/>
              </w:rPr>
              <w:t>疾病定义</w:t>
            </w:r>
          </w:p>
        </w:tc>
        <w:tc>
          <w:tcPr>
            <w:tcW w:w="6830" w:type="dxa"/>
          </w:tcPr>
          <w:p>
            <w:pPr>
              <w:pStyle w:val="TableParagraph"/>
              <w:spacing w:line="225" w:lineRule="auto" w:before="168"/>
              <w:ind w:left="150" w:right="102"/>
              <w:rPr>
                <w:sz w:val="21"/>
              </w:rPr>
            </w:pPr>
            <w:r>
              <w:rPr>
                <w:sz w:val="21"/>
              </w:rPr>
              <w:t>本附加险合同所保障的疾病，是指被保险人在主险合同有效且本附加险合同有效期间内经</w:t>
            </w:r>
            <w:r>
              <w:rPr>
                <w:rFonts w:ascii="Microsoft JhengHei" w:eastAsia="Microsoft JhengHei" w:hint="eastAsia"/>
                <w:b/>
                <w:sz w:val="21"/>
              </w:rPr>
              <w:t>专科医生</w:t>
            </w:r>
            <w:r>
              <w:rPr>
                <w:sz w:val="21"/>
              </w:rPr>
              <w:t>明确诊断初次患下列疾病：</w:t>
            </w:r>
          </w:p>
        </w:tc>
      </w:tr>
      <w:tr>
        <w:trPr>
          <w:trHeight w:val="3661" w:hRule="atLeast"/>
        </w:trPr>
        <w:tc>
          <w:tcPr>
            <w:tcW w:w="872" w:type="dxa"/>
          </w:tcPr>
          <w:p>
            <w:pPr>
              <w:pStyle w:val="TableParagraph"/>
              <w:ind w:left="0"/>
              <w:rPr>
                <w:rFonts w:ascii="Times New Roman"/>
                <w:sz w:val="20"/>
              </w:rPr>
            </w:pPr>
          </w:p>
        </w:tc>
        <w:tc>
          <w:tcPr>
            <w:tcW w:w="1857" w:type="dxa"/>
          </w:tcPr>
          <w:p>
            <w:pPr>
              <w:pStyle w:val="TableParagraph"/>
              <w:spacing w:line="278" w:lineRule="auto" w:before="61"/>
              <w:ind w:left="447" w:right="147"/>
              <w:rPr>
                <w:rFonts w:ascii="黑体" w:eastAsia="黑体" w:hint="eastAsia"/>
                <w:sz w:val="21"/>
              </w:rPr>
            </w:pPr>
            <w:r>
              <w:rPr>
                <w:rFonts w:ascii="黑体" w:eastAsia="黑体" w:hint="eastAsia"/>
                <w:sz w:val="21"/>
              </w:rPr>
              <w:t>非危及Th命的恶性病变</w:t>
            </w:r>
          </w:p>
        </w:tc>
        <w:tc>
          <w:tcPr>
            <w:tcW w:w="6830" w:type="dxa"/>
          </w:tcPr>
          <w:p>
            <w:pPr>
              <w:pStyle w:val="TableParagraph"/>
              <w:spacing w:line="278" w:lineRule="auto" w:before="61"/>
              <w:ind w:left="150" w:right="102"/>
              <w:rPr>
                <w:sz w:val="21"/>
              </w:rPr>
            </w:pPr>
            <w:r>
              <w:rPr>
                <w:sz w:val="21"/>
              </w:rPr>
              <w:t>指经组织病理学检查被明确诊断为下列恶性病变，并且接受了相应的治疗。</w:t>
            </w:r>
          </w:p>
          <w:p>
            <w:pPr>
              <w:pStyle w:val="TableParagraph"/>
              <w:spacing w:before="11"/>
              <w:ind w:left="150"/>
              <w:rPr>
                <w:sz w:val="21"/>
              </w:rPr>
            </w:pPr>
            <w:r>
              <w:rPr>
                <w:sz w:val="21"/>
              </w:rPr>
              <w:t>(1)原位癌；</w:t>
            </w:r>
          </w:p>
          <w:p>
            <w:pPr>
              <w:pStyle w:val="TableParagraph"/>
              <w:spacing w:line="278" w:lineRule="auto" w:before="44"/>
              <w:ind w:left="150" w:right="1007"/>
              <w:rPr>
                <w:sz w:val="21"/>
              </w:rPr>
            </w:pPr>
            <w:r>
              <w:rPr>
                <w:sz w:val="21"/>
              </w:rPr>
              <w:t>(2)</w:t>
            </w:r>
            <w:r>
              <w:rPr>
                <w:spacing w:val="-14"/>
                <w:sz w:val="21"/>
              </w:rPr>
              <w:t>相当于 </w:t>
            </w:r>
            <w:r>
              <w:rPr>
                <w:sz w:val="21"/>
              </w:rPr>
              <w:t>Binet</w:t>
            </w:r>
            <w:r>
              <w:rPr>
                <w:spacing w:val="-12"/>
                <w:sz w:val="21"/>
              </w:rPr>
              <w:t> 分期方案 </w:t>
            </w:r>
            <w:r>
              <w:rPr>
                <w:sz w:val="21"/>
              </w:rPr>
              <w:t>A</w:t>
            </w:r>
            <w:r>
              <w:rPr>
                <w:spacing w:val="-3"/>
                <w:sz w:val="21"/>
              </w:rPr>
              <w:t> 期程度的慢性淋巴细胞白血病； (3)</w:t>
            </w:r>
            <w:r>
              <w:rPr>
                <w:spacing w:val="-16"/>
                <w:sz w:val="21"/>
              </w:rPr>
              <w:t>相当于 </w:t>
            </w:r>
            <w:r>
              <w:rPr>
                <w:sz w:val="21"/>
              </w:rPr>
              <w:t>Ann Arbor</w:t>
            </w:r>
            <w:r>
              <w:rPr>
                <w:spacing w:val="-11"/>
                <w:sz w:val="21"/>
              </w:rPr>
              <w:t> 分期方案 </w:t>
            </w:r>
            <w:r>
              <w:rPr>
                <w:sz w:val="21"/>
              </w:rPr>
              <w:t>I</w:t>
            </w:r>
            <w:r>
              <w:rPr>
                <w:spacing w:val="-2"/>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before="11"/>
              <w:ind w:left="15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8" w:lineRule="auto" w:before="45"/>
              <w:ind w:left="150" w:right="102"/>
              <w:jc w:val="both"/>
              <w:rPr>
                <w:sz w:val="21"/>
              </w:rPr>
            </w:pPr>
            <w:r>
              <w:rPr>
                <w:spacing w:val="-12"/>
                <w:sz w:val="21"/>
              </w:rPr>
              <w:t>本附加险合同所述“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3662" w:hRule="atLeast"/>
        </w:trPr>
        <w:tc>
          <w:tcPr>
            <w:tcW w:w="872" w:type="dxa"/>
          </w:tcPr>
          <w:p>
            <w:pPr>
              <w:pStyle w:val="TableParagraph"/>
              <w:ind w:left="0"/>
              <w:rPr>
                <w:rFonts w:ascii="Times New Roman"/>
                <w:sz w:val="20"/>
              </w:rPr>
            </w:pPr>
          </w:p>
        </w:tc>
        <w:tc>
          <w:tcPr>
            <w:tcW w:w="1857" w:type="dxa"/>
          </w:tcPr>
          <w:p>
            <w:pPr>
              <w:pStyle w:val="TableParagraph"/>
              <w:spacing w:before="61"/>
              <w:ind w:left="447"/>
              <w:rPr>
                <w:rFonts w:ascii="黑体" w:eastAsia="黑体" w:hint="eastAsia"/>
                <w:sz w:val="21"/>
              </w:rPr>
            </w:pPr>
            <w:r>
              <w:rPr>
                <w:rFonts w:ascii="黑体" w:eastAsia="黑体" w:hint="eastAsia"/>
                <w:sz w:val="21"/>
              </w:rPr>
              <w:t>恶性肿瘤</w:t>
            </w:r>
          </w:p>
        </w:tc>
        <w:tc>
          <w:tcPr>
            <w:tcW w:w="6830" w:type="dxa"/>
          </w:tcPr>
          <w:p>
            <w:pPr>
              <w:pStyle w:val="TableParagraph"/>
              <w:spacing w:line="278" w:lineRule="auto" w:before="61"/>
              <w:ind w:left="150" w:right="102"/>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line="280" w:lineRule="auto" w:before="11"/>
              <w:ind w:left="150" w:right="4140"/>
              <w:rPr>
                <w:sz w:val="21"/>
              </w:rPr>
            </w:pPr>
            <w:r>
              <w:rPr>
                <w:sz w:val="21"/>
              </w:rPr>
              <w:t>下列疾病不在保障范围内： (1)原位癌；</w:t>
            </w:r>
          </w:p>
          <w:p>
            <w:pPr>
              <w:pStyle w:val="TableParagraph"/>
              <w:spacing w:line="280" w:lineRule="auto" w:before="8"/>
              <w:ind w:left="150" w:right="1112"/>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8"/>
              <w:ind w:left="150" w:right="1952"/>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336" w:hRule="atLeast"/>
        </w:trPr>
        <w:tc>
          <w:tcPr>
            <w:tcW w:w="872" w:type="dxa"/>
          </w:tcPr>
          <w:p>
            <w:pPr>
              <w:pStyle w:val="TableParagraph"/>
              <w:spacing w:line="255" w:lineRule="exact" w:before="61"/>
              <w:ind w:left="107"/>
              <w:rPr>
                <w:rFonts w:ascii="黑体"/>
                <w:sz w:val="21"/>
              </w:rPr>
            </w:pPr>
            <w:r>
              <w:rPr>
                <w:rFonts w:ascii="黑体"/>
                <w:sz w:val="21"/>
              </w:rPr>
              <w:t>7.2</w:t>
            </w:r>
          </w:p>
        </w:tc>
        <w:tc>
          <w:tcPr>
            <w:tcW w:w="1857" w:type="dxa"/>
          </w:tcPr>
          <w:p>
            <w:pPr>
              <w:pStyle w:val="TableParagraph"/>
              <w:spacing w:line="255" w:lineRule="exact" w:before="61"/>
              <w:rPr>
                <w:rFonts w:ascii="黑体" w:eastAsia="黑体" w:hint="eastAsia"/>
                <w:sz w:val="21"/>
              </w:rPr>
            </w:pPr>
            <w:r>
              <w:rPr>
                <w:rFonts w:ascii="黑体" w:eastAsia="黑体" w:hint="eastAsia"/>
                <w:sz w:val="21"/>
              </w:rPr>
              <w:t>确诊医院范围</w:t>
            </w:r>
          </w:p>
        </w:tc>
        <w:tc>
          <w:tcPr>
            <w:tcW w:w="6830" w:type="dxa"/>
          </w:tcPr>
          <w:p>
            <w:pPr>
              <w:pStyle w:val="TableParagraph"/>
              <w:spacing w:line="255" w:lineRule="exact" w:before="61"/>
              <w:ind w:left="150"/>
              <w:rPr>
                <w:sz w:val="21"/>
              </w:rPr>
            </w:pPr>
            <w:r>
              <w:rPr>
                <w:sz w:val="21"/>
              </w:rPr>
              <w:t>本附加险合同所保障的疾病，均须在卫生行政部门认定的二级以上（含</w:t>
            </w:r>
          </w:p>
        </w:tc>
      </w:tr>
    </w:tbl>
    <w:p>
      <w:pPr>
        <w:spacing w:after="0" w:line="255" w:lineRule="exact"/>
        <w:rPr>
          <w:sz w:val="21"/>
        </w:rPr>
        <w:sectPr>
          <w:pgSz w:w="11910" w:h="16840"/>
          <w:pgMar w:top="1420" w:bottom="280" w:left="1060" w:right="10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857"/>
        <w:gridCol w:w="6830"/>
      </w:tblGrid>
      <w:tr>
        <w:trPr>
          <w:trHeight w:val="386" w:hRule="atLeast"/>
        </w:trPr>
        <w:tc>
          <w:tcPr>
            <w:tcW w:w="872"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6830" w:type="dxa"/>
          </w:tcPr>
          <w:p>
            <w:pPr>
              <w:pStyle w:val="TableParagraph"/>
              <w:spacing w:line="204" w:lineRule="exact"/>
              <w:ind w:left="151"/>
              <w:rPr>
                <w:sz w:val="21"/>
              </w:rPr>
            </w:pPr>
            <w:r>
              <w:rPr>
                <w:sz w:val="21"/>
              </w:rPr>
              <w:t>二级）医院确诊。</w:t>
            </w:r>
          </w:p>
        </w:tc>
      </w:tr>
      <w:tr>
        <w:trPr>
          <w:trHeight w:val="311" w:hRule="atLeast"/>
        </w:trPr>
        <w:tc>
          <w:tcPr>
            <w:tcW w:w="872"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8．</w:t>
            </w:r>
          </w:p>
        </w:tc>
        <w:tc>
          <w:tcPr>
            <w:tcW w:w="1857" w:type="dxa"/>
            <w:shd w:val="clear" w:color="auto" w:fill="D3D3D3"/>
          </w:tcPr>
          <w:p>
            <w:pPr>
              <w:pStyle w:val="TableParagraph"/>
              <w:spacing w:before="4"/>
              <w:rPr>
                <w:rFonts w:ascii="黑体" w:eastAsia="黑体" w:hint="eastAsia"/>
                <w:b/>
                <w:sz w:val="21"/>
              </w:rPr>
            </w:pPr>
            <w:r>
              <w:rPr>
                <w:rFonts w:ascii="黑体" w:eastAsia="黑体" w:hint="eastAsia"/>
                <w:b/>
                <w:sz w:val="21"/>
              </w:rPr>
              <w:t>释义</w:t>
            </w:r>
          </w:p>
        </w:tc>
        <w:tc>
          <w:tcPr>
            <w:tcW w:w="6830" w:type="dxa"/>
            <w:shd w:val="clear" w:color="auto" w:fill="D3D3D3"/>
          </w:tcPr>
          <w:p>
            <w:pPr>
              <w:pStyle w:val="TableParagraph"/>
              <w:ind w:left="0"/>
              <w:rPr>
                <w:rFonts w:ascii="Times New Roman"/>
                <w:sz w:val="20"/>
              </w:rPr>
            </w:pPr>
          </w:p>
        </w:tc>
      </w:tr>
      <w:tr>
        <w:trPr>
          <w:trHeight w:val="873" w:hRule="atLeast"/>
        </w:trPr>
        <w:tc>
          <w:tcPr>
            <w:tcW w:w="872" w:type="dxa"/>
          </w:tcPr>
          <w:p>
            <w:pPr>
              <w:pStyle w:val="TableParagraph"/>
              <w:spacing w:before="145"/>
              <w:ind w:left="108"/>
              <w:rPr>
                <w:rFonts w:ascii="黑体"/>
                <w:sz w:val="21"/>
              </w:rPr>
            </w:pPr>
            <w:r>
              <w:rPr>
                <w:rFonts w:ascii="黑体"/>
                <w:sz w:val="21"/>
              </w:rPr>
              <w:t>8.1</w:t>
            </w:r>
          </w:p>
        </w:tc>
        <w:tc>
          <w:tcPr>
            <w:tcW w:w="1857" w:type="dxa"/>
          </w:tcPr>
          <w:p>
            <w:pPr>
              <w:pStyle w:val="TableParagraph"/>
              <w:spacing w:before="145"/>
              <w:rPr>
                <w:rFonts w:ascii="黑体" w:eastAsia="黑体" w:hint="eastAsia"/>
                <w:sz w:val="21"/>
              </w:rPr>
            </w:pPr>
            <w:r>
              <w:rPr>
                <w:rFonts w:ascii="黑体" w:eastAsia="黑体" w:hint="eastAsia"/>
                <w:sz w:val="21"/>
              </w:rPr>
              <w:t>周岁</w:t>
            </w:r>
          </w:p>
        </w:tc>
        <w:tc>
          <w:tcPr>
            <w:tcW w:w="6830" w:type="dxa"/>
          </w:tcPr>
          <w:p>
            <w:pPr>
              <w:pStyle w:val="TableParagraph"/>
              <w:spacing w:line="280" w:lineRule="auto" w:before="145"/>
              <w:ind w:left="151" w:right="102"/>
              <w:rPr>
                <w:sz w:val="21"/>
              </w:rPr>
            </w:pPr>
            <w:r>
              <w:rPr>
                <w:sz w:val="21"/>
              </w:rPr>
              <w:t>指按有效身份证件中记载的出生日期计算的年龄，自出生之日起为零周岁，每经过一年增加一岁，不足一年的不计。</w:t>
            </w:r>
          </w:p>
        </w:tc>
      </w:tr>
      <w:tr>
        <w:trPr>
          <w:trHeight w:val="2381" w:hRule="atLeast"/>
        </w:trPr>
        <w:tc>
          <w:tcPr>
            <w:tcW w:w="872" w:type="dxa"/>
          </w:tcPr>
          <w:p>
            <w:pPr>
              <w:pStyle w:val="TableParagraph"/>
              <w:spacing w:before="54"/>
              <w:ind w:left="108"/>
              <w:rPr>
                <w:rFonts w:ascii="黑体"/>
                <w:sz w:val="21"/>
              </w:rPr>
            </w:pPr>
            <w:r>
              <w:rPr>
                <w:rFonts w:ascii="黑体"/>
                <w:sz w:val="21"/>
              </w:rPr>
              <w:t>8.2</w:t>
            </w:r>
          </w:p>
        </w:tc>
        <w:tc>
          <w:tcPr>
            <w:tcW w:w="1857" w:type="dxa"/>
          </w:tcPr>
          <w:p>
            <w:pPr>
              <w:pStyle w:val="TableParagraph"/>
              <w:spacing w:before="54"/>
              <w:rPr>
                <w:rFonts w:ascii="黑体" w:eastAsia="黑体" w:hint="eastAsia"/>
                <w:sz w:val="21"/>
              </w:rPr>
            </w:pPr>
            <w:r>
              <w:rPr>
                <w:rFonts w:ascii="黑体" w:eastAsia="黑体" w:hint="eastAsia"/>
                <w:sz w:val="21"/>
              </w:rPr>
              <w:t>现金价值</w:t>
            </w:r>
          </w:p>
        </w:tc>
        <w:tc>
          <w:tcPr>
            <w:tcW w:w="6830" w:type="dxa"/>
          </w:tcPr>
          <w:p>
            <w:pPr>
              <w:pStyle w:val="TableParagraph"/>
              <w:spacing w:line="278" w:lineRule="auto" w:before="54"/>
              <w:ind w:left="151" w:right="102"/>
              <w:jc w:val="both"/>
              <w:rPr>
                <w:sz w:val="21"/>
              </w:rPr>
            </w:pPr>
            <w:r>
              <w:rPr>
                <w:sz w:val="21"/>
              </w:rPr>
              <w:t>指本附加险合同保险单所具有的价值，通常体现为解除合同时，根据精算原理计算的，由我们退还的那部分金额。在本附加险合同相应栏目所载明的现金价值是未发生轻症关爱保险金给付情况下的现金价值，若我们已给付过轻症关爱保险金，保险单的现金价值将按如下公式计算：发生轻症关爱保险金给付情况下的现金价值＝（基本保险金额－累计已给</w:t>
            </w:r>
            <w:r>
              <w:rPr>
                <w:spacing w:val="-1"/>
                <w:sz w:val="21"/>
              </w:rPr>
              <w:t>付的轻症关爱保险金</w:t>
            </w:r>
            <w:r>
              <w:rPr>
                <w:spacing w:val="-22"/>
                <w:sz w:val="21"/>
              </w:rPr>
              <w:t>）/</w:t>
            </w:r>
            <w:r>
              <w:rPr>
                <w:sz w:val="21"/>
              </w:rPr>
              <w:t>基本保险金额×未发生轻症关爱保险金给付情况下的现金价值。</w:t>
            </w:r>
          </w:p>
        </w:tc>
      </w:tr>
      <w:tr>
        <w:trPr>
          <w:trHeight w:val="1421" w:hRule="atLeast"/>
        </w:trPr>
        <w:tc>
          <w:tcPr>
            <w:tcW w:w="872" w:type="dxa"/>
          </w:tcPr>
          <w:p>
            <w:pPr>
              <w:pStyle w:val="TableParagraph"/>
              <w:spacing w:before="54"/>
              <w:ind w:left="108"/>
              <w:rPr>
                <w:rFonts w:ascii="黑体"/>
                <w:sz w:val="21"/>
              </w:rPr>
            </w:pPr>
            <w:r>
              <w:rPr>
                <w:rFonts w:ascii="黑体"/>
                <w:sz w:val="21"/>
              </w:rPr>
              <w:t>8.3</w:t>
            </w:r>
          </w:p>
        </w:tc>
        <w:tc>
          <w:tcPr>
            <w:tcW w:w="1857" w:type="dxa"/>
          </w:tcPr>
          <w:p>
            <w:pPr>
              <w:pStyle w:val="TableParagraph"/>
              <w:spacing w:before="54"/>
              <w:rPr>
                <w:rFonts w:ascii="黑体" w:eastAsia="黑体" w:hint="eastAsia"/>
                <w:sz w:val="21"/>
              </w:rPr>
            </w:pPr>
            <w:r>
              <w:rPr>
                <w:rFonts w:ascii="黑体" w:eastAsia="黑体" w:hint="eastAsia"/>
                <w:sz w:val="21"/>
              </w:rPr>
              <w:t>毒品</w:t>
            </w:r>
          </w:p>
        </w:tc>
        <w:tc>
          <w:tcPr>
            <w:tcW w:w="6830" w:type="dxa"/>
          </w:tcPr>
          <w:p>
            <w:pPr>
              <w:pStyle w:val="TableParagraph"/>
              <w:spacing w:line="278" w:lineRule="auto" w:before="54"/>
              <w:ind w:left="151"/>
              <w:rPr>
                <w:sz w:val="21"/>
              </w:rPr>
            </w:pPr>
            <w:r>
              <w:rPr>
                <w:spacing w:val="-7"/>
                <w:sz w:val="21"/>
              </w:rPr>
              <w:t>指中华人民共和国刑法规定的鸦片、海洛因、甲基苯丙胺</w:t>
            </w:r>
            <w:r>
              <w:rPr>
                <w:sz w:val="21"/>
              </w:rPr>
              <w:t>（冰毒</w:t>
            </w:r>
            <w:r>
              <w:rPr>
                <w:spacing w:val="-105"/>
                <w:sz w:val="21"/>
              </w:rPr>
              <w:t>）</w:t>
            </w:r>
            <w:r>
              <w:rPr>
                <w:spacing w:val="-10"/>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872" w:type="dxa"/>
          </w:tcPr>
          <w:p>
            <w:pPr>
              <w:pStyle w:val="TableParagraph"/>
              <w:spacing w:before="54"/>
              <w:ind w:left="108"/>
              <w:rPr>
                <w:rFonts w:ascii="黑体"/>
                <w:sz w:val="21"/>
              </w:rPr>
            </w:pPr>
            <w:r>
              <w:rPr>
                <w:rFonts w:ascii="黑体"/>
                <w:sz w:val="21"/>
              </w:rPr>
              <w:t>8.4</w:t>
            </w:r>
          </w:p>
        </w:tc>
        <w:tc>
          <w:tcPr>
            <w:tcW w:w="1857" w:type="dxa"/>
          </w:tcPr>
          <w:p>
            <w:pPr>
              <w:pStyle w:val="TableParagraph"/>
              <w:spacing w:before="54"/>
              <w:rPr>
                <w:rFonts w:ascii="黑体" w:eastAsia="黑体" w:hint="eastAsia"/>
                <w:sz w:val="21"/>
              </w:rPr>
            </w:pPr>
            <w:r>
              <w:rPr>
                <w:rFonts w:ascii="黑体" w:eastAsia="黑体" w:hint="eastAsia"/>
                <w:sz w:val="21"/>
              </w:rPr>
              <w:t>酒后驾驶</w:t>
            </w:r>
          </w:p>
        </w:tc>
        <w:tc>
          <w:tcPr>
            <w:tcW w:w="6830" w:type="dxa"/>
          </w:tcPr>
          <w:p>
            <w:pPr>
              <w:pStyle w:val="TableParagraph"/>
              <w:spacing w:line="278" w:lineRule="auto" w:before="54"/>
              <w:ind w:left="151"/>
              <w:rPr>
                <w:sz w:val="21"/>
              </w:rPr>
            </w:pPr>
            <w:r>
              <w:rPr>
                <w:sz w:val="21"/>
              </w:rPr>
              <w:t>指经检测或鉴定，发生事故时车辆驾驶人员每百毫升血液中的酒精含量</w:t>
            </w:r>
            <w:r>
              <w:rPr>
                <w:spacing w:val="-3"/>
                <w:sz w:val="21"/>
              </w:rPr>
              <w:t>达到或超过一定的标准，公安机关交通管理部门依据《道路交通安全法》的规定认定为饮酒后驾驶或醉酒后驾驶。</w:t>
            </w:r>
          </w:p>
        </w:tc>
      </w:tr>
      <w:tr>
        <w:trPr>
          <w:trHeight w:val="1616" w:hRule="atLeast"/>
        </w:trPr>
        <w:tc>
          <w:tcPr>
            <w:tcW w:w="872" w:type="dxa"/>
          </w:tcPr>
          <w:p>
            <w:pPr>
              <w:pStyle w:val="TableParagraph"/>
              <w:spacing w:before="54"/>
              <w:ind w:left="108"/>
              <w:rPr>
                <w:rFonts w:ascii="黑体"/>
                <w:sz w:val="21"/>
              </w:rPr>
            </w:pPr>
            <w:r>
              <w:rPr>
                <w:rFonts w:ascii="黑体"/>
                <w:sz w:val="21"/>
              </w:rPr>
              <w:t>8.5</w:t>
            </w:r>
          </w:p>
        </w:tc>
        <w:tc>
          <w:tcPr>
            <w:tcW w:w="1857" w:type="dxa"/>
          </w:tcPr>
          <w:p>
            <w:pPr>
              <w:pStyle w:val="TableParagraph"/>
              <w:spacing w:line="280" w:lineRule="auto" w:before="54"/>
              <w:ind w:left="447" w:right="147"/>
              <w:rPr>
                <w:rFonts w:ascii="黑体" w:eastAsia="黑体" w:hint="eastAsia"/>
                <w:sz w:val="21"/>
              </w:rPr>
            </w:pPr>
            <w:r>
              <w:rPr>
                <w:rFonts w:ascii="黑体" w:eastAsia="黑体" w:hint="eastAsia"/>
                <w:sz w:val="21"/>
              </w:rPr>
              <w:t>无合法有效驾驶证驾驶</w:t>
            </w:r>
          </w:p>
        </w:tc>
        <w:tc>
          <w:tcPr>
            <w:tcW w:w="6830" w:type="dxa"/>
          </w:tcPr>
          <w:p>
            <w:pPr>
              <w:pStyle w:val="TableParagraph"/>
              <w:spacing w:line="280" w:lineRule="auto" w:before="54"/>
              <w:ind w:left="151" w:right="4472"/>
              <w:rPr>
                <w:sz w:val="21"/>
              </w:rPr>
            </w:pPr>
            <w:r>
              <w:rPr>
                <w:sz w:val="21"/>
              </w:rPr>
              <w:t>指下列情形之一：   </w:t>
            </w:r>
            <w:r>
              <w:rPr>
                <w:spacing w:val="-1"/>
                <w:sz w:val="21"/>
              </w:rPr>
              <w:t>(1)没有取得驾驶资格；</w:t>
            </w:r>
          </w:p>
          <w:p>
            <w:pPr>
              <w:pStyle w:val="TableParagraph"/>
              <w:spacing w:line="280" w:lineRule="auto" w:before="8"/>
              <w:ind w:left="151" w:right="2564"/>
              <w:rPr>
                <w:sz w:val="21"/>
              </w:rPr>
            </w:pPr>
            <w:r>
              <w:rPr>
                <w:sz w:val="21"/>
              </w:rPr>
              <w:t>(2)驾驶与驾驶证准驾车型不相符合的车辆； (3)持审验不合格的驾驶证驾驶；</w:t>
            </w:r>
          </w:p>
          <w:p>
            <w:pPr>
              <w:pStyle w:val="TableParagraph"/>
              <w:spacing w:line="261" w:lineRule="exact" w:before="10"/>
              <w:ind w:left="151"/>
              <w:rPr>
                <w:sz w:val="21"/>
              </w:rPr>
            </w:pPr>
            <w:r>
              <w:rPr>
                <w:sz w:val="21"/>
              </w:rPr>
              <w:t>(4)持学习驾驶证学习驾车时，无教练员随车指导，或不按指定时间、路</w:t>
            </w:r>
          </w:p>
        </w:tc>
      </w:tr>
    </w:tbl>
    <w:p>
      <w:pPr>
        <w:pStyle w:val="BodyText"/>
        <w:spacing w:before="38"/>
        <w:ind w:left="3308"/>
      </w:pPr>
      <w:r>
        <w:rPr/>
        <w:t>线学习驾车。</w:t>
      </w:r>
    </w:p>
    <w:p>
      <w:pPr>
        <w:pStyle w:val="BodyText"/>
        <w:spacing w:before="4"/>
        <w:rPr>
          <w:sz w:val="14"/>
        </w:rPr>
      </w:pPr>
    </w:p>
    <w:p>
      <w:pPr>
        <w:pStyle w:val="ListParagraph"/>
        <w:numPr>
          <w:ilvl w:val="1"/>
          <w:numId w:val="5"/>
        </w:numPr>
        <w:tabs>
          <w:tab w:pos="1432" w:val="left" w:leader="none"/>
          <w:tab w:pos="1433" w:val="left" w:leader="none"/>
          <w:tab w:pos="2992" w:val="left" w:leader="none"/>
        </w:tabs>
        <w:spacing w:line="280" w:lineRule="auto" w:before="0" w:after="0"/>
        <w:ind w:left="2992" w:right="2275" w:hanging="2772"/>
        <w:jc w:val="left"/>
        <w:rPr>
          <w:sz w:val="21"/>
        </w:rPr>
      </w:pPr>
      <w:r>
        <w:rPr>
          <w:rFonts w:ascii="黑体" w:eastAsia="黑体" w:hint="eastAsia"/>
          <w:sz w:val="21"/>
        </w:rPr>
        <w:t>无有效行驶证</w:t>
        <w:tab/>
      </w:r>
      <w:r>
        <w:rPr>
          <w:sz w:val="21"/>
        </w:rPr>
        <w:t>指下列情形之一： </w:t>
      </w:r>
      <w:r>
        <w:rPr>
          <w:spacing w:val="-1"/>
          <w:sz w:val="21"/>
        </w:rPr>
        <w:t>                        </w:t>
      </w:r>
      <w:r>
        <w:rPr>
          <w:sz w:val="21"/>
        </w:rPr>
        <w:t>(1)机动车被依法注销登记的；              </w:t>
      </w:r>
      <w:r>
        <w:rPr>
          <w:spacing w:val="-1"/>
          <w:sz w:val="21"/>
        </w:rPr>
        <w:t>(2)未依法按时进行或通过机动车安全技术检验。</w:t>
      </w:r>
    </w:p>
    <w:p>
      <w:pPr>
        <w:pStyle w:val="ListParagraph"/>
        <w:numPr>
          <w:ilvl w:val="1"/>
          <w:numId w:val="5"/>
        </w:numPr>
        <w:tabs>
          <w:tab w:pos="1432" w:val="left" w:leader="none"/>
          <w:tab w:pos="1433" w:val="left" w:leader="none"/>
          <w:tab w:pos="2992" w:val="left" w:leader="none"/>
        </w:tabs>
        <w:spacing w:line="278" w:lineRule="auto" w:before="151" w:after="0"/>
        <w:ind w:left="2992" w:right="215" w:hanging="2772"/>
        <w:jc w:val="left"/>
        <w:rPr>
          <w:sz w:val="21"/>
        </w:rPr>
      </w:pPr>
      <w:r>
        <w:rPr>
          <w:rFonts w:ascii="黑体" w:eastAsia="黑体" w:hint="eastAsia"/>
          <w:sz w:val="21"/>
        </w:rPr>
        <w:t>机动车</w:t>
        <w:tab/>
      </w:r>
      <w:r>
        <w:rPr>
          <w:sz w:val="21"/>
        </w:rPr>
        <w:t>指以动力装置驱动或者牵引，上道路行驶的供人员乘用或者用于运送物 品以及进行工程专项作业的轮式车辆。</w:t>
      </w:r>
    </w:p>
    <w:p>
      <w:pPr>
        <w:pStyle w:val="BodyText"/>
        <w:spacing w:before="0"/>
        <w:rPr>
          <w:sz w:val="9"/>
        </w:rPr>
      </w:pPr>
    </w:p>
    <w:p>
      <w:pPr>
        <w:spacing w:after="0"/>
        <w:rPr>
          <w:sz w:val="9"/>
        </w:rPr>
        <w:sectPr>
          <w:pgSz w:w="11910" w:h="16840"/>
          <w:pgMar w:top="1500" w:bottom="280" w:left="1060" w:right="1060"/>
        </w:sectPr>
      </w:pPr>
    </w:p>
    <w:p>
      <w:pPr>
        <w:pStyle w:val="ListParagraph"/>
        <w:numPr>
          <w:ilvl w:val="1"/>
          <w:numId w:val="5"/>
        </w:numPr>
        <w:tabs>
          <w:tab w:pos="1432" w:val="left" w:leader="none"/>
          <w:tab w:pos="1433" w:val="left" w:leader="none"/>
        </w:tabs>
        <w:spacing w:line="280" w:lineRule="auto" w:before="35" w:after="0"/>
        <w:ind w:left="1432" w:right="0" w:hanging="1212"/>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ind w:left="220" w:right="219"/>
        <w:jc w:val="both"/>
      </w:pPr>
      <w:r>
        <w:rPr/>
        <w:br w:type="column"/>
      </w:r>
      <w:r>
        <w:rPr>
          <w:spacing w:val="-8"/>
        </w:rPr>
        <w:t>艾滋病病毒指人类免疫缺陷病毒，英文缩写为 </w:t>
      </w:r>
      <w:r>
        <w:rPr/>
        <w:t>HIV</w:t>
      </w:r>
      <w:r>
        <w:rPr>
          <w:spacing w:val="-8"/>
        </w:rPr>
        <w:t>。艾滋病指人类免疫缺</w:t>
      </w:r>
      <w:r>
        <w:rPr>
          <w:spacing w:val="-10"/>
        </w:rPr>
        <w:t>陷病毒引起的获得性免疫缺陷综合征，英文缩写为 </w:t>
      </w:r>
      <w:r>
        <w:rPr/>
        <w:t>AIDS。</w:t>
      </w:r>
    </w:p>
    <w:p>
      <w:pPr>
        <w:pStyle w:val="BodyText"/>
        <w:spacing w:line="278" w:lineRule="auto" w:before="9"/>
        <w:ind w:left="220" w:right="215"/>
        <w:jc w:val="both"/>
      </w:pPr>
      <w:r>
        <w:rPr/>
        <w:t>在人体血液或其他样本中检测到艾滋病病毒或其抗体呈阳性，没有出现临床症状或体征的，为感染艾滋病病毒；如果同时出现了明显临床症状或体征的，为患艾滋病。</w:t>
      </w:r>
    </w:p>
    <w:p>
      <w:pPr>
        <w:spacing w:after="0" w:line="278" w:lineRule="auto"/>
        <w:jc w:val="both"/>
        <w:sectPr>
          <w:type w:val="continuous"/>
          <w:pgSz w:w="11910" w:h="16840"/>
          <w:pgMar w:top="1280" w:bottom="280" w:left="1060" w:right="1060"/>
          <w:cols w:num="2" w:equalWidth="0">
            <w:col w:w="2693" w:space="79"/>
            <w:col w:w="7018"/>
          </w:cols>
        </w:sectPr>
      </w:pPr>
    </w:p>
    <w:p>
      <w:pPr>
        <w:pStyle w:val="BodyText"/>
        <w:spacing w:before="0"/>
        <w:rPr>
          <w:sz w:val="9"/>
        </w:rPr>
      </w:pPr>
    </w:p>
    <w:p>
      <w:pPr>
        <w:pStyle w:val="ListParagraph"/>
        <w:numPr>
          <w:ilvl w:val="1"/>
          <w:numId w:val="5"/>
        </w:numPr>
        <w:tabs>
          <w:tab w:pos="1432" w:val="left" w:leader="none"/>
          <w:tab w:pos="1433" w:val="left" w:leader="none"/>
          <w:tab w:pos="2992" w:val="left" w:leader="none"/>
        </w:tabs>
        <w:spacing w:line="280" w:lineRule="auto" w:before="35" w:after="0"/>
        <w:ind w:left="2992" w:right="215" w:hanging="2772"/>
        <w:jc w:val="left"/>
        <w:rPr>
          <w:sz w:val="21"/>
        </w:rPr>
      </w:pPr>
      <w:r>
        <w:rPr>
          <w:rFonts w:ascii="黑体" w:eastAsia="黑体" w:hint="eastAsia"/>
          <w:sz w:val="21"/>
        </w:rPr>
        <w:t>遗传性疾病</w:t>
        <w:tab/>
      </w:r>
      <w:r>
        <w:rPr>
          <w:sz w:val="21"/>
        </w:rPr>
        <w:t>指生殖细胞或受精卵的遗传物质（染色体和基因）发生突变或畸变所引 起的疾病，通常具有由亲代传至后代的垂直传递的特征。</w:t>
      </w:r>
    </w:p>
    <w:p>
      <w:pPr>
        <w:pStyle w:val="BodyText"/>
        <w:spacing w:before="11"/>
        <w:rPr>
          <w:sz w:val="8"/>
        </w:rPr>
      </w:pPr>
    </w:p>
    <w:p>
      <w:pPr>
        <w:spacing w:after="0"/>
        <w:rPr>
          <w:sz w:val="8"/>
        </w:rPr>
        <w:sectPr>
          <w:type w:val="continuous"/>
          <w:pgSz w:w="11910" w:h="16840"/>
          <w:pgMar w:top="1280" w:bottom="280" w:left="1060" w:right="1060"/>
        </w:sectPr>
      </w:pPr>
    </w:p>
    <w:p>
      <w:pPr>
        <w:pStyle w:val="ListParagraph"/>
        <w:numPr>
          <w:ilvl w:val="1"/>
          <w:numId w:val="5"/>
        </w:numPr>
        <w:tabs>
          <w:tab w:pos="1432" w:val="left" w:leader="none"/>
          <w:tab w:pos="1433" w:val="left" w:leader="none"/>
        </w:tabs>
        <w:spacing w:line="278" w:lineRule="auto" w:before="35" w:after="0"/>
        <w:ind w:left="1432" w:right="0" w:hanging="1212"/>
        <w:jc w:val="left"/>
        <w:rPr>
          <w:rFonts w:ascii="黑体" w:eastAsia="黑体" w:hint="eastAsia"/>
          <w:sz w:val="21"/>
        </w:rPr>
      </w:pPr>
      <w:r>
        <w:rPr>
          <w:rFonts w:ascii="黑体" w:eastAsia="黑体" w:hint="eastAsia"/>
          <w:sz w:val="21"/>
        </w:rPr>
        <w:t>先天性畸形、变形或染色体</w:t>
      </w:r>
    </w:p>
    <w:p>
      <w:pPr>
        <w:pStyle w:val="BodyText"/>
        <w:spacing w:line="278" w:lineRule="auto"/>
        <w:ind w:left="220" w:right="215"/>
      </w:pPr>
      <w:r>
        <w:rPr/>
        <w:br w:type="column"/>
      </w:r>
      <w:r>
        <w:rPr/>
        <w:t>指被保险人出生时就具有的畸形、变形或染色体异常。先天性畸形、变形和染色体异常依照世界卫生组织《疾病和有关健康问题的国际统计分</w:t>
      </w:r>
    </w:p>
    <w:p>
      <w:pPr>
        <w:spacing w:after="0" w:line="278" w:lineRule="auto"/>
        <w:sectPr>
          <w:type w:val="continuous"/>
          <w:pgSz w:w="11910" w:h="16840"/>
          <w:pgMar w:top="1280" w:bottom="280" w:left="1060" w:right="1060"/>
          <w:cols w:num="2" w:equalWidth="0">
            <w:col w:w="2693" w:space="79"/>
            <w:col w:w="7018"/>
          </w:cols>
        </w:sectPr>
      </w:pPr>
    </w:p>
    <w:p>
      <w:pPr>
        <w:pStyle w:val="BodyText"/>
        <w:tabs>
          <w:tab w:pos="2872" w:val="left" w:leader="none"/>
        </w:tabs>
        <w:spacing w:before="8"/>
        <w:ind w:left="1312"/>
      </w:pPr>
      <w:r>
        <w:rPr>
          <w:rFonts w:ascii="黑体" w:eastAsia="黑体" w:hint="eastAsia"/>
        </w:rPr>
        <w:t>异常</w:t>
        <w:tab/>
      </w:r>
      <w:r>
        <w:rPr>
          <w:spacing w:val="-1"/>
        </w:rPr>
        <w:t>类</w:t>
      </w:r>
      <w:r>
        <w:rPr>
          <w:spacing w:val="-105"/>
        </w:rPr>
        <w:t>》</w:t>
      </w:r>
      <w:r>
        <w:rPr>
          <w:spacing w:val="-1"/>
        </w:rPr>
        <w:t>（ICD-10）确定</w:t>
      </w:r>
      <w:r>
        <w:rPr/>
        <w:t>。</w:t>
      </w:r>
    </w:p>
    <w:p>
      <w:pPr>
        <w:pStyle w:val="BodyText"/>
        <w:spacing w:before="3"/>
        <w:rPr>
          <w:sz w:val="14"/>
        </w:rPr>
      </w:pPr>
    </w:p>
    <w:p>
      <w:pPr>
        <w:pStyle w:val="ListParagraph"/>
        <w:numPr>
          <w:ilvl w:val="1"/>
          <w:numId w:val="5"/>
        </w:numPr>
        <w:tabs>
          <w:tab w:pos="1313" w:val="left" w:leader="none"/>
        </w:tabs>
        <w:spacing w:line="278" w:lineRule="auto" w:before="0" w:after="0"/>
        <w:ind w:left="2872" w:right="115" w:hanging="2772"/>
        <w:jc w:val="both"/>
        <w:rPr>
          <w:sz w:val="21"/>
        </w:rPr>
      </w:pPr>
      <w:r>
        <w:rPr>
          <w:rFonts w:ascii="黑体" w:eastAsia="黑体" w:hint="eastAsia"/>
          <w:spacing w:val="3"/>
          <w:sz w:val="21"/>
        </w:rPr>
        <w:t>有效身份证件  </w:t>
      </w:r>
      <w:r>
        <w:rPr>
          <w:sz w:val="21"/>
        </w:rPr>
        <w:t>指由政府主管部门规定的证明其身份的证件，如：居民身份证、按规定可使用的有效护照、军官证、警官证、士兵证、户口簿等证件。</w:t>
      </w:r>
    </w:p>
    <w:p>
      <w:pPr>
        <w:pStyle w:val="ListParagraph"/>
        <w:numPr>
          <w:ilvl w:val="1"/>
          <w:numId w:val="5"/>
        </w:numPr>
        <w:tabs>
          <w:tab w:pos="1313" w:val="left" w:leader="none"/>
        </w:tabs>
        <w:spacing w:line="280" w:lineRule="auto" w:before="153" w:after="0"/>
        <w:ind w:left="2872" w:right="115" w:hanging="2772"/>
        <w:jc w:val="both"/>
        <w:rPr>
          <w:sz w:val="21"/>
        </w:rPr>
      </w:pPr>
      <w:r>
        <w:rPr>
          <w:rFonts w:ascii="黑体" w:eastAsia="黑体" w:hint="eastAsia"/>
          <w:spacing w:val="2"/>
          <w:sz w:val="21"/>
        </w:rPr>
        <w:t>情形复杂      </w:t>
      </w:r>
      <w:r>
        <w:rPr>
          <w:sz w:val="21"/>
        </w:rPr>
        <w:t>指保险事故的性质、原因、伤害或损失程度等在我们收到保险金给付申</w:t>
      </w:r>
      <w:r>
        <w:rPr>
          <w:spacing w:val="-2"/>
          <w:sz w:val="21"/>
        </w:rPr>
        <w:t>请书及合同约定的证明和资料后 </w:t>
      </w:r>
      <w:r>
        <w:rPr>
          <w:sz w:val="21"/>
        </w:rPr>
        <w:t>5</w:t>
      </w:r>
      <w:r>
        <w:rPr>
          <w:spacing w:val="-5"/>
          <w:sz w:val="21"/>
        </w:rPr>
        <w:t> 个工作日内无法确定，需要进一步核实。</w:t>
      </w:r>
    </w:p>
    <w:p>
      <w:pPr>
        <w:pStyle w:val="ListParagraph"/>
        <w:numPr>
          <w:ilvl w:val="1"/>
          <w:numId w:val="5"/>
        </w:numPr>
        <w:tabs>
          <w:tab w:pos="1312" w:val="left" w:leader="none"/>
          <w:tab w:pos="1313" w:val="left" w:leader="none"/>
          <w:tab w:pos="2872" w:val="left" w:leader="none"/>
        </w:tabs>
        <w:spacing w:line="240" w:lineRule="auto" w:before="151" w:after="0"/>
        <w:ind w:left="1312" w:right="0" w:hanging="1212"/>
        <w:jc w:val="left"/>
        <w:rPr>
          <w:sz w:val="21"/>
        </w:rPr>
      </w:pPr>
      <w:r>
        <w:rPr>
          <w:rFonts w:ascii="黑体" w:eastAsia="黑体" w:hint="eastAsia"/>
          <w:sz w:val="21"/>
        </w:rPr>
        <w:t>专科医Th</w:t>
        <w:tab/>
      </w:r>
      <w:r>
        <w:rPr>
          <w:sz w:val="21"/>
        </w:rPr>
        <w:t>专科医生应当同时满足以下四项资格条件：</w:t>
      </w:r>
    </w:p>
    <w:p>
      <w:pPr>
        <w:pStyle w:val="BodyText"/>
        <w:spacing w:line="280" w:lineRule="auto" w:before="44"/>
        <w:ind w:left="2872" w:right="113"/>
      </w:pPr>
      <w:r>
        <w:rPr/>
        <w:t>(1)</w:t>
      </w:r>
      <w:r>
        <w:rPr>
          <w:spacing w:val="-6"/>
        </w:rPr>
        <w:t>具有有效的中华人民共和国《医师资格证书》；                (2</w:t>
      </w:r>
      <w:r>
        <w:rPr>
          <w:spacing w:val="-11"/>
        </w:rPr>
        <w:t>)具有有效的中华人民共和国《医师执业证书》，并按期到相关部门登</w:t>
      </w:r>
    </w:p>
    <w:p>
      <w:pPr>
        <w:pStyle w:val="BodyText"/>
        <w:spacing w:before="9"/>
        <w:ind w:left="3187"/>
      </w:pPr>
      <w:r>
        <w:rPr/>
        <w:t>记注册；</w:t>
      </w:r>
    </w:p>
    <w:p>
      <w:pPr>
        <w:pStyle w:val="BodyText"/>
        <w:spacing w:line="280" w:lineRule="auto" w:before="43"/>
        <w:ind w:left="3187" w:right="60" w:hanging="316"/>
      </w:pPr>
      <w:r>
        <w:rPr/>
        <w:t>(3)具有有效的中华人民共和国主治医师或主治医师以上职称的《医师职称证书》；</w:t>
      </w:r>
    </w:p>
    <w:p>
      <w:pPr>
        <w:pStyle w:val="BodyText"/>
        <w:spacing w:before="9"/>
        <w:ind w:left="2872"/>
      </w:pPr>
      <w:r>
        <w:rPr/>
        <w:t>(4)在二级或二级以上医院的相应科室从事临床工作三年以上。</w:t>
      </w:r>
    </w:p>
    <w:sectPr>
      <w:pgSz w:w="11910" w:h="16840"/>
      <w:pgMar w:top="1420" w:bottom="280" w:left="11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2992" w:hanging="1213"/>
        <w:jc w:val="left"/>
      </w:pPr>
      <w:rPr>
        <w:rFonts w:hint="default"/>
      </w:rPr>
    </w:lvl>
    <w:lvl w:ilvl="1">
      <w:start w:val="6"/>
      <w:numFmt w:val="decimal"/>
      <w:lvlText w:val="%1.%2"/>
      <w:lvlJc w:val="left"/>
      <w:pPr>
        <w:ind w:left="2992" w:hanging="1213"/>
        <w:jc w:val="right"/>
      </w:pPr>
      <w:rPr>
        <w:rFonts w:hint="default" w:ascii="黑体" w:hAnsi="黑体" w:eastAsia="黑体" w:cs="黑体"/>
        <w:spacing w:val="-1"/>
        <w:w w:val="100"/>
        <w:sz w:val="21"/>
        <w:szCs w:val="21"/>
      </w:rPr>
    </w:lvl>
    <w:lvl w:ilvl="2">
      <w:start w:val="0"/>
      <w:numFmt w:val="bullet"/>
      <w:lvlText w:val="•"/>
      <w:lvlJc w:val="left"/>
      <w:pPr>
        <w:ind w:left="4356" w:hanging="1213"/>
      </w:pPr>
      <w:rPr>
        <w:rFonts w:hint="default"/>
      </w:rPr>
    </w:lvl>
    <w:lvl w:ilvl="3">
      <w:start w:val="0"/>
      <w:numFmt w:val="bullet"/>
      <w:lvlText w:val="•"/>
      <w:lvlJc w:val="left"/>
      <w:pPr>
        <w:ind w:left="5035" w:hanging="1213"/>
      </w:pPr>
      <w:rPr>
        <w:rFonts w:hint="default"/>
      </w:rPr>
    </w:lvl>
    <w:lvl w:ilvl="4">
      <w:start w:val="0"/>
      <w:numFmt w:val="bullet"/>
      <w:lvlText w:val="•"/>
      <w:lvlJc w:val="left"/>
      <w:pPr>
        <w:ind w:left="5713" w:hanging="1213"/>
      </w:pPr>
      <w:rPr>
        <w:rFonts w:hint="default"/>
      </w:rPr>
    </w:lvl>
    <w:lvl w:ilvl="5">
      <w:start w:val="0"/>
      <w:numFmt w:val="bullet"/>
      <w:lvlText w:val="•"/>
      <w:lvlJc w:val="left"/>
      <w:pPr>
        <w:ind w:left="6392" w:hanging="1213"/>
      </w:pPr>
      <w:rPr>
        <w:rFonts w:hint="default"/>
      </w:rPr>
    </w:lvl>
    <w:lvl w:ilvl="6">
      <w:start w:val="0"/>
      <w:numFmt w:val="bullet"/>
      <w:lvlText w:val="•"/>
      <w:lvlJc w:val="left"/>
      <w:pPr>
        <w:ind w:left="7070" w:hanging="1213"/>
      </w:pPr>
      <w:rPr>
        <w:rFonts w:hint="default"/>
      </w:rPr>
    </w:lvl>
    <w:lvl w:ilvl="7">
      <w:start w:val="0"/>
      <w:numFmt w:val="bullet"/>
      <w:lvlText w:val="•"/>
      <w:lvlJc w:val="left"/>
      <w:pPr>
        <w:ind w:left="7749" w:hanging="1213"/>
      </w:pPr>
      <w:rPr>
        <w:rFonts w:hint="default"/>
      </w:rPr>
    </w:lvl>
    <w:lvl w:ilvl="8">
      <w:start w:val="0"/>
      <w:numFmt w:val="bullet"/>
      <w:lvlText w:val="•"/>
      <w:lvlJc w:val="left"/>
      <w:pPr>
        <w:ind w:left="8427" w:hanging="1213"/>
      </w:pPr>
      <w:rPr>
        <w:rFonts w:hint="default"/>
      </w:rPr>
    </w:lvl>
  </w:abstractNum>
  <w:abstractNum w:abstractNumId="3">
    <w:multiLevelType w:val="hybridMultilevel"/>
    <w:lvl w:ilvl="0">
      <w:start w:val="3"/>
      <w:numFmt w:val="decimal"/>
      <w:lvlText w:val="%1"/>
      <w:lvlJc w:val="left"/>
      <w:pPr>
        <w:ind w:left="1432" w:hanging="1212"/>
        <w:jc w:val="left"/>
      </w:pPr>
      <w:rPr>
        <w:rFonts w:hint="default"/>
      </w:rPr>
    </w:lvl>
    <w:lvl w:ilvl="1">
      <w:start w:val="1"/>
      <w:numFmt w:val="decimal"/>
      <w:lvlText w:val="%1.%2"/>
      <w:lvlJc w:val="left"/>
      <w:pPr>
        <w:ind w:left="2872" w:hanging="1212"/>
        <w:jc w:val="right"/>
      </w:pPr>
      <w:rPr>
        <w:rFonts w:hint="default" w:ascii="黑体" w:hAnsi="黑体" w:eastAsia="黑体" w:cs="黑体"/>
        <w:w w:val="100"/>
        <w:sz w:val="21"/>
        <w:szCs w:val="21"/>
      </w:rPr>
    </w:lvl>
    <w:lvl w:ilvl="2">
      <w:start w:val="0"/>
      <w:numFmt w:val="bullet"/>
      <w:lvlText w:val="•"/>
      <w:lvlJc w:val="left"/>
      <w:pPr>
        <w:ind w:left="3647" w:hanging="1212"/>
      </w:pPr>
      <w:rPr>
        <w:rFonts w:hint="default"/>
      </w:rPr>
    </w:lvl>
    <w:lvl w:ilvl="3">
      <w:start w:val="0"/>
      <w:numFmt w:val="bullet"/>
      <w:lvlText w:val="•"/>
      <w:lvlJc w:val="left"/>
      <w:pPr>
        <w:ind w:left="4414" w:hanging="1212"/>
      </w:pPr>
      <w:rPr>
        <w:rFonts w:hint="default"/>
      </w:rPr>
    </w:lvl>
    <w:lvl w:ilvl="4">
      <w:start w:val="0"/>
      <w:numFmt w:val="bullet"/>
      <w:lvlText w:val="•"/>
      <w:lvlJc w:val="left"/>
      <w:pPr>
        <w:ind w:left="5181" w:hanging="1212"/>
      </w:pPr>
      <w:rPr>
        <w:rFonts w:hint="default"/>
      </w:rPr>
    </w:lvl>
    <w:lvl w:ilvl="5">
      <w:start w:val="0"/>
      <w:numFmt w:val="bullet"/>
      <w:lvlText w:val="•"/>
      <w:lvlJc w:val="left"/>
      <w:pPr>
        <w:ind w:left="5948" w:hanging="1212"/>
      </w:pPr>
      <w:rPr>
        <w:rFonts w:hint="default"/>
      </w:rPr>
    </w:lvl>
    <w:lvl w:ilvl="6">
      <w:start w:val="0"/>
      <w:numFmt w:val="bullet"/>
      <w:lvlText w:val="•"/>
      <w:lvlJc w:val="left"/>
      <w:pPr>
        <w:ind w:left="6715" w:hanging="1212"/>
      </w:pPr>
      <w:rPr>
        <w:rFonts w:hint="default"/>
      </w:rPr>
    </w:lvl>
    <w:lvl w:ilvl="7">
      <w:start w:val="0"/>
      <w:numFmt w:val="bullet"/>
      <w:lvlText w:val="•"/>
      <w:lvlJc w:val="left"/>
      <w:pPr>
        <w:ind w:left="7482" w:hanging="1212"/>
      </w:pPr>
      <w:rPr>
        <w:rFonts w:hint="default"/>
      </w:rPr>
    </w:lvl>
    <w:lvl w:ilvl="8">
      <w:start w:val="0"/>
      <w:numFmt w:val="bullet"/>
      <w:lvlText w:val="•"/>
      <w:lvlJc w:val="left"/>
      <w:pPr>
        <w:ind w:left="8250" w:hanging="1212"/>
      </w:pPr>
      <w:rPr>
        <w:rFonts w:hint="default"/>
      </w:rPr>
    </w:lvl>
  </w:abstractNum>
  <w:abstractNum w:abstractNumId="2">
    <w:multiLevelType w:val="hybridMultilevel"/>
    <w:lvl w:ilvl="0">
      <w:start w:val="2"/>
      <w:numFmt w:val="decimal"/>
      <w:lvlText w:val="%1"/>
      <w:lvlJc w:val="left"/>
      <w:pPr>
        <w:ind w:left="1472" w:hanging="1213"/>
        <w:jc w:val="left"/>
      </w:pPr>
      <w:rPr>
        <w:rFonts w:hint="default"/>
      </w:rPr>
    </w:lvl>
    <w:lvl w:ilvl="1">
      <w:start w:val="1"/>
      <w:numFmt w:val="decimal"/>
      <w:lvlText w:val="%1.%2"/>
      <w:lvlJc w:val="left"/>
      <w:pPr>
        <w:ind w:left="1472" w:hanging="1213"/>
        <w:jc w:val="left"/>
      </w:pPr>
      <w:rPr>
        <w:rFonts w:hint="default" w:ascii="黑体" w:hAnsi="黑体" w:eastAsia="黑体" w:cs="黑体"/>
        <w:spacing w:val="-53"/>
        <w:w w:val="100"/>
        <w:sz w:val="21"/>
        <w:szCs w:val="21"/>
      </w:rPr>
    </w:lvl>
    <w:lvl w:ilvl="2">
      <w:start w:val="0"/>
      <w:numFmt w:val="bullet"/>
      <w:lvlText w:val="•"/>
      <w:lvlJc w:val="left"/>
      <w:pPr>
        <w:ind w:left="3156" w:hanging="1213"/>
      </w:pPr>
      <w:rPr>
        <w:rFonts w:hint="default"/>
      </w:rPr>
    </w:lvl>
    <w:lvl w:ilvl="3">
      <w:start w:val="0"/>
      <w:numFmt w:val="bullet"/>
      <w:lvlText w:val="•"/>
      <w:lvlJc w:val="left"/>
      <w:pPr>
        <w:ind w:left="3995" w:hanging="1213"/>
      </w:pPr>
      <w:rPr>
        <w:rFonts w:hint="default"/>
      </w:rPr>
    </w:lvl>
    <w:lvl w:ilvl="4">
      <w:start w:val="0"/>
      <w:numFmt w:val="bullet"/>
      <w:lvlText w:val="•"/>
      <w:lvlJc w:val="left"/>
      <w:pPr>
        <w:ind w:left="4833" w:hanging="1213"/>
      </w:pPr>
      <w:rPr>
        <w:rFonts w:hint="default"/>
      </w:rPr>
    </w:lvl>
    <w:lvl w:ilvl="5">
      <w:start w:val="0"/>
      <w:numFmt w:val="bullet"/>
      <w:lvlText w:val="•"/>
      <w:lvlJc w:val="left"/>
      <w:pPr>
        <w:ind w:left="5672" w:hanging="1213"/>
      </w:pPr>
      <w:rPr>
        <w:rFonts w:hint="default"/>
      </w:rPr>
    </w:lvl>
    <w:lvl w:ilvl="6">
      <w:start w:val="0"/>
      <w:numFmt w:val="bullet"/>
      <w:lvlText w:val="•"/>
      <w:lvlJc w:val="left"/>
      <w:pPr>
        <w:ind w:left="6510" w:hanging="1213"/>
      </w:pPr>
      <w:rPr>
        <w:rFonts w:hint="default"/>
      </w:rPr>
    </w:lvl>
    <w:lvl w:ilvl="7">
      <w:start w:val="0"/>
      <w:numFmt w:val="bullet"/>
      <w:lvlText w:val="•"/>
      <w:lvlJc w:val="left"/>
      <w:pPr>
        <w:ind w:left="7349" w:hanging="1213"/>
      </w:pPr>
      <w:rPr>
        <w:rFonts w:hint="default"/>
      </w:rPr>
    </w:lvl>
    <w:lvl w:ilvl="8">
      <w:start w:val="0"/>
      <w:numFmt w:val="bullet"/>
      <w:lvlText w:val="•"/>
      <w:lvlJc w:val="left"/>
      <w:pPr>
        <w:ind w:left="8187" w:hanging="1213"/>
      </w:pPr>
      <w:rPr>
        <w:rFonts w:hint="default"/>
      </w:rPr>
    </w:lvl>
  </w:abstractNum>
  <w:abstractNum w:abstractNumId="1">
    <w:multiLevelType w:val="hybridMultilevel"/>
    <w:lvl w:ilvl="0">
      <w:start w:val="1"/>
      <w:numFmt w:val="decimal"/>
      <w:lvlText w:val="%1"/>
      <w:lvlJc w:val="left"/>
      <w:pPr>
        <w:ind w:left="3032" w:hanging="1213"/>
        <w:jc w:val="left"/>
      </w:pPr>
      <w:rPr>
        <w:rFonts w:hint="default"/>
      </w:rPr>
    </w:lvl>
    <w:lvl w:ilvl="1">
      <w:start w:val="1"/>
      <w:numFmt w:val="decimal"/>
      <w:lvlText w:val="%1.%2"/>
      <w:lvlJc w:val="left"/>
      <w:pPr>
        <w:ind w:left="3032" w:hanging="1213"/>
        <w:jc w:val="left"/>
      </w:pPr>
      <w:rPr>
        <w:rFonts w:hint="default" w:ascii="黑体" w:hAnsi="黑体" w:eastAsia="黑体" w:cs="黑体"/>
        <w:spacing w:val="-105"/>
        <w:w w:val="100"/>
        <w:sz w:val="21"/>
        <w:szCs w:val="21"/>
      </w:rPr>
    </w:lvl>
    <w:lvl w:ilvl="2">
      <w:start w:val="0"/>
      <w:numFmt w:val="bullet"/>
      <w:lvlText w:val="•"/>
      <w:lvlJc w:val="left"/>
      <w:pPr>
        <w:ind w:left="4404" w:hanging="1213"/>
      </w:pPr>
      <w:rPr>
        <w:rFonts w:hint="default"/>
      </w:rPr>
    </w:lvl>
    <w:lvl w:ilvl="3">
      <w:start w:val="0"/>
      <w:numFmt w:val="bullet"/>
      <w:lvlText w:val="•"/>
      <w:lvlJc w:val="left"/>
      <w:pPr>
        <w:ind w:left="5087" w:hanging="1213"/>
      </w:pPr>
      <w:rPr>
        <w:rFonts w:hint="default"/>
      </w:rPr>
    </w:lvl>
    <w:lvl w:ilvl="4">
      <w:start w:val="0"/>
      <w:numFmt w:val="bullet"/>
      <w:lvlText w:val="•"/>
      <w:lvlJc w:val="left"/>
      <w:pPr>
        <w:ind w:left="5769" w:hanging="1213"/>
      </w:pPr>
      <w:rPr>
        <w:rFonts w:hint="default"/>
      </w:rPr>
    </w:lvl>
    <w:lvl w:ilvl="5">
      <w:start w:val="0"/>
      <w:numFmt w:val="bullet"/>
      <w:lvlText w:val="•"/>
      <w:lvlJc w:val="left"/>
      <w:pPr>
        <w:ind w:left="6452" w:hanging="1213"/>
      </w:pPr>
      <w:rPr>
        <w:rFonts w:hint="default"/>
      </w:rPr>
    </w:lvl>
    <w:lvl w:ilvl="6">
      <w:start w:val="0"/>
      <w:numFmt w:val="bullet"/>
      <w:lvlText w:val="•"/>
      <w:lvlJc w:val="left"/>
      <w:pPr>
        <w:ind w:left="7134" w:hanging="1213"/>
      </w:pPr>
      <w:rPr>
        <w:rFonts w:hint="default"/>
      </w:rPr>
    </w:lvl>
    <w:lvl w:ilvl="7">
      <w:start w:val="0"/>
      <w:numFmt w:val="bullet"/>
      <w:lvlText w:val="•"/>
      <w:lvlJc w:val="left"/>
      <w:pPr>
        <w:ind w:left="7817" w:hanging="1213"/>
      </w:pPr>
      <w:rPr>
        <w:rFonts w:hint="default"/>
      </w:rPr>
    </w:lvl>
    <w:lvl w:ilvl="8">
      <w:start w:val="0"/>
      <w:numFmt w:val="bullet"/>
      <w:lvlText w:val="•"/>
      <w:lvlJc w:val="left"/>
      <w:pPr>
        <w:ind w:left="8499" w:hanging="121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644"/>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772"/>
    </w:pPr>
    <w:rPr>
      <w:rFonts w:ascii="宋体" w:hAnsi="宋体" w:eastAsia="宋体" w:cs="宋体"/>
    </w:rPr>
  </w:style>
  <w:style w:styleId="TableParagraph" w:type="paragraph">
    <w:name w:val="Table Paragraph"/>
    <w:basedOn w:val="Normal"/>
    <w:uiPriority w:val="1"/>
    <w:qFormat/>
    <w:pPr>
      <w:ind w:left="4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&lt;4D6963726F736F667420576F7264202D20CCABB1A3CAD9A3A832303130A3A9323033BAC5B8BDBCFE3032B8BDBCD3BBDDB0B2BFB5BCB2B2A1B1A3CFD5CCF5BFEE5FB6FECEACC2EBB0E65F2E646F63&gt;</dc:title>
  <dcterms:created xsi:type="dcterms:W3CDTF">2018-10-20T04:58:43Z</dcterms:created>
  <dcterms:modified xsi:type="dcterms:W3CDTF">2018-10-20T04:58:43Z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2014-07-16T00:00:00Z</vt:filetime>
  </property>
  <property fmtid="{D5CDD505-2E9C-101B-9397-08002B2CF9AE}" pid="3" name="Creator">
    <vt:lpwstr>PScript5.dll Version 5.2</vt:lpwstr>
  </property>
  <property fmtid="{D5CDD505-2E9C-101B-9397-08002B2CF9AE}" pid="4" name="LastSaved">
    <vt:filetime>2018-10-19T00:00:00Z</vt:filetime>
  </property>
</Properties>
</file>