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6"/>
        <w:ind w:left="0" w:right="117" w:firstLine="0"/>
        <w:jc w:val="right"/>
        <w:rPr>
          <w:sz w:val="18"/>
        </w:rPr>
      </w:pPr>
      <w:r>
        <w:rPr/>
        <w:drawing>
          <wp:anchor distT="0" distB="0" distL="0" distR="0" allowOverlap="1" layoutInCell="1" locked="0" behindDoc="0" simplePos="0" relativeHeight="0">
            <wp:simplePos x="0" y="0"/>
            <wp:positionH relativeFrom="page">
              <wp:posOffset>6142354</wp:posOffset>
            </wp:positionH>
            <wp:positionV relativeFrom="paragraph">
              <wp:posOffset>261387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2741295</wp:posOffset>
            </wp:positionH>
            <wp:positionV relativeFrom="paragraph">
              <wp:posOffset>707792</wp:posOffset>
            </wp:positionV>
            <wp:extent cx="2160270" cy="34925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60270" cy="34925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-232</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[2009]</w:t>
      </w:r>
      <w:r>
        <w:rPr>
          <w:sz w:val="18"/>
        </w:rPr>
        <w:t>疾病保险 </w:t>
      </w:r>
      <w:r>
        <w:rPr>
          <w:rFonts w:ascii="Times New Roman" w:eastAsia="Times New Roman"/>
          <w:sz w:val="18"/>
        </w:rPr>
        <w:t>119 </w:t>
      </w:r>
      <w:r>
        <w:rPr>
          <w:sz w:val="18"/>
        </w:rPr>
        <w:t>号</w:t>
      </w:r>
    </w:p>
    <w:p>
      <w:pPr>
        <w:spacing w:before="39"/>
        <w:ind w:left="0" w:right="439" w:firstLine="0"/>
        <w:jc w:val="right"/>
        <w:rPr>
          <w:sz w:val="18"/>
        </w:rPr>
      </w:pPr>
      <w:r>
        <w:rPr>
          <w:sz w:val="18"/>
        </w:rPr>
        <w:t>请扫描以查询验证条款</w:t>
      </w:r>
    </w:p>
    <w:p>
      <w:pPr>
        <w:pStyle w:val="BodyText"/>
        <w:spacing w:before="6"/>
        <w:ind w:left="0"/>
        <w:rPr>
          <w:sz w:val="24"/>
        </w:rPr>
      </w:pPr>
    </w:p>
    <w:p>
      <w:pPr>
        <w:spacing w:before="17"/>
        <w:ind w:left="1876" w:right="1898" w:firstLine="0"/>
        <w:jc w:val="center"/>
        <w:rPr>
          <w:b/>
          <w:sz w:val="30"/>
        </w:rPr>
      </w:pPr>
      <w:r>
        <w:rPr>
          <w:b/>
          <w:sz w:val="30"/>
        </w:rPr>
        <w:t>太平附加安益提前给付重大疾病保险（</w:t>
      </w:r>
      <w:r>
        <w:rPr>
          <w:rFonts w:ascii="Times New Roman" w:eastAsia="Times New Roman"/>
          <w:b/>
          <w:sz w:val="30"/>
        </w:rPr>
        <w:t>B </w:t>
      </w:r>
      <w:r>
        <w:rPr>
          <w:b/>
          <w:sz w:val="30"/>
        </w:rPr>
        <w:t>款）</w:t>
      </w:r>
      <w:r>
        <w:rPr>
          <w:rFonts w:ascii="Times New Roman" w:eastAsia="Times New Roman"/>
          <w:b/>
          <w:sz w:val="30"/>
        </w:rPr>
        <w:t>2007 </w:t>
      </w:r>
      <w:r>
        <w:rPr>
          <w:b/>
          <w:sz w:val="30"/>
        </w:rPr>
        <w:t>条款</w:t>
      </w:r>
    </w:p>
    <w:p>
      <w:pPr>
        <w:pStyle w:val="BodyText"/>
        <w:spacing w:before="49"/>
        <w:ind w:left="1876" w:right="1893"/>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spacing w:before="6"/>
        <w:ind w:left="0"/>
        <w:rPr>
          <w:sz w:val="26"/>
        </w:rPr>
      </w:pPr>
    </w:p>
    <w:p>
      <w:pPr>
        <w:spacing w:before="0"/>
        <w:ind w:left="1876" w:right="1898"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95314pt;width:486.1pt;height:141.1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8"/>
                    <w:gridCol w:w="7867"/>
                  </w:tblGrid>
                  <w:tr>
                    <w:trPr>
                      <w:trHeight w:val="855" w:hRule="atLeast"/>
                    </w:trPr>
                    <w:tc>
                      <w:tcPr>
                        <w:tcW w:w="1388" w:type="dxa"/>
                      </w:tcPr>
                      <w:p>
                        <w:pPr>
                          <w:pStyle w:val="TableParagraph"/>
                          <w:spacing w:line="240" w:lineRule="exact"/>
                          <w:ind w:left="200"/>
                          <w:rPr>
                            <w:b/>
                            <w:sz w:val="24"/>
                          </w:rPr>
                        </w:pPr>
                        <w:r>
                          <w:rPr>
                            <w:b/>
                            <w:w w:val="95"/>
                            <w:sz w:val="24"/>
                          </w:rPr>
                          <w:t>投保人</w:t>
                        </w:r>
                      </w:p>
                    </w:tc>
                    <w:tc>
                      <w:tcPr>
                        <w:tcW w:w="468" w:type="dxa"/>
                      </w:tcPr>
                      <w:p>
                        <w:pPr>
                          <w:pStyle w:val="TableParagraph"/>
                          <w:spacing w:line="240" w:lineRule="exact"/>
                          <w:ind w:left="0" w:right="122"/>
                          <w:jc w:val="right"/>
                          <w:rPr>
                            <w:b/>
                            <w:sz w:val="24"/>
                          </w:rPr>
                        </w:pPr>
                        <w:r>
                          <w:rPr>
                            <w:b/>
                            <w:w w:val="99"/>
                            <w:sz w:val="24"/>
                          </w:rPr>
                          <w:t>:</w:t>
                        </w:r>
                      </w:p>
                    </w:tc>
                    <w:tc>
                      <w:tcPr>
                        <w:tcW w:w="7867" w:type="dxa"/>
                      </w:tcPr>
                      <w:p>
                        <w:pPr>
                          <w:pStyle w:val="TableParagraph"/>
                          <w:spacing w:line="240" w:lineRule="exact"/>
                          <w:ind w:left="122"/>
                          <w:rPr>
                            <w:sz w:val="24"/>
                          </w:rPr>
                        </w:pPr>
                        <w:r>
                          <w:rPr>
                            <w:sz w:val="24"/>
                          </w:rPr>
                          <w:t>是指与保险公司订立保险合同的人，按照保险合同负有支付保险费的义</w:t>
                        </w:r>
                      </w:p>
                      <w:p>
                        <w:pPr>
                          <w:pStyle w:val="TableParagraph"/>
                          <w:spacing w:before="46"/>
                          <w:ind w:left="122"/>
                          <w:rPr>
                            <w:sz w:val="24"/>
                          </w:rPr>
                        </w:pPr>
                        <w:r>
                          <w:rPr>
                            <w:sz w:val="24"/>
                          </w:rPr>
                          <w:t>务。在本附加合同中以“您”代称。</w:t>
                        </w:r>
                      </w:p>
                    </w:tc>
                  </w:tr>
                  <w:tr>
                    <w:trPr>
                      <w:trHeight w:val="1111" w:hRule="atLeast"/>
                    </w:trPr>
                    <w:tc>
                      <w:tcPr>
                        <w:tcW w:w="1388" w:type="dxa"/>
                      </w:tcPr>
                      <w:p>
                        <w:pPr>
                          <w:pStyle w:val="TableParagraph"/>
                          <w:spacing w:before="181"/>
                          <w:ind w:left="200"/>
                          <w:rPr>
                            <w:b/>
                            <w:sz w:val="24"/>
                          </w:rPr>
                        </w:pPr>
                        <w:r>
                          <w:rPr>
                            <w:b/>
                            <w:sz w:val="24"/>
                          </w:rPr>
                          <w:t>被保险人</w:t>
                        </w:r>
                      </w:p>
                    </w:tc>
                    <w:tc>
                      <w:tcPr>
                        <w:tcW w:w="468" w:type="dxa"/>
                      </w:tcPr>
                      <w:p>
                        <w:pPr>
                          <w:pStyle w:val="TableParagraph"/>
                          <w:spacing w:before="181"/>
                          <w:ind w:left="0" w:right="122"/>
                          <w:jc w:val="right"/>
                          <w:rPr>
                            <w:b/>
                            <w:sz w:val="24"/>
                          </w:rPr>
                        </w:pPr>
                        <w:r>
                          <w:rPr>
                            <w:b/>
                            <w:w w:val="99"/>
                            <w:sz w:val="24"/>
                          </w:rPr>
                          <w:t>:</w:t>
                        </w:r>
                      </w:p>
                    </w:tc>
                    <w:tc>
                      <w:tcPr>
                        <w:tcW w:w="7867" w:type="dxa"/>
                      </w:tcPr>
                      <w:p>
                        <w:pPr>
                          <w:pStyle w:val="TableParagraph"/>
                          <w:spacing w:line="276" w:lineRule="auto" w:before="181"/>
                          <w:ind w:left="122" w:right="201"/>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spacing w:before="181"/>
                          <w:ind w:left="200"/>
                          <w:rPr>
                            <w:b/>
                            <w:sz w:val="24"/>
                          </w:rPr>
                        </w:pPr>
                        <w:r>
                          <w:rPr>
                            <w:b/>
                            <w:w w:val="95"/>
                            <w:sz w:val="24"/>
                          </w:rPr>
                          <w:t>受益人</w:t>
                        </w:r>
                      </w:p>
                    </w:tc>
                    <w:tc>
                      <w:tcPr>
                        <w:tcW w:w="468" w:type="dxa"/>
                      </w:tcPr>
                      <w:p>
                        <w:pPr>
                          <w:pStyle w:val="TableParagraph"/>
                          <w:spacing w:before="181"/>
                          <w:ind w:left="0" w:right="122"/>
                          <w:jc w:val="right"/>
                          <w:rPr>
                            <w:b/>
                            <w:sz w:val="24"/>
                          </w:rPr>
                        </w:pPr>
                        <w:r>
                          <w:rPr>
                            <w:b/>
                            <w:w w:val="99"/>
                            <w:sz w:val="24"/>
                          </w:rPr>
                          <w:t>:</w:t>
                        </w:r>
                      </w:p>
                    </w:tc>
                    <w:tc>
                      <w:tcPr>
                        <w:tcW w:w="7867" w:type="dxa"/>
                      </w:tcPr>
                      <w:p>
                        <w:pPr>
                          <w:pStyle w:val="TableParagraph"/>
                          <w:spacing w:line="360" w:lineRule="atLeast" w:before="135"/>
                          <w:ind w:left="12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本产品保险责任有等待期，请您留意.............................第三、四条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解除保险合同会给您造成一定的损失，请您慎重决策.................第十三条</w:t>
      </w:r>
    </w:p>
    <w:p>
      <w:pPr>
        <w:pStyle w:val="BodyText"/>
        <w:ind w:left="0"/>
        <w:rPr>
          <w:sz w:val="26"/>
        </w:rPr>
      </w:pPr>
    </w:p>
    <w:p>
      <w:pPr>
        <w:pStyle w:val="BodyText"/>
        <w:spacing w:before="6"/>
        <w:ind w:left="0"/>
        <w:rPr>
          <w:sz w:val="31"/>
        </w:rPr>
      </w:pPr>
    </w:p>
    <w:p>
      <w:pPr>
        <w:spacing w:line="237" w:lineRule="auto" w:before="0"/>
        <w:ind w:left="1084" w:right="480" w:hanging="27"/>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2"/>
          <w:w w:val="95"/>
          <w:position w:val="-8"/>
          <w:sz w:val="24"/>
        </w:rPr>
        <w:t>．</w:t>
      </w:r>
      <w:r>
        <w:rPr>
          <w:b/>
          <w:spacing w:val="-168"/>
          <w:w w:val="95"/>
          <w:sz w:val="24"/>
        </w:rPr>
        <w:t>必</w:t>
      </w:r>
      <w:r>
        <w:rPr>
          <w:spacing w:val="-70"/>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1"/>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6"/>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6"/>
        </w:rPr>
      </w:pPr>
    </w:p>
    <w:p>
      <w:pPr>
        <w:pStyle w:val="BodyText"/>
        <w:spacing w:before="43"/>
        <w:ind w:left="1876" w:right="1895"/>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80" w:bottom="280" w:left="500" w:right="320"/>
        </w:sectPr>
      </w:pPr>
    </w:p>
    <w:p>
      <w:pPr>
        <w:tabs>
          <w:tab w:pos="858" w:val="left" w:leader="none"/>
        </w:tabs>
        <w:spacing w:before="43"/>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496"/>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10015" w:val="right" w:leader="dot"/>
            </w:tabs>
            <w:spacing w:before="41"/>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10013" w:val="right" w:leader="dot"/>
            </w:tabs>
            <w:spacing w:before="41"/>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37" w:val="left" w:leader="none"/>
              <w:tab w:pos="10013" w:val="right" w:leader="dot"/>
            </w:tabs>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37" w:val="left" w:leader="none"/>
              <w:tab w:pos="10013" w:val="right" w:leader="dot"/>
            </w:tabs>
            <w:spacing w:before="41"/>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37" w:val="left" w:leader="none"/>
              <w:tab w:pos="10013"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37" w:val="left" w:leader="none"/>
              <w:tab w:pos="10013" w:val="right" w:leader="dot"/>
            </w:tabs>
            <w:spacing w:before="42"/>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37" w:val="left" w:leader="none"/>
              <w:tab w:pos="10013" w:val="right" w:leader="dot"/>
            </w:tabs>
            <w:rPr>
              <w:rFonts w:ascii="Times New Roman" w:eastAsia="Times New Roman"/>
            </w:rPr>
          </w:pPr>
          <w:hyperlink w:history="true" w:anchor="_bookmark13">
            <w:r>
              <w:rPr/>
              <w:t>第十条</w:t>
              <w:tab/>
              <w:t>诉讼时效</w:t>
              <w:tab/>
            </w:r>
            <w:r>
              <w:rPr>
                <w:rFonts w:ascii="Times New Roman" w:eastAsia="Times New Roman"/>
              </w:rPr>
              <w:t>5</w:t>
            </w:r>
          </w:hyperlink>
        </w:p>
        <w:p>
          <w:pPr>
            <w:pStyle w:val="TOC2"/>
            <w:tabs>
              <w:tab w:pos="1737" w:val="left" w:leader="none"/>
              <w:tab w:pos="10013" w:val="right" w:leader="dot"/>
            </w:tabs>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5">
            <w:r>
              <w:rPr/>
              <w:t>第五部分</w:t>
              <w:tab/>
              <w:t>您还享有哪些权益</w:t>
              <w:tab/>
            </w:r>
            <w:r>
              <w:rPr>
                <w:rFonts w:ascii="Times New Roman" w:eastAsia="Times New Roman"/>
              </w:rPr>
              <w:t>6</w:t>
            </w:r>
          </w:hyperlink>
        </w:p>
        <w:p>
          <w:pPr>
            <w:pStyle w:val="TOC2"/>
            <w:tabs>
              <w:tab w:pos="1737" w:val="left" w:leader="none"/>
              <w:tab w:pos="10013" w:val="right" w:leader="dot"/>
            </w:tabs>
            <w:spacing w:before="42"/>
            <w:rPr>
              <w:rFonts w:ascii="Times New Roman" w:eastAsia="Times New Roman"/>
            </w:rPr>
          </w:pPr>
          <w:hyperlink w:history="true" w:anchor="_bookmark16">
            <w:r>
              <w:rPr/>
              <w:t>第十二条</w:t>
              <w:tab/>
              <w:t>犹豫期</w:t>
              <w:tab/>
            </w:r>
            <w:r>
              <w:rPr>
                <w:rFonts w:ascii="Times New Roman" w:eastAsia="Times New Roman"/>
              </w:rPr>
              <w:t>6</w:t>
            </w:r>
          </w:hyperlink>
        </w:p>
        <w:p>
          <w:pPr>
            <w:pStyle w:val="TOC2"/>
            <w:tabs>
              <w:tab w:pos="1737" w:val="left" w:leader="none"/>
              <w:tab w:pos="10013" w:val="right" w:leader="dot"/>
            </w:tabs>
            <w:spacing w:before="63"/>
            <w:rPr>
              <w:rFonts w:ascii="Times New Roman" w:eastAsia="Times New Roman"/>
            </w:rPr>
          </w:pPr>
          <w:hyperlink w:history="true" w:anchor="_bookmark17">
            <w:r>
              <w:rPr/>
              <w:t>第十三条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6</w:t>
            </w:r>
          </w:hyperlink>
        </w:p>
        <w:p>
          <w:pPr>
            <w:pStyle w:val="TOC2"/>
            <w:tabs>
              <w:tab w:pos="1737" w:val="left" w:leader="none"/>
              <w:tab w:pos="10013" w:val="right" w:leader="dot"/>
            </w:tabs>
            <w:spacing w:before="42"/>
            <w:rPr>
              <w:rFonts w:ascii="Times New Roman" w:eastAsia="Times New Roman"/>
            </w:rPr>
          </w:pPr>
          <w:hyperlink w:history="true" w:anchor="_bookmark19">
            <w:r>
              <w:rPr/>
              <w:t>第十四条</w:t>
              <w:tab/>
              <w:t>保险合同的终止</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20">
            <w:r>
              <w:rPr/>
              <w:t>第十五条</w:t>
              <w:tab/>
              <w:t>冠状动脉的介入手术定义</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21">
            <w:r>
              <w:rPr/>
              <w:t>第十六条</w:t>
              <w:tab/>
              <w:t>终末期疾病定义</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7</w:t>
            </w:r>
          </w:hyperlink>
        </w:p>
      </w:sdtContent>
    </w:sdt>
    <w:p>
      <w:pPr>
        <w:spacing w:after="0"/>
        <w:rPr>
          <w:rFonts w:ascii="Times New Roman" w:eastAsia="Times New Roman"/>
        </w:rPr>
        <w:sectPr>
          <w:footerReference w:type="default" r:id="rId8"/>
          <w:pgSz w:w="11910" w:h="16160"/>
          <w:pgMar w:footer="1031" w:header="0" w:top="1520" w:bottom="1220" w:left="960" w:right="820"/>
          <w:pgNumType w:start="2"/>
        </w:sectPr>
      </w:pPr>
    </w:p>
    <w:p>
      <w:pPr>
        <w:pStyle w:val="Heading1"/>
        <w:tabs>
          <w:tab w:pos="2888" w:val="left" w:leader="none"/>
        </w:tabs>
        <w:spacing w:line="313" w:lineRule="exact"/>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20" w:firstLine="420"/>
        <w:jc w:val="both"/>
      </w:pPr>
      <w:r>
        <w:rPr/>
        <w:t>本附加合同依您的申请，可附加于我们提供的主合同之上，经我们审核同意，并在保险单或批注中列明后生效。</w:t>
      </w:r>
    </w:p>
    <w:p>
      <w:pPr>
        <w:pStyle w:val="BodyText"/>
        <w:spacing w:line="273" w:lineRule="auto" w:before="7"/>
        <w:ind w:right="120" w:firstLine="420"/>
        <w:jc w:val="both"/>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本附加合同构成主合同的一部分，不可分割，必须与《太平安益两全保险（</w:t>
      </w:r>
      <w:r>
        <w:rPr>
          <w:rFonts w:ascii="Times New Roman" w:eastAsia="Times New Roman"/>
        </w:rPr>
        <w:t>B </w:t>
      </w:r>
      <w:r>
        <w:rPr/>
        <w:t>款）</w:t>
      </w:r>
      <w:r>
        <w:rPr>
          <w:rFonts w:ascii="Times New Roman" w:eastAsia="Times New Roman"/>
        </w:rPr>
        <w:t>2007</w:t>
      </w:r>
      <w:r>
        <w:rPr/>
        <w:t>》同时投保。</w:t>
      </w:r>
    </w:p>
    <w:p>
      <w:pPr>
        <w:pStyle w:val="BodyText"/>
        <w:spacing w:before="5"/>
        <w:ind w:left="0"/>
        <w:rPr>
          <w:sz w:val="25"/>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60 </w:t>
      </w:r>
      <w:r>
        <w:rPr/>
        <w:t>天至 </w:t>
      </w:r>
      <w:r>
        <w:rPr>
          <w:rFonts w:ascii="Times New Roman" w:eastAsia="Times New Roman"/>
        </w:rPr>
        <w:t>50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4"/>
        <w:ind w:left="0"/>
        <w:rPr>
          <w:sz w:val="23"/>
        </w:rPr>
      </w:pPr>
    </w:p>
    <w:p>
      <w:pPr>
        <w:pStyle w:val="Heading1"/>
        <w:tabs>
          <w:tab w:pos="1418" w:val="left" w:leader="none"/>
        </w:tabs>
        <w:ind w:right="2"/>
      </w:pPr>
      <w:bookmarkStart w:name="_bookmark3" w:id="4"/>
      <w:bookmarkEnd w:id="4"/>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7"/>
        <w:ind w:right="120" w:firstLine="420"/>
        <w:jc w:val="both"/>
      </w:pPr>
      <w:r>
        <w:rPr/>
        <w:t>本附加合同的基本保险金额由您和我们约定，并在保险单或批注上列明。如果该金额发生变更，则以变更后的金额为基本保险金额。</w:t>
      </w:r>
    </w:p>
    <w:p>
      <w:pPr>
        <w:pStyle w:val="BodyText"/>
        <w:spacing w:line="256" w:lineRule="auto" w:before="7" w:after="34"/>
        <w:ind w:right="118" w:firstLine="420"/>
        <w:jc w:val="both"/>
      </w:pPr>
      <w:r>
        <w:rPr/>
        <w:t>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确诊初次患上本附加合同第十七条所定义的重大疾病或第十六条所定义的终末期疾病时的保险金额为下表中规定的金额：</w:t>
      </w: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9"/>
        <w:gridCol w:w="4681"/>
      </w:tblGrid>
      <w:tr>
        <w:trPr>
          <w:trHeight w:val="366" w:hRule="atLeast"/>
        </w:trPr>
        <w:tc>
          <w:tcPr>
            <w:tcW w:w="4909" w:type="dxa"/>
          </w:tcPr>
          <w:p>
            <w:pPr>
              <w:pStyle w:val="TableParagraph"/>
              <w:spacing w:before="16"/>
              <w:ind w:left="2194" w:right="1825"/>
              <w:jc w:val="center"/>
              <w:rPr>
                <w:sz w:val="21"/>
              </w:rPr>
            </w:pPr>
            <w:r>
              <w:rPr>
                <w:sz w:val="21"/>
              </w:rPr>
              <w:t>保单年度</w:t>
            </w:r>
          </w:p>
        </w:tc>
        <w:tc>
          <w:tcPr>
            <w:tcW w:w="4681" w:type="dxa"/>
          </w:tcPr>
          <w:p>
            <w:pPr>
              <w:pStyle w:val="TableParagraph"/>
              <w:spacing w:before="16"/>
              <w:ind w:left="716" w:right="345"/>
              <w:jc w:val="center"/>
              <w:rPr>
                <w:sz w:val="21"/>
              </w:rPr>
            </w:pPr>
            <w:r>
              <w:rPr>
                <w:sz w:val="21"/>
              </w:rPr>
              <w:t>保险金额（占基本保险金额的百分比）</w:t>
            </w:r>
          </w:p>
        </w:tc>
      </w:tr>
      <w:tr>
        <w:trPr>
          <w:trHeight w:val="624" w:hRule="atLeast"/>
        </w:trPr>
        <w:tc>
          <w:tcPr>
            <w:tcW w:w="4909" w:type="dxa"/>
          </w:tcPr>
          <w:p>
            <w:pPr>
              <w:pStyle w:val="TableParagraph"/>
              <w:spacing w:before="143"/>
              <w:ind w:left="107" w:right="-15"/>
              <w:rPr>
                <w:sz w:val="21"/>
              </w:rPr>
            </w:pPr>
            <w:r>
              <w:rPr>
                <w:spacing w:val="-6"/>
                <w:sz w:val="21"/>
              </w:rPr>
              <w:t>本附加合同生效或复效不足 </w:t>
            </w:r>
            <w:r>
              <w:rPr>
                <w:rFonts w:ascii="Times New Roman" w:eastAsia="Times New Roman"/>
                <w:sz w:val="21"/>
              </w:rPr>
              <w:t>1</w:t>
            </w:r>
            <w:r>
              <w:rPr>
                <w:rFonts w:ascii="Times New Roman" w:eastAsia="Times New Roman"/>
                <w:spacing w:val="12"/>
                <w:sz w:val="21"/>
              </w:rPr>
              <w:t> </w:t>
            </w:r>
            <w:r>
              <w:rPr>
                <w:spacing w:val="-19"/>
                <w:sz w:val="21"/>
              </w:rPr>
              <w:t>周年</w:t>
            </w:r>
            <w:r>
              <w:rPr>
                <w:spacing w:val="-3"/>
                <w:sz w:val="21"/>
              </w:rPr>
              <w:t>（以较迟者为准</w:t>
            </w:r>
            <w:r>
              <w:rPr>
                <w:sz w:val="21"/>
              </w:rPr>
              <w:t>）</w:t>
            </w:r>
          </w:p>
        </w:tc>
        <w:tc>
          <w:tcPr>
            <w:tcW w:w="4681" w:type="dxa"/>
          </w:tcPr>
          <w:p>
            <w:pPr>
              <w:pStyle w:val="TableParagraph"/>
              <w:spacing w:line="262" w:lineRule="exact"/>
              <w:ind w:left="107"/>
              <w:rPr>
                <w:sz w:val="21"/>
              </w:rPr>
            </w:pPr>
            <w:r>
              <w:rPr>
                <w:sz w:val="21"/>
              </w:rPr>
              <w:t>无息退还本附加合同及其主合同《太平安益两全</w:t>
            </w:r>
          </w:p>
          <w:p>
            <w:pPr>
              <w:pStyle w:val="TableParagraph"/>
              <w:spacing w:before="37"/>
              <w:ind w:left="107"/>
              <w:rPr>
                <w:sz w:val="21"/>
              </w:rPr>
            </w:pPr>
            <w:r>
              <w:rPr>
                <w:sz w:val="21"/>
              </w:rPr>
              <w:t>保险（</w:t>
            </w:r>
            <w:r>
              <w:rPr>
                <w:rFonts w:ascii="Times New Roman" w:eastAsia="Times New Roman"/>
                <w:sz w:val="21"/>
              </w:rPr>
              <w:t>B </w:t>
            </w:r>
            <w:r>
              <w:rPr>
                <w:sz w:val="21"/>
              </w:rPr>
              <w:t>款）</w:t>
            </w:r>
            <w:r>
              <w:rPr>
                <w:rFonts w:ascii="Times New Roman" w:eastAsia="Times New Roman"/>
                <w:sz w:val="21"/>
              </w:rPr>
              <w:t>2007</w:t>
            </w:r>
            <w:r>
              <w:rPr>
                <w:sz w:val="21"/>
              </w:rPr>
              <w:t>》的已交保险费</w:t>
            </w:r>
          </w:p>
        </w:tc>
      </w:tr>
      <w:tr>
        <w:trPr>
          <w:trHeight w:val="625" w:hRule="atLeast"/>
        </w:trPr>
        <w:tc>
          <w:tcPr>
            <w:tcW w:w="4909" w:type="dxa"/>
          </w:tcPr>
          <w:p>
            <w:pPr>
              <w:pStyle w:val="TableParagraph"/>
              <w:spacing w:line="280" w:lineRule="exact"/>
              <w:ind w:left="107"/>
              <w:rPr>
                <w:sz w:val="21"/>
              </w:rPr>
            </w:pPr>
            <w:r>
              <w:rPr>
                <w:sz w:val="21"/>
              </w:rPr>
              <w:t>本附加合同生效或复效满 </w:t>
            </w:r>
            <w:r>
              <w:rPr>
                <w:rFonts w:ascii="Times New Roman" w:eastAsia="Times New Roman"/>
                <w:sz w:val="21"/>
              </w:rPr>
              <w:t>1 </w:t>
            </w:r>
            <w:r>
              <w:rPr>
                <w:sz w:val="21"/>
              </w:rPr>
              <w:t>周年但未满 </w:t>
            </w:r>
            <w:r>
              <w:rPr>
                <w:rFonts w:ascii="Times New Roman" w:eastAsia="Times New Roman"/>
                <w:sz w:val="21"/>
              </w:rPr>
              <w:t>2 </w:t>
            </w:r>
            <w:r>
              <w:rPr>
                <w:sz w:val="21"/>
              </w:rPr>
              <w:t>周年</w:t>
            </w:r>
          </w:p>
          <w:p>
            <w:pPr>
              <w:pStyle w:val="TableParagraph"/>
              <w:spacing w:before="21"/>
              <w:ind w:left="107"/>
              <w:rPr>
                <w:sz w:val="21"/>
              </w:rPr>
            </w:pPr>
            <w:r>
              <w:rPr>
                <w:sz w:val="21"/>
              </w:rPr>
              <w:t>（以较迟者为准）</w:t>
            </w:r>
          </w:p>
        </w:tc>
        <w:tc>
          <w:tcPr>
            <w:tcW w:w="4681" w:type="dxa"/>
          </w:tcPr>
          <w:p>
            <w:pPr>
              <w:pStyle w:val="TableParagraph"/>
              <w:spacing w:before="192"/>
              <w:ind w:left="716" w:right="344"/>
              <w:jc w:val="center"/>
              <w:rPr>
                <w:rFonts w:ascii="Times New Roman"/>
                <w:sz w:val="21"/>
              </w:rPr>
            </w:pPr>
            <w:r>
              <w:rPr>
                <w:rFonts w:ascii="Times New Roman"/>
                <w:sz w:val="21"/>
              </w:rPr>
              <w:t>70%</w:t>
            </w:r>
          </w:p>
        </w:tc>
      </w:tr>
      <w:tr>
        <w:trPr>
          <w:trHeight w:val="623" w:hRule="atLeast"/>
        </w:trPr>
        <w:tc>
          <w:tcPr>
            <w:tcW w:w="4909" w:type="dxa"/>
          </w:tcPr>
          <w:p>
            <w:pPr>
              <w:pStyle w:val="TableParagraph"/>
              <w:spacing w:line="278" w:lineRule="exact"/>
              <w:ind w:left="107"/>
              <w:rPr>
                <w:sz w:val="21"/>
              </w:rPr>
            </w:pPr>
            <w:r>
              <w:rPr>
                <w:sz w:val="21"/>
              </w:rPr>
              <w:t>本附加合同生效或复效满 </w:t>
            </w:r>
            <w:r>
              <w:rPr>
                <w:rFonts w:ascii="Times New Roman" w:eastAsia="Times New Roman"/>
                <w:sz w:val="21"/>
              </w:rPr>
              <w:t>2 </w:t>
            </w:r>
            <w:r>
              <w:rPr>
                <w:sz w:val="21"/>
              </w:rPr>
              <w:t>周年及以上</w:t>
            </w:r>
          </w:p>
          <w:p>
            <w:pPr>
              <w:pStyle w:val="TableParagraph"/>
              <w:spacing w:before="21"/>
              <w:ind w:left="107"/>
              <w:rPr>
                <w:sz w:val="21"/>
              </w:rPr>
            </w:pPr>
            <w:r>
              <w:rPr>
                <w:sz w:val="21"/>
              </w:rPr>
              <w:t>（以较迟者为准）</w:t>
            </w:r>
          </w:p>
        </w:tc>
        <w:tc>
          <w:tcPr>
            <w:tcW w:w="4681" w:type="dxa"/>
          </w:tcPr>
          <w:p>
            <w:pPr>
              <w:pStyle w:val="TableParagraph"/>
              <w:spacing w:before="190"/>
              <w:ind w:left="716" w:right="344"/>
              <w:jc w:val="center"/>
              <w:rPr>
                <w:rFonts w:ascii="Times New Roman"/>
                <w:sz w:val="21"/>
              </w:rPr>
            </w:pPr>
            <w:r>
              <w:rPr>
                <w:rFonts w:ascii="Times New Roman"/>
                <w:sz w:val="21"/>
              </w:rPr>
              <w:t>100%</w:t>
            </w:r>
          </w:p>
        </w:tc>
      </w:tr>
    </w:tbl>
    <w:p>
      <w:pPr>
        <w:pStyle w:val="BodyText"/>
        <w:spacing w:before="11"/>
        <w:ind w:left="0"/>
        <w:rPr>
          <w:sz w:val="22"/>
        </w:rPr>
      </w:pPr>
    </w:p>
    <w:p>
      <w:pPr>
        <w:tabs>
          <w:tab w:pos="969" w:val="left" w:leader="none"/>
        </w:tabs>
        <w:spacing w:line="273" w:lineRule="auto" w:before="0"/>
        <w:ind w:left="117" w:right="8132" w:firstLine="0"/>
        <w:jc w:val="left"/>
        <w:rPr>
          <w:sz w:val="21"/>
        </w:rPr>
      </w:pPr>
      <w:bookmarkStart w:name="_bookmark5" w:id="6"/>
      <w:bookmarkEnd w:id="6"/>
      <w:r>
        <w:rPr/>
      </w:r>
      <w:r>
        <w:rPr>
          <w:b/>
          <w:sz w:val="21"/>
        </w:rPr>
        <w:t>第四条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4" w:lineRule="auto" w:before="7"/>
        <w:ind w:right="115" w:firstLine="420"/>
        <w:jc w:val="both"/>
      </w:pPr>
      <w:r>
        <w:rPr>
          <w:spacing w:val="-3"/>
        </w:rPr>
        <w:t>在本附加合同</w:t>
      </w:r>
      <w:r>
        <w:rPr>
          <w:b/>
        </w:rPr>
        <w:t>保险期间</w:t>
      </w:r>
      <w:r>
        <w:rPr>
          <w:rFonts w:ascii="Times New Roman" w:eastAsia="Times New Roman"/>
          <w:b/>
          <w:vertAlign w:val="superscript"/>
        </w:rPr>
        <w:t>4</w:t>
      </w:r>
      <w:r>
        <w:rPr>
          <w:rFonts w:ascii="Times New Roman" w:eastAsia="Times New Roman"/>
          <w:b/>
          <w:vertAlign w:val="baseline"/>
        </w:rPr>
      </w:r>
      <w:r>
        <w:rPr>
          <w:spacing w:val="-7"/>
          <w:vertAlign w:val="baseline"/>
        </w:rPr>
        <w:t>内且本附加合同有效，如果被保险人首次发病并经医院确诊初次患上一项或多项本附加合同第十七条所定义的重大疾病，我们按本附加合同当时的保险金额给付重大疾病保险金，同时本附</w:t>
      </w:r>
      <w:r>
        <w:rPr>
          <w:spacing w:val="-5"/>
          <w:vertAlign w:val="baseline"/>
        </w:rPr>
        <w:t>加合同的效力终止，主合同的基本保险金额随之扣除本附加合同的基本保险金额。</w:t>
      </w:r>
    </w:p>
    <w:p>
      <w:pPr>
        <w:pStyle w:val="BodyText"/>
        <w:spacing w:before="1"/>
        <w:ind w:left="0"/>
        <w:rPr>
          <w:sz w:val="25"/>
        </w:rPr>
      </w:pPr>
    </w:p>
    <w:p>
      <w:pPr>
        <w:pStyle w:val="BodyText"/>
      </w:pPr>
      <w:r>
        <w:rPr/>
        <w:t>二、生命关爱保险金</w:t>
      </w:r>
    </w:p>
    <w:p>
      <w:pPr>
        <w:pStyle w:val="BodyText"/>
        <w:spacing w:before="36"/>
        <w:ind w:left="538"/>
      </w:pPr>
      <w:r>
        <w:rPr/>
        <w:t>在本附加合同保险期间内且本附加合同有效，如果被保险人首次发病并经医院确诊初次患上本附加合同</w:t>
      </w:r>
    </w:p>
    <w:p>
      <w:pPr>
        <w:pStyle w:val="BodyText"/>
        <w:spacing w:before="12"/>
        <w:ind w:left="0"/>
        <w:rPr>
          <w:sz w:val="20"/>
        </w:rPr>
      </w:pPr>
      <w:r>
        <w:rPr/>
        <w:pict>
          <v:line style="position:absolute;mso-position-horizontal-relative:page;mso-position-vertical-relative:paragraph;z-index:1120;mso-wrap-distance-left:0;mso-wrap-distance-right:0" from="53.880001pt,15.88803pt" to="197.930001pt,15.88803pt" stroked="true" strokeweight=".48004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发病：</w:t>
      </w:r>
      <w:r>
        <w:rPr/>
        <w:t>指投保人出现本附加合同所界定疾病的前兆或异常的身体状况，或已经显现足以使一般人士引起注意</w:t>
      </w:r>
    </w:p>
    <w:p>
      <w:pPr>
        <w:pStyle w:val="BodyText"/>
        <w:spacing w:line="227" w:lineRule="exact"/>
      </w:pPr>
      <w:r>
        <w:rPr/>
        <w:t>并寻求诊断、治疗或护理的病症。</w:t>
      </w:r>
    </w:p>
    <w:p>
      <w:pPr>
        <w:pStyle w:val="BodyText"/>
        <w:spacing w:line="318" w:lineRule="exact"/>
      </w:pPr>
      <w:r>
        <w:rPr>
          <w:rFonts w:ascii="Times New Roman" w:eastAsia="Times New Roman"/>
          <w:position w:val="10"/>
          <w:sz w:val="14"/>
        </w:rPr>
        <w:t>3</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酒、戒毒或相类似的医疗机构。同时该医院必须具有符合有关医院管理规定设臵标准的医疗设备，并且提供</w:t>
      </w:r>
    </w:p>
    <w:p>
      <w:pPr>
        <w:pStyle w:val="BodyText"/>
        <w:spacing w:line="247" w:lineRule="exact"/>
      </w:pPr>
      <w:r>
        <w:rPr>
          <w:rFonts w:ascii="Times New Roman" w:eastAsia="Times New Roman"/>
        </w:rPr>
        <w:t>24 </w:t>
      </w:r>
      <w:r>
        <w:rPr/>
        <w:t>小时有合格医师及护士驻院的医疗和护理等服务。</w:t>
      </w:r>
    </w:p>
    <w:p>
      <w:pPr>
        <w:pStyle w:val="BodyText"/>
        <w:spacing w:line="324" w:lineRule="exact"/>
      </w:pPr>
      <w:r>
        <w:rPr>
          <w:rFonts w:ascii="Times New Roman" w:eastAsia="Times New Roman"/>
          <w:position w:val="10"/>
          <w:sz w:val="14"/>
        </w:rPr>
        <w:t>4</w:t>
      </w:r>
      <w:r>
        <w:rPr>
          <w:rFonts w:ascii="Microsoft JhengHei" w:eastAsia="Microsoft JhengHei" w:hint="eastAsia"/>
          <w:b/>
        </w:rPr>
        <w:t>保险期间：</w:t>
      </w:r>
      <w:r>
        <w:rPr/>
        <w:t>指保险合同期间，自本附加合同生效日起至合同约定终止时止，并在保险单上载明。</w:t>
      </w:r>
    </w:p>
    <w:p>
      <w:pPr>
        <w:spacing w:after="0" w:line="324" w:lineRule="exact"/>
        <w:sectPr>
          <w:pgSz w:w="11910" w:h="16160"/>
          <w:pgMar w:header="0" w:footer="1031" w:top="1500" w:bottom="1240" w:left="960" w:right="800"/>
        </w:sectPr>
      </w:pPr>
    </w:p>
    <w:p>
      <w:pPr>
        <w:pStyle w:val="BodyText"/>
        <w:spacing w:line="273" w:lineRule="auto" w:before="6"/>
        <w:ind w:right="218"/>
      </w:pPr>
      <w:r>
        <w:rPr/>
        <w:t>第十六条所定义的终末期疾病，我们按本附加合同当时的保险金额给付生命关爱保险金，同时本附加合同的效力终止，主合同的基本保险金额随之扣除本附加合同的基本保险金额。</w:t>
      </w:r>
    </w:p>
    <w:p>
      <w:pPr>
        <w:pStyle w:val="BodyText"/>
        <w:spacing w:before="5"/>
        <w:ind w:left="0"/>
        <w:rPr>
          <w:sz w:val="24"/>
        </w:rPr>
      </w:pPr>
    </w:p>
    <w:p>
      <w:pPr>
        <w:pStyle w:val="BodyText"/>
      </w:pPr>
      <w:r>
        <w:rPr/>
        <w:t>三、特种疾病津贴</w:t>
      </w:r>
    </w:p>
    <w:p>
      <w:pPr>
        <w:pStyle w:val="BodyText"/>
        <w:spacing w:line="261" w:lineRule="auto" w:before="36"/>
        <w:ind w:right="212" w:firstLine="420"/>
        <w:jc w:val="both"/>
      </w:pPr>
      <w:r>
        <w:rPr>
          <w:spacing w:val="-5"/>
        </w:rPr>
        <w:t>在本附加合同保险期间内且本附加合同有效，自本附加合同生效日或最后复效日</w:t>
      </w:r>
      <w:r>
        <w:rPr/>
        <w:t>（</w:t>
      </w:r>
      <w:r>
        <w:rPr>
          <w:spacing w:val="-3"/>
        </w:rPr>
        <w:t>以较迟者为准</w:t>
      </w:r>
      <w:r>
        <w:rPr>
          <w:spacing w:val="-5"/>
        </w:rPr>
        <w:t>）</w:t>
      </w:r>
      <w:r>
        <w:rPr>
          <w:spacing w:val="-10"/>
        </w:rPr>
        <w:t>起 </w:t>
      </w:r>
      <w:r>
        <w:rPr>
          <w:rFonts w:ascii="Times New Roman" w:eastAsia="Times New Roman"/>
        </w:rPr>
        <w:t>90 </w:t>
      </w:r>
      <w:r>
        <w:rPr>
          <w:spacing w:val="-3"/>
        </w:rPr>
        <w:t>天后，被保险人首次发病并经医院确诊初次进行本附加合同第十五条所定义的冠状动脉的介入手术，我们按本附加合同基本保险金额的 </w:t>
      </w:r>
      <w:r>
        <w:rPr>
          <w:rFonts w:ascii="Times New Roman" w:eastAsia="Times New Roman"/>
        </w:rPr>
        <w:t>10%</w:t>
      </w:r>
      <w:r>
        <w:rPr>
          <w:spacing w:val="-3"/>
        </w:rPr>
        <w:t>给付特种疾病津贴，同时本项保险责任终止，我们承担的其它保险责任依然有效。</w:t>
      </w:r>
    </w:p>
    <w:p>
      <w:pPr>
        <w:pStyle w:val="BodyText"/>
        <w:spacing w:before="2"/>
        <w:ind w:left="0"/>
        <w:rPr>
          <w:sz w:val="25"/>
        </w:rPr>
      </w:pPr>
    </w:p>
    <w:p>
      <w:pPr>
        <w:pStyle w:val="Heading2"/>
        <w:tabs>
          <w:tab w:pos="969" w:val="left" w:leader="none"/>
        </w:tabs>
      </w:pPr>
      <w:bookmarkStart w:name="_bookmark6" w:id="7"/>
      <w:bookmarkEnd w:id="7"/>
      <w:r>
        <w:rPr>
          <w:b w:val="0"/>
        </w:rPr>
      </w:r>
      <w:r>
        <w:rPr/>
        <w:t>第五条</w:t>
        <w:tab/>
        <w:t>责任免除</w:t>
      </w:r>
    </w:p>
    <w:p>
      <w:pPr>
        <w:pStyle w:val="BodyText"/>
        <w:spacing w:line="273" w:lineRule="auto" w:before="37"/>
        <w:ind w:right="220" w:firstLine="420"/>
        <w:jc w:val="both"/>
        <w:rPr>
          <w:rFonts w:ascii="黑体" w:eastAsia="黑体" w:hint="eastAsia"/>
        </w:rPr>
      </w:pPr>
      <w:r>
        <w:rPr>
          <w:rFonts w:ascii="黑体" w:eastAsia="黑体" w:hint="eastAsia"/>
        </w:rPr>
        <w:t>因下列情形之一导致被保险人患上本附加合同所定义的重大疾病、或终末期疾病、或进行冠状动脉的介入手术的，我们不承担保险责任：</w:t>
      </w:r>
    </w:p>
    <w:p>
      <w:pPr>
        <w:pStyle w:val="BodyText"/>
        <w:spacing w:before="8"/>
        <w:rPr>
          <w:rFonts w:ascii="黑体" w:eastAsia="黑体" w:hint="eastAsia"/>
        </w:rPr>
      </w:pPr>
      <w:r>
        <w:rPr>
          <w:rFonts w:ascii="黑体" w:eastAsia="黑体" w:hint="eastAsia"/>
        </w:rPr>
        <w:t>一、投保人对被保险人的故意杀害、故意伤害；</w:t>
      </w:r>
    </w:p>
    <w:p>
      <w:pPr>
        <w:pStyle w:val="BodyText"/>
        <w:spacing w:line="273" w:lineRule="auto" w:before="37"/>
        <w:ind w:right="360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5</w:t>
      </w:r>
      <w:r>
        <w:rPr>
          <w:rFonts w:ascii="Times New Roman" w:eastAsia="Times New Roman"/>
          <w:b/>
          <w:vertAlign w:val="baseline"/>
        </w:rPr>
      </w:r>
      <w:r>
        <w:rPr>
          <w:rFonts w:ascii="黑体" w:eastAsia="黑体" w:hint="eastAsia"/>
          <w:vertAlign w:val="baseline"/>
        </w:rPr>
        <w:t>；</w:t>
      </w:r>
    </w:p>
    <w:p>
      <w:pPr>
        <w:spacing w:line="256" w:lineRule="auto" w:before="0"/>
        <w:ind w:left="117" w:right="2336"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6</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16"/>
        <w:ind w:right="6340"/>
        <w:rPr>
          <w:rFonts w:ascii="黑体" w:eastAsia="黑体" w:hint="eastAsia"/>
        </w:rPr>
      </w:pPr>
      <w:r>
        <w:rPr>
          <w:rFonts w:ascii="黑体" w:eastAsia="黑体" w:hint="eastAsia"/>
        </w:rPr>
        <w:t>六、战争、军事冲突、暴乱或武装叛乱； 七、核爆炸、核辐射或核污染；</w:t>
      </w:r>
    </w:p>
    <w:p>
      <w:pPr>
        <w:spacing w:before="7"/>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right="111" w:firstLine="420"/>
        <w:rPr>
          <w:rFonts w:ascii="黑体" w:eastAsia="黑体" w:hint="eastAsia"/>
        </w:rPr>
      </w:pPr>
      <w:r>
        <w:rPr>
          <w:rFonts w:ascii="黑体" w:eastAsia="黑体" w:hint="eastAsia"/>
        </w:rPr>
        <w:t>发Th</w:t>
      </w:r>
      <w:r>
        <w:rPr>
          <w:rFonts w:ascii="黑体" w:eastAsia="黑体" w:hint="eastAsia"/>
          <w:spacing w:val="-3"/>
        </w:rPr>
        <w:t>上述第一项情形导致被保险人患上本附加合同所定义的重大疾病、或终末期疾病、或进行冠状动脉 </w:t>
      </w:r>
      <w:r>
        <w:rPr>
          <w:rFonts w:ascii="黑体" w:eastAsia="黑体" w:hint="eastAsia"/>
          <w:spacing w:val="-5"/>
        </w:rPr>
        <w:t>的介入手术的，本附加合同终止，您已交足 </w:t>
      </w:r>
      <w:r>
        <w:rPr>
          <w:rFonts w:ascii="Times New Roman" w:eastAsia="Times New Roman"/>
        </w:rPr>
        <w:t>2</w:t>
      </w:r>
      <w:r>
        <w:rPr>
          <w:rFonts w:ascii="Times New Roman" w:eastAsia="Times New Roman"/>
          <w:spacing w:val="25"/>
        </w:rPr>
        <w:t> </w:t>
      </w:r>
      <w:r>
        <w:rPr>
          <w:rFonts w:ascii="黑体" w:eastAsia="黑体" w:hint="eastAsia"/>
          <w:spacing w:val="-3"/>
        </w:rPr>
        <w:t>年以上保险费的，我们向其他权利人退还保险单的</w:t>
      </w:r>
      <w:r>
        <w:rPr>
          <w:rFonts w:ascii="黑体" w:eastAsia="黑体" w:hint="eastAsia"/>
          <w:b/>
          <w:spacing w:val="-2"/>
        </w:rPr>
        <w:t>现金价值</w:t>
      </w:r>
      <w:r>
        <w:rPr>
          <w:rFonts w:ascii="Times New Roman" w:eastAsia="Times New Roman"/>
          <w:b/>
          <w:vertAlign w:val="superscript"/>
        </w:rPr>
        <w:t>12</w:t>
      </w:r>
      <w:r>
        <w:rPr>
          <w:rFonts w:ascii="Times New Roman" w:eastAsia="Times New Roman"/>
          <w:b/>
          <w:vertAlign w:val="baseline"/>
        </w:rPr>
      </w:r>
      <w:r>
        <w:rPr>
          <w:rFonts w:ascii="黑体" w:eastAsia="黑体" w:hint="eastAsia"/>
          <w:vertAlign w:val="baseline"/>
        </w:rPr>
        <w:t>。</w:t>
      </w:r>
    </w:p>
    <w:p>
      <w:pPr>
        <w:pStyle w:val="BodyText"/>
        <w:spacing w:line="264" w:lineRule="exact"/>
        <w:ind w:left="538"/>
        <w:rPr>
          <w:rFonts w:ascii="黑体" w:eastAsia="黑体" w:hint="eastAsia"/>
        </w:rPr>
      </w:pPr>
      <w:r>
        <w:rPr>
          <w:rFonts w:ascii="黑体" w:eastAsia="黑体" w:hint="eastAsia"/>
        </w:rPr>
        <w:t>发Th上述其他情形导致被保险人患上本附加合同所定义的重大疾病、或终末期疾病、或进行冠状动脉的</w:t>
      </w:r>
    </w:p>
    <w:p>
      <w:pPr>
        <w:pStyle w:val="BodyText"/>
        <w:spacing w:before="11"/>
        <w:ind w:left="0"/>
        <w:rPr>
          <w:rFonts w:ascii="黑体"/>
          <w:sz w:val="23"/>
        </w:rPr>
      </w:pPr>
      <w:r>
        <w:rPr/>
        <w:pict>
          <v:line style="position:absolute;mso-position-horizontal-relative:page;mso-position-vertical-relative:paragraph;z-index:1144;mso-wrap-distance-left:0;mso-wrap-distance-right:0" from="53.880001pt,17.844679pt" to="197.930001pt,17.844679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5</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right="246"/>
      </w:pPr>
      <w:r>
        <w:rPr/>
        <w:t>定管制的其他能够使人形成瘾癖的麻醉药品和精神药品，但不包括由医生开具并遵医嘱使用的用于治疗疾病但含有毒品成分的处方药品。</w:t>
      </w:r>
    </w:p>
    <w:p>
      <w:pPr>
        <w:pStyle w:val="BodyText"/>
        <w:spacing w:line="284" w:lineRule="exact" w:before="10"/>
      </w:pPr>
      <w:r>
        <w:rPr>
          <w:rFonts w:ascii="Times New Roman" w:eastAsia="Times New Roman"/>
          <w:position w:val="10"/>
          <w:sz w:val="14"/>
        </w:rPr>
        <w:t>6</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7</w:t>
      </w:r>
      <w:r>
        <w:rPr>
          <w:rFonts w:ascii="Microsoft JhengHei" w:eastAsia="Microsoft JhengHei" w:hint="eastAsia"/>
          <w:b/>
          <w:spacing w:val="-2"/>
          <w:w w:val="100"/>
          <w:sz w:val="21"/>
        </w:rPr>
        <w:t>无合法有效驾驶证驾驶：</w:t>
      </w:r>
      <w:r>
        <w:rPr>
          <w:spacing w:val="-18"/>
          <w:w w:val="100"/>
          <w:sz w:val="21"/>
        </w:rPr>
        <w:t>指下列情形之一：</w:t>
      </w:r>
      <w:r>
        <w:rPr>
          <w:spacing w:val="-1"/>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5" w:lineRule="auto" w:before="4"/>
        <w:ind w:right="24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spacing w:val="-1"/>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3" w:lineRule="exact"/>
      </w:pPr>
      <w:r>
        <w:rPr>
          <w:rFonts w:ascii="Times New Roman" w:eastAsia="Times New Roman"/>
          <w:w w:val="99"/>
          <w:position w:val="10"/>
          <w:sz w:val="14"/>
        </w:rPr>
        <w:t>8</w:t>
      </w:r>
      <w:r>
        <w:rPr>
          <w:rFonts w:ascii="Microsoft JhengHei" w:eastAsia="Microsoft JhengHei" w:hint="eastAsia"/>
          <w:b/>
          <w:spacing w:val="-2"/>
          <w:w w:val="100"/>
        </w:rPr>
        <w:t>无有效行驶证：</w:t>
      </w:r>
      <w:r>
        <w:rPr>
          <w:spacing w:val="-17"/>
          <w:w w:val="100"/>
        </w:rPr>
        <w:t>指下列情形之一：</w:t>
      </w:r>
      <w:r>
        <w:rPr>
          <w:spacing w:val="-3"/>
          <w:w w:val="100"/>
        </w:rPr>
        <w:t>（</w:t>
      </w:r>
      <w:r>
        <w:rPr>
          <w:rFonts w:ascii="Times New Roman" w:eastAsia="Times New Roman"/>
          <w:spacing w:val="-3"/>
          <w:w w:val="100"/>
        </w:rPr>
        <w:t>1</w:t>
      </w:r>
      <w:r>
        <w:rPr>
          <w:spacing w:val="-8"/>
          <w:w w:val="100"/>
        </w:rPr>
        <w:t>）</w:t>
      </w:r>
      <w:r>
        <w:rPr>
          <w:spacing w:val="-13"/>
          <w:w w:val="100"/>
        </w:rPr>
        <w:t>机动车被依法注销登记的；</w:t>
      </w:r>
      <w:r>
        <w:rPr>
          <w:spacing w:val="-1"/>
          <w:w w:val="100"/>
        </w:rPr>
        <w:t>（</w:t>
      </w:r>
      <w:r>
        <w:rPr>
          <w:rFonts w:ascii="Times New Roman" w:eastAsia="Times New Roman"/>
          <w:spacing w:val="-3"/>
          <w:w w:val="100"/>
        </w:rPr>
        <w:t>2</w:t>
      </w:r>
      <w:r>
        <w:rPr>
          <w:spacing w:val="-8"/>
          <w:w w:val="100"/>
        </w:rPr>
        <w:t>）</w:t>
      </w:r>
      <w:r>
        <w:rPr>
          <w:spacing w:val="-3"/>
          <w:w w:val="100"/>
        </w:rPr>
        <w:t>未依法按时进行或通过机动车安全技</w:t>
      </w:r>
    </w:p>
    <w:p>
      <w:pPr>
        <w:pStyle w:val="BodyText"/>
        <w:spacing w:line="227" w:lineRule="exact"/>
      </w:pPr>
      <w:r>
        <w:rPr/>
        <w:t>术检验。</w:t>
      </w:r>
    </w:p>
    <w:p>
      <w:pPr>
        <w:pStyle w:val="BodyText"/>
        <w:spacing w:line="220" w:lineRule="auto"/>
        <w:ind w:right="212"/>
      </w:pPr>
      <w:r>
        <w:rPr>
          <w:rFonts w:ascii="Times New Roman" w:eastAsia="Times New Roman"/>
          <w:position w:val="10"/>
          <w:sz w:val="14"/>
        </w:rPr>
        <w:t>9</w:t>
      </w:r>
      <w:r>
        <w:rPr>
          <w:rFonts w:ascii="Microsoft JhengHei" w:eastAsia="Microsoft JhengHei" w:hint="eastAsia"/>
          <w:b/>
          <w:spacing w:val="-4"/>
        </w:rPr>
        <w:t>感染艾滋病病毒或患艾滋病：</w:t>
      </w:r>
      <w:r>
        <w:rPr>
          <w:spacing w:val="-5"/>
        </w:rPr>
        <w:t>艾滋病病毒指人类免疫缺陷病毒，英文缩写为 </w:t>
      </w:r>
      <w:r>
        <w:rPr>
          <w:rFonts w:ascii="Times New Roman" w:eastAsia="Times New Roman"/>
        </w:rPr>
        <w:t>HIV</w:t>
      </w:r>
      <w:r>
        <w:rPr>
          <w:spacing w:val="-5"/>
        </w:rPr>
        <w:t>。艾滋病指人类免疫缺陷病</w:t>
      </w:r>
      <w:r>
        <w:rPr>
          <w:spacing w:val="-7"/>
        </w:rPr>
        <w:t>毒引起的获得性免疫缺陷综合征，英文缩写为 </w:t>
      </w:r>
      <w:r>
        <w:rPr>
          <w:rFonts w:ascii="Times New Roman" w:eastAsia="Times New Roman"/>
        </w:rPr>
        <w:t>AIDS</w:t>
      </w:r>
      <w:r>
        <w:rPr>
          <w:spacing w:val="-8"/>
        </w:rPr>
        <w:t>。在人体血液或其它样本中检测到艾滋病病毒或其抗体呈</w:t>
      </w:r>
    </w:p>
    <w:p>
      <w:pPr>
        <w:pStyle w:val="BodyText"/>
        <w:spacing w:line="274" w:lineRule="exact" w:before="12"/>
        <w:ind w:right="246"/>
      </w:pPr>
      <w:r>
        <w:rPr/>
        <w:t>阳性，没有出现临床症状或体征的，为感染艾滋病病毒；如果同时出现了明显临床症状或体征的，为患艾滋病。</w:t>
      </w:r>
    </w:p>
    <w:p>
      <w:pPr>
        <w:pStyle w:val="BodyText"/>
        <w:spacing w:line="256" w:lineRule="exact"/>
      </w:pPr>
      <w:r>
        <w:rPr>
          <w:rFonts w:ascii="Times New Roman" w:eastAsia="Times New Roman"/>
          <w:position w:val="10"/>
          <w:sz w:val="14"/>
        </w:rPr>
        <w:t>10</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11</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12</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right="246"/>
      </w:pPr>
      <w:r>
        <w:rPr/>
        <w:t>金额。每个保单年度末本附加合同所具有的现金价值在保险单或批注上列明。每个保单年度中，本附加合同所具有的现金价值根据本附加合同实际经过的天数计算。</w:t>
      </w:r>
    </w:p>
    <w:p>
      <w:pPr>
        <w:spacing w:after="0" w:line="274" w:lineRule="exact"/>
        <w:sectPr>
          <w:pgSz w:w="11910" w:h="16160"/>
          <w:pgMar w:header="0" w:footer="1031" w:top="1520" w:bottom="1240" w:left="960" w:right="700"/>
        </w:sectPr>
      </w:pPr>
    </w:p>
    <w:p>
      <w:pPr>
        <w:pStyle w:val="BodyText"/>
        <w:spacing w:before="6"/>
        <w:rPr>
          <w:rFonts w:ascii="黑体" w:eastAsia="黑体" w:hint="eastAsia"/>
        </w:rPr>
      </w:pPr>
      <w:r>
        <w:rPr>
          <w:rFonts w:ascii="黑体" w:eastAsia="黑体" w:hint="eastAsia"/>
        </w:rPr>
        <w:t>介入手术的，本附加合同终止，我们向您退还保险单的现金价值。</w:t>
      </w:r>
    </w:p>
    <w:p>
      <w:pPr>
        <w:pStyle w:val="BodyText"/>
        <w:spacing w:before="8"/>
        <w:ind w:left="0"/>
        <w:rPr>
          <w:rFonts w:ascii="黑体"/>
          <w:sz w:val="26"/>
        </w:rPr>
      </w:pPr>
    </w:p>
    <w:p>
      <w:pPr>
        <w:pStyle w:val="Heading2"/>
        <w:tabs>
          <w:tab w:pos="969" w:val="left" w:leader="none"/>
        </w:tabs>
      </w:pPr>
      <w:bookmarkStart w:name="_bookmark7" w:id="8"/>
      <w:bookmarkEnd w:id="8"/>
      <w:r>
        <w:rPr>
          <w:b w:val="0"/>
        </w:rPr>
      </w:r>
      <w:r>
        <w:rPr/>
        <w:t>第六条</w:t>
        <w:tab/>
        <w:t>保险合同成立与生效</w:t>
      </w:r>
    </w:p>
    <w:p>
      <w:pPr>
        <w:pStyle w:val="BodyText"/>
        <w:spacing w:before="36"/>
        <w:ind w:left="538"/>
      </w:pPr>
      <w:r>
        <w:rPr/>
        <w:t>您提出保险申请、我们同意承保，本附加合同成立。</w:t>
      </w:r>
    </w:p>
    <w:p>
      <w:pPr>
        <w:pStyle w:val="BodyText"/>
        <w:spacing w:line="273" w:lineRule="auto" w:before="36"/>
        <w:ind w:right="117"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w:t>
      </w:r>
      <w:r>
        <w:rPr>
          <w:rFonts w:ascii="Times New Roman" w:eastAsia="Times New Roman"/>
          <w:b/>
          <w:vertAlign w:val="superscript"/>
        </w:rPr>
        <w:t>3</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7"/>
        <w:ind w:left="0"/>
        <w:rPr>
          <w:sz w:val="24"/>
        </w:rPr>
      </w:pPr>
    </w:p>
    <w:p>
      <w:pPr>
        <w:pStyle w:val="Heading1"/>
        <w:tabs>
          <w:tab w:pos="1418" w:val="left" w:leader="none"/>
        </w:tabs>
        <w:spacing w:before="1"/>
      </w:pPr>
      <w:bookmarkStart w:name="_bookmark8" w:id="9"/>
      <w:bookmarkEnd w:id="9"/>
      <w:r>
        <w:rPr>
          <w:b w:val="0"/>
        </w:rPr>
      </w:r>
      <w:r>
        <w:rPr/>
        <w:t>第三部分</w:t>
        <w:tab/>
      </w:r>
      <w:r>
        <w:rPr>
          <w:w w:val="95"/>
        </w:rPr>
        <w:t>如何交纳保险费</w:t>
      </w:r>
    </w:p>
    <w:p>
      <w:pPr>
        <w:pStyle w:val="BodyText"/>
        <w:spacing w:before="10"/>
        <w:ind w:left="0"/>
        <w:rPr>
          <w:b/>
          <w:sz w:val="25"/>
        </w:rPr>
      </w:pPr>
    </w:p>
    <w:p>
      <w:pPr>
        <w:pStyle w:val="Heading2"/>
        <w:tabs>
          <w:tab w:pos="969" w:val="left" w:leader="none"/>
        </w:tabs>
      </w:pPr>
      <w:bookmarkStart w:name="_bookmark9" w:id="10"/>
      <w:bookmarkEnd w:id="10"/>
      <w:r>
        <w:rPr>
          <w:b w:val="0"/>
        </w:rPr>
      </w:r>
      <w:r>
        <w:rPr/>
        <w:t>第七条</w:t>
        <w:tab/>
        <w:t>保险费的交纳</w:t>
      </w:r>
    </w:p>
    <w:p>
      <w:pPr>
        <w:pStyle w:val="BodyText"/>
        <w:spacing w:before="37"/>
        <w:ind w:left="538"/>
      </w:pPr>
      <w:r>
        <w:rPr/>
        <w:t>本附加合同保险费的交费方式、交费日期与主合同一致。</w:t>
      </w:r>
    </w:p>
    <w:p>
      <w:pPr>
        <w:pStyle w:val="BodyText"/>
        <w:spacing w:before="8"/>
        <w:ind w:left="0"/>
        <w:rPr>
          <w:sz w:val="26"/>
        </w:rPr>
      </w:pPr>
    </w:p>
    <w:p>
      <w:pPr>
        <w:pStyle w:val="Heading2"/>
        <w:tabs>
          <w:tab w:pos="969" w:val="left" w:leader="none"/>
        </w:tabs>
        <w:spacing w:before="1"/>
      </w:pPr>
      <w:bookmarkStart w:name="_bookmark10" w:id="11"/>
      <w:bookmarkEnd w:id="11"/>
      <w:r>
        <w:rPr>
          <w:b w:val="0"/>
        </w:rPr>
      </w:r>
      <w:r>
        <w:rPr/>
        <w:t>第八条</w:t>
        <w:tab/>
        <w:t>保险费率的调整</w:t>
      </w:r>
    </w:p>
    <w:p>
      <w:pPr>
        <w:pStyle w:val="BodyText"/>
        <w:spacing w:line="273" w:lineRule="auto" w:before="37"/>
        <w:ind w:right="120" w:firstLine="420"/>
      </w:pPr>
      <w:r>
        <w:rPr/>
        <w:t>我们保留提高或降低保险费率之权利，但须向监管机构备案。保险费率的调整针对所有被保险人或同一类被保险人。</w:t>
      </w:r>
    </w:p>
    <w:p>
      <w:pPr>
        <w:pStyle w:val="BodyText"/>
        <w:spacing w:line="273" w:lineRule="auto" w:before="7"/>
        <w:ind w:right="1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0"/>
        <w:ind w:left="0"/>
        <w:rPr>
          <w:sz w:val="20"/>
        </w:rPr>
      </w:pPr>
    </w:p>
    <w:p>
      <w:pPr>
        <w:pStyle w:val="Heading1"/>
        <w:tabs>
          <w:tab w:pos="1418" w:val="left" w:leader="none"/>
        </w:tabs>
      </w:pPr>
      <w:bookmarkStart w:name="_bookmark11" w:id="12"/>
      <w:bookmarkEnd w:id="12"/>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pPr>
      <w:bookmarkStart w:name="_bookmark12" w:id="13"/>
      <w:bookmarkEnd w:id="13"/>
      <w:r>
        <w:rPr>
          <w:b w:val="0"/>
        </w:rPr>
      </w:r>
      <w:r>
        <w:rPr/>
        <w:t>第九条</w:t>
        <w:tab/>
        <w:t>受益人</w:t>
      </w:r>
    </w:p>
    <w:p>
      <w:pPr>
        <w:pStyle w:val="BodyText"/>
        <w:spacing w:before="37"/>
        <w:ind w:left="538"/>
      </w:pPr>
      <w:r>
        <w:rPr/>
        <w:t>重大疾病保险金、生命关爱保险金和特种疾病津贴的受益人为被保险人本人。</w:t>
      </w:r>
    </w:p>
    <w:p>
      <w:pPr>
        <w:pStyle w:val="BodyText"/>
        <w:spacing w:before="9"/>
        <w:ind w:left="0"/>
        <w:rPr>
          <w:sz w:val="26"/>
        </w:rPr>
      </w:pPr>
    </w:p>
    <w:p>
      <w:pPr>
        <w:pStyle w:val="Heading2"/>
        <w:tabs>
          <w:tab w:pos="1017" w:val="left" w:leader="none"/>
        </w:tabs>
      </w:pPr>
      <w:bookmarkStart w:name="_bookmark13" w:id="14"/>
      <w:bookmarkEnd w:id="14"/>
      <w:r>
        <w:rPr>
          <w:b w:val="0"/>
        </w:rPr>
      </w:r>
      <w:r>
        <w:rPr/>
        <w:t>第十条</w:t>
        <w:tab/>
      </w:r>
      <w:r>
        <w:rPr>
          <w:spacing w:val="-1"/>
        </w:rPr>
        <w:t>诉</w:t>
      </w:r>
      <w:r>
        <w:rPr/>
        <w:t>讼时效</w:t>
      </w:r>
    </w:p>
    <w:p>
      <w:pPr>
        <w:pStyle w:val="BodyText"/>
        <w:spacing w:line="273" w:lineRule="auto" w:before="37"/>
        <w:ind w:right="120" w:firstLine="420"/>
      </w:pPr>
      <w:r>
        <w:rPr/>
        <w:t>人寿保险以外的其他保险的被保险人或者受益人，向我们请求赔偿或者给付保险金的诉讼时效期间为二年，自其知道或者应当知道</w:t>
      </w:r>
      <w:r>
        <w:rPr>
          <w:b/>
        </w:rPr>
        <w:t>保险事故</w:t>
      </w:r>
      <w:r>
        <w:rPr>
          <w:rFonts w:ascii="Times New Roman" w:eastAsia="Times New Roman"/>
          <w:b/>
          <w:vertAlign w:val="superscript"/>
        </w:rPr>
        <w:t>14</w:t>
      </w:r>
      <w:r>
        <w:rPr>
          <w:rFonts w:ascii="Times New Roman" w:eastAsia="Times New Roman"/>
          <w:b/>
          <w:vertAlign w:val="baseline"/>
        </w:rPr>
      </w:r>
      <w:r>
        <w:rPr>
          <w:vertAlign w:val="baseline"/>
        </w:rPr>
        <w:t>发生之日起计算。</w:t>
      </w:r>
    </w:p>
    <w:p>
      <w:pPr>
        <w:pStyle w:val="BodyText"/>
        <w:spacing w:line="273" w:lineRule="auto"/>
        <w:ind w:right="120" w:firstLine="420"/>
      </w:pPr>
      <w:r>
        <w:rPr/>
        <w:t>人寿保险的被保险人或者受益人向我们请求给付保险金的诉讼时效期间为五年，自其知道或者应当知道保险事故发生之日起计算。</w:t>
      </w:r>
    </w:p>
    <w:p>
      <w:pPr>
        <w:pStyle w:val="BodyText"/>
        <w:spacing w:before="4"/>
        <w:ind w:left="0"/>
        <w:rPr>
          <w:sz w:val="25"/>
        </w:rPr>
      </w:pPr>
    </w:p>
    <w:p>
      <w:pPr>
        <w:pStyle w:val="Heading2"/>
        <w:tabs>
          <w:tab w:pos="1197" w:val="left" w:leader="none"/>
        </w:tabs>
      </w:pPr>
      <w:bookmarkStart w:name="_bookmark14" w:id="15"/>
      <w:bookmarkEnd w:id="15"/>
      <w:r>
        <w:rPr>
          <w:b w:val="0"/>
        </w:rPr>
      </w:r>
      <w:r>
        <w:rPr/>
        <w:t>第十一条</w:t>
        <w:tab/>
        <w:t>保险金申请</w:t>
      </w:r>
    </w:p>
    <w:p>
      <w:pPr>
        <w:pStyle w:val="BodyText"/>
        <w:spacing w:line="273" w:lineRule="auto" w:before="37"/>
        <w:ind w:right="119" w:firstLine="420"/>
      </w:pPr>
      <w:r>
        <w:rPr/>
        <w:t>在申请重大疾病保险金、生命关爱保险金或特种疾病津贴时，申请人须填写保险金给付申请书，并提供下列证明和资料：</w:t>
      </w:r>
    </w:p>
    <w:p>
      <w:pPr>
        <w:pStyle w:val="ListParagraph"/>
        <w:numPr>
          <w:ilvl w:val="0"/>
          <w:numId w:val="2"/>
        </w:numPr>
        <w:tabs>
          <w:tab w:pos="835" w:val="left" w:leader="none"/>
          <w:tab w:pos="836" w:val="left" w:leader="none"/>
        </w:tabs>
        <w:spacing w:line="240" w:lineRule="auto" w:before="7"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2"/>
          <w:sz w:val="21"/>
        </w:rPr>
        <w:t>受益人的</w:t>
      </w:r>
      <w:r>
        <w:rPr>
          <w:b/>
          <w:spacing w:val="-1"/>
          <w:sz w:val="21"/>
        </w:rPr>
        <w:t>有效身份证件</w:t>
      </w:r>
      <w:r>
        <w:rPr>
          <w:rFonts w:ascii="Times New Roman" w:eastAsia="Times New Roman"/>
          <w:b/>
          <w:sz w:val="21"/>
          <w:vertAlign w:val="superscript"/>
        </w:rPr>
        <w:t>15</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医院出具的附有被保险人病理、血液及其它科学方法检验报告等诊断证明文件；</w:t>
      </w:r>
    </w:p>
    <w:p>
      <w:pPr>
        <w:pStyle w:val="BodyText"/>
        <w:spacing w:before="10"/>
        <w:ind w:left="0"/>
      </w:pPr>
      <w:r>
        <w:rPr/>
        <w:pict>
          <v:line style="position:absolute;mso-position-horizontal-relative:page;mso-position-vertical-relative:paragraph;z-index:1168;mso-wrap-distance-left:0;mso-wrap-distance-right:0" from="53.880001pt,16.447472pt" to="197.930001pt,16.447472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本附加合同期满日：</w:t>
      </w:r>
      <w:r>
        <w:rPr>
          <w:sz w:val="21"/>
        </w:rPr>
        <w:t>指保险单或批注上列明的合同生效日经过保险期间后的对应日。如果当月无对应的同</w:t>
      </w:r>
    </w:p>
    <w:p>
      <w:pPr>
        <w:pStyle w:val="BodyText"/>
        <w:spacing w:line="227" w:lineRule="exact"/>
      </w:pPr>
      <w:r>
        <w:rPr/>
        <w:t>一日，则以该月最后一日为对应日。</w:t>
      </w:r>
    </w:p>
    <w:p>
      <w:pPr>
        <w:spacing w:line="284" w:lineRule="exact" w:before="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pPr>
      <w:r>
        <w:rPr>
          <w:rFonts w:ascii="Times New Roman" w:eastAsia="Times New Roman"/>
          <w:position w:val="10"/>
          <w:sz w:val="14"/>
        </w:rPr>
        <w:t>15</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pPr>
      <w:r>
        <w:rPr/>
        <w:t>的未成年人。</w:t>
      </w:r>
    </w:p>
    <w:p>
      <w:pPr>
        <w:spacing w:after="0" w:line="262" w:lineRule="exact"/>
        <w:sectPr>
          <w:pgSz w:w="11910" w:h="16160"/>
          <w:pgMar w:header="0" w:footer="1031" w:top="1520" w:bottom="1240" w:left="960" w:right="800"/>
        </w:sectPr>
      </w:pPr>
    </w:p>
    <w:p>
      <w:pPr>
        <w:pStyle w:val="ListParagraph"/>
        <w:numPr>
          <w:ilvl w:val="0"/>
          <w:numId w:val="2"/>
        </w:numPr>
        <w:tabs>
          <w:tab w:pos="835" w:val="left" w:leader="none"/>
          <w:tab w:pos="836" w:val="left" w:leader="none"/>
        </w:tabs>
        <w:spacing w:line="240" w:lineRule="auto" w:before="26"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8" w:firstLine="358"/>
      </w:pPr>
      <w:r>
        <w:rPr>
          <w:spacing w:val="-3"/>
        </w:rPr>
        <w:t>如果委托他人代为申请，则应提供授权委托书、受托人有效身份证件等相关证明文件。保险金作为被  险人遗产时，必须提供可证明合法继承权的相关权利文件。以上证明和资料不完整的，我们将及时一次性通知申请人补充提供有关证明和资料。</w:t>
      </w:r>
    </w:p>
    <w:p>
      <w:pPr>
        <w:pStyle w:val="BodyText"/>
        <w:spacing w:before="4"/>
        <w:ind w:left="0"/>
        <w:rPr>
          <w:sz w:val="22"/>
        </w:rPr>
      </w:pPr>
    </w:p>
    <w:p>
      <w:pPr>
        <w:pStyle w:val="Heading1"/>
        <w:tabs>
          <w:tab w:pos="1418" w:val="left" w:leader="none"/>
        </w:tabs>
      </w:pPr>
      <w:bookmarkStart w:name="_bookmark15" w:id="16"/>
      <w:bookmarkEnd w:id="16"/>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16" w:id="17"/>
      <w:bookmarkEnd w:id="17"/>
      <w:r>
        <w:rPr>
          <w:b w:val="0"/>
        </w:rPr>
      </w:r>
      <w:r>
        <w:rPr/>
        <w:t>第十二条</w:t>
        <w:tab/>
        <w:t>犹豫期</w:t>
      </w:r>
    </w:p>
    <w:p>
      <w:pPr>
        <w:pStyle w:val="BodyText"/>
        <w:spacing w:before="36"/>
        <w:ind w:left="538"/>
      </w:pPr>
      <w:r>
        <w:rPr/>
        <w:t>您在收到本附加合同后可享有 </w:t>
      </w:r>
      <w:r>
        <w:rPr>
          <w:rFonts w:ascii="Times New Roman" w:eastAsia="Times New Roman"/>
        </w:rPr>
        <w:t>10 </w:t>
      </w:r>
      <w:r>
        <w:rPr/>
        <w:t>天的犹豫期，在犹豫期内要求解除本附加合同的，在我们收齐相关文件</w:t>
      </w:r>
    </w:p>
    <w:p>
      <w:pPr>
        <w:pStyle w:val="BodyText"/>
        <w:spacing w:line="256" w:lineRule="auto" w:before="20"/>
        <w:ind w:right="117"/>
      </w:pPr>
      <w:r>
        <w:rPr>
          <w:spacing w:val="-8"/>
        </w:rPr>
        <w:t>和资料的次日零时，本附加合同即被解除，我们自始不承担保险责任。我们在扣除 </w:t>
      </w:r>
      <w:r>
        <w:rPr>
          <w:rFonts w:ascii="Times New Roman" w:eastAsia="Times New Roman"/>
        </w:rPr>
        <w:t>10 </w:t>
      </w:r>
      <w:r>
        <w:rPr>
          <w:spacing w:val="-6"/>
        </w:rPr>
        <w:t>元工本费后，无息退还</w:t>
      </w:r>
      <w:r>
        <w:rPr>
          <w:spacing w:val="-4"/>
        </w:rPr>
        <w:t>已交的保险费。</w:t>
      </w:r>
    </w:p>
    <w:p>
      <w:pPr>
        <w:pStyle w:val="BodyText"/>
        <w:spacing w:before="7"/>
        <w:ind w:left="0"/>
        <w:rPr>
          <w:sz w:val="25"/>
        </w:rPr>
      </w:pPr>
    </w:p>
    <w:p>
      <w:pPr>
        <w:pStyle w:val="Heading2"/>
        <w:tabs>
          <w:tab w:pos="1197" w:val="left" w:leader="none"/>
        </w:tabs>
      </w:pPr>
      <w:bookmarkStart w:name="_bookmark17" w:id="18"/>
      <w:bookmarkEnd w:id="18"/>
      <w:r>
        <w:rPr>
          <w:b w:val="0"/>
        </w:rPr>
      </w:r>
      <w:r>
        <w:rPr/>
        <w:t>第十三条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1418" w:val="left" w:leader="none"/>
        </w:tabs>
        <w:ind w:right="2"/>
      </w:pPr>
      <w:bookmarkStart w:name="_bookmark18" w:id="19"/>
      <w:bookmarkEnd w:id="19"/>
      <w:r>
        <w:rPr>
          <w:b w:val="0"/>
        </w:rPr>
      </w:r>
      <w:r>
        <w:rPr/>
        <w:t>第六部分</w:t>
        <w:tab/>
      </w:r>
      <w:r>
        <w:rPr>
          <w:w w:val="95"/>
        </w:rPr>
        <w:t>您必须了解的其它事项</w:t>
      </w:r>
    </w:p>
    <w:p>
      <w:pPr>
        <w:pStyle w:val="BodyText"/>
        <w:spacing w:before="10"/>
        <w:ind w:left="0"/>
        <w:rPr>
          <w:b/>
          <w:sz w:val="25"/>
        </w:rPr>
      </w:pPr>
    </w:p>
    <w:p>
      <w:pPr>
        <w:pStyle w:val="Heading2"/>
        <w:tabs>
          <w:tab w:pos="1197" w:val="left" w:leader="none"/>
        </w:tabs>
        <w:spacing w:before="1"/>
      </w:pPr>
      <w:bookmarkStart w:name="_bookmark19" w:id="20"/>
      <w:bookmarkEnd w:id="20"/>
      <w:r>
        <w:rPr>
          <w:b w:val="0"/>
        </w:rPr>
      </w:r>
      <w:r>
        <w:rPr/>
        <w:t>第十四条</w:t>
        <w:tab/>
        <w:t>保险合同的终止</w:t>
      </w:r>
    </w:p>
    <w:p>
      <w:pPr>
        <w:pStyle w:val="BodyText"/>
        <w:spacing w:line="273" w:lineRule="auto" w:before="37"/>
        <w:ind w:right="2249" w:firstLine="420"/>
      </w:pPr>
      <w:r>
        <w:rPr/>
        <w:t>除本附加合同另有约定外，本附加合同的效力在发生下列情况之一时自动终止： 一、主合同解除、期满或终止；</w:t>
      </w:r>
    </w:p>
    <w:p>
      <w:pPr>
        <w:pStyle w:val="BodyText"/>
        <w:spacing w:before="7"/>
      </w:pPr>
      <w:r>
        <w:rPr/>
        <w:t>二、本附加合同期满日当天零时；</w:t>
      </w:r>
    </w:p>
    <w:p>
      <w:pPr>
        <w:pStyle w:val="BodyText"/>
        <w:spacing w:before="36"/>
      </w:pPr>
      <w:r>
        <w:rPr/>
        <w:t>三、本附加合同内约定的其它终止情况。</w:t>
      </w:r>
    </w:p>
    <w:p>
      <w:pPr>
        <w:pStyle w:val="BodyText"/>
        <w:spacing w:before="8"/>
        <w:ind w:left="0"/>
        <w:rPr>
          <w:sz w:val="26"/>
        </w:rPr>
      </w:pPr>
    </w:p>
    <w:p>
      <w:pPr>
        <w:pStyle w:val="Heading2"/>
        <w:tabs>
          <w:tab w:pos="1197" w:val="left" w:leader="none"/>
        </w:tabs>
      </w:pPr>
      <w:bookmarkStart w:name="_bookmark20" w:id="21"/>
      <w:bookmarkEnd w:id="21"/>
      <w:r>
        <w:rPr>
          <w:b w:val="0"/>
        </w:rPr>
      </w:r>
      <w:r>
        <w:rPr/>
        <w:t>第十五条</w:t>
        <w:tab/>
        <w:t>冠状动脉的介入手</w:t>
      </w:r>
      <w:r>
        <w:rPr>
          <w:spacing w:val="-3"/>
        </w:rPr>
        <w:t>术</w:t>
      </w:r>
      <w:r>
        <w:rPr/>
        <w:t>定义</w:t>
      </w:r>
    </w:p>
    <w:p>
      <w:pPr>
        <w:pStyle w:val="BodyText"/>
        <w:spacing w:line="273" w:lineRule="auto" w:before="37"/>
        <w:ind w:right="120" w:firstLine="420"/>
      </w:pPr>
      <w:r>
        <w:rPr/>
        <w:t>为了治疗明显的冠状动脉狭窄性疾病，首次实际接受了冠状动脉球囊扩张成形术、冠状动脉支架植入术或激光冠状动脉成形术。</w:t>
      </w:r>
    </w:p>
    <w:p>
      <w:pPr>
        <w:pStyle w:val="BodyText"/>
        <w:spacing w:before="6"/>
        <w:ind w:left="0"/>
        <w:rPr>
          <w:sz w:val="24"/>
        </w:rPr>
      </w:pPr>
    </w:p>
    <w:p>
      <w:pPr>
        <w:pStyle w:val="Heading2"/>
        <w:tabs>
          <w:tab w:pos="1197" w:val="left" w:leader="none"/>
        </w:tabs>
      </w:pPr>
      <w:bookmarkStart w:name="_bookmark21" w:id="22"/>
      <w:bookmarkEnd w:id="22"/>
      <w:r>
        <w:rPr>
          <w:b w:val="0"/>
        </w:rPr>
      </w:r>
      <w:r>
        <w:rPr/>
        <w:t>第十六条</w:t>
        <w:tab/>
        <w:t>终末期疾病定义</w:t>
      </w:r>
    </w:p>
    <w:p>
      <w:pPr>
        <w:pStyle w:val="BodyText"/>
        <w:spacing w:line="273" w:lineRule="auto" w:before="36"/>
        <w:ind w:right="118" w:firstLine="420"/>
        <w:jc w:val="both"/>
      </w:pPr>
      <w:r>
        <w:rPr/>
        <w:t>指最终诊断被保险人处于疾病的终末期状态。疾病已经无法以现有的医疗技术治疗或缓解并且将导致被保险人在未来六个月内死亡。在患者及其家属的要求和医师的同意下一切积极治疗已被放弃，所有治疗措施仅以减轻患者痛苦为目的。终末期疾病状态必须在被保险人生前已经诊断，并且具有医疗证明文件和临床检查证据。诊断必须经本公司医师或公司指定的医疗专家确认。</w:t>
      </w:r>
    </w:p>
    <w:p>
      <w:pPr>
        <w:spacing w:after="0" w:line="273" w:lineRule="auto"/>
        <w:jc w:val="both"/>
        <w:sectPr>
          <w:pgSz w:w="11910" w:h="16160"/>
          <w:pgMar w:header="0" w:footer="1031" w:top="1500" w:bottom="1260" w:left="960" w:right="800"/>
        </w:sectPr>
      </w:pPr>
    </w:p>
    <w:p>
      <w:pPr>
        <w:pStyle w:val="Heading2"/>
        <w:tabs>
          <w:tab w:pos="1197" w:val="left" w:leader="none"/>
        </w:tabs>
        <w:spacing w:before="6"/>
      </w:pPr>
      <w:bookmarkStart w:name="_bookmark22" w:id="23"/>
      <w:bookmarkEnd w:id="23"/>
      <w:r>
        <w:rPr>
          <w:b w:val="0"/>
        </w:rPr>
      </w:r>
      <w:r>
        <w:rPr/>
        <w:t>第十七条</w:t>
        <w:tab/>
        <w:t>重大疾病的种类及</w:t>
      </w:r>
      <w:r>
        <w:rPr>
          <w:spacing w:val="-3"/>
        </w:rPr>
        <w:t>定</w:t>
      </w:r>
      <w:r>
        <w:rPr/>
        <w:t>义</w:t>
      </w:r>
    </w:p>
    <w:p>
      <w:pPr>
        <w:pStyle w:val="BodyText"/>
        <w:spacing w:before="37"/>
        <w:ind w:left="538"/>
      </w:pPr>
      <w:r>
        <w:rPr/>
        <w:t>本附加合同指的重大疾病包括以下二十五种：</w:t>
      </w:r>
    </w:p>
    <w:p>
      <w:pPr>
        <w:pStyle w:val="BodyText"/>
        <w:spacing w:before="37"/>
        <w:ind w:left="538"/>
      </w:pPr>
      <w:r>
        <w:rPr/>
        <w:t>被保险人发生符合以下疾病定义所述条件的疾病，应当由</w:t>
      </w:r>
      <w:r>
        <w:rPr>
          <w:b/>
        </w:rPr>
        <w:t>专科医生</w:t>
      </w:r>
      <w:r>
        <w:rPr>
          <w:rFonts w:ascii="Times New Roman" w:eastAsia="Times New Roman"/>
          <w:b/>
          <w:vertAlign w:val="superscript"/>
        </w:rPr>
        <w:t>16</w:t>
      </w:r>
      <w:r>
        <w:rPr>
          <w:rFonts w:ascii="Times New Roman" w:eastAsia="Times New Roman"/>
          <w:b/>
          <w:vertAlign w:val="baseline"/>
        </w:rPr>
      </w:r>
      <w:r>
        <w:rPr>
          <w:vertAlign w:val="baseline"/>
        </w:rPr>
        <w:t>明确诊断。</w:t>
      </w:r>
    </w:p>
    <w:p>
      <w:pPr>
        <w:pStyle w:val="BodyText"/>
        <w:spacing w:line="256" w:lineRule="auto" w:before="21"/>
        <w:ind w:right="122" w:firstLine="420"/>
      </w:pPr>
      <w:r>
        <w:rPr/>
        <w:t>（</w:t>
      </w:r>
      <w:r>
        <w:rPr>
          <w:rFonts w:ascii="Times New Roman" w:eastAsia="Times New Roman"/>
        </w:rPr>
        <w:t>1-22 </w:t>
      </w:r>
      <w:r>
        <w:rPr>
          <w:spacing w:val="-24"/>
        </w:rPr>
        <w:t>为 </w:t>
      </w:r>
      <w:r>
        <w:rPr>
          <w:rFonts w:ascii="Times New Roman" w:eastAsia="Times New Roman"/>
        </w:rPr>
        <w:t>2007 </w:t>
      </w:r>
      <w:r>
        <w:rPr>
          <w:spacing w:val="-24"/>
        </w:rPr>
        <w:t>年 </w:t>
      </w:r>
      <w:r>
        <w:rPr>
          <w:rFonts w:ascii="Times New Roman" w:eastAsia="Times New Roman"/>
        </w:rPr>
        <w:t>4 </w:t>
      </w:r>
      <w:r>
        <w:rPr>
          <w:spacing w:val="-23"/>
        </w:rPr>
        <w:t>月 </w:t>
      </w:r>
      <w:r>
        <w:rPr>
          <w:rFonts w:ascii="Times New Roman" w:eastAsia="Times New Roman"/>
        </w:rPr>
        <w:t>3 </w:t>
      </w:r>
      <w:r>
        <w:rPr>
          <w:spacing w:val="-11"/>
        </w:rPr>
        <w:t>日正式启用的《重大疾病保险的疾病定义使用规范》的规范定义疾病，该规范由</w:t>
      </w:r>
      <w:r>
        <w:rPr>
          <w:spacing w:val="-6"/>
        </w:rPr>
        <w:t>中国保险行业协会制定</w:t>
      </w:r>
      <w:r>
        <w:rPr/>
        <w:t>）</w:t>
      </w:r>
    </w:p>
    <w:p>
      <w:pPr>
        <w:pStyle w:val="ListParagraph"/>
        <w:numPr>
          <w:ilvl w:val="0"/>
          <w:numId w:val="4"/>
        </w:numPr>
        <w:tabs>
          <w:tab w:pos="383" w:val="left" w:leader="none"/>
        </w:tabs>
        <w:spacing w:line="261" w:lineRule="auto" w:before="22" w:after="0"/>
        <w:ind w:left="2230" w:right="119" w:hanging="2113"/>
        <w:jc w:val="both"/>
        <w:rPr>
          <w:sz w:val="21"/>
        </w:rPr>
      </w:pPr>
      <w:r>
        <w:rPr>
          <w:spacing w:val="-3"/>
          <w:sz w:val="21"/>
        </w:rPr>
        <w:t>恶性肿瘤       ：指恶性细胞不受控制的进行性增长和扩散，浸润和破坏周围正常组织，可以经血管、淋巴管和体腔扩散转移到身体其它部位的疾病。经病理学检查结果明确诊断，临床诊</w:t>
      </w:r>
      <w:r>
        <w:rPr>
          <w:spacing w:val="-7"/>
          <w:sz w:val="21"/>
        </w:rPr>
        <w:t>断属于世界卫生组织《疾病和有关健康问题的国际统计分类</w:t>
      </w:r>
      <w:r>
        <w:rPr>
          <w:spacing w:val="-140"/>
          <w:sz w:val="21"/>
        </w:rPr>
        <w:t>》</w:t>
      </w:r>
      <w:r>
        <w:rPr>
          <w:spacing w:val="-6"/>
          <w:sz w:val="21"/>
        </w:rPr>
        <w:t>（</w:t>
      </w:r>
      <w:r>
        <w:rPr>
          <w:rFonts w:ascii="Times New Roman" w:eastAsia="Times New Roman"/>
          <w:spacing w:val="-6"/>
          <w:sz w:val="21"/>
        </w:rPr>
        <w:t>ICD-10</w:t>
      </w:r>
      <w:r>
        <w:rPr>
          <w:spacing w:val="-6"/>
          <w:sz w:val="21"/>
        </w:rPr>
        <w:t>）</w:t>
      </w:r>
      <w:r>
        <w:rPr>
          <w:spacing w:val="-3"/>
          <w:sz w:val="21"/>
        </w:rPr>
        <w:t>的恶性肿瘤范畴。</w:t>
      </w:r>
    </w:p>
    <w:p>
      <w:pPr>
        <w:pStyle w:val="BodyText"/>
        <w:spacing w:before="17"/>
        <w:ind w:left="2230"/>
      </w:pPr>
      <w:r>
        <w:rPr/>
        <w:t>下列疾病不在保障范围内：</w:t>
      </w:r>
    </w:p>
    <w:p>
      <w:pPr>
        <w:pStyle w:val="BodyText"/>
        <w:spacing w:before="36"/>
        <w:ind w:left="2230"/>
      </w:pPr>
      <w:r>
        <w:rPr/>
        <w:t>（</w:t>
      </w:r>
      <w:r>
        <w:rPr>
          <w:rFonts w:ascii="Times New Roman" w:eastAsia="Times New Roman"/>
        </w:rPr>
        <w:t>1</w:t>
      </w:r>
      <w:r>
        <w:rPr/>
        <w:t>）原位癌；</w:t>
      </w:r>
    </w:p>
    <w:p>
      <w:pPr>
        <w:pStyle w:val="BodyText"/>
        <w:spacing w:before="21"/>
        <w:ind w:left="2230"/>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23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230"/>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2230"/>
      </w:pPr>
      <w:r>
        <w:rPr>
          <w:w w:val="100"/>
        </w:rPr>
        <w:t>（</w:t>
      </w:r>
      <w:r>
        <w:rPr>
          <w:rFonts w:ascii="Times New Roman" w:eastAsia="Times New Roman"/>
          <w:w w:val="100"/>
        </w:rPr>
        <w:t>5</w:t>
      </w:r>
      <w:r>
        <w:rPr>
          <w:spacing w:val="-3"/>
          <w:w w:val="100"/>
        </w:rPr>
        <w:t>）</w:t>
      </w:r>
      <w:r>
        <w:rPr>
          <w:rFonts w:ascii="Times New Roman" w:eastAsia="Times New Roman"/>
          <w:spacing w:val="-2"/>
          <w:w w:val="100"/>
        </w:rPr>
        <w:t>T</w:t>
      </w:r>
      <w:r>
        <w:rPr>
          <w:rFonts w:ascii="Times New Roman" w:eastAsia="Times New Roman"/>
          <w:w w:val="100"/>
        </w:rPr>
        <w:t>NM</w:t>
      </w:r>
      <w:r>
        <w:rPr>
          <w:rFonts w:ascii="Times New Roman" w:eastAsia="Times New Roman"/>
        </w:rPr>
        <w:t> </w:t>
      </w:r>
      <w:r>
        <w:rPr>
          <w:spacing w:val="-2"/>
          <w:w w:val="100"/>
        </w:rPr>
        <w:t>分期为</w:t>
      </w:r>
      <w:r>
        <w:rPr>
          <w:spacing w:val="-53"/>
        </w:rPr>
        <w:t> </w:t>
      </w:r>
      <w:r>
        <w:rPr>
          <w:rFonts w:ascii="Times New Roman" w:eastAsia="Times New Roman"/>
          <w:w w:val="100"/>
        </w:rPr>
        <w:t>T</w:t>
      </w:r>
      <w:r>
        <w:rPr>
          <w:rFonts w:ascii="Times New Roman" w:eastAsia="Times New Roman"/>
          <w:spacing w:val="-3"/>
          <w:w w:val="97"/>
          <w:vertAlign w:val="subscript"/>
        </w:rPr>
        <w:t>1</w:t>
      </w:r>
      <w:r>
        <w:rPr>
          <w:rFonts w:ascii="Times New Roman" w:eastAsia="Times New Roman"/>
          <w:spacing w:val="0"/>
          <w:w w:val="100"/>
          <w:vertAlign w:val="baseline"/>
        </w:rPr>
        <w:t>N</w:t>
      </w:r>
      <w:r>
        <w:rPr>
          <w:rFonts w:ascii="Times New Roman" w:eastAsia="Times New Roman"/>
          <w:w w:val="97"/>
          <w:vertAlign w:val="subscript"/>
        </w:rPr>
        <w:t>0</w:t>
      </w:r>
      <w:r>
        <w:rPr>
          <w:rFonts w:ascii="Times New Roman" w:eastAsia="Times New Roman"/>
          <w:spacing w:val="-1"/>
          <w:w w:val="100"/>
          <w:vertAlign w:val="baseline"/>
        </w:rPr>
        <w:t>M</w:t>
      </w:r>
      <w:r>
        <w:rPr>
          <w:rFonts w:ascii="Times New Roman" w:eastAsia="Times New Roman"/>
          <w:w w:val="97"/>
          <w:vertAlign w:val="subscript"/>
        </w:rPr>
        <w:t>0</w:t>
      </w:r>
      <w:r>
        <w:rPr>
          <w:rFonts w:ascii="Times New Roman" w:eastAsia="Times New Roman"/>
          <w:spacing w:val="-19"/>
          <w:vertAlign w:val="baseline"/>
        </w:rPr>
        <w:t> </w:t>
      </w:r>
      <w:r>
        <w:rPr>
          <w:spacing w:val="-3"/>
          <w:w w:val="100"/>
          <w:vertAlign w:val="baseline"/>
        </w:rPr>
        <w:t>期或更轻分期的前列腺癌</w:t>
      </w:r>
      <w:r>
        <w:rPr>
          <w:w w:val="100"/>
          <w:vertAlign w:val="baseline"/>
        </w:rPr>
        <w:t>（注</w:t>
      </w:r>
      <w:r>
        <w:rPr>
          <w:spacing w:val="-108"/>
          <w:w w:val="100"/>
          <w:vertAlign w:val="baseline"/>
        </w:rPr>
        <w:t>）</w:t>
      </w:r>
      <w:r>
        <w:rPr>
          <w:w w:val="100"/>
          <w:vertAlign w:val="baseline"/>
        </w:rPr>
        <w:t>；</w:t>
      </w:r>
    </w:p>
    <w:p>
      <w:pPr>
        <w:pStyle w:val="BodyText"/>
        <w:spacing w:line="256" w:lineRule="auto" w:before="21"/>
        <w:ind w:left="2230" w:right="2976"/>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4"/>
        </w:numPr>
        <w:tabs>
          <w:tab w:pos="383" w:val="left" w:leader="none"/>
        </w:tabs>
        <w:spacing w:line="256" w:lineRule="auto" w:before="41" w:after="0"/>
        <w:ind w:left="2230" w:right="120" w:hanging="2113"/>
        <w:jc w:val="both"/>
        <w:rPr>
          <w:sz w:val="21"/>
        </w:rPr>
      </w:pPr>
      <w:r>
        <w:rPr>
          <w:spacing w:val="-3"/>
          <w:sz w:val="21"/>
        </w:rPr>
        <w:t>急性心肌梗塞   ：指因冠状动脉阻塞导致的相应区域供血不足造成部分心肌坏死。须满足下列至少三项条件：</w:t>
      </w:r>
    </w:p>
    <w:p>
      <w:pPr>
        <w:pStyle w:val="BodyText"/>
        <w:spacing w:before="22"/>
        <w:ind w:left="2230"/>
      </w:pPr>
      <w:r>
        <w:rPr/>
        <w:t>（</w:t>
      </w:r>
      <w:r>
        <w:rPr>
          <w:rFonts w:ascii="Times New Roman" w:eastAsia="Times New Roman"/>
        </w:rPr>
        <w:t>1</w:t>
      </w:r>
      <w:r>
        <w:rPr/>
        <w:t>）典型临床表现，例如急性胸痛等；</w:t>
      </w:r>
    </w:p>
    <w:p>
      <w:pPr>
        <w:pStyle w:val="BodyText"/>
        <w:spacing w:before="21"/>
        <w:ind w:left="2230"/>
      </w:pPr>
      <w:r>
        <w:rPr/>
        <w:t>（</w:t>
      </w:r>
      <w:r>
        <w:rPr>
          <w:rFonts w:ascii="Times New Roman" w:eastAsia="Times New Roman"/>
        </w:rPr>
        <w:t>2</w:t>
      </w:r>
      <w:r>
        <w:rPr/>
        <w:t>）新近的心电图改变提示急性心肌梗塞；</w:t>
      </w:r>
    </w:p>
    <w:p>
      <w:pPr>
        <w:pStyle w:val="BodyText"/>
        <w:spacing w:before="21"/>
        <w:ind w:left="2230"/>
      </w:pPr>
      <w:r>
        <w:rPr/>
        <w:t>（</w:t>
      </w:r>
      <w:r>
        <w:rPr>
          <w:rFonts w:ascii="Times New Roman" w:eastAsia="Times New Roman"/>
        </w:rPr>
        <w:t>3</w:t>
      </w:r>
      <w:r>
        <w:rPr/>
        <w:t>）心肌酶或肌钙蛋白有诊断意义的升高，或呈符合急性心肌梗塞的动态性变化；</w:t>
      </w:r>
    </w:p>
    <w:p>
      <w:pPr>
        <w:pStyle w:val="BodyText"/>
        <w:spacing w:before="21"/>
        <w:ind w:left="2230"/>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ListParagraph"/>
        <w:numPr>
          <w:ilvl w:val="0"/>
          <w:numId w:val="4"/>
        </w:numPr>
        <w:tabs>
          <w:tab w:pos="383" w:val="left" w:leader="none"/>
        </w:tabs>
        <w:spacing w:line="256" w:lineRule="auto" w:before="177" w:after="0"/>
        <w:ind w:left="2230" w:right="119" w:hanging="2113"/>
        <w:jc w:val="both"/>
        <w:rPr>
          <w:sz w:val="21"/>
        </w:rPr>
      </w:pPr>
      <w:r>
        <w:rPr>
          <w:spacing w:val="-3"/>
          <w:sz w:val="21"/>
        </w:rPr>
        <w:t>脑中风后遗症   ：指因脑血管的突发病变引起脑血管出血、栓塞或梗塞，并导致神经系统永久性的功能</w:t>
      </w:r>
      <w:r>
        <w:rPr>
          <w:spacing w:val="-8"/>
          <w:sz w:val="21"/>
        </w:rPr>
        <w:t>障碍。神经系统永久性的功能障碍，指疾病确诊 </w:t>
      </w:r>
      <w:r>
        <w:rPr>
          <w:rFonts w:ascii="Times New Roman" w:eastAsia="Times New Roman"/>
          <w:sz w:val="21"/>
        </w:rPr>
        <w:t>180</w:t>
      </w:r>
      <w:r>
        <w:rPr>
          <w:rFonts w:ascii="Times New Roman" w:eastAsia="Times New Roman"/>
          <w:spacing w:val="21"/>
          <w:sz w:val="21"/>
        </w:rPr>
        <w:t> </w:t>
      </w:r>
      <w:r>
        <w:rPr>
          <w:spacing w:val="-5"/>
          <w:sz w:val="21"/>
        </w:rPr>
        <w:t>天后，仍遗留下列一种或一种以</w:t>
      </w:r>
      <w:r>
        <w:rPr>
          <w:spacing w:val="-4"/>
          <w:sz w:val="21"/>
        </w:rPr>
        <w:t>上障碍：</w:t>
      </w:r>
    </w:p>
    <w:p>
      <w:pPr>
        <w:spacing w:before="22"/>
        <w:ind w:left="2230"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Heading2"/>
        <w:spacing w:before="20"/>
        <w:ind w:left="2230"/>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18</w:t>
      </w:r>
      <w:r>
        <w:rPr>
          <w:rFonts w:ascii="Times New Roman" w:eastAsia="Times New Roman"/>
          <w:vertAlign w:val="baseline"/>
        </w:rPr>
      </w:r>
      <w:r>
        <w:rPr>
          <w:b w:val="0"/>
          <w:vertAlign w:val="baseline"/>
        </w:rPr>
        <w:t>；</w:t>
      </w:r>
    </w:p>
    <w:p>
      <w:pPr>
        <w:spacing w:before="20"/>
        <w:ind w:left="2230" w:right="0"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中的三项或三项</w:t>
      </w:r>
    </w:p>
    <w:p>
      <w:pPr>
        <w:pStyle w:val="BodyText"/>
        <w:ind w:left="0"/>
        <w:rPr>
          <w:sz w:val="20"/>
        </w:rPr>
      </w:pPr>
    </w:p>
    <w:p>
      <w:pPr>
        <w:pStyle w:val="BodyText"/>
        <w:spacing w:before="9"/>
        <w:ind w:left="0"/>
        <w:rPr>
          <w:sz w:val="12"/>
        </w:rPr>
      </w:pPr>
      <w:r>
        <w:rPr/>
        <w:pict>
          <v:line style="position:absolute;mso-position-horizontal-relative:page;mso-position-vertical-relative:paragraph;z-index:1192;mso-wrap-distance-left:0;mso-wrap-distance-right:0" from="53.880001pt,10.531921pt" to="197.930001pt,10.531921pt" stroked="true" strokeweight=".47998pt" strokecolor="#000000">
            <v:stroke dashstyle="solid"/>
            <w10:wrap type="topAndBottom"/>
          </v:line>
        </w:pict>
      </w:r>
    </w:p>
    <w:p>
      <w:pPr>
        <w:pStyle w:val="BodyText"/>
        <w:spacing w:line="319" w:lineRule="exact"/>
      </w:pPr>
      <w:r>
        <w:rPr>
          <w:rFonts w:ascii="Times New Roman" w:eastAsia="Times New Roman"/>
          <w:w w:val="99"/>
          <w:position w:val="10"/>
          <w:sz w:val="14"/>
        </w:rPr>
        <w:t>16</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right="1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line="283"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pPr>
      <w:r>
        <w:rPr/>
        <w:t>个上肢或包括髋关节的整个下肢。</w:t>
      </w:r>
    </w:p>
    <w:p>
      <w:pPr>
        <w:spacing w:line="317"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4" w:lineRule="exact" w:before="11"/>
        <w:ind w:left="117" w:right="0" w:firstLine="0"/>
        <w:jc w:val="left"/>
        <w:rPr>
          <w:sz w:val="21"/>
        </w:rPr>
      </w:pPr>
      <w:r>
        <w:rPr>
          <w:rFonts w:ascii="Times New Roman" w:eastAsia="Times New Roman"/>
          <w:w w:val="99"/>
          <w:position w:val="10"/>
          <w:sz w:val="14"/>
        </w:rPr>
        <w:t>19</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5" w:lineRule="auto" w:before="4"/>
        <w:ind w:right="114"/>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5" w:lineRule="auto"/>
        <w:sectPr>
          <w:pgSz w:w="11910" w:h="16160"/>
          <w:pgMar w:header="0" w:footer="1031" w:top="1520" w:bottom="1220" w:left="960" w:right="800"/>
        </w:sectPr>
      </w:pPr>
    </w:p>
    <w:p>
      <w:pPr>
        <w:pStyle w:val="BodyText"/>
        <w:spacing w:before="6"/>
        <w:ind w:left="2230"/>
      </w:pPr>
      <w:r>
        <w:rPr/>
        <w:t>以上。</w:t>
      </w:r>
    </w:p>
    <w:p>
      <w:pPr>
        <w:pStyle w:val="ListParagraph"/>
        <w:numPr>
          <w:ilvl w:val="0"/>
          <w:numId w:val="4"/>
        </w:numPr>
        <w:tabs>
          <w:tab w:pos="407" w:val="left" w:leader="none"/>
        </w:tabs>
        <w:spacing w:line="240" w:lineRule="auto" w:before="56" w:after="0"/>
        <w:ind w:left="406" w:right="0" w:hanging="289"/>
        <w:jc w:val="left"/>
        <w:rPr>
          <w:sz w:val="21"/>
        </w:rPr>
      </w:pPr>
      <w:r>
        <w:rPr>
          <w:spacing w:val="-3"/>
          <w:sz w:val="21"/>
        </w:rPr>
        <w:t>重大器官移植术：重大器官移植术，指因相应器官功能衰竭，已经实施了肾脏、肝脏、心脏或肺脏的异</w:t>
      </w:r>
    </w:p>
    <w:p>
      <w:pPr>
        <w:spacing w:after="0" w:line="240" w:lineRule="auto"/>
        <w:jc w:val="left"/>
        <w:rPr>
          <w:sz w:val="21"/>
        </w:rPr>
        <w:sectPr>
          <w:footerReference w:type="default" r:id="rId9"/>
          <w:pgSz w:w="11910" w:h="16160"/>
          <w:pgMar w:footer="993" w:header="0" w:top="1520" w:bottom="1180" w:left="960" w:right="820"/>
          <w:pgNumType w:start="8"/>
        </w:sectPr>
      </w:pPr>
    </w:p>
    <w:p>
      <w:pPr>
        <w:pStyle w:val="BodyText"/>
        <w:spacing w:before="21"/>
      </w:pPr>
      <w:r>
        <w:rPr/>
        <w:t>或造血干细胞移植术</w:t>
      </w:r>
    </w:p>
    <w:p>
      <w:pPr>
        <w:pStyle w:val="BodyText"/>
        <w:spacing w:before="21"/>
      </w:pPr>
      <w:r>
        <w:rPr/>
        <w:br w:type="column"/>
      </w:r>
      <w:r>
        <w:rPr/>
        <w:t>体移植手术。</w:t>
      </w:r>
    </w:p>
    <w:p>
      <w:pPr>
        <w:pStyle w:val="BodyText"/>
        <w:spacing w:before="37"/>
      </w:pPr>
      <w:r>
        <w:rPr/>
        <w:t>造血干细胞移植术，指因造血功能损害或造血系统恶性肿瘤，已经实施了造血干细胞</w:t>
      </w:r>
    </w:p>
    <w:p>
      <w:pPr>
        <w:pStyle w:val="BodyText"/>
        <w:spacing w:before="37"/>
      </w:pPr>
      <w:r>
        <w:rPr/>
        <w:t>（包括骨髓造血干细胞、外周血造血干细胞和脐血造血干细胞）的异体移植手术。</w:t>
      </w:r>
    </w:p>
    <w:p>
      <w:pPr>
        <w:spacing w:after="0"/>
        <w:sectPr>
          <w:type w:val="continuous"/>
          <w:pgSz w:w="11910" w:h="16160"/>
          <w:pgMar w:top="580" w:bottom="280" w:left="960" w:right="820"/>
          <w:cols w:num="2" w:equalWidth="0">
            <w:col w:w="2012" w:space="100"/>
            <w:col w:w="8018"/>
          </w:cols>
        </w:sectPr>
      </w:pPr>
    </w:p>
    <w:p>
      <w:pPr>
        <w:pStyle w:val="ListParagraph"/>
        <w:numPr>
          <w:ilvl w:val="0"/>
          <w:numId w:val="4"/>
        </w:numPr>
        <w:tabs>
          <w:tab w:pos="407" w:val="left" w:leader="none"/>
        </w:tabs>
        <w:spacing w:line="240" w:lineRule="auto" w:before="37" w:after="0"/>
        <w:ind w:left="406" w:right="0" w:hanging="289"/>
        <w:jc w:val="left"/>
        <w:rPr>
          <w:sz w:val="21"/>
        </w:rPr>
      </w:pPr>
      <w:r>
        <w:rPr>
          <w:spacing w:val="-3"/>
          <w:sz w:val="21"/>
        </w:rPr>
        <w:t>冠状动脉搭桥术：指为治疗严重的冠心病，实际实施了开胸进行的冠状动脉血管旁路移植的手术。</w:t>
      </w:r>
    </w:p>
    <w:p>
      <w:pPr>
        <w:spacing w:after="0" w:line="240" w:lineRule="auto"/>
        <w:jc w:val="left"/>
        <w:rPr>
          <w:sz w:val="21"/>
        </w:rPr>
        <w:sectPr>
          <w:type w:val="continuous"/>
          <w:pgSz w:w="11910" w:h="16160"/>
          <w:pgMar w:top="580" w:bottom="280" w:left="960" w:right="820"/>
        </w:sectPr>
      </w:pPr>
    </w:p>
    <w:p>
      <w:pPr>
        <w:pStyle w:val="BodyText"/>
        <w:spacing w:line="273" w:lineRule="auto" w:before="21"/>
      </w:pPr>
      <w:r>
        <w:rPr/>
        <w:t>（或称冠状动脉旁路移植术）</w:t>
      </w:r>
    </w:p>
    <w:p>
      <w:pPr>
        <w:pStyle w:val="BodyText"/>
        <w:spacing w:line="273" w:lineRule="auto" w:before="21"/>
        <w:ind w:right="100"/>
      </w:pPr>
      <w:r>
        <w:rPr/>
        <w:br w:type="column"/>
      </w:r>
      <w:r>
        <w:rPr/>
        <w:t>冠状动脉支架植入术、心导管球囊扩张术、激光射频技术及其它非开胸的介入手术、腔镜手术不在保障范围内。</w:t>
      </w:r>
    </w:p>
    <w:p>
      <w:pPr>
        <w:spacing w:after="0" w:line="273" w:lineRule="auto"/>
        <w:sectPr>
          <w:type w:val="continuous"/>
          <w:pgSz w:w="11910" w:h="16160"/>
          <w:pgMar w:top="580" w:bottom="280" w:left="960" w:right="820"/>
          <w:cols w:num="2" w:equalWidth="0">
            <w:col w:w="2023" w:space="89"/>
            <w:col w:w="8018"/>
          </w:cols>
        </w:sectPr>
      </w:pPr>
    </w:p>
    <w:p>
      <w:pPr>
        <w:pStyle w:val="ListParagraph"/>
        <w:numPr>
          <w:ilvl w:val="0"/>
          <w:numId w:val="4"/>
        </w:numPr>
        <w:tabs>
          <w:tab w:pos="383" w:val="left" w:leader="none"/>
        </w:tabs>
        <w:spacing w:line="240" w:lineRule="auto" w:before="7" w:after="0"/>
        <w:ind w:left="2230" w:right="0" w:hanging="2113"/>
        <w:jc w:val="left"/>
        <w:rPr>
          <w:sz w:val="21"/>
        </w:rPr>
      </w:pPr>
      <w:r>
        <w:rPr>
          <w:spacing w:val="-11"/>
          <w:sz w:val="21"/>
        </w:rPr>
        <w:t>终末期肾病</w:t>
      </w:r>
      <w:r>
        <w:rPr>
          <w:spacing w:val="-3"/>
          <w:sz w:val="21"/>
        </w:rPr>
        <w:t>（或称：指双肾功能慢性不可逆性衰竭，达到尿毒症期，经诊断后已经进行了至少 </w:t>
      </w:r>
      <w:r>
        <w:rPr>
          <w:rFonts w:ascii="Times New Roman" w:eastAsia="Times New Roman"/>
          <w:sz w:val="21"/>
        </w:rPr>
        <w:t>90</w:t>
      </w:r>
      <w:r>
        <w:rPr>
          <w:rFonts w:ascii="Times New Roman" w:eastAsia="Times New Roman"/>
          <w:spacing w:val="10"/>
          <w:sz w:val="21"/>
        </w:rPr>
        <w:t>  </w:t>
      </w:r>
      <w:r>
        <w:rPr>
          <w:sz w:val="21"/>
        </w:rPr>
        <w:t>天的规</w:t>
      </w:r>
    </w:p>
    <w:p>
      <w:pPr>
        <w:spacing w:after="0" w:line="240" w:lineRule="auto"/>
        <w:jc w:val="left"/>
        <w:rPr>
          <w:sz w:val="21"/>
        </w:rPr>
        <w:sectPr>
          <w:type w:val="continuous"/>
          <w:pgSz w:w="11910" w:h="16160"/>
          <w:pgMar w:top="580" w:bottom="280" w:left="960" w:right="820"/>
        </w:sectPr>
      </w:pPr>
    </w:p>
    <w:p>
      <w:pPr>
        <w:pStyle w:val="BodyText"/>
        <w:spacing w:line="273" w:lineRule="auto" w:before="21"/>
      </w:pPr>
      <w:r>
        <w:rPr/>
        <w:t>慢性肾功能衰竭尿毒症期）</w:t>
      </w:r>
    </w:p>
    <w:p>
      <w:pPr>
        <w:pStyle w:val="BodyText"/>
        <w:spacing w:before="21"/>
      </w:pPr>
      <w:r>
        <w:rPr/>
        <w:br w:type="column"/>
      </w:r>
      <w:r>
        <w:rPr/>
        <w:t>律性透析治疗或实施了肾脏移植手术。</w:t>
      </w:r>
    </w:p>
    <w:p>
      <w:pPr>
        <w:spacing w:after="0"/>
        <w:sectPr>
          <w:type w:val="continuous"/>
          <w:pgSz w:w="11910" w:h="16160"/>
          <w:pgMar w:top="580" w:bottom="280" w:left="960" w:right="820"/>
          <w:cols w:num="2" w:equalWidth="0">
            <w:col w:w="2023" w:space="89"/>
            <w:col w:w="8018"/>
          </w:cols>
        </w:sectPr>
      </w:pPr>
    </w:p>
    <w:p>
      <w:pPr>
        <w:pStyle w:val="ListParagraph"/>
        <w:numPr>
          <w:ilvl w:val="0"/>
          <w:numId w:val="4"/>
        </w:numPr>
        <w:tabs>
          <w:tab w:pos="383" w:val="left" w:leader="none"/>
          <w:tab w:pos="2018" w:val="left" w:leader="none"/>
        </w:tabs>
        <w:spacing w:line="256" w:lineRule="auto" w:before="8" w:after="0"/>
        <w:ind w:left="2230" w:right="100" w:hanging="2113"/>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t>：指因疾病</w:t>
      </w:r>
      <w:r>
        <w:rPr>
          <w:spacing w:val="-3"/>
          <w:sz w:val="21"/>
        </w:rPr>
        <w:t>或</w:t>
      </w:r>
      <w:r>
        <w:rPr>
          <w:sz w:val="21"/>
        </w:rPr>
        <w:t>意外</w:t>
      </w:r>
      <w:r>
        <w:rPr>
          <w:spacing w:val="-3"/>
          <w:sz w:val="21"/>
        </w:rPr>
        <w:t>伤</w:t>
      </w:r>
      <w:r>
        <w:rPr>
          <w:sz w:val="21"/>
        </w:rPr>
        <w:t>害导</w:t>
      </w:r>
      <w:r>
        <w:rPr>
          <w:spacing w:val="-3"/>
          <w:sz w:val="21"/>
        </w:rPr>
        <w:t>致</w:t>
      </w:r>
      <w:r>
        <w:rPr>
          <w:sz w:val="21"/>
        </w:rPr>
        <w:t>两个或两</w:t>
      </w:r>
      <w:r>
        <w:rPr>
          <w:spacing w:val="-3"/>
          <w:sz w:val="21"/>
        </w:rPr>
        <w:t>个</w:t>
      </w:r>
      <w:r>
        <w:rPr>
          <w:sz w:val="21"/>
        </w:rPr>
        <w:t>以上</w:t>
      </w:r>
      <w:r>
        <w:rPr>
          <w:spacing w:val="-3"/>
          <w:sz w:val="21"/>
        </w:rPr>
        <w:t>肢</w:t>
      </w:r>
      <w:r>
        <w:rPr>
          <w:sz w:val="21"/>
        </w:rPr>
        <w:t>体自</w:t>
      </w:r>
      <w:r>
        <w:rPr>
          <w:spacing w:val="-3"/>
          <w:sz w:val="21"/>
        </w:rPr>
        <w:t>腕</w:t>
      </w:r>
      <w:r>
        <w:rPr>
          <w:sz w:val="21"/>
        </w:rPr>
        <w:t>关节或踝</w:t>
      </w:r>
      <w:r>
        <w:rPr>
          <w:spacing w:val="-3"/>
          <w:sz w:val="21"/>
        </w:rPr>
        <w:t>关</w:t>
      </w:r>
      <w:r>
        <w:rPr>
          <w:sz w:val="21"/>
        </w:rPr>
        <w:t>节近</w:t>
      </w:r>
      <w:r>
        <w:rPr>
          <w:spacing w:val="-3"/>
          <w:sz w:val="21"/>
        </w:rPr>
        <w:t>端</w:t>
      </w:r>
      <w:r>
        <w:rPr>
          <w:sz w:val="21"/>
        </w:rPr>
        <w:t>（靠</w:t>
      </w:r>
      <w:r>
        <w:rPr>
          <w:spacing w:val="-3"/>
          <w:sz w:val="21"/>
        </w:rPr>
        <w:t>近</w:t>
      </w:r>
      <w:r>
        <w:rPr>
          <w:sz w:val="21"/>
        </w:rPr>
        <w:t>躯干端） 以上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4"/>
        </w:numPr>
        <w:tabs>
          <w:tab w:pos="407" w:val="left" w:leader="none"/>
        </w:tabs>
        <w:spacing w:line="240" w:lineRule="auto" w:before="22" w:after="0"/>
        <w:ind w:left="406" w:right="0" w:hanging="289"/>
        <w:jc w:val="left"/>
        <w:rPr>
          <w:sz w:val="21"/>
        </w:rPr>
      </w:pPr>
      <w:r>
        <w:rPr>
          <w:spacing w:val="-3"/>
          <w:sz w:val="21"/>
        </w:rPr>
        <w:t>急性或亚急性重：指因肝炎病毒感染引起肝脏组织弥漫性坏死，导致急性肝功能衰竭，且经血清学或病</w:t>
      </w:r>
    </w:p>
    <w:p>
      <w:pPr>
        <w:spacing w:after="0" w:line="240" w:lineRule="auto"/>
        <w:jc w:val="left"/>
        <w:rPr>
          <w:sz w:val="21"/>
        </w:rPr>
        <w:sectPr>
          <w:type w:val="continuous"/>
          <w:pgSz w:w="11910" w:h="16160"/>
          <w:pgMar w:top="580" w:bottom="280" w:left="960" w:right="820"/>
        </w:sectPr>
      </w:pPr>
    </w:p>
    <w:p>
      <w:pPr>
        <w:pStyle w:val="BodyText"/>
        <w:spacing w:before="21"/>
      </w:pPr>
      <w:r>
        <w:rPr/>
        <w:t>症肝炎</w:t>
      </w:r>
    </w:p>
    <w:p>
      <w:pPr>
        <w:pStyle w:val="BodyText"/>
        <w:spacing w:before="21"/>
      </w:pPr>
      <w:r>
        <w:rPr/>
        <w:br w:type="column"/>
      </w:r>
      <w:r>
        <w:rPr/>
        <w:t>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spacing w:before="21"/>
      </w:pPr>
      <w:r>
        <w:rPr/>
        <w:t>（</w:t>
      </w:r>
      <w:r>
        <w:rPr>
          <w:rFonts w:ascii="Times New Roman" w:eastAsia="Times New Roman"/>
        </w:rPr>
        <w:t>2</w:t>
      </w:r>
      <w:r>
        <w:rPr/>
        <w:t>）肝性脑病；</w:t>
      </w:r>
    </w:p>
    <w:p>
      <w:pPr>
        <w:pStyle w:val="BodyText"/>
        <w:spacing w:before="2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pPr>
      <w:r>
        <w:rPr/>
        <w:t>（</w:t>
      </w:r>
      <w:r>
        <w:rPr>
          <w:rFonts w:ascii="Times New Roman" w:eastAsia="Times New Roman"/>
        </w:rPr>
        <w:t>4</w:t>
      </w:r>
      <w:r>
        <w:rPr/>
        <w:t>）肝功能指标进行性恶化。</w:t>
      </w:r>
    </w:p>
    <w:p>
      <w:pPr>
        <w:spacing w:after="0"/>
        <w:sectPr>
          <w:type w:val="continuous"/>
          <w:pgSz w:w="11910" w:h="16160"/>
          <w:pgMar w:top="580" w:bottom="280" w:left="960" w:right="820"/>
          <w:cols w:num="2" w:equalWidth="0">
            <w:col w:w="752" w:space="1361"/>
            <w:col w:w="8017"/>
          </w:cols>
        </w:sectPr>
      </w:pPr>
    </w:p>
    <w:p>
      <w:pPr>
        <w:pStyle w:val="ListParagraph"/>
        <w:numPr>
          <w:ilvl w:val="0"/>
          <w:numId w:val="4"/>
        </w:numPr>
        <w:tabs>
          <w:tab w:pos="383" w:val="left" w:leader="none"/>
          <w:tab w:pos="2018" w:val="left" w:leader="none"/>
        </w:tabs>
        <w:spacing w:line="256" w:lineRule="auto" w:before="21" w:after="0"/>
        <w:ind w:left="2230" w:right="100" w:hanging="2113"/>
        <w:jc w:val="left"/>
        <w:rPr>
          <w:sz w:val="21"/>
        </w:rPr>
      </w:pPr>
      <w:r>
        <w:rPr>
          <w:spacing w:val="-3"/>
          <w:sz w:val="21"/>
        </w:rPr>
        <w:t>良</w:t>
      </w:r>
      <w:r>
        <w:rPr>
          <w:sz w:val="21"/>
        </w:rPr>
        <w:t>性</w:t>
      </w:r>
      <w:r>
        <w:rPr>
          <w:spacing w:val="-3"/>
          <w:sz w:val="21"/>
        </w:rPr>
        <w:t>脑</w:t>
      </w:r>
      <w:r>
        <w:rPr>
          <w:sz w:val="21"/>
        </w:rPr>
        <w:t>肿瘤</w:t>
        <w:tab/>
        <w:t>：指脑的良</w:t>
      </w:r>
      <w:r>
        <w:rPr>
          <w:spacing w:val="-3"/>
          <w:sz w:val="21"/>
        </w:rPr>
        <w:t>性</w:t>
      </w:r>
      <w:r>
        <w:rPr>
          <w:sz w:val="21"/>
        </w:rPr>
        <w:t>肿瘤</w:t>
      </w:r>
      <w:r>
        <w:rPr>
          <w:spacing w:val="-3"/>
          <w:sz w:val="21"/>
        </w:rPr>
        <w:t>，</w:t>
      </w:r>
      <w:r>
        <w:rPr>
          <w:sz w:val="21"/>
        </w:rPr>
        <w:t>已经</w:t>
      </w:r>
      <w:r>
        <w:rPr>
          <w:spacing w:val="-3"/>
          <w:sz w:val="21"/>
        </w:rPr>
        <w:t>引</w:t>
      </w:r>
      <w:r>
        <w:rPr>
          <w:sz w:val="21"/>
        </w:rPr>
        <w:t>起颅内压</w:t>
      </w:r>
      <w:r>
        <w:rPr>
          <w:spacing w:val="-3"/>
          <w:sz w:val="21"/>
        </w:rPr>
        <w:t>增</w:t>
      </w:r>
      <w:r>
        <w:rPr>
          <w:sz w:val="21"/>
        </w:rPr>
        <w:t>高，</w:t>
      </w:r>
      <w:r>
        <w:rPr>
          <w:spacing w:val="-3"/>
          <w:sz w:val="21"/>
        </w:rPr>
        <w:t>临</w:t>
      </w:r>
      <w:r>
        <w:rPr>
          <w:sz w:val="21"/>
        </w:rPr>
        <w:t>床表</w:t>
      </w:r>
      <w:r>
        <w:rPr>
          <w:spacing w:val="-3"/>
          <w:sz w:val="21"/>
        </w:rPr>
        <w:t>现</w:t>
      </w:r>
      <w:r>
        <w:rPr>
          <w:sz w:val="21"/>
        </w:rPr>
        <w:t>为视神经</w:t>
      </w:r>
      <w:r>
        <w:rPr>
          <w:spacing w:val="-3"/>
          <w:sz w:val="21"/>
        </w:rPr>
        <w:t>乳</w:t>
      </w:r>
      <w:r>
        <w:rPr>
          <w:sz w:val="21"/>
        </w:rPr>
        <w:t>头水</w:t>
      </w:r>
      <w:r>
        <w:rPr>
          <w:spacing w:val="-3"/>
          <w:sz w:val="21"/>
        </w:rPr>
        <w:t>肿</w:t>
      </w:r>
      <w:r>
        <w:rPr>
          <w:sz w:val="21"/>
        </w:rPr>
        <w:t>、精</w:t>
      </w:r>
      <w:r>
        <w:rPr>
          <w:spacing w:val="-3"/>
          <w:sz w:val="21"/>
        </w:rPr>
        <w:t>神</w:t>
      </w:r>
      <w:r>
        <w:rPr>
          <w:sz w:val="21"/>
        </w:rPr>
        <w:t>症状、癫 </w:t>
      </w:r>
      <w:r>
        <w:rPr>
          <w:w w:val="100"/>
          <w:sz w:val="21"/>
        </w:rPr>
        <w:t>痫及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w:t>
      </w:r>
      <w:r>
        <w:rPr>
          <w:spacing w:val="-3"/>
          <w:w w:val="100"/>
          <w:sz w:val="21"/>
        </w:rPr>
        <w:t>等</w:t>
      </w:r>
      <w:r>
        <w:rPr>
          <w:spacing w:val="-5"/>
          <w:w w:val="100"/>
          <w:sz w:val="21"/>
        </w:rPr>
        <w:t>，</w:t>
      </w:r>
      <w:r>
        <w:rPr>
          <w:spacing w:val="-3"/>
          <w:w w:val="100"/>
          <w:sz w:val="21"/>
        </w:rPr>
        <w:t>并</w:t>
      </w:r>
      <w:r>
        <w:rPr>
          <w:w w:val="100"/>
          <w:sz w:val="21"/>
        </w:rPr>
        <w:t>危及</w:t>
      </w:r>
      <w:r>
        <w:rPr>
          <w:spacing w:val="-3"/>
          <w:w w:val="100"/>
          <w:sz w:val="21"/>
        </w:rPr>
        <w:t>生命。须</w:t>
      </w:r>
      <w:r>
        <w:rPr>
          <w:w w:val="100"/>
          <w:sz w:val="21"/>
        </w:rPr>
        <w:t>由</w:t>
      </w:r>
      <w:r>
        <w:rPr>
          <w:spacing w:val="-3"/>
          <w:w w:val="100"/>
          <w:sz w:val="21"/>
        </w:rPr>
        <w:t>头</w:t>
      </w:r>
      <w:r>
        <w:rPr>
          <w:w w:val="100"/>
          <w:sz w:val="21"/>
        </w:rPr>
        <w:t>颅</w:t>
      </w:r>
      <w:r>
        <w:rPr>
          <w:spacing w:val="-3"/>
          <w:w w:val="100"/>
          <w:sz w:val="21"/>
        </w:rPr>
        <w:t>断层</w:t>
      </w:r>
      <w:r>
        <w:rPr>
          <w:w w:val="100"/>
          <w:sz w:val="21"/>
        </w:rPr>
        <w:t>扫</w:t>
      </w:r>
      <w:r>
        <w:rPr>
          <w:spacing w:val="-5"/>
          <w:w w:val="100"/>
          <w:sz w:val="21"/>
        </w:rPr>
        <w:t>描</w:t>
      </w:r>
      <w:r>
        <w:rPr>
          <w:spacing w:val="-2"/>
          <w:w w:val="100"/>
          <w:sz w:val="21"/>
        </w:rPr>
        <w:t>（</w:t>
      </w:r>
      <w:r>
        <w:rPr>
          <w:rFonts w:ascii="Times New Roman" w:eastAsia="Times New Roman"/>
          <w:w w:val="100"/>
          <w:sz w:val="21"/>
        </w:rPr>
        <w:t>CT</w:t>
      </w:r>
      <w:r>
        <w:rPr>
          <w:spacing w:val="-108"/>
          <w:w w:val="100"/>
          <w:sz w:val="21"/>
        </w:rPr>
        <w:t>）</w:t>
      </w:r>
      <w:r>
        <w:rPr>
          <w:spacing w:val="-5"/>
          <w:w w:val="100"/>
          <w:sz w:val="21"/>
        </w:rPr>
        <w:t>、</w:t>
      </w:r>
      <w:r>
        <w:rPr>
          <w:w w:val="100"/>
          <w:sz w:val="21"/>
        </w:rPr>
        <w:t>核</w:t>
      </w:r>
      <w:r>
        <w:rPr>
          <w:spacing w:val="-3"/>
          <w:w w:val="100"/>
          <w:sz w:val="21"/>
        </w:rPr>
        <w:t>磁</w:t>
      </w:r>
      <w:r>
        <w:rPr>
          <w:w w:val="100"/>
          <w:sz w:val="21"/>
        </w:rPr>
        <w:t>共</w:t>
      </w:r>
      <w:r>
        <w:rPr>
          <w:spacing w:val="-3"/>
          <w:w w:val="100"/>
          <w:sz w:val="21"/>
        </w:rPr>
        <w:t>振检查（</w:t>
      </w:r>
      <w:r>
        <w:rPr>
          <w:rFonts w:ascii="Times New Roman" w:eastAsia="Times New Roman"/>
          <w:w w:val="100"/>
          <w:sz w:val="21"/>
        </w:rPr>
        <w:t>MRI</w:t>
      </w:r>
      <w:r>
        <w:rPr>
          <w:spacing w:val="-1"/>
          <w:sz w:val="21"/>
        </w:rPr>
        <w:t>或正</w:t>
      </w:r>
      <w:r>
        <w:rPr>
          <w:spacing w:val="-3"/>
          <w:sz w:val="21"/>
        </w:rPr>
        <w:t>电</w:t>
      </w:r>
      <w:r>
        <w:rPr>
          <w:spacing w:val="-1"/>
          <w:sz w:val="21"/>
        </w:rPr>
        <w:t>子</w:t>
      </w:r>
      <w:r>
        <w:rPr>
          <w:spacing w:val="-3"/>
          <w:sz w:val="21"/>
        </w:rPr>
        <w:t>发</w:t>
      </w:r>
      <w:r>
        <w:rPr>
          <w:spacing w:val="-1"/>
          <w:sz w:val="21"/>
        </w:rPr>
        <w:t>射</w:t>
      </w:r>
      <w:r>
        <w:rPr>
          <w:spacing w:val="-3"/>
          <w:sz w:val="21"/>
        </w:rPr>
        <w:t>断</w:t>
      </w:r>
      <w:r>
        <w:rPr>
          <w:spacing w:val="-1"/>
          <w:sz w:val="21"/>
        </w:rPr>
        <w:t>层</w:t>
      </w:r>
      <w:r>
        <w:rPr>
          <w:spacing w:val="-3"/>
          <w:sz w:val="21"/>
        </w:rPr>
        <w:t>扫</w:t>
      </w:r>
      <w:r>
        <w:rPr>
          <w:spacing w:val="-1"/>
          <w:sz w:val="21"/>
        </w:rPr>
        <w:t>描（</w:t>
      </w:r>
      <w:r>
        <w:rPr>
          <w:rFonts w:ascii="Times New Roman" w:eastAsia="Times New Roman"/>
          <w:spacing w:val="-1"/>
          <w:sz w:val="21"/>
        </w:rPr>
        <w:t>PET</w:t>
      </w:r>
      <w:r>
        <w:rPr>
          <w:spacing w:val="-1"/>
          <w:sz w:val="21"/>
        </w:rPr>
        <w:t>）</w:t>
      </w:r>
      <w:r>
        <w:rPr>
          <w:spacing w:val="-3"/>
          <w:sz w:val="21"/>
        </w:rPr>
        <w:t>等</w:t>
      </w:r>
      <w:r>
        <w:rPr>
          <w:sz w:val="21"/>
        </w:rPr>
        <w:t>影</w:t>
      </w:r>
      <w:r>
        <w:rPr>
          <w:spacing w:val="-3"/>
          <w:sz w:val="21"/>
        </w:rPr>
        <w:t>像</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并须</w:t>
      </w:r>
      <w:r>
        <w:rPr>
          <w:spacing w:val="-3"/>
          <w:sz w:val="21"/>
        </w:rPr>
        <w:t>满</w:t>
      </w:r>
      <w:r>
        <w:rPr>
          <w:sz w:val="21"/>
        </w:rPr>
        <w:t>足</w:t>
      </w:r>
      <w:r>
        <w:rPr>
          <w:spacing w:val="-3"/>
          <w:sz w:val="21"/>
        </w:rPr>
        <w:t>下</w:t>
      </w:r>
      <w:r>
        <w:rPr>
          <w:sz w:val="21"/>
        </w:rPr>
        <w:t>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5"/>
        <w:ind w:left="2230"/>
      </w:pPr>
      <w:r>
        <w:rPr/>
        <w:t>（</w:t>
      </w:r>
      <w:r>
        <w:rPr>
          <w:rFonts w:ascii="Times New Roman" w:eastAsia="Times New Roman"/>
        </w:rPr>
        <w:t>1</w:t>
      </w:r>
      <w:r>
        <w:rPr/>
        <w:t>）实际实施了开颅进行的脑肿瘤完全切除或部分切除的手术；</w:t>
      </w:r>
    </w:p>
    <w:p>
      <w:pPr>
        <w:pStyle w:val="BodyText"/>
        <w:spacing w:before="20"/>
        <w:ind w:left="2230"/>
      </w:pPr>
      <w:r>
        <w:rPr/>
        <w:t>（</w:t>
      </w:r>
      <w:r>
        <w:rPr>
          <w:rFonts w:ascii="Times New Roman" w:eastAsia="Times New Roman"/>
        </w:rPr>
        <w:t>2</w:t>
      </w:r>
      <w:r>
        <w:rPr/>
        <w:t>）实际实施了对脑肿瘤进行的放射治疗。</w:t>
      </w:r>
    </w:p>
    <w:p>
      <w:pPr>
        <w:pStyle w:val="BodyText"/>
        <w:spacing w:before="20"/>
        <w:ind w:left="2230"/>
      </w:pPr>
      <w:r>
        <w:rPr/>
        <w:t>脑垂体瘤、脑囊肿、脑血管性疾病不在保障范围内。</w:t>
      </w:r>
    </w:p>
    <w:p>
      <w:pPr>
        <w:pStyle w:val="ListParagraph"/>
        <w:numPr>
          <w:ilvl w:val="0"/>
          <w:numId w:val="4"/>
        </w:numPr>
        <w:tabs>
          <w:tab w:pos="495" w:val="left" w:leader="none"/>
        </w:tabs>
        <w:spacing w:line="240" w:lineRule="auto" w:before="36" w:after="0"/>
        <w:ind w:left="494" w:right="0" w:hanging="377"/>
        <w:jc w:val="left"/>
        <w:rPr>
          <w:sz w:val="21"/>
        </w:rPr>
      </w:pPr>
      <w:r>
        <w:rPr>
          <w:spacing w:val="-3"/>
          <w:sz w:val="21"/>
        </w:rPr>
        <w:t>慢性肝功能衰竭：指因慢性肝脏疾病导致肝功能衰竭。须满足下列全部条件：</w:t>
      </w:r>
    </w:p>
    <w:p>
      <w:pPr>
        <w:spacing w:after="0" w:line="240" w:lineRule="auto"/>
        <w:jc w:val="left"/>
        <w:rPr>
          <w:sz w:val="21"/>
        </w:rPr>
        <w:sectPr>
          <w:type w:val="continuous"/>
          <w:pgSz w:w="11910" w:h="16160"/>
          <w:pgMar w:top="580" w:bottom="280" w:left="960" w:right="820"/>
        </w:sectPr>
      </w:pPr>
    </w:p>
    <w:p>
      <w:pPr>
        <w:pStyle w:val="BodyText"/>
        <w:spacing w:before="20"/>
      </w:pPr>
      <w:r>
        <w:rPr/>
        <w:t>失代偿期</w:t>
      </w:r>
    </w:p>
    <w:p>
      <w:pPr>
        <w:pStyle w:val="BodyText"/>
        <w:spacing w:before="20"/>
      </w:pPr>
      <w:r>
        <w:rPr/>
        <w:br w:type="column"/>
      </w:r>
      <w:r>
        <w:rPr/>
        <w:t>（</w:t>
      </w:r>
      <w:r>
        <w:rPr>
          <w:rFonts w:ascii="Times New Roman" w:eastAsia="Times New Roman"/>
        </w:rPr>
        <w:t>1</w:t>
      </w:r>
      <w:r>
        <w:rPr/>
        <w:t>）持续性黄疸；</w:t>
      </w:r>
    </w:p>
    <w:p>
      <w:pPr>
        <w:pStyle w:val="BodyText"/>
        <w:spacing w:before="20"/>
      </w:pPr>
      <w:r>
        <w:rPr/>
        <w:t>（</w:t>
      </w:r>
      <w:r>
        <w:rPr>
          <w:rFonts w:ascii="Times New Roman" w:eastAsia="Times New Roman"/>
        </w:rPr>
        <w:t>2</w:t>
      </w:r>
      <w:r>
        <w:rPr/>
        <w:t>）腹水；</w:t>
      </w:r>
    </w:p>
    <w:p>
      <w:pPr>
        <w:pStyle w:val="BodyText"/>
        <w:spacing w:before="20"/>
      </w:pPr>
      <w:r>
        <w:rPr/>
        <w:t>（</w:t>
      </w:r>
      <w:r>
        <w:rPr>
          <w:rFonts w:ascii="Times New Roman" w:eastAsia="Times New Roman"/>
        </w:rPr>
        <w:t>3</w:t>
      </w:r>
      <w:r>
        <w:rPr/>
        <w:t>）肝性脑病；</w:t>
      </w:r>
    </w:p>
    <w:p>
      <w:pPr>
        <w:pStyle w:val="BodyText"/>
        <w:spacing w:line="256" w:lineRule="auto" w:before="20"/>
        <w:ind w:right="2744"/>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56" w:lineRule="auto"/>
        <w:sectPr>
          <w:type w:val="continuous"/>
          <w:pgSz w:w="11910" w:h="16160"/>
          <w:pgMar w:top="580" w:bottom="280" w:left="960" w:right="820"/>
          <w:cols w:num="2" w:equalWidth="0">
            <w:col w:w="961" w:space="1152"/>
            <w:col w:w="8017"/>
          </w:cols>
        </w:sectPr>
      </w:pPr>
    </w:p>
    <w:p>
      <w:pPr>
        <w:pStyle w:val="ListParagraph"/>
        <w:numPr>
          <w:ilvl w:val="0"/>
          <w:numId w:val="4"/>
        </w:numPr>
        <w:tabs>
          <w:tab w:pos="479" w:val="left" w:leader="none"/>
        </w:tabs>
        <w:spacing w:line="256" w:lineRule="auto" w:before="22" w:after="0"/>
        <w:ind w:left="2230" w:right="102" w:hanging="2113"/>
        <w:jc w:val="both"/>
        <w:rPr>
          <w:sz w:val="21"/>
        </w:rPr>
      </w:pPr>
      <w:r>
        <w:rPr>
          <w:sz w:val="21"/>
        </w:rPr>
        <w:t>深度昏迷      ：指因疾病或意外伤害导致意识丧失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昏迷程度按照格</w:t>
      </w:r>
      <w:r>
        <w:rPr>
          <w:spacing w:val="-3"/>
          <w:sz w:val="21"/>
        </w:rPr>
        <w:t>拉斯哥昏迷分级</w:t>
      </w:r>
      <w:r>
        <w:rPr>
          <w:sz w:val="21"/>
        </w:rPr>
        <w:t>（</w:t>
      </w:r>
      <w:r>
        <w:rPr>
          <w:rFonts w:ascii="Times New Roman" w:eastAsia="Times New Roman"/>
          <w:sz w:val="21"/>
        </w:rPr>
        <w:t>Glasgow</w:t>
      </w:r>
      <w:r>
        <w:rPr>
          <w:rFonts w:ascii="Times New Roman" w:eastAsia="Times New Roman"/>
          <w:spacing w:val="38"/>
          <w:sz w:val="21"/>
        </w:rPr>
        <w:t> </w:t>
      </w:r>
      <w:r>
        <w:rPr>
          <w:rFonts w:ascii="Times New Roman" w:eastAsia="Times New Roman"/>
          <w:sz w:val="21"/>
        </w:rPr>
        <w:t>coma</w:t>
      </w:r>
      <w:r>
        <w:rPr>
          <w:rFonts w:ascii="Times New Roman" w:eastAsia="Times New Roman"/>
          <w:spacing w:val="41"/>
          <w:sz w:val="21"/>
        </w:rPr>
        <w:t> </w:t>
      </w:r>
      <w:r>
        <w:rPr>
          <w:rFonts w:ascii="Times New Roman" w:eastAsia="Times New Roman"/>
          <w:sz w:val="21"/>
        </w:rPr>
        <w:t>scale</w:t>
      </w:r>
      <w:r>
        <w:rPr>
          <w:sz w:val="21"/>
        </w:rPr>
        <w:t>）</w:t>
      </w:r>
      <w:r>
        <w:rPr>
          <w:spacing w:val="-15"/>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2"/>
          <w:sz w:val="21"/>
        </w:rPr>
        <w:t> </w:t>
      </w:r>
      <w:r>
        <w:rPr>
          <w:spacing w:val="-3"/>
          <w:sz w:val="21"/>
        </w:rPr>
        <w:t>分以下，且已经持续使用呼</w:t>
      </w:r>
      <w:r>
        <w:rPr>
          <w:spacing w:val="-7"/>
          <w:sz w:val="21"/>
        </w:rPr>
        <w:t>吸机及其它生命维持系统 </w:t>
      </w:r>
      <w:r>
        <w:rPr>
          <w:rFonts w:ascii="Times New Roman" w:eastAsia="Times New Roman"/>
          <w:sz w:val="21"/>
        </w:rPr>
        <w:t>96</w:t>
      </w:r>
      <w:r>
        <w:rPr>
          <w:rFonts w:ascii="Times New Roman" w:eastAsia="Times New Roman"/>
          <w:spacing w:val="10"/>
          <w:sz w:val="21"/>
        </w:rPr>
        <w:t> </w:t>
      </w:r>
      <w:r>
        <w:rPr>
          <w:spacing w:val="-3"/>
          <w:sz w:val="21"/>
        </w:rPr>
        <w:t>小时以上。</w:t>
      </w:r>
    </w:p>
    <w:p>
      <w:pPr>
        <w:pStyle w:val="BodyText"/>
        <w:spacing w:before="5"/>
        <w:ind w:left="2230"/>
      </w:pPr>
      <w:r>
        <w:rPr/>
        <w:t>因酗酒或药物滥用导致的深度昏迷不在保障范围内。</w:t>
      </w:r>
    </w:p>
    <w:p>
      <w:pPr>
        <w:pStyle w:val="ListParagraph"/>
        <w:numPr>
          <w:ilvl w:val="0"/>
          <w:numId w:val="4"/>
        </w:numPr>
        <w:tabs>
          <w:tab w:pos="488" w:val="left" w:leader="none"/>
          <w:tab w:pos="2018" w:val="left" w:leader="none"/>
        </w:tabs>
        <w:spacing w:line="240" w:lineRule="auto" w:before="37" w:after="0"/>
        <w:ind w:left="487" w:right="0" w:hanging="370"/>
        <w:jc w:val="left"/>
        <w:rPr>
          <w:sz w:val="21"/>
        </w:rPr>
      </w:pPr>
      <w:r>
        <w:rPr>
          <w:spacing w:val="-3"/>
          <w:sz w:val="21"/>
        </w:rPr>
        <w:t>双</w:t>
      </w:r>
      <w:r>
        <w:rPr>
          <w:sz w:val="21"/>
        </w:rPr>
        <w:t>耳</w:t>
      </w:r>
      <w:r>
        <w:rPr>
          <w:spacing w:val="-3"/>
          <w:sz w:val="21"/>
        </w:rPr>
        <w:t>失</w:t>
      </w:r>
      <w:r>
        <w:rPr>
          <w:sz w:val="21"/>
        </w:rPr>
        <w:t>聪</w:t>
        <w:tab/>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0</w:t>
      </w:r>
      <w:r>
        <w:rPr>
          <w:rFonts w:ascii="Times New Roman" w:eastAsia="Times New Roman"/>
          <w:b/>
          <w:sz w:val="21"/>
          <w:vertAlign w:val="baseline"/>
        </w:rPr>
      </w:r>
      <w:r>
        <w:rPr>
          <w:sz w:val="21"/>
          <w:vertAlign w:val="baseline"/>
        </w:rPr>
        <w:t>性丧失，在</w:t>
      </w:r>
      <w:r>
        <w:rPr>
          <w:spacing w:val="30"/>
          <w:sz w:val="21"/>
          <w:vertAlign w:val="baseline"/>
        </w:rPr>
        <w:t> </w:t>
      </w:r>
      <w:r>
        <w:rPr>
          <w:rFonts w:ascii="Times New Roman" w:eastAsia="Times New Roman"/>
          <w:sz w:val="21"/>
          <w:vertAlign w:val="baseline"/>
        </w:rPr>
        <w:t>500 </w:t>
      </w:r>
      <w:r>
        <w:rPr>
          <w:rFonts w:ascii="Times New Roman" w:eastAsia="Times New Roman"/>
          <w:spacing w:val="25"/>
          <w:sz w:val="21"/>
          <w:vertAlign w:val="baseline"/>
        </w:rPr>
        <w:t> </w:t>
      </w:r>
      <w:r>
        <w:rPr>
          <w:sz w:val="21"/>
          <w:vertAlign w:val="baseline"/>
        </w:rPr>
        <w:t>赫兹、</w:t>
      </w:r>
      <w:r>
        <w:rPr>
          <w:rFonts w:ascii="Times New Roman" w:eastAsia="Times New Roman"/>
          <w:sz w:val="21"/>
          <w:vertAlign w:val="baseline"/>
        </w:rPr>
        <w:t>1000 </w:t>
      </w:r>
      <w:r>
        <w:rPr>
          <w:rFonts w:ascii="Times New Roman" w:eastAsia="Times New Roman"/>
          <w:spacing w:val="25"/>
          <w:sz w:val="21"/>
          <w:vertAlign w:val="baseline"/>
        </w:rPr>
        <w:t> </w:t>
      </w:r>
      <w:r>
        <w:rPr>
          <w:sz w:val="21"/>
          <w:vertAlign w:val="baseline"/>
        </w:rPr>
        <w:t>赫兹和</w:t>
      </w:r>
    </w:p>
    <w:p>
      <w:pPr>
        <w:pStyle w:val="BodyText"/>
        <w:spacing w:line="256" w:lineRule="auto" w:before="21"/>
        <w:ind w:left="2230" w:right="100"/>
      </w:pPr>
      <w:r>
        <w:rPr>
          <w:rFonts w:ascii="Times New Roman" w:eastAsia="Times New Roman"/>
        </w:rPr>
        <w:t>2000 </w:t>
      </w:r>
      <w:r>
        <w:rPr>
          <w:spacing w:val="-8"/>
        </w:rPr>
        <w:t>赫兹语音频率下，平均听阈大于 </w:t>
      </w:r>
      <w:r>
        <w:rPr>
          <w:rFonts w:ascii="Times New Roman" w:eastAsia="Times New Roman"/>
        </w:rPr>
        <w:t>90 </w:t>
      </w:r>
      <w:r>
        <w:rPr>
          <w:spacing w:val="-6"/>
        </w:rPr>
        <w:t>分贝，且经纯音听力测试、声导抗检测或听</w:t>
      </w:r>
      <w:r>
        <w:rPr>
          <w:spacing w:val="-4"/>
        </w:rPr>
        <w:t>觉诱发电位检测等证实。</w:t>
      </w:r>
    </w:p>
    <w:p>
      <w:pPr>
        <w:pStyle w:val="BodyText"/>
        <w:spacing w:line="273" w:lineRule="auto" w:before="22"/>
        <w:ind w:left="2230" w:right="100"/>
      </w:pPr>
      <w:r>
        <w:rPr/>
        <w:t>被保险人申请理赔时年龄必须在三周岁以上，并且提供理赔当时的听力丧失诊断及检查证据。</w:t>
      </w:r>
    </w:p>
    <w:p>
      <w:pPr>
        <w:pStyle w:val="BodyText"/>
        <w:spacing w:before="3"/>
        <w:ind w:left="0"/>
        <w:rPr>
          <w:sz w:val="10"/>
        </w:rPr>
      </w:pPr>
      <w:r>
        <w:rPr/>
        <w:pict>
          <v:line style="position:absolute;mso-position-horizontal-relative:page;mso-position-vertical-relative:paragraph;z-index:1216;mso-wrap-distance-left:0;mso-wrap-distance-right:0" from="53.880001pt,8.91689pt" to="197.930001pt,8.91689pt" stroked="true" strokeweight=".47998pt" strokecolor="#000000">
            <v:stroke dashstyle="solid"/>
            <w10:wrap type="topAndBottom"/>
          </v:line>
        </w:pict>
      </w:r>
    </w:p>
    <w:p>
      <w:pPr>
        <w:pStyle w:val="BodyText"/>
        <w:spacing w:line="220" w:lineRule="auto"/>
        <w:ind w:right="142"/>
      </w:pPr>
      <w:r>
        <w:rPr>
          <w:rFonts w:ascii="Times New Roman" w:eastAsia="Times New Roman"/>
          <w:position w:val="10"/>
          <w:sz w:val="14"/>
        </w:rPr>
        <w:t>20</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type w:val="continuous"/>
          <w:pgSz w:w="11910" w:h="16160"/>
          <w:pgMar w:top="580" w:bottom="280" w:left="960" w:right="820"/>
        </w:sectPr>
      </w:pPr>
    </w:p>
    <w:p>
      <w:pPr>
        <w:pStyle w:val="BodyText"/>
        <w:spacing w:before="5"/>
        <w:ind w:left="0"/>
        <w:rPr>
          <w:rFonts w:ascii="Times New Roman"/>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210"/>
        <w:gridCol w:w="7995"/>
      </w:tblGrid>
      <w:tr>
        <w:trPr>
          <w:trHeight w:val="2136" w:hRule="atLeast"/>
        </w:trPr>
        <w:tc>
          <w:tcPr>
            <w:tcW w:w="2103" w:type="dxa"/>
          </w:tcPr>
          <w:p>
            <w:pPr>
              <w:pStyle w:val="TableParagraph"/>
              <w:spacing w:line="234" w:lineRule="exact"/>
              <w:ind w:left="200"/>
              <w:rPr>
                <w:sz w:val="21"/>
              </w:rPr>
            </w:pPr>
            <w:r>
              <w:rPr>
                <w:rFonts w:ascii="Times New Roman" w:eastAsia="Times New Roman"/>
                <w:sz w:val="21"/>
              </w:rPr>
              <w:t>13.  </w:t>
            </w:r>
            <w:r>
              <w:rPr>
                <w:sz w:val="21"/>
              </w:rPr>
              <w:t>双目失明</w:t>
            </w:r>
          </w:p>
        </w:tc>
        <w:tc>
          <w:tcPr>
            <w:tcW w:w="210" w:type="dxa"/>
          </w:tcPr>
          <w:p>
            <w:pPr>
              <w:pStyle w:val="TableParagraph"/>
              <w:spacing w:line="218" w:lineRule="exact"/>
              <w:ind w:left="-2"/>
              <w:jc w:val="center"/>
              <w:rPr>
                <w:sz w:val="21"/>
              </w:rPr>
            </w:pPr>
            <w:r>
              <w:rPr>
                <w:w w:val="100"/>
                <w:sz w:val="21"/>
              </w:rPr>
              <w:t>：</w:t>
            </w:r>
          </w:p>
        </w:tc>
        <w:tc>
          <w:tcPr>
            <w:tcW w:w="7995" w:type="dxa"/>
          </w:tcPr>
          <w:p>
            <w:pPr>
              <w:pStyle w:val="TableParagraph"/>
              <w:spacing w:line="218" w:lineRule="exact"/>
              <w:rPr>
                <w:sz w:val="21"/>
              </w:rPr>
            </w:pPr>
            <w:r>
              <w:rPr>
                <w:sz w:val="21"/>
              </w:rPr>
              <w:t>指因疾病或意外伤害导致双眼视力永久不可逆性丧失，双眼中较好眼须满足下列至少</w:t>
            </w:r>
          </w:p>
          <w:p>
            <w:pPr>
              <w:pStyle w:val="TableParagraph"/>
              <w:spacing w:before="37"/>
              <w:rPr>
                <w:sz w:val="21"/>
              </w:rPr>
            </w:pPr>
            <w:r>
              <w:rPr>
                <w:sz w:val="21"/>
              </w:rPr>
              <w:t>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3"/>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200"/>
              <w:rPr>
                <w:sz w:val="21"/>
              </w:rPr>
            </w:pPr>
            <w:r>
              <w:rPr>
                <w:sz w:val="21"/>
              </w:rPr>
              <w:t>被保险人申请理赔时年龄必须在三周岁以上，并且提供理赔当时的视力丧失诊断及检查证据。</w:t>
            </w:r>
          </w:p>
        </w:tc>
      </w:tr>
      <w:tr>
        <w:trPr>
          <w:trHeight w:val="936" w:hRule="atLeast"/>
        </w:trPr>
        <w:tc>
          <w:tcPr>
            <w:tcW w:w="2103" w:type="dxa"/>
          </w:tcPr>
          <w:p>
            <w:pPr>
              <w:pStyle w:val="TableParagraph"/>
              <w:spacing w:line="281" w:lineRule="exact"/>
              <w:ind w:left="200"/>
              <w:rPr>
                <w:sz w:val="21"/>
              </w:rPr>
            </w:pPr>
            <w:r>
              <w:rPr>
                <w:rFonts w:ascii="Times New Roman" w:eastAsia="Times New Roman"/>
                <w:sz w:val="21"/>
              </w:rPr>
              <w:t>14.  </w:t>
            </w:r>
            <w:r>
              <w:rPr>
                <w:sz w:val="21"/>
              </w:rPr>
              <w:t>瘫痪</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64" w:lineRule="auto"/>
              <w:ind w:right="200"/>
              <w:jc w:val="both"/>
              <w:rPr>
                <w:sz w:val="21"/>
              </w:rPr>
            </w:pPr>
            <w:r>
              <w:rPr>
                <w:spacing w:val="-3"/>
                <w:sz w:val="21"/>
              </w:rPr>
              <w:t>指因疾病或意外伤害导致两肢或两肢以上肢体机能永久完全丧失。肢体机能永久完全</w:t>
            </w:r>
            <w:r>
              <w:rPr>
                <w:spacing w:val="-14"/>
                <w:sz w:val="21"/>
              </w:rPr>
              <w:t>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8"/>
                <w:sz w:val="21"/>
              </w:rPr>
              <w:t>天后，每肢三大关节中的两大关节仍</w:t>
            </w:r>
            <w:r>
              <w:rPr>
                <w:spacing w:val="-5"/>
                <w:sz w:val="21"/>
              </w:rPr>
              <w:t>然完全僵硬，或不能随意识活动。</w:t>
            </w:r>
          </w:p>
        </w:tc>
      </w:tr>
      <w:tr>
        <w:trPr>
          <w:trHeight w:val="329" w:hRule="atLeast"/>
        </w:trPr>
        <w:tc>
          <w:tcPr>
            <w:tcW w:w="2103" w:type="dxa"/>
          </w:tcPr>
          <w:p>
            <w:pPr>
              <w:pStyle w:val="TableParagraph"/>
              <w:spacing w:line="281" w:lineRule="exact"/>
              <w:ind w:left="200"/>
              <w:rPr>
                <w:sz w:val="21"/>
              </w:rPr>
            </w:pPr>
            <w:r>
              <w:rPr>
                <w:rFonts w:ascii="Times New Roman" w:eastAsia="Times New Roman"/>
                <w:sz w:val="21"/>
              </w:rPr>
              <w:t>15.  </w:t>
            </w:r>
            <w:r>
              <w:rPr>
                <w:sz w:val="21"/>
              </w:rPr>
              <w:t>心脏瓣膜手术</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65" w:lineRule="exact"/>
              <w:rPr>
                <w:sz w:val="21"/>
              </w:rPr>
            </w:pPr>
            <w:r>
              <w:rPr>
                <w:sz w:val="21"/>
              </w:rPr>
              <w:t>指为治疗心脏瓣膜疾病，实际实施了开胸进行的心脏瓣膜置换或修复的手术。</w:t>
            </w:r>
          </w:p>
        </w:tc>
      </w:tr>
      <w:tr>
        <w:trPr>
          <w:trHeight w:val="1873" w:hRule="atLeast"/>
        </w:trPr>
        <w:tc>
          <w:tcPr>
            <w:tcW w:w="2103" w:type="dxa"/>
          </w:tcPr>
          <w:p>
            <w:pPr>
              <w:pStyle w:val="TableParagraph"/>
              <w:spacing w:line="256" w:lineRule="auto"/>
              <w:ind w:left="200" w:right="-15"/>
              <w:rPr>
                <w:sz w:val="21"/>
              </w:rPr>
            </w:pPr>
            <w:r>
              <w:rPr>
                <w:rFonts w:ascii="Times New Roman" w:eastAsia="Times New Roman"/>
                <w:sz w:val="21"/>
              </w:rPr>
              <w:t>16.</w:t>
            </w:r>
            <w:r>
              <w:rPr>
                <w:rFonts w:ascii="Times New Roman" w:eastAsia="Times New Roman"/>
                <w:spacing w:val="20"/>
                <w:sz w:val="21"/>
              </w:rPr>
              <w:t> </w:t>
            </w:r>
            <w:r>
              <w:rPr>
                <w:spacing w:val="3"/>
                <w:sz w:val="21"/>
              </w:rPr>
              <w:t>严重阿尔茨海默病</w:t>
            </w:r>
          </w:p>
        </w:tc>
        <w:tc>
          <w:tcPr>
            <w:tcW w:w="210" w:type="dxa"/>
          </w:tcPr>
          <w:p>
            <w:pPr>
              <w:pStyle w:val="TableParagraph"/>
              <w:spacing w:line="267" w:lineRule="exact"/>
              <w:ind w:left="-2"/>
              <w:jc w:val="center"/>
              <w:rPr>
                <w:sz w:val="21"/>
              </w:rPr>
            </w:pPr>
            <w:r>
              <w:rPr>
                <w:w w:val="100"/>
                <w:sz w:val="21"/>
              </w:rPr>
              <w:t>：</w:t>
            </w:r>
          </w:p>
        </w:tc>
        <w:tc>
          <w:tcPr>
            <w:tcW w:w="7995" w:type="dxa"/>
          </w:tcPr>
          <w:p>
            <w:pPr>
              <w:pStyle w:val="TableParagraph"/>
              <w:spacing w:line="268" w:lineRule="auto"/>
              <w:ind w:right="200"/>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指因大脑进行性、不可逆性改变导致智能严重衰退或丧失，临床表现为明显的认知能力障碍、行为异常和社交能力减退，其日常生活必须持续受到他人监护。须由头颅断</w:t>
            </w:r>
            <w:r>
              <w:rPr>
                <w:spacing w:val="-7"/>
                <w:w w:val="100"/>
                <w:sz w:val="21"/>
              </w:rPr>
              <w:t>层扫描</w:t>
            </w:r>
            <w:r>
              <w:rPr>
                <w:spacing w:val="-2"/>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3"/>
                <w:w w:val="100"/>
                <w:sz w:val="21"/>
              </w:rPr>
              <w:t>）</w:t>
            </w:r>
            <w:r>
              <w:rPr>
                <w:spacing w:val="-5"/>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13"/>
                <w:w w:val="100"/>
                <w:sz w:val="21"/>
              </w:rPr>
              <w:t>）</w:t>
            </w:r>
            <w:r>
              <w:rPr>
                <w:spacing w:val="-3"/>
                <w:w w:val="100"/>
                <w:sz w:val="21"/>
              </w:rPr>
              <w:t>等影像学检查证</w:t>
            </w:r>
            <w:r>
              <w:rPr>
                <w:spacing w:val="-3"/>
                <w:sz w:val="21"/>
              </w:rPr>
              <w:t>实，且自主生活能力完全丧失，无法独立完成六项基本日常生活活动中的三项或三项以上。</w:t>
            </w:r>
          </w:p>
          <w:p>
            <w:pPr>
              <w:pStyle w:val="TableParagraph"/>
              <w:spacing w:before="20"/>
              <w:jc w:val="both"/>
              <w:rPr>
                <w:sz w:val="21"/>
              </w:rPr>
            </w:pPr>
            <w:r>
              <w:rPr>
                <w:sz w:val="21"/>
              </w:rPr>
              <w:t>神经官能症和精神疾病不在保障范围内。</w:t>
            </w:r>
          </w:p>
        </w:tc>
      </w:tr>
      <w:tr>
        <w:trPr>
          <w:trHeight w:val="2496" w:hRule="atLeast"/>
        </w:trPr>
        <w:tc>
          <w:tcPr>
            <w:tcW w:w="2103" w:type="dxa"/>
          </w:tcPr>
          <w:p>
            <w:pPr>
              <w:pStyle w:val="TableParagraph"/>
              <w:spacing w:line="281" w:lineRule="exact"/>
              <w:ind w:left="200"/>
              <w:rPr>
                <w:sz w:val="21"/>
              </w:rPr>
            </w:pPr>
            <w:r>
              <w:rPr>
                <w:rFonts w:ascii="Times New Roman" w:eastAsia="Times New Roman"/>
                <w:sz w:val="21"/>
              </w:rPr>
              <w:t>17.  </w:t>
            </w:r>
            <w:r>
              <w:rPr>
                <w:sz w:val="21"/>
              </w:rPr>
              <w:t>严重脑损伤</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61" w:lineRule="auto"/>
              <w:ind w:right="198"/>
              <w:jc w:val="both"/>
              <w:rPr>
                <w:sz w:val="21"/>
              </w:rPr>
            </w:pPr>
            <w:r>
              <w:rPr>
                <w:spacing w:val="-3"/>
                <w:sz w:val="21"/>
              </w:rPr>
              <w:t>指因头部遭受机械性外力，引起脑重要部位损伤，导致神经系统永久性的功能障碍。</w:t>
            </w:r>
            <w:r>
              <w:rPr>
                <w:spacing w:val="-5"/>
                <w:w w:val="100"/>
                <w:sz w:val="21"/>
              </w:rPr>
              <w:t>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3"/>
                <w:w w:val="100"/>
                <w:sz w:val="21"/>
              </w:rPr>
              <w:t>）</w:t>
            </w:r>
            <w:r>
              <w:rPr>
                <w:spacing w:val="-5"/>
                <w:w w:val="100"/>
                <w:sz w:val="21"/>
              </w:rPr>
              <w:t>或正电子发射断层扫描</w:t>
            </w:r>
            <w:r>
              <w:rPr>
                <w:spacing w:val="-2"/>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5"/>
                <w:w w:val="100"/>
                <w:sz w:val="21"/>
              </w:rPr>
              <w:t>）</w:t>
            </w:r>
            <w:r>
              <w:rPr>
                <w:w w:val="100"/>
                <w:sz w:val="21"/>
              </w:rPr>
              <w:t>等影</w:t>
            </w:r>
            <w:r>
              <w:rPr>
                <w:spacing w:val="-7"/>
                <w:sz w:val="21"/>
              </w:rPr>
              <w:t>像学检查证实。神经系统永久性的功能障碍，指脑损伤 </w:t>
            </w:r>
            <w:r>
              <w:rPr>
                <w:rFonts w:ascii="Times New Roman" w:eastAsia="Times New Roman"/>
                <w:sz w:val="21"/>
              </w:rPr>
              <w:t>180 </w:t>
            </w:r>
            <w:r>
              <w:rPr>
                <w:spacing w:val="-4"/>
                <w:sz w:val="21"/>
              </w:rPr>
              <w:t>天后，仍遗留下列一种或</w:t>
            </w:r>
            <w:r>
              <w:rPr>
                <w:spacing w:val="-3"/>
                <w:sz w:val="21"/>
              </w:rPr>
              <w:t>一种以上障碍：</w:t>
            </w:r>
          </w:p>
          <w:p>
            <w:pPr>
              <w:pStyle w:val="TableParagraph"/>
              <w:spacing w:before="2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01"/>
              <w:rPr>
                <w:sz w:val="21"/>
              </w:rPr>
            </w:pPr>
            <w:r>
              <w:rPr>
                <w:spacing w:val="-16"/>
                <w:sz w:val="21"/>
              </w:rPr>
              <w:t>（</w:t>
            </w:r>
            <w:r>
              <w:rPr>
                <w:rFonts w:ascii="Times New Roman" w:eastAsia="Times New Roman"/>
                <w:spacing w:val="-16"/>
                <w:sz w:val="21"/>
              </w:rPr>
              <w:t>3</w:t>
            </w:r>
            <w:r>
              <w:rPr>
                <w:spacing w:val="-16"/>
                <w:sz w:val="21"/>
              </w:rPr>
              <w:t>）</w:t>
            </w:r>
            <w:r>
              <w:rPr>
                <w:spacing w:val="-7"/>
                <w:sz w:val="21"/>
              </w:rPr>
              <w:t>自主生活能力完全丧失，无法独立完成六项基本日常生活活动中的三项或三项以上。</w:t>
            </w:r>
          </w:p>
        </w:tc>
      </w:tr>
      <w:tr>
        <w:trPr>
          <w:trHeight w:val="1871" w:hRule="atLeast"/>
        </w:trPr>
        <w:tc>
          <w:tcPr>
            <w:tcW w:w="2103" w:type="dxa"/>
          </w:tcPr>
          <w:p>
            <w:pPr>
              <w:pStyle w:val="TableParagraph"/>
              <w:spacing w:line="281" w:lineRule="exact"/>
              <w:ind w:left="200"/>
              <w:rPr>
                <w:sz w:val="21"/>
              </w:rPr>
            </w:pPr>
            <w:r>
              <w:rPr>
                <w:rFonts w:ascii="Times New Roman" w:eastAsia="Times New Roman"/>
                <w:sz w:val="21"/>
              </w:rPr>
              <w:t>18.  </w:t>
            </w:r>
            <w:r>
              <w:rPr>
                <w:sz w:val="21"/>
              </w:rPr>
              <w:t>严重帕金森病</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73" w:lineRule="auto"/>
              <w:ind w:right="200"/>
              <w:rPr>
                <w:sz w:val="21"/>
              </w:rPr>
            </w:pPr>
            <w:r>
              <w:rPr>
                <w:sz w:val="21"/>
              </w:rPr>
              <w:t>是一种中枢神经系统的退行性疾病，临床表现为震颤麻痹、共济失调等。须满足下列全部条件：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201"/>
              <w:rPr>
                <w:sz w:val="21"/>
              </w:rPr>
            </w:pPr>
            <w:r>
              <w:rPr>
                <w:spacing w:val="-16"/>
                <w:sz w:val="21"/>
              </w:rPr>
              <w:t>（</w:t>
            </w:r>
            <w:r>
              <w:rPr>
                <w:rFonts w:ascii="Times New Roman" w:eastAsia="Times New Roman"/>
                <w:spacing w:val="-16"/>
                <w:sz w:val="21"/>
              </w:rPr>
              <w:t>2</w:t>
            </w:r>
            <w:r>
              <w:rPr>
                <w:spacing w:val="-16"/>
                <w:sz w:val="21"/>
              </w:rPr>
              <w:t>）</w:t>
            </w:r>
            <w:r>
              <w:rPr>
                <w:spacing w:val="-7"/>
                <w:sz w:val="21"/>
              </w:rPr>
              <w:t>自主生活能力完全丧失，无法独立完成六项基本日常生活活动中的三项或三项以上。</w:t>
            </w:r>
          </w:p>
          <w:p>
            <w:pPr>
              <w:pStyle w:val="TableParagraph"/>
              <w:spacing w:before="22"/>
              <w:rPr>
                <w:sz w:val="21"/>
              </w:rPr>
            </w:pPr>
            <w:r>
              <w:rPr>
                <w:sz w:val="21"/>
              </w:rPr>
              <w:t>继发性帕金森综合征不在保障范围内。</w:t>
            </w:r>
          </w:p>
        </w:tc>
      </w:tr>
      <w:tr>
        <w:trPr>
          <w:trHeight w:val="624" w:hRule="atLeast"/>
        </w:trPr>
        <w:tc>
          <w:tcPr>
            <w:tcW w:w="2103" w:type="dxa"/>
          </w:tcPr>
          <w:p>
            <w:pPr>
              <w:pStyle w:val="TableParagraph"/>
              <w:spacing w:line="281" w:lineRule="exact"/>
              <w:ind w:left="200"/>
              <w:rPr>
                <w:sz w:val="21"/>
              </w:rPr>
            </w:pPr>
            <w:r>
              <w:rPr>
                <w:rFonts w:ascii="Times New Roman" w:hAnsi="Times New Roman" w:eastAsia="Times New Roman"/>
                <w:sz w:val="21"/>
              </w:rPr>
              <w:t>19.  </w:t>
            </w:r>
            <w:r>
              <w:rPr>
                <w:sz w:val="21"/>
              </w:rPr>
              <w:t>严重Ⅲ度烧伤</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59" w:lineRule="auto"/>
              <w:ind w:right="20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9"/>
                <w:sz w:val="21"/>
              </w:rPr>
              <w:t>％以上。体表面</w:t>
            </w:r>
            <w:r>
              <w:rPr>
                <w:spacing w:val="-5"/>
                <w:sz w:val="21"/>
              </w:rPr>
              <w:t>积根据《中国新九分法》计算。</w:t>
            </w:r>
          </w:p>
        </w:tc>
      </w:tr>
      <w:tr>
        <w:trPr>
          <w:trHeight w:val="1560" w:hRule="atLeast"/>
        </w:trPr>
        <w:tc>
          <w:tcPr>
            <w:tcW w:w="2103" w:type="dxa"/>
          </w:tcPr>
          <w:p>
            <w:pPr>
              <w:pStyle w:val="TableParagraph"/>
              <w:spacing w:line="281" w:lineRule="exact"/>
              <w:ind w:left="200"/>
              <w:rPr>
                <w:sz w:val="21"/>
              </w:rPr>
            </w:pPr>
            <w:r>
              <w:rPr>
                <w:rFonts w:ascii="Times New Roman" w:eastAsia="Times New Roman"/>
                <w:sz w:val="21"/>
              </w:rPr>
              <w:t>20.  </w:t>
            </w:r>
            <w:r>
              <w:rPr>
                <w:sz w:val="21"/>
              </w:rPr>
              <w:t>语言能力丧失</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56" w:lineRule="auto"/>
              <w:ind w:right="201"/>
              <w:rPr>
                <w:sz w:val="21"/>
              </w:rPr>
            </w:pPr>
            <w:r>
              <w:rPr>
                <w:spacing w:val="-7"/>
                <w:sz w:val="21"/>
              </w:rPr>
              <w:t>指因疾病或意外伤害导致完全丧失语言能力，经过积极治疗至少 </w:t>
            </w:r>
            <w:r>
              <w:rPr>
                <w:rFonts w:ascii="Times New Roman" w:eastAsia="Times New Roman"/>
                <w:sz w:val="21"/>
              </w:rPr>
              <w:t>12 </w:t>
            </w:r>
            <w:r>
              <w:rPr>
                <w:spacing w:val="-24"/>
                <w:sz w:val="21"/>
              </w:rPr>
              <w:t>个月</w:t>
            </w:r>
            <w:r>
              <w:rPr>
                <w:spacing w:val="-3"/>
                <w:sz w:val="21"/>
              </w:rPr>
              <w:t>（声带完全切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before="32"/>
              <w:rPr>
                <w:sz w:val="21"/>
              </w:rPr>
            </w:pPr>
            <w:r>
              <w:rPr>
                <w:sz w:val="21"/>
              </w:rPr>
              <w:t>精神心理因素所致的语言能力丧失不在保障范围内。</w:t>
            </w:r>
          </w:p>
          <w:p>
            <w:pPr>
              <w:pStyle w:val="TableParagraph"/>
              <w:spacing w:line="310" w:lineRule="atLeast" w:before="1"/>
              <w:ind w:right="199"/>
              <w:rPr>
                <w:sz w:val="21"/>
              </w:rPr>
            </w:pPr>
            <w:r>
              <w:rPr>
                <w:sz w:val="21"/>
              </w:rPr>
              <w:t>被保险人申请理赔时年龄必须在三周岁以上，并且提供理赔当时的语言能力丧失诊断及检查证据。</w:t>
            </w:r>
          </w:p>
        </w:tc>
      </w:tr>
      <w:tr>
        <w:trPr>
          <w:trHeight w:val="1216" w:hRule="atLeast"/>
        </w:trPr>
        <w:tc>
          <w:tcPr>
            <w:tcW w:w="2103" w:type="dxa"/>
          </w:tcPr>
          <w:p>
            <w:pPr>
              <w:pStyle w:val="TableParagraph"/>
              <w:spacing w:line="256" w:lineRule="auto"/>
              <w:ind w:left="200" w:right="-15"/>
              <w:rPr>
                <w:sz w:val="21"/>
              </w:rPr>
            </w:pPr>
            <w:r>
              <w:rPr>
                <w:rFonts w:ascii="Times New Roman" w:eastAsia="Times New Roman"/>
                <w:sz w:val="21"/>
              </w:rPr>
              <w:t>21.</w:t>
            </w:r>
            <w:r>
              <w:rPr>
                <w:rFonts w:ascii="Times New Roman" w:eastAsia="Times New Roman"/>
                <w:spacing w:val="20"/>
                <w:sz w:val="21"/>
              </w:rPr>
              <w:t> </w:t>
            </w:r>
            <w:r>
              <w:rPr>
                <w:spacing w:val="3"/>
                <w:sz w:val="21"/>
              </w:rPr>
              <w:t>重型再生障碍性贫血</w:t>
            </w:r>
          </w:p>
        </w:tc>
        <w:tc>
          <w:tcPr>
            <w:tcW w:w="210" w:type="dxa"/>
          </w:tcPr>
          <w:p>
            <w:pPr>
              <w:pStyle w:val="TableParagraph"/>
              <w:spacing w:line="265" w:lineRule="exact"/>
              <w:ind w:left="-2"/>
              <w:jc w:val="center"/>
              <w:rPr>
                <w:sz w:val="21"/>
              </w:rPr>
            </w:pPr>
            <w:r>
              <w:rPr>
                <w:w w:val="100"/>
                <w:sz w:val="21"/>
              </w:rPr>
              <w:t>：</w:t>
            </w:r>
          </w:p>
        </w:tc>
        <w:tc>
          <w:tcPr>
            <w:tcW w:w="7995" w:type="dxa"/>
          </w:tcPr>
          <w:p>
            <w:pPr>
              <w:pStyle w:val="TableParagraph"/>
              <w:spacing w:line="273" w:lineRule="auto"/>
              <w:ind w:right="200"/>
              <w:rPr>
                <w:sz w:val="21"/>
              </w:rPr>
            </w:pPr>
            <w:r>
              <w:rPr>
                <w:sz w:val="21"/>
              </w:rPr>
              <w:t>指因骨髓造血功能慢性持续性衰竭导致的贫血、中性粒细胞减少及血小板减少。须满足下列全部条件：</w:t>
            </w:r>
          </w:p>
          <w:p>
            <w:pPr>
              <w:pStyle w:val="TableParagraph"/>
              <w:spacing w:before="17"/>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20"/>
              <w:rPr>
                <w:sz w:val="21"/>
              </w:rPr>
            </w:pPr>
            <w:r>
              <w:rPr>
                <w:sz w:val="21"/>
              </w:rPr>
              <w:t>（</w:t>
            </w:r>
            <w:r>
              <w:rPr>
                <w:rFonts w:ascii="Times New Roman" w:eastAsia="Times New Roman"/>
                <w:sz w:val="21"/>
              </w:rPr>
              <w:t>2</w:t>
            </w:r>
            <w:r>
              <w:rPr>
                <w:sz w:val="21"/>
              </w:rPr>
              <w:t>）外周血象须具备以下三项条件：</w:t>
            </w:r>
          </w:p>
        </w:tc>
      </w:tr>
    </w:tbl>
    <w:p>
      <w:pPr>
        <w:spacing w:after="0" w:line="271" w:lineRule="exact"/>
        <w:rPr>
          <w:sz w:val="21"/>
        </w:rPr>
        <w:sectPr>
          <w:pgSz w:w="11910" w:h="16160"/>
          <w:pgMar w:header="0" w:footer="993" w:top="1520" w:bottom="1180" w:left="760" w:right="620"/>
        </w:sectPr>
      </w:pPr>
    </w:p>
    <w:p>
      <w:pPr>
        <w:pStyle w:val="BodyText"/>
        <w:spacing w:before="3"/>
        <w:ind w:left="0"/>
        <w:rPr>
          <w:rFonts w:ascii="Times New Roman"/>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383"/>
        <w:gridCol w:w="7994"/>
      </w:tblGrid>
      <w:tr>
        <w:trPr>
          <w:trHeight w:val="933" w:hRule="atLeast"/>
        </w:trPr>
        <w:tc>
          <w:tcPr>
            <w:tcW w:w="1929" w:type="dxa"/>
          </w:tcPr>
          <w:p>
            <w:pPr>
              <w:pStyle w:val="TableParagraph"/>
              <w:ind w:left="0"/>
              <w:rPr>
                <w:rFonts w:ascii="Times New Roman"/>
                <w:sz w:val="20"/>
              </w:rPr>
            </w:pPr>
          </w:p>
        </w:tc>
        <w:tc>
          <w:tcPr>
            <w:tcW w:w="383" w:type="dxa"/>
          </w:tcPr>
          <w:p>
            <w:pPr>
              <w:pStyle w:val="TableParagraph"/>
              <w:ind w:left="0"/>
              <w:rPr>
                <w:rFonts w:ascii="Times New Roman"/>
                <w:sz w:val="20"/>
              </w:rPr>
            </w:pPr>
          </w:p>
        </w:tc>
        <w:tc>
          <w:tcPr>
            <w:tcW w:w="7994" w:type="dxa"/>
          </w:tcPr>
          <w:p>
            <w:pPr>
              <w:pStyle w:val="TableParagraph"/>
              <w:spacing w:line="270" w:lineRule="exact"/>
              <w:ind w:left="1052"/>
              <w:rPr>
                <w:sz w:val="21"/>
              </w:rPr>
            </w:pPr>
            <w:r>
              <w:rPr>
                <w:spacing w:val="-3"/>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rFonts w:ascii="Times New Roman" w:hAnsi="Times New Roman" w:eastAsia="Times New Roman"/>
                <w:spacing w:val="50"/>
                <w:sz w:val="21"/>
                <w:vertAlign w:val="baseline"/>
              </w:rPr>
              <w:t> </w:t>
            </w:r>
            <w:r>
              <w:rPr>
                <w:sz w:val="21"/>
                <w:vertAlign w:val="baseline"/>
              </w:rPr>
              <w:t>；</w:t>
            </w:r>
          </w:p>
          <w:p>
            <w:pPr>
              <w:pStyle w:val="TableParagraph"/>
              <w:spacing w:before="21"/>
              <w:ind w:left="1052"/>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1052"/>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928" w:hRule="atLeast"/>
        </w:trPr>
        <w:tc>
          <w:tcPr>
            <w:tcW w:w="1929" w:type="dxa"/>
          </w:tcPr>
          <w:p>
            <w:pPr>
              <w:pStyle w:val="TableParagraph"/>
              <w:spacing w:line="273" w:lineRule="exact"/>
              <w:ind w:left="200"/>
              <w:rPr>
                <w:sz w:val="21"/>
              </w:rPr>
            </w:pPr>
            <w:r>
              <w:rPr>
                <w:rFonts w:ascii="Times New Roman" w:eastAsia="Times New Roman"/>
                <w:sz w:val="21"/>
              </w:rPr>
              <w:t>22.  </w:t>
            </w:r>
            <w:r>
              <w:rPr>
                <w:sz w:val="21"/>
              </w:rPr>
              <w:t>主动脉手术</w:t>
            </w:r>
          </w:p>
        </w:tc>
        <w:tc>
          <w:tcPr>
            <w:tcW w:w="383" w:type="dxa"/>
          </w:tcPr>
          <w:p>
            <w:pPr>
              <w:pStyle w:val="TableParagraph"/>
              <w:spacing w:line="257" w:lineRule="exact"/>
              <w:ind w:left="172" w:right="-15"/>
              <w:rPr>
                <w:sz w:val="21"/>
              </w:rPr>
            </w:pPr>
            <w:r>
              <w:rPr>
                <w:w w:val="100"/>
                <w:sz w:val="21"/>
              </w:rPr>
              <w:t>：</w:t>
            </w:r>
          </w:p>
        </w:tc>
        <w:tc>
          <w:tcPr>
            <w:tcW w:w="7994" w:type="dxa"/>
          </w:tcPr>
          <w:p>
            <w:pPr>
              <w:pStyle w:val="TableParagraph"/>
              <w:spacing w:line="257" w:lineRule="exact"/>
              <w:ind w:left="0"/>
              <w:rPr>
                <w:sz w:val="21"/>
              </w:rPr>
            </w:pPr>
            <w:r>
              <w:rPr>
                <w:sz w:val="21"/>
              </w:rPr>
              <w:t>指为治疗主动脉疾病，实际实施了开胸或开腹进行的切除、置换、修补病损主动脉血</w:t>
            </w:r>
          </w:p>
          <w:p>
            <w:pPr>
              <w:pStyle w:val="TableParagraph"/>
              <w:spacing w:line="310" w:lineRule="atLeast" w:before="2"/>
              <w:ind w:left="0" w:right="214"/>
              <w:rPr>
                <w:sz w:val="21"/>
              </w:rPr>
            </w:pPr>
            <w:r>
              <w:rPr>
                <w:sz w:val="21"/>
              </w:rPr>
              <w:t>管的手术。主动脉指胸主动脉和腹主动脉，不包括胸主动脉和腹主动脉的分支血管。动脉内血管成形术不在保障范围内。</w:t>
            </w:r>
          </w:p>
        </w:tc>
      </w:tr>
      <w:tr>
        <w:trPr>
          <w:trHeight w:val="329" w:hRule="atLeast"/>
        </w:trPr>
        <w:tc>
          <w:tcPr>
            <w:tcW w:w="10306" w:type="dxa"/>
            <w:gridSpan w:val="3"/>
          </w:tcPr>
          <w:p>
            <w:pPr>
              <w:pStyle w:val="TableParagraph"/>
              <w:spacing w:line="281" w:lineRule="exact"/>
              <w:ind w:left="200"/>
              <w:rPr>
                <w:sz w:val="21"/>
              </w:rPr>
            </w:pPr>
            <w:r>
              <w:rPr>
                <w:sz w:val="21"/>
              </w:rPr>
              <w:t>（</w:t>
            </w:r>
            <w:r>
              <w:rPr>
                <w:rFonts w:ascii="Times New Roman" w:eastAsia="Times New Roman"/>
                <w:sz w:val="21"/>
              </w:rPr>
              <w:t>23-25 </w:t>
            </w:r>
            <w:r>
              <w:rPr>
                <w:sz w:val="21"/>
              </w:rPr>
              <w:t>为我们增加的疾病）</w:t>
            </w:r>
          </w:p>
        </w:tc>
      </w:tr>
      <w:tr>
        <w:trPr>
          <w:trHeight w:val="1562" w:hRule="atLeast"/>
        </w:trPr>
        <w:tc>
          <w:tcPr>
            <w:tcW w:w="1929" w:type="dxa"/>
          </w:tcPr>
          <w:p>
            <w:pPr>
              <w:pStyle w:val="TableParagraph"/>
              <w:spacing w:line="282" w:lineRule="exact"/>
              <w:ind w:left="200"/>
              <w:rPr>
                <w:sz w:val="21"/>
              </w:rPr>
            </w:pPr>
            <w:r>
              <w:rPr>
                <w:rFonts w:ascii="Times New Roman" w:eastAsia="Times New Roman"/>
                <w:sz w:val="21"/>
              </w:rPr>
              <w:t>23.  </w:t>
            </w:r>
            <w:r>
              <w:rPr>
                <w:sz w:val="21"/>
              </w:rPr>
              <w:t>脊髓灰质炎</w:t>
            </w:r>
          </w:p>
        </w:tc>
        <w:tc>
          <w:tcPr>
            <w:tcW w:w="383" w:type="dxa"/>
          </w:tcPr>
          <w:p>
            <w:pPr>
              <w:pStyle w:val="TableParagraph"/>
              <w:spacing w:line="266" w:lineRule="exact"/>
              <w:rPr>
                <w:sz w:val="21"/>
              </w:rPr>
            </w:pPr>
            <w:r>
              <w:rPr>
                <w:w w:val="100"/>
                <w:sz w:val="21"/>
              </w:rPr>
              <w:t>：</w:t>
            </w:r>
          </w:p>
        </w:tc>
        <w:tc>
          <w:tcPr>
            <w:tcW w:w="7994" w:type="dxa"/>
          </w:tcPr>
          <w:p>
            <w:pPr>
              <w:pStyle w:val="TableParagraph"/>
              <w:spacing w:line="268" w:lineRule="auto"/>
              <w:ind w:left="96" w:right="197"/>
              <w:jc w:val="both"/>
              <w:rPr>
                <w:sz w:val="21"/>
              </w:rPr>
            </w:pPr>
            <w:r>
              <w:rPr>
                <w:spacing w:val="-7"/>
                <w:sz w:val="21"/>
              </w:rPr>
              <w:t>脊髓灰质炎是由于脊髓灰质炎病毒感染所致的瘫痪性疾病，临床表现为运动功能损害</w:t>
            </w:r>
            <w:r>
              <w:rPr>
                <w:spacing w:val="-11"/>
                <w:sz w:val="21"/>
              </w:rPr>
              <w:t>或呼吸无力。脊髓灰质炎必须明确诊断。本保单仅对脊髓灰质炎造成的神经系统功能</w:t>
            </w:r>
            <w:r>
              <w:rPr>
                <w:spacing w:val="-9"/>
                <w:sz w:val="21"/>
              </w:rPr>
              <w:t>损害导致被保险人一肢或一肢以上肢体机能永久完全丧失的情况予以理赔。肢体机能</w:t>
            </w:r>
            <w:r>
              <w:rPr>
                <w:spacing w:val="-10"/>
                <w:sz w:val="21"/>
              </w:rPr>
              <w:t>永久完全丧失，指疾病确诊 </w:t>
            </w:r>
            <w:r>
              <w:rPr>
                <w:rFonts w:ascii="Times New Roman" w:eastAsia="Times New Roman"/>
                <w:sz w:val="21"/>
              </w:rPr>
              <w:t>180 </w:t>
            </w:r>
            <w:r>
              <w:rPr>
                <w:spacing w:val="-8"/>
                <w:sz w:val="21"/>
              </w:rPr>
              <w:t>天后，每肢三大关节中的两大关节仍然完全僵硬，或</w:t>
            </w:r>
            <w:r>
              <w:rPr>
                <w:spacing w:val="-5"/>
                <w:sz w:val="21"/>
              </w:rPr>
              <w:t>不能随意识活动。</w:t>
            </w:r>
          </w:p>
        </w:tc>
      </w:tr>
      <w:tr>
        <w:trPr>
          <w:trHeight w:val="3120" w:hRule="atLeast"/>
        </w:trPr>
        <w:tc>
          <w:tcPr>
            <w:tcW w:w="1929" w:type="dxa"/>
          </w:tcPr>
          <w:p>
            <w:pPr>
              <w:pStyle w:val="TableParagraph"/>
              <w:spacing w:line="256" w:lineRule="auto"/>
              <w:ind w:left="200" w:right="-15"/>
              <w:rPr>
                <w:sz w:val="21"/>
              </w:rPr>
            </w:pPr>
            <w:r>
              <w:rPr>
                <w:rFonts w:ascii="Times New Roman" w:eastAsia="Times New Roman"/>
                <w:sz w:val="21"/>
              </w:rPr>
              <w:t>24.</w:t>
            </w:r>
            <w:r>
              <w:rPr>
                <w:rFonts w:ascii="Times New Roman" w:eastAsia="Times New Roman"/>
                <w:spacing w:val="27"/>
                <w:sz w:val="21"/>
              </w:rPr>
              <w:t> </w:t>
            </w:r>
            <w:r>
              <w:rPr>
                <w:spacing w:val="10"/>
                <w:sz w:val="21"/>
              </w:rPr>
              <w:t>经输血导致的</w:t>
            </w:r>
            <w:r>
              <w:rPr>
                <w:sz w:val="21"/>
              </w:rPr>
              <w:t>艾滋病病毒感染</w:t>
            </w:r>
          </w:p>
        </w:tc>
        <w:tc>
          <w:tcPr>
            <w:tcW w:w="383" w:type="dxa"/>
          </w:tcPr>
          <w:p>
            <w:pPr>
              <w:pStyle w:val="TableParagraph"/>
              <w:spacing w:line="265" w:lineRule="exact"/>
              <w:rPr>
                <w:sz w:val="21"/>
              </w:rPr>
            </w:pPr>
            <w:r>
              <w:rPr>
                <w:w w:val="100"/>
                <w:sz w:val="21"/>
              </w:rPr>
              <w:t>：</w:t>
            </w:r>
          </w:p>
        </w:tc>
        <w:tc>
          <w:tcPr>
            <w:tcW w:w="7994" w:type="dxa"/>
          </w:tcPr>
          <w:p>
            <w:pPr>
              <w:pStyle w:val="TableParagraph"/>
              <w:spacing w:line="281" w:lineRule="exact"/>
              <w:ind w:left="96"/>
              <w:rPr>
                <w:sz w:val="21"/>
              </w:rPr>
            </w:pPr>
            <w:r>
              <w:rPr>
                <w:sz w:val="21"/>
              </w:rPr>
              <w:t>被保险人感染上艾滋病病毒（</w:t>
            </w:r>
            <w:r>
              <w:rPr>
                <w:rFonts w:ascii="Times New Roman" w:eastAsia="Times New Roman"/>
                <w:sz w:val="21"/>
              </w:rPr>
              <w:t>HIV</w:t>
            </w:r>
            <w:r>
              <w:rPr>
                <w:sz w:val="21"/>
              </w:rPr>
              <w:t>）并且符合下列所有条件：</w:t>
            </w:r>
          </w:p>
          <w:p>
            <w:pPr>
              <w:pStyle w:val="TableParagraph"/>
              <w:spacing w:before="21"/>
              <w:ind w:left="96"/>
              <w:rPr>
                <w:sz w:val="21"/>
              </w:rPr>
            </w:pPr>
            <w:r>
              <w:rPr>
                <w:sz w:val="21"/>
              </w:rPr>
              <w:t>（</w:t>
            </w:r>
            <w:r>
              <w:rPr>
                <w:rFonts w:ascii="Times New Roman" w:eastAsia="Times New Roman"/>
                <w:sz w:val="21"/>
              </w:rPr>
              <w:t>1</w:t>
            </w:r>
            <w:r>
              <w:rPr>
                <w:sz w:val="21"/>
              </w:rPr>
              <w:t>）在保障起始日或复效日之后，被保险人因输血而感染 </w:t>
            </w:r>
            <w:r>
              <w:rPr>
                <w:rFonts w:ascii="Times New Roman" w:eastAsia="Times New Roman"/>
                <w:sz w:val="21"/>
              </w:rPr>
              <w:t>HIV</w:t>
            </w:r>
            <w:r>
              <w:rPr>
                <w:sz w:val="21"/>
              </w:rPr>
              <w:t>；</w:t>
            </w:r>
          </w:p>
          <w:p>
            <w:pPr>
              <w:pStyle w:val="TableParagraph"/>
              <w:spacing w:line="256" w:lineRule="auto" w:before="21"/>
              <w:ind w:left="96" w:right="20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96"/>
              <w:rPr>
                <w:sz w:val="21"/>
              </w:rPr>
            </w:pPr>
            <w:r>
              <w:rPr>
                <w:sz w:val="21"/>
              </w:rPr>
              <w:t>（</w:t>
            </w:r>
            <w:r>
              <w:rPr>
                <w:rFonts w:ascii="Times New Roman" w:eastAsia="Times New Roman"/>
                <w:sz w:val="21"/>
              </w:rPr>
              <w:t>3</w:t>
            </w:r>
            <w:r>
              <w:rPr>
                <w:sz w:val="21"/>
              </w:rPr>
              <w:t>）受感染的被保险人不是血友病患者；</w:t>
            </w:r>
          </w:p>
          <w:p>
            <w:pPr>
              <w:pStyle w:val="TableParagraph"/>
              <w:spacing w:before="21"/>
              <w:ind w:left="96"/>
              <w:rPr>
                <w:rFonts w:ascii="Times New Roman" w:eastAsia="Times New Roman"/>
                <w:sz w:val="21"/>
              </w:rPr>
            </w:pPr>
            <w:r>
              <w:rPr>
                <w:spacing w:val="-8"/>
                <w:sz w:val="21"/>
              </w:rPr>
              <w:t>在任何治愈艾滋病</w:t>
            </w:r>
            <w:r>
              <w:rPr>
                <w:spacing w:val="-9"/>
                <w:sz w:val="21"/>
              </w:rPr>
              <w:t>（</w:t>
            </w:r>
            <w:r>
              <w:rPr>
                <w:rFonts w:ascii="Times New Roman" w:eastAsia="Times New Roman"/>
                <w:spacing w:val="-9"/>
                <w:sz w:val="21"/>
              </w:rPr>
              <w:t>AIDS</w:t>
            </w:r>
            <w:r>
              <w:rPr>
                <w:spacing w:val="-9"/>
                <w:sz w:val="21"/>
              </w:rPr>
              <w:t>）</w:t>
            </w:r>
            <w:r>
              <w:rPr>
                <w:spacing w:val="-12"/>
                <w:sz w:val="21"/>
              </w:rPr>
              <w:t>或阻止 </w:t>
            </w:r>
            <w:r>
              <w:rPr>
                <w:rFonts w:ascii="Times New Roman" w:eastAsia="Times New Roman"/>
                <w:sz w:val="21"/>
              </w:rPr>
              <w:t>HIV </w:t>
            </w:r>
            <w:r>
              <w:rPr>
                <w:spacing w:val="-9"/>
                <w:sz w:val="21"/>
              </w:rPr>
              <w:t>病毒作用的疗法被发现以后，或能防止 </w:t>
            </w:r>
            <w:r>
              <w:rPr>
                <w:rFonts w:ascii="Times New Roman" w:eastAsia="Times New Roman"/>
                <w:sz w:val="21"/>
              </w:rPr>
              <w:t>AIDS</w:t>
            </w:r>
          </w:p>
          <w:p>
            <w:pPr>
              <w:pStyle w:val="TableParagraph"/>
              <w:spacing w:before="21"/>
              <w:ind w:left="96"/>
              <w:rPr>
                <w:sz w:val="21"/>
              </w:rPr>
            </w:pPr>
            <w:r>
              <w:rPr>
                <w:sz w:val="21"/>
              </w:rPr>
              <w:t>发生的医疗方法被研究出来以后，本保障将不再予以赔付。</w:t>
            </w:r>
          </w:p>
          <w:p>
            <w:pPr>
              <w:pStyle w:val="TableParagraph"/>
              <w:spacing w:line="264" w:lineRule="auto" w:before="36"/>
              <w:ind w:left="96" w:right="196"/>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3"/>
                <w:sz w:val="21"/>
              </w:rPr>
              <w:t>导致的 </w:t>
            </w:r>
            <w:r>
              <w:rPr>
                <w:rFonts w:ascii="Times New Roman" w:eastAsia="Times New Roman"/>
                <w:sz w:val="21"/>
              </w:rPr>
              <w:t>HIV </w:t>
            </w:r>
            <w:r>
              <w:rPr>
                <w:spacing w:val="-3"/>
                <w:sz w:val="21"/>
              </w:rPr>
              <w:t>感染不在本保单</w:t>
            </w:r>
            <w:r>
              <w:rPr>
                <w:spacing w:val="-11"/>
                <w:sz w:val="21"/>
              </w:rPr>
              <w:t>保障范围内。保险公司必须拥有获得使用被保险人的所有血液样本的权利和能够对这</w:t>
            </w:r>
            <w:r>
              <w:rPr>
                <w:spacing w:val="-6"/>
                <w:sz w:val="21"/>
              </w:rPr>
              <w:t>些样本进行独立检验的权利。</w:t>
            </w:r>
          </w:p>
        </w:tc>
      </w:tr>
      <w:tr>
        <w:trPr>
          <w:trHeight w:val="1841" w:hRule="atLeast"/>
        </w:trPr>
        <w:tc>
          <w:tcPr>
            <w:tcW w:w="1929" w:type="dxa"/>
          </w:tcPr>
          <w:p>
            <w:pPr>
              <w:pStyle w:val="TableParagraph"/>
              <w:spacing w:line="256" w:lineRule="auto"/>
              <w:ind w:left="200" w:right="-15"/>
              <w:rPr>
                <w:sz w:val="21"/>
              </w:rPr>
            </w:pPr>
            <w:r>
              <w:rPr>
                <w:rFonts w:ascii="Times New Roman" w:eastAsia="Times New Roman"/>
                <w:sz w:val="21"/>
              </w:rPr>
              <w:t>25.</w:t>
            </w:r>
            <w:r>
              <w:rPr>
                <w:rFonts w:ascii="Times New Roman" w:eastAsia="Times New Roman"/>
                <w:spacing w:val="27"/>
                <w:sz w:val="21"/>
              </w:rPr>
              <w:t> </w:t>
            </w:r>
            <w:r>
              <w:rPr>
                <w:spacing w:val="10"/>
                <w:sz w:val="21"/>
              </w:rPr>
              <w:t>严重慢性呼吸</w:t>
            </w:r>
            <w:r>
              <w:rPr>
                <w:spacing w:val="2"/>
                <w:sz w:val="21"/>
              </w:rPr>
              <w:t>功能衰竭</w:t>
            </w:r>
          </w:p>
        </w:tc>
        <w:tc>
          <w:tcPr>
            <w:tcW w:w="383" w:type="dxa"/>
          </w:tcPr>
          <w:p>
            <w:pPr>
              <w:pStyle w:val="TableParagraph"/>
              <w:spacing w:line="265" w:lineRule="exact"/>
              <w:rPr>
                <w:sz w:val="21"/>
              </w:rPr>
            </w:pPr>
            <w:r>
              <w:rPr>
                <w:w w:val="100"/>
                <w:sz w:val="21"/>
              </w:rPr>
              <w:t>：</w:t>
            </w:r>
          </w:p>
        </w:tc>
        <w:tc>
          <w:tcPr>
            <w:tcW w:w="7994" w:type="dxa"/>
          </w:tcPr>
          <w:p>
            <w:pPr>
              <w:pStyle w:val="TableParagraph"/>
              <w:spacing w:line="273" w:lineRule="auto"/>
              <w:ind w:left="96" w:right="197"/>
              <w:rPr>
                <w:sz w:val="21"/>
              </w:rPr>
            </w:pPr>
            <w:r>
              <w:rPr>
                <w:spacing w:val="-7"/>
                <w:sz w:val="21"/>
              </w:rPr>
              <w:t>慢性肺部疾病导致永久不可逆性的慢性呼吸功能衰竭，必须由呼吸专科医师确认并符</w:t>
            </w:r>
            <w:r>
              <w:rPr>
                <w:spacing w:val="-5"/>
                <w:sz w:val="21"/>
              </w:rPr>
              <w:t>合下列所有条件：</w:t>
            </w:r>
          </w:p>
          <w:p>
            <w:pPr>
              <w:pStyle w:val="TableParagraph"/>
              <w:spacing w:before="17"/>
              <w:ind w:left="96"/>
              <w:rPr>
                <w:sz w:val="21"/>
              </w:rPr>
            </w:pPr>
            <w:r>
              <w:rPr>
                <w:sz w:val="21"/>
              </w:rPr>
              <w:t>（</w:t>
            </w:r>
            <w:r>
              <w:rPr>
                <w:rFonts w:ascii="Times New Roman" w:eastAsia="Times New Roman"/>
                <w:sz w:val="21"/>
              </w:rPr>
              <w:t>1</w:t>
            </w:r>
            <w:r>
              <w:rPr>
                <w:sz w:val="21"/>
              </w:rPr>
              <w:t>）休息时出现呼吸困难；</w:t>
            </w:r>
          </w:p>
          <w:p>
            <w:pPr>
              <w:pStyle w:val="TableParagraph"/>
              <w:spacing w:before="20"/>
              <w:ind w:left="96"/>
              <w:rPr>
                <w:sz w:val="21"/>
              </w:rPr>
            </w:pPr>
            <w:r>
              <w:rPr>
                <w:sz w:val="21"/>
              </w:rPr>
              <w:t>（</w:t>
            </w:r>
            <w:r>
              <w:rPr>
                <w:rFonts w:ascii="Times New Roman" w:eastAsia="Times New Roman"/>
                <w:sz w:val="21"/>
              </w:rPr>
              <w:t>2</w:t>
            </w:r>
            <w:r>
              <w:rPr>
                <w:sz w:val="21"/>
              </w:rPr>
              <w:t>）</w:t>
            </w:r>
            <w:r>
              <w:rPr>
                <w:spacing w:val="-3"/>
                <w:sz w:val="21"/>
              </w:rPr>
              <w:t>动脉血氧分压 </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pacing w:val="50"/>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50mmHg</w:t>
            </w:r>
            <w:r>
              <w:rPr>
                <w:sz w:val="21"/>
                <w:vertAlign w:val="baseline"/>
              </w:rPr>
              <w:t>；</w:t>
            </w:r>
          </w:p>
          <w:p>
            <w:pPr>
              <w:pStyle w:val="TableParagraph"/>
              <w:spacing w:before="20"/>
              <w:ind w:left="96"/>
              <w:rPr>
                <w:sz w:val="21"/>
              </w:rPr>
            </w:pPr>
            <w:r>
              <w:rPr>
                <w:sz w:val="21"/>
              </w:rPr>
              <w:t>（</w:t>
            </w:r>
            <w:r>
              <w:rPr>
                <w:rFonts w:ascii="Times New Roman" w:eastAsia="Times New Roman"/>
                <w:sz w:val="21"/>
              </w:rPr>
              <w:t>3</w:t>
            </w:r>
            <w:r>
              <w:rPr>
                <w:sz w:val="21"/>
              </w:rPr>
              <w:t>）动脉血氧饱和度 （</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t>  </w:t>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71" w:lineRule="exact" w:before="20"/>
              <w:ind w:left="96"/>
              <w:rPr>
                <w:sz w:val="21"/>
              </w:rPr>
            </w:pPr>
            <w:r>
              <w:rPr>
                <w:sz w:val="21"/>
              </w:rPr>
              <w:t>（</w:t>
            </w:r>
            <w:r>
              <w:rPr>
                <w:rFonts w:ascii="Times New Roman" w:eastAsia="Times New Roman"/>
                <w:sz w:val="21"/>
              </w:rPr>
              <w:t>4</w:t>
            </w:r>
            <w:r>
              <w:rPr>
                <w:sz w:val="21"/>
              </w:rPr>
              <w:t>）因缺氧必须接受持续的输氧治疗。</w:t>
            </w:r>
          </w:p>
        </w:tc>
      </w:tr>
    </w:tbl>
    <w:p>
      <w:pPr>
        <w:pStyle w:val="BodyText"/>
        <w:spacing w:before="3"/>
        <w:ind w:left="0"/>
        <w:rPr>
          <w:rFonts w:ascii="Times New Roman"/>
          <w:sz w:val="25"/>
        </w:rPr>
      </w:pPr>
    </w:p>
    <w:p>
      <w:pPr>
        <w:spacing w:before="43"/>
        <w:ind w:left="0" w:right="29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993" w:top="1520" w:bottom="118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53.820007pt;margin-top:743.285889pt;width:308.6pt;height:13.7pt;mso-position-horizontal-relative:page;mso-position-vertical-relative:page;z-index:-16192" type="#_x0000_t202" filled="false" stroked="false">
          <v:textbox inset="0,0,0,0">
            <w:txbxContent>
              <w:p>
                <w:pPr>
                  <w:pStyle w:val="BodyText"/>
                  <w:spacing w:line="254" w:lineRule="exact"/>
                  <w:ind w:left="20"/>
                </w:pPr>
                <w:r>
                  <w:rPr/>
                  <w:t>太平附加安益提前给付重大疾病保险（</w:t>
                </w:r>
                <w:r>
                  <w:rPr>
                    <w:rFonts w:ascii="Times New Roman" w:eastAsia="Times New Roman"/>
                  </w:rPr>
                  <w:t>B</w:t>
                </w:r>
                <w:r>
                  <w:rPr/>
                  <w:t>款）</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7</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51.179993pt;margin-top:743.285889pt;width:313.850pt;height:13.7pt;mso-position-horizontal-relative:page;mso-position-vertical-relative:page;z-index:-16168" type="#_x0000_t202" filled="false" stroked="false">
          <v:textbox inset="0,0,0,0">
            <w:txbxContent>
              <w:p>
                <w:pPr>
                  <w:pStyle w:val="BodyText"/>
                  <w:spacing w:line="254" w:lineRule="exact"/>
                  <w:ind w:left="20"/>
                </w:pPr>
                <w:r>
                  <w:rPr/>
                  <w:t>太平附加安益提前给付重大疾病保险（</w:t>
                </w:r>
                <w:r>
                  <w:rPr>
                    <w:rFonts w:ascii="Times New Roman" w:eastAsia="Times New Roman"/>
                  </w:rPr>
                  <w:t>B</w:t>
                </w:r>
                <w:r>
                  <w:rPr/>
                  <w:t>款）</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3">
    <w:multiLevelType w:val="hybridMultilevel"/>
    <w:lvl w:ilvl="0">
      <w:start w:val="1"/>
      <w:numFmt w:val="decimal"/>
      <w:lvlText w:val="%1."/>
      <w:lvlJc w:val="left"/>
      <w:pPr>
        <w:ind w:left="2230" w:hanging="265"/>
        <w:jc w:val="left"/>
      </w:pPr>
      <w:rPr>
        <w:rFonts w:hint="default" w:ascii="Times New Roman" w:hAnsi="Times New Roman" w:eastAsia="Times New Roman" w:cs="Times New Roman"/>
        <w:w w:val="100"/>
        <w:sz w:val="21"/>
        <w:szCs w:val="21"/>
      </w:rPr>
    </w:lvl>
    <w:lvl w:ilvl="1">
      <w:start w:val="0"/>
      <w:numFmt w:val="bullet"/>
      <w:lvlText w:val="•"/>
      <w:lvlJc w:val="left"/>
      <w:pPr>
        <w:ind w:left="2760" w:hanging="265"/>
      </w:pPr>
      <w:rPr>
        <w:rFonts w:hint="default"/>
      </w:rPr>
    </w:lvl>
    <w:lvl w:ilvl="2">
      <w:start w:val="0"/>
      <w:numFmt w:val="bullet"/>
      <w:lvlText w:val="•"/>
      <w:lvlJc w:val="left"/>
      <w:pPr>
        <w:ind w:left="3580" w:hanging="265"/>
      </w:pPr>
      <w:rPr>
        <w:rFonts w:hint="default"/>
      </w:rPr>
    </w:lvl>
    <w:lvl w:ilvl="3">
      <w:start w:val="0"/>
      <w:numFmt w:val="bullet"/>
      <w:lvlText w:val="•"/>
      <w:lvlJc w:val="left"/>
      <w:pPr>
        <w:ind w:left="4401" w:hanging="265"/>
      </w:pPr>
      <w:rPr>
        <w:rFonts w:hint="default"/>
      </w:rPr>
    </w:lvl>
    <w:lvl w:ilvl="4">
      <w:start w:val="0"/>
      <w:numFmt w:val="bullet"/>
      <w:lvlText w:val="•"/>
      <w:lvlJc w:val="left"/>
      <w:pPr>
        <w:ind w:left="5222" w:hanging="265"/>
      </w:pPr>
      <w:rPr>
        <w:rFonts w:hint="default"/>
      </w:rPr>
    </w:lvl>
    <w:lvl w:ilvl="5">
      <w:start w:val="0"/>
      <w:numFmt w:val="bullet"/>
      <w:lvlText w:val="•"/>
      <w:lvlJc w:val="left"/>
      <w:pPr>
        <w:ind w:left="6042" w:hanging="265"/>
      </w:pPr>
      <w:rPr>
        <w:rFonts w:hint="default"/>
      </w:rPr>
    </w:lvl>
    <w:lvl w:ilvl="6">
      <w:start w:val="0"/>
      <w:numFmt w:val="bullet"/>
      <w:lvlText w:val="•"/>
      <w:lvlJc w:val="left"/>
      <w:pPr>
        <w:ind w:left="6863" w:hanging="265"/>
      </w:pPr>
      <w:rPr>
        <w:rFonts w:hint="default"/>
      </w:rPr>
    </w:lvl>
    <w:lvl w:ilvl="7">
      <w:start w:val="0"/>
      <w:numFmt w:val="bullet"/>
      <w:lvlText w:val="•"/>
      <w:lvlJc w:val="left"/>
      <w:pPr>
        <w:ind w:left="7684" w:hanging="265"/>
      </w:pPr>
      <w:rPr>
        <w:rFonts w:hint="default"/>
      </w:rPr>
    </w:lvl>
    <w:lvl w:ilvl="8">
      <w:start w:val="0"/>
      <w:numFmt w:val="bullet"/>
      <w:lvlText w:val="•"/>
      <w:lvlJc w:val="left"/>
      <w:pPr>
        <w:ind w:left="8504"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2230" w:hanging="2113"/>
    </w:pPr>
    <w:rPr>
      <w:rFonts w:ascii="宋体" w:hAnsi="宋体" w:eastAsia="宋体" w:cs="宋体"/>
    </w:rPr>
  </w:style>
  <w:style w:styleId="TableParagraph" w:type="paragraph">
    <w:name w:val="Table Paragraph"/>
    <w:basedOn w:val="Normal"/>
    <w:uiPriority w:val="1"/>
    <w:qFormat/>
    <w:pPr>
      <w:ind w:left="-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jiangyan</dc:creator>
  <dcterms:created xsi:type="dcterms:W3CDTF">2018-10-20T05:06:44Z</dcterms:created>
  <dcterms:modified xsi:type="dcterms:W3CDTF">2018-10-20T05:06:44Z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