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3"/>
        <w:ind w:right="113"/>
        <w:jc w:val="right"/>
      </w:pPr>
      <w:r>
        <w:rPr/>
        <w:drawing>
          <wp:anchor distT="0" distB="0" distL="0" distR="0" allowOverlap="1" layoutInCell="1" locked="0" behindDoc="1" simplePos="0" relativeHeight="268409255">
            <wp:simplePos x="0" y="0"/>
            <wp:positionH relativeFrom="page">
              <wp:posOffset>5818632</wp:posOffset>
            </wp:positionH>
            <wp:positionV relativeFrom="paragraph">
              <wp:posOffset>198649</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t>英大人寿[2013]疾病保险 005 号</w:t>
      </w:r>
    </w:p>
    <w:p>
      <w:pPr>
        <w:pStyle w:val="BodyText"/>
        <w:rPr>
          <w:sz w:val="20"/>
        </w:rPr>
      </w:pPr>
    </w:p>
    <w:p>
      <w:pPr>
        <w:pStyle w:val="BodyText"/>
        <w:rPr>
          <w:sz w:val="20"/>
        </w:rPr>
      </w:pPr>
    </w:p>
    <w:p>
      <w:pPr>
        <w:pStyle w:val="BodyText"/>
        <w:rPr>
          <w:sz w:val="20"/>
        </w:rPr>
      </w:pPr>
    </w:p>
    <w:p>
      <w:pPr>
        <w:spacing w:after="0"/>
        <w:rPr>
          <w:sz w:val="20"/>
        </w:rPr>
        <w:sectPr>
          <w:footerReference w:type="default" r:id="rId5"/>
          <w:type w:val="continuous"/>
          <w:pgSz w:w="11910" w:h="16840"/>
          <w:pgMar w:footer="921" w:top="820" w:bottom="1120" w:left="1200" w:right="900"/>
          <w:pgNumType w:start="1"/>
        </w:sectPr>
      </w:pPr>
    </w:p>
    <w:p>
      <w:pPr>
        <w:spacing w:line="381" w:lineRule="auto" w:before="187"/>
        <w:ind w:left="4120" w:right="0" w:hanging="1808"/>
        <w:jc w:val="left"/>
        <w:rPr>
          <w:b/>
          <w:sz w:val="30"/>
        </w:rPr>
      </w:pPr>
      <w:r>
        <w:rPr>
          <w:b/>
          <w:sz w:val="30"/>
        </w:rPr>
        <w:t>英大安康无忧成人重大疾病保险条款</w:t>
      </w:r>
      <w:r>
        <w:rPr>
          <w:b/>
          <w:w w:val="95"/>
          <w:sz w:val="30"/>
        </w:rPr>
        <w:t>阅读指引</w:t>
      </w:r>
    </w:p>
    <w:p>
      <w:pPr>
        <w:pStyle w:val="BodyText"/>
        <w:rPr>
          <w:b/>
        </w:rPr>
      </w:pPr>
      <w:r>
        <w:rPr/>
        <w:br w:type="column"/>
      </w:r>
      <w:r>
        <w:rPr>
          <w:b/>
        </w:rPr>
      </w:r>
    </w:p>
    <w:p>
      <w:pPr>
        <w:pStyle w:val="BodyText"/>
        <w:spacing w:before="142"/>
        <w:ind w:left="423"/>
      </w:pPr>
      <w:r>
        <w:rPr/>
        <w:t>请扫描以查询验证条款</w:t>
      </w:r>
    </w:p>
    <w:p>
      <w:pPr>
        <w:spacing w:after="0"/>
        <w:sectPr>
          <w:type w:val="continuous"/>
          <w:pgSz w:w="11910" w:h="16840"/>
          <w:pgMar w:top="820" w:bottom="1120" w:left="1200" w:right="900"/>
          <w:cols w:num="2" w:equalWidth="0">
            <w:col w:w="7136" w:space="40"/>
            <w:col w:w="2634"/>
          </w:cols>
        </w:sectPr>
      </w:pPr>
    </w:p>
    <w:p>
      <w:pPr>
        <w:spacing w:line="332" w:lineRule="exact" w:before="0"/>
        <w:ind w:left="1675"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2"/>
          <w:w w:val="100"/>
          <w:sz w:val="21"/>
        </w:rPr>
        <w:t>您</w:t>
      </w:r>
      <w:r>
        <w:rPr>
          <w:spacing w:val="-63"/>
          <w:w w:val="100"/>
          <w:position w:val="-7"/>
          <w:sz w:val="21"/>
        </w:rPr>
        <w:t>．</w:t>
      </w:r>
      <w:r>
        <w:rPr>
          <w:spacing w:val="-149"/>
          <w:w w:val="100"/>
          <w:sz w:val="21"/>
        </w:rPr>
        <w:t>理</w:t>
      </w:r>
      <w:r>
        <w:rPr>
          <w:spacing w:val="-63"/>
          <w:w w:val="100"/>
          <w:position w:val="-7"/>
          <w:sz w:val="21"/>
        </w:rPr>
        <w:t>．</w:t>
      </w:r>
      <w:r>
        <w:rPr>
          <w:spacing w:val="-152"/>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152"/>
          <w:w w:val="100"/>
          <w:sz w:val="21"/>
        </w:rPr>
        <w:t>，</w:t>
      </w:r>
      <w:r>
        <w:rPr>
          <w:spacing w:val="-63"/>
          <w:w w:val="100"/>
          <w:position w:val="-7"/>
          <w:sz w:val="21"/>
        </w:rPr>
        <w:t>．</w:t>
      </w:r>
      <w:r>
        <w:rPr>
          <w:spacing w:val="-149"/>
          <w:w w:val="100"/>
          <w:sz w:val="21"/>
        </w:rPr>
        <w:t>对</w:t>
      </w:r>
      <w:r>
        <w:rPr>
          <w:spacing w:val="-63"/>
          <w:w w:val="100"/>
          <w:position w:val="-7"/>
          <w:sz w:val="21"/>
        </w:rPr>
        <w:t>．</w:t>
      </w:r>
      <w:r>
        <w:rPr>
          <w:spacing w:val="-152"/>
          <w:w w:val="100"/>
          <w:sz w:val="21"/>
        </w:rPr>
        <w:t>本</w:t>
      </w:r>
      <w:r>
        <w:rPr>
          <w:spacing w:val="-63"/>
          <w:w w:val="100"/>
          <w:position w:val="-7"/>
          <w:sz w:val="21"/>
        </w:rPr>
        <w:t>．</w:t>
      </w:r>
      <w:r>
        <w:rPr>
          <w:spacing w:val="-149"/>
          <w:w w:val="100"/>
          <w:sz w:val="21"/>
        </w:rPr>
        <w:t>合</w:t>
      </w:r>
      <w:r>
        <w:rPr>
          <w:spacing w:val="-63"/>
          <w:w w:val="100"/>
          <w:position w:val="-7"/>
          <w:sz w:val="21"/>
        </w:rPr>
        <w:t>．</w:t>
      </w:r>
      <w:r>
        <w:rPr>
          <w:spacing w:val="-152"/>
          <w:w w:val="100"/>
          <w:sz w:val="21"/>
        </w:rPr>
        <w:t>同</w:t>
      </w:r>
      <w:r>
        <w:rPr>
          <w:spacing w:val="-63"/>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52"/>
          <w:w w:val="100"/>
          <w:sz w:val="21"/>
        </w:rPr>
        <w:t>解</w:t>
      </w:r>
      <w:r>
        <w:rPr>
          <w:spacing w:val="-63"/>
          <w:w w:val="100"/>
          <w:position w:val="-7"/>
          <w:sz w:val="21"/>
        </w:rPr>
        <w:t>．</w:t>
      </w:r>
      <w:r>
        <w:rPr>
          <w:spacing w:val="-149"/>
          <w:w w:val="100"/>
          <w:sz w:val="21"/>
        </w:rPr>
        <w:t>释</w:t>
      </w:r>
      <w:r>
        <w:rPr>
          <w:spacing w:val="-63"/>
          <w:w w:val="100"/>
          <w:position w:val="-7"/>
          <w:sz w:val="21"/>
        </w:rPr>
        <w:t>．</w:t>
      </w:r>
      <w:r>
        <w:rPr>
          <w:spacing w:val="-149"/>
          <w:w w:val="100"/>
          <w:sz w:val="21"/>
        </w:rPr>
        <w:t>以</w:t>
      </w:r>
      <w:r>
        <w:rPr>
          <w:spacing w:val="-63"/>
          <w:w w:val="100"/>
          <w:position w:val="-7"/>
          <w:sz w:val="21"/>
        </w:rPr>
        <w:t>．</w:t>
      </w:r>
      <w:r>
        <w:rPr>
          <w:spacing w:val="-152"/>
          <w:w w:val="100"/>
          <w:sz w:val="21"/>
        </w:rPr>
        <w:t>条</w:t>
      </w:r>
      <w:r>
        <w:rPr>
          <w:spacing w:val="-63"/>
          <w:w w:val="100"/>
          <w:position w:val="-7"/>
          <w:sz w:val="21"/>
        </w:rPr>
        <w:t>．</w:t>
      </w:r>
      <w:r>
        <w:rPr>
          <w:spacing w:val="-149"/>
          <w:w w:val="100"/>
          <w:sz w:val="21"/>
        </w:rPr>
        <w:t>款</w:t>
      </w:r>
      <w:r>
        <w:rPr>
          <w:spacing w:val="-63"/>
          <w:w w:val="100"/>
          <w:position w:val="-7"/>
          <w:sz w:val="21"/>
        </w:rPr>
        <w:t>．</w:t>
      </w:r>
      <w:r>
        <w:rPr>
          <w:spacing w:val="-152"/>
          <w:w w:val="100"/>
          <w:sz w:val="21"/>
        </w:rPr>
        <w:t>为</w:t>
      </w:r>
      <w:r>
        <w:rPr>
          <w:spacing w:val="-63"/>
          <w:w w:val="100"/>
          <w:position w:val="-7"/>
          <w:sz w:val="21"/>
        </w:rPr>
        <w:t>．</w:t>
      </w:r>
      <w:r>
        <w:rPr>
          <w:spacing w:val="-149"/>
          <w:w w:val="100"/>
          <w:sz w:val="21"/>
        </w:rPr>
        <w:t>准</w:t>
      </w:r>
      <w:r>
        <w:rPr>
          <w:spacing w:val="-63"/>
          <w:w w:val="100"/>
          <w:position w:val="-7"/>
          <w:sz w:val="21"/>
        </w:rPr>
        <w:t>．</w:t>
      </w:r>
      <w:r>
        <w:rPr>
          <w:w w:val="100"/>
          <w:sz w:val="21"/>
        </w:rPr>
        <w:t>。</w:t>
      </w:r>
    </w:p>
    <w:p>
      <w:pPr>
        <w:tabs>
          <w:tab w:pos="652" w:val="left" w:leader="none"/>
        </w:tabs>
        <w:spacing w:before="14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您拥有的重要权益</w:t>
      </w:r>
    </w:p>
    <w:p>
      <w:pPr>
        <w:pStyle w:val="ListParagraph"/>
        <w:numPr>
          <w:ilvl w:val="0"/>
          <w:numId w:val="1"/>
        </w:numPr>
        <w:tabs>
          <w:tab w:pos="921" w:val="left" w:leader="none"/>
          <w:tab w:pos="922" w:val="left" w:leader="none"/>
          <w:tab w:pos="9220" w:val="right" w:leader="dot"/>
        </w:tabs>
        <w:spacing w:line="240" w:lineRule="auto" w:before="139" w:after="0"/>
        <w:ind w:left="921" w:right="0" w:hanging="398"/>
        <w:jc w:val="left"/>
        <w:rPr>
          <w:sz w:val="21"/>
        </w:rPr>
      </w:pPr>
      <w:r>
        <w:rPr>
          <w:spacing w:val="-3"/>
          <w:sz w:val="21"/>
        </w:rPr>
        <w:t>被</w:t>
      </w:r>
      <w:r>
        <w:rPr>
          <w:sz w:val="21"/>
        </w:rPr>
        <w:t>保险</w:t>
      </w:r>
      <w:r>
        <w:rPr>
          <w:spacing w:val="-3"/>
          <w:sz w:val="21"/>
        </w:rPr>
        <w:t>人</w:t>
      </w:r>
      <w:r>
        <w:rPr>
          <w:sz w:val="21"/>
        </w:rPr>
        <w:t>可</w:t>
      </w:r>
      <w:r>
        <w:rPr>
          <w:spacing w:val="-3"/>
          <w:sz w:val="21"/>
        </w:rPr>
        <w:t>以</w:t>
      </w:r>
      <w:r>
        <w:rPr>
          <w:sz w:val="21"/>
        </w:rPr>
        <w:t>享</w:t>
      </w:r>
      <w:r>
        <w:rPr>
          <w:spacing w:val="-3"/>
          <w:sz w:val="21"/>
        </w:rPr>
        <w:t>受本</w:t>
      </w:r>
      <w:r>
        <w:rPr>
          <w:sz w:val="21"/>
        </w:rPr>
        <w:t>合同</w:t>
      </w:r>
      <w:r>
        <w:rPr>
          <w:spacing w:val="-3"/>
          <w:sz w:val="21"/>
        </w:rPr>
        <w:t>提</w:t>
      </w:r>
      <w:r>
        <w:rPr>
          <w:sz w:val="21"/>
        </w:rPr>
        <w:t>供</w:t>
      </w:r>
      <w:r>
        <w:rPr>
          <w:spacing w:val="-3"/>
          <w:sz w:val="21"/>
        </w:rPr>
        <w:t>的</w:t>
      </w:r>
      <w:r>
        <w:rPr>
          <w:sz w:val="21"/>
        </w:rPr>
        <w:t>保障</w:t>
        <w:tab/>
        <w:t>2.3</w:t>
      </w:r>
    </w:p>
    <w:p>
      <w:pPr>
        <w:pStyle w:val="ListParagraph"/>
        <w:numPr>
          <w:ilvl w:val="0"/>
          <w:numId w:val="1"/>
        </w:numPr>
        <w:tabs>
          <w:tab w:pos="921" w:val="left" w:leader="none"/>
          <w:tab w:pos="922" w:val="left" w:leader="none"/>
          <w:tab w:pos="9220" w:val="right" w:leader="dot"/>
        </w:tabs>
        <w:spacing w:line="240" w:lineRule="auto" w:before="51" w:after="0"/>
        <w:ind w:left="921" w:right="0" w:hanging="398"/>
        <w:jc w:val="left"/>
        <w:rPr>
          <w:sz w:val="21"/>
        </w:rPr>
      </w:pPr>
      <w:r>
        <w:rPr>
          <w:spacing w:val="-3"/>
          <w:sz w:val="21"/>
        </w:rPr>
        <w:t>您</w:t>
      </w:r>
      <w:r>
        <w:rPr>
          <w:sz w:val="21"/>
        </w:rPr>
        <w:t>有退</w:t>
      </w:r>
      <w:r>
        <w:rPr>
          <w:spacing w:val="-3"/>
          <w:sz w:val="21"/>
        </w:rPr>
        <w:t>保</w:t>
      </w:r>
      <w:r>
        <w:rPr>
          <w:sz w:val="21"/>
        </w:rPr>
        <w:t>的</w:t>
      </w:r>
      <w:r>
        <w:rPr>
          <w:spacing w:val="-3"/>
          <w:sz w:val="21"/>
        </w:rPr>
        <w:t>权</w:t>
      </w:r>
      <w:r>
        <w:rPr>
          <w:sz w:val="21"/>
        </w:rPr>
        <w:t>利…</w:t>
        <w:tab/>
        <w:t>4.3</w:t>
      </w:r>
    </w:p>
    <w:p>
      <w:pPr>
        <w:tabs>
          <w:tab w:pos="662" w:val="left" w:leader="none"/>
        </w:tabs>
        <w:spacing w:before="134"/>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1"/>
          <w:sz w:val="21"/>
        </w:rPr>
        <w:t>您应当特别注意的事项</w:t>
      </w:r>
    </w:p>
    <w:p>
      <w:pPr>
        <w:pStyle w:val="ListParagraph"/>
        <w:numPr>
          <w:ilvl w:val="0"/>
          <w:numId w:val="1"/>
        </w:numPr>
        <w:tabs>
          <w:tab w:pos="921" w:val="left" w:leader="none"/>
          <w:tab w:pos="922" w:val="left" w:leader="none"/>
          <w:tab w:pos="9220" w:val="right" w:leader="dot"/>
        </w:tabs>
        <w:spacing w:line="240" w:lineRule="auto" w:before="125" w:after="0"/>
        <w:ind w:left="921"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bookmarkStart w:name="( 您应当特别注意的事项" w:id="1"/>
      <w:bookmarkEnd w:id="1"/>
      <w:r>
        <w:rPr>
          <w:sz w:val="21"/>
        </w:rPr>
        <w:t>保</w:t>
      </w:r>
      <w:r>
        <w:rPr>
          <w:spacing w:val="-3"/>
          <w:sz w:val="21"/>
        </w:rPr>
        <w:t>险</w:t>
      </w:r>
      <w:r>
        <w:rPr>
          <w:sz w:val="21"/>
        </w:rPr>
        <w:t>责任</w:t>
        <w:tab/>
        <w:t>2.4</w:t>
      </w:r>
    </w:p>
    <w:p>
      <w:pPr>
        <w:pStyle w:val="ListParagraph"/>
        <w:numPr>
          <w:ilvl w:val="0"/>
          <w:numId w:val="1"/>
        </w:numPr>
        <w:tabs>
          <w:tab w:pos="921" w:val="left" w:leader="none"/>
          <w:tab w:pos="922" w:val="left" w:leader="none"/>
          <w:tab w:pos="9220" w:val="right" w:leader="dot"/>
        </w:tabs>
        <w:spacing w:line="240" w:lineRule="auto" w:before="31" w:after="0"/>
        <w:ind w:left="921" w:right="0" w:hanging="398"/>
        <w:jc w:val="left"/>
        <w:rPr>
          <w:sz w:val="21"/>
        </w:rPr>
      </w:pPr>
      <w:r>
        <w:rPr>
          <w:spacing w:val="-3"/>
          <w:sz w:val="21"/>
        </w:rPr>
        <w:t>您应</w:t>
      </w:r>
      <w:r>
        <w:rPr>
          <w:sz w:val="21"/>
        </w:rPr>
        <w:t>当</w:t>
      </w:r>
      <w:r>
        <w:rPr>
          <w:spacing w:val="-3"/>
          <w:sz w:val="21"/>
        </w:rPr>
        <w:t>按约</w:t>
      </w:r>
      <w:r>
        <w:rPr>
          <w:sz w:val="21"/>
        </w:rPr>
        <w:t>定交</w:t>
      </w:r>
      <w:r>
        <w:rPr>
          <w:spacing w:val="-3"/>
          <w:sz w:val="21"/>
        </w:rPr>
        <w:t>纳保</w:t>
      </w:r>
      <w:r>
        <w:rPr>
          <w:sz w:val="21"/>
        </w:rPr>
        <w:t>险费…</w:t>
        <w:tab/>
        <w:t>3.1</w:t>
      </w:r>
    </w:p>
    <w:p>
      <w:pPr>
        <w:pStyle w:val="ListParagraph"/>
        <w:numPr>
          <w:ilvl w:val="0"/>
          <w:numId w:val="1"/>
        </w:numPr>
        <w:tabs>
          <w:tab w:pos="921" w:val="left" w:leader="none"/>
          <w:tab w:pos="922" w:val="left" w:leader="none"/>
          <w:tab w:pos="9220" w:val="right" w:leader="dot"/>
        </w:tabs>
        <w:spacing w:line="240" w:lineRule="auto" w:before="28" w:after="0"/>
        <w:ind w:left="921" w:right="0" w:hanging="398"/>
        <w:jc w:val="left"/>
        <w:rPr>
          <w:sz w:val="21"/>
        </w:rPr>
      </w:pPr>
      <w:r>
        <w:rPr>
          <w:spacing w:val="-3"/>
          <w:sz w:val="21"/>
        </w:rPr>
        <w:t>您</w:t>
      </w:r>
      <w:r>
        <w:rPr>
          <w:sz w:val="21"/>
        </w:rPr>
        <w:t>有如</w:t>
      </w:r>
      <w:r>
        <w:rPr>
          <w:spacing w:val="-3"/>
          <w:sz w:val="21"/>
        </w:rPr>
        <w:t>实</w:t>
      </w:r>
      <w:r>
        <w:rPr>
          <w:sz w:val="21"/>
        </w:rPr>
        <w:t>告</w:t>
      </w:r>
      <w:r>
        <w:rPr>
          <w:spacing w:val="-3"/>
          <w:sz w:val="21"/>
        </w:rPr>
        <w:t>知</w:t>
      </w:r>
      <w:r>
        <w:rPr>
          <w:sz w:val="21"/>
        </w:rPr>
        <w:t>的</w:t>
      </w:r>
      <w:r>
        <w:rPr>
          <w:spacing w:val="-3"/>
          <w:sz w:val="21"/>
        </w:rPr>
        <w:t>义</w:t>
      </w:r>
      <w:r>
        <w:rPr>
          <w:sz w:val="21"/>
        </w:rPr>
        <w:t>务</w:t>
        <w:tab/>
        <w:t>3.3</w:t>
      </w:r>
    </w:p>
    <w:p>
      <w:pPr>
        <w:pStyle w:val="ListParagraph"/>
        <w:numPr>
          <w:ilvl w:val="0"/>
          <w:numId w:val="1"/>
        </w:numPr>
        <w:tabs>
          <w:tab w:pos="921" w:val="left" w:leader="none"/>
          <w:tab w:pos="922" w:val="left" w:leader="none"/>
          <w:tab w:pos="9220" w:val="right" w:leader="dot"/>
        </w:tabs>
        <w:spacing w:line="240" w:lineRule="auto" w:before="28" w:after="0"/>
        <w:ind w:left="921" w:right="0" w:hanging="398"/>
        <w:jc w:val="left"/>
        <w:rPr>
          <w:sz w:val="21"/>
        </w:rPr>
      </w:pPr>
      <w:r>
        <w:rPr>
          <w:spacing w:val="-3"/>
          <w:sz w:val="21"/>
        </w:rPr>
        <w:t>退</w:t>
      </w:r>
      <w:r>
        <w:rPr>
          <w:sz w:val="21"/>
        </w:rPr>
        <w:t>保会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4.3</w:t>
      </w:r>
    </w:p>
    <w:p>
      <w:pPr>
        <w:pStyle w:val="ListParagraph"/>
        <w:numPr>
          <w:ilvl w:val="0"/>
          <w:numId w:val="1"/>
        </w:numPr>
        <w:tabs>
          <w:tab w:pos="921" w:val="left" w:leader="none"/>
          <w:tab w:pos="922" w:val="left" w:leader="none"/>
          <w:tab w:pos="9220" w:val="right" w:leader="dot"/>
        </w:tabs>
        <w:spacing w:line="240" w:lineRule="auto" w:before="31" w:after="0"/>
        <w:ind w:left="921" w:right="0" w:hanging="398"/>
        <w:jc w:val="left"/>
        <w:rPr>
          <w:sz w:val="21"/>
        </w:rPr>
      </w:pPr>
      <w:r>
        <w:rPr>
          <w:spacing w:val="-3"/>
          <w:sz w:val="21"/>
        </w:rPr>
        <w:t>保</w:t>
      </w:r>
      <w:r>
        <w:rPr>
          <w:sz w:val="21"/>
        </w:rPr>
        <w:t>险事</w:t>
      </w:r>
      <w:r>
        <w:rPr>
          <w:spacing w:val="-3"/>
          <w:sz w:val="21"/>
        </w:rPr>
        <w:t>故</w:t>
      </w:r>
      <w:r>
        <w:rPr>
          <w:sz w:val="21"/>
        </w:rPr>
        <w:t>发</w:t>
      </w:r>
      <w:r>
        <w:rPr>
          <w:spacing w:val="-3"/>
          <w:sz w:val="21"/>
        </w:rPr>
        <w:t>生</w:t>
      </w:r>
      <w:r>
        <w:rPr>
          <w:sz w:val="21"/>
        </w:rPr>
        <w:t>后</w:t>
      </w:r>
      <w:r>
        <w:rPr>
          <w:spacing w:val="-3"/>
          <w:sz w:val="21"/>
        </w:rPr>
        <w:t>请您</w:t>
      </w:r>
      <w:r>
        <w:rPr>
          <w:sz w:val="21"/>
        </w:rPr>
        <w:t>及时</w:t>
      </w:r>
      <w:r>
        <w:rPr>
          <w:spacing w:val="-3"/>
          <w:sz w:val="21"/>
        </w:rPr>
        <w:t>通</w:t>
      </w:r>
      <w:r>
        <w:rPr>
          <w:sz w:val="21"/>
        </w:rPr>
        <w:t>知</w:t>
      </w:r>
      <w:r>
        <w:rPr>
          <w:spacing w:val="-3"/>
          <w:sz w:val="21"/>
        </w:rPr>
        <w:t>我</w:t>
      </w:r>
      <w:r>
        <w:rPr>
          <w:sz w:val="21"/>
        </w:rPr>
        <w:t>们…</w:t>
        <w:tab/>
        <w:t>5.2</w:t>
      </w:r>
    </w:p>
    <w:p>
      <w:pPr>
        <w:pStyle w:val="ListParagraph"/>
        <w:numPr>
          <w:ilvl w:val="0"/>
          <w:numId w:val="1"/>
        </w:numPr>
        <w:tabs>
          <w:tab w:pos="921" w:val="left" w:leader="none"/>
          <w:tab w:pos="922" w:val="left" w:leader="none"/>
          <w:tab w:pos="9009" w:val="right" w:leader="dot"/>
        </w:tabs>
        <w:spacing w:line="240" w:lineRule="auto" w:before="29" w:after="0"/>
        <w:ind w:left="921" w:right="0" w:hanging="398"/>
        <w:jc w:val="left"/>
        <w:rPr>
          <w:sz w:val="21"/>
        </w:rPr>
      </w:pPr>
      <w:r>
        <w:rPr>
          <w:spacing w:val="-3"/>
          <w:sz w:val="21"/>
        </w:rPr>
        <w:t>我</w:t>
      </w:r>
      <w:r>
        <w:rPr>
          <w:sz w:val="21"/>
        </w:rPr>
        <w:t>们对</w:t>
      </w:r>
      <w:r>
        <w:rPr>
          <w:spacing w:val="-3"/>
          <w:sz w:val="21"/>
        </w:rPr>
        <w:t>一</w:t>
      </w:r>
      <w:r>
        <w:rPr>
          <w:sz w:val="21"/>
        </w:rPr>
        <w:t>些</w:t>
      </w:r>
      <w:r>
        <w:rPr>
          <w:spacing w:val="-3"/>
          <w:sz w:val="21"/>
        </w:rPr>
        <w:t>重</w:t>
      </w:r>
      <w:r>
        <w:rPr>
          <w:sz w:val="21"/>
        </w:rPr>
        <w:t>要</w:t>
      </w:r>
      <w:r>
        <w:rPr>
          <w:spacing w:val="-3"/>
          <w:sz w:val="21"/>
        </w:rPr>
        <w:t>术语</w:t>
      </w:r>
      <w:r>
        <w:rPr>
          <w:sz w:val="21"/>
        </w:rPr>
        <w:t>进行</w:t>
      </w:r>
      <w:r>
        <w:rPr>
          <w:spacing w:val="-3"/>
          <w:sz w:val="21"/>
        </w:rPr>
        <w:t>了</w:t>
      </w:r>
      <w:r>
        <w:rPr>
          <w:sz w:val="21"/>
        </w:rPr>
        <w:t>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标识</w:t>
      </w:r>
      <w:r>
        <w:rPr>
          <w:spacing w:val="-3"/>
          <w:sz w:val="21"/>
        </w:rPr>
        <w:t>，</w:t>
      </w:r>
      <w:r>
        <w:rPr>
          <w:sz w:val="21"/>
        </w:rPr>
        <w:t>请</w:t>
      </w:r>
      <w:r>
        <w:rPr>
          <w:spacing w:val="-3"/>
          <w:sz w:val="21"/>
        </w:rPr>
        <w:t>您</w:t>
      </w:r>
      <w:r>
        <w:rPr>
          <w:sz w:val="21"/>
        </w:rPr>
        <w:t>注意</w:t>
        <w:tab/>
        <w:t>7</w:t>
      </w:r>
    </w:p>
    <w:p>
      <w:pPr>
        <w:tabs>
          <w:tab w:pos="662" w:val="left" w:leader="none"/>
        </w:tabs>
        <w:spacing w:before="128"/>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662" w:val="left" w:leader="none"/>
        </w:tabs>
        <w:spacing w:before="223"/>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rPr>
          <w:b/>
          <w:sz w:val="16"/>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8"/>
        <w:gridCol w:w="3119"/>
        <w:gridCol w:w="3118"/>
      </w:tblGrid>
      <w:tr>
        <w:trPr>
          <w:trHeight w:val="5203" w:hRule="atLeast"/>
        </w:trPr>
        <w:tc>
          <w:tcPr>
            <w:tcW w:w="2938" w:type="dxa"/>
          </w:tcPr>
          <w:p>
            <w:pPr>
              <w:pStyle w:val="TableParagraph"/>
              <w:numPr>
                <w:ilvl w:val="0"/>
                <w:numId w:val="2"/>
              </w:numPr>
              <w:tabs>
                <w:tab w:pos="631" w:val="left" w:leader="none"/>
                <w:tab w:pos="632" w:val="left" w:leader="none"/>
              </w:tabs>
              <w:spacing w:line="211" w:lineRule="exact" w:before="0" w:after="0"/>
              <w:ind w:left="632" w:right="0" w:hanging="423"/>
              <w:jc w:val="left"/>
              <w:rPr>
                <w:b/>
                <w:sz w:val="21"/>
              </w:rPr>
            </w:pPr>
            <w:r>
              <w:rPr>
                <w:b/>
                <w:sz w:val="21"/>
              </w:rPr>
              <w:t>您与我们的合同</w:t>
            </w:r>
          </w:p>
          <w:p>
            <w:pPr>
              <w:pStyle w:val="TableParagraph"/>
              <w:numPr>
                <w:ilvl w:val="1"/>
                <w:numId w:val="2"/>
              </w:numPr>
              <w:tabs>
                <w:tab w:pos="944" w:val="left" w:leader="none"/>
                <w:tab w:pos="945" w:val="left" w:leader="none"/>
              </w:tabs>
              <w:spacing w:line="240" w:lineRule="auto" w:before="37" w:after="0"/>
              <w:ind w:left="944" w:right="0" w:hanging="526"/>
              <w:jc w:val="left"/>
              <w:rPr>
                <w:sz w:val="21"/>
              </w:rPr>
            </w:pPr>
            <w:r>
              <w:rPr>
                <w:spacing w:val="-2"/>
                <w:sz w:val="21"/>
              </w:rPr>
              <w:t>合同构成</w:t>
            </w:r>
          </w:p>
          <w:p>
            <w:pPr>
              <w:pStyle w:val="TableParagraph"/>
              <w:numPr>
                <w:ilvl w:val="1"/>
                <w:numId w:val="2"/>
              </w:numPr>
              <w:tabs>
                <w:tab w:pos="944" w:val="left" w:leader="none"/>
                <w:tab w:pos="945" w:val="left" w:leader="none"/>
              </w:tabs>
              <w:spacing w:line="240" w:lineRule="auto" w:before="37" w:after="0"/>
              <w:ind w:left="944" w:right="0" w:hanging="526"/>
              <w:jc w:val="left"/>
              <w:rPr>
                <w:sz w:val="21"/>
              </w:rPr>
            </w:pPr>
            <w:r>
              <w:rPr>
                <w:spacing w:val="-2"/>
                <w:sz w:val="21"/>
              </w:rPr>
              <w:t>合同生效</w:t>
            </w:r>
          </w:p>
          <w:p>
            <w:pPr>
              <w:pStyle w:val="TableParagraph"/>
              <w:numPr>
                <w:ilvl w:val="0"/>
                <w:numId w:val="2"/>
              </w:numPr>
              <w:tabs>
                <w:tab w:pos="631" w:val="left" w:leader="none"/>
                <w:tab w:pos="632" w:val="left" w:leader="none"/>
              </w:tabs>
              <w:spacing w:line="240" w:lineRule="auto" w:before="37" w:after="0"/>
              <w:ind w:left="632" w:right="0" w:hanging="423"/>
              <w:jc w:val="left"/>
              <w:rPr>
                <w:b/>
                <w:sz w:val="21"/>
              </w:rPr>
            </w:pPr>
            <w:r>
              <w:rPr>
                <w:b/>
                <w:sz w:val="21"/>
              </w:rPr>
              <w:t>您获得的保障</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2"/>
                <w:sz w:val="21"/>
              </w:rPr>
              <w:t>保险金额</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2"/>
                <w:sz w:val="21"/>
              </w:rPr>
              <w:t>保险期间</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2"/>
                <w:sz w:val="21"/>
              </w:rPr>
              <w:t>保险责任</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2"/>
                <w:sz w:val="21"/>
              </w:rPr>
              <w:t>责任免除</w:t>
            </w:r>
          </w:p>
          <w:p>
            <w:pPr>
              <w:pStyle w:val="TableParagraph"/>
              <w:numPr>
                <w:ilvl w:val="0"/>
                <w:numId w:val="2"/>
              </w:numPr>
              <w:tabs>
                <w:tab w:pos="631" w:val="left" w:leader="none"/>
                <w:tab w:pos="632" w:val="left" w:leader="none"/>
              </w:tabs>
              <w:spacing w:line="240" w:lineRule="auto" w:before="37" w:after="0"/>
              <w:ind w:left="632" w:right="0" w:hanging="423"/>
              <w:jc w:val="left"/>
              <w:rPr>
                <w:b/>
                <w:sz w:val="21"/>
              </w:rPr>
            </w:pPr>
            <w:r>
              <w:rPr>
                <w:b/>
                <w:sz w:val="21"/>
              </w:rPr>
              <w:t>您的义务</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3"/>
                <w:sz w:val="21"/>
              </w:rPr>
              <w:t>保险费的交纳</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3"/>
                <w:sz w:val="21"/>
              </w:rPr>
              <w:t>保险费率的调整</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pacing w:val="-2"/>
                <w:sz w:val="21"/>
              </w:rPr>
              <w:t>如实告知</w:t>
            </w:r>
          </w:p>
          <w:p>
            <w:pPr>
              <w:pStyle w:val="TableParagraph"/>
              <w:numPr>
                <w:ilvl w:val="0"/>
                <w:numId w:val="2"/>
              </w:numPr>
              <w:tabs>
                <w:tab w:pos="631" w:val="left" w:leader="none"/>
                <w:tab w:pos="632" w:val="left" w:leader="none"/>
              </w:tabs>
              <w:spacing w:line="240" w:lineRule="auto" w:before="37" w:after="0"/>
              <w:ind w:left="632" w:right="0" w:hanging="423"/>
              <w:jc w:val="left"/>
              <w:rPr>
                <w:b/>
                <w:sz w:val="21"/>
              </w:rPr>
            </w:pPr>
            <w:r>
              <w:rPr>
                <w:b/>
                <w:spacing w:val="-1"/>
                <w:sz w:val="21"/>
              </w:rPr>
              <w:t>您对本合同拥有的权利</w:t>
            </w:r>
          </w:p>
          <w:p>
            <w:pPr>
              <w:pStyle w:val="TableParagraph"/>
              <w:numPr>
                <w:ilvl w:val="1"/>
                <w:numId w:val="2"/>
              </w:numPr>
              <w:tabs>
                <w:tab w:pos="943" w:val="left" w:leader="none"/>
                <w:tab w:pos="945" w:val="left" w:leader="none"/>
              </w:tabs>
              <w:spacing w:line="240" w:lineRule="auto" w:before="37" w:after="0"/>
              <w:ind w:left="944" w:right="0" w:hanging="526"/>
              <w:jc w:val="left"/>
              <w:rPr>
                <w:sz w:val="21"/>
              </w:rPr>
            </w:pPr>
            <w:r>
              <w:rPr>
                <w:sz w:val="21"/>
              </w:rPr>
              <w:t>续保</w:t>
            </w:r>
          </w:p>
          <w:p>
            <w:pPr>
              <w:pStyle w:val="TableParagraph"/>
              <w:numPr>
                <w:ilvl w:val="1"/>
                <w:numId w:val="2"/>
              </w:numPr>
              <w:tabs>
                <w:tab w:pos="944" w:val="left" w:leader="none"/>
                <w:tab w:pos="945" w:val="left" w:leader="none"/>
              </w:tabs>
              <w:spacing w:line="240" w:lineRule="auto" w:before="37" w:after="0"/>
              <w:ind w:left="944" w:right="0" w:hanging="526"/>
              <w:jc w:val="left"/>
              <w:rPr>
                <w:sz w:val="21"/>
              </w:rPr>
            </w:pPr>
            <w:r>
              <w:rPr>
                <w:spacing w:val="-3"/>
                <w:sz w:val="21"/>
              </w:rPr>
              <w:t>合同内容的变更</w:t>
            </w:r>
          </w:p>
          <w:p>
            <w:pPr>
              <w:pStyle w:val="TableParagraph"/>
              <w:numPr>
                <w:ilvl w:val="1"/>
                <w:numId w:val="2"/>
              </w:numPr>
              <w:tabs>
                <w:tab w:pos="944" w:val="left" w:leader="none"/>
                <w:tab w:pos="945" w:val="left" w:leader="none"/>
              </w:tabs>
              <w:spacing w:line="240" w:lineRule="auto" w:before="37" w:after="0"/>
              <w:ind w:left="944" w:right="0" w:hanging="526"/>
              <w:jc w:val="left"/>
              <w:rPr>
                <w:sz w:val="21"/>
              </w:rPr>
            </w:pPr>
            <w:r>
              <w:rPr>
                <w:spacing w:val="-2"/>
                <w:sz w:val="21"/>
              </w:rPr>
              <w:t>解除合同</w:t>
            </w:r>
          </w:p>
          <w:p>
            <w:pPr>
              <w:pStyle w:val="TableParagraph"/>
              <w:numPr>
                <w:ilvl w:val="0"/>
                <w:numId w:val="2"/>
              </w:numPr>
              <w:tabs>
                <w:tab w:pos="622" w:val="left" w:leader="none"/>
                <w:tab w:pos="623" w:val="left" w:leader="none"/>
              </w:tabs>
              <w:spacing w:line="255" w:lineRule="exact" w:before="37" w:after="0"/>
              <w:ind w:left="622" w:right="0" w:hanging="422"/>
              <w:jc w:val="left"/>
              <w:rPr>
                <w:b/>
                <w:sz w:val="21"/>
              </w:rPr>
            </w:pPr>
            <w:r>
              <w:rPr>
                <w:b/>
                <w:sz w:val="21"/>
              </w:rPr>
              <w:t>如何申请领取保险金</w:t>
            </w:r>
          </w:p>
        </w:tc>
        <w:tc>
          <w:tcPr>
            <w:tcW w:w="3119" w:type="dxa"/>
          </w:tcPr>
          <w:p>
            <w:pPr>
              <w:pStyle w:val="TableParagraph"/>
              <w:numPr>
                <w:ilvl w:val="1"/>
                <w:numId w:val="3"/>
              </w:numPr>
              <w:tabs>
                <w:tab w:pos="933" w:val="left" w:leader="none"/>
                <w:tab w:pos="935" w:val="left" w:leader="none"/>
              </w:tabs>
              <w:spacing w:line="211" w:lineRule="exact" w:before="0" w:after="0"/>
              <w:ind w:left="934" w:right="0" w:hanging="526"/>
              <w:jc w:val="left"/>
              <w:rPr>
                <w:sz w:val="21"/>
              </w:rPr>
            </w:pPr>
            <w:r>
              <w:rPr>
                <w:spacing w:val="-3"/>
                <w:sz w:val="21"/>
              </w:rPr>
              <w:t>受益人指定与变更</w:t>
            </w:r>
          </w:p>
          <w:p>
            <w:pPr>
              <w:pStyle w:val="TableParagraph"/>
              <w:numPr>
                <w:ilvl w:val="1"/>
                <w:numId w:val="3"/>
              </w:numPr>
              <w:tabs>
                <w:tab w:pos="934" w:val="left" w:leader="none"/>
                <w:tab w:pos="935" w:val="left" w:leader="none"/>
              </w:tabs>
              <w:spacing w:line="240" w:lineRule="auto" w:before="37" w:after="0"/>
              <w:ind w:left="934" w:right="0" w:hanging="526"/>
              <w:jc w:val="left"/>
              <w:rPr>
                <w:sz w:val="21"/>
              </w:rPr>
            </w:pPr>
            <w:r>
              <w:rPr>
                <w:spacing w:val="-3"/>
                <w:sz w:val="21"/>
              </w:rPr>
              <w:t>保险事故通知</w:t>
            </w:r>
          </w:p>
          <w:p>
            <w:pPr>
              <w:pStyle w:val="TableParagraph"/>
              <w:numPr>
                <w:ilvl w:val="1"/>
                <w:numId w:val="3"/>
              </w:numPr>
              <w:tabs>
                <w:tab w:pos="934" w:val="left" w:leader="none"/>
                <w:tab w:pos="935" w:val="left" w:leader="none"/>
              </w:tabs>
              <w:spacing w:line="240" w:lineRule="auto" w:before="37" w:after="0"/>
              <w:ind w:left="934" w:right="0" w:hanging="526"/>
              <w:jc w:val="left"/>
              <w:rPr>
                <w:sz w:val="21"/>
              </w:rPr>
            </w:pPr>
            <w:r>
              <w:rPr>
                <w:spacing w:val="-3"/>
                <w:sz w:val="21"/>
              </w:rPr>
              <w:t>保险金申请时效</w:t>
            </w:r>
          </w:p>
          <w:p>
            <w:pPr>
              <w:pStyle w:val="TableParagraph"/>
              <w:numPr>
                <w:ilvl w:val="1"/>
                <w:numId w:val="3"/>
              </w:numPr>
              <w:tabs>
                <w:tab w:pos="934" w:val="left" w:leader="none"/>
                <w:tab w:pos="935" w:val="left" w:leader="none"/>
              </w:tabs>
              <w:spacing w:line="240" w:lineRule="auto" w:before="37" w:after="0"/>
              <w:ind w:left="934" w:right="0" w:hanging="526"/>
              <w:jc w:val="left"/>
              <w:rPr>
                <w:sz w:val="21"/>
              </w:rPr>
            </w:pPr>
            <w:r>
              <w:rPr>
                <w:spacing w:val="-3"/>
                <w:sz w:val="21"/>
              </w:rPr>
              <w:t>保险金申请</w:t>
            </w:r>
          </w:p>
          <w:p>
            <w:pPr>
              <w:pStyle w:val="TableParagraph"/>
              <w:numPr>
                <w:ilvl w:val="1"/>
                <w:numId w:val="3"/>
              </w:numPr>
              <w:tabs>
                <w:tab w:pos="934" w:val="left" w:leader="none"/>
                <w:tab w:pos="935" w:val="left" w:leader="none"/>
              </w:tabs>
              <w:spacing w:line="240" w:lineRule="auto" w:before="37" w:after="0"/>
              <w:ind w:left="934" w:right="0" w:hanging="526"/>
              <w:jc w:val="left"/>
              <w:rPr>
                <w:sz w:val="21"/>
              </w:rPr>
            </w:pPr>
            <w:r>
              <w:rPr>
                <w:spacing w:val="-3"/>
                <w:sz w:val="21"/>
              </w:rPr>
              <w:t>保险金给付</w:t>
            </w:r>
          </w:p>
          <w:p>
            <w:pPr>
              <w:pStyle w:val="TableParagraph"/>
              <w:numPr>
                <w:ilvl w:val="0"/>
                <w:numId w:val="3"/>
              </w:numPr>
              <w:tabs>
                <w:tab w:pos="619" w:val="left" w:leader="none"/>
                <w:tab w:pos="620" w:val="left" w:leader="none"/>
              </w:tabs>
              <w:spacing w:line="240" w:lineRule="auto" w:before="37" w:after="0"/>
              <w:ind w:left="619" w:right="0" w:hanging="422"/>
              <w:jc w:val="left"/>
              <w:rPr>
                <w:b/>
                <w:sz w:val="21"/>
              </w:rPr>
            </w:pPr>
            <w:r>
              <w:rPr>
                <w:b/>
                <w:spacing w:val="-1"/>
                <w:sz w:val="21"/>
              </w:rPr>
              <w:t>您需要关注的其他事项</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pacing w:val="-3"/>
                <w:sz w:val="21"/>
              </w:rPr>
              <w:t>投保年龄范围</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pacing w:val="-3"/>
                <w:sz w:val="21"/>
              </w:rPr>
              <w:t>年龄计算及错误处理</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pacing w:val="-3"/>
                <w:sz w:val="21"/>
              </w:rPr>
              <w:t>联系方式变更</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pacing w:val="-2"/>
                <w:sz w:val="21"/>
              </w:rPr>
              <w:t>司法鉴定</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pacing w:val="-2"/>
                <w:sz w:val="21"/>
              </w:rPr>
              <w:t>争议处理</w:t>
            </w:r>
          </w:p>
          <w:p>
            <w:pPr>
              <w:pStyle w:val="TableParagraph"/>
              <w:numPr>
                <w:ilvl w:val="0"/>
                <w:numId w:val="3"/>
              </w:numPr>
              <w:tabs>
                <w:tab w:pos="513" w:val="left" w:leader="none"/>
                <w:tab w:pos="514" w:val="left" w:leader="none"/>
              </w:tabs>
              <w:spacing w:line="240" w:lineRule="auto" w:before="36" w:after="0"/>
              <w:ind w:left="514" w:right="0" w:hanging="317"/>
              <w:jc w:val="left"/>
              <w:rPr>
                <w:b/>
                <w:sz w:val="21"/>
              </w:rPr>
            </w:pPr>
            <w:r>
              <w:rPr>
                <w:b/>
                <w:spacing w:val="-1"/>
                <w:sz w:val="21"/>
              </w:rPr>
              <w:t>您需要了解的重要术语</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pacing w:val="-2"/>
                <w:sz w:val="21"/>
              </w:rPr>
              <w:t>意外伤害</w:t>
            </w:r>
          </w:p>
          <w:p>
            <w:pPr>
              <w:pStyle w:val="TableParagraph"/>
              <w:numPr>
                <w:ilvl w:val="1"/>
                <w:numId w:val="3"/>
              </w:numPr>
              <w:tabs>
                <w:tab w:pos="933" w:val="left" w:leader="none"/>
                <w:tab w:pos="935" w:val="left" w:leader="none"/>
              </w:tabs>
              <w:spacing w:line="240" w:lineRule="auto" w:before="36" w:after="0"/>
              <w:ind w:left="934" w:right="0" w:hanging="526"/>
              <w:jc w:val="left"/>
              <w:rPr>
                <w:sz w:val="21"/>
              </w:rPr>
            </w:pPr>
            <w:r>
              <w:rPr>
                <w:sz w:val="21"/>
              </w:rPr>
              <w:t>医院</w:t>
            </w:r>
          </w:p>
          <w:p>
            <w:pPr>
              <w:pStyle w:val="TableParagraph"/>
              <w:numPr>
                <w:ilvl w:val="1"/>
                <w:numId w:val="3"/>
              </w:numPr>
              <w:tabs>
                <w:tab w:pos="934" w:val="left" w:leader="none"/>
                <w:tab w:pos="935" w:val="left" w:leader="none"/>
              </w:tabs>
              <w:spacing w:line="240" w:lineRule="auto" w:before="36" w:after="0"/>
              <w:ind w:left="934" w:right="0" w:hanging="526"/>
              <w:jc w:val="left"/>
              <w:rPr>
                <w:sz w:val="21"/>
              </w:rPr>
            </w:pPr>
            <w:r>
              <w:rPr>
                <w:spacing w:val="-2"/>
                <w:sz w:val="21"/>
              </w:rPr>
              <w:t>重大疾病</w:t>
            </w:r>
          </w:p>
          <w:p>
            <w:pPr>
              <w:pStyle w:val="TableParagraph"/>
              <w:numPr>
                <w:ilvl w:val="1"/>
                <w:numId w:val="3"/>
              </w:numPr>
              <w:tabs>
                <w:tab w:pos="934" w:val="left" w:leader="none"/>
                <w:tab w:pos="935" w:val="left" w:leader="none"/>
              </w:tabs>
              <w:spacing w:line="240" w:lineRule="auto" w:before="36" w:after="0"/>
              <w:ind w:left="934" w:right="0" w:hanging="526"/>
              <w:jc w:val="left"/>
              <w:rPr>
                <w:sz w:val="21"/>
              </w:rPr>
            </w:pPr>
            <w:r>
              <w:rPr>
                <w:spacing w:val="-2"/>
                <w:sz w:val="21"/>
              </w:rPr>
              <w:t>艾滋病</w:t>
            </w:r>
            <w:r>
              <w:rPr>
                <w:spacing w:val="-1"/>
                <w:sz w:val="21"/>
              </w:rPr>
              <w:t>（AIDS）</w:t>
            </w:r>
          </w:p>
          <w:p>
            <w:pPr>
              <w:pStyle w:val="TableParagraph"/>
              <w:numPr>
                <w:ilvl w:val="1"/>
                <w:numId w:val="3"/>
              </w:numPr>
              <w:tabs>
                <w:tab w:pos="934" w:val="left" w:leader="none"/>
                <w:tab w:pos="935" w:val="left" w:leader="none"/>
              </w:tabs>
              <w:spacing w:line="255" w:lineRule="exact" w:before="36" w:after="0"/>
              <w:ind w:left="934" w:right="0" w:hanging="526"/>
              <w:jc w:val="left"/>
              <w:rPr>
                <w:sz w:val="21"/>
              </w:rPr>
            </w:pPr>
            <w:r>
              <w:rPr>
                <w:spacing w:val="-3"/>
                <w:sz w:val="21"/>
              </w:rPr>
              <w:t>艾滋病病毒</w:t>
            </w:r>
            <w:r>
              <w:rPr>
                <w:spacing w:val="-1"/>
                <w:sz w:val="21"/>
              </w:rPr>
              <w:t>（HIV）</w:t>
            </w:r>
          </w:p>
        </w:tc>
        <w:tc>
          <w:tcPr>
            <w:tcW w:w="3118" w:type="dxa"/>
          </w:tcPr>
          <w:p>
            <w:pPr>
              <w:pStyle w:val="TableParagraph"/>
              <w:numPr>
                <w:ilvl w:val="1"/>
                <w:numId w:val="4"/>
              </w:numPr>
              <w:tabs>
                <w:tab w:pos="819" w:val="left" w:leader="none"/>
                <w:tab w:pos="820" w:val="left" w:leader="none"/>
              </w:tabs>
              <w:spacing w:line="211" w:lineRule="exact" w:before="0" w:after="0"/>
              <w:ind w:left="817" w:right="0" w:hanging="523"/>
              <w:jc w:val="left"/>
              <w:rPr>
                <w:sz w:val="21"/>
              </w:rPr>
            </w:pPr>
            <w:bookmarkStart w:name="( 条款目录" w:id="2"/>
            <w:bookmarkEnd w:id="2"/>
            <w:r>
              <w:rPr/>
            </w:r>
            <w:bookmarkStart w:name="( 条款目录" w:id="3"/>
            <w:bookmarkEnd w:id="3"/>
            <w:r>
              <w:rPr>
                <w:spacing w:val="-3"/>
                <w:sz w:val="21"/>
              </w:rPr>
              <w:t>遗传性疾病</w:t>
            </w:r>
          </w:p>
          <w:p>
            <w:pPr>
              <w:pStyle w:val="TableParagraph"/>
              <w:numPr>
                <w:ilvl w:val="1"/>
                <w:numId w:val="4"/>
              </w:numPr>
              <w:tabs>
                <w:tab w:pos="819" w:val="left" w:leader="none"/>
                <w:tab w:pos="820" w:val="left" w:leader="none"/>
              </w:tabs>
              <w:spacing w:line="273" w:lineRule="auto" w:before="37" w:after="0"/>
              <w:ind w:left="817" w:right="198" w:hanging="523"/>
              <w:jc w:val="left"/>
              <w:rPr>
                <w:sz w:val="21"/>
              </w:rPr>
            </w:pPr>
            <w:r>
              <w:rPr>
                <w:spacing w:val="-3"/>
                <w:sz w:val="21"/>
              </w:rPr>
              <w:t>先天性畸形、变形及染</w:t>
            </w:r>
            <w:r>
              <w:rPr>
                <w:spacing w:val="-1"/>
                <w:sz w:val="21"/>
              </w:rPr>
              <w:t>色体异常</w:t>
            </w:r>
          </w:p>
          <w:p>
            <w:pPr>
              <w:pStyle w:val="TableParagraph"/>
              <w:numPr>
                <w:ilvl w:val="1"/>
                <w:numId w:val="4"/>
              </w:numPr>
              <w:tabs>
                <w:tab w:pos="819" w:val="left" w:leader="none"/>
                <w:tab w:pos="820" w:val="left" w:leader="none"/>
              </w:tabs>
              <w:spacing w:line="240" w:lineRule="auto" w:before="7" w:after="0"/>
              <w:ind w:left="817" w:right="0" w:hanging="523"/>
              <w:jc w:val="left"/>
              <w:rPr>
                <w:sz w:val="21"/>
              </w:rPr>
            </w:pPr>
            <w:r>
              <w:rPr>
                <w:spacing w:val="-2"/>
                <w:sz w:val="21"/>
              </w:rPr>
              <w:t>现金价值</w:t>
            </w:r>
          </w:p>
          <w:p>
            <w:pPr>
              <w:pStyle w:val="TableParagraph"/>
              <w:numPr>
                <w:ilvl w:val="1"/>
                <w:numId w:val="4"/>
              </w:numPr>
              <w:tabs>
                <w:tab w:pos="819" w:val="left" w:leader="none"/>
                <w:tab w:pos="820" w:val="left" w:leader="none"/>
              </w:tabs>
              <w:spacing w:line="240" w:lineRule="auto" w:before="36" w:after="0"/>
              <w:ind w:left="817" w:right="0" w:hanging="523"/>
              <w:jc w:val="left"/>
              <w:rPr>
                <w:sz w:val="21"/>
              </w:rPr>
            </w:pPr>
            <w:r>
              <w:rPr>
                <w:spacing w:val="-2"/>
                <w:sz w:val="21"/>
              </w:rPr>
              <w:t>不可抗力</w:t>
            </w:r>
          </w:p>
          <w:p>
            <w:pPr>
              <w:pStyle w:val="TableParagraph"/>
              <w:numPr>
                <w:ilvl w:val="1"/>
                <w:numId w:val="4"/>
              </w:numPr>
              <w:tabs>
                <w:tab w:pos="820" w:val="left" w:leader="none"/>
              </w:tabs>
              <w:spacing w:line="240" w:lineRule="auto" w:before="36" w:after="0"/>
              <w:ind w:left="817" w:right="0" w:hanging="523"/>
              <w:jc w:val="left"/>
              <w:rPr>
                <w:sz w:val="21"/>
              </w:rPr>
            </w:pPr>
            <w:r>
              <w:rPr>
                <w:sz w:val="21"/>
              </w:rPr>
              <w:t>周岁</w:t>
            </w:r>
          </w:p>
          <w:p>
            <w:pPr>
              <w:pStyle w:val="TableParagraph"/>
              <w:numPr>
                <w:ilvl w:val="1"/>
                <w:numId w:val="4"/>
              </w:numPr>
              <w:tabs>
                <w:tab w:pos="821" w:val="left" w:leader="none"/>
              </w:tabs>
              <w:spacing w:line="240" w:lineRule="auto" w:before="36" w:after="0"/>
              <w:ind w:left="820" w:right="0" w:hanging="526"/>
              <w:jc w:val="left"/>
              <w:rPr>
                <w:sz w:val="21"/>
              </w:rPr>
            </w:pPr>
            <w:r>
              <w:rPr>
                <w:spacing w:val="-2"/>
                <w:sz w:val="21"/>
              </w:rPr>
              <w:t>专科医生</w:t>
            </w:r>
          </w:p>
          <w:p>
            <w:pPr>
              <w:pStyle w:val="TableParagraph"/>
              <w:numPr>
                <w:ilvl w:val="1"/>
                <w:numId w:val="4"/>
              </w:numPr>
              <w:tabs>
                <w:tab w:pos="821" w:val="left" w:leader="none"/>
              </w:tabs>
              <w:spacing w:line="240" w:lineRule="auto" w:before="36" w:after="0"/>
              <w:ind w:left="820" w:right="0" w:hanging="526"/>
              <w:jc w:val="left"/>
              <w:rPr>
                <w:sz w:val="21"/>
              </w:rPr>
            </w:pPr>
            <w:r>
              <w:rPr>
                <w:spacing w:val="-2"/>
                <w:sz w:val="21"/>
              </w:rPr>
              <w:t>原位癌</w:t>
            </w:r>
          </w:p>
          <w:p>
            <w:pPr>
              <w:pStyle w:val="TableParagraph"/>
              <w:numPr>
                <w:ilvl w:val="1"/>
                <w:numId w:val="4"/>
              </w:numPr>
              <w:tabs>
                <w:tab w:pos="821" w:val="left" w:leader="none"/>
              </w:tabs>
              <w:spacing w:line="240" w:lineRule="auto" w:before="36" w:after="0"/>
              <w:ind w:left="820" w:right="0" w:hanging="526"/>
              <w:jc w:val="left"/>
              <w:rPr>
                <w:sz w:val="21"/>
              </w:rPr>
            </w:pPr>
            <w:r>
              <w:rPr>
                <w:spacing w:val="-3"/>
                <w:sz w:val="21"/>
              </w:rPr>
              <w:t>肢体机能完全丧失</w:t>
            </w:r>
          </w:p>
          <w:p>
            <w:pPr>
              <w:pStyle w:val="TableParagraph"/>
              <w:numPr>
                <w:ilvl w:val="1"/>
                <w:numId w:val="4"/>
              </w:numPr>
              <w:tabs>
                <w:tab w:pos="821" w:val="left" w:leader="none"/>
              </w:tabs>
              <w:spacing w:line="273" w:lineRule="auto" w:before="36" w:after="0"/>
              <w:ind w:left="817" w:right="197" w:hanging="523"/>
              <w:jc w:val="left"/>
              <w:rPr>
                <w:sz w:val="21"/>
              </w:rPr>
            </w:pPr>
            <w:r>
              <w:rPr>
                <w:spacing w:val="-3"/>
                <w:sz w:val="21"/>
              </w:rPr>
              <w:t>语言能力或咀嚼吞咽能</w:t>
            </w:r>
            <w:r>
              <w:rPr>
                <w:spacing w:val="-1"/>
                <w:sz w:val="21"/>
              </w:rPr>
              <w:t>力完全丧失</w:t>
            </w:r>
          </w:p>
          <w:p>
            <w:pPr>
              <w:pStyle w:val="TableParagraph"/>
              <w:numPr>
                <w:ilvl w:val="1"/>
                <w:numId w:val="4"/>
              </w:numPr>
              <w:tabs>
                <w:tab w:pos="821" w:val="left" w:leader="none"/>
              </w:tabs>
              <w:spacing w:line="240" w:lineRule="auto" w:before="7" w:after="0"/>
              <w:ind w:left="820" w:right="0" w:hanging="526"/>
              <w:jc w:val="left"/>
              <w:rPr>
                <w:sz w:val="21"/>
              </w:rPr>
            </w:pPr>
            <w:r>
              <w:rPr>
                <w:spacing w:val="-3"/>
                <w:sz w:val="21"/>
              </w:rPr>
              <w:t>六项基本日常生活活动</w:t>
            </w:r>
          </w:p>
          <w:p>
            <w:pPr>
              <w:pStyle w:val="TableParagraph"/>
              <w:numPr>
                <w:ilvl w:val="1"/>
                <w:numId w:val="4"/>
              </w:numPr>
              <w:tabs>
                <w:tab w:pos="821" w:val="left" w:leader="none"/>
              </w:tabs>
              <w:spacing w:line="240" w:lineRule="auto" w:before="37" w:after="0"/>
              <w:ind w:left="820"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820" w:bottom="1120" w:left="1200" w:right="900"/>
        </w:sectPr>
      </w:pPr>
    </w:p>
    <w:p>
      <w:pPr>
        <w:pStyle w:val="BodyText"/>
        <w:spacing w:before="9"/>
        <w:rPr>
          <w:rFonts w:ascii="Times New Roman"/>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703"/>
        <w:gridCol w:w="6715"/>
      </w:tblGrid>
      <w:tr>
        <w:trPr>
          <w:trHeight w:val="1484" w:hRule="atLeast"/>
        </w:trPr>
        <w:tc>
          <w:tcPr>
            <w:tcW w:w="9322" w:type="dxa"/>
            <w:gridSpan w:val="3"/>
          </w:tcPr>
          <w:p>
            <w:pPr>
              <w:pStyle w:val="TableParagraph"/>
              <w:spacing w:line="319" w:lineRule="exact"/>
              <w:ind w:left="2503" w:right="2504"/>
              <w:jc w:val="center"/>
              <w:rPr>
                <w:b/>
                <w:sz w:val="32"/>
              </w:rPr>
            </w:pPr>
            <w:r>
              <w:rPr>
                <w:b/>
                <w:w w:val="95"/>
                <w:sz w:val="32"/>
              </w:rPr>
              <w:t>英大泰和人寿保险股份有限公司</w:t>
            </w:r>
          </w:p>
          <w:p>
            <w:pPr>
              <w:pStyle w:val="TableParagraph"/>
              <w:spacing w:before="240"/>
              <w:ind w:left="2504" w:right="2504"/>
              <w:jc w:val="center"/>
              <w:rPr>
                <w:b/>
                <w:sz w:val="28"/>
              </w:rPr>
            </w:pPr>
            <w:r>
              <w:rPr>
                <w:b/>
                <w:w w:val="95"/>
                <w:sz w:val="28"/>
              </w:rPr>
              <w:t>英大安康无忧成人重大疾病保险条款</w:t>
            </w:r>
          </w:p>
          <w:p>
            <w:pPr>
              <w:pStyle w:val="TableParagraph"/>
              <w:spacing w:before="131"/>
              <w:ind w:left="2504" w:right="2502"/>
              <w:jc w:val="center"/>
              <w:rPr>
                <w:sz w:val="24"/>
              </w:rPr>
            </w:pPr>
            <w:r>
              <w:rPr>
                <w:sz w:val="24"/>
              </w:rPr>
              <w:t>（2013 年 5 月）</w:t>
            </w:r>
          </w:p>
        </w:tc>
      </w:tr>
      <w:tr>
        <w:trPr>
          <w:trHeight w:val="733" w:hRule="atLeast"/>
        </w:trPr>
        <w:tc>
          <w:tcPr>
            <w:tcW w:w="9322" w:type="dxa"/>
            <w:gridSpan w:val="3"/>
          </w:tcPr>
          <w:p>
            <w:pPr>
              <w:pStyle w:val="TableParagraph"/>
              <w:spacing w:before="49"/>
              <w:ind w:left="1183"/>
              <w:rPr>
                <w:b/>
                <w:sz w:val="21"/>
              </w:rPr>
            </w:pPr>
            <w:r>
              <w:rPr>
                <w:b/>
                <w:spacing w:val="-16"/>
                <w:w w:val="100"/>
                <w:sz w:val="21"/>
              </w:rPr>
              <w:t>在本条款中，“您”指投保人，“我们”指英大泰和人寿保险股份有限公司。</w:t>
            </w:r>
          </w:p>
        </w:tc>
      </w:tr>
      <w:tr>
        <w:trPr>
          <w:trHeight w:val="446" w:hRule="atLeast"/>
        </w:trPr>
        <w:tc>
          <w:tcPr>
            <w:tcW w:w="904" w:type="dxa"/>
            <w:shd w:val="clear" w:color="auto" w:fill="CDCDCD"/>
          </w:tcPr>
          <w:p>
            <w:pPr>
              <w:pStyle w:val="TableParagraph"/>
              <w:spacing w:before="43"/>
              <w:ind w:left="110"/>
              <w:rPr>
                <w:rFonts w:ascii="Wingdings" w:hAnsi="Wingdings"/>
                <w:sz w:val="32"/>
              </w:rPr>
            </w:pPr>
            <w:r>
              <w:rPr>
                <w:rFonts w:ascii="Wingdings" w:hAnsi="Wingdings"/>
                <w:w w:val="99"/>
                <w:sz w:val="32"/>
              </w:rPr>
              <w:t></w:t>
            </w:r>
          </w:p>
        </w:tc>
        <w:tc>
          <w:tcPr>
            <w:tcW w:w="8418" w:type="dxa"/>
            <w:gridSpan w:val="2"/>
            <w:shd w:val="clear" w:color="auto" w:fill="CDCDCD"/>
          </w:tcPr>
          <w:p>
            <w:pPr>
              <w:pStyle w:val="TableParagraph"/>
              <w:spacing w:before="52"/>
              <w:ind w:left="475"/>
              <w:rPr>
                <w:b/>
                <w:sz w:val="21"/>
              </w:rPr>
            </w:pPr>
            <w:r>
              <w:rPr>
                <w:b/>
                <w:sz w:val="21"/>
              </w:rPr>
              <w:t>您与我们的合同</w:t>
            </w:r>
          </w:p>
        </w:tc>
      </w:tr>
      <w:tr>
        <w:trPr>
          <w:trHeight w:val="1122" w:hRule="atLeast"/>
        </w:trPr>
        <w:tc>
          <w:tcPr>
            <w:tcW w:w="904" w:type="dxa"/>
          </w:tcPr>
          <w:p>
            <w:pPr>
              <w:pStyle w:val="TableParagraph"/>
              <w:spacing w:before="9"/>
              <w:ind w:left="110"/>
              <w:rPr>
                <w:sz w:val="21"/>
              </w:rPr>
            </w:pPr>
            <w:r>
              <w:rPr>
                <w:sz w:val="21"/>
              </w:rPr>
              <w:t>1.1</w:t>
            </w:r>
          </w:p>
        </w:tc>
        <w:tc>
          <w:tcPr>
            <w:tcW w:w="1703" w:type="dxa"/>
          </w:tcPr>
          <w:p>
            <w:pPr>
              <w:pStyle w:val="TableParagraph"/>
              <w:spacing w:before="9"/>
              <w:ind w:left="476"/>
              <w:rPr>
                <w:sz w:val="21"/>
              </w:rPr>
            </w:pPr>
            <w:r>
              <w:rPr>
                <w:sz w:val="21"/>
              </w:rPr>
              <w:t>合同构成</w:t>
            </w:r>
          </w:p>
        </w:tc>
        <w:tc>
          <w:tcPr>
            <w:tcW w:w="6715" w:type="dxa"/>
          </w:tcPr>
          <w:p>
            <w:pPr>
              <w:pStyle w:val="TableParagraph"/>
              <w:spacing w:line="261" w:lineRule="auto" w:before="9"/>
              <w:ind w:left="383" w:right="100"/>
              <w:jc w:val="both"/>
              <w:rPr>
                <w:sz w:val="21"/>
              </w:rPr>
            </w:pPr>
            <w:r>
              <w:rPr>
                <w:spacing w:val="-6"/>
                <w:sz w:val="21"/>
              </w:rPr>
              <w:t>英大安康无忧成人重大疾病保险合同</w:t>
            </w:r>
            <w:r>
              <w:rPr>
                <w:spacing w:val="-3"/>
                <w:sz w:val="21"/>
              </w:rPr>
              <w:t>（以下简称本合同</w:t>
            </w:r>
            <w:r>
              <w:rPr>
                <w:spacing w:val="-39"/>
                <w:sz w:val="21"/>
              </w:rPr>
              <w:t>）</w:t>
            </w:r>
            <w:r>
              <w:rPr>
                <w:spacing w:val="-3"/>
                <w:sz w:val="21"/>
              </w:rPr>
              <w:t>由电子保险</w:t>
            </w:r>
            <w:r>
              <w:rPr>
                <w:spacing w:val="-10"/>
                <w:sz w:val="21"/>
              </w:rPr>
              <w:t>单及其所附条款、声明、批注、批单，以及与本合同有关的电子投保</w:t>
            </w:r>
            <w:r>
              <w:rPr>
                <w:spacing w:val="-5"/>
                <w:sz w:val="21"/>
              </w:rPr>
              <w:t>单、其他投保文件、健康声明书及其他书面协议共同构成。</w:t>
            </w:r>
          </w:p>
        </w:tc>
      </w:tr>
      <w:tr>
        <w:trPr>
          <w:trHeight w:val="1284" w:hRule="atLeast"/>
        </w:trPr>
        <w:tc>
          <w:tcPr>
            <w:tcW w:w="904" w:type="dxa"/>
          </w:tcPr>
          <w:p>
            <w:pPr>
              <w:pStyle w:val="TableParagraph"/>
              <w:spacing w:before="175"/>
              <w:ind w:left="110"/>
              <w:rPr>
                <w:sz w:val="21"/>
              </w:rPr>
            </w:pPr>
            <w:r>
              <w:rPr>
                <w:sz w:val="21"/>
              </w:rPr>
              <w:t>1.2</w:t>
            </w:r>
          </w:p>
        </w:tc>
        <w:tc>
          <w:tcPr>
            <w:tcW w:w="1703" w:type="dxa"/>
          </w:tcPr>
          <w:p>
            <w:pPr>
              <w:pStyle w:val="TableParagraph"/>
              <w:spacing w:before="175"/>
              <w:ind w:left="476"/>
              <w:rPr>
                <w:sz w:val="21"/>
              </w:rPr>
            </w:pPr>
            <w:r>
              <w:rPr>
                <w:sz w:val="21"/>
              </w:rPr>
              <w:t>合同生效</w:t>
            </w:r>
          </w:p>
        </w:tc>
        <w:tc>
          <w:tcPr>
            <w:tcW w:w="6715" w:type="dxa"/>
          </w:tcPr>
          <w:p>
            <w:pPr>
              <w:pStyle w:val="TableParagraph"/>
              <w:spacing w:before="3"/>
              <w:rPr>
                <w:rFonts w:ascii="Times New Roman"/>
                <w:sz w:val="18"/>
              </w:rPr>
            </w:pPr>
          </w:p>
          <w:p>
            <w:pPr>
              <w:pStyle w:val="TableParagraph"/>
              <w:spacing w:before="1"/>
              <w:ind w:left="383"/>
              <w:rPr>
                <w:sz w:val="21"/>
              </w:rPr>
            </w:pPr>
            <w:r>
              <w:rPr>
                <w:sz w:val="21"/>
              </w:rPr>
              <w:t>本合同的生效日以电子保险单记载的日期为准。</w:t>
            </w:r>
          </w:p>
          <w:p>
            <w:pPr>
              <w:pStyle w:val="TableParagraph"/>
              <w:spacing w:before="68"/>
              <w:ind w:left="383"/>
              <w:rPr>
                <w:sz w:val="21"/>
              </w:rPr>
            </w:pPr>
            <w:r>
              <w:rPr>
                <w:sz w:val="21"/>
              </w:rPr>
              <w:t>我们自本合同生效日零时开始承担本合同约定的保险责任。</w:t>
            </w:r>
          </w:p>
        </w:tc>
      </w:tr>
      <w:tr>
        <w:trPr>
          <w:trHeight w:val="446" w:hRule="atLeast"/>
        </w:trPr>
        <w:tc>
          <w:tcPr>
            <w:tcW w:w="904" w:type="dxa"/>
            <w:shd w:val="clear" w:color="auto" w:fill="C1C1C1"/>
          </w:tcPr>
          <w:p>
            <w:pPr>
              <w:pStyle w:val="TableParagraph"/>
              <w:spacing w:before="43"/>
              <w:ind w:left="110"/>
              <w:rPr>
                <w:rFonts w:ascii="Wingdings" w:hAnsi="Wingdings"/>
                <w:sz w:val="32"/>
              </w:rPr>
            </w:pPr>
            <w:r>
              <w:rPr>
                <w:rFonts w:ascii="Wingdings" w:hAnsi="Wingdings"/>
                <w:w w:val="99"/>
                <w:sz w:val="32"/>
              </w:rPr>
              <w:t></w:t>
            </w:r>
          </w:p>
        </w:tc>
        <w:tc>
          <w:tcPr>
            <w:tcW w:w="1703" w:type="dxa"/>
            <w:shd w:val="clear" w:color="auto" w:fill="C1C1C1"/>
          </w:tcPr>
          <w:p>
            <w:pPr>
              <w:pStyle w:val="TableParagraph"/>
              <w:spacing w:before="52"/>
              <w:ind w:left="475" w:right="-44"/>
              <w:rPr>
                <w:b/>
                <w:sz w:val="21"/>
              </w:rPr>
            </w:pPr>
            <w:r>
              <w:rPr>
                <w:b/>
                <w:sz w:val="21"/>
              </w:rPr>
              <w:t>您获得的保障</w:t>
            </w:r>
          </w:p>
        </w:tc>
        <w:tc>
          <w:tcPr>
            <w:tcW w:w="6715" w:type="dxa"/>
            <w:shd w:val="clear" w:color="auto" w:fill="C1C1C1"/>
          </w:tcPr>
          <w:p>
            <w:pPr>
              <w:pStyle w:val="TableParagraph"/>
              <w:rPr>
                <w:rFonts w:ascii="Times New Roman"/>
                <w:sz w:val="20"/>
              </w:rPr>
            </w:pPr>
          </w:p>
        </w:tc>
      </w:tr>
      <w:tr>
        <w:trPr>
          <w:trHeight w:val="928" w:hRule="atLeast"/>
        </w:trPr>
        <w:tc>
          <w:tcPr>
            <w:tcW w:w="904" w:type="dxa"/>
          </w:tcPr>
          <w:p>
            <w:pPr>
              <w:pStyle w:val="TableParagraph"/>
              <w:spacing w:before="9"/>
              <w:ind w:left="110"/>
              <w:rPr>
                <w:sz w:val="21"/>
              </w:rPr>
            </w:pPr>
            <w:r>
              <w:rPr>
                <w:sz w:val="21"/>
              </w:rPr>
              <w:t>2.1</w:t>
            </w:r>
          </w:p>
        </w:tc>
        <w:tc>
          <w:tcPr>
            <w:tcW w:w="1703" w:type="dxa"/>
          </w:tcPr>
          <w:p>
            <w:pPr>
              <w:pStyle w:val="TableParagraph"/>
              <w:spacing w:before="9"/>
              <w:ind w:left="476"/>
              <w:rPr>
                <w:sz w:val="21"/>
              </w:rPr>
            </w:pPr>
            <w:r>
              <w:rPr>
                <w:sz w:val="21"/>
              </w:rPr>
              <w:t>保险金额</w:t>
            </w:r>
          </w:p>
        </w:tc>
        <w:tc>
          <w:tcPr>
            <w:tcW w:w="6715" w:type="dxa"/>
          </w:tcPr>
          <w:p>
            <w:pPr>
              <w:pStyle w:val="TableParagraph"/>
              <w:spacing w:line="300" w:lineRule="auto" w:before="45"/>
              <w:ind w:left="383" w:right="104"/>
              <w:rPr>
                <w:sz w:val="21"/>
              </w:rPr>
            </w:pPr>
            <w:r>
              <w:rPr>
                <w:sz w:val="21"/>
              </w:rPr>
              <w:t>本合同的保险金额由您在投保时与我们约定，并在电子保险单上载明。</w:t>
            </w:r>
          </w:p>
        </w:tc>
      </w:tr>
      <w:tr>
        <w:trPr>
          <w:trHeight w:val="776" w:hRule="atLeast"/>
        </w:trPr>
        <w:tc>
          <w:tcPr>
            <w:tcW w:w="904" w:type="dxa"/>
          </w:tcPr>
          <w:p>
            <w:pPr>
              <w:pStyle w:val="TableParagraph"/>
              <w:spacing w:before="5"/>
              <w:rPr>
                <w:rFonts w:ascii="Times New Roman"/>
                <w:sz w:val="17"/>
              </w:rPr>
            </w:pPr>
          </w:p>
          <w:p>
            <w:pPr>
              <w:pStyle w:val="TableParagraph"/>
              <w:spacing w:before="1"/>
              <w:ind w:left="110"/>
              <w:rPr>
                <w:sz w:val="21"/>
              </w:rPr>
            </w:pPr>
            <w:r>
              <w:rPr>
                <w:sz w:val="21"/>
              </w:rPr>
              <w:t>2.2</w:t>
            </w:r>
          </w:p>
        </w:tc>
        <w:tc>
          <w:tcPr>
            <w:tcW w:w="1703" w:type="dxa"/>
          </w:tcPr>
          <w:p>
            <w:pPr>
              <w:pStyle w:val="TableParagraph"/>
              <w:spacing w:before="5"/>
              <w:rPr>
                <w:rFonts w:ascii="Times New Roman"/>
                <w:sz w:val="17"/>
              </w:rPr>
            </w:pPr>
          </w:p>
          <w:p>
            <w:pPr>
              <w:pStyle w:val="TableParagraph"/>
              <w:spacing w:before="1"/>
              <w:ind w:left="476"/>
              <w:rPr>
                <w:sz w:val="21"/>
              </w:rPr>
            </w:pPr>
            <w:r>
              <w:rPr>
                <w:sz w:val="21"/>
              </w:rPr>
              <w:t>保险期间</w:t>
            </w:r>
          </w:p>
        </w:tc>
        <w:tc>
          <w:tcPr>
            <w:tcW w:w="6715" w:type="dxa"/>
          </w:tcPr>
          <w:p>
            <w:pPr>
              <w:pStyle w:val="TableParagraph"/>
              <w:spacing w:before="7"/>
              <w:rPr>
                <w:rFonts w:ascii="Times New Roman"/>
                <w:sz w:val="20"/>
              </w:rPr>
            </w:pPr>
          </w:p>
          <w:p>
            <w:pPr>
              <w:pStyle w:val="TableParagraph"/>
              <w:ind w:left="383"/>
              <w:rPr>
                <w:sz w:val="21"/>
              </w:rPr>
            </w:pPr>
            <w:r>
              <w:rPr>
                <w:sz w:val="21"/>
              </w:rPr>
              <w:t>本合同的保险期间为一年，保险期间届满，本合同终止。</w:t>
            </w:r>
          </w:p>
        </w:tc>
      </w:tr>
      <w:tr>
        <w:trPr>
          <w:trHeight w:val="3179" w:hRule="atLeast"/>
        </w:trPr>
        <w:tc>
          <w:tcPr>
            <w:tcW w:w="904" w:type="dxa"/>
          </w:tcPr>
          <w:p>
            <w:pPr>
              <w:pStyle w:val="TableParagraph"/>
              <w:spacing w:before="4"/>
              <w:rPr>
                <w:rFonts w:ascii="Times New Roman"/>
                <w:sz w:val="17"/>
              </w:rPr>
            </w:pPr>
          </w:p>
          <w:p>
            <w:pPr>
              <w:pStyle w:val="TableParagraph"/>
              <w:ind w:left="110"/>
              <w:rPr>
                <w:sz w:val="21"/>
              </w:rPr>
            </w:pPr>
            <w:r>
              <w:rPr>
                <w:sz w:val="21"/>
              </w:rPr>
              <w:t>2.3</w:t>
            </w:r>
          </w:p>
        </w:tc>
        <w:tc>
          <w:tcPr>
            <w:tcW w:w="1703" w:type="dxa"/>
          </w:tcPr>
          <w:p>
            <w:pPr>
              <w:pStyle w:val="TableParagraph"/>
              <w:spacing w:before="4"/>
              <w:rPr>
                <w:rFonts w:ascii="Times New Roman"/>
                <w:sz w:val="17"/>
              </w:rPr>
            </w:pPr>
          </w:p>
          <w:p>
            <w:pPr>
              <w:pStyle w:val="TableParagraph"/>
              <w:ind w:left="476"/>
              <w:rPr>
                <w:sz w:val="21"/>
              </w:rPr>
            </w:pPr>
            <w:r>
              <w:rPr>
                <w:sz w:val="21"/>
              </w:rPr>
              <w:t>保险责任</w:t>
            </w:r>
          </w:p>
        </w:tc>
        <w:tc>
          <w:tcPr>
            <w:tcW w:w="6715" w:type="dxa"/>
          </w:tcPr>
          <w:p>
            <w:pPr>
              <w:pStyle w:val="TableParagraph"/>
              <w:spacing w:before="6"/>
              <w:rPr>
                <w:rFonts w:ascii="Times New Roman"/>
                <w:sz w:val="20"/>
              </w:rPr>
            </w:pPr>
          </w:p>
          <w:p>
            <w:pPr>
              <w:pStyle w:val="TableParagraph"/>
              <w:spacing w:line="300" w:lineRule="auto"/>
              <w:ind w:left="383" w:right="-15" w:hanging="1"/>
              <w:rPr>
                <w:sz w:val="21"/>
              </w:rPr>
            </w:pPr>
            <w:r>
              <w:rPr>
                <w:spacing w:val="-11"/>
                <w:sz w:val="21"/>
              </w:rPr>
              <w:t>初次投保或非连续投保本合同时，如果在本合同生效之日起 </w:t>
            </w:r>
            <w:r>
              <w:rPr>
                <w:sz w:val="21"/>
              </w:rPr>
              <w:t>90</w:t>
            </w:r>
            <w:r>
              <w:rPr>
                <w:spacing w:val="-11"/>
                <w:sz w:val="21"/>
              </w:rPr>
              <w:t> 日内， </w:t>
            </w:r>
            <w:r>
              <w:rPr>
                <w:spacing w:val="-7"/>
                <w:sz w:val="21"/>
              </w:rPr>
              <w:t>被保险人因</w:t>
            </w:r>
            <w:r>
              <w:rPr>
                <w:b/>
                <w:spacing w:val="-2"/>
                <w:sz w:val="21"/>
              </w:rPr>
              <w:t>意外伤害</w:t>
            </w:r>
            <w:r>
              <w:rPr>
                <w:spacing w:val="-3"/>
                <w:sz w:val="21"/>
              </w:rPr>
              <w:t>（</w:t>
            </w:r>
            <w:r>
              <w:rPr>
                <w:spacing w:val="-12"/>
                <w:sz w:val="21"/>
              </w:rPr>
              <w:t>见 </w:t>
            </w:r>
            <w:r>
              <w:rPr>
                <w:spacing w:val="-3"/>
                <w:sz w:val="21"/>
              </w:rPr>
              <w:t>7.1）</w:t>
            </w:r>
            <w:r>
              <w:rPr>
                <w:spacing w:val="-4"/>
                <w:sz w:val="21"/>
              </w:rPr>
              <w:t>之外的原因首次发病，并经</w:t>
            </w:r>
            <w:r>
              <w:rPr>
                <w:b/>
                <w:spacing w:val="-3"/>
                <w:sz w:val="21"/>
              </w:rPr>
              <w:t>医院</w:t>
            </w:r>
            <w:r>
              <w:rPr>
                <w:spacing w:val="-3"/>
                <w:sz w:val="21"/>
              </w:rPr>
              <w:t>（</w:t>
            </w:r>
            <w:r>
              <w:rPr>
                <w:sz w:val="21"/>
              </w:rPr>
              <w:t>见</w:t>
            </w:r>
          </w:p>
          <w:p>
            <w:pPr>
              <w:pStyle w:val="TableParagraph"/>
              <w:spacing w:line="300" w:lineRule="auto" w:before="15"/>
              <w:ind w:left="383" w:right="103"/>
              <w:jc w:val="both"/>
              <w:rPr>
                <w:sz w:val="21"/>
              </w:rPr>
            </w:pPr>
            <w:r>
              <w:rPr>
                <w:w w:val="100"/>
                <w:sz w:val="21"/>
              </w:rPr>
              <w:t>7.2</w:t>
            </w:r>
            <w:r>
              <w:rPr>
                <w:spacing w:val="-13"/>
                <w:w w:val="100"/>
                <w:sz w:val="21"/>
              </w:rPr>
              <w:t>）</w:t>
            </w:r>
            <w:r>
              <w:rPr>
                <w:spacing w:val="-3"/>
                <w:w w:val="100"/>
                <w:sz w:val="21"/>
              </w:rPr>
              <w:t>确诊初次发生本合同约定的一种或多种</w:t>
            </w:r>
            <w:r>
              <w:rPr>
                <w:b/>
                <w:spacing w:val="-3"/>
                <w:w w:val="100"/>
                <w:sz w:val="21"/>
              </w:rPr>
              <w:t>重大疾病</w:t>
            </w:r>
            <w:r>
              <w:rPr>
                <w:w w:val="100"/>
                <w:sz w:val="21"/>
              </w:rPr>
              <w:t>（见</w:t>
            </w:r>
            <w:r>
              <w:rPr>
                <w:spacing w:val="-53"/>
                <w:sz w:val="21"/>
              </w:rPr>
              <w:t> </w:t>
            </w:r>
            <w:r>
              <w:rPr>
                <w:spacing w:val="-3"/>
                <w:w w:val="100"/>
                <w:sz w:val="21"/>
              </w:rPr>
              <w:t>7</w:t>
            </w:r>
            <w:r>
              <w:rPr>
                <w:w w:val="100"/>
                <w:sz w:val="21"/>
              </w:rPr>
              <w:t>.3</w:t>
            </w:r>
            <w:r>
              <w:rPr>
                <w:spacing w:val="-106"/>
                <w:w w:val="100"/>
                <w:sz w:val="21"/>
              </w:rPr>
              <w:t>）</w:t>
            </w:r>
            <w:r>
              <w:rPr>
                <w:spacing w:val="-7"/>
                <w:w w:val="100"/>
                <w:sz w:val="21"/>
              </w:rPr>
              <w:t>，我</w:t>
            </w:r>
            <w:r>
              <w:rPr>
                <w:spacing w:val="-5"/>
                <w:sz w:val="21"/>
              </w:rPr>
              <w:t>们无息返还本合同所交保险费，本合同终止。</w:t>
            </w:r>
          </w:p>
          <w:p>
            <w:pPr>
              <w:pStyle w:val="TableParagraph"/>
              <w:spacing w:line="300" w:lineRule="auto" w:before="15"/>
              <w:ind w:left="383" w:right="101"/>
              <w:jc w:val="both"/>
              <w:rPr>
                <w:sz w:val="21"/>
              </w:rPr>
            </w:pPr>
            <w:r>
              <w:rPr>
                <w:spacing w:val="-5"/>
                <w:sz w:val="21"/>
              </w:rPr>
              <w:t>如果被保险人因意外伤害，或在本合同生效之日起 </w:t>
            </w:r>
            <w:r>
              <w:rPr>
                <w:sz w:val="21"/>
              </w:rPr>
              <w:t>90</w:t>
            </w:r>
            <w:r>
              <w:rPr>
                <w:spacing w:val="-9"/>
                <w:sz w:val="21"/>
              </w:rPr>
              <w:t> 日后</w:t>
            </w:r>
            <w:r>
              <w:rPr>
                <w:spacing w:val="-3"/>
                <w:sz w:val="21"/>
              </w:rPr>
              <w:t>（</w:t>
            </w:r>
            <w:r>
              <w:rPr>
                <w:spacing w:val="-2"/>
                <w:sz w:val="21"/>
              </w:rPr>
              <w:t>续保从</w:t>
            </w:r>
            <w:r>
              <w:rPr>
                <w:spacing w:val="-3"/>
                <w:sz w:val="21"/>
              </w:rPr>
              <w:t>续保生效日起</w:t>
            </w:r>
            <w:r>
              <w:rPr>
                <w:spacing w:val="-41"/>
                <w:sz w:val="21"/>
              </w:rPr>
              <w:t>）</w:t>
            </w:r>
            <w:r>
              <w:rPr>
                <w:spacing w:val="-6"/>
                <w:sz w:val="21"/>
              </w:rPr>
              <w:t>因意外伤害之外的原因首次发病，并经医院确诊初次</w:t>
            </w:r>
            <w:r>
              <w:rPr>
                <w:spacing w:val="-9"/>
                <w:sz w:val="21"/>
              </w:rPr>
              <w:t>发生本合同约定的一种或多种重大疾病，我们按本合同的保险金额给</w:t>
            </w:r>
            <w:r>
              <w:rPr>
                <w:spacing w:val="-3"/>
                <w:sz w:val="21"/>
              </w:rPr>
              <w:t>付重大疾病保险金,本合同终止。</w:t>
            </w:r>
          </w:p>
        </w:tc>
      </w:tr>
      <w:tr>
        <w:trPr>
          <w:trHeight w:val="2847" w:hRule="atLeast"/>
        </w:trPr>
        <w:tc>
          <w:tcPr>
            <w:tcW w:w="904" w:type="dxa"/>
          </w:tcPr>
          <w:p>
            <w:pPr>
              <w:pStyle w:val="TableParagraph"/>
              <w:spacing w:before="5"/>
              <w:rPr>
                <w:rFonts w:ascii="Times New Roman"/>
                <w:sz w:val="17"/>
              </w:rPr>
            </w:pPr>
          </w:p>
          <w:p>
            <w:pPr>
              <w:pStyle w:val="TableParagraph"/>
              <w:spacing w:before="1"/>
              <w:ind w:left="110"/>
              <w:rPr>
                <w:sz w:val="21"/>
              </w:rPr>
            </w:pPr>
            <w:r>
              <w:rPr>
                <w:sz w:val="21"/>
              </w:rPr>
              <w:t>2.4</w:t>
            </w:r>
          </w:p>
        </w:tc>
        <w:tc>
          <w:tcPr>
            <w:tcW w:w="1703" w:type="dxa"/>
          </w:tcPr>
          <w:p>
            <w:pPr>
              <w:pStyle w:val="TableParagraph"/>
              <w:spacing w:before="5"/>
              <w:rPr>
                <w:rFonts w:ascii="Times New Roman"/>
                <w:sz w:val="17"/>
              </w:rPr>
            </w:pPr>
          </w:p>
          <w:p>
            <w:pPr>
              <w:pStyle w:val="TableParagraph"/>
              <w:spacing w:before="1"/>
              <w:ind w:left="476"/>
              <w:rPr>
                <w:sz w:val="21"/>
              </w:rPr>
            </w:pPr>
            <w:r>
              <w:rPr>
                <w:sz w:val="21"/>
              </w:rPr>
              <w:t>责任免除</w:t>
            </w:r>
          </w:p>
        </w:tc>
        <w:tc>
          <w:tcPr>
            <w:tcW w:w="6715" w:type="dxa"/>
          </w:tcPr>
          <w:p>
            <w:pPr>
              <w:pStyle w:val="TableParagraph"/>
              <w:spacing w:before="5"/>
              <w:rPr>
                <w:rFonts w:ascii="Times New Roman"/>
                <w:sz w:val="20"/>
              </w:rPr>
            </w:pPr>
          </w:p>
          <w:p>
            <w:pPr>
              <w:pStyle w:val="TableParagraph"/>
              <w:spacing w:line="290" w:lineRule="auto"/>
              <w:ind w:left="383" w:right="100"/>
              <w:rPr>
                <w:rFonts w:ascii="黑体" w:eastAsia="黑体" w:hint="eastAsia"/>
                <w:sz w:val="21"/>
              </w:rPr>
            </w:pPr>
            <w:r>
              <w:rPr>
                <w:rFonts w:ascii="黑体" w:eastAsia="黑体" w:hint="eastAsia"/>
                <w:spacing w:val="-8"/>
                <w:sz w:val="21"/>
              </w:rPr>
              <w:t>因下列情形之一，导致被保险人发</w:t>
            </w:r>
            <w:r>
              <w:rPr>
                <w:rFonts w:ascii="黑体" w:eastAsia="黑体" w:hint="eastAsia"/>
                <w:sz w:val="21"/>
              </w:rPr>
              <w:t>Th</w:t>
            </w:r>
            <w:r>
              <w:rPr>
                <w:rFonts w:ascii="黑体" w:eastAsia="黑体" w:hint="eastAsia"/>
                <w:spacing w:val="-7"/>
                <w:sz w:val="21"/>
              </w:rPr>
              <w:t>疾病、达到疾病状态或进行手术</w:t>
            </w:r>
            <w:r>
              <w:rPr>
                <w:rFonts w:ascii="黑体" w:eastAsia="黑体" w:hint="eastAsia"/>
                <w:spacing w:val="-5"/>
                <w:sz w:val="21"/>
              </w:rPr>
              <w:t>的，我们不承担保险责任：</w:t>
            </w:r>
          </w:p>
          <w:p>
            <w:pPr>
              <w:pStyle w:val="TableParagraph"/>
              <w:spacing w:before="14"/>
              <w:ind w:left="383"/>
              <w:rPr>
                <w:rFonts w:ascii="黑体" w:eastAsia="黑体" w:hint="eastAsia"/>
                <w:sz w:val="21"/>
              </w:rPr>
            </w:pPr>
            <w:r>
              <w:rPr>
                <w:rFonts w:ascii="黑体" w:eastAsia="黑体" w:hint="eastAsia"/>
                <w:sz w:val="21"/>
              </w:rPr>
              <w:t>一、投保人对被保险人的故意杀害、故意伤害；</w:t>
            </w:r>
          </w:p>
          <w:p>
            <w:pPr>
              <w:pStyle w:val="TableParagraph"/>
              <w:spacing w:line="292" w:lineRule="auto" w:before="58"/>
              <w:ind w:left="383" w:right="25"/>
              <w:rPr>
                <w:rFonts w:ascii="黑体" w:eastAsia="黑体" w:hint="eastAsia"/>
                <w:sz w:val="21"/>
              </w:rPr>
            </w:pPr>
            <w:r>
              <w:rPr>
                <w:rFonts w:ascii="黑体" w:eastAsia="黑体" w:hint="eastAsia"/>
                <w:sz w:val="21"/>
              </w:rPr>
              <w:t>二、被保险人故意自伤、故意犯罪或抗拒依法采取的刑事强制措施； 三、被保险人服用、吸食或注射毒品；</w:t>
            </w:r>
          </w:p>
          <w:p>
            <w:pPr>
              <w:pStyle w:val="TableParagraph"/>
              <w:spacing w:line="290" w:lineRule="auto" w:before="12"/>
              <w:ind w:left="383" w:right="103"/>
              <w:rPr>
                <w:rFonts w:ascii="黑体" w:eastAsia="黑体" w:hint="eastAsia"/>
                <w:sz w:val="21"/>
              </w:rPr>
            </w:pPr>
            <w:r>
              <w:rPr>
                <w:rFonts w:ascii="黑体" w:eastAsia="黑体" w:hint="eastAsia"/>
                <w:spacing w:val="-10"/>
                <w:sz w:val="21"/>
              </w:rPr>
              <w:t>四、被保险人酒后驾驶、无合法有效驾驶证驾驶，或驾驶无有效行驶</w:t>
            </w:r>
            <w:r>
              <w:rPr>
                <w:rFonts w:ascii="黑体" w:eastAsia="黑体" w:hint="eastAsia"/>
                <w:spacing w:val="-5"/>
                <w:sz w:val="21"/>
              </w:rPr>
              <w:t>证的机动车；</w:t>
            </w:r>
          </w:p>
          <w:p>
            <w:pPr>
              <w:pStyle w:val="TableParagraph"/>
              <w:spacing w:line="255" w:lineRule="exact" w:before="14"/>
              <w:ind w:left="383"/>
              <w:rPr>
                <w:rFonts w:ascii="黑体" w:eastAsia="黑体" w:hint="eastAsia"/>
                <w:b/>
                <w:sz w:val="21"/>
              </w:rPr>
            </w:pPr>
            <w:r>
              <w:rPr>
                <w:rFonts w:ascii="黑体" w:eastAsia="黑体" w:hint="eastAsia"/>
                <w:spacing w:val="-2"/>
                <w:w w:val="100"/>
                <w:sz w:val="21"/>
              </w:rPr>
              <w:t>五、被保险人患</w:t>
            </w:r>
            <w:r>
              <w:rPr>
                <w:rFonts w:ascii="黑体" w:eastAsia="黑体" w:hint="eastAsia"/>
                <w:b/>
                <w:w w:val="100"/>
                <w:sz w:val="21"/>
              </w:rPr>
              <w:t>艾滋病（</w:t>
            </w:r>
            <w:r>
              <w:rPr>
                <w:rFonts w:ascii="黑体" w:eastAsia="黑体" w:hint="eastAsia"/>
                <w:b/>
                <w:w w:val="99"/>
                <w:sz w:val="21"/>
              </w:rPr>
              <w:t>AID</w:t>
            </w:r>
            <w:r>
              <w:rPr>
                <w:rFonts w:ascii="黑体" w:eastAsia="黑体" w:hint="eastAsia"/>
                <w:b/>
                <w:spacing w:val="1"/>
                <w:w w:val="99"/>
                <w:sz w:val="21"/>
              </w:rPr>
              <w:t>S</w:t>
            </w:r>
            <w:r>
              <w:rPr>
                <w:rFonts w:ascii="黑体" w:eastAsia="黑体" w:hint="eastAsia"/>
                <w:b/>
                <w:spacing w:val="-106"/>
                <w:w w:val="100"/>
                <w:sz w:val="21"/>
              </w:rPr>
              <w:t>）</w:t>
            </w:r>
            <w:r>
              <w:rPr>
                <w:rFonts w:ascii="黑体" w:eastAsia="黑体" w:hint="eastAsia"/>
                <w:w w:val="100"/>
                <w:sz w:val="21"/>
              </w:rPr>
              <w:t>（见</w:t>
            </w:r>
            <w:r>
              <w:rPr>
                <w:rFonts w:ascii="黑体" w:eastAsia="黑体" w:hint="eastAsia"/>
                <w:sz w:val="21"/>
              </w:rPr>
              <w:t> </w:t>
            </w:r>
            <w:r>
              <w:rPr>
                <w:rFonts w:ascii="黑体" w:eastAsia="黑体" w:hint="eastAsia"/>
                <w:spacing w:val="-3"/>
                <w:w w:val="100"/>
                <w:sz w:val="21"/>
              </w:rPr>
              <w:t>7.</w:t>
            </w:r>
            <w:r>
              <w:rPr>
                <w:rFonts w:ascii="黑体" w:eastAsia="黑体" w:hint="eastAsia"/>
                <w:spacing w:val="1"/>
                <w:w w:val="100"/>
                <w:sz w:val="21"/>
              </w:rPr>
              <w:t>4</w:t>
            </w:r>
            <w:r>
              <w:rPr>
                <w:rFonts w:ascii="黑体" w:eastAsia="黑体" w:hint="eastAsia"/>
                <w:w w:val="100"/>
                <w:sz w:val="21"/>
              </w:rPr>
              <w:t>）</w:t>
            </w:r>
            <w:r>
              <w:rPr>
                <w:rFonts w:ascii="黑体" w:eastAsia="黑体" w:hint="eastAsia"/>
                <w:spacing w:val="-3"/>
                <w:w w:val="100"/>
                <w:sz w:val="21"/>
              </w:rPr>
              <w:t>或感染</w:t>
            </w:r>
            <w:r>
              <w:rPr>
                <w:rFonts w:ascii="黑体" w:eastAsia="黑体" w:hint="eastAsia"/>
                <w:b/>
                <w:w w:val="100"/>
                <w:sz w:val="21"/>
              </w:rPr>
              <w:t>艾滋病病毒（</w:t>
            </w:r>
            <w:r>
              <w:rPr>
                <w:rFonts w:ascii="黑体" w:eastAsia="黑体" w:hint="eastAsia"/>
                <w:b/>
                <w:w w:val="99"/>
                <w:sz w:val="21"/>
              </w:rPr>
              <w:t>H</w:t>
            </w:r>
            <w:r>
              <w:rPr>
                <w:rFonts w:ascii="黑体" w:eastAsia="黑体" w:hint="eastAsia"/>
                <w:b/>
                <w:spacing w:val="1"/>
                <w:w w:val="99"/>
                <w:sz w:val="21"/>
              </w:rPr>
              <w:t>I</w:t>
            </w:r>
            <w:r>
              <w:rPr>
                <w:rFonts w:ascii="黑体" w:eastAsia="黑体" w:hint="eastAsia"/>
                <w:b/>
                <w:w w:val="99"/>
                <w:sz w:val="21"/>
              </w:rPr>
              <w:t>V</w:t>
            </w:r>
            <w:r>
              <w:rPr>
                <w:rFonts w:ascii="黑体" w:eastAsia="黑体" w:hint="eastAsia"/>
                <w:b/>
                <w:w w:val="100"/>
                <w:sz w:val="21"/>
              </w:rPr>
              <w:t>）</w:t>
            </w:r>
          </w:p>
        </w:tc>
      </w:tr>
    </w:tbl>
    <w:p>
      <w:pPr>
        <w:spacing w:after="0" w:line="255" w:lineRule="exact"/>
        <w:rPr>
          <w:rFonts w:ascii="黑体" w:eastAsia="黑体" w:hint="eastAsia"/>
          <w:sz w:val="21"/>
        </w:rPr>
        <w:sectPr>
          <w:pgSz w:w="11910" w:h="16840"/>
          <w:pgMar w:header="0" w:footer="921" w:top="1580" w:bottom="1120" w:left="1180" w:right="11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913"/>
        <w:gridCol w:w="6505"/>
      </w:tblGrid>
      <w:tr>
        <w:trPr>
          <w:trHeight w:val="2663" w:hRule="atLeast"/>
        </w:trPr>
        <w:tc>
          <w:tcPr>
            <w:tcW w:w="904" w:type="dxa"/>
          </w:tcPr>
          <w:p>
            <w:pPr>
              <w:pStyle w:val="TableParagraph"/>
              <w:rPr>
                <w:rFonts w:ascii="Times New Roman"/>
                <w:sz w:val="20"/>
              </w:rPr>
            </w:pPr>
          </w:p>
        </w:tc>
        <w:tc>
          <w:tcPr>
            <w:tcW w:w="1913" w:type="dxa"/>
          </w:tcPr>
          <w:p>
            <w:pPr>
              <w:pStyle w:val="TableParagraph"/>
              <w:rPr>
                <w:rFonts w:ascii="Times New Roman"/>
                <w:sz w:val="20"/>
              </w:rPr>
            </w:pPr>
          </w:p>
        </w:tc>
        <w:tc>
          <w:tcPr>
            <w:tcW w:w="6505" w:type="dxa"/>
          </w:tcPr>
          <w:p>
            <w:pPr>
              <w:pStyle w:val="TableParagraph"/>
              <w:spacing w:line="209" w:lineRule="exact"/>
              <w:ind w:left="173"/>
              <w:rPr>
                <w:rFonts w:ascii="黑体" w:hAnsi="黑体" w:eastAsia="黑体" w:hint="eastAsia"/>
                <w:sz w:val="21"/>
              </w:rPr>
            </w:pPr>
            <w:r>
              <w:rPr>
                <w:rFonts w:ascii="黑体" w:hAnsi="黑体" w:eastAsia="黑体" w:hint="eastAsia"/>
                <w:sz w:val="21"/>
              </w:rPr>
              <w:t>（见 7.5）但符合本合同“经输血导致的人类免疫缺陷病毒感染”定</w:t>
            </w:r>
          </w:p>
          <w:p>
            <w:pPr>
              <w:pStyle w:val="TableParagraph"/>
              <w:spacing w:before="61"/>
              <w:ind w:left="173"/>
              <w:rPr>
                <w:rFonts w:ascii="黑体" w:eastAsia="黑体" w:hint="eastAsia"/>
                <w:sz w:val="21"/>
              </w:rPr>
            </w:pPr>
            <w:r>
              <w:rPr>
                <w:rFonts w:ascii="黑体" w:eastAsia="黑体" w:hint="eastAsia"/>
                <w:sz w:val="21"/>
              </w:rPr>
              <w:t>义的不在此限；</w:t>
            </w:r>
          </w:p>
          <w:p>
            <w:pPr>
              <w:pStyle w:val="TableParagraph"/>
              <w:spacing w:line="290" w:lineRule="auto" w:before="58"/>
              <w:ind w:left="173" w:right="2544"/>
              <w:rPr>
                <w:rFonts w:ascii="黑体" w:eastAsia="黑体" w:hint="eastAsia"/>
                <w:sz w:val="21"/>
              </w:rPr>
            </w:pPr>
            <w:r>
              <w:rPr>
                <w:rFonts w:ascii="黑体" w:eastAsia="黑体" w:hint="eastAsia"/>
                <w:sz w:val="21"/>
              </w:rPr>
              <w:t>六、战争、军事冲突、暴乱或武装叛乱； 七、核爆炸、核辐射或核污染；</w:t>
            </w:r>
          </w:p>
          <w:p>
            <w:pPr>
              <w:pStyle w:val="TableParagraph"/>
              <w:spacing w:line="292" w:lineRule="auto" w:before="14"/>
              <w:ind w:left="173" w:right="100" w:hanging="1"/>
              <w:jc w:val="both"/>
              <w:rPr>
                <w:rFonts w:ascii="黑体" w:eastAsia="黑体" w:hint="eastAsia"/>
                <w:sz w:val="21"/>
              </w:rPr>
            </w:pPr>
            <w:r>
              <w:rPr>
                <w:rFonts w:ascii="黑体" w:eastAsia="黑体" w:hint="eastAsia"/>
                <w:spacing w:val="-32"/>
                <w:w w:val="100"/>
                <w:sz w:val="21"/>
              </w:rPr>
              <w:t>八、</w:t>
            </w:r>
            <w:r>
              <w:rPr>
                <w:rFonts w:ascii="黑体" w:eastAsia="黑体" w:hint="eastAsia"/>
                <w:b/>
                <w:spacing w:val="-12"/>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spacing w:val="1"/>
                <w:w w:val="100"/>
                <w:sz w:val="21"/>
              </w:rPr>
              <w:t>6</w:t>
            </w:r>
            <w:r>
              <w:rPr>
                <w:rFonts w:ascii="黑体" w:eastAsia="黑体" w:hint="eastAsia"/>
                <w:spacing w:val="-108"/>
                <w:w w:val="100"/>
                <w:sz w:val="21"/>
              </w:rPr>
              <w:t>）</w:t>
            </w:r>
            <w:r>
              <w:rPr>
                <w:rFonts w:ascii="黑体" w:eastAsia="黑体" w:hint="eastAsia"/>
                <w:spacing w:val="-63"/>
                <w:w w:val="100"/>
                <w:sz w:val="21"/>
              </w:rPr>
              <w:t>，</w:t>
            </w:r>
            <w:r>
              <w:rPr>
                <w:rFonts w:ascii="黑体" w:eastAsia="黑体" w:hint="eastAsia"/>
                <w:b/>
                <w:spacing w:val="-12"/>
                <w:w w:val="100"/>
                <w:sz w:val="21"/>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z w:val="21"/>
              </w:rPr>
              <w:t>发Th</w:t>
            </w:r>
            <w:r>
              <w:rPr>
                <w:rFonts w:ascii="黑体" w:eastAsia="黑体" w:hint="eastAsia"/>
                <w:spacing w:val="-3"/>
                <w:sz w:val="21"/>
              </w:rPr>
              <w:t>上述情形之一导致被保险人发</w:t>
            </w:r>
            <w:r>
              <w:rPr>
                <w:rFonts w:ascii="黑体" w:eastAsia="黑体" w:hint="eastAsia"/>
                <w:sz w:val="21"/>
              </w:rPr>
              <w:t>Th</w:t>
            </w:r>
            <w:r>
              <w:rPr>
                <w:rFonts w:ascii="黑体" w:eastAsia="黑体" w:hint="eastAsia"/>
                <w:spacing w:val="-11"/>
                <w:sz w:val="21"/>
              </w:rPr>
              <w:t>重大疾病时，本合同终止，我们</w:t>
            </w:r>
            <w:r>
              <w:rPr>
                <w:rFonts w:ascii="黑体" w:eastAsia="黑体" w:hint="eastAsia"/>
                <w:spacing w:val="-6"/>
                <w:w w:val="100"/>
                <w:sz w:val="21"/>
              </w:rPr>
              <w:t>退还本合同终止之日的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8</w:t>
            </w:r>
            <w:r>
              <w:rPr>
                <w:rFonts w:ascii="黑体" w:eastAsia="黑体" w:hint="eastAsia"/>
                <w:spacing w:val="-106"/>
                <w:w w:val="100"/>
                <w:sz w:val="21"/>
              </w:rPr>
              <w:t>）。</w:t>
            </w:r>
          </w:p>
        </w:tc>
      </w:tr>
      <w:tr>
        <w:trPr>
          <w:trHeight w:val="446" w:hRule="atLeast"/>
        </w:trPr>
        <w:tc>
          <w:tcPr>
            <w:tcW w:w="904" w:type="dxa"/>
            <w:shd w:val="clear" w:color="auto" w:fill="C1C1C1"/>
          </w:tcPr>
          <w:p>
            <w:pPr>
              <w:pStyle w:val="TableParagraph"/>
              <w:spacing w:before="41"/>
              <w:ind w:left="110"/>
              <w:rPr>
                <w:rFonts w:ascii="Wingdings" w:hAnsi="Wingdings"/>
                <w:sz w:val="32"/>
              </w:rPr>
            </w:pPr>
            <w:r>
              <w:rPr>
                <w:rFonts w:ascii="Wingdings" w:hAnsi="Wingdings"/>
                <w:w w:val="99"/>
                <w:sz w:val="32"/>
              </w:rPr>
              <w:t></w:t>
            </w:r>
          </w:p>
        </w:tc>
        <w:tc>
          <w:tcPr>
            <w:tcW w:w="1913" w:type="dxa"/>
            <w:shd w:val="clear" w:color="auto" w:fill="C1C1C1"/>
          </w:tcPr>
          <w:p>
            <w:pPr>
              <w:pStyle w:val="TableParagraph"/>
              <w:spacing w:before="52"/>
              <w:ind w:left="475"/>
              <w:rPr>
                <w:b/>
                <w:sz w:val="21"/>
              </w:rPr>
            </w:pPr>
            <w:r>
              <w:rPr>
                <w:b/>
                <w:sz w:val="21"/>
              </w:rPr>
              <w:t>您的义务</w:t>
            </w:r>
          </w:p>
        </w:tc>
        <w:tc>
          <w:tcPr>
            <w:tcW w:w="6505" w:type="dxa"/>
            <w:shd w:val="clear" w:color="auto" w:fill="C1C1C1"/>
          </w:tcPr>
          <w:p>
            <w:pPr>
              <w:pStyle w:val="TableParagraph"/>
              <w:rPr>
                <w:rFonts w:ascii="Times New Roman"/>
                <w:sz w:val="20"/>
              </w:rPr>
            </w:pPr>
          </w:p>
        </w:tc>
      </w:tr>
      <w:tr>
        <w:trPr>
          <w:trHeight w:val="575" w:hRule="atLeast"/>
        </w:trPr>
        <w:tc>
          <w:tcPr>
            <w:tcW w:w="904" w:type="dxa"/>
          </w:tcPr>
          <w:p>
            <w:pPr>
              <w:pStyle w:val="TableParagraph"/>
              <w:spacing w:before="45"/>
              <w:ind w:left="110"/>
              <w:rPr>
                <w:sz w:val="21"/>
              </w:rPr>
            </w:pPr>
            <w:r>
              <w:rPr>
                <w:sz w:val="21"/>
              </w:rPr>
              <w:t>3.1</w:t>
            </w:r>
          </w:p>
        </w:tc>
        <w:tc>
          <w:tcPr>
            <w:tcW w:w="1913" w:type="dxa"/>
          </w:tcPr>
          <w:p>
            <w:pPr>
              <w:pStyle w:val="TableParagraph"/>
              <w:spacing w:before="45"/>
              <w:ind w:left="476"/>
              <w:rPr>
                <w:sz w:val="21"/>
              </w:rPr>
            </w:pPr>
            <w:r>
              <w:rPr>
                <w:sz w:val="21"/>
              </w:rPr>
              <w:t>保险费的交纳</w:t>
            </w:r>
          </w:p>
        </w:tc>
        <w:tc>
          <w:tcPr>
            <w:tcW w:w="6505" w:type="dxa"/>
          </w:tcPr>
          <w:p>
            <w:pPr>
              <w:pStyle w:val="TableParagraph"/>
              <w:spacing w:before="45"/>
              <w:ind w:left="173"/>
              <w:rPr>
                <w:sz w:val="21"/>
              </w:rPr>
            </w:pPr>
            <w:r>
              <w:rPr>
                <w:sz w:val="21"/>
              </w:rPr>
              <w:t>本合同的保险费须一次性交清。</w:t>
            </w:r>
          </w:p>
        </w:tc>
      </w:tr>
      <w:tr>
        <w:trPr>
          <w:trHeight w:val="2298" w:hRule="atLeast"/>
        </w:trPr>
        <w:tc>
          <w:tcPr>
            <w:tcW w:w="904" w:type="dxa"/>
          </w:tcPr>
          <w:p>
            <w:pPr>
              <w:pStyle w:val="TableParagraph"/>
              <w:spacing w:before="6"/>
              <w:rPr>
                <w:rFonts w:ascii="Times New Roman"/>
                <w:sz w:val="17"/>
              </w:rPr>
            </w:pPr>
          </w:p>
          <w:p>
            <w:pPr>
              <w:pStyle w:val="TableParagraph"/>
              <w:ind w:left="110"/>
              <w:rPr>
                <w:sz w:val="21"/>
              </w:rPr>
            </w:pPr>
            <w:r>
              <w:rPr>
                <w:sz w:val="21"/>
              </w:rPr>
              <w:t>3.2</w:t>
            </w:r>
          </w:p>
        </w:tc>
        <w:tc>
          <w:tcPr>
            <w:tcW w:w="1913" w:type="dxa"/>
          </w:tcPr>
          <w:p>
            <w:pPr>
              <w:pStyle w:val="TableParagraph"/>
              <w:spacing w:before="3"/>
              <w:rPr>
                <w:rFonts w:ascii="Times New Roman"/>
                <w:sz w:val="16"/>
              </w:rPr>
            </w:pPr>
          </w:p>
          <w:p>
            <w:pPr>
              <w:pStyle w:val="TableParagraph"/>
              <w:spacing w:line="273" w:lineRule="auto"/>
              <w:ind w:left="476" w:right="172"/>
              <w:rPr>
                <w:sz w:val="21"/>
              </w:rPr>
            </w:pPr>
            <w:r>
              <w:rPr>
                <w:sz w:val="21"/>
              </w:rPr>
              <w:t>保险费率的调整</w:t>
            </w:r>
          </w:p>
        </w:tc>
        <w:tc>
          <w:tcPr>
            <w:tcW w:w="6505" w:type="dxa"/>
          </w:tcPr>
          <w:p>
            <w:pPr>
              <w:pStyle w:val="TableParagraph"/>
              <w:spacing w:before="3"/>
              <w:rPr>
                <w:rFonts w:ascii="Times New Roman"/>
                <w:sz w:val="16"/>
              </w:rPr>
            </w:pPr>
          </w:p>
          <w:p>
            <w:pPr>
              <w:pStyle w:val="TableParagraph"/>
              <w:ind w:left="173"/>
              <w:rPr>
                <w:sz w:val="21"/>
              </w:rPr>
            </w:pPr>
            <w:r>
              <w:rPr>
                <w:sz w:val="21"/>
              </w:rPr>
              <w:t>我们保留提高或降低保险费率的权利。</w:t>
            </w:r>
          </w:p>
          <w:p>
            <w:pPr>
              <w:pStyle w:val="TableParagraph"/>
              <w:spacing w:line="273" w:lineRule="auto" w:before="37"/>
              <w:ind w:left="173" w:right="100"/>
              <w:jc w:val="both"/>
              <w:rPr>
                <w:sz w:val="21"/>
              </w:rPr>
            </w:pPr>
            <w:r>
              <w:rPr>
                <w:spacing w:val="-8"/>
                <w:sz w:val="21"/>
              </w:rPr>
              <w:t>我们将根据整体风险状况的变化，决定保险费率是否调整，调整后向</w:t>
            </w:r>
            <w:r>
              <w:rPr>
                <w:spacing w:val="-12"/>
                <w:sz w:val="21"/>
              </w:rPr>
              <w:t>保险监督管理机构备案。本合同的费率调整将针对同一类别的所有被</w:t>
            </w:r>
            <w:r>
              <w:rPr>
                <w:spacing w:val="-7"/>
                <w:sz w:val="21"/>
              </w:rPr>
              <w:t>保险人。</w:t>
            </w:r>
          </w:p>
          <w:p>
            <w:pPr>
              <w:pStyle w:val="TableParagraph"/>
              <w:spacing w:line="273" w:lineRule="auto" w:before="8"/>
              <w:ind w:left="173" w:right="100"/>
              <w:jc w:val="both"/>
              <w:rPr>
                <w:sz w:val="21"/>
              </w:rPr>
            </w:pPr>
            <w:r>
              <w:rPr>
                <w:spacing w:val="-8"/>
                <w:sz w:val="21"/>
              </w:rPr>
              <w:t>我们进行保险费率调整后，您应按调整后的保险费率交纳保险费，保</w:t>
            </w:r>
            <w:r>
              <w:rPr>
                <w:spacing w:val="-5"/>
                <w:sz w:val="21"/>
              </w:rPr>
              <w:t>险费率调整前您已交纳的保险费不受影响。</w:t>
            </w:r>
          </w:p>
        </w:tc>
      </w:tr>
      <w:tr>
        <w:trPr>
          <w:trHeight w:val="4714" w:hRule="atLeast"/>
        </w:trPr>
        <w:tc>
          <w:tcPr>
            <w:tcW w:w="904" w:type="dxa"/>
          </w:tcPr>
          <w:p>
            <w:pPr>
              <w:pStyle w:val="TableParagraph"/>
              <w:spacing w:before="1"/>
              <w:rPr>
                <w:rFonts w:ascii="Times New Roman"/>
                <w:sz w:val="18"/>
              </w:rPr>
            </w:pPr>
          </w:p>
          <w:p>
            <w:pPr>
              <w:pStyle w:val="TableParagraph"/>
              <w:ind w:left="110"/>
              <w:rPr>
                <w:sz w:val="21"/>
              </w:rPr>
            </w:pPr>
            <w:r>
              <w:rPr>
                <w:sz w:val="21"/>
              </w:rPr>
              <w:t>3.3</w:t>
            </w:r>
          </w:p>
        </w:tc>
        <w:tc>
          <w:tcPr>
            <w:tcW w:w="1913" w:type="dxa"/>
          </w:tcPr>
          <w:p>
            <w:pPr>
              <w:pStyle w:val="TableParagraph"/>
              <w:spacing w:before="1"/>
              <w:rPr>
                <w:rFonts w:ascii="Times New Roman"/>
                <w:sz w:val="18"/>
              </w:rPr>
            </w:pPr>
          </w:p>
          <w:p>
            <w:pPr>
              <w:pStyle w:val="TableParagraph"/>
              <w:ind w:left="476"/>
              <w:rPr>
                <w:sz w:val="21"/>
              </w:rPr>
            </w:pPr>
            <w:r>
              <w:rPr>
                <w:sz w:val="21"/>
              </w:rPr>
              <w:t>如实告知</w:t>
            </w:r>
          </w:p>
        </w:tc>
        <w:tc>
          <w:tcPr>
            <w:tcW w:w="6505" w:type="dxa"/>
          </w:tcPr>
          <w:p>
            <w:pPr>
              <w:pStyle w:val="TableParagraph"/>
              <w:spacing w:before="1"/>
              <w:rPr>
                <w:rFonts w:ascii="Times New Roman"/>
                <w:sz w:val="18"/>
              </w:rPr>
            </w:pPr>
          </w:p>
          <w:p>
            <w:pPr>
              <w:pStyle w:val="TableParagraph"/>
              <w:spacing w:line="300" w:lineRule="auto"/>
              <w:ind w:left="173" w:right="100"/>
              <w:jc w:val="both"/>
              <w:rPr>
                <w:sz w:val="21"/>
              </w:rPr>
            </w:pPr>
            <w:r>
              <w:rPr>
                <w:spacing w:val="-10"/>
                <w:sz w:val="21"/>
              </w:rPr>
              <w:t>在订立本合同时，我们会向您说明本合同的条款内容，特别是责任免</w:t>
            </w:r>
            <w:r>
              <w:rPr>
                <w:spacing w:val="-11"/>
                <w:sz w:val="21"/>
              </w:rPr>
              <w:t>除条款。我们会就您和被保险人的有关情况提出书面询问，您应当如</w:t>
            </w:r>
            <w:r>
              <w:rPr>
                <w:spacing w:val="-7"/>
                <w:sz w:val="21"/>
              </w:rPr>
              <w:t>实告知。</w:t>
            </w:r>
          </w:p>
          <w:p>
            <w:pPr>
              <w:pStyle w:val="TableParagraph"/>
              <w:spacing w:line="300" w:lineRule="auto" w:before="15"/>
              <w:ind w:left="173" w:right="100"/>
              <w:rPr>
                <w:sz w:val="21"/>
              </w:rPr>
            </w:pPr>
            <w:r>
              <w:rPr>
                <w:spacing w:val="-6"/>
                <w:sz w:val="21"/>
              </w:rPr>
              <w:t>您故意或者因重大过失未履行前款规定的如实告知义务，足以影响我</w:t>
            </w:r>
            <w:r>
              <w:rPr>
                <w:spacing w:val="-4"/>
                <w:sz w:val="21"/>
              </w:rPr>
              <w:t>们决定是否同意承保或者提高保险费率的，我们有权解除本合同。</w:t>
            </w:r>
            <w:r>
              <w:rPr>
                <w:spacing w:val="-9"/>
                <w:sz w:val="21"/>
              </w:rPr>
              <w:t>前款规定的合同解除权，自我们知道有解除事由之日起，超过三十日</w:t>
            </w:r>
            <w:r>
              <w:rPr>
                <w:spacing w:val="-5"/>
                <w:sz w:val="21"/>
              </w:rPr>
              <w:t>不行使而消灭。</w:t>
            </w:r>
          </w:p>
          <w:p>
            <w:pPr>
              <w:pStyle w:val="TableParagraph"/>
              <w:spacing w:line="300" w:lineRule="auto" w:before="15"/>
              <w:ind w:left="173" w:right="100"/>
              <w:jc w:val="both"/>
              <w:rPr>
                <w:sz w:val="21"/>
              </w:rPr>
            </w:pPr>
            <w:r>
              <w:rPr>
                <w:spacing w:val="-9"/>
                <w:sz w:val="21"/>
              </w:rPr>
              <w:t>您故意不履行如实告知义务的，我们对于本合同解除前发生的保险事</w:t>
            </w:r>
            <w:r>
              <w:rPr>
                <w:spacing w:val="-5"/>
                <w:sz w:val="21"/>
              </w:rPr>
              <w:t>故，不承担给付保险金的责任，并不退还保险费。</w:t>
            </w:r>
          </w:p>
          <w:p>
            <w:pPr>
              <w:pStyle w:val="TableParagraph"/>
              <w:spacing w:line="300" w:lineRule="auto" w:before="15"/>
              <w:ind w:left="173" w:right="100"/>
              <w:jc w:val="both"/>
              <w:rPr>
                <w:sz w:val="21"/>
              </w:rPr>
            </w:pPr>
            <w:r>
              <w:rPr>
                <w:sz w:val="21"/>
              </w:rPr>
              <w:t>您因重大过失未履行如实告知义务，对保险事故的发生有严重影响</w:t>
            </w:r>
            <w:r>
              <w:rPr>
                <w:spacing w:val="-10"/>
                <w:sz w:val="21"/>
              </w:rPr>
              <w:t>的，我们对于本合同解除前发生的保险事故，不承担给付保险金的责</w:t>
            </w:r>
            <w:r>
              <w:rPr>
                <w:spacing w:val="-6"/>
                <w:sz w:val="21"/>
              </w:rPr>
              <w:t>任，但退还保险费。</w:t>
            </w:r>
          </w:p>
        </w:tc>
      </w:tr>
      <w:tr>
        <w:trPr>
          <w:trHeight w:val="446" w:hRule="atLeast"/>
        </w:trPr>
        <w:tc>
          <w:tcPr>
            <w:tcW w:w="904" w:type="dxa"/>
            <w:shd w:val="clear" w:color="auto" w:fill="CDCDCD"/>
          </w:tcPr>
          <w:p>
            <w:pPr>
              <w:pStyle w:val="TableParagraph"/>
              <w:spacing w:before="41"/>
              <w:ind w:left="110"/>
              <w:rPr>
                <w:rFonts w:ascii="Wingdings" w:hAnsi="Wingdings"/>
                <w:sz w:val="32"/>
              </w:rPr>
            </w:pPr>
            <w:r>
              <w:rPr>
                <w:rFonts w:ascii="Wingdings" w:hAnsi="Wingdings"/>
                <w:w w:val="99"/>
                <w:sz w:val="32"/>
              </w:rPr>
              <w:t></w:t>
            </w:r>
          </w:p>
        </w:tc>
        <w:tc>
          <w:tcPr>
            <w:tcW w:w="8418" w:type="dxa"/>
            <w:gridSpan w:val="2"/>
            <w:shd w:val="clear" w:color="auto" w:fill="CDCDCD"/>
          </w:tcPr>
          <w:p>
            <w:pPr>
              <w:pStyle w:val="TableParagraph"/>
              <w:spacing w:before="50"/>
              <w:ind w:left="475"/>
              <w:rPr>
                <w:b/>
                <w:sz w:val="21"/>
              </w:rPr>
            </w:pPr>
            <w:r>
              <w:rPr>
                <w:b/>
                <w:sz w:val="21"/>
              </w:rPr>
              <w:t>您对本合同拥有的权利</w:t>
            </w:r>
          </w:p>
        </w:tc>
      </w:tr>
      <w:tr>
        <w:trPr>
          <w:trHeight w:val="2038" w:hRule="atLeast"/>
        </w:trPr>
        <w:tc>
          <w:tcPr>
            <w:tcW w:w="904" w:type="dxa"/>
          </w:tcPr>
          <w:p>
            <w:pPr>
              <w:pStyle w:val="TableParagraph"/>
              <w:spacing w:before="45"/>
              <w:ind w:left="110"/>
              <w:rPr>
                <w:sz w:val="21"/>
              </w:rPr>
            </w:pPr>
            <w:r>
              <w:rPr>
                <w:sz w:val="21"/>
              </w:rPr>
              <w:t>4.1</w:t>
            </w:r>
          </w:p>
        </w:tc>
        <w:tc>
          <w:tcPr>
            <w:tcW w:w="1913" w:type="dxa"/>
          </w:tcPr>
          <w:p>
            <w:pPr>
              <w:pStyle w:val="TableParagraph"/>
              <w:spacing w:before="45"/>
              <w:ind w:left="476"/>
              <w:rPr>
                <w:sz w:val="21"/>
              </w:rPr>
            </w:pPr>
            <w:r>
              <w:rPr>
                <w:sz w:val="21"/>
              </w:rPr>
              <w:t>续保</w:t>
            </w:r>
          </w:p>
        </w:tc>
        <w:tc>
          <w:tcPr>
            <w:tcW w:w="6505" w:type="dxa"/>
          </w:tcPr>
          <w:p>
            <w:pPr>
              <w:pStyle w:val="TableParagraph"/>
              <w:spacing w:line="300" w:lineRule="auto" w:before="45"/>
              <w:ind w:left="183" w:right="101"/>
              <w:jc w:val="both"/>
              <w:rPr>
                <w:sz w:val="21"/>
              </w:rPr>
            </w:pPr>
            <w:r>
              <w:rPr>
                <w:sz w:val="21"/>
              </w:rPr>
              <w:t>如果您续保本合同，需在本合同保险期间届满前向我们提出续保申</w:t>
            </w:r>
            <w:r>
              <w:rPr>
                <w:spacing w:val="-11"/>
                <w:sz w:val="21"/>
              </w:rPr>
              <w:t>请，经我们审核同意后，您应于保险期间届满前，按续保时约定的费</w:t>
            </w:r>
            <w:r>
              <w:rPr>
                <w:spacing w:val="-13"/>
                <w:sz w:val="21"/>
              </w:rPr>
              <w:t>率向我们支付保险费，本合同自保险期间届满次日零时起作为新合同</w:t>
            </w:r>
            <w:r>
              <w:rPr>
                <w:spacing w:val="-6"/>
                <w:sz w:val="21"/>
              </w:rPr>
              <w:t>生效，合同有效期为一年。</w:t>
            </w:r>
          </w:p>
          <w:p>
            <w:pPr>
              <w:pStyle w:val="TableParagraph"/>
              <w:spacing w:before="15"/>
              <w:ind w:left="183"/>
              <w:jc w:val="both"/>
              <w:rPr>
                <w:sz w:val="21"/>
              </w:rPr>
            </w:pPr>
            <w:r>
              <w:rPr>
                <w:sz w:val="21"/>
              </w:rPr>
              <w:t>续保本合同时，我们有权调整本合同的费率，但须经保险监督管理机</w:t>
            </w:r>
          </w:p>
          <w:p>
            <w:pPr>
              <w:pStyle w:val="TableParagraph"/>
              <w:spacing w:line="257" w:lineRule="exact" w:before="67"/>
              <w:ind w:left="183"/>
              <w:jc w:val="both"/>
              <w:rPr>
                <w:sz w:val="21"/>
              </w:rPr>
            </w:pPr>
            <w:r>
              <w:rPr>
                <w:sz w:val="21"/>
              </w:rPr>
              <w:t>构备案。</w:t>
            </w:r>
          </w:p>
        </w:tc>
      </w:tr>
    </w:tbl>
    <w:p>
      <w:pPr>
        <w:spacing w:after="0" w:line="257" w:lineRule="exact"/>
        <w:jc w:val="both"/>
        <w:rPr>
          <w:sz w:val="21"/>
        </w:rPr>
        <w:sectPr>
          <w:pgSz w:w="11910" w:h="16840"/>
          <w:pgMar w:header="0" w:footer="921" w:top="1480" w:bottom="1120" w:left="1180" w:right="11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993"/>
        <w:gridCol w:w="6424"/>
      </w:tblGrid>
      <w:tr>
        <w:trPr>
          <w:trHeight w:val="2210" w:hRule="atLeast"/>
        </w:trPr>
        <w:tc>
          <w:tcPr>
            <w:tcW w:w="904" w:type="dxa"/>
          </w:tcPr>
          <w:p>
            <w:pPr>
              <w:pStyle w:val="TableParagraph"/>
              <w:spacing w:line="211" w:lineRule="exact"/>
              <w:ind w:left="110"/>
              <w:rPr>
                <w:sz w:val="21"/>
              </w:rPr>
            </w:pPr>
            <w:r>
              <w:rPr>
                <w:sz w:val="21"/>
              </w:rPr>
              <w:t>4.2</w:t>
            </w:r>
          </w:p>
        </w:tc>
        <w:tc>
          <w:tcPr>
            <w:tcW w:w="1993" w:type="dxa"/>
          </w:tcPr>
          <w:p>
            <w:pPr>
              <w:pStyle w:val="TableParagraph"/>
              <w:spacing w:line="211" w:lineRule="exact"/>
              <w:ind w:left="476"/>
              <w:rPr>
                <w:sz w:val="21"/>
              </w:rPr>
            </w:pPr>
            <w:r>
              <w:rPr>
                <w:sz w:val="21"/>
              </w:rPr>
              <w:t>合同内容的变</w:t>
            </w:r>
          </w:p>
          <w:p>
            <w:pPr>
              <w:pStyle w:val="TableParagraph"/>
              <w:spacing w:before="68"/>
              <w:ind w:left="476"/>
              <w:rPr>
                <w:sz w:val="21"/>
              </w:rPr>
            </w:pPr>
            <w:r>
              <w:rPr>
                <w:w w:val="100"/>
                <w:sz w:val="21"/>
              </w:rPr>
              <w:t>更</w:t>
            </w:r>
          </w:p>
        </w:tc>
        <w:tc>
          <w:tcPr>
            <w:tcW w:w="6424" w:type="dxa"/>
          </w:tcPr>
          <w:p>
            <w:pPr>
              <w:pStyle w:val="TableParagraph"/>
              <w:spacing w:line="211" w:lineRule="exact"/>
              <w:ind w:left="102"/>
              <w:rPr>
                <w:sz w:val="21"/>
              </w:rPr>
            </w:pPr>
            <w:r>
              <w:rPr>
                <w:sz w:val="21"/>
              </w:rPr>
              <w:t>在本合同有效期间内，经我们的同意，您可以书面申请变更本合同的</w:t>
            </w:r>
          </w:p>
          <w:p>
            <w:pPr>
              <w:pStyle w:val="TableParagraph"/>
              <w:spacing w:line="300" w:lineRule="auto" w:before="68"/>
              <w:ind w:left="102" w:right="105"/>
              <w:jc w:val="both"/>
              <w:rPr>
                <w:sz w:val="21"/>
              </w:rPr>
            </w:pPr>
            <w:r>
              <w:rPr>
                <w:spacing w:val="-12"/>
                <w:sz w:val="21"/>
              </w:rPr>
              <w:t>有关内容。变更本合同内容的，由我们在电子保险单或其他保险凭证</w:t>
            </w:r>
            <w:r>
              <w:rPr>
                <w:spacing w:val="-6"/>
                <w:sz w:val="21"/>
              </w:rPr>
              <w:t>上批注或者附贴批单。</w:t>
            </w:r>
          </w:p>
          <w:p>
            <w:pPr>
              <w:pStyle w:val="TableParagraph"/>
              <w:spacing w:line="300" w:lineRule="auto" w:before="15"/>
              <w:ind w:left="102" w:right="99"/>
              <w:jc w:val="both"/>
              <w:rPr>
                <w:sz w:val="21"/>
              </w:rPr>
            </w:pPr>
            <w:r>
              <w:rPr>
                <w:sz w:val="21"/>
              </w:rPr>
              <w:t>您通过我们同意或认可的网站对本合同进行变更，视为您的书面申</w:t>
            </w:r>
            <w:r>
              <w:rPr>
                <w:spacing w:val="-12"/>
                <w:sz w:val="21"/>
              </w:rPr>
              <w:t>请，您向我们在线提交的电子信息与您向我们提交的书面文件具有同</w:t>
            </w:r>
            <w:r>
              <w:rPr>
                <w:spacing w:val="-6"/>
                <w:sz w:val="21"/>
              </w:rPr>
              <w:t>等的法律效力。</w:t>
            </w:r>
          </w:p>
        </w:tc>
      </w:tr>
      <w:tr>
        <w:trPr>
          <w:trHeight w:val="3006" w:hRule="atLeast"/>
        </w:trPr>
        <w:tc>
          <w:tcPr>
            <w:tcW w:w="904" w:type="dxa"/>
          </w:tcPr>
          <w:p>
            <w:pPr>
              <w:pStyle w:val="TableParagraph"/>
              <w:rPr>
                <w:rFonts w:ascii="Times New Roman"/>
                <w:sz w:val="19"/>
              </w:rPr>
            </w:pPr>
          </w:p>
          <w:p>
            <w:pPr>
              <w:pStyle w:val="TableParagraph"/>
              <w:spacing w:before="1"/>
              <w:ind w:left="110"/>
              <w:rPr>
                <w:sz w:val="21"/>
              </w:rPr>
            </w:pPr>
            <w:r>
              <w:rPr>
                <w:sz w:val="21"/>
              </w:rPr>
              <w:t>4.3</w:t>
            </w:r>
          </w:p>
        </w:tc>
        <w:tc>
          <w:tcPr>
            <w:tcW w:w="1993" w:type="dxa"/>
          </w:tcPr>
          <w:p>
            <w:pPr>
              <w:pStyle w:val="TableParagraph"/>
              <w:rPr>
                <w:rFonts w:ascii="Times New Roman"/>
                <w:sz w:val="19"/>
              </w:rPr>
            </w:pPr>
          </w:p>
          <w:p>
            <w:pPr>
              <w:pStyle w:val="TableParagraph"/>
              <w:spacing w:before="1"/>
              <w:ind w:left="476"/>
              <w:rPr>
                <w:sz w:val="21"/>
              </w:rPr>
            </w:pPr>
            <w:r>
              <w:rPr>
                <w:sz w:val="21"/>
              </w:rPr>
              <w:t>解除合同</w:t>
            </w:r>
          </w:p>
        </w:tc>
        <w:tc>
          <w:tcPr>
            <w:tcW w:w="6424" w:type="dxa"/>
          </w:tcPr>
          <w:p>
            <w:pPr>
              <w:pStyle w:val="TableParagraph"/>
              <w:rPr>
                <w:rFonts w:ascii="Times New Roman"/>
                <w:sz w:val="19"/>
              </w:rPr>
            </w:pPr>
          </w:p>
          <w:p>
            <w:pPr>
              <w:pStyle w:val="TableParagraph"/>
              <w:spacing w:line="300" w:lineRule="auto" w:before="1"/>
              <w:ind w:left="103" w:right="105" w:hanging="1"/>
              <w:rPr>
                <w:sz w:val="21"/>
              </w:rPr>
            </w:pPr>
            <w:r>
              <w:rPr>
                <w:spacing w:val="-10"/>
                <w:sz w:val="21"/>
              </w:rPr>
              <w:t>在本合同保险期间内，如未发生保险金给付，您可以书面申请解除本</w:t>
            </w:r>
            <w:r>
              <w:rPr>
                <w:spacing w:val="-3"/>
                <w:sz w:val="21"/>
              </w:rPr>
              <w:t>合同，并向我们提供下列证明和资料：</w:t>
            </w:r>
          </w:p>
          <w:p>
            <w:pPr>
              <w:pStyle w:val="TableParagraph"/>
              <w:spacing w:before="16"/>
              <w:ind w:left="103"/>
              <w:rPr>
                <w:sz w:val="21"/>
              </w:rPr>
            </w:pPr>
            <w:r>
              <w:rPr>
                <w:sz w:val="21"/>
              </w:rPr>
              <w:t>一、保险合同；</w:t>
            </w:r>
          </w:p>
          <w:p>
            <w:pPr>
              <w:pStyle w:val="TableParagraph"/>
              <w:spacing w:line="300" w:lineRule="auto" w:before="68"/>
              <w:ind w:left="103" w:right="4215"/>
              <w:rPr>
                <w:sz w:val="21"/>
              </w:rPr>
            </w:pPr>
            <w:r>
              <w:rPr>
                <w:sz w:val="21"/>
              </w:rPr>
              <w:t>二、解除合同申请书； 三、您的身份证明。</w:t>
            </w:r>
          </w:p>
          <w:p>
            <w:pPr>
              <w:pStyle w:val="TableParagraph"/>
              <w:spacing w:line="300" w:lineRule="auto" w:before="15"/>
              <w:ind w:left="103" w:right="100"/>
              <w:rPr>
                <w:sz w:val="21"/>
              </w:rPr>
            </w:pPr>
            <w:r>
              <w:rPr>
                <w:spacing w:val="-8"/>
                <w:sz w:val="21"/>
              </w:rPr>
              <w:t>自我们收到上述证明和资料之日起，本合同终止。我们在收到上述证</w:t>
            </w:r>
            <w:r>
              <w:rPr>
                <w:spacing w:val="-5"/>
                <w:sz w:val="21"/>
              </w:rPr>
              <w:t>明和资料之日起三十日内退还本合同终止之日的现金价值。</w:t>
            </w:r>
          </w:p>
        </w:tc>
      </w:tr>
      <w:tr>
        <w:trPr>
          <w:trHeight w:val="446" w:hRule="atLeast"/>
        </w:trPr>
        <w:tc>
          <w:tcPr>
            <w:tcW w:w="904" w:type="dxa"/>
            <w:shd w:val="clear" w:color="auto" w:fill="CDCDCD"/>
          </w:tcPr>
          <w:p>
            <w:pPr>
              <w:pStyle w:val="TableParagraph"/>
              <w:spacing w:before="43"/>
              <w:ind w:left="110"/>
              <w:rPr>
                <w:rFonts w:ascii="Wingdings" w:hAnsi="Wingdings"/>
                <w:sz w:val="32"/>
              </w:rPr>
            </w:pPr>
            <w:r>
              <w:rPr>
                <w:rFonts w:ascii="Wingdings" w:hAnsi="Wingdings"/>
                <w:w w:val="99"/>
                <w:sz w:val="32"/>
              </w:rPr>
              <w:t></w:t>
            </w:r>
          </w:p>
        </w:tc>
        <w:tc>
          <w:tcPr>
            <w:tcW w:w="8417" w:type="dxa"/>
            <w:gridSpan w:val="2"/>
            <w:shd w:val="clear" w:color="auto" w:fill="CDCDCD"/>
          </w:tcPr>
          <w:p>
            <w:pPr>
              <w:pStyle w:val="TableParagraph"/>
              <w:spacing w:before="54"/>
              <w:ind w:left="475"/>
              <w:rPr>
                <w:b/>
                <w:sz w:val="21"/>
              </w:rPr>
            </w:pPr>
            <w:r>
              <w:rPr>
                <w:b/>
                <w:sz w:val="21"/>
              </w:rPr>
              <w:t>如何申请领取保险金</w:t>
            </w:r>
          </w:p>
        </w:tc>
      </w:tr>
      <w:tr>
        <w:trPr>
          <w:trHeight w:val="776" w:hRule="atLeast"/>
        </w:trPr>
        <w:tc>
          <w:tcPr>
            <w:tcW w:w="904" w:type="dxa"/>
          </w:tcPr>
          <w:p>
            <w:pPr>
              <w:pStyle w:val="TableParagraph"/>
              <w:spacing w:before="47"/>
              <w:ind w:left="110"/>
              <w:rPr>
                <w:sz w:val="21"/>
              </w:rPr>
            </w:pPr>
            <w:r>
              <w:rPr>
                <w:sz w:val="21"/>
              </w:rPr>
              <w:t>5.1</w:t>
            </w:r>
          </w:p>
        </w:tc>
        <w:tc>
          <w:tcPr>
            <w:tcW w:w="1993" w:type="dxa"/>
          </w:tcPr>
          <w:p>
            <w:pPr>
              <w:pStyle w:val="TableParagraph"/>
              <w:spacing w:line="300" w:lineRule="auto" w:before="47"/>
              <w:ind w:left="476" w:right="91"/>
              <w:rPr>
                <w:sz w:val="21"/>
              </w:rPr>
            </w:pPr>
            <w:r>
              <w:rPr>
                <w:sz w:val="21"/>
              </w:rPr>
              <w:t>受益人指定与变更</w:t>
            </w:r>
          </w:p>
        </w:tc>
        <w:tc>
          <w:tcPr>
            <w:tcW w:w="6424" w:type="dxa"/>
          </w:tcPr>
          <w:p>
            <w:pPr>
              <w:pStyle w:val="TableParagraph"/>
              <w:spacing w:before="47"/>
              <w:ind w:left="93"/>
              <w:rPr>
                <w:sz w:val="21"/>
              </w:rPr>
            </w:pPr>
            <w:r>
              <w:rPr>
                <w:sz w:val="21"/>
              </w:rPr>
              <w:t>除另有约定外，本合同的受益人为被保险人本人。</w:t>
            </w:r>
          </w:p>
        </w:tc>
      </w:tr>
      <w:tr>
        <w:trPr>
          <w:trHeight w:val="1977" w:hRule="atLeast"/>
        </w:trPr>
        <w:tc>
          <w:tcPr>
            <w:tcW w:w="904" w:type="dxa"/>
          </w:tcPr>
          <w:p>
            <w:pPr>
              <w:pStyle w:val="TableParagraph"/>
              <w:spacing w:before="46"/>
              <w:ind w:left="110"/>
              <w:rPr>
                <w:sz w:val="21"/>
              </w:rPr>
            </w:pPr>
            <w:r>
              <w:rPr>
                <w:sz w:val="21"/>
              </w:rPr>
              <w:t>5.2</w:t>
            </w:r>
          </w:p>
        </w:tc>
        <w:tc>
          <w:tcPr>
            <w:tcW w:w="1993" w:type="dxa"/>
          </w:tcPr>
          <w:p>
            <w:pPr>
              <w:pStyle w:val="TableParagraph"/>
              <w:spacing w:before="46"/>
              <w:ind w:left="476"/>
              <w:rPr>
                <w:sz w:val="21"/>
              </w:rPr>
            </w:pPr>
            <w:r>
              <w:rPr>
                <w:sz w:val="21"/>
              </w:rPr>
              <w:t>保险事故通知</w:t>
            </w:r>
          </w:p>
        </w:tc>
        <w:tc>
          <w:tcPr>
            <w:tcW w:w="6424" w:type="dxa"/>
          </w:tcPr>
          <w:p>
            <w:pPr>
              <w:pStyle w:val="TableParagraph"/>
              <w:spacing w:line="300" w:lineRule="auto" w:before="46"/>
              <w:ind w:left="93" w:right="23"/>
              <w:rPr>
                <w:sz w:val="21"/>
              </w:rPr>
            </w:pPr>
            <w:r>
              <w:rPr>
                <w:spacing w:val="-10"/>
                <w:sz w:val="21"/>
              </w:rPr>
              <w:t>您、被保险人或者受益人应在知道保险事故发生之日起十日内通知我</w:t>
            </w:r>
            <w:r>
              <w:rPr>
                <w:spacing w:val="-4"/>
                <w:sz w:val="21"/>
              </w:rPr>
              <w:t>们，但因</w:t>
            </w:r>
            <w:r>
              <w:rPr>
                <w:b/>
                <w:spacing w:val="-2"/>
                <w:sz w:val="21"/>
              </w:rPr>
              <w:t>不可抗力</w:t>
            </w:r>
            <w:r>
              <w:rPr>
                <w:sz w:val="21"/>
              </w:rPr>
              <w:t>（</w:t>
            </w:r>
            <w:r>
              <w:rPr>
                <w:spacing w:val="-22"/>
                <w:sz w:val="21"/>
              </w:rPr>
              <w:t>见 </w:t>
            </w:r>
            <w:r>
              <w:rPr>
                <w:spacing w:val="-3"/>
                <w:sz w:val="21"/>
              </w:rPr>
              <w:t>7.9）</w:t>
            </w:r>
            <w:r>
              <w:rPr>
                <w:spacing w:val="-4"/>
                <w:sz w:val="21"/>
              </w:rPr>
              <w:t>导致的迟延除外。故意或者因重大过失</w:t>
            </w:r>
            <w:r>
              <w:rPr>
                <w:spacing w:val="-3"/>
                <w:sz w:val="21"/>
              </w:rPr>
              <w:t>未及时通知，致使保险事故的性质、原因、损失程度等难以确定的， </w:t>
            </w:r>
            <w:r>
              <w:rPr>
                <w:spacing w:val="-9"/>
                <w:sz w:val="21"/>
              </w:rPr>
              <w:t>我们对无法确定的部分，不承担给付保险金的责任，但我们通过其他</w:t>
            </w:r>
            <w:r>
              <w:rPr>
                <w:spacing w:val="-5"/>
                <w:sz w:val="21"/>
              </w:rPr>
              <w:t>途径已经及时知道或者应当及时知道保险事故发生的除外。</w:t>
            </w:r>
          </w:p>
        </w:tc>
      </w:tr>
      <w:tr>
        <w:trPr>
          <w:trHeight w:val="1119" w:hRule="atLeast"/>
        </w:trPr>
        <w:tc>
          <w:tcPr>
            <w:tcW w:w="904" w:type="dxa"/>
          </w:tcPr>
          <w:p>
            <w:pPr>
              <w:pStyle w:val="TableParagraph"/>
              <w:rPr>
                <w:rFonts w:ascii="Times New Roman"/>
                <w:sz w:val="19"/>
              </w:rPr>
            </w:pPr>
          </w:p>
          <w:p>
            <w:pPr>
              <w:pStyle w:val="TableParagraph"/>
              <w:spacing w:before="1"/>
              <w:ind w:left="110"/>
              <w:rPr>
                <w:sz w:val="21"/>
              </w:rPr>
            </w:pPr>
            <w:r>
              <w:rPr>
                <w:sz w:val="21"/>
              </w:rPr>
              <w:t>5.3</w:t>
            </w:r>
          </w:p>
        </w:tc>
        <w:tc>
          <w:tcPr>
            <w:tcW w:w="1993" w:type="dxa"/>
          </w:tcPr>
          <w:p>
            <w:pPr>
              <w:pStyle w:val="TableParagraph"/>
              <w:rPr>
                <w:rFonts w:ascii="Times New Roman"/>
                <w:sz w:val="19"/>
              </w:rPr>
            </w:pPr>
          </w:p>
          <w:p>
            <w:pPr>
              <w:pStyle w:val="TableParagraph"/>
              <w:spacing w:line="300" w:lineRule="auto" w:before="1"/>
              <w:ind w:left="476" w:right="91"/>
              <w:rPr>
                <w:sz w:val="21"/>
              </w:rPr>
            </w:pPr>
            <w:r>
              <w:rPr>
                <w:sz w:val="21"/>
              </w:rPr>
              <w:t>保险金申请时效</w:t>
            </w:r>
          </w:p>
        </w:tc>
        <w:tc>
          <w:tcPr>
            <w:tcW w:w="6424" w:type="dxa"/>
          </w:tcPr>
          <w:p>
            <w:pPr>
              <w:pStyle w:val="TableParagraph"/>
              <w:rPr>
                <w:rFonts w:ascii="Times New Roman"/>
                <w:sz w:val="19"/>
              </w:rPr>
            </w:pPr>
          </w:p>
          <w:p>
            <w:pPr>
              <w:pStyle w:val="TableParagraph"/>
              <w:spacing w:line="300" w:lineRule="auto" w:before="1"/>
              <w:ind w:left="93" w:right="103"/>
              <w:rPr>
                <w:sz w:val="21"/>
              </w:rPr>
            </w:pPr>
            <w:r>
              <w:rPr>
                <w:sz w:val="21"/>
              </w:rPr>
              <w:t>受益人及其他有权领取保险金的人向我们申请给付保险金的诉讼时效期间为二年，自其知道或应当知道保险事故发生之日起计算。</w:t>
            </w:r>
          </w:p>
        </w:tc>
      </w:tr>
      <w:tr>
        <w:trPr>
          <w:trHeight w:val="4251" w:hRule="atLeast"/>
        </w:trPr>
        <w:tc>
          <w:tcPr>
            <w:tcW w:w="904" w:type="dxa"/>
          </w:tcPr>
          <w:p>
            <w:pPr>
              <w:pStyle w:val="TableParagraph"/>
              <w:spacing w:before="11"/>
              <w:rPr>
                <w:rFonts w:ascii="Times New Roman"/>
                <w:sz w:val="18"/>
              </w:rPr>
            </w:pPr>
          </w:p>
          <w:p>
            <w:pPr>
              <w:pStyle w:val="TableParagraph"/>
              <w:ind w:left="110"/>
              <w:rPr>
                <w:sz w:val="21"/>
              </w:rPr>
            </w:pPr>
            <w:r>
              <w:rPr>
                <w:sz w:val="21"/>
              </w:rPr>
              <w:t>5.4</w:t>
            </w:r>
          </w:p>
        </w:tc>
        <w:tc>
          <w:tcPr>
            <w:tcW w:w="1993" w:type="dxa"/>
          </w:tcPr>
          <w:p>
            <w:pPr>
              <w:pStyle w:val="TableParagraph"/>
              <w:spacing w:before="11"/>
              <w:rPr>
                <w:rFonts w:ascii="Times New Roman"/>
                <w:sz w:val="18"/>
              </w:rPr>
            </w:pPr>
          </w:p>
          <w:p>
            <w:pPr>
              <w:pStyle w:val="TableParagraph"/>
              <w:ind w:left="476"/>
              <w:rPr>
                <w:sz w:val="21"/>
              </w:rPr>
            </w:pPr>
            <w:r>
              <w:rPr>
                <w:sz w:val="21"/>
              </w:rPr>
              <w:t>保险金申请</w:t>
            </w:r>
          </w:p>
        </w:tc>
        <w:tc>
          <w:tcPr>
            <w:tcW w:w="6424" w:type="dxa"/>
          </w:tcPr>
          <w:p>
            <w:pPr>
              <w:pStyle w:val="TableParagraph"/>
              <w:spacing w:before="11"/>
              <w:rPr>
                <w:rFonts w:ascii="Times New Roman"/>
                <w:sz w:val="18"/>
              </w:rPr>
            </w:pPr>
          </w:p>
          <w:p>
            <w:pPr>
              <w:pStyle w:val="TableParagraph"/>
              <w:spacing w:line="300" w:lineRule="auto"/>
              <w:ind w:left="93" w:right="102"/>
              <w:rPr>
                <w:sz w:val="21"/>
              </w:rPr>
            </w:pPr>
            <w:r>
              <w:rPr>
                <w:b/>
                <w:spacing w:val="-14"/>
                <w:sz w:val="21"/>
              </w:rPr>
              <w:t>一、</w:t>
            </w:r>
            <w:r>
              <w:rPr>
                <w:spacing w:val="-8"/>
                <w:sz w:val="21"/>
              </w:rPr>
              <w:t>由受益人作为申请人，填写给付申请书，并凭下列证明和资料向</w:t>
            </w:r>
            <w:r>
              <w:rPr>
                <w:spacing w:val="-5"/>
                <w:sz w:val="21"/>
              </w:rPr>
              <w:t>我们申请给付保险金：</w:t>
            </w:r>
          </w:p>
          <w:p>
            <w:pPr>
              <w:pStyle w:val="TableParagraph"/>
              <w:numPr>
                <w:ilvl w:val="0"/>
                <w:numId w:val="5"/>
              </w:numPr>
              <w:tabs>
                <w:tab w:pos="513" w:val="left" w:leader="none"/>
                <w:tab w:pos="514" w:val="left" w:leader="none"/>
              </w:tabs>
              <w:spacing w:line="240" w:lineRule="auto" w:before="15" w:after="0"/>
              <w:ind w:left="94" w:right="0" w:hanging="1"/>
              <w:jc w:val="left"/>
              <w:rPr>
                <w:sz w:val="21"/>
              </w:rPr>
            </w:pPr>
            <w:r>
              <w:rPr>
                <w:spacing w:val="-2"/>
                <w:sz w:val="21"/>
              </w:rPr>
              <w:t>给付申请书；</w:t>
            </w:r>
          </w:p>
          <w:p>
            <w:pPr>
              <w:pStyle w:val="TableParagraph"/>
              <w:numPr>
                <w:ilvl w:val="0"/>
                <w:numId w:val="5"/>
              </w:numPr>
              <w:tabs>
                <w:tab w:pos="513" w:val="left" w:leader="none"/>
                <w:tab w:pos="514" w:val="left" w:leader="none"/>
              </w:tabs>
              <w:spacing w:line="240" w:lineRule="auto" w:before="67" w:after="0"/>
              <w:ind w:left="94" w:right="0" w:hanging="1"/>
              <w:jc w:val="left"/>
              <w:rPr>
                <w:sz w:val="21"/>
              </w:rPr>
            </w:pPr>
            <w:r>
              <w:rPr>
                <w:spacing w:val="-3"/>
                <w:sz w:val="21"/>
              </w:rPr>
              <w:t>保险合同或其他保险凭证；</w:t>
            </w:r>
          </w:p>
          <w:p>
            <w:pPr>
              <w:pStyle w:val="TableParagraph"/>
              <w:numPr>
                <w:ilvl w:val="0"/>
                <w:numId w:val="5"/>
              </w:numPr>
              <w:tabs>
                <w:tab w:pos="513" w:val="left" w:leader="none"/>
                <w:tab w:pos="514" w:val="left" w:leader="none"/>
              </w:tabs>
              <w:spacing w:line="240" w:lineRule="auto" w:before="65" w:after="0"/>
              <w:ind w:left="94" w:right="0" w:hanging="1"/>
              <w:jc w:val="left"/>
              <w:rPr>
                <w:sz w:val="21"/>
              </w:rPr>
            </w:pPr>
            <w:r>
              <w:rPr>
                <w:spacing w:val="-3"/>
                <w:sz w:val="21"/>
              </w:rPr>
              <w:t>受益人身份证明、银行存折</w:t>
            </w:r>
            <w:r>
              <w:rPr>
                <w:sz w:val="21"/>
              </w:rPr>
              <w:t>（</w:t>
            </w:r>
            <w:r>
              <w:rPr>
                <w:spacing w:val="-3"/>
                <w:sz w:val="21"/>
              </w:rPr>
              <w:t>卡</w:t>
            </w:r>
            <w:r>
              <w:rPr>
                <w:sz w:val="21"/>
              </w:rPr>
              <w:t>）</w:t>
            </w:r>
            <w:r>
              <w:rPr>
                <w:spacing w:val="-3"/>
                <w:sz w:val="21"/>
              </w:rPr>
              <w:t>复印件；</w:t>
            </w:r>
          </w:p>
          <w:p>
            <w:pPr>
              <w:pStyle w:val="TableParagraph"/>
              <w:numPr>
                <w:ilvl w:val="0"/>
                <w:numId w:val="5"/>
              </w:numPr>
              <w:tabs>
                <w:tab w:pos="513" w:val="left" w:leader="none"/>
                <w:tab w:pos="514" w:val="left" w:leader="none"/>
              </w:tabs>
              <w:spacing w:line="240" w:lineRule="auto" w:before="61" w:after="0"/>
              <w:ind w:left="513" w:right="0" w:hanging="420"/>
              <w:jc w:val="left"/>
              <w:rPr>
                <w:sz w:val="21"/>
              </w:rPr>
            </w:pPr>
            <w:r>
              <w:rPr>
                <w:spacing w:val="-3"/>
                <w:sz w:val="21"/>
              </w:rPr>
              <w:t>被保险人的户籍证明及必要的生存证明；</w:t>
            </w:r>
          </w:p>
          <w:p>
            <w:pPr>
              <w:pStyle w:val="TableParagraph"/>
              <w:numPr>
                <w:ilvl w:val="0"/>
                <w:numId w:val="5"/>
              </w:numPr>
              <w:tabs>
                <w:tab w:pos="513" w:val="left" w:leader="none"/>
                <w:tab w:pos="514" w:val="left" w:leader="none"/>
              </w:tabs>
              <w:spacing w:line="300" w:lineRule="auto" w:before="61" w:after="0"/>
              <w:ind w:left="94" w:right="22" w:hanging="1"/>
              <w:jc w:val="left"/>
              <w:rPr>
                <w:sz w:val="21"/>
              </w:rPr>
            </w:pPr>
            <w:r>
              <w:rPr>
                <w:spacing w:val="-9"/>
                <w:sz w:val="21"/>
              </w:rPr>
              <w:t>医院出具的疾病诊断证明书、病历记录和确诊疾病必要的病理检</w:t>
            </w:r>
            <w:r>
              <w:rPr>
                <w:spacing w:val="-5"/>
                <w:sz w:val="21"/>
              </w:rPr>
              <w:t>验、血液检验、影像学检查及其他科学方法的检查报告。如有必要， </w:t>
            </w:r>
            <w:r>
              <w:rPr>
                <w:spacing w:val="-10"/>
                <w:sz w:val="21"/>
              </w:rPr>
              <w:t>我们有权对被保险人进行体检，我们保留就疾病诊断咨询其他医疗专</w:t>
            </w:r>
            <w:r>
              <w:rPr>
                <w:spacing w:val="-5"/>
                <w:sz w:val="21"/>
              </w:rPr>
              <w:t>家的权利；</w:t>
            </w:r>
          </w:p>
          <w:p>
            <w:pPr>
              <w:pStyle w:val="TableParagraph"/>
              <w:numPr>
                <w:ilvl w:val="0"/>
                <w:numId w:val="5"/>
              </w:numPr>
              <w:tabs>
                <w:tab w:pos="514" w:val="left" w:leader="none"/>
                <w:tab w:pos="515" w:val="left" w:leader="none"/>
              </w:tabs>
              <w:spacing w:line="240" w:lineRule="auto" w:before="15" w:after="0"/>
              <w:ind w:left="514" w:right="0" w:hanging="420"/>
              <w:jc w:val="left"/>
              <w:rPr>
                <w:sz w:val="21"/>
              </w:rPr>
            </w:pPr>
            <w:r>
              <w:rPr>
                <w:spacing w:val="-3"/>
                <w:sz w:val="21"/>
              </w:rPr>
              <w:t>与确认保险事故的时间、性质、原因等相关的其他证明和资料。</w:t>
            </w:r>
          </w:p>
          <w:p>
            <w:pPr>
              <w:pStyle w:val="TableParagraph"/>
              <w:spacing w:line="255" w:lineRule="exact" w:before="67"/>
              <w:ind w:left="93"/>
              <w:rPr>
                <w:sz w:val="21"/>
              </w:rPr>
            </w:pPr>
            <w:r>
              <w:rPr>
                <w:spacing w:val="-16"/>
                <w:sz w:val="21"/>
              </w:rPr>
              <w:t>二、如果委托他人领取保险金，受托人除提供上述所有证明和资料外，</w:t>
            </w:r>
          </w:p>
        </w:tc>
      </w:tr>
    </w:tbl>
    <w:p>
      <w:pPr>
        <w:spacing w:after="0" w:line="255" w:lineRule="exact"/>
        <w:rPr>
          <w:sz w:val="21"/>
        </w:rPr>
        <w:sectPr>
          <w:pgSz w:w="11910" w:h="16840"/>
          <w:pgMar w:header="0" w:footer="921" w:top="1480" w:bottom="1120" w:left="1180" w:right="11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913"/>
        <w:gridCol w:w="6505"/>
      </w:tblGrid>
      <w:tr>
        <w:trPr>
          <w:trHeight w:val="494" w:hRule="atLeast"/>
        </w:trPr>
        <w:tc>
          <w:tcPr>
            <w:tcW w:w="904" w:type="dxa"/>
          </w:tcPr>
          <w:p>
            <w:pPr>
              <w:pStyle w:val="TableParagraph"/>
              <w:rPr>
                <w:rFonts w:ascii="Times New Roman"/>
                <w:sz w:val="20"/>
              </w:rPr>
            </w:pPr>
          </w:p>
        </w:tc>
        <w:tc>
          <w:tcPr>
            <w:tcW w:w="1913" w:type="dxa"/>
          </w:tcPr>
          <w:p>
            <w:pPr>
              <w:pStyle w:val="TableParagraph"/>
              <w:rPr>
                <w:rFonts w:ascii="Times New Roman"/>
                <w:sz w:val="20"/>
              </w:rPr>
            </w:pPr>
          </w:p>
        </w:tc>
        <w:tc>
          <w:tcPr>
            <w:tcW w:w="6505" w:type="dxa"/>
          </w:tcPr>
          <w:p>
            <w:pPr>
              <w:pStyle w:val="TableParagraph"/>
              <w:spacing w:line="211" w:lineRule="exact"/>
              <w:ind w:left="173"/>
              <w:rPr>
                <w:sz w:val="21"/>
              </w:rPr>
            </w:pPr>
            <w:r>
              <w:rPr>
                <w:sz w:val="21"/>
              </w:rPr>
              <w:t>必须另行出具有委托人亲笔签字的授权委托书和受托人身份证明。</w:t>
            </w:r>
          </w:p>
        </w:tc>
      </w:tr>
      <w:tr>
        <w:trPr>
          <w:trHeight w:val="4379" w:hRule="atLeast"/>
        </w:trPr>
        <w:tc>
          <w:tcPr>
            <w:tcW w:w="904" w:type="dxa"/>
          </w:tcPr>
          <w:p>
            <w:pPr>
              <w:pStyle w:val="TableParagraph"/>
              <w:rPr>
                <w:rFonts w:ascii="Times New Roman"/>
                <w:sz w:val="19"/>
              </w:rPr>
            </w:pPr>
          </w:p>
          <w:p>
            <w:pPr>
              <w:pStyle w:val="TableParagraph"/>
              <w:spacing w:before="1"/>
              <w:ind w:left="110"/>
              <w:rPr>
                <w:sz w:val="21"/>
              </w:rPr>
            </w:pPr>
            <w:r>
              <w:rPr>
                <w:sz w:val="21"/>
              </w:rPr>
              <w:t>5.5</w:t>
            </w:r>
          </w:p>
        </w:tc>
        <w:tc>
          <w:tcPr>
            <w:tcW w:w="1913" w:type="dxa"/>
          </w:tcPr>
          <w:p>
            <w:pPr>
              <w:pStyle w:val="TableParagraph"/>
              <w:rPr>
                <w:rFonts w:ascii="Times New Roman"/>
                <w:sz w:val="19"/>
              </w:rPr>
            </w:pPr>
          </w:p>
          <w:p>
            <w:pPr>
              <w:pStyle w:val="TableParagraph"/>
              <w:spacing w:before="1"/>
              <w:ind w:left="476"/>
              <w:rPr>
                <w:sz w:val="21"/>
              </w:rPr>
            </w:pPr>
            <w:r>
              <w:rPr>
                <w:sz w:val="21"/>
              </w:rPr>
              <w:t>保险金给付</w:t>
            </w:r>
          </w:p>
        </w:tc>
        <w:tc>
          <w:tcPr>
            <w:tcW w:w="6505" w:type="dxa"/>
          </w:tcPr>
          <w:p>
            <w:pPr>
              <w:pStyle w:val="TableParagraph"/>
              <w:rPr>
                <w:rFonts w:ascii="Times New Roman"/>
                <w:sz w:val="19"/>
              </w:rPr>
            </w:pPr>
          </w:p>
          <w:p>
            <w:pPr>
              <w:pStyle w:val="TableParagraph"/>
              <w:spacing w:line="300" w:lineRule="auto" w:before="1"/>
              <w:ind w:left="173" w:right="100"/>
              <w:jc w:val="both"/>
              <w:rPr>
                <w:sz w:val="21"/>
              </w:rPr>
            </w:pPr>
            <w:r>
              <w:rPr>
                <w:spacing w:val="-7"/>
                <w:sz w:val="21"/>
              </w:rPr>
              <w:t>我们在收到保险金给付申请书等证明和资料后，会及时作出核定；情</w:t>
            </w:r>
            <w:r>
              <w:rPr>
                <w:spacing w:val="-11"/>
                <w:sz w:val="21"/>
              </w:rPr>
              <w:t>形复杂的，将在三十日内作出核定，但本合同另有约定的除外。我们会将核定结果通知申请人。对属于保险责任的，在与申请人达成给付</w:t>
            </w:r>
            <w:r>
              <w:rPr>
                <w:spacing w:val="-12"/>
                <w:sz w:val="21"/>
              </w:rPr>
              <w:t>保险金的协议后十日内，履行给付保险金义务。本合同对给付保险金的期限有约定的，我们按照约定履行给付保险金义务。对不属于保险责任的，我们自作出核定之日起三日内向申请人发出拒绝给付保险金</w:t>
            </w:r>
            <w:r>
              <w:rPr>
                <w:spacing w:val="-6"/>
                <w:sz w:val="21"/>
              </w:rPr>
              <w:t>通知书，并说明理由。</w:t>
            </w:r>
          </w:p>
          <w:p>
            <w:pPr>
              <w:pStyle w:val="TableParagraph"/>
              <w:spacing w:line="300" w:lineRule="auto" w:before="16"/>
              <w:ind w:left="173" w:right="100"/>
              <w:jc w:val="both"/>
              <w:rPr>
                <w:sz w:val="21"/>
              </w:rPr>
            </w:pPr>
            <w:r>
              <w:rPr>
                <w:spacing w:val="-6"/>
                <w:sz w:val="21"/>
              </w:rPr>
              <w:t>我们在收到保险金给付申请书等证明和资料之日起六十日内，对属于</w:t>
            </w:r>
            <w:r>
              <w:rPr>
                <w:spacing w:val="-8"/>
                <w:sz w:val="21"/>
              </w:rPr>
              <w:t>保险责任而给付保险金的数额不能确定的，根据已有证明和资料，按</w:t>
            </w:r>
            <w:r>
              <w:rPr>
                <w:spacing w:val="-10"/>
                <w:sz w:val="21"/>
              </w:rPr>
              <w:t>可以确定的数额先予以给付，在最终确定给付保险金的数额后，给付</w:t>
            </w:r>
            <w:r>
              <w:rPr>
                <w:spacing w:val="-5"/>
                <w:sz w:val="21"/>
              </w:rPr>
              <w:t>相应的差额。</w:t>
            </w:r>
          </w:p>
        </w:tc>
      </w:tr>
      <w:tr>
        <w:trPr>
          <w:trHeight w:val="446" w:hRule="atLeast"/>
        </w:trPr>
        <w:tc>
          <w:tcPr>
            <w:tcW w:w="904" w:type="dxa"/>
            <w:shd w:val="clear" w:color="auto" w:fill="CDCDCD"/>
          </w:tcPr>
          <w:p>
            <w:pPr>
              <w:pStyle w:val="TableParagraph"/>
              <w:spacing w:before="43"/>
              <w:ind w:left="110"/>
              <w:rPr>
                <w:rFonts w:ascii="Wingdings" w:hAnsi="Wingdings"/>
                <w:sz w:val="32"/>
              </w:rPr>
            </w:pPr>
            <w:r>
              <w:rPr>
                <w:rFonts w:ascii="Wingdings" w:hAnsi="Wingdings"/>
                <w:w w:val="99"/>
                <w:sz w:val="32"/>
              </w:rPr>
              <w:t></w:t>
            </w:r>
          </w:p>
        </w:tc>
        <w:tc>
          <w:tcPr>
            <w:tcW w:w="8418" w:type="dxa"/>
            <w:gridSpan w:val="2"/>
            <w:shd w:val="clear" w:color="auto" w:fill="CDCDCD"/>
          </w:tcPr>
          <w:p>
            <w:pPr>
              <w:pStyle w:val="TableParagraph"/>
              <w:spacing w:before="54"/>
              <w:ind w:left="475"/>
              <w:rPr>
                <w:b/>
                <w:sz w:val="21"/>
              </w:rPr>
            </w:pPr>
            <w:r>
              <w:rPr>
                <w:b/>
                <w:sz w:val="21"/>
              </w:rPr>
              <w:t>您需要关注的其他事项</w:t>
            </w:r>
          </w:p>
        </w:tc>
      </w:tr>
      <w:tr>
        <w:trPr>
          <w:trHeight w:val="886" w:hRule="atLeast"/>
        </w:trPr>
        <w:tc>
          <w:tcPr>
            <w:tcW w:w="904" w:type="dxa"/>
          </w:tcPr>
          <w:p>
            <w:pPr>
              <w:pStyle w:val="TableParagraph"/>
              <w:spacing w:before="47"/>
              <w:ind w:left="110"/>
              <w:rPr>
                <w:sz w:val="21"/>
              </w:rPr>
            </w:pPr>
            <w:r>
              <w:rPr>
                <w:sz w:val="21"/>
              </w:rPr>
              <w:t>6.1</w:t>
            </w:r>
          </w:p>
        </w:tc>
        <w:tc>
          <w:tcPr>
            <w:tcW w:w="1913" w:type="dxa"/>
          </w:tcPr>
          <w:p>
            <w:pPr>
              <w:pStyle w:val="TableParagraph"/>
              <w:spacing w:before="47"/>
              <w:ind w:left="476"/>
              <w:rPr>
                <w:sz w:val="21"/>
              </w:rPr>
            </w:pPr>
            <w:r>
              <w:rPr>
                <w:sz w:val="21"/>
              </w:rPr>
              <w:t>投保年龄范围</w:t>
            </w:r>
          </w:p>
        </w:tc>
        <w:tc>
          <w:tcPr>
            <w:tcW w:w="6505" w:type="dxa"/>
          </w:tcPr>
          <w:p>
            <w:pPr>
              <w:pStyle w:val="TableParagraph"/>
              <w:spacing w:line="273" w:lineRule="auto" w:before="33"/>
              <w:ind w:left="173" w:right="101"/>
              <w:rPr>
                <w:sz w:val="21"/>
              </w:rPr>
            </w:pPr>
            <w:r>
              <w:rPr>
                <w:spacing w:val="-9"/>
                <w:sz w:val="21"/>
              </w:rPr>
              <w:t>指您投保时被保险人的年龄。本合同接受的被保险人的投保年龄为</w:t>
            </w:r>
            <w:r>
              <w:rPr>
                <w:sz w:val="21"/>
              </w:rPr>
              <w:t>18 </w:t>
            </w:r>
            <w:r>
              <w:rPr>
                <w:b/>
                <w:spacing w:val="-1"/>
                <w:sz w:val="21"/>
              </w:rPr>
              <w:t>周岁</w:t>
            </w:r>
            <w:r>
              <w:rPr>
                <w:spacing w:val="-1"/>
                <w:sz w:val="21"/>
              </w:rPr>
              <w:t>（</w:t>
            </w:r>
            <w:r>
              <w:rPr>
                <w:spacing w:val="-3"/>
                <w:sz w:val="21"/>
              </w:rPr>
              <w:t>见</w:t>
            </w:r>
            <w:r>
              <w:rPr>
                <w:sz w:val="21"/>
              </w:rPr>
              <w:t>7.10）</w:t>
            </w:r>
            <w:r>
              <w:rPr>
                <w:spacing w:val="-3"/>
                <w:sz w:val="21"/>
              </w:rPr>
              <w:t>至</w:t>
            </w:r>
            <w:r>
              <w:rPr>
                <w:sz w:val="21"/>
              </w:rPr>
              <w:t>50</w:t>
            </w:r>
            <w:r>
              <w:rPr>
                <w:spacing w:val="-2"/>
                <w:sz w:val="21"/>
              </w:rPr>
              <w:t>周岁。</w:t>
            </w:r>
          </w:p>
        </w:tc>
      </w:tr>
      <w:tr>
        <w:trPr>
          <w:trHeight w:val="4184" w:hRule="atLeast"/>
        </w:trPr>
        <w:tc>
          <w:tcPr>
            <w:tcW w:w="904" w:type="dxa"/>
          </w:tcPr>
          <w:p>
            <w:pPr>
              <w:pStyle w:val="TableParagraph"/>
              <w:spacing w:before="10"/>
              <w:rPr>
                <w:rFonts w:ascii="Times New Roman"/>
                <w:sz w:val="18"/>
              </w:rPr>
            </w:pPr>
          </w:p>
          <w:p>
            <w:pPr>
              <w:pStyle w:val="TableParagraph"/>
              <w:ind w:left="110"/>
              <w:rPr>
                <w:sz w:val="21"/>
              </w:rPr>
            </w:pPr>
            <w:r>
              <w:rPr>
                <w:sz w:val="21"/>
              </w:rPr>
              <w:t>6.2</w:t>
            </w:r>
          </w:p>
        </w:tc>
        <w:tc>
          <w:tcPr>
            <w:tcW w:w="1913" w:type="dxa"/>
          </w:tcPr>
          <w:p>
            <w:pPr>
              <w:pStyle w:val="TableParagraph"/>
              <w:spacing w:before="7"/>
              <w:rPr>
                <w:rFonts w:ascii="Times New Roman"/>
                <w:sz w:val="17"/>
              </w:rPr>
            </w:pPr>
          </w:p>
          <w:p>
            <w:pPr>
              <w:pStyle w:val="TableParagraph"/>
              <w:spacing w:line="273" w:lineRule="auto"/>
              <w:ind w:left="476" w:right="172"/>
              <w:rPr>
                <w:sz w:val="21"/>
              </w:rPr>
            </w:pPr>
            <w:r>
              <w:rPr>
                <w:sz w:val="21"/>
              </w:rPr>
              <w:t>年龄计算及错误处理</w:t>
            </w:r>
          </w:p>
        </w:tc>
        <w:tc>
          <w:tcPr>
            <w:tcW w:w="6505" w:type="dxa"/>
          </w:tcPr>
          <w:p>
            <w:pPr>
              <w:pStyle w:val="TableParagraph"/>
              <w:spacing w:before="7"/>
              <w:rPr>
                <w:rFonts w:ascii="Times New Roman"/>
                <w:sz w:val="17"/>
              </w:rPr>
            </w:pPr>
          </w:p>
          <w:p>
            <w:pPr>
              <w:pStyle w:val="TableParagraph"/>
              <w:spacing w:line="273" w:lineRule="auto"/>
              <w:ind w:left="173" w:right="24"/>
              <w:rPr>
                <w:sz w:val="21"/>
              </w:rPr>
            </w:pPr>
            <w:r>
              <w:rPr>
                <w:spacing w:val="-4"/>
                <w:sz w:val="21"/>
              </w:rPr>
              <w:t>被保险人的投保年龄为以法定证件载明的出生日期计算的周岁年龄。</w:t>
            </w:r>
            <w:r>
              <w:rPr>
                <w:spacing w:val="-8"/>
                <w:sz w:val="21"/>
              </w:rPr>
              <w:t>您在申请投保时，应告知被保险人的周岁年龄。若发生错误，我们依</w:t>
            </w:r>
            <w:r>
              <w:rPr>
                <w:spacing w:val="-5"/>
                <w:sz w:val="21"/>
              </w:rPr>
              <w:t>照下列约定处理：</w:t>
            </w:r>
          </w:p>
          <w:p>
            <w:pPr>
              <w:pStyle w:val="TableParagraph"/>
              <w:spacing w:line="273" w:lineRule="auto" w:before="7"/>
              <w:ind w:left="173" w:right="103"/>
              <w:rPr>
                <w:sz w:val="21"/>
              </w:rPr>
            </w:pPr>
            <w:r>
              <w:rPr>
                <w:spacing w:val="-10"/>
                <w:sz w:val="21"/>
              </w:rPr>
              <w:t>一、您申报的被保险人年龄不真实，致使您实交保险费多于应交保险</w:t>
            </w:r>
            <w:r>
              <w:rPr>
                <w:spacing w:val="-5"/>
                <w:sz w:val="21"/>
              </w:rPr>
              <w:t>费的，我们会将多收的保险费无息退还给您。</w:t>
            </w:r>
          </w:p>
          <w:p>
            <w:pPr>
              <w:pStyle w:val="TableParagraph"/>
              <w:spacing w:line="273" w:lineRule="auto" w:before="7"/>
              <w:ind w:left="173" w:right="103"/>
              <w:rPr>
                <w:sz w:val="21"/>
              </w:rPr>
            </w:pPr>
            <w:r>
              <w:rPr>
                <w:spacing w:val="-10"/>
                <w:sz w:val="21"/>
              </w:rPr>
              <w:t>二、您申报的被保险人年龄不真实，致使您实交保险费少于应交保险费的，我们有权审核更正并要求您补交保险费。若补交保险费前已发</w:t>
            </w:r>
            <w:r>
              <w:rPr>
                <w:spacing w:val="-3"/>
                <w:sz w:val="21"/>
              </w:rPr>
              <w:t>生保险事故，我们按实交保险费和应交保险费的比例折算给付保险金。</w:t>
            </w:r>
          </w:p>
          <w:p>
            <w:pPr>
              <w:pStyle w:val="TableParagraph"/>
              <w:spacing w:line="273" w:lineRule="auto" w:before="7"/>
              <w:ind w:left="173" w:right="103"/>
              <w:jc w:val="both"/>
              <w:rPr>
                <w:sz w:val="21"/>
              </w:rPr>
            </w:pPr>
            <w:r>
              <w:rPr>
                <w:spacing w:val="-10"/>
                <w:sz w:val="21"/>
              </w:rPr>
              <w:t>三、您申报的被保险人年龄不真实，且真实年龄不符合我们规定的投</w:t>
            </w:r>
            <w:r>
              <w:rPr>
                <w:spacing w:val="-11"/>
                <w:sz w:val="21"/>
              </w:rPr>
              <w:t>保年龄范围的，我们可以解除本合同，并退还本合同终止之日的现金价值。</w:t>
            </w:r>
          </w:p>
        </w:tc>
      </w:tr>
      <w:tr>
        <w:trPr>
          <w:trHeight w:val="1797" w:hRule="atLeast"/>
        </w:trPr>
        <w:tc>
          <w:tcPr>
            <w:tcW w:w="904" w:type="dxa"/>
          </w:tcPr>
          <w:p>
            <w:pPr>
              <w:pStyle w:val="TableParagraph"/>
              <w:spacing w:before="4"/>
              <w:rPr>
                <w:rFonts w:ascii="Times New Roman"/>
                <w:sz w:val="18"/>
              </w:rPr>
            </w:pPr>
          </w:p>
          <w:p>
            <w:pPr>
              <w:pStyle w:val="TableParagraph"/>
              <w:ind w:left="110"/>
              <w:rPr>
                <w:sz w:val="21"/>
              </w:rPr>
            </w:pPr>
            <w:r>
              <w:rPr>
                <w:sz w:val="21"/>
              </w:rPr>
              <w:t>6.3</w:t>
            </w:r>
          </w:p>
        </w:tc>
        <w:tc>
          <w:tcPr>
            <w:tcW w:w="1913" w:type="dxa"/>
          </w:tcPr>
          <w:p>
            <w:pPr>
              <w:pStyle w:val="TableParagraph"/>
              <w:spacing w:before="4"/>
              <w:rPr>
                <w:rFonts w:ascii="Times New Roman"/>
                <w:sz w:val="18"/>
              </w:rPr>
            </w:pPr>
          </w:p>
          <w:p>
            <w:pPr>
              <w:pStyle w:val="TableParagraph"/>
              <w:ind w:left="476"/>
              <w:rPr>
                <w:sz w:val="21"/>
              </w:rPr>
            </w:pPr>
            <w:r>
              <w:rPr>
                <w:sz w:val="21"/>
              </w:rPr>
              <w:t>联系方式变更</w:t>
            </w:r>
          </w:p>
        </w:tc>
        <w:tc>
          <w:tcPr>
            <w:tcW w:w="6505" w:type="dxa"/>
          </w:tcPr>
          <w:p>
            <w:pPr>
              <w:pStyle w:val="TableParagraph"/>
              <w:spacing w:before="4"/>
              <w:rPr>
                <w:rFonts w:ascii="Times New Roman"/>
                <w:sz w:val="18"/>
              </w:rPr>
            </w:pPr>
          </w:p>
          <w:p>
            <w:pPr>
              <w:pStyle w:val="TableParagraph"/>
              <w:spacing w:line="300" w:lineRule="auto"/>
              <w:ind w:left="173" w:right="103"/>
              <w:jc w:val="both"/>
              <w:rPr>
                <w:sz w:val="21"/>
              </w:rPr>
            </w:pPr>
            <w:r>
              <w:rPr>
                <w:spacing w:val="-9"/>
                <w:sz w:val="21"/>
              </w:rPr>
              <w:t>为了保障您的合法利益，您的住所、通讯地址、电话或电子邮箱等联</w:t>
            </w:r>
            <w:r>
              <w:rPr>
                <w:spacing w:val="-11"/>
                <w:sz w:val="21"/>
              </w:rPr>
              <w:t>系方式变更时，请及时以书面或双方认可的其他形式通知我们。如果</w:t>
            </w:r>
            <w:r>
              <w:rPr>
                <w:sz w:val="21"/>
              </w:rPr>
              <w:t>您没有及时通知我们，我们按本合同所载的最后住所或最新通讯地</w:t>
            </w:r>
            <w:r>
              <w:rPr>
                <w:spacing w:val="-3"/>
                <w:sz w:val="21"/>
              </w:rPr>
              <w:t>址、电子邮箱等发送的有关通知，均视为已送达给您。</w:t>
            </w:r>
          </w:p>
        </w:tc>
      </w:tr>
      <w:tr>
        <w:trPr>
          <w:trHeight w:val="1119" w:hRule="atLeast"/>
        </w:trPr>
        <w:tc>
          <w:tcPr>
            <w:tcW w:w="904" w:type="dxa"/>
          </w:tcPr>
          <w:p>
            <w:pPr>
              <w:pStyle w:val="TableParagraph"/>
              <w:spacing w:before="11"/>
              <w:rPr>
                <w:rFonts w:ascii="Times New Roman"/>
                <w:sz w:val="18"/>
              </w:rPr>
            </w:pPr>
          </w:p>
          <w:p>
            <w:pPr>
              <w:pStyle w:val="TableParagraph"/>
              <w:ind w:left="110"/>
              <w:rPr>
                <w:sz w:val="21"/>
              </w:rPr>
            </w:pPr>
            <w:r>
              <w:rPr>
                <w:sz w:val="21"/>
              </w:rPr>
              <w:t>6.4</w:t>
            </w:r>
          </w:p>
        </w:tc>
        <w:tc>
          <w:tcPr>
            <w:tcW w:w="1913" w:type="dxa"/>
          </w:tcPr>
          <w:p>
            <w:pPr>
              <w:pStyle w:val="TableParagraph"/>
              <w:spacing w:before="11"/>
              <w:rPr>
                <w:rFonts w:ascii="Times New Roman"/>
                <w:sz w:val="18"/>
              </w:rPr>
            </w:pPr>
          </w:p>
          <w:p>
            <w:pPr>
              <w:pStyle w:val="TableParagraph"/>
              <w:ind w:left="476"/>
              <w:rPr>
                <w:sz w:val="21"/>
              </w:rPr>
            </w:pPr>
            <w:r>
              <w:rPr>
                <w:sz w:val="21"/>
              </w:rPr>
              <w:t>司法鉴定</w:t>
            </w:r>
          </w:p>
        </w:tc>
        <w:tc>
          <w:tcPr>
            <w:tcW w:w="6505" w:type="dxa"/>
          </w:tcPr>
          <w:p>
            <w:pPr>
              <w:pStyle w:val="TableParagraph"/>
              <w:spacing w:before="11"/>
              <w:rPr>
                <w:rFonts w:ascii="Times New Roman"/>
                <w:sz w:val="18"/>
              </w:rPr>
            </w:pPr>
          </w:p>
          <w:p>
            <w:pPr>
              <w:pStyle w:val="TableParagraph"/>
              <w:spacing w:line="300" w:lineRule="auto"/>
              <w:ind w:left="173" w:right="100"/>
              <w:rPr>
                <w:sz w:val="21"/>
              </w:rPr>
            </w:pPr>
            <w:r>
              <w:rPr>
                <w:spacing w:val="-7"/>
                <w:sz w:val="21"/>
              </w:rPr>
              <w:t>我们有权要求通过司法鉴定机构对保险事故进行鉴定，您、被保险人</w:t>
            </w:r>
            <w:r>
              <w:rPr>
                <w:spacing w:val="-5"/>
                <w:sz w:val="21"/>
              </w:rPr>
              <w:t>和受益人应当予以配合。</w:t>
            </w:r>
          </w:p>
        </w:tc>
      </w:tr>
      <w:tr>
        <w:trPr>
          <w:trHeight w:val="494" w:hRule="atLeast"/>
        </w:trPr>
        <w:tc>
          <w:tcPr>
            <w:tcW w:w="904" w:type="dxa"/>
          </w:tcPr>
          <w:p>
            <w:pPr>
              <w:pStyle w:val="TableParagraph"/>
              <w:rPr>
                <w:rFonts w:ascii="Times New Roman"/>
                <w:sz w:val="19"/>
              </w:rPr>
            </w:pPr>
          </w:p>
          <w:p>
            <w:pPr>
              <w:pStyle w:val="TableParagraph"/>
              <w:spacing w:line="255" w:lineRule="exact" w:before="1"/>
              <w:ind w:left="111"/>
              <w:rPr>
                <w:sz w:val="21"/>
              </w:rPr>
            </w:pPr>
            <w:r>
              <w:rPr>
                <w:sz w:val="21"/>
              </w:rPr>
              <w:t>6.5</w:t>
            </w:r>
          </w:p>
        </w:tc>
        <w:tc>
          <w:tcPr>
            <w:tcW w:w="1913" w:type="dxa"/>
          </w:tcPr>
          <w:p>
            <w:pPr>
              <w:pStyle w:val="TableParagraph"/>
              <w:rPr>
                <w:rFonts w:ascii="Times New Roman"/>
                <w:sz w:val="19"/>
              </w:rPr>
            </w:pPr>
          </w:p>
          <w:p>
            <w:pPr>
              <w:pStyle w:val="TableParagraph"/>
              <w:spacing w:line="255" w:lineRule="exact" w:before="1"/>
              <w:ind w:left="476"/>
              <w:rPr>
                <w:sz w:val="21"/>
              </w:rPr>
            </w:pPr>
            <w:r>
              <w:rPr>
                <w:sz w:val="21"/>
              </w:rPr>
              <w:t>争议处理</w:t>
            </w:r>
          </w:p>
        </w:tc>
        <w:tc>
          <w:tcPr>
            <w:tcW w:w="6505" w:type="dxa"/>
          </w:tcPr>
          <w:p>
            <w:pPr>
              <w:pStyle w:val="TableParagraph"/>
              <w:rPr>
                <w:rFonts w:ascii="Times New Roman"/>
                <w:sz w:val="19"/>
              </w:rPr>
            </w:pPr>
          </w:p>
          <w:p>
            <w:pPr>
              <w:pStyle w:val="TableParagraph"/>
              <w:spacing w:line="255" w:lineRule="exact" w:before="1"/>
              <w:ind w:left="174"/>
              <w:rPr>
                <w:sz w:val="21"/>
              </w:rPr>
            </w:pPr>
            <w:r>
              <w:rPr>
                <w:sz w:val="21"/>
              </w:rPr>
              <w:t>合同争议解决方式从下列两种方式中选择一种：</w:t>
            </w:r>
          </w:p>
        </w:tc>
      </w:tr>
    </w:tbl>
    <w:p>
      <w:pPr>
        <w:spacing w:after="0" w:line="255" w:lineRule="exact"/>
        <w:rPr>
          <w:sz w:val="21"/>
        </w:rPr>
        <w:sectPr>
          <w:pgSz w:w="11910" w:h="16840"/>
          <w:pgMar w:header="0" w:footer="921" w:top="1480" w:bottom="1120" w:left="1180" w:right="11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703"/>
        <w:gridCol w:w="6716"/>
      </w:tblGrid>
      <w:tr>
        <w:trPr>
          <w:trHeight w:val="1695" w:hRule="atLeast"/>
        </w:trPr>
        <w:tc>
          <w:tcPr>
            <w:tcW w:w="904" w:type="dxa"/>
          </w:tcPr>
          <w:p>
            <w:pPr>
              <w:pStyle w:val="TableParagraph"/>
              <w:rPr>
                <w:rFonts w:ascii="Times New Roman"/>
                <w:sz w:val="20"/>
              </w:rPr>
            </w:pPr>
          </w:p>
        </w:tc>
        <w:tc>
          <w:tcPr>
            <w:tcW w:w="1703" w:type="dxa"/>
          </w:tcPr>
          <w:p>
            <w:pPr>
              <w:pStyle w:val="TableParagraph"/>
              <w:rPr>
                <w:rFonts w:ascii="Times New Roman"/>
                <w:sz w:val="20"/>
              </w:rPr>
            </w:pPr>
          </w:p>
        </w:tc>
        <w:tc>
          <w:tcPr>
            <w:tcW w:w="6716" w:type="dxa"/>
          </w:tcPr>
          <w:p>
            <w:pPr>
              <w:pStyle w:val="TableParagraph"/>
              <w:spacing w:line="211" w:lineRule="exact"/>
              <w:ind w:left="383"/>
              <w:rPr>
                <w:sz w:val="21"/>
              </w:rPr>
            </w:pPr>
            <w:r>
              <w:rPr>
                <w:sz w:val="21"/>
              </w:rPr>
              <w:t>一、因履行本合同发生的争议，由双方协商解决，协商不成的，提交</w:t>
            </w:r>
          </w:p>
          <w:p>
            <w:pPr>
              <w:pStyle w:val="TableParagraph"/>
              <w:spacing w:before="68"/>
              <w:ind w:left="383"/>
              <w:rPr>
                <w:sz w:val="21"/>
              </w:rPr>
            </w:pPr>
            <w:r>
              <w:rPr>
                <w:sz w:val="21"/>
              </w:rPr>
              <w:t>约定的仲裁委员会仲裁；</w:t>
            </w:r>
          </w:p>
          <w:p>
            <w:pPr>
              <w:pStyle w:val="TableParagraph"/>
              <w:spacing w:line="300" w:lineRule="auto" w:before="68"/>
              <w:ind w:left="383" w:right="101"/>
              <w:rPr>
                <w:sz w:val="21"/>
              </w:rPr>
            </w:pPr>
            <w:r>
              <w:rPr>
                <w:spacing w:val="-9"/>
                <w:sz w:val="21"/>
              </w:rPr>
              <w:t>二、因履行本合同发生的争议，由双方协商解决，协商不成的，依法</w:t>
            </w:r>
            <w:r>
              <w:rPr>
                <w:spacing w:val="-5"/>
                <w:sz w:val="21"/>
              </w:rPr>
              <w:t>向被告所在地人民法院起诉。</w:t>
            </w:r>
          </w:p>
        </w:tc>
      </w:tr>
      <w:tr>
        <w:trPr>
          <w:trHeight w:val="446" w:hRule="atLeast"/>
        </w:trPr>
        <w:tc>
          <w:tcPr>
            <w:tcW w:w="904" w:type="dxa"/>
            <w:shd w:val="clear" w:color="auto" w:fill="CDCDCD"/>
          </w:tcPr>
          <w:p>
            <w:pPr>
              <w:pStyle w:val="TableParagraph"/>
              <w:spacing w:before="43"/>
              <w:ind w:left="110"/>
              <w:rPr>
                <w:rFonts w:ascii="Wingdings" w:hAnsi="Wingdings"/>
                <w:sz w:val="32"/>
              </w:rPr>
            </w:pPr>
            <w:r>
              <w:rPr>
                <w:rFonts w:ascii="Wingdings" w:hAnsi="Wingdings"/>
                <w:w w:val="99"/>
                <w:sz w:val="32"/>
              </w:rPr>
              <w:t></w:t>
            </w:r>
          </w:p>
        </w:tc>
        <w:tc>
          <w:tcPr>
            <w:tcW w:w="8419" w:type="dxa"/>
            <w:gridSpan w:val="2"/>
            <w:shd w:val="clear" w:color="auto" w:fill="CDCDCD"/>
          </w:tcPr>
          <w:p>
            <w:pPr>
              <w:pStyle w:val="TableParagraph"/>
              <w:spacing w:before="52"/>
              <w:ind w:left="475"/>
              <w:rPr>
                <w:b/>
                <w:sz w:val="21"/>
              </w:rPr>
            </w:pPr>
            <w:r>
              <w:rPr>
                <w:b/>
                <w:sz w:val="21"/>
              </w:rPr>
              <w:t>您需要了解的重要术语</w:t>
            </w:r>
          </w:p>
        </w:tc>
      </w:tr>
      <w:tr>
        <w:trPr>
          <w:trHeight w:val="429" w:hRule="atLeast"/>
        </w:trPr>
        <w:tc>
          <w:tcPr>
            <w:tcW w:w="904" w:type="dxa"/>
          </w:tcPr>
          <w:p>
            <w:pPr>
              <w:pStyle w:val="TableParagraph"/>
              <w:spacing w:before="42"/>
              <w:ind w:left="110"/>
              <w:rPr>
                <w:sz w:val="21"/>
              </w:rPr>
            </w:pPr>
            <w:r>
              <w:rPr>
                <w:sz w:val="21"/>
              </w:rPr>
              <w:t>7.1</w:t>
            </w:r>
          </w:p>
        </w:tc>
        <w:tc>
          <w:tcPr>
            <w:tcW w:w="1703" w:type="dxa"/>
          </w:tcPr>
          <w:p>
            <w:pPr>
              <w:pStyle w:val="TableParagraph"/>
              <w:spacing w:before="42"/>
              <w:ind w:left="476"/>
              <w:rPr>
                <w:sz w:val="21"/>
              </w:rPr>
            </w:pPr>
            <w:r>
              <w:rPr>
                <w:sz w:val="21"/>
              </w:rPr>
              <w:t>意外伤害</w:t>
            </w:r>
          </w:p>
        </w:tc>
        <w:tc>
          <w:tcPr>
            <w:tcW w:w="6716" w:type="dxa"/>
          </w:tcPr>
          <w:p>
            <w:pPr>
              <w:pStyle w:val="TableParagraph"/>
              <w:spacing w:before="50"/>
              <w:ind w:left="383"/>
              <w:rPr>
                <w:sz w:val="21"/>
              </w:rPr>
            </w:pPr>
            <w:r>
              <w:rPr>
                <w:spacing w:val="-16"/>
                <w:sz w:val="21"/>
              </w:rPr>
              <w:t>指外来的、突然的、非本意的、非疾病的使身体受到伤害的客观事件。</w:t>
            </w:r>
          </w:p>
        </w:tc>
      </w:tr>
      <w:tr>
        <w:trPr>
          <w:trHeight w:val="1657" w:hRule="atLeast"/>
        </w:trPr>
        <w:tc>
          <w:tcPr>
            <w:tcW w:w="904" w:type="dxa"/>
          </w:tcPr>
          <w:p>
            <w:pPr>
              <w:pStyle w:val="TableParagraph"/>
              <w:spacing w:before="40"/>
              <w:ind w:left="110"/>
              <w:rPr>
                <w:sz w:val="21"/>
              </w:rPr>
            </w:pPr>
            <w:r>
              <w:rPr>
                <w:sz w:val="21"/>
              </w:rPr>
              <w:t>7.2</w:t>
            </w:r>
          </w:p>
        </w:tc>
        <w:tc>
          <w:tcPr>
            <w:tcW w:w="1703" w:type="dxa"/>
          </w:tcPr>
          <w:p>
            <w:pPr>
              <w:pStyle w:val="TableParagraph"/>
              <w:spacing w:before="40"/>
              <w:ind w:left="476"/>
              <w:rPr>
                <w:sz w:val="21"/>
              </w:rPr>
            </w:pPr>
            <w:r>
              <w:rPr>
                <w:sz w:val="21"/>
              </w:rPr>
              <w:t>医院</w:t>
            </w:r>
          </w:p>
        </w:tc>
        <w:tc>
          <w:tcPr>
            <w:tcW w:w="6716" w:type="dxa"/>
          </w:tcPr>
          <w:p>
            <w:pPr>
              <w:pStyle w:val="TableParagraph"/>
              <w:spacing w:line="273" w:lineRule="auto" w:before="48"/>
              <w:ind w:left="383" w:right="101"/>
              <w:jc w:val="both"/>
              <w:rPr>
                <w:sz w:val="21"/>
              </w:rPr>
            </w:pPr>
            <w:r>
              <w:rPr>
                <w:sz w:val="21"/>
              </w:rPr>
              <w:t>指经中华人民共和国卫生部门评审确定的二级或二级以上的公立医</w:t>
            </w:r>
            <w:r>
              <w:rPr>
                <w:spacing w:val="-10"/>
                <w:sz w:val="21"/>
              </w:rPr>
              <w:t>院，但不包括精神病院及专供康复、休养、戒毒、戒酒、护理、养老</w:t>
            </w:r>
            <w:r>
              <w:rPr>
                <w:spacing w:val="-8"/>
                <w:sz w:val="21"/>
              </w:rPr>
              <w:t>等非以直接诊治病人为目的的医疗机构。该医院必须具有符合国家有</w:t>
            </w:r>
            <w:r>
              <w:rPr>
                <w:spacing w:val="-10"/>
                <w:sz w:val="21"/>
              </w:rPr>
              <w:t>关医院管理规则设置标准的医疗设备，且全天二十四小时有合格医师</w:t>
            </w:r>
            <w:r>
              <w:rPr>
                <w:spacing w:val="-5"/>
                <w:sz w:val="21"/>
              </w:rPr>
              <w:t>及护士驻院提供医疗及护理服务。</w:t>
            </w:r>
          </w:p>
        </w:tc>
      </w:tr>
      <w:tr>
        <w:trPr>
          <w:trHeight w:val="1334" w:hRule="atLeast"/>
        </w:trPr>
        <w:tc>
          <w:tcPr>
            <w:tcW w:w="904" w:type="dxa"/>
          </w:tcPr>
          <w:p>
            <w:pPr>
              <w:pStyle w:val="TableParagraph"/>
              <w:spacing w:before="34"/>
              <w:ind w:left="110"/>
              <w:rPr>
                <w:sz w:val="21"/>
              </w:rPr>
            </w:pPr>
            <w:r>
              <w:rPr>
                <w:sz w:val="21"/>
              </w:rPr>
              <w:t>7.3</w:t>
            </w:r>
          </w:p>
        </w:tc>
        <w:tc>
          <w:tcPr>
            <w:tcW w:w="1703" w:type="dxa"/>
          </w:tcPr>
          <w:p>
            <w:pPr>
              <w:pStyle w:val="TableParagraph"/>
              <w:spacing w:before="34"/>
              <w:ind w:left="476"/>
              <w:rPr>
                <w:sz w:val="21"/>
              </w:rPr>
            </w:pPr>
            <w:r>
              <w:rPr>
                <w:sz w:val="21"/>
              </w:rPr>
              <w:t>重大疾病</w:t>
            </w:r>
          </w:p>
        </w:tc>
        <w:tc>
          <w:tcPr>
            <w:tcW w:w="6716" w:type="dxa"/>
          </w:tcPr>
          <w:p>
            <w:pPr>
              <w:pStyle w:val="TableParagraph"/>
              <w:spacing w:before="22"/>
              <w:ind w:left="383"/>
              <w:rPr>
                <w:b/>
                <w:sz w:val="21"/>
              </w:rPr>
            </w:pPr>
            <w:r>
              <w:rPr>
                <w:sz w:val="21"/>
              </w:rPr>
              <w:t>符合以下疾病定义所述条件的疾病、疾病状态或手术，并由</w:t>
            </w:r>
            <w:r>
              <w:rPr>
                <w:b/>
                <w:sz w:val="21"/>
              </w:rPr>
              <w:t>专科医生</w:t>
            </w:r>
          </w:p>
          <w:p>
            <w:pPr>
              <w:pStyle w:val="TableParagraph"/>
              <w:spacing w:line="273" w:lineRule="auto" w:before="36"/>
              <w:ind w:left="383" w:right="24"/>
              <w:rPr>
                <w:sz w:val="21"/>
              </w:rPr>
            </w:pPr>
            <w:r>
              <w:rPr>
                <w:sz w:val="21"/>
              </w:rPr>
              <w:t>（见 7.11）明确诊断，共计三十四种。其中第一种至第二十五种为中国保险行业协会在其制定的《重大疾病保险的疾病定义使用规范》中所规定的疾病。</w:t>
            </w:r>
          </w:p>
        </w:tc>
      </w:tr>
      <w:tr>
        <w:trPr>
          <w:trHeight w:val="3651" w:hRule="atLeast"/>
        </w:trPr>
        <w:tc>
          <w:tcPr>
            <w:tcW w:w="2607" w:type="dxa"/>
            <w:gridSpan w:val="2"/>
          </w:tcPr>
          <w:p>
            <w:pPr>
              <w:pStyle w:val="TableParagraph"/>
              <w:spacing w:before="37"/>
              <w:ind w:left="110"/>
              <w:rPr>
                <w:sz w:val="21"/>
              </w:rPr>
            </w:pPr>
            <w:r>
              <w:rPr>
                <w:sz w:val="21"/>
              </w:rPr>
              <w:t>（一）恶性肿瘤</w:t>
            </w:r>
          </w:p>
        </w:tc>
        <w:tc>
          <w:tcPr>
            <w:tcW w:w="6716" w:type="dxa"/>
          </w:tcPr>
          <w:p>
            <w:pPr>
              <w:pStyle w:val="TableParagraph"/>
              <w:spacing w:line="295" w:lineRule="auto" w:before="37"/>
              <w:ind w:left="383" w:right="102"/>
              <w:jc w:val="both"/>
              <w:rPr>
                <w:sz w:val="21"/>
              </w:rPr>
            </w:pPr>
            <w:r>
              <w:rPr>
                <w:sz w:val="21"/>
              </w:rPr>
              <w:t>指恶性细胞不受控制的进行性增长和扩散，浸润和破坏周围正常组</w:t>
            </w:r>
            <w:r>
              <w:rPr>
                <w:spacing w:val="-9"/>
                <w:sz w:val="21"/>
              </w:rPr>
              <w:t>织，可以经血管、淋巴管和体腔扩散转移到身体其它部位的疾病。经</w:t>
            </w:r>
            <w:r>
              <w:rPr>
                <w:spacing w:val="-10"/>
                <w:sz w:val="21"/>
              </w:rPr>
              <w:t>病理学检查结果明确诊断，临床诊断属于世界卫生组织《疾病和有关</w:t>
            </w:r>
            <w:r>
              <w:rPr>
                <w:spacing w:val="-3"/>
                <w:sz w:val="21"/>
              </w:rPr>
              <w:t>健康问题的国际统计分类》</w:t>
            </w:r>
            <w:r>
              <w:rPr>
                <w:sz w:val="21"/>
              </w:rPr>
              <w:t>（ICD-10）</w:t>
            </w:r>
            <w:r>
              <w:rPr>
                <w:spacing w:val="-3"/>
                <w:sz w:val="21"/>
              </w:rPr>
              <w:t>的恶性肿瘤范畴。</w:t>
            </w:r>
          </w:p>
          <w:p>
            <w:pPr>
              <w:pStyle w:val="TableParagraph"/>
              <w:spacing w:line="254" w:lineRule="exact"/>
              <w:ind w:left="383"/>
              <w:jc w:val="both"/>
              <w:rPr>
                <w:sz w:val="21"/>
              </w:rPr>
            </w:pPr>
            <w:r>
              <w:rPr>
                <w:sz w:val="21"/>
              </w:rPr>
              <w:t>下列疾病不在保障范围内：</w:t>
            </w:r>
          </w:p>
          <w:p>
            <w:pPr>
              <w:pStyle w:val="TableParagraph"/>
              <w:spacing w:before="54"/>
              <w:ind w:left="383"/>
              <w:jc w:val="both"/>
              <w:rPr>
                <w:sz w:val="21"/>
              </w:rPr>
            </w:pPr>
            <w:r>
              <w:rPr>
                <w:sz w:val="21"/>
              </w:rPr>
              <w:t>（1）</w:t>
            </w:r>
            <w:r>
              <w:rPr>
                <w:b/>
                <w:sz w:val="21"/>
              </w:rPr>
              <w:t>原位癌</w:t>
            </w:r>
            <w:r>
              <w:rPr>
                <w:sz w:val="21"/>
              </w:rPr>
              <w:t>（见7.12）；</w:t>
            </w:r>
          </w:p>
          <w:p>
            <w:pPr>
              <w:pStyle w:val="TableParagraph"/>
              <w:spacing w:before="61"/>
              <w:ind w:left="383"/>
              <w:jc w:val="both"/>
              <w:rPr>
                <w:sz w:val="21"/>
              </w:rPr>
            </w:pPr>
            <w:r>
              <w:rPr>
                <w:sz w:val="21"/>
              </w:rPr>
              <w:t>（2）相当于Binet分期方案A期程度的慢性淋巴细胞白血病；</w:t>
            </w:r>
          </w:p>
          <w:p>
            <w:pPr>
              <w:pStyle w:val="TableParagraph"/>
              <w:spacing w:before="49"/>
              <w:ind w:left="383"/>
              <w:jc w:val="both"/>
              <w:rPr>
                <w:sz w:val="21"/>
              </w:rPr>
            </w:pPr>
            <w:r>
              <w:rPr>
                <w:sz w:val="21"/>
              </w:rPr>
              <w:t>（3）相当于Ann Arbor分期方案I期程度的何杰金氏病；</w:t>
            </w:r>
          </w:p>
          <w:p>
            <w:pPr>
              <w:pStyle w:val="TableParagraph"/>
              <w:spacing w:before="37"/>
              <w:ind w:left="383"/>
              <w:jc w:val="both"/>
              <w:rPr>
                <w:sz w:val="21"/>
              </w:rPr>
            </w:pPr>
            <w:r>
              <w:rPr>
                <w:sz w:val="21"/>
              </w:rPr>
              <w:t>（4）皮肤癌（不包括恶性黑色素瘤及已发生转移的皮肤癌）；</w:t>
            </w:r>
          </w:p>
          <w:p>
            <w:pPr>
              <w:pStyle w:val="TableParagraph"/>
              <w:spacing w:before="37"/>
              <w:ind w:left="383"/>
              <w:jc w:val="both"/>
              <w:rPr>
                <w:sz w:val="21"/>
              </w:rPr>
            </w:pPr>
            <w:r>
              <w:rPr>
                <w:sz w:val="21"/>
              </w:rPr>
              <w:t>（5）TNM分期为T1N0M0期或更轻分期的前列腺癌；</w:t>
            </w:r>
          </w:p>
          <w:p>
            <w:pPr>
              <w:pStyle w:val="TableParagraph"/>
              <w:spacing w:before="37"/>
              <w:ind w:left="383"/>
              <w:jc w:val="both"/>
              <w:rPr>
                <w:sz w:val="21"/>
              </w:rPr>
            </w:pPr>
            <w:r>
              <w:rPr>
                <w:sz w:val="21"/>
              </w:rPr>
              <w:t>（6）感染艾滋病病毒或患艾滋病期间所患恶性肿瘤。</w:t>
            </w:r>
          </w:p>
        </w:tc>
      </w:tr>
      <w:tr>
        <w:trPr>
          <w:trHeight w:val="2772" w:hRule="atLeast"/>
        </w:trPr>
        <w:tc>
          <w:tcPr>
            <w:tcW w:w="2607" w:type="dxa"/>
            <w:gridSpan w:val="2"/>
          </w:tcPr>
          <w:p>
            <w:pPr>
              <w:pStyle w:val="TableParagraph"/>
              <w:spacing w:before="38"/>
              <w:ind w:left="110"/>
              <w:rPr>
                <w:sz w:val="21"/>
              </w:rPr>
            </w:pPr>
            <w:r>
              <w:rPr>
                <w:sz w:val="21"/>
              </w:rPr>
              <w:t>（二）急性心肌梗塞</w:t>
            </w:r>
          </w:p>
        </w:tc>
        <w:tc>
          <w:tcPr>
            <w:tcW w:w="6716" w:type="dxa"/>
          </w:tcPr>
          <w:p>
            <w:pPr>
              <w:pStyle w:val="TableParagraph"/>
              <w:spacing w:line="292" w:lineRule="auto" w:before="38"/>
              <w:ind w:left="383" w:right="26"/>
              <w:rPr>
                <w:sz w:val="21"/>
              </w:rPr>
            </w:pPr>
            <w:r>
              <w:rPr>
                <w:sz w:val="21"/>
              </w:rPr>
              <w:t>指因冠状动脉阻塞导致的相应区域供血不足造成部分心肌坏死。须满足下列至少三项条件：</w:t>
            </w:r>
          </w:p>
          <w:p>
            <w:pPr>
              <w:pStyle w:val="TableParagraph"/>
              <w:spacing w:before="17"/>
              <w:ind w:left="383"/>
              <w:rPr>
                <w:sz w:val="21"/>
              </w:rPr>
            </w:pPr>
            <w:r>
              <w:rPr>
                <w:sz w:val="21"/>
              </w:rPr>
              <w:t>（1）典型临床表现，例如急性胸痛等；</w:t>
            </w:r>
          </w:p>
          <w:p>
            <w:pPr>
              <w:pStyle w:val="TableParagraph"/>
              <w:spacing w:before="61"/>
              <w:ind w:left="383"/>
              <w:rPr>
                <w:sz w:val="21"/>
              </w:rPr>
            </w:pPr>
            <w:r>
              <w:rPr>
                <w:sz w:val="21"/>
              </w:rPr>
              <w:t>（2）新近的心电图改变提示急性心肌梗塞；</w:t>
            </w:r>
          </w:p>
          <w:p>
            <w:pPr>
              <w:pStyle w:val="TableParagraph"/>
              <w:spacing w:line="292" w:lineRule="auto" w:before="61"/>
              <w:ind w:left="383" w:right="104"/>
              <w:rPr>
                <w:sz w:val="21"/>
              </w:rPr>
            </w:pPr>
            <w:r>
              <w:rPr>
                <w:sz w:val="21"/>
              </w:rPr>
              <w:t>（3）心肌酶或肌钙蛋白有诊断意义的升高，或呈符合急性心肌梗塞的动态性变化；</w:t>
            </w:r>
          </w:p>
          <w:p>
            <w:pPr>
              <w:pStyle w:val="TableParagraph"/>
              <w:spacing w:line="292" w:lineRule="auto" w:before="17"/>
              <w:ind w:left="383" w:right="103" w:hanging="1"/>
              <w:rPr>
                <w:sz w:val="21"/>
              </w:rPr>
            </w:pPr>
            <w:r>
              <w:rPr>
                <w:spacing w:val="-9"/>
                <w:sz w:val="21"/>
              </w:rPr>
              <w:t>（4）</w:t>
            </w:r>
            <w:r>
              <w:rPr>
                <w:spacing w:val="-15"/>
                <w:sz w:val="21"/>
              </w:rPr>
              <w:t>发病 </w:t>
            </w:r>
            <w:r>
              <w:rPr>
                <w:sz w:val="21"/>
              </w:rPr>
              <w:t>90</w:t>
            </w:r>
            <w:r>
              <w:rPr>
                <w:spacing w:val="-12"/>
                <w:sz w:val="21"/>
              </w:rPr>
              <w:t> 天后，经检查证实左心室功能降低，如左心室射血分数</w:t>
            </w:r>
            <w:r>
              <w:rPr>
                <w:spacing w:val="-26"/>
                <w:sz w:val="21"/>
              </w:rPr>
              <w:t>低于 </w:t>
            </w:r>
            <w:r>
              <w:rPr>
                <w:sz w:val="21"/>
              </w:rPr>
              <w:t>50%。</w:t>
            </w:r>
          </w:p>
        </w:tc>
      </w:tr>
      <w:tr>
        <w:trPr>
          <w:trHeight w:val="1671" w:hRule="atLeast"/>
        </w:trPr>
        <w:tc>
          <w:tcPr>
            <w:tcW w:w="2607" w:type="dxa"/>
            <w:gridSpan w:val="2"/>
          </w:tcPr>
          <w:p>
            <w:pPr>
              <w:pStyle w:val="TableParagraph"/>
              <w:spacing w:before="38"/>
              <w:ind w:left="111"/>
              <w:rPr>
                <w:sz w:val="21"/>
              </w:rPr>
            </w:pPr>
            <w:r>
              <w:rPr>
                <w:sz w:val="21"/>
              </w:rPr>
              <w:t>（三）脑中风后遗症</w:t>
            </w:r>
          </w:p>
        </w:tc>
        <w:tc>
          <w:tcPr>
            <w:tcW w:w="6716" w:type="dxa"/>
          </w:tcPr>
          <w:p>
            <w:pPr>
              <w:pStyle w:val="TableParagraph"/>
              <w:spacing w:line="292" w:lineRule="auto" w:before="50"/>
              <w:ind w:left="383" w:right="101"/>
              <w:jc w:val="both"/>
              <w:rPr>
                <w:sz w:val="21"/>
              </w:rPr>
            </w:pPr>
            <w:r>
              <w:rPr>
                <w:spacing w:val="-8"/>
                <w:sz w:val="21"/>
              </w:rPr>
              <w:t>指因脑血管的突发病变引起脑血管出血、栓塞或梗塞，并导致神经系统永久性的功能障碍。神经系统永久性的功能障碍，指疾病确诊</w:t>
            </w:r>
            <w:r>
              <w:rPr>
                <w:sz w:val="21"/>
              </w:rPr>
              <w:t>180 </w:t>
            </w:r>
            <w:r>
              <w:rPr>
                <w:spacing w:val="-3"/>
                <w:sz w:val="21"/>
              </w:rPr>
              <w:t>天后，仍遗留下列一种或一种以上障碍：</w:t>
            </w:r>
          </w:p>
          <w:p>
            <w:pPr>
              <w:pStyle w:val="TableParagraph"/>
              <w:spacing w:before="17"/>
              <w:ind w:left="383"/>
              <w:jc w:val="both"/>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见7</w:t>
            </w:r>
            <w:r>
              <w:rPr>
                <w:spacing w:val="-3"/>
                <w:w w:val="100"/>
                <w:sz w:val="21"/>
              </w:rPr>
              <w:t>.</w:t>
            </w:r>
            <w:r>
              <w:rPr>
                <w:w w:val="100"/>
                <w:sz w:val="21"/>
              </w:rPr>
              <w:t>13</w:t>
            </w:r>
            <w:r>
              <w:rPr>
                <w:spacing w:val="-108"/>
                <w:w w:val="100"/>
                <w:sz w:val="21"/>
              </w:rPr>
              <w:t>）；</w:t>
            </w:r>
          </w:p>
          <w:p>
            <w:pPr>
              <w:pStyle w:val="TableParagraph"/>
              <w:spacing w:line="255" w:lineRule="exact" w:before="61"/>
              <w:ind w:left="383"/>
              <w:jc w:val="both"/>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见</w:t>
            </w:r>
            <w:r>
              <w:rPr>
                <w:spacing w:val="-3"/>
                <w:w w:val="100"/>
                <w:sz w:val="21"/>
              </w:rPr>
              <w:t>7</w:t>
            </w:r>
            <w:r>
              <w:rPr>
                <w:w w:val="100"/>
                <w:sz w:val="21"/>
              </w:rPr>
              <w:t>.14</w:t>
            </w:r>
            <w:r>
              <w:rPr>
                <w:spacing w:val="-108"/>
                <w:w w:val="100"/>
                <w:sz w:val="21"/>
              </w:rPr>
              <w:t>）；</w:t>
            </w:r>
          </w:p>
        </w:tc>
      </w:tr>
    </w:tbl>
    <w:p>
      <w:pPr>
        <w:spacing w:after="0" w:line="255" w:lineRule="exact"/>
        <w:jc w:val="both"/>
        <w:rPr>
          <w:sz w:val="21"/>
        </w:rPr>
        <w:sectPr>
          <w:pgSz w:w="11910" w:h="16840"/>
          <w:pgMar w:header="0" w:footer="921" w:top="1480" w:bottom="1120" w:left="1180" w:right="11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3"/>
        <w:gridCol w:w="6634"/>
      </w:tblGrid>
      <w:tr>
        <w:trPr>
          <w:trHeight w:val="657" w:hRule="atLeast"/>
        </w:trPr>
        <w:tc>
          <w:tcPr>
            <w:tcW w:w="2973" w:type="dxa"/>
          </w:tcPr>
          <w:p>
            <w:pPr>
              <w:pStyle w:val="TableParagraph"/>
              <w:rPr>
                <w:rFonts w:ascii="Times New Roman"/>
                <w:sz w:val="20"/>
              </w:rPr>
            </w:pPr>
          </w:p>
        </w:tc>
        <w:tc>
          <w:tcPr>
            <w:tcW w:w="6634" w:type="dxa"/>
          </w:tcPr>
          <w:p>
            <w:pPr>
              <w:pStyle w:val="TableParagraph"/>
              <w:spacing w:line="209" w:lineRule="exact"/>
              <w:ind w:left="107"/>
              <w:rPr>
                <w:b/>
                <w:sz w:val="21"/>
              </w:rPr>
            </w:pPr>
            <w:r>
              <w:rPr>
                <w:sz w:val="21"/>
              </w:rPr>
              <w:t>（3）自主生活能力完全丧失，无法独立完成</w:t>
            </w:r>
            <w:r>
              <w:rPr>
                <w:b/>
                <w:sz w:val="21"/>
              </w:rPr>
              <w:t>六项基本日常生活活动</w:t>
            </w:r>
          </w:p>
          <w:p>
            <w:pPr>
              <w:pStyle w:val="TableParagraph"/>
              <w:spacing w:before="63"/>
              <w:ind w:left="107"/>
              <w:rPr>
                <w:sz w:val="21"/>
              </w:rPr>
            </w:pPr>
            <w:r>
              <w:rPr>
                <w:sz w:val="21"/>
              </w:rPr>
              <w:t>（见 7.15）中的三项或三项以上。</w:t>
            </w:r>
          </w:p>
        </w:tc>
      </w:tr>
      <w:tr>
        <w:trPr>
          <w:trHeight w:val="1773" w:hRule="atLeast"/>
        </w:trPr>
        <w:tc>
          <w:tcPr>
            <w:tcW w:w="2973" w:type="dxa"/>
          </w:tcPr>
          <w:p>
            <w:pPr>
              <w:pStyle w:val="TableParagraph"/>
              <w:spacing w:line="292" w:lineRule="auto" w:before="42"/>
              <w:ind w:left="200" w:right="104"/>
              <w:rPr>
                <w:sz w:val="21"/>
              </w:rPr>
            </w:pPr>
            <w:r>
              <w:rPr>
                <w:sz w:val="21"/>
              </w:rPr>
              <w:t>（四</w:t>
            </w:r>
            <w:r>
              <w:rPr>
                <w:spacing w:val="-68"/>
                <w:sz w:val="21"/>
              </w:rPr>
              <w:t>）</w:t>
            </w:r>
            <w:r>
              <w:rPr>
                <w:spacing w:val="-3"/>
                <w:sz w:val="21"/>
              </w:rPr>
              <w:t>重大器官移植术或造血干细胞移植术</w:t>
            </w:r>
          </w:p>
        </w:tc>
        <w:tc>
          <w:tcPr>
            <w:tcW w:w="6634" w:type="dxa"/>
          </w:tcPr>
          <w:p>
            <w:pPr>
              <w:pStyle w:val="TableParagraph"/>
              <w:spacing w:line="292" w:lineRule="auto" w:before="42"/>
              <w:ind w:left="106" w:right="219"/>
              <w:jc w:val="both"/>
              <w:rPr>
                <w:sz w:val="21"/>
              </w:rPr>
            </w:pPr>
            <w:r>
              <w:rPr>
                <w:sz w:val="21"/>
              </w:rPr>
              <w:t>重大器官移植术，指因相应器官功能衰竭，已经实施了肾脏、肝脏、心脏或肺脏的异体移植手术。</w:t>
            </w:r>
          </w:p>
          <w:p>
            <w:pPr>
              <w:pStyle w:val="TableParagraph"/>
              <w:spacing w:line="295" w:lineRule="auto" w:before="15"/>
              <w:ind w:left="106" w:right="296"/>
              <w:jc w:val="both"/>
              <w:rPr>
                <w:sz w:val="21"/>
              </w:rPr>
            </w:pPr>
            <w:r>
              <w:rPr>
                <w:spacing w:val="-10"/>
                <w:sz w:val="21"/>
              </w:rPr>
              <w:t>造血干细胞移植术，指因造血功能损害或造血系统恶性肿瘤，已经实</w:t>
            </w:r>
            <w:r>
              <w:rPr>
                <w:spacing w:val="-11"/>
                <w:sz w:val="21"/>
              </w:rPr>
              <w:t>施了造血干细胞</w:t>
            </w:r>
            <w:r>
              <w:rPr>
                <w:sz w:val="21"/>
              </w:rPr>
              <w:t>（</w:t>
            </w:r>
            <w:r>
              <w:rPr>
                <w:spacing w:val="-7"/>
                <w:sz w:val="21"/>
              </w:rPr>
              <w:t>包括骨髓造血干细胞、外周血造血干细胞和脐血造</w:t>
            </w:r>
            <w:r>
              <w:rPr>
                <w:spacing w:val="-5"/>
                <w:sz w:val="21"/>
              </w:rPr>
              <w:t>血干细胞</w:t>
            </w:r>
            <w:r>
              <w:rPr>
                <w:spacing w:val="-3"/>
                <w:sz w:val="21"/>
              </w:rPr>
              <w:t>）的异体移植手术。</w:t>
            </w:r>
          </w:p>
        </w:tc>
      </w:tr>
      <w:tr>
        <w:trPr>
          <w:trHeight w:val="1435" w:hRule="atLeast"/>
        </w:trPr>
        <w:tc>
          <w:tcPr>
            <w:tcW w:w="2973" w:type="dxa"/>
          </w:tcPr>
          <w:p>
            <w:pPr>
              <w:pStyle w:val="TableParagraph"/>
              <w:spacing w:line="292" w:lineRule="auto" w:before="42"/>
              <w:ind w:left="200" w:right="33"/>
              <w:rPr>
                <w:sz w:val="21"/>
              </w:rPr>
            </w:pPr>
            <w:r>
              <w:rPr>
                <w:sz w:val="21"/>
              </w:rPr>
              <w:t>（五）冠状动脉搭桥术（或称冠状动脉旁路移植术）</w:t>
            </w:r>
          </w:p>
        </w:tc>
        <w:tc>
          <w:tcPr>
            <w:tcW w:w="6634" w:type="dxa"/>
          </w:tcPr>
          <w:p>
            <w:pPr>
              <w:pStyle w:val="TableParagraph"/>
              <w:spacing w:line="292" w:lineRule="auto" w:before="42"/>
              <w:ind w:left="106" w:right="300"/>
              <w:rPr>
                <w:sz w:val="21"/>
              </w:rPr>
            </w:pPr>
            <w:r>
              <w:rPr>
                <w:spacing w:val="-10"/>
                <w:sz w:val="21"/>
              </w:rPr>
              <w:t>指为治疗严重的冠心病，实际实施了开胸进行的冠状动脉血管旁路移</w:t>
            </w:r>
            <w:r>
              <w:rPr>
                <w:spacing w:val="-1"/>
                <w:sz w:val="21"/>
              </w:rPr>
              <w:t>植的手术。</w:t>
            </w:r>
          </w:p>
          <w:p>
            <w:pPr>
              <w:pStyle w:val="TableParagraph"/>
              <w:spacing w:line="292" w:lineRule="auto" w:before="15"/>
              <w:ind w:left="106" w:right="296"/>
              <w:rPr>
                <w:sz w:val="21"/>
              </w:rPr>
            </w:pPr>
            <w:r>
              <w:rPr>
                <w:spacing w:val="-9"/>
                <w:sz w:val="21"/>
              </w:rPr>
              <w:t>冠状动脉支架植入术、心导管球囊扩张术、激光射频技术及其它非开</w:t>
            </w:r>
            <w:r>
              <w:rPr>
                <w:spacing w:val="-5"/>
                <w:sz w:val="21"/>
              </w:rPr>
              <w:t>胸的介入手术、腔镜手术不在保障范围内。</w:t>
            </w:r>
          </w:p>
        </w:tc>
      </w:tr>
      <w:tr>
        <w:trPr>
          <w:trHeight w:val="763" w:hRule="atLeast"/>
        </w:trPr>
        <w:tc>
          <w:tcPr>
            <w:tcW w:w="2973" w:type="dxa"/>
          </w:tcPr>
          <w:p>
            <w:pPr>
              <w:pStyle w:val="TableParagraph"/>
              <w:spacing w:line="292" w:lineRule="auto" w:before="42"/>
              <w:ind w:left="200" w:right="33"/>
              <w:rPr>
                <w:sz w:val="21"/>
              </w:rPr>
            </w:pPr>
            <w:r>
              <w:rPr>
                <w:sz w:val="21"/>
              </w:rPr>
              <w:t>（六）终末期肾病（或称慢性肾功能衰竭尿毒症期）</w:t>
            </w:r>
          </w:p>
        </w:tc>
        <w:tc>
          <w:tcPr>
            <w:tcW w:w="6634" w:type="dxa"/>
          </w:tcPr>
          <w:p>
            <w:pPr>
              <w:pStyle w:val="TableParagraph"/>
              <w:spacing w:line="290" w:lineRule="auto" w:before="42"/>
              <w:ind w:left="106" w:right="296"/>
              <w:rPr>
                <w:sz w:val="21"/>
              </w:rPr>
            </w:pPr>
            <w:r>
              <w:rPr>
                <w:spacing w:val="-8"/>
                <w:sz w:val="21"/>
              </w:rPr>
              <w:t>指双肾功能慢性不可逆性衰竭，达到尿毒症期，经诊断后已经进行了</w:t>
            </w:r>
            <w:r>
              <w:rPr>
                <w:spacing w:val="-1"/>
                <w:sz w:val="21"/>
              </w:rPr>
              <w:t>至少90</w:t>
            </w:r>
            <w:r>
              <w:rPr>
                <w:spacing w:val="-3"/>
                <w:sz w:val="21"/>
              </w:rPr>
              <w:t>天的规律性透析治疗或实施了肾脏移植手术。</w:t>
            </w:r>
          </w:p>
        </w:tc>
      </w:tr>
      <w:tr>
        <w:trPr>
          <w:trHeight w:val="764" w:hRule="atLeast"/>
        </w:trPr>
        <w:tc>
          <w:tcPr>
            <w:tcW w:w="2973" w:type="dxa"/>
          </w:tcPr>
          <w:p>
            <w:pPr>
              <w:pStyle w:val="TableParagraph"/>
              <w:spacing w:before="42"/>
              <w:ind w:left="200"/>
              <w:rPr>
                <w:sz w:val="21"/>
              </w:rPr>
            </w:pPr>
            <w:r>
              <w:rPr>
                <w:sz w:val="21"/>
              </w:rPr>
              <w:t>（七）多个肢体缺失</w:t>
            </w:r>
          </w:p>
        </w:tc>
        <w:tc>
          <w:tcPr>
            <w:tcW w:w="6634" w:type="dxa"/>
          </w:tcPr>
          <w:p>
            <w:pPr>
              <w:pStyle w:val="TableParagraph"/>
              <w:spacing w:line="295" w:lineRule="auto" w:before="42"/>
              <w:ind w:left="107" w:right="299"/>
              <w:rPr>
                <w:sz w:val="21"/>
              </w:rPr>
            </w:pPr>
            <w:r>
              <w:rPr>
                <w:sz w:val="21"/>
              </w:rPr>
              <w:t>指因疾病或意外伤害导致两个或两个以上肢体自腕关节或踝关节近端（靠近躯干端）以上完全性断离。</w:t>
            </w:r>
          </w:p>
        </w:tc>
      </w:tr>
      <w:tr>
        <w:trPr>
          <w:trHeight w:val="2110" w:hRule="atLeast"/>
        </w:trPr>
        <w:tc>
          <w:tcPr>
            <w:tcW w:w="2973" w:type="dxa"/>
          </w:tcPr>
          <w:p>
            <w:pPr>
              <w:pStyle w:val="TableParagraph"/>
              <w:spacing w:before="40"/>
              <w:ind w:left="200"/>
              <w:rPr>
                <w:sz w:val="21"/>
              </w:rPr>
            </w:pPr>
            <w:r>
              <w:rPr>
                <w:sz w:val="21"/>
              </w:rPr>
              <w:t>（八</w:t>
            </w:r>
            <w:r>
              <w:rPr>
                <w:spacing w:val="-68"/>
                <w:sz w:val="21"/>
              </w:rPr>
              <w:t>）</w:t>
            </w:r>
            <w:r>
              <w:rPr>
                <w:spacing w:val="-3"/>
                <w:sz w:val="21"/>
              </w:rPr>
              <w:t>急性或亚急性重症肝炎</w:t>
            </w:r>
          </w:p>
        </w:tc>
        <w:tc>
          <w:tcPr>
            <w:tcW w:w="6634" w:type="dxa"/>
          </w:tcPr>
          <w:p>
            <w:pPr>
              <w:pStyle w:val="TableParagraph"/>
              <w:spacing w:line="295" w:lineRule="auto" w:before="40"/>
              <w:ind w:left="107" w:right="219"/>
              <w:rPr>
                <w:sz w:val="21"/>
              </w:rPr>
            </w:pPr>
            <w:r>
              <w:rPr>
                <w:sz w:val="21"/>
              </w:rPr>
              <w:t>指因肝炎病毒感染引起肝脏组织弥漫性坏死，导致急性肝功能衰竭， 且经血清学或病毒学检查证实，并须满足下列全部条件：</w:t>
            </w:r>
          </w:p>
          <w:p>
            <w:pPr>
              <w:pStyle w:val="TableParagraph"/>
              <w:spacing w:before="12"/>
              <w:ind w:left="107"/>
              <w:rPr>
                <w:sz w:val="21"/>
              </w:rPr>
            </w:pPr>
            <w:r>
              <w:rPr>
                <w:sz w:val="21"/>
              </w:rPr>
              <w:t>（1）重度黄疸或黄疸迅速加重；</w:t>
            </w:r>
          </w:p>
          <w:p>
            <w:pPr>
              <w:pStyle w:val="TableParagraph"/>
              <w:spacing w:before="61"/>
              <w:ind w:left="107"/>
              <w:rPr>
                <w:sz w:val="21"/>
              </w:rPr>
            </w:pPr>
            <w:r>
              <w:rPr>
                <w:sz w:val="21"/>
              </w:rPr>
              <w:t>（2）肝性脑病；</w:t>
            </w:r>
          </w:p>
          <w:p>
            <w:pPr>
              <w:pStyle w:val="TableParagraph"/>
              <w:spacing w:before="61"/>
              <w:ind w:left="107"/>
              <w:rPr>
                <w:sz w:val="21"/>
              </w:rPr>
            </w:pPr>
            <w:r>
              <w:rPr>
                <w:sz w:val="21"/>
              </w:rPr>
              <w:t>（3）B超或其它影像学检查显示肝脏体积急速萎缩；</w:t>
            </w:r>
          </w:p>
          <w:p>
            <w:pPr>
              <w:pStyle w:val="TableParagraph"/>
              <w:spacing w:before="63"/>
              <w:ind w:left="107"/>
              <w:rPr>
                <w:sz w:val="21"/>
              </w:rPr>
            </w:pPr>
            <w:r>
              <w:rPr>
                <w:sz w:val="21"/>
              </w:rPr>
              <w:t>（4）肝功能指标进行性恶化。</w:t>
            </w:r>
          </w:p>
        </w:tc>
      </w:tr>
      <w:tr>
        <w:trPr>
          <w:trHeight w:val="2445" w:hRule="atLeast"/>
        </w:trPr>
        <w:tc>
          <w:tcPr>
            <w:tcW w:w="2973" w:type="dxa"/>
          </w:tcPr>
          <w:p>
            <w:pPr>
              <w:pStyle w:val="TableParagraph"/>
              <w:spacing w:before="42"/>
              <w:ind w:left="200"/>
              <w:rPr>
                <w:sz w:val="21"/>
              </w:rPr>
            </w:pPr>
            <w:r>
              <w:rPr>
                <w:sz w:val="21"/>
              </w:rPr>
              <w:t>（九）良性脑肿瘤</w:t>
            </w:r>
          </w:p>
        </w:tc>
        <w:tc>
          <w:tcPr>
            <w:tcW w:w="6634" w:type="dxa"/>
          </w:tcPr>
          <w:p>
            <w:pPr>
              <w:pStyle w:val="TableParagraph"/>
              <w:spacing w:line="292" w:lineRule="auto" w:before="42"/>
              <w:ind w:left="107" w:right="197"/>
              <w:rPr>
                <w:sz w:val="21"/>
              </w:rPr>
            </w:pPr>
            <w:r>
              <w:rPr>
                <w:spacing w:val="-17"/>
                <w:sz w:val="21"/>
              </w:rPr>
              <w:t>指脑的良性肿瘤，已经引起颅内压增高，临床表现为视神经乳头水肿、</w:t>
            </w:r>
            <w:r>
              <w:rPr>
                <w:spacing w:val="-9"/>
                <w:sz w:val="21"/>
              </w:rPr>
              <w:t>精神症状、癫痫及运动感觉障碍等，并危及生命。须由头颅断层扫描</w:t>
            </w:r>
          </w:p>
          <w:p>
            <w:pPr>
              <w:pStyle w:val="TableParagraph"/>
              <w:spacing w:line="292" w:lineRule="auto" w:before="15"/>
              <w:ind w:left="107" w:right="299"/>
              <w:rPr>
                <w:sz w:val="21"/>
              </w:rPr>
            </w:pPr>
            <w:r>
              <w:rPr>
                <w:w w:val="100"/>
                <w:sz w:val="21"/>
              </w:rPr>
              <w:t>（CT</w:t>
            </w:r>
            <w:r>
              <w:rPr>
                <w:spacing w:val="-104"/>
                <w:w w:val="100"/>
                <w:sz w:val="21"/>
              </w:rPr>
              <w:t>）</w:t>
            </w:r>
            <w:r>
              <w:rPr>
                <w:spacing w:val="-1"/>
                <w:w w:val="100"/>
                <w:sz w:val="21"/>
              </w:rPr>
              <w:t>、核磁共振检查</w:t>
            </w:r>
            <w:r>
              <w:rPr>
                <w:w w:val="100"/>
                <w:sz w:val="21"/>
              </w:rPr>
              <w:t>（</w:t>
            </w:r>
            <w:r>
              <w:rPr>
                <w:spacing w:val="-3"/>
                <w:w w:val="100"/>
                <w:sz w:val="21"/>
              </w:rPr>
              <w:t>M</w:t>
            </w:r>
            <w:r>
              <w:rPr>
                <w:w w:val="100"/>
                <w:sz w:val="21"/>
              </w:rPr>
              <w:t>RI）</w:t>
            </w:r>
            <w:r>
              <w:rPr>
                <w:spacing w:val="-1"/>
                <w:w w:val="100"/>
                <w:sz w:val="21"/>
              </w:rPr>
              <w:t>或正电子发射断层扫描</w:t>
            </w:r>
            <w:r>
              <w:rPr>
                <w:w w:val="100"/>
                <w:sz w:val="21"/>
              </w:rPr>
              <w:t>（PET）等影像</w:t>
            </w:r>
            <w:r>
              <w:rPr>
                <w:spacing w:val="-3"/>
                <w:sz w:val="21"/>
              </w:rPr>
              <w:t>学检查证实，并须满足下列至少一项条件：</w:t>
            </w:r>
          </w:p>
          <w:p>
            <w:pPr>
              <w:pStyle w:val="TableParagraph"/>
              <w:spacing w:before="17"/>
              <w:ind w:left="107"/>
              <w:rPr>
                <w:sz w:val="21"/>
              </w:rPr>
            </w:pPr>
            <w:r>
              <w:rPr>
                <w:sz w:val="21"/>
              </w:rPr>
              <w:t>（1）实际实施了开颅进行的脑肿瘤完全切除或部分切除的手术；</w:t>
            </w:r>
          </w:p>
          <w:p>
            <w:pPr>
              <w:pStyle w:val="TableParagraph"/>
              <w:spacing w:before="61"/>
              <w:ind w:left="106"/>
              <w:rPr>
                <w:sz w:val="21"/>
              </w:rPr>
            </w:pPr>
            <w:r>
              <w:rPr>
                <w:sz w:val="21"/>
              </w:rPr>
              <w:t>（2）实际实施了对脑肿瘤进行的放射治疗。</w:t>
            </w:r>
          </w:p>
          <w:p>
            <w:pPr>
              <w:pStyle w:val="TableParagraph"/>
              <w:spacing w:before="61"/>
              <w:ind w:left="107"/>
              <w:rPr>
                <w:sz w:val="21"/>
              </w:rPr>
            </w:pPr>
            <w:r>
              <w:rPr>
                <w:sz w:val="21"/>
              </w:rPr>
              <w:t>脑垂体瘤、脑囊肿、脑血管性疾病不在保障范围内。</w:t>
            </w:r>
          </w:p>
        </w:tc>
      </w:tr>
      <w:tr>
        <w:trPr>
          <w:trHeight w:val="2110" w:hRule="atLeast"/>
        </w:trPr>
        <w:tc>
          <w:tcPr>
            <w:tcW w:w="2973" w:type="dxa"/>
          </w:tcPr>
          <w:p>
            <w:pPr>
              <w:pStyle w:val="TableParagraph"/>
              <w:spacing w:line="292" w:lineRule="auto" w:before="42"/>
              <w:ind w:left="200" w:right="104"/>
              <w:rPr>
                <w:sz w:val="21"/>
              </w:rPr>
            </w:pPr>
            <w:r>
              <w:rPr>
                <w:sz w:val="21"/>
              </w:rPr>
              <w:t>（十</w:t>
            </w:r>
            <w:r>
              <w:rPr>
                <w:spacing w:val="-68"/>
                <w:sz w:val="21"/>
              </w:rPr>
              <w:t>）</w:t>
            </w:r>
            <w:r>
              <w:rPr>
                <w:spacing w:val="-3"/>
                <w:sz w:val="21"/>
              </w:rPr>
              <w:t>慢性肝功能衰竭失代偿期</w:t>
            </w:r>
          </w:p>
        </w:tc>
        <w:tc>
          <w:tcPr>
            <w:tcW w:w="6634" w:type="dxa"/>
          </w:tcPr>
          <w:p>
            <w:pPr>
              <w:pStyle w:val="TableParagraph"/>
              <w:spacing w:before="42"/>
              <w:ind w:left="106"/>
              <w:rPr>
                <w:sz w:val="21"/>
              </w:rPr>
            </w:pPr>
            <w:r>
              <w:rPr>
                <w:sz w:val="21"/>
              </w:rPr>
              <w:t>指因慢性肝脏疾病导致肝功能衰竭。须满足下列全部条件：</w:t>
            </w:r>
          </w:p>
          <w:p>
            <w:pPr>
              <w:pStyle w:val="TableParagraph"/>
              <w:spacing w:before="61"/>
              <w:ind w:left="106"/>
              <w:rPr>
                <w:sz w:val="21"/>
              </w:rPr>
            </w:pPr>
            <w:r>
              <w:rPr>
                <w:sz w:val="21"/>
              </w:rPr>
              <w:t>（1）持续性黄疸；</w:t>
            </w:r>
          </w:p>
          <w:p>
            <w:pPr>
              <w:pStyle w:val="TableParagraph"/>
              <w:spacing w:before="63"/>
              <w:ind w:left="106"/>
              <w:rPr>
                <w:sz w:val="21"/>
              </w:rPr>
            </w:pPr>
            <w:r>
              <w:rPr>
                <w:sz w:val="21"/>
              </w:rPr>
              <w:t>（2）腹水；</w:t>
            </w:r>
          </w:p>
          <w:p>
            <w:pPr>
              <w:pStyle w:val="TableParagraph"/>
              <w:spacing w:before="61"/>
              <w:ind w:left="106"/>
              <w:rPr>
                <w:sz w:val="21"/>
              </w:rPr>
            </w:pPr>
            <w:r>
              <w:rPr>
                <w:sz w:val="21"/>
              </w:rPr>
              <w:t>（3）肝性脑病；</w:t>
            </w:r>
          </w:p>
          <w:p>
            <w:pPr>
              <w:pStyle w:val="TableParagraph"/>
              <w:spacing w:line="295" w:lineRule="auto" w:before="61"/>
              <w:ind w:left="106" w:right="1380"/>
              <w:rPr>
                <w:sz w:val="21"/>
              </w:rPr>
            </w:pPr>
            <w:r>
              <w:rPr>
                <w:sz w:val="21"/>
              </w:rPr>
              <w:t>（4）充血性脾肿大伴脾功能亢进或食管胃底静脉曲张。因酗酒或药物滥用导致的肝功能衰竭不在保障范围内。</w:t>
            </w:r>
          </w:p>
        </w:tc>
      </w:tr>
      <w:tr>
        <w:trPr>
          <w:trHeight w:val="1664" w:hRule="atLeast"/>
        </w:trPr>
        <w:tc>
          <w:tcPr>
            <w:tcW w:w="2973" w:type="dxa"/>
          </w:tcPr>
          <w:p>
            <w:pPr>
              <w:pStyle w:val="TableParagraph"/>
              <w:spacing w:line="295" w:lineRule="auto" w:before="40"/>
              <w:ind w:left="200" w:right="104"/>
              <w:rPr>
                <w:sz w:val="21"/>
              </w:rPr>
            </w:pPr>
            <w:r>
              <w:rPr>
                <w:sz w:val="21"/>
              </w:rPr>
              <w:t>（十一</w:t>
            </w:r>
            <w:r>
              <w:rPr>
                <w:spacing w:val="-70"/>
                <w:sz w:val="21"/>
              </w:rPr>
              <w:t>）</w:t>
            </w:r>
            <w:r>
              <w:rPr>
                <w:spacing w:val="-3"/>
                <w:sz w:val="21"/>
              </w:rPr>
              <w:t>脑炎后遗症或脑膜炎后遗症</w:t>
            </w:r>
          </w:p>
        </w:tc>
        <w:tc>
          <w:tcPr>
            <w:tcW w:w="6634" w:type="dxa"/>
          </w:tcPr>
          <w:p>
            <w:pPr>
              <w:pStyle w:val="TableParagraph"/>
              <w:spacing w:line="295" w:lineRule="auto" w:before="40"/>
              <w:ind w:left="107" w:right="295"/>
              <w:jc w:val="both"/>
              <w:rPr>
                <w:sz w:val="21"/>
              </w:rPr>
            </w:pPr>
            <w:r>
              <w:rPr>
                <w:spacing w:val="-6"/>
                <w:sz w:val="21"/>
              </w:rPr>
              <w:t>指因患脑炎或脑膜炎导致的神经系统永久性的功能障碍。神经系统永久性的功能障碍，指疾病确诊</w:t>
            </w:r>
            <w:r>
              <w:rPr>
                <w:sz w:val="21"/>
              </w:rPr>
              <w:t>180</w:t>
            </w:r>
            <w:r>
              <w:rPr>
                <w:spacing w:val="-1"/>
                <w:sz w:val="21"/>
              </w:rPr>
              <w:t>天后，仍遗留下列一种或一种以上障碍：</w:t>
            </w:r>
          </w:p>
          <w:p>
            <w:pPr>
              <w:pStyle w:val="TableParagraph"/>
              <w:spacing w:before="12"/>
              <w:ind w:left="107"/>
              <w:jc w:val="both"/>
              <w:rPr>
                <w:sz w:val="21"/>
              </w:rPr>
            </w:pPr>
            <w:r>
              <w:rPr>
                <w:sz w:val="21"/>
              </w:rPr>
              <w:t>（1）一肢或一肢以上肢体机能完全丧失；</w:t>
            </w:r>
          </w:p>
          <w:p>
            <w:pPr>
              <w:pStyle w:val="TableParagraph"/>
              <w:spacing w:line="257" w:lineRule="exact" w:before="61"/>
              <w:ind w:left="107"/>
              <w:jc w:val="both"/>
              <w:rPr>
                <w:sz w:val="21"/>
              </w:rPr>
            </w:pPr>
            <w:r>
              <w:rPr>
                <w:sz w:val="21"/>
              </w:rPr>
              <w:t>（2）语言能力或咀嚼吞咽能力完全丧失；</w:t>
            </w:r>
          </w:p>
        </w:tc>
      </w:tr>
    </w:tbl>
    <w:p>
      <w:pPr>
        <w:spacing w:after="0" w:line="257" w:lineRule="exact"/>
        <w:jc w:val="both"/>
        <w:rPr>
          <w:sz w:val="21"/>
        </w:rPr>
        <w:sectPr>
          <w:pgSz w:w="11910" w:h="16840"/>
          <w:pgMar w:header="0" w:footer="921" w:top="1480" w:bottom="1120" w:left="1100" w:right="9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2"/>
        <w:gridCol w:w="6711"/>
      </w:tblGrid>
      <w:tr>
        <w:trPr>
          <w:trHeight w:val="657" w:hRule="atLeast"/>
        </w:trPr>
        <w:tc>
          <w:tcPr>
            <w:tcW w:w="2902" w:type="dxa"/>
          </w:tcPr>
          <w:p>
            <w:pPr>
              <w:pStyle w:val="TableParagraph"/>
              <w:rPr>
                <w:rFonts w:ascii="Times New Roman"/>
                <w:sz w:val="20"/>
              </w:rPr>
            </w:pPr>
          </w:p>
        </w:tc>
        <w:tc>
          <w:tcPr>
            <w:tcW w:w="6711" w:type="dxa"/>
          </w:tcPr>
          <w:p>
            <w:pPr>
              <w:pStyle w:val="TableParagraph"/>
              <w:spacing w:line="209" w:lineRule="exact"/>
              <w:ind w:left="178"/>
              <w:rPr>
                <w:sz w:val="21"/>
              </w:rPr>
            </w:pPr>
            <w:r>
              <w:rPr>
                <w:sz w:val="21"/>
              </w:rPr>
              <w:t>（3）自主生活能力完全丧失，无法独立完成六项基本日常生活活动</w:t>
            </w:r>
          </w:p>
          <w:p>
            <w:pPr>
              <w:pStyle w:val="TableParagraph"/>
              <w:spacing w:before="63"/>
              <w:ind w:left="178"/>
              <w:rPr>
                <w:sz w:val="21"/>
              </w:rPr>
            </w:pPr>
            <w:r>
              <w:rPr>
                <w:sz w:val="21"/>
              </w:rPr>
              <w:t>中的三项或三项以上。</w:t>
            </w:r>
          </w:p>
        </w:tc>
      </w:tr>
      <w:tr>
        <w:trPr>
          <w:trHeight w:val="1773" w:hRule="atLeast"/>
        </w:trPr>
        <w:tc>
          <w:tcPr>
            <w:tcW w:w="2902" w:type="dxa"/>
          </w:tcPr>
          <w:p>
            <w:pPr>
              <w:pStyle w:val="TableParagraph"/>
              <w:spacing w:before="42"/>
              <w:ind w:left="200"/>
              <w:rPr>
                <w:sz w:val="21"/>
              </w:rPr>
            </w:pPr>
            <w:r>
              <w:rPr>
                <w:sz w:val="21"/>
              </w:rPr>
              <w:t>（十二）深度昏迷</w:t>
            </w:r>
          </w:p>
        </w:tc>
        <w:tc>
          <w:tcPr>
            <w:tcW w:w="6711" w:type="dxa"/>
          </w:tcPr>
          <w:p>
            <w:pPr>
              <w:pStyle w:val="TableParagraph"/>
              <w:spacing w:line="292" w:lineRule="auto" w:before="42"/>
              <w:ind w:left="178" w:right="303"/>
              <w:jc w:val="both"/>
              <w:rPr>
                <w:sz w:val="21"/>
              </w:rPr>
            </w:pPr>
            <w:r>
              <w:rPr>
                <w:spacing w:val="5"/>
                <w:sz w:val="21"/>
              </w:rPr>
              <w:t>指因疾病或意外伤害导致意识丧失,对外界刺激和体内需求均无反</w:t>
            </w:r>
            <w:r>
              <w:rPr>
                <w:spacing w:val="-3"/>
                <w:sz w:val="21"/>
              </w:rPr>
              <w:t>应,昏迷程度按照格拉斯哥昏迷分级</w:t>
            </w:r>
            <w:r>
              <w:rPr>
                <w:sz w:val="21"/>
              </w:rPr>
              <w:t>（Glasgow</w:t>
            </w:r>
            <w:r>
              <w:rPr>
                <w:spacing w:val="-30"/>
                <w:sz w:val="21"/>
              </w:rPr>
              <w:t> </w:t>
            </w:r>
            <w:r>
              <w:rPr>
                <w:sz w:val="21"/>
              </w:rPr>
              <w:t>coma</w:t>
            </w:r>
            <w:r>
              <w:rPr>
                <w:spacing w:val="-30"/>
                <w:sz w:val="21"/>
              </w:rPr>
              <w:t> </w:t>
            </w:r>
            <w:r>
              <w:rPr>
                <w:sz w:val="21"/>
              </w:rPr>
              <w:t>scale）</w:t>
            </w:r>
            <w:r>
              <w:rPr>
                <w:spacing w:val="-2"/>
                <w:sz w:val="21"/>
              </w:rPr>
              <w:t>结果为</w:t>
            </w:r>
            <w:r>
              <w:rPr>
                <w:sz w:val="21"/>
              </w:rPr>
              <w:t>5 分或5</w:t>
            </w:r>
            <w:r>
              <w:rPr>
                <w:spacing w:val="-2"/>
                <w:sz w:val="21"/>
              </w:rPr>
              <w:t>分以下，且已经持续使用呼吸机及其它生命维持系统</w:t>
            </w:r>
            <w:r>
              <w:rPr>
                <w:sz w:val="21"/>
              </w:rPr>
              <w:t>96小时以上。</w:t>
            </w:r>
          </w:p>
          <w:p>
            <w:pPr>
              <w:pStyle w:val="TableParagraph"/>
              <w:spacing w:before="17"/>
              <w:ind w:left="178"/>
              <w:jc w:val="both"/>
              <w:rPr>
                <w:sz w:val="21"/>
              </w:rPr>
            </w:pPr>
            <w:r>
              <w:rPr>
                <w:sz w:val="21"/>
              </w:rPr>
              <w:t>因酗酒或药物滥用导致的深度昏迷不在保障范围内。</w:t>
            </w:r>
          </w:p>
        </w:tc>
      </w:tr>
      <w:tr>
        <w:trPr>
          <w:trHeight w:val="1099" w:hRule="atLeast"/>
        </w:trPr>
        <w:tc>
          <w:tcPr>
            <w:tcW w:w="2902" w:type="dxa"/>
          </w:tcPr>
          <w:p>
            <w:pPr>
              <w:pStyle w:val="TableParagraph"/>
              <w:spacing w:before="42"/>
              <w:ind w:left="200"/>
              <w:rPr>
                <w:sz w:val="21"/>
              </w:rPr>
            </w:pPr>
            <w:r>
              <w:rPr>
                <w:sz w:val="21"/>
              </w:rPr>
              <w:t>（十三）双耳失聪</w:t>
            </w:r>
          </w:p>
        </w:tc>
        <w:tc>
          <w:tcPr>
            <w:tcW w:w="6711" w:type="dxa"/>
          </w:tcPr>
          <w:p>
            <w:pPr>
              <w:pStyle w:val="TableParagraph"/>
              <w:spacing w:line="292" w:lineRule="auto" w:before="42"/>
              <w:ind w:left="178" w:right="227"/>
              <w:jc w:val="both"/>
              <w:rPr>
                <w:sz w:val="21"/>
              </w:rPr>
            </w:pPr>
            <w:r>
              <w:rPr>
                <w:spacing w:val="-1"/>
                <w:sz w:val="21"/>
              </w:rPr>
              <w:t>指因疾病或意外伤害导致双耳听力</w:t>
            </w:r>
            <w:r>
              <w:rPr>
                <w:b/>
                <w:sz w:val="21"/>
              </w:rPr>
              <w:t>永久不可逆</w:t>
            </w:r>
            <w:r>
              <w:rPr>
                <w:sz w:val="21"/>
              </w:rPr>
              <w:t>（</w:t>
            </w:r>
            <w:r>
              <w:rPr>
                <w:spacing w:val="6"/>
                <w:sz w:val="21"/>
              </w:rPr>
              <w:t>见 </w:t>
            </w:r>
            <w:r>
              <w:rPr>
                <w:sz w:val="21"/>
              </w:rPr>
              <w:t>7.16）</w:t>
            </w:r>
            <w:r>
              <w:rPr>
                <w:spacing w:val="-1"/>
                <w:sz w:val="21"/>
              </w:rPr>
              <w:t>性丧失， </w:t>
            </w:r>
            <w:r>
              <w:rPr>
                <w:spacing w:val="-14"/>
                <w:sz w:val="21"/>
              </w:rPr>
              <w:t>在 </w:t>
            </w:r>
            <w:r>
              <w:rPr>
                <w:sz w:val="21"/>
              </w:rPr>
              <w:t>500</w:t>
            </w:r>
            <w:r>
              <w:rPr>
                <w:spacing w:val="-9"/>
                <w:sz w:val="21"/>
              </w:rPr>
              <w:t> 赫兹、</w:t>
            </w:r>
            <w:r>
              <w:rPr>
                <w:sz w:val="21"/>
              </w:rPr>
              <w:t>1000</w:t>
            </w:r>
            <w:r>
              <w:rPr>
                <w:spacing w:val="-13"/>
                <w:sz w:val="21"/>
              </w:rPr>
              <w:t> 赫兹和 </w:t>
            </w:r>
            <w:r>
              <w:rPr>
                <w:sz w:val="21"/>
              </w:rPr>
              <w:t>2000</w:t>
            </w:r>
            <w:r>
              <w:rPr>
                <w:spacing w:val="-9"/>
                <w:sz w:val="21"/>
              </w:rPr>
              <w:t> 赫兹语音频率下，平均听阈大于 </w:t>
            </w:r>
            <w:r>
              <w:rPr>
                <w:sz w:val="21"/>
              </w:rPr>
              <w:t>90 </w:t>
            </w:r>
            <w:r>
              <w:rPr>
                <w:spacing w:val="-3"/>
                <w:sz w:val="21"/>
              </w:rPr>
              <w:t>分贝，且经纯音听力测试、声导抗检测或听觉诱发电位检测等证实。</w:t>
            </w:r>
          </w:p>
        </w:tc>
      </w:tr>
      <w:tr>
        <w:trPr>
          <w:trHeight w:val="2092" w:hRule="atLeast"/>
        </w:trPr>
        <w:tc>
          <w:tcPr>
            <w:tcW w:w="2902" w:type="dxa"/>
          </w:tcPr>
          <w:p>
            <w:pPr>
              <w:pStyle w:val="TableParagraph"/>
              <w:spacing w:before="42"/>
              <w:ind w:left="200"/>
              <w:rPr>
                <w:sz w:val="21"/>
              </w:rPr>
            </w:pPr>
            <w:r>
              <w:rPr>
                <w:sz w:val="21"/>
              </w:rPr>
              <w:t>（十四）双目失明</w:t>
            </w:r>
          </w:p>
        </w:tc>
        <w:tc>
          <w:tcPr>
            <w:tcW w:w="6711" w:type="dxa"/>
          </w:tcPr>
          <w:p>
            <w:pPr>
              <w:pStyle w:val="TableParagraph"/>
              <w:spacing w:line="292" w:lineRule="auto" w:before="42"/>
              <w:ind w:left="178" w:right="301"/>
              <w:rPr>
                <w:sz w:val="21"/>
              </w:rPr>
            </w:pPr>
            <w:r>
              <w:rPr>
                <w:spacing w:val="-7"/>
                <w:sz w:val="21"/>
              </w:rPr>
              <w:t>指因疾病或意外伤害导致双眼视力永久不可逆性丧失，双眼中较好眼</w:t>
            </w:r>
            <w:r>
              <w:rPr>
                <w:spacing w:val="-5"/>
                <w:sz w:val="21"/>
              </w:rPr>
              <w:t>须满足下列至少一项条件：</w:t>
            </w:r>
          </w:p>
          <w:p>
            <w:pPr>
              <w:pStyle w:val="TableParagraph"/>
              <w:spacing w:before="15"/>
              <w:ind w:left="178"/>
              <w:rPr>
                <w:sz w:val="21"/>
              </w:rPr>
            </w:pPr>
            <w:r>
              <w:rPr>
                <w:sz w:val="21"/>
              </w:rPr>
              <w:t>（1）眼球缺失或摘除；</w:t>
            </w:r>
          </w:p>
          <w:p>
            <w:pPr>
              <w:pStyle w:val="TableParagraph"/>
              <w:spacing w:line="292" w:lineRule="auto" w:before="63"/>
              <w:ind w:left="178" w:right="304"/>
              <w:rPr>
                <w:sz w:val="21"/>
              </w:rPr>
            </w:pPr>
            <w:r>
              <w:rPr>
                <w:sz w:val="21"/>
              </w:rPr>
              <w:t>（2）矫正视力低于0.02（</w:t>
            </w:r>
            <w:r>
              <w:rPr>
                <w:spacing w:val="-1"/>
                <w:sz w:val="21"/>
              </w:rPr>
              <w:t>采用国际标准视力表，如果使用其它视力</w:t>
            </w:r>
            <w:r>
              <w:rPr>
                <w:spacing w:val="-3"/>
                <w:w w:val="100"/>
                <w:sz w:val="21"/>
              </w:rPr>
              <w:t>表应进行换算</w:t>
            </w:r>
            <w:r>
              <w:rPr>
                <w:spacing w:val="-108"/>
                <w:w w:val="100"/>
                <w:sz w:val="21"/>
              </w:rPr>
              <w:t>）</w:t>
            </w:r>
            <w:r>
              <w:rPr>
                <w:w w:val="100"/>
                <w:sz w:val="21"/>
              </w:rPr>
              <w:t>；</w:t>
            </w:r>
          </w:p>
          <w:p>
            <w:pPr>
              <w:pStyle w:val="TableParagraph"/>
              <w:spacing w:before="14"/>
              <w:ind w:left="178"/>
              <w:rPr>
                <w:sz w:val="21"/>
              </w:rPr>
            </w:pPr>
            <w:r>
              <w:rPr>
                <w:sz w:val="21"/>
              </w:rPr>
              <w:t>（3）视野半径小于 5 度。</w:t>
            </w:r>
          </w:p>
        </w:tc>
      </w:tr>
      <w:tr>
        <w:trPr>
          <w:trHeight w:val="993" w:hRule="atLeast"/>
        </w:trPr>
        <w:tc>
          <w:tcPr>
            <w:tcW w:w="2902" w:type="dxa"/>
          </w:tcPr>
          <w:p>
            <w:pPr>
              <w:pStyle w:val="TableParagraph"/>
              <w:spacing w:before="58"/>
              <w:ind w:left="200"/>
              <w:rPr>
                <w:sz w:val="21"/>
              </w:rPr>
            </w:pPr>
            <w:r>
              <w:rPr>
                <w:sz w:val="21"/>
              </w:rPr>
              <w:t>（十五）瘫痪</w:t>
            </w:r>
          </w:p>
        </w:tc>
        <w:tc>
          <w:tcPr>
            <w:tcW w:w="6711" w:type="dxa"/>
          </w:tcPr>
          <w:p>
            <w:pPr>
              <w:pStyle w:val="TableParagraph"/>
              <w:spacing w:line="256" w:lineRule="auto" w:before="25"/>
              <w:ind w:left="178" w:right="198"/>
              <w:rPr>
                <w:sz w:val="21"/>
              </w:rPr>
            </w:pPr>
            <w:r>
              <w:rPr>
                <w:spacing w:val="-6"/>
                <w:sz w:val="21"/>
              </w:rPr>
              <w:t>指因疾病或意外伤害导致两肢或两肢以上肢体机能永久完全丧失。肢</w:t>
            </w:r>
            <w:r>
              <w:rPr>
                <w:spacing w:val="-10"/>
                <w:sz w:val="21"/>
              </w:rPr>
              <w:t>体机能永久完全丧失，指疾病确诊</w:t>
            </w:r>
            <w:r>
              <w:rPr>
                <w:sz w:val="21"/>
              </w:rPr>
              <w:t>180</w:t>
            </w:r>
            <w:r>
              <w:rPr>
                <w:spacing w:val="-6"/>
                <w:sz w:val="21"/>
              </w:rPr>
              <w:t> 天后或意外伤害发生</w:t>
            </w:r>
            <w:r>
              <w:rPr>
                <w:sz w:val="21"/>
              </w:rPr>
              <w:t>180</w:t>
            </w:r>
            <w:r>
              <w:rPr>
                <w:spacing w:val="-16"/>
                <w:sz w:val="21"/>
              </w:rPr>
              <w:t> 天后， </w:t>
            </w:r>
            <w:r>
              <w:rPr>
                <w:spacing w:val="-7"/>
                <w:sz w:val="21"/>
              </w:rPr>
              <w:t>每肢三大关节中的两大关节仍然完全僵硬，或不能随意识活动。</w:t>
            </w:r>
          </w:p>
        </w:tc>
      </w:tr>
      <w:tr>
        <w:trPr>
          <w:trHeight w:val="752" w:hRule="atLeast"/>
        </w:trPr>
        <w:tc>
          <w:tcPr>
            <w:tcW w:w="2902" w:type="dxa"/>
          </w:tcPr>
          <w:p>
            <w:pPr>
              <w:pStyle w:val="TableParagraph"/>
              <w:spacing w:before="37"/>
              <w:ind w:left="200"/>
              <w:rPr>
                <w:sz w:val="21"/>
              </w:rPr>
            </w:pPr>
            <w:r>
              <w:rPr>
                <w:sz w:val="21"/>
              </w:rPr>
              <w:t>（十六）心脏瓣膜手术</w:t>
            </w:r>
          </w:p>
        </w:tc>
        <w:tc>
          <w:tcPr>
            <w:tcW w:w="6711" w:type="dxa"/>
          </w:tcPr>
          <w:p>
            <w:pPr>
              <w:pStyle w:val="TableParagraph"/>
              <w:spacing w:line="292" w:lineRule="auto" w:before="37"/>
              <w:ind w:left="178" w:right="301"/>
              <w:rPr>
                <w:sz w:val="21"/>
              </w:rPr>
            </w:pPr>
            <w:r>
              <w:rPr>
                <w:spacing w:val="-10"/>
                <w:sz w:val="21"/>
              </w:rPr>
              <w:t>指为治疗心脏瓣膜疾病，实际实施了开胸进行的心脏瓣膜置换或修复</w:t>
            </w:r>
            <w:r>
              <w:rPr>
                <w:spacing w:val="-6"/>
                <w:sz w:val="21"/>
              </w:rPr>
              <w:t>的手术。</w:t>
            </w:r>
          </w:p>
        </w:tc>
      </w:tr>
      <w:tr>
        <w:trPr>
          <w:trHeight w:val="2448" w:hRule="atLeast"/>
        </w:trPr>
        <w:tc>
          <w:tcPr>
            <w:tcW w:w="2902" w:type="dxa"/>
          </w:tcPr>
          <w:p>
            <w:pPr>
              <w:pStyle w:val="TableParagraph"/>
              <w:spacing w:before="36"/>
              <w:ind w:left="200"/>
              <w:rPr>
                <w:sz w:val="21"/>
              </w:rPr>
            </w:pPr>
            <w:r>
              <w:rPr>
                <w:sz w:val="21"/>
              </w:rPr>
              <w:t>（十七）严重阿尔茨海默病</w:t>
            </w:r>
          </w:p>
        </w:tc>
        <w:tc>
          <w:tcPr>
            <w:tcW w:w="6711" w:type="dxa"/>
          </w:tcPr>
          <w:p>
            <w:pPr>
              <w:pStyle w:val="TableParagraph"/>
              <w:spacing w:line="295" w:lineRule="auto" w:before="48"/>
              <w:ind w:left="178" w:right="228"/>
              <w:rPr>
                <w:sz w:val="21"/>
              </w:rPr>
            </w:pPr>
            <w:r>
              <w:rPr>
                <w:spacing w:val="-10"/>
                <w:sz w:val="21"/>
              </w:rPr>
              <w:t>指因大脑进行性、不可逆性改变导致智能严重衰退或丧失，临床表现</w:t>
            </w:r>
            <w:r>
              <w:rPr>
                <w:spacing w:val="-11"/>
                <w:sz w:val="21"/>
              </w:rPr>
              <w:t>为明显的认知能力障碍、行为异常和社交能力减退，其日常生活必须</w:t>
            </w:r>
            <w:r>
              <w:rPr>
                <w:spacing w:val="-6"/>
                <w:w w:val="100"/>
                <w:sz w:val="21"/>
              </w:rPr>
              <w:t>持续受到他人监护。须由头颅断层扫描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z w:val="21"/>
              </w:rPr>
              <w:t>或正电子发射断层扫描（PET）</w:t>
            </w:r>
            <w:r>
              <w:rPr>
                <w:spacing w:val="-1"/>
                <w:sz w:val="21"/>
              </w:rPr>
              <w:t>等影像学检查证实，且自主生活能力</w:t>
            </w:r>
            <w:r>
              <w:rPr>
                <w:sz w:val="21"/>
              </w:rPr>
              <w:t>完全丧失，无法独立完成六项基本日常生活活动中的三项或三项以上。</w:t>
            </w:r>
          </w:p>
          <w:p>
            <w:pPr>
              <w:pStyle w:val="TableParagraph"/>
              <w:spacing w:before="13"/>
              <w:ind w:left="178"/>
              <w:rPr>
                <w:sz w:val="21"/>
              </w:rPr>
            </w:pPr>
            <w:r>
              <w:rPr>
                <w:sz w:val="21"/>
              </w:rPr>
              <w:t>神经官能症和精神疾病不在保障范围内。</w:t>
            </w:r>
          </w:p>
        </w:tc>
      </w:tr>
      <w:tr>
        <w:trPr>
          <w:trHeight w:val="2782" w:hRule="atLeast"/>
        </w:trPr>
        <w:tc>
          <w:tcPr>
            <w:tcW w:w="2902" w:type="dxa"/>
          </w:tcPr>
          <w:p>
            <w:pPr>
              <w:pStyle w:val="TableParagraph"/>
              <w:spacing w:before="36"/>
              <w:ind w:left="200"/>
              <w:rPr>
                <w:sz w:val="21"/>
              </w:rPr>
            </w:pPr>
            <w:r>
              <w:rPr>
                <w:sz w:val="21"/>
              </w:rPr>
              <w:t>（十八）严重脑损伤</w:t>
            </w:r>
          </w:p>
        </w:tc>
        <w:tc>
          <w:tcPr>
            <w:tcW w:w="6711" w:type="dxa"/>
          </w:tcPr>
          <w:p>
            <w:pPr>
              <w:pStyle w:val="TableParagraph"/>
              <w:spacing w:line="292" w:lineRule="auto" w:before="48"/>
              <w:ind w:left="178" w:right="301"/>
              <w:jc w:val="both"/>
              <w:rPr>
                <w:sz w:val="21"/>
              </w:rPr>
            </w:pPr>
            <w:r>
              <w:rPr>
                <w:spacing w:val="-8"/>
                <w:sz w:val="21"/>
              </w:rPr>
              <w:t>指因头部遭受机械性外力，引起脑重要部位损伤，导致神经系统永久</w:t>
            </w:r>
            <w:r>
              <w:rPr>
                <w:spacing w:val="-6"/>
                <w:w w:val="100"/>
                <w:sz w:val="21"/>
              </w:rPr>
              <w:t>性的功能障碍。须由头颅断层扫描</w:t>
            </w:r>
            <w:r>
              <w:rPr>
                <w:spacing w:val="-1"/>
                <w:w w:val="100"/>
                <w:sz w:val="21"/>
              </w:rPr>
              <w:t>（</w:t>
            </w:r>
            <w:r>
              <w:rPr>
                <w:w w:val="100"/>
                <w:sz w:val="21"/>
              </w:rPr>
              <w:t>C</w:t>
            </w:r>
            <w:r>
              <w:rPr>
                <w:spacing w:val="-3"/>
                <w:w w:val="100"/>
                <w:sz w:val="21"/>
              </w:rPr>
              <w:t>T</w:t>
            </w:r>
            <w:r>
              <w:rPr>
                <w:spacing w:val="-108"/>
                <w:w w:val="100"/>
                <w:sz w:val="21"/>
              </w:rPr>
              <w:t>）</w:t>
            </w:r>
            <w:r>
              <w:rPr>
                <w:spacing w:val="-8"/>
                <w:w w:val="100"/>
                <w:sz w:val="21"/>
              </w:rPr>
              <w:t>、核磁共振检查</w:t>
            </w:r>
            <w:r>
              <w:rPr>
                <w:spacing w:val="-1"/>
                <w:w w:val="100"/>
                <w:sz w:val="21"/>
              </w:rPr>
              <w:t>（</w:t>
            </w:r>
            <w:r>
              <w:rPr>
                <w:spacing w:val="-3"/>
                <w:w w:val="100"/>
                <w:sz w:val="21"/>
              </w:rPr>
              <w:t>M</w:t>
            </w:r>
            <w:r>
              <w:rPr>
                <w:w w:val="100"/>
                <w:sz w:val="21"/>
              </w:rPr>
              <w:t>R</w:t>
            </w:r>
            <w:r>
              <w:rPr>
                <w:spacing w:val="-3"/>
                <w:w w:val="100"/>
                <w:sz w:val="21"/>
              </w:rPr>
              <w:t>I</w:t>
            </w:r>
            <w:r>
              <w:rPr>
                <w:spacing w:val="-15"/>
                <w:w w:val="100"/>
                <w:sz w:val="21"/>
              </w:rPr>
              <w:t>）</w:t>
            </w:r>
            <w:r>
              <w:rPr>
                <w:spacing w:val="-2"/>
                <w:w w:val="100"/>
                <w:sz w:val="21"/>
              </w:rPr>
              <w:t>或正</w:t>
            </w:r>
            <w:r>
              <w:rPr>
                <w:spacing w:val="-2"/>
                <w:sz w:val="21"/>
              </w:rPr>
              <w:t>电子发射断层扫描（PET）</w:t>
            </w:r>
            <w:r>
              <w:rPr>
                <w:spacing w:val="-3"/>
                <w:sz w:val="21"/>
              </w:rPr>
              <w:t>等影像学检查证实。神经系统永久性的功能障碍，指脑损伤</w:t>
            </w:r>
            <w:r>
              <w:rPr>
                <w:sz w:val="21"/>
              </w:rPr>
              <w:t>180</w:t>
            </w:r>
            <w:r>
              <w:rPr>
                <w:spacing w:val="-3"/>
                <w:sz w:val="21"/>
              </w:rPr>
              <w:t>天后，仍遗留下列一种或一种以上障碍：</w:t>
            </w:r>
          </w:p>
          <w:p>
            <w:pPr>
              <w:pStyle w:val="TableParagraph"/>
              <w:spacing w:before="17"/>
              <w:ind w:left="178"/>
              <w:rPr>
                <w:sz w:val="21"/>
              </w:rPr>
            </w:pPr>
            <w:r>
              <w:rPr>
                <w:sz w:val="21"/>
              </w:rPr>
              <w:t>（1）一肢或一肢以上肢体机能完全丧失；</w:t>
            </w:r>
          </w:p>
          <w:p>
            <w:pPr>
              <w:pStyle w:val="TableParagraph"/>
              <w:spacing w:before="61"/>
              <w:ind w:left="179"/>
              <w:rPr>
                <w:sz w:val="21"/>
              </w:rPr>
            </w:pPr>
            <w:r>
              <w:rPr>
                <w:sz w:val="21"/>
              </w:rPr>
              <w:t>（2）语言能力或咀嚼吞咽能力完全丧失；</w:t>
            </w:r>
          </w:p>
          <w:p>
            <w:pPr>
              <w:pStyle w:val="TableParagraph"/>
              <w:spacing w:line="295" w:lineRule="auto" w:before="61"/>
              <w:ind w:left="179" w:right="303"/>
              <w:rPr>
                <w:sz w:val="21"/>
              </w:rPr>
            </w:pPr>
            <w:r>
              <w:rPr>
                <w:sz w:val="21"/>
              </w:rPr>
              <w:t>（3）自主生活能力完全丧失，无法独立完成六项基本日常生活活动中的三项或三项以上。</w:t>
            </w:r>
          </w:p>
        </w:tc>
      </w:tr>
      <w:tr>
        <w:trPr>
          <w:trHeight w:val="998" w:hRule="atLeast"/>
        </w:trPr>
        <w:tc>
          <w:tcPr>
            <w:tcW w:w="2902" w:type="dxa"/>
          </w:tcPr>
          <w:p>
            <w:pPr>
              <w:pStyle w:val="TableParagraph"/>
              <w:spacing w:before="34"/>
              <w:ind w:left="201"/>
              <w:rPr>
                <w:sz w:val="21"/>
              </w:rPr>
            </w:pPr>
            <w:r>
              <w:rPr>
                <w:sz w:val="21"/>
              </w:rPr>
              <w:t>（十九）严重帕金森病</w:t>
            </w:r>
          </w:p>
        </w:tc>
        <w:tc>
          <w:tcPr>
            <w:tcW w:w="6711" w:type="dxa"/>
          </w:tcPr>
          <w:p>
            <w:pPr>
              <w:pStyle w:val="TableParagraph"/>
              <w:spacing w:line="295" w:lineRule="auto" w:before="47"/>
              <w:ind w:left="179" w:right="300"/>
              <w:rPr>
                <w:sz w:val="21"/>
              </w:rPr>
            </w:pPr>
            <w:r>
              <w:rPr>
                <w:spacing w:val="-8"/>
                <w:sz w:val="21"/>
              </w:rPr>
              <w:t>是一种中枢神经系统的退行性疾病，临床表现为震颤麻痹、共济失调</w:t>
            </w:r>
            <w:r>
              <w:rPr>
                <w:spacing w:val="-5"/>
                <w:sz w:val="21"/>
              </w:rPr>
              <w:t>等。须满足下列全部条件：</w:t>
            </w:r>
          </w:p>
          <w:p>
            <w:pPr>
              <w:pStyle w:val="TableParagraph"/>
              <w:spacing w:line="257" w:lineRule="exact" w:before="13"/>
              <w:ind w:left="179"/>
              <w:rPr>
                <w:sz w:val="21"/>
              </w:rPr>
            </w:pPr>
            <w:r>
              <w:rPr>
                <w:sz w:val="21"/>
              </w:rPr>
              <w:t>（1）药物治疗无法控制病情；</w:t>
            </w:r>
          </w:p>
        </w:tc>
      </w:tr>
    </w:tbl>
    <w:p>
      <w:pPr>
        <w:spacing w:after="0" w:line="257" w:lineRule="exact"/>
        <w:rPr>
          <w:sz w:val="21"/>
        </w:rPr>
        <w:sectPr>
          <w:pgSz w:w="11910" w:h="16840"/>
          <w:pgMar w:header="0" w:footer="921" w:top="1480" w:bottom="1120" w:left="1100" w:right="9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3"/>
        <w:gridCol w:w="6636"/>
      </w:tblGrid>
      <w:tr>
        <w:trPr>
          <w:trHeight w:val="993" w:hRule="atLeast"/>
        </w:trPr>
        <w:tc>
          <w:tcPr>
            <w:tcW w:w="2973" w:type="dxa"/>
          </w:tcPr>
          <w:p>
            <w:pPr>
              <w:pStyle w:val="TableParagraph"/>
              <w:rPr>
                <w:rFonts w:ascii="Times New Roman"/>
                <w:sz w:val="20"/>
              </w:rPr>
            </w:pPr>
          </w:p>
        </w:tc>
        <w:tc>
          <w:tcPr>
            <w:tcW w:w="6636" w:type="dxa"/>
          </w:tcPr>
          <w:p>
            <w:pPr>
              <w:pStyle w:val="TableParagraph"/>
              <w:spacing w:line="209" w:lineRule="exact"/>
              <w:ind w:left="106"/>
              <w:rPr>
                <w:sz w:val="21"/>
              </w:rPr>
            </w:pPr>
            <w:r>
              <w:rPr>
                <w:sz w:val="21"/>
              </w:rPr>
              <w:t>（2）自主生活能力完全丧失，无法独立完成六项基本日常生活活动</w:t>
            </w:r>
          </w:p>
          <w:p>
            <w:pPr>
              <w:pStyle w:val="TableParagraph"/>
              <w:spacing w:before="63"/>
              <w:ind w:left="106"/>
              <w:rPr>
                <w:sz w:val="21"/>
              </w:rPr>
            </w:pPr>
            <w:r>
              <w:rPr>
                <w:sz w:val="21"/>
              </w:rPr>
              <w:t>中的三项或三项以上。</w:t>
            </w:r>
          </w:p>
          <w:p>
            <w:pPr>
              <w:pStyle w:val="TableParagraph"/>
              <w:spacing w:before="60"/>
              <w:ind w:left="106"/>
              <w:rPr>
                <w:sz w:val="21"/>
              </w:rPr>
            </w:pPr>
            <w:r>
              <w:rPr>
                <w:sz w:val="21"/>
              </w:rPr>
              <w:t>继发性帕金森综合征不在保障范围内。</w:t>
            </w:r>
          </w:p>
        </w:tc>
      </w:tr>
      <w:tr>
        <w:trPr>
          <w:trHeight w:val="757" w:hRule="atLeast"/>
        </w:trPr>
        <w:tc>
          <w:tcPr>
            <w:tcW w:w="2973" w:type="dxa"/>
          </w:tcPr>
          <w:p>
            <w:pPr>
              <w:pStyle w:val="TableParagraph"/>
              <w:spacing w:before="42"/>
              <w:ind w:left="200"/>
              <w:rPr>
                <w:sz w:val="21"/>
              </w:rPr>
            </w:pPr>
            <w:r>
              <w:rPr>
                <w:sz w:val="21"/>
              </w:rPr>
              <w:t>（二十）严重Ⅲ度烧伤</w:t>
            </w:r>
          </w:p>
        </w:tc>
        <w:tc>
          <w:tcPr>
            <w:tcW w:w="6636" w:type="dxa"/>
          </w:tcPr>
          <w:p>
            <w:pPr>
              <w:pStyle w:val="TableParagraph"/>
              <w:spacing w:before="42"/>
              <w:ind w:left="106"/>
              <w:rPr>
                <w:sz w:val="21"/>
              </w:rPr>
            </w:pPr>
            <w:r>
              <w:rPr>
                <w:sz w:val="21"/>
              </w:rPr>
              <w:t>指烧伤程度为Ⅲ度，且Ⅲ度烧伤的面积达到全身体表面积的 20％或</w:t>
            </w:r>
          </w:p>
          <w:p>
            <w:pPr>
              <w:pStyle w:val="TableParagraph"/>
              <w:spacing w:before="61"/>
              <w:ind w:left="106"/>
              <w:rPr>
                <w:sz w:val="21"/>
              </w:rPr>
            </w:pPr>
            <w:r>
              <w:rPr>
                <w:sz w:val="21"/>
              </w:rPr>
              <w:t>20%以上。体表面积根据《中国新九分法》计算。</w:t>
            </w:r>
          </w:p>
        </w:tc>
      </w:tr>
      <w:tr>
        <w:trPr>
          <w:trHeight w:val="1437" w:hRule="atLeast"/>
        </w:trPr>
        <w:tc>
          <w:tcPr>
            <w:tcW w:w="2973" w:type="dxa"/>
          </w:tcPr>
          <w:p>
            <w:pPr>
              <w:pStyle w:val="TableParagraph"/>
              <w:spacing w:line="273" w:lineRule="auto" w:before="36"/>
              <w:ind w:left="200" w:right="104"/>
              <w:rPr>
                <w:sz w:val="21"/>
              </w:rPr>
            </w:pPr>
            <w:r>
              <w:rPr>
                <w:sz w:val="21"/>
              </w:rPr>
              <w:t>（</w:t>
            </w:r>
            <w:r>
              <w:rPr>
                <w:spacing w:val="-2"/>
                <w:sz w:val="21"/>
              </w:rPr>
              <w:t>二十一</w:t>
            </w:r>
            <w:r>
              <w:rPr>
                <w:spacing w:val="-68"/>
                <w:sz w:val="21"/>
              </w:rPr>
              <w:t>）</w:t>
            </w:r>
            <w:r>
              <w:rPr>
                <w:spacing w:val="-3"/>
                <w:sz w:val="21"/>
              </w:rPr>
              <w:t>严重原发性肺动脉高压</w:t>
            </w:r>
          </w:p>
        </w:tc>
        <w:tc>
          <w:tcPr>
            <w:tcW w:w="6636" w:type="dxa"/>
          </w:tcPr>
          <w:p>
            <w:pPr>
              <w:pStyle w:val="TableParagraph"/>
              <w:spacing w:line="295" w:lineRule="auto" w:before="48"/>
              <w:ind w:left="107" w:right="284"/>
              <w:jc w:val="both"/>
              <w:rPr>
                <w:sz w:val="21"/>
              </w:rPr>
            </w:pPr>
            <w:r>
              <w:rPr>
                <w:sz w:val="21"/>
              </w:rPr>
              <w:t>指不明原因的肺动脉压力持续性增高，进行性发展而导致的慢性疾</w:t>
            </w:r>
            <w:r>
              <w:rPr>
                <w:spacing w:val="-10"/>
                <w:sz w:val="21"/>
              </w:rPr>
              <w:t>病，已经造成永久不可逆性的体力活动能力受限，达到美国纽约心脏</w:t>
            </w:r>
            <w:r>
              <w:rPr>
                <w:spacing w:val="17"/>
                <w:sz w:val="21"/>
              </w:rPr>
              <w:t>病学会心功能状态分级</w:t>
            </w:r>
            <w:r>
              <w:rPr>
                <w:sz w:val="21"/>
              </w:rPr>
              <w:t>IV</w:t>
            </w:r>
            <w:r>
              <w:rPr>
                <w:spacing w:val="3"/>
                <w:sz w:val="21"/>
              </w:rPr>
              <w:t> 级， 且静息状态下肺动脉平均压超过</w:t>
            </w:r>
          </w:p>
          <w:p>
            <w:pPr>
              <w:pStyle w:val="TableParagraph"/>
              <w:spacing w:before="13"/>
              <w:ind w:left="107"/>
              <w:jc w:val="both"/>
              <w:rPr>
                <w:sz w:val="21"/>
              </w:rPr>
            </w:pPr>
            <w:r>
              <w:rPr>
                <w:sz w:val="21"/>
              </w:rPr>
              <w:t>30mmHg。</w:t>
            </w:r>
          </w:p>
        </w:tc>
      </w:tr>
      <w:tr>
        <w:trPr>
          <w:trHeight w:val="1441" w:hRule="atLeast"/>
        </w:trPr>
        <w:tc>
          <w:tcPr>
            <w:tcW w:w="2973" w:type="dxa"/>
          </w:tcPr>
          <w:p>
            <w:pPr>
              <w:pStyle w:val="TableParagraph"/>
              <w:spacing w:before="36"/>
              <w:ind w:left="200"/>
              <w:rPr>
                <w:sz w:val="21"/>
              </w:rPr>
            </w:pPr>
            <w:r>
              <w:rPr>
                <w:sz w:val="21"/>
              </w:rPr>
              <w:t>（</w:t>
            </w:r>
            <w:r>
              <w:rPr>
                <w:spacing w:val="-2"/>
                <w:sz w:val="21"/>
              </w:rPr>
              <w:t>二十二</w:t>
            </w:r>
            <w:r>
              <w:rPr>
                <w:spacing w:val="-68"/>
                <w:sz w:val="21"/>
              </w:rPr>
              <w:t>）</w:t>
            </w:r>
            <w:r>
              <w:rPr>
                <w:spacing w:val="-3"/>
                <w:sz w:val="21"/>
              </w:rPr>
              <w:t>严重运动神经元病</w:t>
            </w:r>
          </w:p>
        </w:tc>
        <w:tc>
          <w:tcPr>
            <w:tcW w:w="6636" w:type="dxa"/>
          </w:tcPr>
          <w:p>
            <w:pPr>
              <w:pStyle w:val="TableParagraph"/>
              <w:spacing w:line="292" w:lineRule="auto" w:before="48"/>
              <w:ind w:left="107" w:right="297"/>
              <w:jc w:val="both"/>
              <w:rPr>
                <w:sz w:val="21"/>
              </w:rPr>
            </w:pPr>
            <w:r>
              <w:rPr>
                <w:spacing w:val="-7"/>
                <w:sz w:val="21"/>
              </w:rPr>
              <w:t>是一组中枢神经系统运动神经元的进行性变性疾病，包括进行性脊肌</w:t>
            </w:r>
            <w:r>
              <w:rPr>
                <w:spacing w:val="-11"/>
                <w:sz w:val="21"/>
              </w:rPr>
              <w:t>萎缩症、进行性延髓麻痹症、原发性侧索硬化症、肌萎缩性侧索硬化</w:t>
            </w:r>
            <w:r>
              <w:rPr>
                <w:spacing w:val="-10"/>
                <w:sz w:val="21"/>
              </w:rPr>
              <w:t>症。须满足自主生活能力完全丧失，无法独立完成六项基本日常生活</w:t>
            </w:r>
            <w:r>
              <w:rPr>
                <w:spacing w:val="-5"/>
                <w:sz w:val="21"/>
              </w:rPr>
              <w:t>活动中的三项或三项以上的条件。</w:t>
            </w:r>
          </w:p>
        </w:tc>
      </w:tr>
      <w:tr>
        <w:trPr>
          <w:trHeight w:val="1431" w:hRule="atLeast"/>
        </w:trPr>
        <w:tc>
          <w:tcPr>
            <w:tcW w:w="2973" w:type="dxa"/>
          </w:tcPr>
          <w:p>
            <w:pPr>
              <w:pStyle w:val="TableParagraph"/>
              <w:spacing w:before="42"/>
              <w:ind w:left="200"/>
              <w:rPr>
                <w:sz w:val="21"/>
              </w:rPr>
            </w:pPr>
            <w:r>
              <w:rPr>
                <w:sz w:val="21"/>
              </w:rPr>
              <w:t>（二十三）语言能力丧失</w:t>
            </w:r>
          </w:p>
        </w:tc>
        <w:tc>
          <w:tcPr>
            <w:tcW w:w="6636" w:type="dxa"/>
          </w:tcPr>
          <w:p>
            <w:pPr>
              <w:pStyle w:val="TableParagraph"/>
              <w:spacing w:line="295" w:lineRule="auto" w:before="42"/>
              <w:ind w:left="107" w:right="301"/>
              <w:jc w:val="both"/>
              <w:rPr>
                <w:sz w:val="21"/>
              </w:rPr>
            </w:pPr>
            <w:r>
              <w:rPr>
                <w:sz w:val="21"/>
              </w:rPr>
              <w:t>指因疾病或意外伤害导致完全丧失语言能力，经过积极治疗至少</w:t>
            </w:r>
            <w:r>
              <w:rPr>
                <w:spacing w:val="-3"/>
                <w:sz w:val="21"/>
              </w:rPr>
              <w:t>12 </w:t>
            </w:r>
            <w:r>
              <w:rPr>
                <w:w w:val="100"/>
                <w:sz w:val="21"/>
              </w:rPr>
              <w:t>个月（</w:t>
            </w:r>
            <w:r>
              <w:rPr>
                <w:spacing w:val="-1"/>
                <w:w w:val="100"/>
                <w:sz w:val="21"/>
              </w:rPr>
              <w:t>声带完全切除不受此时间限制</w:t>
            </w:r>
            <w:r>
              <w:rPr>
                <w:spacing w:val="-104"/>
                <w:w w:val="100"/>
                <w:sz w:val="21"/>
              </w:rPr>
              <w:t>）</w:t>
            </w:r>
            <w:r>
              <w:rPr>
                <w:spacing w:val="-3"/>
                <w:w w:val="100"/>
                <w:sz w:val="21"/>
              </w:rPr>
              <w:t>，仍无法通过现有医疗手段恢</w:t>
            </w:r>
            <w:r>
              <w:rPr>
                <w:spacing w:val="-3"/>
                <w:sz w:val="21"/>
              </w:rPr>
              <w:t>复。</w:t>
            </w:r>
          </w:p>
          <w:p>
            <w:pPr>
              <w:pStyle w:val="TableParagraph"/>
              <w:spacing w:before="13"/>
              <w:ind w:left="107"/>
              <w:jc w:val="both"/>
              <w:rPr>
                <w:sz w:val="21"/>
              </w:rPr>
            </w:pPr>
            <w:r>
              <w:rPr>
                <w:sz w:val="21"/>
              </w:rPr>
              <w:t>精神心理因素所致的语言能力丧失不在保障范围内。</w:t>
            </w:r>
          </w:p>
        </w:tc>
      </w:tr>
      <w:tr>
        <w:trPr>
          <w:trHeight w:val="2424" w:hRule="atLeast"/>
        </w:trPr>
        <w:tc>
          <w:tcPr>
            <w:tcW w:w="2973" w:type="dxa"/>
          </w:tcPr>
          <w:p>
            <w:pPr>
              <w:pStyle w:val="TableParagraph"/>
              <w:spacing w:line="273" w:lineRule="auto" w:before="36"/>
              <w:ind w:left="200" w:right="103"/>
              <w:rPr>
                <w:sz w:val="21"/>
              </w:rPr>
            </w:pPr>
            <w:r>
              <w:rPr>
                <w:sz w:val="21"/>
              </w:rPr>
              <w:t>（</w:t>
            </w:r>
            <w:r>
              <w:rPr>
                <w:spacing w:val="-2"/>
                <w:sz w:val="21"/>
              </w:rPr>
              <w:t>二十四</w:t>
            </w:r>
            <w:r>
              <w:rPr>
                <w:spacing w:val="-68"/>
                <w:sz w:val="21"/>
              </w:rPr>
              <w:t>）</w:t>
            </w:r>
            <w:r>
              <w:rPr>
                <w:spacing w:val="-3"/>
                <w:sz w:val="21"/>
              </w:rPr>
              <w:t>重型再生障碍性贫血</w:t>
            </w:r>
          </w:p>
        </w:tc>
        <w:tc>
          <w:tcPr>
            <w:tcW w:w="6636" w:type="dxa"/>
          </w:tcPr>
          <w:p>
            <w:pPr>
              <w:pStyle w:val="TableParagraph"/>
              <w:spacing w:line="292" w:lineRule="auto" w:before="48"/>
              <w:ind w:left="107" w:right="297"/>
              <w:rPr>
                <w:sz w:val="21"/>
              </w:rPr>
            </w:pPr>
            <w:r>
              <w:rPr>
                <w:spacing w:val="-7"/>
                <w:sz w:val="21"/>
              </w:rPr>
              <w:t>指因骨髓造血功能慢性持续性衰竭导致的贫血、中性粒细胞减少及血</w:t>
            </w:r>
            <w:r>
              <w:rPr>
                <w:spacing w:val="-5"/>
                <w:sz w:val="21"/>
              </w:rPr>
              <w:t>小板减少。须满足下列全部条件：</w:t>
            </w:r>
          </w:p>
          <w:p>
            <w:pPr>
              <w:pStyle w:val="TableParagraph"/>
              <w:spacing w:before="15"/>
              <w:ind w:left="107"/>
              <w:rPr>
                <w:sz w:val="21"/>
              </w:rPr>
            </w:pPr>
            <w:r>
              <w:rPr>
                <w:sz w:val="21"/>
              </w:rPr>
              <w:t>（1）骨髓穿刺检查或骨髓活检结果支持诊断；</w:t>
            </w:r>
          </w:p>
          <w:p>
            <w:pPr>
              <w:pStyle w:val="TableParagraph"/>
              <w:spacing w:before="63"/>
              <w:ind w:left="107"/>
              <w:rPr>
                <w:sz w:val="21"/>
              </w:rPr>
            </w:pPr>
            <w:r>
              <w:rPr>
                <w:sz w:val="21"/>
              </w:rPr>
              <w:t>（2）外周血象须具备以下三项条件：</w:t>
            </w:r>
          </w:p>
          <w:p>
            <w:pPr>
              <w:pStyle w:val="TableParagraph"/>
              <w:spacing w:line="295" w:lineRule="exact" w:before="76"/>
              <w:ind w:left="527"/>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line="273" w:lineRule="exact"/>
              <w:ind w:left="526"/>
              <w:rPr>
                <w:sz w:val="21"/>
              </w:rPr>
            </w:pPr>
            <w:r>
              <w:rPr>
                <w:sz w:val="21"/>
              </w:rPr>
              <w:t>② 网织红细胞＜1%；</w:t>
            </w:r>
          </w:p>
          <w:p>
            <w:pPr>
              <w:pStyle w:val="TableParagraph"/>
              <w:spacing w:before="68"/>
              <w:ind w:left="527"/>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426" w:hRule="atLeast"/>
        </w:trPr>
        <w:tc>
          <w:tcPr>
            <w:tcW w:w="2973" w:type="dxa"/>
          </w:tcPr>
          <w:p>
            <w:pPr>
              <w:pStyle w:val="TableParagraph"/>
              <w:spacing w:before="37"/>
              <w:ind w:left="200"/>
              <w:rPr>
                <w:sz w:val="21"/>
              </w:rPr>
            </w:pPr>
            <w:r>
              <w:rPr>
                <w:sz w:val="21"/>
              </w:rPr>
              <w:t>（二十五）主动脉手术</w:t>
            </w:r>
          </w:p>
        </w:tc>
        <w:tc>
          <w:tcPr>
            <w:tcW w:w="6636" w:type="dxa"/>
          </w:tcPr>
          <w:p>
            <w:pPr>
              <w:pStyle w:val="TableParagraph"/>
              <w:spacing w:line="295" w:lineRule="auto" w:before="37"/>
              <w:ind w:left="107" w:right="298"/>
              <w:jc w:val="both"/>
              <w:rPr>
                <w:sz w:val="21"/>
              </w:rPr>
            </w:pPr>
            <w:r>
              <w:rPr>
                <w:spacing w:val="-8"/>
                <w:sz w:val="21"/>
              </w:rPr>
              <w:t>指为治疗主动脉疾病，实际实施了开胸或开腹进行的切除、置换、修</w:t>
            </w:r>
            <w:r>
              <w:rPr>
                <w:spacing w:val="-10"/>
                <w:sz w:val="21"/>
              </w:rPr>
              <w:t>补病损主动脉血管的手术。主动脉指胸主动脉和腹主动脉，不包括胸</w:t>
            </w:r>
            <w:r>
              <w:rPr>
                <w:spacing w:val="-5"/>
                <w:sz w:val="21"/>
              </w:rPr>
              <w:t>主动脉和腹主动脉的分支血管。</w:t>
            </w:r>
          </w:p>
          <w:p>
            <w:pPr>
              <w:pStyle w:val="TableParagraph"/>
              <w:spacing w:before="13"/>
              <w:ind w:left="107"/>
              <w:jc w:val="both"/>
              <w:rPr>
                <w:sz w:val="21"/>
              </w:rPr>
            </w:pPr>
            <w:r>
              <w:rPr>
                <w:sz w:val="21"/>
              </w:rPr>
              <w:t>动脉内血管成形术不在保障范围内。</w:t>
            </w:r>
          </w:p>
        </w:tc>
      </w:tr>
      <w:tr>
        <w:trPr>
          <w:trHeight w:val="1099" w:hRule="atLeast"/>
        </w:trPr>
        <w:tc>
          <w:tcPr>
            <w:tcW w:w="2973" w:type="dxa"/>
          </w:tcPr>
          <w:p>
            <w:pPr>
              <w:pStyle w:val="TableParagraph"/>
              <w:spacing w:before="36"/>
              <w:ind w:left="200"/>
              <w:rPr>
                <w:sz w:val="21"/>
              </w:rPr>
            </w:pPr>
            <w:r>
              <w:rPr>
                <w:sz w:val="21"/>
              </w:rPr>
              <w:t>（二十六）多发性硬化症</w:t>
            </w:r>
          </w:p>
        </w:tc>
        <w:tc>
          <w:tcPr>
            <w:tcW w:w="6636" w:type="dxa"/>
          </w:tcPr>
          <w:p>
            <w:pPr>
              <w:pStyle w:val="TableParagraph"/>
              <w:spacing w:line="292" w:lineRule="auto" w:before="48"/>
              <w:ind w:left="107" w:right="298"/>
              <w:jc w:val="both"/>
              <w:rPr>
                <w:sz w:val="21"/>
              </w:rPr>
            </w:pPr>
            <w:r>
              <w:rPr>
                <w:spacing w:val="-6"/>
                <w:sz w:val="21"/>
              </w:rPr>
              <w:t>指因中枢神经系统脱髓鞘所致的不可逆的神经系统功能障碍，已经造</w:t>
            </w:r>
            <w:r>
              <w:rPr>
                <w:spacing w:val="-11"/>
                <w:sz w:val="21"/>
              </w:rPr>
              <w:t>成自主生活能力完全丧失，无法独立完成六项基本日常生活活动中的</w:t>
            </w:r>
            <w:r>
              <w:rPr>
                <w:spacing w:val="-9"/>
                <w:sz w:val="21"/>
              </w:rPr>
              <w:t>三项或三项以上，且持续至少 </w:t>
            </w:r>
            <w:r>
              <w:rPr>
                <w:sz w:val="21"/>
              </w:rPr>
              <w:t>180</w:t>
            </w:r>
            <w:r>
              <w:rPr>
                <w:spacing w:val="-17"/>
                <w:sz w:val="21"/>
              </w:rPr>
              <w:t> 天。</w:t>
            </w:r>
          </w:p>
        </w:tc>
      </w:tr>
      <w:tr>
        <w:trPr>
          <w:trHeight w:val="2682" w:hRule="atLeast"/>
        </w:trPr>
        <w:tc>
          <w:tcPr>
            <w:tcW w:w="2973" w:type="dxa"/>
          </w:tcPr>
          <w:p>
            <w:pPr>
              <w:pStyle w:val="TableParagraph"/>
              <w:spacing w:line="273" w:lineRule="auto" w:before="36"/>
              <w:ind w:left="200" w:right="104"/>
              <w:rPr>
                <w:sz w:val="21"/>
              </w:rPr>
            </w:pPr>
            <w:r>
              <w:rPr>
                <w:sz w:val="21"/>
              </w:rPr>
              <w:t>（</w:t>
            </w:r>
            <w:r>
              <w:rPr>
                <w:spacing w:val="-2"/>
                <w:sz w:val="21"/>
              </w:rPr>
              <w:t>二十七</w:t>
            </w:r>
            <w:r>
              <w:rPr>
                <w:spacing w:val="-68"/>
                <w:sz w:val="21"/>
              </w:rPr>
              <w:t>）</w:t>
            </w:r>
            <w:r>
              <w:rPr>
                <w:spacing w:val="-3"/>
                <w:sz w:val="21"/>
              </w:rPr>
              <w:t>经输血导致的人类免疫缺陷病毒感染</w:t>
            </w:r>
          </w:p>
        </w:tc>
        <w:tc>
          <w:tcPr>
            <w:tcW w:w="6636" w:type="dxa"/>
          </w:tcPr>
          <w:p>
            <w:pPr>
              <w:pStyle w:val="TableParagraph"/>
              <w:spacing w:before="48"/>
              <w:ind w:left="107"/>
              <w:rPr>
                <w:sz w:val="21"/>
              </w:rPr>
            </w:pPr>
            <w:r>
              <w:rPr>
                <w:sz w:val="21"/>
              </w:rPr>
              <w:t>是指被保险人感染上人类免疫缺陷病毒并且符合下列所有条件：</w:t>
            </w:r>
          </w:p>
          <w:p>
            <w:pPr>
              <w:pStyle w:val="TableParagraph"/>
              <w:spacing w:line="292" w:lineRule="auto" w:before="63"/>
              <w:ind w:left="107" w:right="196"/>
              <w:rPr>
                <w:sz w:val="21"/>
              </w:rPr>
            </w:pPr>
            <w:r>
              <w:rPr>
                <w:spacing w:val="-14"/>
                <w:sz w:val="21"/>
              </w:rPr>
              <w:t>（1）</w:t>
            </w:r>
            <w:r>
              <w:rPr>
                <w:spacing w:val="-6"/>
                <w:sz w:val="21"/>
              </w:rPr>
              <w:t>在保障起始日或复效日之后，被保险人因治疗必需而接受输血， </w:t>
            </w:r>
            <w:r>
              <w:rPr>
                <w:spacing w:val="-3"/>
                <w:sz w:val="21"/>
              </w:rPr>
              <w:t>并且因输血而感染人类免疫缺陷病毒；</w:t>
            </w:r>
          </w:p>
          <w:p>
            <w:pPr>
              <w:pStyle w:val="TableParagraph"/>
              <w:spacing w:line="292" w:lineRule="auto" w:before="14"/>
              <w:ind w:left="107" w:right="301"/>
              <w:rPr>
                <w:sz w:val="21"/>
              </w:rPr>
            </w:pPr>
            <w:r>
              <w:rPr>
                <w:sz w:val="21"/>
              </w:rPr>
              <w:t>（2）提供输血治疗的输血中心或医院出具该项输血感染属医疗责任事故的报告，或者法院终审裁定为医疗责任并且不准上诉；</w:t>
            </w:r>
          </w:p>
          <w:p>
            <w:pPr>
              <w:pStyle w:val="TableParagraph"/>
              <w:spacing w:before="17"/>
              <w:ind w:left="107"/>
              <w:rPr>
                <w:sz w:val="21"/>
              </w:rPr>
            </w:pPr>
            <w:r>
              <w:rPr>
                <w:sz w:val="21"/>
              </w:rPr>
              <w:t>（3）提供输血治疗的输血中心或医院必须拥有合法经营执照；</w:t>
            </w:r>
          </w:p>
          <w:p>
            <w:pPr>
              <w:pStyle w:val="TableParagraph"/>
              <w:spacing w:before="61"/>
              <w:ind w:left="107"/>
              <w:rPr>
                <w:sz w:val="21"/>
              </w:rPr>
            </w:pPr>
            <w:r>
              <w:rPr>
                <w:sz w:val="21"/>
              </w:rPr>
              <w:t>（4）受感染的被保险人不是血友病患者；</w:t>
            </w:r>
          </w:p>
          <w:p>
            <w:pPr>
              <w:pStyle w:val="TableParagraph"/>
              <w:spacing w:line="257" w:lineRule="exact" w:before="61"/>
              <w:ind w:left="107"/>
              <w:rPr>
                <w:sz w:val="21"/>
              </w:rPr>
            </w:pPr>
            <w:r>
              <w:rPr>
                <w:sz w:val="21"/>
              </w:rPr>
              <w:t>在任何治愈艾滋病或阻止人类免疫缺陷病毒作用的疗法被发现以后，</w:t>
            </w:r>
          </w:p>
        </w:tc>
      </w:tr>
    </w:tbl>
    <w:p>
      <w:pPr>
        <w:spacing w:after="0" w:line="257" w:lineRule="exact"/>
        <w:rPr>
          <w:sz w:val="21"/>
        </w:rPr>
        <w:sectPr>
          <w:pgSz w:w="11910" w:h="16840"/>
          <w:pgMar w:header="0" w:footer="921" w:top="1480" w:bottom="1120" w:left="1100" w:right="9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6638"/>
      </w:tblGrid>
      <w:tr>
        <w:trPr>
          <w:trHeight w:val="1997" w:hRule="atLeast"/>
        </w:trPr>
        <w:tc>
          <w:tcPr>
            <w:tcW w:w="2974" w:type="dxa"/>
          </w:tcPr>
          <w:p>
            <w:pPr>
              <w:pStyle w:val="TableParagraph"/>
              <w:rPr>
                <w:rFonts w:ascii="Times New Roman"/>
                <w:sz w:val="20"/>
              </w:rPr>
            </w:pPr>
          </w:p>
        </w:tc>
        <w:tc>
          <w:tcPr>
            <w:tcW w:w="6638" w:type="dxa"/>
          </w:tcPr>
          <w:p>
            <w:pPr>
              <w:pStyle w:val="TableParagraph"/>
              <w:spacing w:line="209" w:lineRule="exact"/>
              <w:ind w:left="105"/>
              <w:rPr>
                <w:sz w:val="21"/>
              </w:rPr>
            </w:pPr>
            <w:r>
              <w:rPr>
                <w:sz w:val="21"/>
              </w:rPr>
              <w:t>或能防止艾滋病发生的医疗方法被研究出来以后，本保障将不再予以</w:t>
            </w:r>
          </w:p>
          <w:p>
            <w:pPr>
              <w:pStyle w:val="TableParagraph"/>
              <w:spacing w:before="63"/>
              <w:ind w:left="105"/>
              <w:rPr>
                <w:sz w:val="21"/>
              </w:rPr>
            </w:pPr>
            <w:r>
              <w:rPr>
                <w:sz w:val="21"/>
              </w:rPr>
              <w:t>赔付。</w:t>
            </w:r>
          </w:p>
          <w:p>
            <w:pPr>
              <w:pStyle w:val="TableParagraph"/>
              <w:spacing w:line="292" w:lineRule="auto" w:before="60"/>
              <w:ind w:left="105" w:right="227"/>
              <w:rPr>
                <w:sz w:val="21"/>
              </w:rPr>
            </w:pPr>
            <w:r>
              <w:rPr>
                <w:sz w:val="21"/>
              </w:rPr>
              <w:t>任何因其他传播方式（包括：性传播或静脉注射毒品）导致的人类免疫缺陷病毒感染不在本合同保障范围内。</w:t>
            </w:r>
          </w:p>
          <w:p>
            <w:pPr>
              <w:pStyle w:val="TableParagraph"/>
              <w:spacing w:line="292" w:lineRule="auto" w:before="16"/>
              <w:ind w:left="105" w:right="304"/>
              <w:rPr>
                <w:sz w:val="21"/>
              </w:rPr>
            </w:pPr>
            <w:r>
              <w:rPr>
                <w:sz w:val="21"/>
              </w:rPr>
              <w:t>我们拥有获得使用被保险人的血液样本的权利和能够对这些样本进行独立检验的权利。</w:t>
            </w:r>
          </w:p>
        </w:tc>
      </w:tr>
      <w:tr>
        <w:trPr>
          <w:trHeight w:val="1773" w:hRule="atLeast"/>
        </w:trPr>
        <w:tc>
          <w:tcPr>
            <w:tcW w:w="2974" w:type="dxa"/>
          </w:tcPr>
          <w:p>
            <w:pPr>
              <w:pStyle w:val="TableParagraph"/>
              <w:spacing w:before="36"/>
              <w:ind w:left="200"/>
              <w:rPr>
                <w:sz w:val="21"/>
              </w:rPr>
            </w:pPr>
            <w:r>
              <w:rPr>
                <w:sz w:val="21"/>
              </w:rPr>
              <w:t>（二十八）植物人</w:t>
            </w:r>
          </w:p>
        </w:tc>
        <w:tc>
          <w:tcPr>
            <w:tcW w:w="6638" w:type="dxa"/>
          </w:tcPr>
          <w:p>
            <w:pPr>
              <w:pStyle w:val="TableParagraph"/>
              <w:spacing w:line="292" w:lineRule="auto" w:before="48"/>
              <w:ind w:left="106" w:right="304"/>
              <w:jc w:val="both"/>
              <w:rPr>
                <w:sz w:val="21"/>
              </w:rPr>
            </w:pPr>
            <w:r>
              <w:rPr>
                <w:sz w:val="21"/>
              </w:rPr>
              <w:t>指脑皮质广泛性坏死而导致对自身及周边的认知能力完全丧失,但脑干功能依然存在。必须由神经专科医生明确诊断,并有头颅断层扫描</w:t>
            </w:r>
          </w:p>
          <w:p>
            <w:pPr>
              <w:pStyle w:val="TableParagraph"/>
              <w:spacing w:line="295" w:lineRule="auto" w:before="15"/>
              <w:ind w:left="106" w:right="300"/>
              <w:jc w:val="both"/>
              <w:rPr>
                <w:sz w:val="21"/>
              </w:rPr>
            </w:pPr>
            <w:r>
              <w:rPr>
                <w:w w:val="100"/>
                <w:sz w:val="21"/>
              </w:rPr>
              <w:t>（CT</w:t>
            </w:r>
            <w:r>
              <w:rPr>
                <w:spacing w:val="-104"/>
                <w:w w:val="100"/>
                <w:sz w:val="21"/>
              </w:rPr>
              <w:t>）</w:t>
            </w:r>
            <w:r>
              <w:rPr>
                <w:spacing w:val="-1"/>
                <w:w w:val="100"/>
                <w:sz w:val="21"/>
              </w:rPr>
              <w:t>，核磁共振检查</w:t>
            </w:r>
            <w:r>
              <w:rPr>
                <w:w w:val="100"/>
                <w:sz w:val="21"/>
              </w:rPr>
              <w:t>（</w:t>
            </w:r>
            <w:r>
              <w:rPr>
                <w:spacing w:val="-3"/>
                <w:w w:val="100"/>
                <w:sz w:val="21"/>
              </w:rPr>
              <w:t>M</w:t>
            </w:r>
            <w:r>
              <w:rPr>
                <w:w w:val="100"/>
                <w:sz w:val="21"/>
              </w:rPr>
              <w:t>RI）</w:t>
            </w:r>
            <w:r>
              <w:rPr>
                <w:spacing w:val="-1"/>
                <w:w w:val="100"/>
                <w:sz w:val="21"/>
              </w:rPr>
              <w:t>或正电子发射断层扫描</w:t>
            </w:r>
            <w:r>
              <w:rPr>
                <w:w w:val="100"/>
                <w:sz w:val="21"/>
              </w:rPr>
              <w:t>（PET）等影像</w:t>
            </w:r>
            <w:r>
              <w:rPr>
                <w:spacing w:val="-10"/>
                <w:sz w:val="21"/>
              </w:rPr>
              <w:t>学检查证实。上述情况必须有至少一个月的病历记录加以证实。由于</w:t>
            </w:r>
            <w:r>
              <w:rPr>
                <w:spacing w:val="-5"/>
                <w:sz w:val="21"/>
              </w:rPr>
              <w:t>酗酒或滥用药物所致的植物人状态不在保障范围内。</w:t>
            </w:r>
          </w:p>
        </w:tc>
      </w:tr>
      <w:tr>
        <w:trPr>
          <w:trHeight w:val="5593" w:hRule="atLeast"/>
        </w:trPr>
        <w:tc>
          <w:tcPr>
            <w:tcW w:w="2974" w:type="dxa"/>
          </w:tcPr>
          <w:p>
            <w:pPr>
              <w:pStyle w:val="TableParagraph"/>
              <w:spacing w:before="36"/>
              <w:ind w:left="200"/>
              <w:rPr>
                <w:sz w:val="21"/>
              </w:rPr>
            </w:pPr>
            <w:r>
              <w:rPr>
                <w:sz w:val="21"/>
              </w:rPr>
              <w:t>（二十九）系统性红斑狼疮</w:t>
            </w:r>
          </w:p>
        </w:tc>
        <w:tc>
          <w:tcPr>
            <w:tcW w:w="6638" w:type="dxa"/>
          </w:tcPr>
          <w:p>
            <w:pPr>
              <w:pStyle w:val="TableParagraph"/>
              <w:spacing w:line="292" w:lineRule="auto" w:before="48"/>
              <w:ind w:left="105" w:right="197"/>
              <w:rPr>
                <w:sz w:val="21"/>
              </w:rPr>
            </w:pPr>
            <w:r>
              <w:rPr>
                <w:spacing w:val="-9"/>
                <w:sz w:val="21"/>
              </w:rPr>
              <w:t>是一种自身免疫性结缔组织病，于体内有大量致病性自身抗体和免疫</w:t>
            </w:r>
            <w:r>
              <w:rPr>
                <w:spacing w:val="-17"/>
                <w:sz w:val="21"/>
              </w:rPr>
              <w:t>复合物，造成组织损伤。理赔须经专科医生确认并同时具备下列情况：</w:t>
            </w:r>
          </w:p>
          <w:p>
            <w:pPr>
              <w:pStyle w:val="TableParagraph"/>
              <w:spacing w:before="15"/>
              <w:ind w:left="105"/>
              <w:rPr>
                <w:sz w:val="21"/>
              </w:rPr>
            </w:pPr>
            <w:r>
              <w:rPr>
                <w:sz w:val="21"/>
              </w:rPr>
              <w:t>（1）临床表现至少具备如下条件的四个：</w:t>
            </w:r>
          </w:p>
          <w:p>
            <w:pPr>
              <w:pStyle w:val="TableParagraph"/>
              <w:spacing w:before="30"/>
              <w:ind w:left="525"/>
              <w:rPr>
                <w:sz w:val="21"/>
              </w:rPr>
            </w:pPr>
            <w:r>
              <w:rPr>
                <w:sz w:val="21"/>
              </w:rPr>
              <w:t>① 蝶形红斑或盘形红斑；</w:t>
            </w:r>
          </w:p>
          <w:p>
            <w:pPr>
              <w:pStyle w:val="TableParagraph"/>
              <w:spacing w:before="18"/>
              <w:ind w:left="525"/>
              <w:rPr>
                <w:sz w:val="21"/>
              </w:rPr>
            </w:pPr>
            <w:r>
              <w:rPr>
                <w:sz w:val="21"/>
              </w:rPr>
              <w:t>② 光敏感；</w:t>
            </w:r>
          </w:p>
          <w:p>
            <w:pPr>
              <w:pStyle w:val="TableParagraph"/>
              <w:spacing w:before="18"/>
              <w:ind w:left="525"/>
              <w:rPr>
                <w:sz w:val="21"/>
              </w:rPr>
            </w:pPr>
            <w:r>
              <w:rPr>
                <w:sz w:val="21"/>
              </w:rPr>
              <w:t>③ 口腔溃疡；</w:t>
            </w:r>
          </w:p>
          <w:p>
            <w:pPr>
              <w:pStyle w:val="TableParagraph"/>
              <w:spacing w:before="20"/>
              <w:ind w:left="525"/>
              <w:rPr>
                <w:sz w:val="21"/>
              </w:rPr>
            </w:pPr>
            <w:r>
              <w:rPr>
                <w:sz w:val="21"/>
              </w:rPr>
              <w:t>④ 非畸形关节炎或关节痛；</w:t>
            </w:r>
          </w:p>
          <w:p>
            <w:pPr>
              <w:pStyle w:val="TableParagraph"/>
              <w:spacing w:before="17"/>
              <w:ind w:left="525"/>
              <w:rPr>
                <w:sz w:val="21"/>
              </w:rPr>
            </w:pPr>
            <w:r>
              <w:rPr>
                <w:sz w:val="21"/>
              </w:rPr>
              <w:t>⑤ 浆膜炎、胸膜炎或心包炎；</w:t>
            </w:r>
          </w:p>
          <w:p>
            <w:pPr>
              <w:pStyle w:val="TableParagraph"/>
              <w:spacing w:before="20"/>
              <w:ind w:left="525"/>
              <w:rPr>
                <w:sz w:val="21"/>
              </w:rPr>
            </w:pPr>
            <w:r>
              <w:rPr>
                <w:w w:val="100"/>
                <w:sz w:val="21"/>
              </w:rPr>
              <w:t>⑥</w:t>
            </w:r>
            <w:r>
              <w:rPr>
                <w:spacing w:val="42"/>
                <w:sz w:val="21"/>
              </w:rPr>
              <w:t> </w:t>
            </w:r>
            <w:r>
              <w:rPr>
                <w:spacing w:val="-2"/>
                <w:w w:val="100"/>
                <w:sz w:val="21"/>
              </w:rPr>
              <w:t>神经系统损伤</w:t>
            </w:r>
            <w:r>
              <w:rPr>
                <w:spacing w:val="-3"/>
                <w:w w:val="100"/>
                <w:sz w:val="21"/>
              </w:rPr>
              <w:t>（抽搐或精神症状</w:t>
            </w:r>
            <w:r>
              <w:rPr>
                <w:spacing w:val="-106"/>
                <w:w w:val="100"/>
                <w:sz w:val="21"/>
              </w:rPr>
              <w:t>）</w:t>
            </w:r>
            <w:r>
              <w:rPr>
                <w:w w:val="100"/>
                <w:sz w:val="21"/>
              </w:rPr>
              <w:t>；</w:t>
            </w:r>
          </w:p>
          <w:p>
            <w:pPr>
              <w:pStyle w:val="TableParagraph"/>
              <w:spacing w:line="256" w:lineRule="auto" w:before="18"/>
              <w:ind w:left="883" w:right="303" w:hanging="358"/>
              <w:rPr>
                <w:sz w:val="21"/>
              </w:rPr>
            </w:pPr>
            <w:r>
              <w:rPr>
                <w:spacing w:val="2"/>
                <w:sz w:val="21"/>
              </w:rPr>
              <w:t>⑦ 血象异常</w:t>
            </w:r>
            <w:r>
              <w:rPr>
                <w:sz w:val="21"/>
              </w:rPr>
              <w:t>（WBC&lt;4000/μl</w:t>
            </w:r>
            <w:r>
              <w:rPr>
                <w:spacing w:val="-10"/>
                <w:sz w:val="21"/>
              </w:rPr>
              <w:t> 或血小板&lt;</w:t>
            </w:r>
            <w:r>
              <w:rPr>
                <w:sz w:val="21"/>
              </w:rPr>
              <w:t>100000/μl</w:t>
            </w:r>
            <w:r>
              <w:rPr>
                <w:spacing w:val="-10"/>
                <w:sz w:val="21"/>
              </w:rPr>
              <w:t> 或溶血性贫</w:t>
            </w:r>
            <w:r>
              <w:rPr>
                <w:spacing w:val="-106"/>
                <w:sz w:val="21"/>
              </w:rPr>
              <w:t>血</w:t>
            </w:r>
            <w:r>
              <w:rPr>
                <w:sz w:val="21"/>
              </w:rPr>
              <w:t>）。</w:t>
            </w:r>
          </w:p>
          <w:p>
            <w:pPr>
              <w:pStyle w:val="TableParagraph"/>
              <w:spacing w:before="37"/>
              <w:ind w:left="106"/>
              <w:rPr>
                <w:sz w:val="21"/>
              </w:rPr>
            </w:pPr>
            <w:r>
              <w:rPr>
                <w:sz w:val="21"/>
              </w:rPr>
              <w:t>（2）检测结果至少具备如下条件的两个：</w:t>
            </w:r>
          </w:p>
          <w:p>
            <w:pPr>
              <w:pStyle w:val="TableParagraph"/>
              <w:spacing w:before="30"/>
              <w:ind w:left="526"/>
              <w:rPr>
                <w:sz w:val="21"/>
              </w:rPr>
            </w:pPr>
            <w:r>
              <w:rPr>
                <w:sz w:val="21"/>
              </w:rPr>
              <w:t>① 狼疮细胞或抗双链 DNA 抗体阳性；</w:t>
            </w:r>
          </w:p>
          <w:p>
            <w:pPr>
              <w:pStyle w:val="TableParagraph"/>
              <w:spacing w:before="18"/>
              <w:ind w:left="526"/>
              <w:rPr>
                <w:sz w:val="21"/>
              </w:rPr>
            </w:pPr>
            <w:r>
              <w:rPr>
                <w:sz w:val="21"/>
              </w:rPr>
              <w:t>② 抗 Sm 抗体阳性；</w:t>
            </w:r>
          </w:p>
          <w:p>
            <w:pPr>
              <w:pStyle w:val="TableParagraph"/>
              <w:spacing w:before="18"/>
              <w:ind w:left="526"/>
              <w:rPr>
                <w:sz w:val="21"/>
              </w:rPr>
            </w:pPr>
            <w:r>
              <w:rPr>
                <w:sz w:val="21"/>
              </w:rPr>
              <w:t>③ 抗核抗体阳性；</w:t>
            </w:r>
          </w:p>
          <w:p>
            <w:pPr>
              <w:pStyle w:val="TableParagraph"/>
              <w:spacing w:before="20"/>
              <w:ind w:left="526"/>
              <w:rPr>
                <w:sz w:val="21"/>
              </w:rPr>
            </w:pPr>
            <w:r>
              <w:rPr>
                <w:sz w:val="21"/>
              </w:rPr>
              <w:t>④ 狼疮带试验阳性；</w:t>
            </w:r>
          </w:p>
          <w:p>
            <w:pPr>
              <w:pStyle w:val="TableParagraph"/>
              <w:spacing w:before="17"/>
              <w:ind w:left="527"/>
              <w:rPr>
                <w:sz w:val="21"/>
              </w:rPr>
            </w:pPr>
            <w:r>
              <w:rPr>
                <w:sz w:val="21"/>
              </w:rPr>
              <w:t>⑤ C3 补体低于正常。</w:t>
            </w:r>
          </w:p>
          <w:p>
            <w:pPr>
              <w:pStyle w:val="TableParagraph"/>
              <w:spacing w:before="53"/>
              <w:ind w:left="107"/>
              <w:rPr>
                <w:sz w:val="21"/>
              </w:rPr>
            </w:pPr>
            <w:r>
              <w:rPr>
                <w:sz w:val="21"/>
              </w:rPr>
              <w:t>狼疮肾炎致使肾功能减弱，血肌酐的清除率低于每分钟 30ml。</w:t>
            </w:r>
          </w:p>
        </w:tc>
      </w:tr>
      <w:tr>
        <w:trPr>
          <w:trHeight w:val="2323" w:hRule="atLeast"/>
        </w:trPr>
        <w:tc>
          <w:tcPr>
            <w:tcW w:w="2974" w:type="dxa"/>
          </w:tcPr>
          <w:p>
            <w:pPr>
              <w:pStyle w:val="TableParagraph"/>
              <w:spacing w:before="36"/>
              <w:ind w:left="201"/>
              <w:rPr>
                <w:sz w:val="21"/>
              </w:rPr>
            </w:pPr>
            <w:r>
              <w:rPr>
                <w:sz w:val="21"/>
              </w:rPr>
              <w:t>（三十</w:t>
            </w:r>
            <w:r>
              <w:rPr>
                <w:spacing w:val="-70"/>
                <w:sz w:val="21"/>
              </w:rPr>
              <w:t>）</w:t>
            </w:r>
            <w:r>
              <w:rPr>
                <w:spacing w:val="-3"/>
                <w:sz w:val="21"/>
              </w:rPr>
              <w:t>胰岛素依赖型糖尿病</w:t>
            </w:r>
          </w:p>
          <w:p>
            <w:pPr>
              <w:pStyle w:val="TableParagraph"/>
              <w:spacing w:before="37"/>
              <w:ind w:left="201"/>
              <w:rPr>
                <w:sz w:val="21"/>
              </w:rPr>
            </w:pPr>
            <w:r>
              <w:rPr>
                <w:sz w:val="21"/>
              </w:rPr>
              <w:t>（Ｉ型糖尿病）</w:t>
            </w:r>
          </w:p>
        </w:tc>
        <w:tc>
          <w:tcPr>
            <w:tcW w:w="6638" w:type="dxa"/>
          </w:tcPr>
          <w:p>
            <w:pPr>
              <w:pStyle w:val="TableParagraph"/>
              <w:spacing w:before="48"/>
              <w:ind w:left="107"/>
              <w:rPr>
                <w:sz w:val="21"/>
              </w:rPr>
            </w:pPr>
            <w:r>
              <w:rPr>
                <w:sz w:val="21"/>
              </w:rPr>
              <w:t>经内分泌专科医生明确诊断为Ｉ型糖尿病，且须同时满足下列条件：</w:t>
            </w:r>
          </w:p>
          <w:p>
            <w:pPr>
              <w:pStyle w:val="TableParagraph"/>
              <w:spacing w:before="61"/>
              <w:ind w:left="107"/>
              <w:rPr>
                <w:sz w:val="21"/>
              </w:rPr>
            </w:pPr>
            <w:r>
              <w:rPr>
                <w:sz w:val="21"/>
              </w:rPr>
              <w:t>（1）必须持续性地依赖外源性胰岛素维持生命至少 180 天以上。</w:t>
            </w:r>
          </w:p>
          <w:p>
            <w:pPr>
              <w:pStyle w:val="TableParagraph"/>
              <w:spacing w:before="61"/>
              <w:ind w:left="107"/>
              <w:rPr>
                <w:sz w:val="21"/>
              </w:rPr>
            </w:pPr>
            <w:r>
              <w:rPr>
                <w:sz w:val="21"/>
              </w:rPr>
              <w:t>（2）血胰岛素测定、血 C 肽测定或尿 C 肽测定结果异常。</w:t>
            </w:r>
          </w:p>
          <w:p>
            <w:pPr>
              <w:pStyle w:val="TableParagraph"/>
              <w:spacing w:before="61"/>
              <w:ind w:left="107"/>
              <w:rPr>
                <w:sz w:val="21"/>
              </w:rPr>
            </w:pPr>
            <w:r>
              <w:rPr>
                <w:sz w:val="21"/>
              </w:rPr>
              <w:t>（3）出现下述三种并发症之一或一种以上：</w:t>
            </w:r>
          </w:p>
          <w:p>
            <w:pPr>
              <w:pStyle w:val="TableParagraph"/>
              <w:spacing w:before="29"/>
              <w:ind w:left="527"/>
              <w:rPr>
                <w:sz w:val="21"/>
              </w:rPr>
            </w:pPr>
            <w:r>
              <w:rPr>
                <w:sz w:val="21"/>
              </w:rPr>
              <w:t>① 并发增殖性视网膜病变；</w:t>
            </w:r>
          </w:p>
          <w:p>
            <w:pPr>
              <w:pStyle w:val="TableParagraph"/>
              <w:spacing w:before="17"/>
              <w:ind w:left="527"/>
              <w:rPr>
                <w:sz w:val="21"/>
              </w:rPr>
            </w:pPr>
            <w:r>
              <w:rPr>
                <w:sz w:val="21"/>
              </w:rPr>
              <w:t>② 并发心脏病变，并须植入心脏起搏器进行治疗；</w:t>
            </w:r>
          </w:p>
          <w:p>
            <w:pPr>
              <w:pStyle w:val="TableParagraph"/>
              <w:spacing w:before="20"/>
              <w:ind w:left="527"/>
              <w:rPr>
                <w:sz w:val="21"/>
              </w:rPr>
            </w:pPr>
            <w:r>
              <w:rPr>
                <w:sz w:val="21"/>
              </w:rPr>
              <w:t>③ 至少一个脚趾发生坏疽并已达到手术切除指征。</w:t>
            </w:r>
          </w:p>
        </w:tc>
      </w:tr>
      <w:tr>
        <w:trPr>
          <w:trHeight w:val="2002" w:hRule="atLeast"/>
        </w:trPr>
        <w:tc>
          <w:tcPr>
            <w:tcW w:w="2974" w:type="dxa"/>
          </w:tcPr>
          <w:p>
            <w:pPr>
              <w:pStyle w:val="TableParagraph"/>
              <w:spacing w:before="31"/>
              <w:ind w:left="201"/>
              <w:rPr>
                <w:sz w:val="21"/>
              </w:rPr>
            </w:pPr>
            <w:r>
              <w:rPr>
                <w:sz w:val="21"/>
              </w:rPr>
              <w:t>（三十一）原发性心肌病</w:t>
            </w:r>
          </w:p>
        </w:tc>
        <w:tc>
          <w:tcPr>
            <w:tcW w:w="6638" w:type="dxa"/>
          </w:tcPr>
          <w:p>
            <w:pPr>
              <w:pStyle w:val="TableParagraph"/>
              <w:spacing w:line="292" w:lineRule="auto" w:before="43"/>
              <w:ind w:left="107" w:right="299"/>
              <w:jc w:val="both"/>
              <w:rPr>
                <w:sz w:val="21"/>
              </w:rPr>
            </w:pPr>
            <w:r>
              <w:rPr>
                <w:spacing w:val="-8"/>
                <w:sz w:val="21"/>
              </w:rPr>
              <w:t>指不明原因引起的一类心肌病变，包括原发性扩张型心肌病、原发性</w:t>
            </w:r>
            <w:r>
              <w:rPr>
                <w:spacing w:val="-9"/>
                <w:sz w:val="21"/>
              </w:rPr>
              <w:t>肥厚型心肌病及原发性限制型心肌病三种，病变必须已造成事实上心</w:t>
            </w:r>
            <w:r>
              <w:rPr>
                <w:spacing w:val="-10"/>
                <w:sz w:val="21"/>
              </w:rPr>
              <w:t>室功能障碍而出现明显的心功能衰竭</w:t>
            </w:r>
            <w:r>
              <w:rPr>
                <w:spacing w:val="-3"/>
                <w:sz w:val="21"/>
              </w:rPr>
              <w:t>（美国纽约心脏协会心功能分类</w:t>
            </w:r>
            <w:r>
              <w:rPr>
                <w:spacing w:val="-3"/>
                <w:w w:val="100"/>
                <w:sz w:val="21"/>
              </w:rPr>
              <w:t>标准心功能达四级</w:t>
            </w:r>
            <w:r>
              <w:rPr>
                <w:spacing w:val="-104"/>
                <w:w w:val="100"/>
                <w:sz w:val="21"/>
              </w:rPr>
              <w:t>）</w:t>
            </w:r>
            <w:r>
              <w:rPr>
                <w:spacing w:val="-2"/>
                <w:w w:val="100"/>
                <w:sz w:val="21"/>
              </w:rPr>
              <w:t>，且有相关住院医疗记录显示四级心功能衰竭状</w:t>
            </w:r>
            <w:r>
              <w:rPr>
                <w:spacing w:val="-3"/>
                <w:sz w:val="21"/>
              </w:rPr>
              <w:t>态持续至少一百八十天。</w:t>
            </w:r>
          </w:p>
          <w:p>
            <w:pPr>
              <w:pStyle w:val="TableParagraph"/>
              <w:spacing w:line="257" w:lineRule="exact" w:before="15"/>
              <w:ind w:left="107"/>
              <w:jc w:val="both"/>
              <w:rPr>
                <w:sz w:val="21"/>
              </w:rPr>
            </w:pPr>
            <w:r>
              <w:rPr>
                <w:sz w:val="21"/>
              </w:rPr>
              <w:t>本病须经专科医生明确诊断。继发于全身性疾病或其它器官系统疾病</w:t>
            </w:r>
          </w:p>
        </w:tc>
      </w:tr>
    </w:tbl>
    <w:p>
      <w:pPr>
        <w:spacing w:after="0" w:line="257" w:lineRule="exact"/>
        <w:jc w:val="both"/>
        <w:rPr>
          <w:sz w:val="21"/>
        </w:rPr>
        <w:sectPr>
          <w:pgSz w:w="11910" w:h="16840"/>
          <w:pgMar w:header="0" w:footer="921" w:top="1480" w:bottom="1120" w:left="1100" w:right="9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993"/>
        <w:gridCol w:w="6625"/>
      </w:tblGrid>
      <w:tr>
        <w:trPr>
          <w:trHeight w:val="987" w:hRule="atLeast"/>
        </w:trPr>
        <w:tc>
          <w:tcPr>
            <w:tcW w:w="994" w:type="dxa"/>
          </w:tcPr>
          <w:p>
            <w:pPr>
              <w:pStyle w:val="TableParagraph"/>
              <w:rPr>
                <w:rFonts w:ascii="Times New Roman"/>
                <w:sz w:val="20"/>
              </w:rPr>
            </w:pPr>
          </w:p>
        </w:tc>
        <w:tc>
          <w:tcPr>
            <w:tcW w:w="1993" w:type="dxa"/>
          </w:tcPr>
          <w:p>
            <w:pPr>
              <w:pStyle w:val="TableParagraph"/>
              <w:rPr>
                <w:rFonts w:ascii="Times New Roman"/>
                <w:sz w:val="20"/>
              </w:rPr>
            </w:pPr>
          </w:p>
        </w:tc>
        <w:tc>
          <w:tcPr>
            <w:tcW w:w="6625" w:type="dxa"/>
          </w:tcPr>
          <w:p>
            <w:pPr>
              <w:pStyle w:val="TableParagraph"/>
              <w:spacing w:line="209" w:lineRule="exact"/>
              <w:ind w:left="93"/>
              <w:rPr>
                <w:sz w:val="21"/>
              </w:rPr>
            </w:pPr>
            <w:r>
              <w:rPr>
                <w:sz w:val="21"/>
              </w:rPr>
              <w:t>造成的心肌病变除外。</w:t>
            </w:r>
          </w:p>
          <w:p>
            <w:pPr>
              <w:pStyle w:val="TableParagraph"/>
              <w:spacing w:line="292" w:lineRule="auto" w:before="63"/>
              <w:ind w:left="93" w:right="197"/>
              <w:rPr>
                <w:sz w:val="21"/>
              </w:rPr>
            </w:pPr>
            <w:r>
              <w:rPr>
                <w:sz w:val="21"/>
              </w:rPr>
              <w:t>美国纽约心脏协会分类标准心功能四级是指有医院的医疗记录显示病人不能进行任何活动，休息时仍有心悸、呼吸困难等心力衰竭表现。</w:t>
            </w:r>
          </w:p>
        </w:tc>
      </w:tr>
      <w:tr>
        <w:trPr>
          <w:trHeight w:val="3456" w:hRule="atLeast"/>
        </w:trPr>
        <w:tc>
          <w:tcPr>
            <w:tcW w:w="2987" w:type="dxa"/>
            <w:gridSpan w:val="2"/>
          </w:tcPr>
          <w:p>
            <w:pPr>
              <w:pStyle w:val="TableParagraph"/>
              <w:spacing w:before="36"/>
              <w:ind w:left="200"/>
              <w:rPr>
                <w:sz w:val="21"/>
              </w:rPr>
            </w:pPr>
            <w:r>
              <w:rPr>
                <w:sz w:val="21"/>
              </w:rPr>
              <w:t>（三十二）重症肌无力</w:t>
            </w:r>
          </w:p>
        </w:tc>
        <w:tc>
          <w:tcPr>
            <w:tcW w:w="6625" w:type="dxa"/>
          </w:tcPr>
          <w:p>
            <w:pPr>
              <w:pStyle w:val="TableParagraph"/>
              <w:spacing w:line="295" w:lineRule="auto" w:before="48"/>
              <w:ind w:left="92" w:right="301"/>
              <w:jc w:val="both"/>
              <w:rPr>
                <w:sz w:val="21"/>
              </w:rPr>
            </w:pPr>
            <w:r>
              <w:rPr>
                <w:spacing w:val="-6"/>
                <w:sz w:val="21"/>
              </w:rPr>
              <w:t>是指一种神经与肌肉接头部位传递障碍的自身免疫性疾病，临床特征</w:t>
            </w:r>
            <w:r>
              <w:rPr>
                <w:sz w:val="21"/>
              </w:rPr>
              <w:t>是局部或全身横纹肌于活动时易于疲劳无力，颅神经眼外肌最易累</w:t>
            </w:r>
            <w:r>
              <w:rPr>
                <w:spacing w:val="-11"/>
                <w:sz w:val="21"/>
              </w:rPr>
              <w:t>及，也可涉及呼吸肌、下肢近端肌群乃至全身肌肉，须经神经专科医</w:t>
            </w:r>
            <w:r>
              <w:rPr>
                <w:spacing w:val="-6"/>
                <w:sz w:val="21"/>
              </w:rPr>
              <w:t>生确诊。其诊断必须同时具有下列情况：</w:t>
            </w:r>
          </w:p>
          <w:p>
            <w:pPr>
              <w:pStyle w:val="TableParagraph"/>
              <w:spacing w:line="295" w:lineRule="auto" w:before="13"/>
              <w:ind w:left="92" w:right="226"/>
              <w:rPr>
                <w:sz w:val="21"/>
              </w:rPr>
            </w:pPr>
            <w:r>
              <w:rPr>
                <w:spacing w:val="-3"/>
                <w:sz w:val="21"/>
              </w:rPr>
              <w:t>经药物、胸腺手术治疗一年以上无法控制病情，丧失正常工作能力； </w:t>
            </w:r>
            <w:r>
              <w:rPr>
                <w:spacing w:val="-9"/>
                <w:sz w:val="21"/>
              </w:rPr>
              <w:t>出现眼睑下垂，或延髓肌受累引起的构音困难、进食呛咳，或由于肌</w:t>
            </w:r>
            <w:r>
              <w:rPr>
                <w:spacing w:val="-12"/>
                <w:sz w:val="21"/>
              </w:rPr>
              <w:t>无力累及延髓肌、呼吸肌而致机体呼吸功能不正常的危急状态即肌无</w:t>
            </w:r>
            <w:r>
              <w:rPr>
                <w:spacing w:val="-7"/>
                <w:sz w:val="21"/>
              </w:rPr>
              <w:t>力危象；</w:t>
            </w:r>
          </w:p>
          <w:p>
            <w:pPr>
              <w:pStyle w:val="TableParagraph"/>
              <w:spacing w:line="292" w:lineRule="auto" w:before="13"/>
              <w:ind w:left="92" w:right="301"/>
              <w:rPr>
                <w:sz w:val="21"/>
              </w:rPr>
            </w:pPr>
            <w:r>
              <w:rPr>
                <w:spacing w:val="-11"/>
                <w:sz w:val="21"/>
              </w:rPr>
              <w:t>症状缓解、复发及恶化交替出现，临床接受新斯的明等抗胆碱酯酶药</w:t>
            </w:r>
            <w:r>
              <w:rPr>
                <w:spacing w:val="-6"/>
                <w:sz w:val="21"/>
              </w:rPr>
              <w:t>物治疗的病史。</w:t>
            </w:r>
          </w:p>
        </w:tc>
      </w:tr>
      <w:tr>
        <w:trPr>
          <w:trHeight w:val="1101" w:hRule="atLeast"/>
        </w:trPr>
        <w:tc>
          <w:tcPr>
            <w:tcW w:w="2987" w:type="dxa"/>
            <w:gridSpan w:val="2"/>
          </w:tcPr>
          <w:p>
            <w:pPr>
              <w:pStyle w:val="TableParagraph"/>
              <w:spacing w:before="36"/>
              <w:ind w:left="200"/>
              <w:rPr>
                <w:sz w:val="21"/>
              </w:rPr>
            </w:pPr>
            <w:r>
              <w:rPr>
                <w:sz w:val="21"/>
              </w:rPr>
              <w:t>（</w:t>
            </w:r>
            <w:r>
              <w:rPr>
                <w:spacing w:val="-2"/>
                <w:sz w:val="21"/>
              </w:rPr>
              <w:t>三十三</w:t>
            </w:r>
            <w:r>
              <w:rPr>
                <w:spacing w:val="-68"/>
                <w:sz w:val="21"/>
              </w:rPr>
              <w:t>）</w:t>
            </w:r>
            <w:r>
              <w:rPr>
                <w:spacing w:val="-3"/>
                <w:sz w:val="21"/>
              </w:rPr>
              <w:t>急性坏死性胰腺炎</w:t>
            </w:r>
          </w:p>
        </w:tc>
        <w:tc>
          <w:tcPr>
            <w:tcW w:w="6625" w:type="dxa"/>
          </w:tcPr>
          <w:p>
            <w:pPr>
              <w:pStyle w:val="TableParagraph"/>
              <w:spacing w:line="295" w:lineRule="auto" w:before="48"/>
              <w:ind w:left="93" w:right="300"/>
              <w:jc w:val="both"/>
              <w:rPr>
                <w:sz w:val="21"/>
              </w:rPr>
            </w:pPr>
            <w:r>
              <w:rPr>
                <w:spacing w:val="-8"/>
                <w:sz w:val="21"/>
              </w:rPr>
              <w:t>由专科医生确诊为急性坏死性胰腺炎，并需进行手术治疗，以进行组</w:t>
            </w:r>
            <w:r>
              <w:rPr>
                <w:spacing w:val="-11"/>
                <w:sz w:val="21"/>
              </w:rPr>
              <w:t>织清除、病灶切除或胰腺部分切除。但因酒精中毒所致的急性坏死性</w:t>
            </w:r>
            <w:r>
              <w:rPr>
                <w:spacing w:val="-6"/>
                <w:sz w:val="21"/>
              </w:rPr>
              <w:t>胰腺炎除外。</w:t>
            </w:r>
          </w:p>
        </w:tc>
      </w:tr>
      <w:tr>
        <w:trPr>
          <w:trHeight w:val="3265" w:hRule="atLeast"/>
        </w:trPr>
        <w:tc>
          <w:tcPr>
            <w:tcW w:w="2987" w:type="dxa"/>
            <w:gridSpan w:val="2"/>
          </w:tcPr>
          <w:p>
            <w:pPr>
              <w:pStyle w:val="TableParagraph"/>
              <w:spacing w:line="273" w:lineRule="auto" w:before="36"/>
              <w:ind w:left="200" w:right="118"/>
              <w:rPr>
                <w:sz w:val="21"/>
              </w:rPr>
            </w:pPr>
            <w:r>
              <w:rPr>
                <w:sz w:val="21"/>
              </w:rPr>
              <w:t>（</w:t>
            </w:r>
            <w:r>
              <w:rPr>
                <w:spacing w:val="-2"/>
                <w:sz w:val="21"/>
              </w:rPr>
              <w:t>三十四</w:t>
            </w:r>
            <w:r>
              <w:rPr>
                <w:spacing w:val="-68"/>
                <w:sz w:val="21"/>
              </w:rPr>
              <w:t>）</w:t>
            </w:r>
            <w:r>
              <w:rPr>
                <w:spacing w:val="-3"/>
                <w:sz w:val="21"/>
              </w:rPr>
              <w:t>严重类风湿性关节炎</w:t>
            </w:r>
          </w:p>
        </w:tc>
        <w:tc>
          <w:tcPr>
            <w:tcW w:w="6625" w:type="dxa"/>
          </w:tcPr>
          <w:p>
            <w:pPr>
              <w:pStyle w:val="TableParagraph"/>
              <w:spacing w:before="36"/>
              <w:ind w:left="93"/>
              <w:rPr>
                <w:sz w:val="21"/>
              </w:rPr>
            </w:pPr>
            <w:r>
              <w:rPr>
                <w:sz w:val="21"/>
              </w:rPr>
              <w:t>指类风湿性关节炎患者符合以下三项标准的：</w:t>
            </w:r>
          </w:p>
          <w:p>
            <w:pPr>
              <w:pStyle w:val="TableParagraph"/>
              <w:spacing w:line="273" w:lineRule="auto" w:before="37"/>
              <w:ind w:left="93" w:right="198" w:hanging="1"/>
              <w:rPr>
                <w:sz w:val="21"/>
              </w:rPr>
            </w:pPr>
            <w:r>
              <w:rPr>
                <w:spacing w:val="-27"/>
                <w:sz w:val="21"/>
              </w:rPr>
              <w:t>（1）</w:t>
            </w:r>
            <w:r>
              <w:rPr>
                <w:spacing w:val="-4"/>
                <w:sz w:val="21"/>
              </w:rPr>
              <w:t>至少包括下列关节中的三组或以上有广泛受损和畸形改变:手指</w:t>
            </w:r>
            <w:r>
              <w:rPr>
                <w:spacing w:val="-16"/>
                <w:sz w:val="21"/>
              </w:rPr>
              <w:t>关节、腕关节、肘关节、膝关节、髋关节、踝关节、脊椎或脚趾关节；</w:t>
            </w:r>
          </w:p>
          <w:p>
            <w:pPr>
              <w:pStyle w:val="TableParagraph"/>
              <w:spacing w:line="273" w:lineRule="auto" w:before="7"/>
              <w:ind w:left="92" w:right="224"/>
              <w:rPr>
                <w:sz w:val="21"/>
              </w:rPr>
            </w:pPr>
            <w:r>
              <w:rPr>
                <w:sz w:val="21"/>
              </w:rPr>
              <w:t>（2）手和腕的后前位X线拍片检查可见类风湿性关节炎的典型变化， 包括骨质侵蚀或钙流失，位于受累关节及其邻近部位尤其明显；</w:t>
            </w:r>
          </w:p>
          <w:p>
            <w:pPr>
              <w:pStyle w:val="TableParagraph"/>
              <w:spacing w:before="7"/>
              <w:ind w:left="92"/>
              <w:rPr>
                <w:sz w:val="21"/>
              </w:rPr>
            </w:pPr>
            <w:r>
              <w:rPr>
                <w:sz w:val="21"/>
              </w:rPr>
              <w:t>（3）关节的畸形改变至少持续6个月。</w:t>
            </w:r>
          </w:p>
          <w:p>
            <w:pPr>
              <w:pStyle w:val="TableParagraph"/>
              <w:spacing w:line="273" w:lineRule="auto" w:before="37"/>
              <w:ind w:left="93" w:right="432"/>
              <w:rPr>
                <w:sz w:val="21"/>
              </w:rPr>
            </w:pPr>
            <w:r>
              <w:rPr>
                <w:sz w:val="21"/>
              </w:rPr>
              <w:t>类风湿性关节炎系指以关节滑膜炎为特征的慢性全身性自身免疫性疾病，诊断必须符合国际认可的该疾病的诊断标准。</w:t>
            </w:r>
          </w:p>
          <w:p>
            <w:pPr>
              <w:pStyle w:val="TableParagraph"/>
              <w:spacing w:line="292" w:lineRule="auto" w:before="20"/>
              <w:ind w:left="93" w:right="304"/>
              <w:rPr>
                <w:sz w:val="21"/>
              </w:rPr>
            </w:pPr>
            <w:r>
              <w:rPr>
                <w:sz w:val="21"/>
              </w:rPr>
              <w:t>只有被保险人已接受膝关节或髋关节置换手术，我们才承担赔偿责任。</w:t>
            </w:r>
          </w:p>
        </w:tc>
      </w:tr>
      <w:tr>
        <w:trPr>
          <w:trHeight w:val="1203" w:hRule="atLeast"/>
        </w:trPr>
        <w:tc>
          <w:tcPr>
            <w:tcW w:w="994" w:type="dxa"/>
          </w:tcPr>
          <w:p>
            <w:pPr>
              <w:pStyle w:val="TableParagraph"/>
              <w:spacing w:before="42"/>
              <w:ind w:left="200"/>
              <w:rPr>
                <w:sz w:val="21"/>
              </w:rPr>
            </w:pPr>
            <w:r>
              <w:rPr>
                <w:sz w:val="21"/>
              </w:rPr>
              <w:t>7.4</w:t>
            </w:r>
          </w:p>
        </w:tc>
        <w:tc>
          <w:tcPr>
            <w:tcW w:w="1993" w:type="dxa"/>
          </w:tcPr>
          <w:p>
            <w:pPr>
              <w:pStyle w:val="TableParagraph"/>
              <w:spacing w:before="42"/>
              <w:ind w:left="475"/>
              <w:rPr>
                <w:sz w:val="21"/>
              </w:rPr>
            </w:pPr>
            <w:r>
              <w:rPr>
                <w:sz w:val="21"/>
              </w:rPr>
              <w:t>艾滋病（HIV）</w:t>
            </w:r>
          </w:p>
        </w:tc>
        <w:tc>
          <w:tcPr>
            <w:tcW w:w="6625" w:type="dxa"/>
          </w:tcPr>
          <w:p>
            <w:pPr>
              <w:pStyle w:val="TableParagraph"/>
              <w:spacing w:line="326" w:lineRule="auto" w:before="61"/>
              <w:ind w:left="93" w:right="300"/>
              <w:jc w:val="both"/>
              <w:rPr>
                <w:sz w:val="21"/>
              </w:rPr>
            </w:pPr>
            <w:r>
              <w:rPr>
                <w:spacing w:val="-10"/>
                <w:sz w:val="21"/>
              </w:rPr>
              <w:t>指获得性免疫缺陷综合征。获得性免疫缺陷综合征的定义应按世界卫</w:t>
            </w:r>
            <w:r>
              <w:rPr>
                <w:spacing w:val="-12"/>
                <w:sz w:val="21"/>
              </w:rPr>
              <w:t>生组织制订的定义为准，若在血液样本中发现人类免疫缺陷病毒或其</w:t>
            </w:r>
            <w:r>
              <w:rPr>
                <w:spacing w:val="-6"/>
                <w:sz w:val="21"/>
              </w:rPr>
              <w:t>抗体，则可认定为已患艾滋病或感染艾滋病病毒。</w:t>
            </w:r>
          </w:p>
        </w:tc>
      </w:tr>
      <w:tr>
        <w:trPr>
          <w:trHeight w:val="771" w:hRule="atLeast"/>
        </w:trPr>
        <w:tc>
          <w:tcPr>
            <w:tcW w:w="994" w:type="dxa"/>
          </w:tcPr>
          <w:p>
            <w:pPr>
              <w:pStyle w:val="TableParagraph"/>
              <w:spacing w:before="50"/>
              <w:ind w:left="200"/>
              <w:rPr>
                <w:sz w:val="21"/>
              </w:rPr>
            </w:pPr>
            <w:r>
              <w:rPr>
                <w:sz w:val="21"/>
              </w:rPr>
              <w:t>7.5</w:t>
            </w:r>
          </w:p>
        </w:tc>
        <w:tc>
          <w:tcPr>
            <w:tcW w:w="1993" w:type="dxa"/>
          </w:tcPr>
          <w:p>
            <w:pPr>
              <w:pStyle w:val="TableParagraph"/>
              <w:spacing w:before="50"/>
              <w:ind w:left="475"/>
              <w:rPr>
                <w:sz w:val="21"/>
              </w:rPr>
            </w:pPr>
            <w:r>
              <w:rPr>
                <w:sz w:val="21"/>
              </w:rPr>
              <w:t>艾 滋病病 毒</w:t>
            </w:r>
          </w:p>
          <w:p>
            <w:pPr>
              <w:pStyle w:val="TableParagraph"/>
              <w:spacing w:before="61"/>
              <w:ind w:left="475"/>
              <w:rPr>
                <w:sz w:val="21"/>
              </w:rPr>
            </w:pPr>
            <w:r>
              <w:rPr>
                <w:sz w:val="21"/>
              </w:rPr>
              <w:t>（HIV）</w:t>
            </w:r>
          </w:p>
        </w:tc>
        <w:tc>
          <w:tcPr>
            <w:tcW w:w="6625" w:type="dxa"/>
          </w:tcPr>
          <w:p>
            <w:pPr>
              <w:pStyle w:val="TableParagraph"/>
              <w:spacing w:before="69"/>
              <w:ind w:left="93"/>
              <w:rPr>
                <w:sz w:val="21"/>
              </w:rPr>
            </w:pPr>
            <w:r>
              <w:rPr>
                <w:sz w:val="21"/>
              </w:rPr>
              <w:t>指人类免疫缺陷病毒（HIV）。</w:t>
            </w:r>
          </w:p>
        </w:tc>
      </w:tr>
      <w:tr>
        <w:trPr>
          <w:trHeight w:val="764" w:hRule="atLeast"/>
        </w:trPr>
        <w:tc>
          <w:tcPr>
            <w:tcW w:w="994" w:type="dxa"/>
          </w:tcPr>
          <w:p>
            <w:pPr>
              <w:pStyle w:val="TableParagraph"/>
              <w:spacing w:before="44"/>
              <w:ind w:left="200"/>
              <w:rPr>
                <w:sz w:val="21"/>
              </w:rPr>
            </w:pPr>
            <w:r>
              <w:rPr>
                <w:sz w:val="21"/>
              </w:rPr>
              <w:t>7.6</w:t>
            </w:r>
          </w:p>
        </w:tc>
        <w:tc>
          <w:tcPr>
            <w:tcW w:w="1993" w:type="dxa"/>
          </w:tcPr>
          <w:p>
            <w:pPr>
              <w:pStyle w:val="TableParagraph"/>
              <w:spacing w:before="44"/>
              <w:ind w:left="476"/>
              <w:rPr>
                <w:sz w:val="21"/>
              </w:rPr>
            </w:pPr>
            <w:r>
              <w:rPr>
                <w:sz w:val="21"/>
              </w:rPr>
              <w:t>遗传性疾病</w:t>
            </w:r>
          </w:p>
        </w:tc>
        <w:tc>
          <w:tcPr>
            <w:tcW w:w="6625" w:type="dxa"/>
          </w:tcPr>
          <w:p>
            <w:pPr>
              <w:pStyle w:val="TableParagraph"/>
              <w:spacing w:line="295" w:lineRule="auto" w:before="42"/>
              <w:ind w:left="93" w:right="225"/>
              <w:rPr>
                <w:sz w:val="21"/>
              </w:rPr>
            </w:pPr>
            <w:r>
              <w:rPr>
                <w:sz w:val="21"/>
              </w:rPr>
              <w:t>指生殖细胞或受精卵的遗传物质（染色体和基因）发生突变或畸变所引起的疾病，通常具有由亲代传至后代的垂直传递的特征。</w:t>
            </w:r>
          </w:p>
        </w:tc>
      </w:tr>
      <w:tr>
        <w:trPr>
          <w:trHeight w:val="1100" w:hRule="atLeast"/>
        </w:trPr>
        <w:tc>
          <w:tcPr>
            <w:tcW w:w="994" w:type="dxa"/>
          </w:tcPr>
          <w:p>
            <w:pPr>
              <w:pStyle w:val="TableParagraph"/>
              <w:spacing w:before="40"/>
              <w:ind w:left="200"/>
              <w:rPr>
                <w:sz w:val="21"/>
              </w:rPr>
            </w:pPr>
            <w:r>
              <w:rPr>
                <w:sz w:val="21"/>
              </w:rPr>
              <w:t>7.7</w:t>
            </w:r>
          </w:p>
        </w:tc>
        <w:tc>
          <w:tcPr>
            <w:tcW w:w="1993" w:type="dxa"/>
          </w:tcPr>
          <w:p>
            <w:pPr>
              <w:pStyle w:val="TableParagraph"/>
              <w:spacing w:line="295" w:lineRule="auto" w:before="40"/>
              <w:ind w:left="476" w:right="91"/>
              <w:jc w:val="both"/>
              <w:rPr>
                <w:sz w:val="21"/>
              </w:rPr>
            </w:pPr>
            <w:r>
              <w:rPr>
                <w:spacing w:val="-13"/>
                <w:sz w:val="21"/>
              </w:rPr>
              <w:t>先天性畸形、变</w:t>
            </w:r>
            <w:r>
              <w:rPr>
                <w:spacing w:val="23"/>
                <w:sz w:val="21"/>
              </w:rPr>
              <w:t>形及染色体异</w:t>
            </w:r>
            <w:r>
              <w:rPr>
                <w:sz w:val="21"/>
              </w:rPr>
              <w:t>常</w:t>
            </w:r>
          </w:p>
        </w:tc>
        <w:tc>
          <w:tcPr>
            <w:tcW w:w="6625" w:type="dxa"/>
          </w:tcPr>
          <w:p>
            <w:pPr>
              <w:pStyle w:val="TableParagraph"/>
              <w:spacing w:line="295" w:lineRule="auto" w:before="40"/>
              <w:ind w:left="93" w:right="223"/>
              <w:rPr>
                <w:sz w:val="21"/>
              </w:rPr>
            </w:pPr>
            <w:r>
              <w:rPr>
                <w:spacing w:val="-3"/>
                <w:sz w:val="21"/>
              </w:rPr>
              <w:t>指被保险人出生时就具有的畸形、变形或染色体异常。先天性畸形、</w:t>
            </w:r>
            <w:r>
              <w:rPr>
                <w:spacing w:val="-8"/>
                <w:sz w:val="21"/>
              </w:rPr>
              <w:t>变形和染色体异常依照世界卫生组织《疾病和有关健康问题的国际统</w:t>
            </w:r>
            <w:r>
              <w:rPr>
                <w:spacing w:val="-28"/>
                <w:sz w:val="21"/>
              </w:rPr>
              <w:t>计分类》</w:t>
            </w:r>
            <w:r>
              <w:rPr>
                <w:spacing w:val="-1"/>
                <w:sz w:val="21"/>
              </w:rPr>
              <w:t>（ICD-10）</w:t>
            </w:r>
            <w:r>
              <w:rPr>
                <w:spacing w:val="-2"/>
                <w:sz w:val="21"/>
              </w:rPr>
              <w:t>确定。</w:t>
            </w:r>
          </w:p>
        </w:tc>
      </w:tr>
      <w:tr>
        <w:trPr>
          <w:trHeight w:val="991" w:hRule="atLeast"/>
        </w:trPr>
        <w:tc>
          <w:tcPr>
            <w:tcW w:w="994" w:type="dxa"/>
          </w:tcPr>
          <w:p>
            <w:pPr>
              <w:pStyle w:val="TableParagraph"/>
              <w:spacing w:before="42"/>
              <w:ind w:left="200"/>
              <w:rPr>
                <w:sz w:val="21"/>
              </w:rPr>
            </w:pPr>
            <w:r>
              <w:rPr>
                <w:sz w:val="21"/>
              </w:rPr>
              <w:t>7.8</w:t>
            </w:r>
          </w:p>
        </w:tc>
        <w:tc>
          <w:tcPr>
            <w:tcW w:w="1993" w:type="dxa"/>
          </w:tcPr>
          <w:p>
            <w:pPr>
              <w:pStyle w:val="TableParagraph"/>
              <w:spacing w:before="42"/>
              <w:ind w:left="476"/>
              <w:rPr>
                <w:sz w:val="21"/>
              </w:rPr>
            </w:pPr>
            <w:r>
              <w:rPr>
                <w:sz w:val="21"/>
              </w:rPr>
              <w:t>现金价值</w:t>
            </w:r>
          </w:p>
        </w:tc>
        <w:tc>
          <w:tcPr>
            <w:tcW w:w="6625" w:type="dxa"/>
          </w:tcPr>
          <w:p>
            <w:pPr>
              <w:pStyle w:val="TableParagraph"/>
              <w:spacing w:line="292" w:lineRule="auto" w:before="42"/>
              <w:ind w:left="93" w:right="300"/>
              <w:rPr>
                <w:sz w:val="21"/>
              </w:rPr>
            </w:pPr>
            <w:r>
              <w:rPr>
                <w:spacing w:val="-9"/>
                <w:sz w:val="21"/>
              </w:rPr>
              <w:t>指保险单所具有的价值，通常体现为解除合同时，根据精算原理计算</w:t>
            </w:r>
            <w:r>
              <w:rPr>
                <w:spacing w:val="-3"/>
                <w:sz w:val="21"/>
              </w:rPr>
              <w:t>的，由我们退还的那部分金额。其计算公式为“保险费</w:t>
            </w:r>
            <w:r>
              <w:rPr>
                <w:sz w:val="21"/>
              </w:rPr>
              <w:t>×（1-35%）</w:t>
            </w:r>
          </w:p>
          <w:p>
            <w:pPr>
              <w:pStyle w:val="TableParagraph"/>
              <w:spacing w:line="257" w:lineRule="exact" w:before="15"/>
              <w:ind w:left="93"/>
              <w:rPr>
                <w:sz w:val="21"/>
              </w:rPr>
            </w:pPr>
            <w:r>
              <w:rPr>
                <w:w w:val="100"/>
                <w:sz w:val="21"/>
              </w:rPr>
              <w:t>×（1-已经过天数/</w:t>
            </w:r>
            <w:r>
              <w:rPr>
                <w:spacing w:val="-1"/>
                <w:w w:val="100"/>
                <w:sz w:val="21"/>
              </w:rPr>
              <w:t>保险期间天数</w:t>
            </w:r>
            <w:r>
              <w:rPr>
                <w:spacing w:val="-106"/>
                <w:w w:val="100"/>
                <w:sz w:val="21"/>
              </w:rPr>
              <w:t>）</w:t>
            </w:r>
            <w:r>
              <w:rPr>
                <w:spacing w:val="-12"/>
                <w:w w:val="100"/>
                <w:sz w:val="21"/>
              </w:rPr>
              <w:t>”，已经过天数按照本合同生效日</w:t>
            </w:r>
          </w:p>
        </w:tc>
      </w:tr>
    </w:tbl>
    <w:p>
      <w:pPr>
        <w:spacing w:after="0" w:line="257" w:lineRule="exact"/>
        <w:rPr>
          <w:sz w:val="21"/>
        </w:rPr>
        <w:sectPr>
          <w:pgSz w:w="11910" w:h="16840"/>
          <w:pgMar w:header="0" w:footer="921" w:top="1480" w:bottom="1120" w:left="1100" w:right="9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
        <w:gridCol w:w="1860"/>
        <w:gridCol w:w="6700"/>
      </w:tblGrid>
      <w:tr>
        <w:trPr>
          <w:trHeight w:val="319" w:hRule="atLeast"/>
        </w:trPr>
        <w:tc>
          <w:tcPr>
            <w:tcW w:w="1047" w:type="dxa"/>
          </w:tcPr>
          <w:p>
            <w:pPr>
              <w:pStyle w:val="TableParagraph"/>
              <w:rPr>
                <w:rFonts w:ascii="Times New Roman"/>
                <w:sz w:val="20"/>
              </w:rPr>
            </w:pPr>
          </w:p>
        </w:tc>
        <w:tc>
          <w:tcPr>
            <w:tcW w:w="1860" w:type="dxa"/>
          </w:tcPr>
          <w:p>
            <w:pPr>
              <w:pStyle w:val="TableParagraph"/>
              <w:rPr>
                <w:rFonts w:ascii="Times New Roman"/>
                <w:sz w:val="20"/>
              </w:rPr>
            </w:pPr>
          </w:p>
        </w:tc>
        <w:tc>
          <w:tcPr>
            <w:tcW w:w="6700" w:type="dxa"/>
          </w:tcPr>
          <w:p>
            <w:pPr>
              <w:pStyle w:val="TableParagraph"/>
              <w:spacing w:line="209" w:lineRule="exact"/>
              <w:ind w:left="173"/>
              <w:rPr>
                <w:sz w:val="21"/>
              </w:rPr>
            </w:pPr>
            <w:r>
              <w:rPr>
                <w:sz w:val="21"/>
              </w:rPr>
              <w:t>计算。</w:t>
            </w:r>
          </w:p>
        </w:tc>
      </w:tr>
      <w:tr>
        <w:trPr>
          <w:trHeight w:val="427" w:hRule="atLeast"/>
        </w:trPr>
        <w:tc>
          <w:tcPr>
            <w:tcW w:w="1047" w:type="dxa"/>
          </w:tcPr>
          <w:p>
            <w:pPr>
              <w:pStyle w:val="TableParagraph"/>
              <w:spacing w:before="42"/>
              <w:ind w:left="200"/>
              <w:rPr>
                <w:sz w:val="21"/>
              </w:rPr>
            </w:pPr>
            <w:r>
              <w:rPr>
                <w:sz w:val="21"/>
              </w:rPr>
              <w:t>7.9</w:t>
            </w:r>
          </w:p>
        </w:tc>
        <w:tc>
          <w:tcPr>
            <w:tcW w:w="1860" w:type="dxa"/>
          </w:tcPr>
          <w:p>
            <w:pPr>
              <w:pStyle w:val="TableParagraph"/>
              <w:spacing w:before="42"/>
              <w:ind w:left="422"/>
              <w:rPr>
                <w:sz w:val="21"/>
              </w:rPr>
            </w:pPr>
            <w:r>
              <w:rPr>
                <w:sz w:val="21"/>
              </w:rPr>
              <w:t>不可抗力</w:t>
            </w:r>
          </w:p>
        </w:tc>
        <w:tc>
          <w:tcPr>
            <w:tcW w:w="6700" w:type="dxa"/>
          </w:tcPr>
          <w:p>
            <w:pPr>
              <w:pStyle w:val="TableParagraph"/>
              <w:spacing w:before="42"/>
              <w:ind w:left="173"/>
              <w:rPr>
                <w:sz w:val="21"/>
              </w:rPr>
            </w:pPr>
            <w:r>
              <w:rPr>
                <w:sz w:val="21"/>
              </w:rPr>
              <w:t>指不能预见、不能避免并不能克服的客观情况。</w:t>
            </w:r>
          </w:p>
        </w:tc>
      </w:tr>
      <w:tr>
        <w:trPr>
          <w:trHeight w:val="1431" w:hRule="atLeast"/>
        </w:trPr>
        <w:tc>
          <w:tcPr>
            <w:tcW w:w="1047" w:type="dxa"/>
          </w:tcPr>
          <w:p>
            <w:pPr>
              <w:pStyle w:val="TableParagraph"/>
              <w:spacing w:before="42"/>
              <w:ind w:left="200"/>
              <w:rPr>
                <w:sz w:val="21"/>
              </w:rPr>
            </w:pPr>
            <w:r>
              <w:rPr>
                <w:sz w:val="21"/>
              </w:rPr>
              <w:t>7.10</w:t>
            </w:r>
          </w:p>
        </w:tc>
        <w:tc>
          <w:tcPr>
            <w:tcW w:w="1860" w:type="dxa"/>
          </w:tcPr>
          <w:p>
            <w:pPr>
              <w:pStyle w:val="TableParagraph"/>
              <w:spacing w:before="42"/>
              <w:ind w:left="423"/>
              <w:rPr>
                <w:sz w:val="21"/>
              </w:rPr>
            </w:pPr>
            <w:r>
              <w:rPr>
                <w:sz w:val="21"/>
              </w:rPr>
              <w:t>周岁</w:t>
            </w:r>
          </w:p>
        </w:tc>
        <w:tc>
          <w:tcPr>
            <w:tcW w:w="6700" w:type="dxa"/>
          </w:tcPr>
          <w:p>
            <w:pPr>
              <w:pStyle w:val="TableParagraph"/>
              <w:spacing w:line="292" w:lineRule="auto" w:before="42"/>
              <w:ind w:left="173" w:right="297"/>
              <w:rPr>
                <w:sz w:val="21"/>
              </w:rPr>
            </w:pPr>
            <w:r>
              <w:rPr>
                <w:spacing w:val="-7"/>
                <w:sz w:val="21"/>
              </w:rPr>
              <w:t>以法定身份证明文件中记载的出生日期为计算基础，按出生后所经过</w:t>
            </w:r>
            <w:r>
              <w:rPr>
                <w:spacing w:val="-10"/>
                <w:sz w:val="21"/>
              </w:rPr>
              <w:t>的整年计算，不满一整年的部分不计。例如，出生日期为 </w:t>
            </w:r>
            <w:r>
              <w:rPr>
                <w:sz w:val="21"/>
              </w:rPr>
              <w:t>2007</w:t>
            </w:r>
            <w:r>
              <w:rPr>
                <w:spacing w:val="-30"/>
                <w:sz w:val="21"/>
              </w:rPr>
              <w:t> 年 </w:t>
            </w:r>
            <w:r>
              <w:rPr>
                <w:sz w:val="21"/>
              </w:rPr>
              <w:t>11</w:t>
            </w:r>
          </w:p>
          <w:p>
            <w:pPr>
              <w:pStyle w:val="TableParagraph"/>
              <w:spacing w:before="17"/>
              <w:ind w:left="173"/>
              <w:rPr>
                <w:sz w:val="21"/>
              </w:rPr>
            </w:pPr>
            <w:r>
              <w:rPr>
                <w:w w:val="100"/>
                <w:sz w:val="21"/>
              </w:rPr>
              <w:t>月</w:t>
            </w:r>
            <w:r>
              <w:rPr>
                <w:spacing w:val="-53"/>
                <w:sz w:val="21"/>
              </w:rPr>
              <w:t> </w:t>
            </w:r>
            <w:r>
              <w:rPr>
                <w:w w:val="100"/>
                <w:sz w:val="21"/>
              </w:rPr>
              <w:t>1</w:t>
            </w:r>
            <w:r>
              <w:rPr>
                <w:spacing w:val="-53"/>
                <w:sz w:val="21"/>
              </w:rPr>
              <w:t> </w:t>
            </w:r>
            <w:r>
              <w:rPr>
                <w:spacing w:val="-48"/>
                <w:w w:val="100"/>
                <w:sz w:val="21"/>
              </w:rPr>
              <w:t>日，</w:t>
            </w:r>
            <w:r>
              <w:rPr>
                <w:w w:val="100"/>
                <w:sz w:val="21"/>
              </w:rPr>
              <w:t>2</w:t>
            </w:r>
            <w:r>
              <w:rPr>
                <w:spacing w:val="-3"/>
                <w:w w:val="100"/>
                <w:sz w:val="21"/>
              </w:rPr>
              <w:t>0</w:t>
            </w:r>
            <w:r>
              <w:rPr>
                <w:w w:val="100"/>
                <w:sz w:val="21"/>
              </w:rPr>
              <w:t>07</w:t>
            </w:r>
            <w:r>
              <w:rPr>
                <w:spacing w:val="-2"/>
                <w:sz w:val="21"/>
              </w:rPr>
              <w:t> </w:t>
            </w:r>
            <w:r>
              <w:rPr>
                <w:w w:val="100"/>
                <w:sz w:val="21"/>
              </w:rPr>
              <w:t>年</w:t>
            </w:r>
            <w:r>
              <w:rPr>
                <w:spacing w:val="-53"/>
                <w:sz w:val="21"/>
              </w:rPr>
              <w:t> </w:t>
            </w:r>
            <w:r>
              <w:rPr>
                <w:w w:val="100"/>
                <w:sz w:val="21"/>
              </w:rPr>
              <w:t>11</w:t>
            </w:r>
            <w:r>
              <w:rPr>
                <w:spacing w:val="-55"/>
                <w:sz w:val="21"/>
              </w:rPr>
              <w:t> </w:t>
            </w:r>
            <w:r>
              <w:rPr>
                <w:w w:val="100"/>
                <w:sz w:val="21"/>
              </w:rPr>
              <w:t>月</w:t>
            </w:r>
            <w:r>
              <w:rPr>
                <w:spacing w:val="-53"/>
                <w:sz w:val="21"/>
              </w:rPr>
              <w:t> </w:t>
            </w:r>
            <w:r>
              <w:rPr>
                <w:w w:val="100"/>
                <w:sz w:val="21"/>
              </w:rPr>
              <w:t>1</w:t>
            </w:r>
            <w:r>
              <w:rPr>
                <w:spacing w:val="-55"/>
                <w:sz w:val="21"/>
              </w:rPr>
              <w:t> </w:t>
            </w:r>
            <w:r>
              <w:rPr>
                <w:spacing w:val="-2"/>
                <w:w w:val="100"/>
                <w:sz w:val="21"/>
              </w:rPr>
              <w:t>日至</w:t>
            </w:r>
            <w:r>
              <w:rPr>
                <w:spacing w:val="-53"/>
                <w:sz w:val="21"/>
              </w:rPr>
              <w:t> </w:t>
            </w:r>
            <w:r>
              <w:rPr>
                <w:w w:val="100"/>
                <w:sz w:val="21"/>
              </w:rPr>
              <w:t>20</w:t>
            </w:r>
            <w:r>
              <w:rPr>
                <w:spacing w:val="-3"/>
                <w:w w:val="100"/>
                <w:sz w:val="21"/>
              </w:rPr>
              <w:t>0</w:t>
            </w:r>
            <w:r>
              <w:rPr>
                <w:w w:val="100"/>
                <w:sz w:val="21"/>
              </w:rPr>
              <w:t>8</w:t>
            </w:r>
            <w:r>
              <w:rPr>
                <w:spacing w:val="-53"/>
                <w:sz w:val="21"/>
              </w:rPr>
              <w:t> </w:t>
            </w:r>
            <w:r>
              <w:rPr>
                <w:w w:val="100"/>
                <w:sz w:val="21"/>
              </w:rPr>
              <w:t>年</w:t>
            </w:r>
            <w:r>
              <w:rPr>
                <w:spacing w:val="-55"/>
                <w:sz w:val="21"/>
              </w:rPr>
              <w:t> </w:t>
            </w:r>
            <w:r>
              <w:rPr>
                <w:w w:val="100"/>
                <w:sz w:val="21"/>
              </w:rPr>
              <w:t>10</w:t>
            </w:r>
            <w:r>
              <w:rPr>
                <w:spacing w:val="-55"/>
                <w:sz w:val="21"/>
              </w:rPr>
              <w:t> </w:t>
            </w:r>
            <w:r>
              <w:rPr>
                <w:w w:val="100"/>
                <w:sz w:val="21"/>
              </w:rPr>
              <w:t>月</w:t>
            </w:r>
            <w:r>
              <w:rPr>
                <w:spacing w:val="-53"/>
                <w:sz w:val="21"/>
              </w:rPr>
              <w:t> </w:t>
            </w:r>
            <w:r>
              <w:rPr>
                <w:w w:val="100"/>
                <w:sz w:val="21"/>
              </w:rPr>
              <w:t>31</w:t>
            </w:r>
            <w:r>
              <w:rPr>
                <w:spacing w:val="-55"/>
                <w:sz w:val="21"/>
              </w:rPr>
              <w:t> </w:t>
            </w:r>
            <w:r>
              <w:rPr>
                <w:spacing w:val="-3"/>
                <w:w w:val="100"/>
                <w:sz w:val="21"/>
              </w:rPr>
              <w:t>日期间为</w:t>
            </w:r>
            <w:r>
              <w:rPr>
                <w:spacing w:val="-53"/>
                <w:sz w:val="21"/>
              </w:rPr>
              <w:t> </w:t>
            </w:r>
            <w:r>
              <w:rPr>
                <w:w w:val="100"/>
                <w:sz w:val="21"/>
              </w:rPr>
              <w:t>0</w:t>
            </w:r>
            <w:r>
              <w:rPr>
                <w:spacing w:val="-53"/>
                <w:sz w:val="21"/>
              </w:rPr>
              <w:t> </w:t>
            </w:r>
            <w:r>
              <w:rPr>
                <w:spacing w:val="-33"/>
                <w:w w:val="100"/>
                <w:sz w:val="21"/>
              </w:rPr>
              <w:t>周岁，</w:t>
            </w:r>
            <w:r>
              <w:rPr>
                <w:w w:val="100"/>
                <w:sz w:val="21"/>
              </w:rPr>
              <w:t>2008</w:t>
            </w:r>
          </w:p>
          <w:p>
            <w:pPr>
              <w:pStyle w:val="TableParagraph"/>
              <w:spacing w:before="61"/>
              <w:ind w:left="174"/>
              <w:rPr>
                <w:sz w:val="21"/>
              </w:rPr>
            </w:pPr>
            <w:r>
              <w:rPr>
                <w:sz w:val="21"/>
              </w:rPr>
              <w:t>年 11 月 1 日至 2009 年 10 月 31 日期间为 1 周岁，依此类推。</w:t>
            </w:r>
          </w:p>
        </w:tc>
      </w:tr>
      <w:tr>
        <w:trPr>
          <w:trHeight w:val="2279" w:hRule="atLeast"/>
        </w:trPr>
        <w:tc>
          <w:tcPr>
            <w:tcW w:w="1047" w:type="dxa"/>
          </w:tcPr>
          <w:p>
            <w:pPr>
              <w:pStyle w:val="TableParagraph"/>
              <w:spacing w:before="48"/>
              <w:ind w:left="201"/>
              <w:rPr>
                <w:sz w:val="21"/>
              </w:rPr>
            </w:pPr>
            <w:r>
              <w:rPr>
                <w:sz w:val="21"/>
              </w:rPr>
              <w:t>7.11</w:t>
            </w:r>
          </w:p>
        </w:tc>
        <w:tc>
          <w:tcPr>
            <w:tcW w:w="1860" w:type="dxa"/>
          </w:tcPr>
          <w:p>
            <w:pPr>
              <w:pStyle w:val="TableParagraph"/>
              <w:spacing w:before="48"/>
              <w:ind w:left="424"/>
              <w:rPr>
                <w:sz w:val="21"/>
              </w:rPr>
            </w:pPr>
            <w:r>
              <w:rPr>
                <w:sz w:val="21"/>
              </w:rPr>
              <w:t>专科医生</w:t>
            </w:r>
          </w:p>
        </w:tc>
        <w:tc>
          <w:tcPr>
            <w:tcW w:w="6700" w:type="dxa"/>
          </w:tcPr>
          <w:p>
            <w:pPr>
              <w:pStyle w:val="TableParagraph"/>
              <w:spacing w:before="36"/>
              <w:ind w:left="174"/>
              <w:rPr>
                <w:sz w:val="21"/>
              </w:rPr>
            </w:pPr>
            <w:r>
              <w:rPr>
                <w:sz w:val="21"/>
              </w:rPr>
              <w:t>指同时满足下列四项资格条件的医生或医师：</w:t>
            </w:r>
          </w:p>
          <w:p>
            <w:pPr>
              <w:pStyle w:val="TableParagraph"/>
              <w:spacing w:before="37"/>
              <w:ind w:left="174"/>
              <w:rPr>
                <w:sz w:val="21"/>
              </w:rPr>
            </w:pPr>
            <w:r>
              <w:rPr>
                <w:sz w:val="21"/>
              </w:rPr>
              <w:t>一、具有有效的中华人民共和国《医师资格证书》；</w:t>
            </w:r>
          </w:p>
          <w:p>
            <w:pPr>
              <w:pStyle w:val="TableParagraph"/>
              <w:spacing w:line="273" w:lineRule="auto" w:before="37"/>
              <w:ind w:left="174" w:right="296"/>
              <w:rPr>
                <w:sz w:val="21"/>
              </w:rPr>
            </w:pPr>
            <w:r>
              <w:rPr>
                <w:spacing w:val="-9"/>
                <w:sz w:val="21"/>
              </w:rPr>
              <w:t>二、具有有效的中华人民共和国《医师执业证书》，并按期到相关部</w:t>
            </w:r>
            <w:r>
              <w:rPr>
                <w:spacing w:val="-5"/>
                <w:sz w:val="21"/>
              </w:rPr>
              <w:t>门登记注册；</w:t>
            </w:r>
          </w:p>
          <w:p>
            <w:pPr>
              <w:pStyle w:val="TableParagraph"/>
              <w:spacing w:line="273" w:lineRule="auto" w:before="8"/>
              <w:ind w:left="174" w:right="294"/>
              <w:rPr>
                <w:sz w:val="21"/>
              </w:rPr>
            </w:pPr>
            <w:r>
              <w:rPr>
                <w:spacing w:val="-10"/>
                <w:sz w:val="21"/>
              </w:rPr>
              <w:t>三、具有有效的中华人民共和国主治医师或主治医师以上职称的《医</w:t>
            </w:r>
            <w:r>
              <w:rPr>
                <w:spacing w:val="-5"/>
                <w:sz w:val="21"/>
              </w:rPr>
              <w:t>师职称证书》；</w:t>
            </w:r>
          </w:p>
          <w:p>
            <w:pPr>
              <w:pStyle w:val="TableParagraph"/>
              <w:spacing w:before="8"/>
              <w:ind w:left="174"/>
              <w:rPr>
                <w:sz w:val="21"/>
              </w:rPr>
            </w:pPr>
            <w:r>
              <w:rPr>
                <w:sz w:val="21"/>
              </w:rPr>
              <w:t>四、在二级或二级以上医院的相应科室从事临床工作三年以上。</w:t>
            </w:r>
          </w:p>
        </w:tc>
      </w:tr>
      <w:tr>
        <w:trPr>
          <w:trHeight w:val="1025" w:hRule="atLeast"/>
        </w:trPr>
        <w:tc>
          <w:tcPr>
            <w:tcW w:w="1047" w:type="dxa"/>
          </w:tcPr>
          <w:p>
            <w:pPr>
              <w:pStyle w:val="TableParagraph"/>
              <w:spacing w:before="40"/>
              <w:ind w:left="201"/>
              <w:rPr>
                <w:sz w:val="21"/>
              </w:rPr>
            </w:pPr>
            <w:r>
              <w:rPr>
                <w:sz w:val="21"/>
              </w:rPr>
              <w:t>7.12</w:t>
            </w:r>
          </w:p>
        </w:tc>
        <w:tc>
          <w:tcPr>
            <w:tcW w:w="1860" w:type="dxa"/>
          </w:tcPr>
          <w:p>
            <w:pPr>
              <w:pStyle w:val="TableParagraph"/>
              <w:spacing w:before="40"/>
              <w:ind w:left="424"/>
              <w:rPr>
                <w:sz w:val="21"/>
              </w:rPr>
            </w:pPr>
            <w:r>
              <w:rPr>
                <w:sz w:val="21"/>
              </w:rPr>
              <w:t>原位癌</w:t>
            </w:r>
          </w:p>
        </w:tc>
        <w:tc>
          <w:tcPr>
            <w:tcW w:w="6700" w:type="dxa"/>
          </w:tcPr>
          <w:p>
            <w:pPr>
              <w:pStyle w:val="TableParagraph"/>
              <w:spacing w:line="273" w:lineRule="auto" w:before="28"/>
              <w:ind w:left="174" w:right="217"/>
              <w:rPr>
                <w:sz w:val="21"/>
              </w:rPr>
            </w:pPr>
            <w:r>
              <w:rPr>
                <w:spacing w:val="-3"/>
                <w:sz w:val="21"/>
              </w:rPr>
              <w:t>指恶性细胞局限于上皮内尚未穿破基底膜浸润周围正常组织的癌细 胞新生物。原位癌必须经对固定活组织的组织病理学检查明确诊断。被保险人必须已经接受了针对原位癌病灶的积极治疗。</w:t>
            </w:r>
          </w:p>
        </w:tc>
      </w:tr>
      <w:tr>
        <w:trPr>
          <w:trHeight w:val="733" w:hRule="atLeast"/>
        </w:trPr>
        <w:tc>
          <w:tcPr>
            <w:tcW w:w="1047" w:type="dxa"/>
          </w:tcPr>
          <w:p>
            <w:pPr>
              <w:pStyle w:val="TableParagraph"/>
              <w:spacing w:before="42"/>
              <w:ind w:left="201"/>
              <w:rPr>
                <w:sz w:val="21"/>
              </w:rPr>
            </w:pPr>
            <w:r>
              <w:rPr>
                <w:sz w:val="21"/>
              </w:rPr>
              <w:t>7.13</w:t>
            </w:r>
          </w:p>
        </w:tc>
        <w:tc>
          <w:tcPr>
            <w:tcW w:w="1860" w:type="dxa"/>
          </w:tcPr>
          <w:p>
            <w:pPr>
              <w:pStyle w:val="TableParagraph"/>
              <w:spacing w:line="283" w:lineRule="auto" w:before="30"/>
              <w:ind w:left="424" w:right="170"/>
              <w:rPr>
                <w:sz w:val="21"/>
              </w:rPr>
            </w:pPr>
            <w:r>
              <w:rPr>
                <w:sz w:val="21"/>
              </w:rPr>
              <w:t>肢体机能完全丧失</w:t>
            </w:r>
          </w:p>
        </w:tc>
        <w:tc>
          <w:tcPr>
            <w:tcW w:w="6700" w:type="dxa"/>
          </w:tcPr>
          <w:p>
            <w:pPr>
              <w:pStyle w:val="TableParagraph"/>
              <w:spacing w:line="273" w:lineRule="auto" w:before="30"/>
              <w:ind w:left="174" w:right="294"/>
              <w:rPr>
                <w:sz w:val="21"/>
              </w:rPr>
            </w:pPr>
            <w:r>
              <w:rPr>
                <w:spacing w:val="-8"/>
                <w:sz w:val="21"/>
              </w:rPr>
              <w:t>指肢体的三大关节中的两大关节僵硬，或不能随意识活动。肢体是指</w:t>
            </w:r>
            <w:r>
              <w:rPr>
                <w:spacing w:val="-5"/>
                <w:sz w:val="21"/>
              </w:rPr>
              <w:t>包括肩关节的整个上肢或包括髋关节的整个下肢。</w:t>
            </w:r>
          </w:p>
        </w:tc>
      </w:tr>
      <w:tr>
        <w:trPr>
          <w:trHeight w:val="1656" w:hRule="atLeast"/>
        </w:trPr>
        <w:tc>
          <w:tcPr>
            <w:tcW w:w="1047" w:type="dxa"/>
          </w:tcPr>
          <w:p>
            <w:pPr>
              <w:pStyle w:val="TableParagraph"/>
              <w:spacing w:before="48"/>
              <w:ind w:left="201"/>
              <w:rPr>
                <w:sz w:val="21"/>
              </w:rPr>
            </w:pPr>
            <w:r>
              <w:rPr>
                <w:sz w:val="21"/>
              </w:rPr>
              <w:t>7.14</w:t>
            </w:r>
          </w:p>
        </w:tc>
        <w:tc>
          <w:tcPr>
            <w:tcW w:w="1860" w:type="dxa"/>
          </w:tcPr>
          <w:p>
            <w:pPr>
              <w:pStyle w:val="TableParagraph"/>
              <w:spacing w:line="273" w:lineRule="auto" w:before="36"/>
              <w:ind w:left="424" w:right="170"/>
              <w:jc w:val="both"/>
              <w:rPr>
                <w:sz w:val="21"/>
              </w:rPr>
            </w:pPr>
            <w:r>
              <w:rPr>
                <w:sz w:val="21"/>
              </w:rPr>
              <w:t>语言能力或咀嚼吞咽能力完全丧失</w:t>
            </w:r>
          </w:p>
        </w:tc>
        <w:tc>
          <w:tcPr>
            <w:tcW w:w="6700" w:type="dxa"/>
          </w:tcPr>
          <w:p>
            <w:pPr>
              <w:pStyle w:val="TableParagraph"/>
              <w:spacing w:line="273" w:lineRule="auto" w:before="36"/>
              <w:ind w:left="173" w:right="296"/>
              <w:jc w:val="both"/>
              <w:rPr>
                <w:sz w:val="21"/>
              </w:rPr>
            </w:pPr>
            <w:r>
              <w:rPr>
                <w:spacing w:val="-7"/>
                <w:sz w:val="21"/>
              </w:rPr>
              <w:t>语言能力完全丧失，指无法发出四种语音</w:t>
            </w:r>
            <w:r>
              <w:rPr>
                <w:sz w:val="21"/>
              </w:rPr>
              <w:t>（</w:t>
            </w:r>
            <w:r>
              <w:rPr>
                <w:spacing w:val="-8"/>
                <w:sz w:val="21"/>
              </w:rPr>
              <w:t>包括口唇音、齿舌音、口</w:t>
            </w:r>
            <w:r>
              <w:rPr>
                <w:spacing w:val="-5"/>
                <w:sz w:val="21"/>
              </w:rPr>
              <w:t>盖音和喉头音</w:t>
            </w:r>
            <w:r>
              <w:rPr>
                <w:spacing w:val="-29"/>
                <w:sz w:val="21"/>
              </w:rPr>
              <w:t>）</w:t>
            </w:r>
            <w:r>
              <w:rPr>
                <w:spacing w:val="-9"/>
                <w:sz w:val="21"/>
              </w:rPr>
              <w:t>中的任何三种、或声带全部切除，或因大脑语言中枢</w:t>
            </w:r>
            <w:r>
              <w:rPr>
                <w:spacing w:val="-5"/>
                <w:sz w:val="21"/>
              </w:rPr>
              <w:t>受伤害而患失语症。</w:t>
            </w:r>
          </w:p>
          <w:p>
            <w:pPr>
              <w:pStyle w:val="TableParagraph"/>
              <w:spacing w:line="273" w:lineRule="auto" w:before="7"/>
              <w:ind w:left="173" w:right="197"/>
              <w:jc w:val="both"/>
              <w:rPr>
                <w:sz w:val="21"/>
              </w:rPr>
            </w:pPr>
            <w:r>
              <w:rPr>
                <w:spacing w:val="-10"/>
                <w:sz w:val="21"/>
              </w:rPr>
              <w:t>咀嚼吞咽能力完全丧失，指因牙齿以外的原因导致器质障碍或机能障</w:t>
            </w:r>
            <w:r>
              <w:rPr>
                <w:spacing w:val="-16"/>
                <w:sz w:val="21"/>
              </w:rPr>
              <w:t>碍，以致不能作咀嚼吞咽运动，除流质食物外不能摄取或吞咽的状态。</w:t>
            </w:r>
          </w:p>
        </w:tc>
      </w:tr>
      <w:tr>
        <w:trPr>
          <w:trHeight w:val="2084" w:hRule="atLeast"/>
        </w:trPr>
        <w:tc>
          <w:tcPr>
            <w:tcW w:w="1047" w:type="dxa"/>
          </w:tcPr>
          <w:p>
            <w:pPr>
              <w:pStyle w:val="TableParagraph"/>
              <w:spacing w:before="40"/>
              <w:ind w:left="200"/>
              <w:rPr>
                <w:sz w:val="21"/>
              </w:rPr>
            </w:pPr>
            <w:r>
              <w:rPr>
                <w:sz w:val="21"/>
              </w:rPr>
              <w:t>7.15</w:t>
            </w:r>
          </w:p>
        </w:tc>
        <w:tc>
          <w:tcPr>
            <w:tcW w:w="1860" w:type="dxa"/>
          </w:tcPr>
          <w:p>
            <w:pPr>
              <w:pStyle w:val="TableParagraph"/>
              <w:spacing w:line="273" w:lineRule="auto" w:before="28"/>
              <w:ind w:left="422" w:right="172"/>
              <w:rPr>
                <w:sz w:val="21"/>
              </w:rPr>
            </w:pPr>
            <w:r>
              <w:rPr>
                <w:sz w:val="21"/>
              </w:rPr>
              <w:t>六项基本日常生活活动</w:t>
            </w:r>
          </w:p>
        </w:tc>
        <w:tc>
          <w:tcPr>
            <w:tcW w:w="6700" w:type="dxa"/>
          </w:tcPr>
          <w:p>
            <w:pPr>
              <w:pStyle w:val="TableParagraph"/>
              <w:spacing w:before="40"/>
              <w:ind w:left="173"/>
              <w:rPr>
                <w:sz w:val="21"/>
              </w:rPr>
            </w:pPr>
            <w:r>
              <w:rPr>
                <w:sz w:val="21"/>
              </w:rPr>
              <w:t>一、穿衣：自己能够穿衣及脱衣；</w:t>
            </w:r>
          </w:p>
          <w:p>
            <w:pPr>
              <w:pStyle w:val="TableParagraph"/>
              <w:spacing w:line="295" w:lineRule="auto" w:before="60"/>
              <w:ind w:left="173" w:right="2530"/>
              <w:rPr>
                <w:sz w:val="21"/>
              </w:rPr>
            </w:pPr>
            <w:r>
              <w:rPr>
                <w:sz w:val="21"/>
              </w:rPr>
              <w:t>二、移动：自己从一个房间到另一个房间； 三、行动：自己上下床或上下轮椅；</w:t>
            </w:r>
          </w:p>
          <w:p>
            <w:pPr>
              <w:pStyle w:val="TableParagraph"/>
              <w:spacing w:before="12"/>
              <w:ind w:left="173"/>
              <w:rPr>
                <w:sz w:val="21"/>
              </w:rPr>
            </w:pPr>
            <w:r>
              <w:rPr>
                <w:sz w:val="21"/>
              </w:rPr>
              <w:t>四、如厕：自己控制进行大小便；</w:t>
            </w:r>
          </w:p>
          <w:p>
            <w:pPr>
              <w:pStyle w:val="TableParagraph"/>
              <w:spacing w:line="283" w:lineRule="auto" w:before="60"/>
              <w:ind w:left="173" w:right="1268"/>
              <w:rPr>
                <w:sz w:val="21"/>
              </w:rPr>
            </w:pPr>
            <w:r>
              <w:rPr>
                <w:sz w:val="21"/>
              </w:rPr>
              <w:t>五、进食：自己从已准备好的碗或碟中取食物放入口中； 六、洗澡：自己进行淋浴或盆浴。</w:t>
            </w:r>
          </w:p>
        </w:tc>
      </w:tr>
      <w:tr>
        <w:trPr>
          <w:trHeight w:val="619" w:hRule="atLeast"/>
        </w:trPr>
        <w:tc>
          <w:tcPr>
            <w:tcW w:w="1047" w:type="dxa"/>
          </w:tcPr>
          <w:p>
            <w:pPr>
              <w:pStyle w:val="TableParagraph"/>
              <w:spacing w:before="42"/>
              <w:ind w:left="200"/>
              <w:rPr>
                <w:sz w:val="21"/>
              </w:rPr>
            </w:pPr>
            <w:r>
              <w:rPr>
                <w:sz w:val="21"/>
              </w:rPr>
              <w:t>7.16</w:t>
            </w:r>
          </w:p>
        </w:tc>
        <w:tc>
          <w:tcPr>
            <w:tcW w:w="1860" w:type="dxa"/>
          </w:tcPr>
          <w:p>
            <w:pPr>
              <w:pStyle w:val="TableParagraph"/>
              <w:spacing w:before="30"/>
              <w:ind w:left="422"/>
              <w:rPr>
                <w:sz w:val="21"/>
              </w:rPr>
            </w:pPr>
            <w:r>
              <w:rPr>
                <w:sz w:val="21"/>
              </w:rPr>
              <w:t>永久不可逆</w:t>
            </w:r>
          </w:p>
        </w:tc>
        <w:tc>
          <w:tcPr>
            <w:tcW w:w="6700" w:type="dxa"/>
          </w:tcPr>
          <w:p>
            <w:pPr>
              <w:pStyle w:val="TableParagraph"/>
              <w:spacing w:line="312" w:lineRule="exact" w:before="25"/>
              <w:ind w:left="172" w:right="325"/>
              <w:rPr>
                <w:sz w:val="21"/>
              </w:rPr>
            </w:pPr>
            <w:r>
              <w:rPr>
                <w:sz w:val="21"/>
              </w:rPr>
              <w:t>指自疾病确诊或意外伤害发生之日起，经过积极治疗180天后，仍无法通过现有医疗手段恢复。</w:t>
            </w:r>
          </w:p>
        </w:tc>
      </w:tr>
    </w:tbl>
    <w:sectPr>
      <w:pgSz w:w="11910" w:h="16840"/>
      <w:pgMar w:header="0" w:footer="921" w:top="1480" w:bottom="1120" w:left="11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56998pt;margin-top:780.865601pt;width:128pt;height:11pt;mso-position-horizontal-relative:page;mso-position-vertical-relative:page;z-index:-26200" type="#_x0000_t202" filled="false" stroked="false">
          <v:textbox inset="0,0,0,0">
            <w:txbxContent>
              <w:p>
                <w:pPr>
                  <w:pStyle w:val="BodyText"/>
                  <w:spacing w:line="200" w:lineRule="exact"/>
                  <w:ind w:left="20"/>
                </w:pPr>
                <w:r>
                  <w:rPr/>
                  <w:t>英大安康无忧成人重大疾病保险</w:t>
                </w:r>
              </w:p>
            </w:txbxContent>
          </v:textbox>
          <w10:wrap type="none"/>
        </v:shape>
      </w:pict>
    </w:r>
    <w:r>
      <w:rPr/>
      <w:pict>
        <v:shape style="position:absolute;margin-left:302.710999pt;margin-top:780.865601pt;width:20pt;height:11pt;mso-position-horizontal-relative:page;mso-position-vertical-relative:page;z-index:-26176" type="#_x0000_t202" filled="false" stroked="false">
          <v:textbox inset="0,0,0,0">
            <w:txbxContent>
              <w:p>
                <w:pPr>
                  <w:pStyle w:val="BodyText"/>
                  <w:spacing w:line="200" w:lineRule="exact"/>
                  <w:ind w:left="20"/>
                </w:pPr>
                <w:r>
                  <w:rPr/>
                  <w:t>条款</w:t>
                </w:r>
              </w:p>
            </w:txbxContent>
          </v:textbox>
          <w10:wrap type="none"/>
        </v:shape>
      </w:pict>
    </w:r>
    <w:r>
      <w:rPr/>
      <w:pict>
        <v:shape style="position:absolute;margin-left:433.399994pt;margin-top:780.865601pt;width:78.6pt;height:11pt;mso-position-horizontal-relative:page;mso-position-vertical-relative:page;z-index:-2615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94" w:hanging="421"/>
        <w:jc w:val="left"/>
      </w:pPr>
      <w:rPr>
        <w:rFonts w:hint="default" w:ascii="宋体" w:hAnsi="宋体" w:eastAsia="宋体" w:cs="宋体"/>
        <w:w w:val="100"/>
        <w:sz w:val="21"/>
        <w:szCs w:val="21"/>
      </w:rPr>
    </w:lvl>
    <w:lvl w:ilvl="1">
      <w:start w:val="0"/>
      <w:numFmt w:val="bullet"/>
      <w:lvlText w:val="•"/>
      <w:lvlJc w:val="left"/>
      <w:pPr>
        <w:ind w:left="732" w:hanging="421"/>
      </w:pPr>
      <w:rPr>
        <w:rFonts w:hint="default"/>
      </w:rPr>
    </w:lvl>
    <w:lvl w:ilvl="2">
      <w:start w:val="0"/>
      <w:numFmt w:val="bullet"/>
      <w:lvlText w:val="•"/>
      <w:lvlJc w:val="left"/>
      <w:pPr>
        <w:ind w:left="1364" w:hanging="421"/>
      </w:pPr>
      <w:rPr>
        <w:rFonts w:hint="default"/>
      </w:rPr>
    </w:lvl>
    <w:lvl w:ilvl="3">
      <w:start w:val="0"/>
      <w:numFmt w:val="bullet"/>
      <w:lvlText w:val="•"/>
      <w:lvlJc w:val="left"/>
      <w:pPr>
        <w:ind w:left="1997" w:hanging="421"/>
      </w:pPr>
      <w:rPr>
        <w:rFonts w:hint="default"/>
      </w:rPr>
    </w:lvl>
    <w:lvl w:ilvl="4">
      <w:start w:val="0"/>
      <w:numFmt w:val="bullet"/>
      <w:lvlText w:val="•"/>
      <w:lvlJc w:val="left"/>
      <w:pPr>
        <w:ind w:left="2629" w:hanging="421"/>
      </w:pPr>
      <w:rPr>
        <w:rFonts w:hint="default"/>
      </w:rPr>
    </w:lvl>
    <w:lvl w:ilvl="5">
      <w:start w:val="0"/>
      <w:numFmt w:val="bullet"/>
      <w:lvlText w:val="•"/>
      <w:lvlJc w:val="left"/>
      <w:pPr>
        <w:ind w:left="3262" w:hanging="421"/>
      </w:pPr>
      <w:rPr>
        <w:rFonts w:hint="default"/>
      </w:rPr>
    </w:lvl>
    <w:lvl w:ilvl="6">
      <w:start w:val="0"/>
      <w:numFmt w:val="bullet"/>
      <w:lvlText w:val="•"/>
      <w:lvlJc w:val="left"/>
      <w:pPr>
        <w:ind w:left="3894" w:hanging="421"/>
      </w:pPr>
      <w:rPr>
        <w:rFonts w:hint="default"/>
      </w:rPr>
    </w:lvl>
    <w:lvl w:ilvl="7">
      <w:start w:val="0"/>
      <w:numFmt w:val="bullet"/>
      <w:lvlText w:val="•"/>
      <w:lvlJc w:val="left"/>
      <w:pPr>
        <w:ind w:left="4526" w:hanging="421"/>
      </w:pPr>
      <w:rPr>
        <w:rFonts w:hint="default"/>
      </w:rPr>
    </w:lvl>
    <w:lvl w:ilvl="8">
      <w:start w:val="0"/>
      <w:numFmt w:val="bullet"/>
      <w:lvlText w:val="•"/>
      <w:lvlJc w:val="left"/>
      <w:pPr>
        <w:ind w:left="5159" w:hanging="421"/>
      </w:pPr>
      <w:rPr>
        <w:rFonts w:hint="default"/>
      </w:rPr>
    </w:lvl>
  </w:abstractNum>
  <w:abstractNum w:abstractNumId="3">
    <w:multiLevelType w:val="hybridMultilevel"/>
    <w:lvl w:ilvl="0">
      <w:start w:val="7"/>
      <w:numFmt w:val="decimal"/>
      <w:lvlText w:val="%1"/>
      <w:lvlJc w:val="left"/>
      <w:pPr>
        <w:ind w:left="817" w:hanging="526"/>
        <w:jc w:val="left"/>
      </w:pPr>
      <w:rPr>
        <w:rFonts w:hint="default"/>
      </w:rPr>
    </w:lvl>
    <w:lvl w:ilvl="1">
      <w:start w:val="6"/>
      <w:numFmt w:val="decimal"/>
      <w:lvlText w:val="%1.%2"/>
      <w:lvlJc w:val="left"/>
      <w:pPr>
        <w:ind w:left="817" w:hanging="526"/>
        <w:jc w:val="left"/>
      </w:pPr>
      <w:rPr>
        <w:rFonts w:hint="default" w:ascii="宋体" w:hAnsi="宋体" w:eastAsia="宋体" w:cs="宋体"/>
        <w:w w:val="100"/>
        <w:sz w:val="21"/>
        <w:szCs w:val="21"/>
      </w:rPr>
    </w:lvl>
    <w:lvl w:ilvl="2">
      <w:start w:val="0"/>
      <w:numFmt w:val="bullet"/>
      <w:lvlText w:val="•"/>
      <w:lvlJc w:val="left"/>
      <w:pPr>
        <w:ind w:left="1279" w:hanging="526"/>
      </w:pPr>
      <w:rPr>
        <w:rFonts w:hint="default"/>
      </w:rPr>
    </w:lvl>
    <w:lvl w:ilvl="3">
      <w:start w:val="0"/>
      <w:numFmt w:val="bullet"/>
      <w:lvlText w:val="•"/>
      <w:lvlJc w:val="left"/>
      <w:pPr>
        <w:ind w:left="1509" w:hanging="526"/>
      </w:pPr>
      <w:rPr>
        <w:rFonts w:hint="default"/>
      </w:rPr>
    </w:lvl>
    <w:lvl w:ilvl="4">
      <w:start w:val="0"/>
      <w:numFmt w:val="bullet"/>
      <w:lvlText w:val="•"/>
      <w:lvlJc w:val="left"/>
      <w:pPr>
        <w:ind w:left="1739" w:hanging="526"/>
      </w:pPr>
      <w:rPr>
        <w:rFonts w:hint="default"/>
      </w:rPr>
    </w:lvl>
    <w:lvl w:ilvl="5">
      <w:start w:val="0"/>
      <w:numFmt w:val="bullet"/>
      <w:lvlText w:val="•"/>
      <w:lvlJc w:val="left"/>
      <w:pPr>
        <w:ind w:left="1969" w:hanging="526"/>
      </w:pPr>
      <w:rPr>
        <w:rFonts w:hint="default"/>
      </w:rPr>
    </w:lvl>
    <w:lvl w:ilvl="6">
      <w:start w:val="0"/>
      <w:numFmt w:val="bullet"/>
      <w:lvlText w:val="•"/>
      <w:lvlJc w:val="left"/>
      <w:pPr>
        <w:ind w:left="2198" w:hanging="526"/>
      </w:pPr>
      <w:rPr>
        <w:rFonts w:hint="default"/>
      </w:rPr>
    </w:lvl>
    <w:lvl w:ilvl="7">
      <w:start w:val="0"/>
      <w:numFmt w:val="bullet"/>
      <w:lvlText w:val="•"/>
      <w:lvlJc w:val="left"/>
      <w:pPr>
        <w:ind w:left="2428" w:hanging="526"/>
      </w:pPr>
      <w:rPr>
        <w:rFonts w:hint="default"/>
      </w:rPr>
    </w:lvl>
    <w:lvl w:ilvl="8">
      <w:start w:val="0"/>
      <w:numFmt w:val="bullet"/>
      <w:lvlText w:val="•"/>
      <w:lvlJc w:val="left"/>
      <w:pPr>
        <w:ind w:left="2658" w:hanging="526"/>
      </w:pPr>
      <w:rPr>
        <w:rFonts w:hint="default"/>
      </w:rPr>
    </w:lvl>
  </w:abstractNum>
  <w:abstractNum w:abstractNumId="2">
    <w:multiLevelType w:val="hybridMultilevel"/>
    <w:lvl w:ilvl="0">
      <w:start w:val="5"/>
      <w:numFmt w:val="decimal"/>
      <w:lvlText w:val="%1"/>
      <w:lvlJc w:val="left"/>
      <w:pPr>
        <w:ind w:left="934" w:hanging="526"/>
        <w:jc w:val="right"/>
      </w:pPr>
      <w:rPr>
        <w:rFonts w:hint="default"/>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375" w:hanging="526"/>
      </w:pPr>
      <w:rPr>
        <w:rFonts w:hint="default"/>
      </w:rPr>
    </w:lvl>
    <w:lvl w:ilvl="3">
      <w:start w:val="0"/>
      <w:numFmt w:val="bullet"/>
      <w:lvlText w:val="•"/>
      <w:lvlJc w:val="left"/>
      <w:pPr>
        <w:ind w:left="1593" w:hanging="526"/>
      </w:pPr>
      <w:rPr>
        <w:rFonts w:hint="default"/>
      </w:rPr>
    </w:lvl>
    <w:lvl w:ilvl="4">
      <w:start w:val="0"/>
      <w:numFmt w:val="bullet"/>
      <w:lvlText w:val="•"/>
      <w:lvlJc w:val="left"/>
      <w:pPr>
        <w:ind w:left="1811" w:hanging="526"/>
      </w:pPr>
      <w:rPr>
        <w:rFonts w:hint="default"/>
      </w:rPr>
    </w:lvl>
    <w:lvl w:ilvl="5">
      <w:start w:val="0"/>
      <w:numFmt w:val="bullet"/>
      <w:lvlText w:val="•"/>
      <w:lvlJc w:val="left"/>
      <w:pPr>
        <w:ind w:left="2029" w:hanging="526"/>
      </w:pPr>
      <w:rPr>
        <w:rFonts w:hint="default"/>
      </w:rPr>
    </w:lvl>
    <w:lvl w:ilvl="6">
      <w:start w:val="0"/>
      <w:numFmt w:val="bullet"/>
      <w:lvlText w:val="•"/>
      <w:lvlJc w:val="left"/>
      <w:pPr>
        <w:ind w:left="2247" w:hanging="526"/>
      </w:pPr>
      <w:rPr>
        <w:rFonts w:hint="default"/>
      </w:rPr>
    </w:lvl>
    <w:lvl w:ilvl="7">
      <w:start w:val="0"/>
      <w:numFmt w:val="bullet"/>
      <w:lvlText w:val="•"/>
      <w:lvlJc w:val="left"/>
      <w:pPr>
        <w:ind w:left="2465" w:hanging="526"/>
      </w:pPr>
      <w:rPr>
        <w:rFonts w:hint="default"/>
      </w:rPr>
    </w:lvl>
    <w:lvl w:ilvl="8">
      <w:start w:val="0"/>
      <w:numFmt w:val="bullet"/>
      <w:lvlText w:val="•"/>
      <w:lvlJc w:val="left"/>
      <w:pPr>
        <w:ind w:left="2683" w:hanging="526"/>
      </w:pPr>
      <w:rPr>
        <w:rFonts w:hint="default"/>
      </w:rPr>
    </w:lvl>
  </w:abstractNum>
  <w:abstractNum w:abstractNumId="1">
    <w:multiLevelType w:val="hybridMultilevel"/>
    <w:lvl w:ilvl="0">
      <w:start w:val="1"/>
      <w:numFmt w:val="decimal"/>
      <w:lvlText w:val="%1"/>
      <w:lvlJc w:val="left"/>
      <w:pPr>
        <w:ind w:left="632" w:hanging="423"/>
        <w:jc w:val="left"/>
      </w:pPr>
      <w:rPr>
        <w:rFonts w:hint="default" w:ascii="宋体" w:hAnsi="宋体" w:eastAsia="宋体" w:cs="宋体"/>
        <w:b/>
        <w:bCs/>
        <w:w w:val="99"/>
        <w:sz w:val="21"/>
        <w:szCs w:val="21"/>
      </w:rPr>
    </w:lvl>
    <w:lvl w:ilvl="1">
      <w:start w:val="1"/>
      <w:numFmt w:val="decimal"/>
      <w:lvlText w:val="%1.%2"/>
      <w:lvlJc w:val="left"/>
      <w:pPr>
        <w:ind w:left="944" w:hanging="526"/>
        <w:jc w:val="left"/>
      </w:pPr>
      <w:rPr>
        <w:rFonts w:hint="default" w:ascii="宋体" w:hAnsi="宋体" w:eastAsia="宋体" w:cs="宋体"/>
        <w:w w:val="100"/>
        <w:sz w:val="21"/>
        <w:szCs w:val="21"/>
      </w:rPr>
    </w:lvl>
    <w:lvl w:ilvl="2">
      <w:start w:val="0"/>
      <w:numFmt w:val="bullet"/>
      <w:lvlText w:val="•"/>
      <w:lvlJc w:val="left"/>
      <w:pPr>
        <w:ind w:left="1162" w:hanging="526"/>
      </w:pPr>
      <w:rPr>
        <w:rFonts w:hint="default"/>
      </w:rPr>
    </w:lvl>
    <w:lvl w:ilvl="3">
      <w:start w:val="0"/>
      <w:numFmt w:val="bullet"/>
      <w:lvlText w:val="•"/>
      <w:lvlJc w:val="left"/>
      <w:pPr>
        <w:ind w:left="1384" w:hanging="526"/>
      </w:pPr>
      <w:rPr>
        <w:rFonts w:hint="default"/>
      </w:rPr>
    </w:lvl>
    <w:lvl w:ilvl="4">
      <w:start w:val="0"/>
      <w:numFmt w:val="bullet"/>
      <w:lvlText w:val="•"/>
      <w:lvlJc w:val="left"/>
      <w:pPr>
        <w:ind w:left="1606" w:hanging="526"/>
      </w:pPr>
      <w:rPr>
        <w:rFonts w:hint="default"/>
      </w:rPr>
    </w:lvl>
    <w:lvl w:ilvl="5">
      <w:start w:val="0"/>
      <w:numFmt w:val="bullet"/>
      <w:lvlText w:val="•"/>
      <w:lvlJc w:val="left"/>
      <w:pPr>
        <w:ind w:left="1828" w:hanging="526"/>
      </w:pPr>
      <w:rPr>
        <w:rFonts w:hint="default"/>
      </w:rPr>
    </w:lvl>
    <w:lvl w:ilvl="6">
      <w:start w:val="0"/>
      <w:numFmt w:val="bullet"/>
      <w:lvlText w:val="•"/>
      <w:lvlJc w:val="left"/>
      <w:pPr>
        <w:ind w:left="2050" w:hanging="526"/>
      </w:pPr>
      <w:rPr>
        <w:rFonts w:hint="default"/>
      </w:rPr>
    </w:lvl>
    <w:lvl w:ilvl="7">
      <w:start w:val="0"/>
      <w:numFmt w:val="bullet"/>
      <w:lvlText w:val="•"/>
      <w:lvlJc w:val="left"/>
      <w:pPr>
        <w:ind w:left="2272" w:hanging="526"/>
      </w:pPr>
      <w:rPr>
        <w:rFonts w:hint="default"/>
      </w:rPr>
    </w:lvl>
    <w:lvl w:ilvl="8">
      <w:start w:val="0"/>
      <w:numFmt w:val="bullet"/>
      <w:lvlText w:val="•"/>
      <w:lvlJc w:val="left"/>
      <w:pPr>
        <w:ind w:left="2494" w:hanging="526"/>
      </w:pPr>
      <w:rPr>
        <w:rFonts w:hint="default"/>
      </w:rPr>
    </w:lvl>
  </w:abstractNum>
  <w:abstractNum w:abstractNumId="0">
    <w:multiLevelType w:val="hybridMultilevel"/>
    <w:lvl w:ilvl="0">
      <w:start w:val="0"/>
      <w:numFmt w:val="bullet"/>
      <w:lvlText w:val=""/>
      <w:lvlJc w:val="left"/>
      <w:pPr>
        <w:ind w:left="921" w:hanging="399"/>
      </w:pPr>
      <w:rPr>
        <w:rFonts w:hint="default" w:ascii="Wingdings" w:hAnsi="Wingdings" w:eastAsia="Wingdings" w:cs="Wingdings"/>
        <w:w w:val="100"/>
        <w:sz w:val="21"/>
        <w:szCs w:val="21"/>
      </w:rPr>
    </w:lvl>
    <w:lvl w:ilvl="1">
      <w:start w:val="0"/>
      <w:numFmt w:val="bullet"/>
      <w:lvlText w:val="•"/>
      <w:lvlJc w:val="left"/>
      <w:pPr>
        <w:ind w:left="1808" w:hanging="399"/>
      </w:pPr>
      <w:rPr>
        <w:rFonts w:hint="default"/>
      </w:rPr>
    </w:lvl>
    <w:lvl w:ilvl="2">
      <w:start w:val="0"/>
      <w:numFmt w:val="bullet"/>
      <w:lvlText w:val="•"/>
      <w:lvlJc w:val="left"/>
      <w:pPr>
        <w:ind w:left="2697" w:hanging="399"/>
      </w:pPr>
      <w:rPr>
        <w:rFonts w:hint="default"/>
      </w:rPr>
    </w:lvl>
    <w:lvl w:ilvl="3">
      <w:start w:val="0"/>
      <w:numFmt w:val="bullet"/>
      <w:lvlText w:val="•"/>
      <w:lvlJc w:val="left"/>
      <w:pPr>
        <w:ind w:left="3585" w:hanging="399"/>
      </w:pPr>
      <w:rPr>
        <w:rFonts w:hint="default"/>
      </w:rPr>
    </w:lvl>
    <w:lvl w:ilvl="4">
      <w:start w:val="0"/>
      <w:numFmt w:val="bullet"/>
      <w:lvlText w:val="•"/>
      <w:lvlJc w:val="left"/>
      <w:pPr>
        <w:ind w:left="4474" w:hanging="399"/>
      </w:pPr>
      <w:rPr>
        <w:rFonts w:hint="default"/>
      </w:rPr>
    </w:lvl>
    <w:lvl w:ilvl="5">
      <w:start w:val="0"/>
      <w:numFmt w:val="bullet"/>
      <w:lvlText w:val="•"/>
      <w:lvlJc w:val="left"/>
      <w:pPr>
        <w:ind w:left="5363" w:hanging="399"/>
      </w:pPr>
      <w:rPr>
        <w:rFonts w:hint="default"/>
      </w:rPr>
    </w:lvl>
    <w:lvl w:ilvl="6">
      <w:start w:val="0"/>
      <w:numFmt w:val="bullet"/>
      <w:lvlText w:val="•"/>
      <w:lvlJc w:val="left"/>
      <w:pPr>
        <w:ind w:left="6251" w:hanging="399"/>
      </w:pPr>
      <w:rPr>
        <w:rFonts w:hint="default"/>
      </w:rPr>
    </w:lvl>
    <w:lvl w:ilvl="7">
      <w:start w:val="0"/>
      <w:numFmt w:val="bullet"/>
      <w:lvlText w:val="•"/>
      <w:lvlJc w:val="left"/>
      <w:pPr>
        <w:ind w:left="7140" w:hanging="399"/>
      </w:pPr>
      <w:rPr>
        <w:rFonts w:hint="default"/>
      </w:rPr>
    </w:lvl>
    <w:lvl w:ilvl="8">
      <w:start w:val="0"/>
      <w:numFmt w:val="bullet"/>
      <w:lvlText w:val="•"/>
      <w:lvlJc w:val="left"/>
      <w:pPr>
        <w:ind w:left="8029" w:hanging="399"/>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ListParagraph" w:type="paragraph">
    <w:name w:val="List Paragraph"/>
    <w:basedOn w:val="Normal"/>
    <w:uiPriority w:val="1"/>
    <w:qFormat/>
    <w:pPr>
      <w:spacing w:before="28"/>
      <w:ind w:left="921" w:hanging="39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2018-10-20T05:06:10Z</dcterms:created>
  <dcterms:modified xsi:type="dcterms:W3CDTF">2018-10-20T05:06:10Z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2014-06-16T00:00:00Z</vt:filetime>
  </property>
  <property fmtid="{D5CDD505-2E9C-101B-9397-08002B2CF9AE}" pid="3" name="Creator">
    <vt:lpwstr>Acrobat PDFMaker 9.0 Word 版</vt:lpwstr>
  </property>
  <property fmtid="{D5CDD505-2E9C-101B-9397-08002B2CF9AE}" pid="4" name="LastSaved">
    <vt:filetime>2018-10-19T00:00:00Z</vt:filetime>
  </property>
</Properties>
</file>