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p>
    <w:p>
      <w:pPr>
        <w:pStyle w:val="BodyText"/>
        <w:spacing w:before="8"/>
        <w:ind w:left="0"/>
        <w:rPr>
          <w:rFonts w:ascii="Times New Roman"/>
          <w:sz w:val="19"/>
        </w:rPr>
      </w:pPr>
    </w:p>
    <w:p>
      <w:pPr>
        <w:pStyle w:val="BodyText"/>
        <w:spacing w:before="14"/>
        <w:ind w:left="6074"/>
      </w:pPr>
      <w:r>
        <w:rPr/>
        <w:t>中航三星人寿</w:t>
      </w:r>
      <w:r>
        <w:rPr>
          <w:rFonts w:ascii="Microsoft JhengHei Light" w:eastAsia="Microsoft JhengHei Light" w:hint="eastAsia"/>
          <w:b w:val="0"/>
        </w:rPr>
        <w:t>[2009]</w:t>
      </w:r>
      <w:r>
        <w:rPr/>
        <w:t>疾病保险 </w:t>
      </w:r>
      <w:r>
        <w:rPr>
          <w:rFonts w:ascii="Microsoft JhengHei Light" w:eastAsia="Microsoft JhengHei Light" w:hint="eastAsia"/>
          <w:b w:val="0"/>
        </w:rPr>
        <w:t>045 </w:t>
      </w:r>
      <w:r>
        <w:rPr/>
        <w:t>号</w:t>
      </w:r>
    </w:p>
    <w:p>
      <w:pPr>
        <w:pStyle w:val="BodyText"/>
        <w:spacing w:before="9"/>
        <w:ind w:left="0"/>
        <w:rPr>
          <w:sz w:val="20"/>
        </w:rPr>
      </w:pPr>
    </w:p>
    <w:p>
      <w:pPr>
        <w:spacing w:before="0"/>
        <w:ind w:left="1170" w:right="1170" w:firstLine="0"/>
        <w:jc w:val="center"/>
        <w:rPr>
          <w:b/>
          <w:sz w:val="32"/>
        </w:rPr>
      </w:pPr>
      <w:r>
        <w:rPr/>
        <w:drawing>
          <wp:anchor distT="0" distB="0" distL="0" distR="0" allowOverlap="1" layoutInCell="1" locked="0" behindDoc="1" simplePos="0" relativeHeight="268413431">
            <wp:simplePos x="0" y="0"/>
            <wp:positionH relativeFrom="page">
              <wp:posOffset>5664200</wp:posOffset>
            </wp:positionH>
            <wp:positionV relativeFrom="paragraph">
              <wp:posOffset>-62134</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b/>
          <w:w w:val="95"/>
          <w:sz w:val="32"/>
        </w:rPr>
        <w:t>中航三星人寿保险有限公司</w:t>
      </w:r>
    </w:p>
    <w:p>
      <w:pPr>
        <w:spacing w:before="130"/>
        <w:ind w:left="1170" w:right="1171" w:firstLine="0"/>
        <w:jc w:val="center"/>
        <w:rPr>
          <w:b/>
          <w:sz w:val="24"/>
        </w:rPr>
      </w:pPr>
      <w:r>
        <w:rPr>
          <w:b/>
          <w:w w:val="95"/>
          <w:sz w:val="24"/>
        </w:rPr>
        <w:t>中航三星团体重大疾病保险条款</w:t>
      </w:r>
    </w:p>
    <w:p>
      <w:pPr>
        <w:tabs>
          <w:tab w:pos="7226" w:val="left" w:leader="none"/>
        </w:tabs>
        <w:spacing w:before="168"/>
        <w:ind w:left="4029" w:right="0" w:firstLine="0"/>
        <w:jc w:val="left"/>
        <w:rPr>
          <w:sz w:val="21"/>
        </w:rPr>
      </w:pPr>
      <w:r>
        <w:rPr>
          <w:b/>
          <w:sz w:val="24"/>
        </w:rPr>
        <w:t>（2009</w:t>
      </w:r>
      <w:r>
        <w:rPr>
          <w:b/>
          <w:spacing w:val="-60"/>
          <w:sz w:val="24"/>
        </w:rPr>
        <w:t> </w:t>
      </w:r>
      <w:r>
        <w:rPr>
          <w:b/>
          <w:sz w:val="24"/>
        </w:rPr>
        <w:t>年</w:t>
      </w:r>
      <w:r>
        <w:rPr>
          <w:b/>
          <w:spacing w:val="-62"/>
          <w:sz w:val="24"/>
        </w:rPr>
        <w:t> </w:t>
      </w:r>
      <w:r>
        <w:rPr>
          <w:b/>
          <w:sz w:val="24"/>
        </w:rPr>
        <w:t>10</w:t>
      </w:r>
      <w:r>
        <w:rPr>
          <w:b/>
          <w:spacing w:val="-60"/>
          <w:sz w:val="24"/>
        </w:rPr>
        <w:t> </w:t>
      </w:r>
      <w:r>
        <w:rPr>
          <w:b/>
          <w:sz w:val="24"/>
        </w:rPr>
        <w:t>月）</w:t>
        <w:tab/>
      </w:r>
      <w:r>
        <w:rPr>
          <w:spacing w:val="-3"/>
          <w:sz w:val="21"/>
        </w:rPr>
        <w:t>请</w:t>
      </w:r>
      <w:r>
        <w:rPr>
          <w:sz w:val="21"/>
        </w:rPr>
        <w:t>扫</w:t>
      </w:r>
      <w:r>
        <w:rPr>
          <w:spacing w:val="-3"/>
          <w:sz w:val="21"/>
        </w:rPr>
        <w:t>描</w:t>
      </w:r>
      <w:r>
        <w:rPr>
          <w:sz w:val="21"/>
        </w:rPr>
        <w:t>以</w:t>
      </w:r>
      <w:r>
        <w:rPr>
          <w:spacing w:val="-3"/>
          <w:sz w:val="21"/>
        </w:rPr>
        <w:t>查</w:t>
      </w:r>
      <w:r>
        <w:rPr>
          <w:sz w:val="21"/>
        </w:rPr>
        <w:t>询</w:t>
      </w:r>
      <w:r>
        <w:rPr>
          <w:spacing w:val="-3"/>
          <w:sz w:val="21"/>
        </w:rPr>
        <w:t>验</w:t>
      </w:r>
      <w:r>
        <w:rPr>
          <w:sz w:val="21"/>
        </w:rPr>
        <w:t>证条款</w:t>
      </w:r>
    </w:p>
    <w:p>
      <w:pPr>
        <w:pStyle w:val="BodyText"/>
        <w:spacing w:before="0"/>
        <w:ind w:left="0"/>
        <w:rPr>
          <w:sz w:val="28"/>
        </w:rPr>
      </w:pPr>
    </w:p>
    <w:p>
      <w:pPr>
        <w:pStyle w:val="BodyText"/>
        <w:spacing w:before="6"/>
        <w:ind w:left="0"/>
        <w:rPr>
          <w:sz w:val="41"/>
        </w:rPr>
      </w:pPr>
    </w:p>
    <w:p>
      <w:pPr>
        <w:pStyle w:val="Heading1"/>
        <w:ind w:left="1170" w:right="1171"/>
      </w:pPr>
      <w:r>
        <w:rPr/>
        <w:t>在阅读条款正文之前，浏览一下条款目录有助于对条款结构有一个大致了解。</w:t>
      </w:r>
    </w:p>
    <w:p>
      <w:pPr>
        <w:pStyle w:val="BodyText"/>
        <w:spacing w:before="0"/>
        <w:ind w:left="0"/>
        <w:rPr>
          <w:b/>
          <w:sz w:val="20"/>
        </w:rPr>
      </w:pPr>
    </w:p>
    <w:p>
      <w:pPr>
        <w:pStyle w:val="BodyText"/>
        <w:spacing w:before="10" w:after="1"/>
        <w:ind w:left="0"/>
        <w:rPr>
          <w:b/>
          <w:sz w:val="14"/>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9"/>
        <w:gridCol w:w="4661"/>
      </w:tblGrid>
      <w:tr>
        <w:trPr>
          <w:trHeight w:val="434" w:hRule="atLeast"/>
        </w:trPr>
        <w:tc>
          <w:tcPr>
            <w:tcW w:w="9320" w:type="dxa"/>
            <w:gridSpan w:val="2"/>
            <w:shd w:val="clear" w:color="auto" w:fill="CCCCCC"/>
          </w:tcPr>
          <w:p>
            <w:pPr>
              <w:pStyle w:val="TableParagraph"/>
              <w:spacing w:before="47"/>
              <w:ind w:left="4219" w:right="4216"/>
              <w:jc w:val="center"/>
              <w:rPr>
                <w:b/>
                <w:sz w:val="21"/>
              </w:rPr>
            </w:pPr>
            <w:r>
              <w:rPr>
                <w:b/>
                <w:sz w:val="21"/>
              </w:rPr>
              <w:t>条款目录</w:t>
            </w:r>
          </w:p>
        </w:tc>
      </w:tr>
      <w:tr>
        <w:trPr>
          <w:trHeight w:val="7983" w:hRule="atLeast"/>
        </w:trPr>
        <w:tc>
          <w:tcPr>
            <w:tcW w:w="4659" w:type="dxa"/>
            <w:tcBorders>
              <w:right w:val="single" w:sz="4" w:space="0" w:color="000000"/>
            </w:tcBorders>
          </w:tcPr>
          <w:p>
            <w:pPr>
              <w:pStyle w:val="TableParagraph"/>
              <w:tabs>
                <w:tab w:pos="1459" w:val="left" w:leader="none"/>
              </w:tabs>
              <w:spacing w:line="300" w:lineRule="auto" w:before="45"/>
              <w:ind w:left="514" w:right="852" w:hanging="406"/>
              <w:rPr>
                <w:sz w:val="21"/>
              </w:rPr>
            </w:pPr>
            <w:r>
              <w:rPr>
                <w:b/>
                <w:sz w:val="21"/>
              </w:rPr>
              <w:t>第一章</w:t>
              <w:tab/>
              <w:t>保险</w:t>
            </w:r>
            <w:r>
              <w:rPr>
                <w:b/>
                <w:spacing w:val="-3"/>
                <w:sz w:val="21"/>
              </w:rPr>
              <w:t>合</w:t>
            </w:r>
            <w:r>
              <w:rPr>
                <w:b/>
                <w:sz w:val="21"/>
              </w:rPr>
              <w:t>同</w:t>
            </w:r>
            <w:r>
              <w:rPr>
                <w:b/>
                <w:spacing w:val="-3"/>
                <w:sz w:val="21"/>
              </w:rPr>
              <w:t>构</w:t>
            </w:r>
            <w:r>
              <w:rPr>
                <w:b/>
                <w:sz w:val="21"/>
              </w:rPr>
              <w:t>成与投保范围</w:t>
            </w:r>
            <w:r>
              <w:rPr>
                <w:sz w:val="21"/>
              </w:rPr>
              <w:t>第一条</w:t>
              <w:tab/>
              <w:t>保</w:t>
            </w:r>
            <w:r>
              <w:rPr>
                <w:spacing w:val="-3"/>
                <w:sz w:val="21"/>
              </w:rPr>
              <w:t>险</w:t>
            </w:r>
            <w:r>
              <w:rPr>
                <w:sz w:val="21"/>
              </w:rPr>
              <w:t>合</w:t>
            </w:r>
            <w:r>
              <w:rPr>
                <w:spacing w:val="-3"/>
                <w:sz w:val="21"/>
              </w:rPr>
              <w:t>同</w:t>
            </w:r>
            <w:r>
              <w:rPr>
                <w:sz w:val="21"/>
              </w:rPr>
              <w:t>构成</w:t>
            </w:r>
          </w:p>
          <w:p>
            <w:pPr>
              <w:pStyle w:val="TableParagraph"/>
              <w:tabs>
                <w:tab w:pos="1459" w:val="left" w:leader="none"/>
              </w:tabs>
              <w:spacing w:before="15"/>
              <w:ind w:left="514"/>
              <w:rPr>
                <w:sz w:val="21"/>
              </w:rPr>
            </w:pPr>
            <w:r>
              <w:rPr>
                <w:sz w:val="21"/>
              </w:rPr>
              <w:t>第二条</w:t>
              <w:tab/>
              <w:t>投</w:t>
            </w:r>
            <w:r>
              <w:rPr>
                <w:spacing w:val="-3"/>
                <w:sz w:val="21"/>
              </w:rPr>
              <w:t>保</w:t>
            </w:r>
            <w:r>
              <w:rPr>
                <w:sz w:val="21"/>
              </w:rPr>
              <w:t>范围</w:t>
            </w:r>
          </w:p>
          <w:p>
            <w:pPr>
              <w:pStyle w:val="TableParagraph"/>
              <w:tabs>
                <w:tab w:pos="1473" w:val="left" w:leader="none"/>
              </w:tabs>
              <w:spacing w:line="300" w:lineRule="auto" w:before="67"/>
              <w:ind w:left="528" w:right="1274" w:hanging="420"/>
              <w:rPr>
                <w:sz w:val="21"/>
              </w:rPr>
            </w:pPr>
            <w:r>
              <w:rPr>
                <w:b/>
                <w:sz w:val="21"/>
              </w:rPr>
              <w:t>第二章</w:t>
              <w:tab/>
              <w:t>保险</w:t>
            </w:r>
            <w:r>
              <w:rPr>
                <w:b/>
                <w:spacing w:val="-3"/>
                <w:sz w:val="21"/>
              </w:rPr>
              <w:t>责</w:t>
            </w:r>
            <w:r>
              <w:rPr>
                <w:b/>
                <w:sz w:val="21"/>
              </w:rPr>
              <w:t>任</w:t>
            </w:r>
            <w:r>
              <w:rPr>
                <w:b/>
                <w:spacing w:val="-3"/>
                <w:sz w:val="21"/>
              </w:rPr>
              <w:t>及</w:t>
            </w:r>
            <w:r>
              <w:rPr>
                <w:b/>
                <w:sz w:val="21"/>
              </w:rPr>
              <w:t>责任免除 </w:t>
            </w:r>
            <w:r>
              <w:rPr>
                <w:sz w:val="21"/>
              </w:rPr>
              <w:t>第三条</w:t>
              <w:tab/>
              <w:t>保</w:t>
            </w:r>
            <w:r>
              <w:rPr>
                <w:spacing w:val="-3"/>
                <w:sz w:val="21"/>
              </w:rPr>
              <w:t>险</w:t>
            </w:r>
            <w:r>
              <w:rPr>
                <w:sz w:val="21"/>
              </w:rPr>
              <w:t>责任</w:t>
            </w:r>
          </w:p>
          <w:p>
            <w:pPr>
              <w:pStyle w:val="TableParagraph"/>
              <w:tabs>
                <w:tab w:pos="1473" w:val="left" w:leader="none"/>
              </w:tabs>
              <w:spacing w:before="15"/>
              <w:ind w:left="528"/>
              <w:rPr>
                <w:sz w:val="21"/>
              </w:rPr>
            </w:pPr>
            <w:r>
              <w:rPr>
                <w:sz w:val="21"/>
              </w:rPr>
              <w:t>第四条</w:t>
              <w:tab/>
              <w:t>责</w:t>
            </w:r>
            <w:r>
              <w:rPr>
                <w:spacing w:val="-3"/>
                <w:sz w:val="21"/>
              </w:rPr>
              <w:t>任</w:t>
            </w:r>
            <w:r>
              <w:rPr>
                <w:sz w:val="21"/>
              </w:rPr>
              <w:t>免除</w:t>
            </w:r>
          </w:p>
          <w:p>
            <w:pPr>
              <w:pStyle w:val="TableParagraph"/>
              <w:tabs>
                <w:tab w:pos="1481" w:val="left" w:leader="none"/>
              </w:tabs>
              <w:spacing w:before="68"/>
              <w:rPr>
                <w:b/>
                <w:sz w:val="21"/>
              </w:rPr>
            </w:pPr>
            <w:r>
              <w:rPr>
                <w:b/>
                <w:sz w:val="21"/>
              </w:rPr>
              <w:t>第三章</w:t>
              <w:tab/>
              <w:t>保险</w:t>
            </w:r>
            <w:r>
              <w:rPr>
                <w:b/>
                <w:spacing w:val="-3"/>
                <w:sz w:val="21"/>
              </w:rPr>
              <w:t>合</w:t>
            </w:r>
            <w:r>
              <w:rPr>
                <w:b/>
                <w:sz w:val="21"/>
              </w:rPr>
              <w:t>同</w:t>
            </w:r>
            <w:r>
              <w:rPr>
                <w:b/>
                <w:spacing w:val="-3"/>
                <w:sz w:val="21"/>
              </w:rPr>
              <w:t>成</w:t>
            </w:r>
            <w:r>
              <w:rPr>
                <w:b/>
                <w:sz w:val="21"/>
              </w:rPr>
              <w:t>立与生效</w:t>
            </w:r>
            <w:r>
              <w:rPr>
                <w:b/>
                <w:spacing w:val="-89"/>
                <w:sz w:val="21"/>
              </w:rPr>
              <w:t>、</w:t>
            </w:r>
            <w:r>
              <w:rPr>
                <w:b/>
                <w:sz w:val="21"/>
              </w:rPr>
              <w:t>保</w:t>
            </w:r>
            <w:r>
              <w:rPr>
                <w:b/>
                <w:spacing w:val="-3"/>
                <w:sz w:val="21"/>
              </w:rPr>
              <w:t>险</w:t>
            </w:r>
            <w:r>
              <w:rPr>
                <w:b/>
                <w:sz w:val="21"/>
              </w:rPr>
              <w:t>金额与</w:t>
            </w:r>
          </w:p>
          <w:p>
            <w:pPr>
              <w:pStyle w:val="TableParagraph"/>
              <w:spacing w:before="68"/>
              <w:ind w:left="1481"/>
              <w:rPr>
                <w:b/>
                <w:sz w:val="21"/>
              </w:rPr>
            </w:pPr>
            <w:r>
              <w:rPr>
                <w:b/>
                <w:sz w:val="21"/>
              </w:rPr>
              <w:t>保险费</w:t>
            </w:r>
          </w:p>
          <w:p>
            <w:pPr>
              <w:pStyle w:val="TableParagraph"/>
              <w:tabs>
                <w:tab w:pos="1473" w:val="left" w:leader="none"/>
              </w:tabs>
              <w:spacing w:line="300" w:lineRule="auto" w:before="68"/>
              <w:ind w:left="528" w:right="1286"/>
              <w:rPr>
                <w:sz w:val="21"/>
              </w:rPr>
            </w:pPr>
            <w:r>
              <w:rPr>
                <w:sz w:val="21"/>
              </w:rPr>
              <w:t>第五条</w:t>
              <w:tab/>
              <w:t>保</w:t>
            </w:r>
            <w:r>
              <w:rPr>
                <w:spacing w:val="-3"/>
                <w:sz w:val="21"/>
              </w:rPr>
              <w:t>险</w:t>
            </w:r>
            <w:r>
              <w:rPr>
                <w:sz w:val="21"/>
              </w:rPr>
              <w:t>合</w:t>
            </w:r>
            <w:r>
              <w:rPr>
                <w:spacing w:val="-3"/>
                <w:sz w:val="21"/>
              </w:rPr>
              <w:t>同</w:t>
            </w:r>
            <w:r>
              <w:rPr>
                <w:sz w:val="21"/>
              </w:rPr>
              <w:t>成</w:t>
            </w:r>
            <w:r>
              <w:rPr>
                <w:spacing w:val="-3"/>
                <w:sz w:val="21"/>
              </w:rPr>
              <w:t>立与</w:t>
            </w:r>
            <w:r>
              <w:rPr>
                <w:sz w:val="21"/>
              </w:rPr>
              <w:t>生效 第六条</w:t>
              <w:tab/>
              <w:t>保</w:t>
            </w:r>
            <w:r>
              <w:rPr>
                <w:spacing w:val="-3"/>
                <w:sz w:val="21"/>
              </w:rPr>
              <w:t>险</w:t>
            </w:r>
            <w:r>
              <w:rPr>
                <w:sz w:val="21"/>
              </w:rPr>
              <w:t>期间</w:t>
            </w:r>
          </w:p>
          <w:p>
            <w:pPr>
              <w:pStyle w:val="TableParagraph"/>
              <w:tabs>
                <w:tab w:pos="1473" w:val="left" w:leader="none"/>
              </w:tabs>
              <w:spacing w:line="300" w:lineRule="auto" w:before="15"/>
              <w:ind w:left="528" w:right="2335"/>
              <w:rPr>
                <w:sz w:val="21"/>
              </w:rPr>
            </w:pPr>
            <w:r>
              <w:rPr>
                <w:sz w:val="21"/>
              </w:rPr>
              <w:t>第七条</w:t>
              <w:tab/>
              <w:t>保</w:t>
            </w:r>
            <w:r>
              <w:rPr>
                <w:spacing w:val="-3"/>
                <w:sz w:val="21"/>
              </w:rPr>
              <w:t>险</w:t>
            </w:r>
            <w:r>
              <w:rPr>
                <w:sz w:val="21"/>
              </w:rPr>
              <w:t>金额 第八条</w:t>
              <w:tab/>
              <w:t>保</w:t>
            </w:r>
            <w:r>
              <w:rPr>
                <w:spacing w:val="-3"/>
                <w:sz w:val="21"/>
              </w:rPr>
              <w:t>险</w:t>
            </w:r>
            <w:r>
              <w:rPr>
                <w:sz w:val="21"/>
              </w:rPr>
              <w:t>费</w:t>
            </w:r>
          </w:p>
          <w:p>
            <w:pPr>
              <w:pStyle w:val="TableParagraph"/>
              <w:tabs>
                <w:tab w:pos="1473" w:val="left" w:leader="none"/>
              </w:tabs>
              <w:spacing w:line="300" w:lineRule="auto" w:before="15"/>
              <w:ind w:left="528" w:right="1915" w:hanging="420"/>
              <w:rPr>
                <w:sz w:val="21"/>
              </w:rPr>
            </w:pPr>
            <w:r>
              <w:rPr>
                <w:b/>
                <w:sz w:val="21"/>
              </w:rPr>
              <w:t>第四章</w:t>
              <w:tab/>
              <w:t>保险</w:t>
            </w:r>
            <w:r>
              <w:rPr>
                <w:b/>
                <w:spacing w:val="-3"/>
                <w:sz w:val="21"/>
              </w:rPr>
              <w:t>金</w:t>
            </w:r>
            <w:r>
              <w:rPr>
                <w:b/>
                <w:sz w:val="21"/>
              </w:rPr>
              <w:t>申请</w:t>
            </w:r>
            <w:r>
              <w:rPr>
                <w:sz w:val="21"/>
              </w:rPr>
              <w:t>第九条</w:t>
              <w:tab/>
              <w:t>保</w:t>
            </w:r>
            <w:r>
              <w:rPr>
                <w:spacing w:val="-3"/>
                <w:sz w:val="21"/>
              </w:rPr>
              <w:t>险</w:t>
            </w:r>
            <w:r>
              <w:rPr>
                <w:sz w:val="21"/>
              </w:rPr>
              <w:t>事</w:t>
            </w:r>
            <w:r>
              <w:rPr>
                <w:spacing w:val="-3"/>
                <w:sz w:val="21"/>
              </w:rPr>
              <w:t>故</w:t>
            </w:r>
            <w:r>
              <w:rPr>
                <w:sz w:val="21"/>
              </w:rPr>
              <w:t>通知 第十条</w:t>
              <w:tab/>
              <w:t>诉</w:t>
            </w:r>
            <w:r>
              <w:rPr>
                <w:spacing w:val="-3"/>
                <w:sz w:val="21"/>
              </w:rPr>
              <w:t>讼</w:t>
            </w:r>
            <w:r>
              <w:rPr>
                <w:sz w:val="21"/>
              </w:rPr>
              <w:t>时效</w:t>
            </w:r>
          </w:p>
          <w:p>
            <w:pPr>
              <w:pStyle w:val="TableParagraph"/>
              <w:spacing w:line="300" w:lineRule="auto" w:before="15"/>
              <w:ind w:left="528" w:right="2126"/>
              <w:rPr>
                <w:sz w:val="21"/>
              </w:rPr>
            </w:pPr>
            <w:r>
              <w:rPr>
                <w:sz w:val="21"/>
              </w:rPr>
              <w:t>第十一条 保险金申请第十二条 保险金给付</w:t>
            </w:r>
          </w:p>
          <w:p>
            <w:pPr>
              <w:pStyle w:val="TableParagraph"/>
              <w:spacing w:line="300" w:lineRule="auto" w:before="15"/>
              <w:ind w:left="528" w:right="1908" w:hanging="420"/>
              <w:jc w:val="both"/>
              <w:rPr>
                <w:sz w:val="21"/>
              </w:rPr>
            </w:pPr>
            <w:r>
              <w:rPr>
                <w:b/>
                <w:sz w:val="21"/>
              </w:rPr>
              <w:t>第五章      合同变更事项</w:t>
            </w:r>
            <w:r>
              <w:rPr>
                <w:sz w:val="21"/>
              </w:rPr>
              <w:t>第十三条 被保险人变动第十四条 地址变更</w:t>
            </w:r>
          </w:p>
          <w:p>
            <w:pPr>
              <w:pStyle w:val="TableParagraph"/>
              <w:spacing w:before="16"/>
              <w:ind w:left="528"/>
              <w:rPr>
                <w:sz w:val="21"/>
              </w:rPr>
            </w:pPr>
            <w:r>
              <w:rPr>
                <w:sz w:val="21"/>
              </w:rPr>
              <w:t>第十五条 合同内容变更</w:t>
            </w:r>
          </w:p>
          <w:p>
            <w:pPr>
              <w:pStyle w:val="TableParagraph"/>
              <w:tabs>
                <w:tab w:pos="1481" w:val="left" w:leader="none"/>
              </w:tabs>
              <w:spacing w:line="300" w:lineRule="auto" w:before="68"/>
              <w:ind w:right="446" w:firstLine="420"/>
              <w:rPr>
                <w:b/>
                <w:sz w:val="21"/>
              </w:rPr>
            </w:pPr>
            <w:r>
              <w:rPr>
                <w:sz w:val="21"/>
              </w:rPr>
              <w:t>第十</w:t>
            </w:r>
            <w:r>
              <w:rPr>
                <w:spacing w:val="-3"/>
                <w:sz w:val="21"/>
              </w:rPr>
              <w:t>六</w:t>
            </w:r>
            <w:r>
              <w:rPr>
                <w:sz w:val="21"/>
              </w:rPr>
              <w:t>条</w:t>
            </w:r>
            <w:r>
              <w:rPr>
                <w:spacing w:val="16"/>
                <w:sz w:val="21"/>
              </w:rPr>
              <w:t> </w:t>
            </w:r>
            <w:r>
              <w:rPr>
                <w:sz w:val="21"/>
              </w:rPr>
              <w:t>投</w:t>
            </w:r>
            <w:r>
              <w:rPr>
                <w:spacing w:val="-3"/>
                <w:sz w:val="21"/>
              </w:rPr>
              <w:t>保</w:t>
            </w:r>
            <w:r>
              <w:rPr>
                <w:sz w:val="21"/>
              </w:rPr>
              <w:t>人</w:t>
            </w:r>
            <w:r>
              <w:rPr>
                <w:spacing w:val="-3"/>
                <w:sz w:val="21"/>
              </w:rPr>
              <w:t>解</w:t>
            </w:r>
            <w:r>
              <w:rPr>
                <w:sz w:val="21"/>
              </w:rPr>
              <w:t>除</w:t>
            </w:r>
            <w:r>
              <w:rPr>
                <w:spacing w:val="-3"/>
                <w:sz w:val="21"/>
              </w:rPr>
              <w:t>合同</w:t>
            </w:r>
            <w:r>
              <w:rPr>
                <w:sz w:val="21"/>
              </w:rPr>
              <w:t>的手</w:t>
            </w:r>
            <w:r>
              <w:rPr>
                <w:spacing w:val="-3"/>
                <w:sz w:val="21"/>
              </w:rPr>
              <w:t>续</w:t>
            </w:r>
            <w:r>
              <w:rPr>
                <w:sz w:val="21"/>
              </w:rPr>
              <w:t>及</w:t>
            </w:r>
            <w:r>
              <w:rPr>
                <w:spacing w:val="-3"/>
                <w:sz w:val="21"/>
              </w:rPr>
              <w:t>风</w:t>
            </w:r>
            <w:r>
              <w:rPr>
                <w:sz w:val="21"/>
              </w:rPr>
              <w:t>险</w:t>
            </w:r>
            <w:r>
              <w:rPr>
                <w:b/>
                <w:sz w:val="21"/>
              </w:rPr>
              <w:t>第六章</w:t>
              <w:tab/>
              <w:t>一般</w:t>
            </w:r>
            <w:r>
              <w:rPr>
                <w:b/>
                <w:spacing w:val="-3"/>
                <w:sz w:val="21"/>
              </w:rPr>
              <w:t>条</w:t>
            </w:r>
            <w:r>
              <w:rPr>
                <w:b/>
                <w:sz w:val="21"/>
              </w:rPr>
              <w:t>款</w:t>
            </w:r>
          </w:p>
        </w:tc>
        <w:tc>
          <w:tcPr>
            <w:tcW w:w="4661" w:type="dxa"/>
            <w:tcBorders>
              <w:left w:val="single" w:sz="4" w:space="0" w:color="000000"/>
            </w:tcBorders>
          </w:tcPr>
          <w:p>
            <w:pPr>
              <w:pStyle w:val="TableParagraph"/>
              <w:tabs>
                <w:tab w:pos="1680" w:val="left" w:leader="none"/>
              </w:tabs>
              <w:spacing w:before="45"/>
              <w:ind w:left="523"/>
              <w:rPr>
                <w:sz w:val="21"/>
              </w:rPr>
            </w:pPr>
            <w:r>
              <w:rPr>
                <w:sz w:val="21"/>
              </w:rPr>
              <w:t>第十七条</w:t>
              <w:tab/>
            </w:r>
            <w:r>
              <w:rPr>
                <w:spacing w:val="-3"/>
                <w:sz w:val="21"/>
              </w:rPr>
              <w:t>明</w:t>
            </w:r>
            <w:r>
              <w:rPr>
                <w:sz w:val="21"/>
              </w:rPr>
              <w:t>确</w:t>
            </w:r>
            <w:r>
              <w:rPr>
                <w:spacing w:val="-3"/>
                <w:sz w:val="21"/>
              </w:rPr>
              <w:t>说</w:t>
            </w:r>
            <w:r>
              <w:rPr>
                <w:sz w:val="21"/>
              </w:rPr>
              <w:t>明</w:t>
            </w:r>
            <w:r>
              <w:rPr>
                <w:spacing w:val="-3"/>
                <w:sz w:val="21"/>
              </w:rPr>
              <w:t>与如</w:t>
            </w:r>
            <w:r>
              <w:rPr>
                <w:sz w:val="21"/>
              </w:rPr>
              <w:t>实告知</w:t>
            </w:r>
          </w:p>
          <w:p>
            <w:pPr>
              <w:pStyle w:val="TableParagraph"/>
              <w:tabs>
                <w:tab w:pos="1680" w:val="left" w:leader="none"/>
              </w:tabs>
              <w:spacing w:line="300" w:lineRule="auto" w:before="68"/>
              <w:ind w:left="523" w:right="661"/>
              <w:rPr>
                <w:sz w:val="21"/>
              </w:rPr>
            </w:pPr>
            <w:r>
              <w:rPr>
                <w:sz w:val="21"/>
              </w:rPr>
              <w:t>第十八条</w:t>
              <w:tab/>
            </w:r>
            <w:r>
              <w:rPr>
                <w:spacing w:val="-3"/>
                <w:sz w:val="21"/>
              </w:rPr>
              <w:t>本</w:t>
            </w:r>
            <w:r>
              <w:rPr>
                <w:sz w:val="21"/>
              </w:rPr>
              <w:t>公</w:t>
            </w:r>
            <w:r>
              <w:rPr>
                <w:spacing w:val="-3"/>
                <w:sz w:val="21"/>
              </w:rPr>
              <w:t>司</w:t>
            </w:r>
            <w:r>
              <w:rPr>
                <w:sz w:val="21"/>
              </w:rPr>
              <w:t>合</w:t>
            </w:r>
            <w:r>
              <w:rPr>
                <w:spacing w:val="-3"/>
                <w:sz w:val="21"/>
              </w:rPr>
              <w:t>同解</w:t>
            </w:r>
            <w:r>
              <w:rPr>
                <w:sz w:val="21"/>
              </w:rPr>
              <w:t>除权</w:t>
            </w:r>
            <w:r>
              <w:rPr>
                <w:spacing w:val="-3"/>
                <w:sz w:val="21"/>
              </w:rPr>
              <w:t>的</w:t>
            </w:r>
            <w:r>
              <w:rPr>
                <w:sz w:val="21"/>
              </w:rPr>
              <w:t>限制 第十九条</w:t>
              <w:tab/>
            </w:r>
            <w:r>
              <w:rPr>
                <w:spacing w:val="-3"/>
                <w:sz w:val="21"/>
              </w:rPr>
              <w:t>年</w:t>
            </w:r>
            <w:r>
              <w:rPr>
                <w:sz w:val="21"/>
              </w:rPr>
              <w:t>龄</w:t>
            </w:r>
            <w:r>
              <w:rPr>
                <w:spacing w:val="-3"/>
                <w:sz w:val="21"/>
              </w:rPr>
              <w:t>错</w:t>
            </w:r>
            <w:r>
              <w:rPr>
                <w:sz w:val="21"/>
              </w:rPr>
              <w:t>误</w:t>
            </w:r>
          </w:p>
          <w:p>
            <w:pPr>
              <w:pStyle w:val="TableParagraph"/>
              <w:tabs>
                <w:tab w:pos="1680" w:val="left" w:leader="none"/>
              </w:tabs>
              <w:spacing w:line="300" w:lineRule="auto" w:before="15"/>
              <w:ind w:left="523" w:right="2133"/>
              <w:rPr>
                <w:sz w:val="21"/>
              </w:rPr>
            </w:pPr>
            <w:r>
              <w:rPr>
                <w:sz w:val="21"/>
              </w:rPr>
              <w:t>第二十条</w:t>
              <w:tab/>
            </w:r>
            <w:r>
              <w:rPr>
                <w:spacing w:val="-3"/>
                <w:sz w:val="21"/>
              </w:rPr>
              <w:t>受</w:t>
            </w:r>
            <w:r>
              <w:rPr>
                <w:sz w:val="21"/>
              </w:rPr>
              <w:t>益人 第二十一条</w:t>
            </w:r>
            <w:r>
              <w:rPr>
                <w:spacing w:val="5"/>
                <w:sz w:val="21"/>
              </w:rPr>
              <w:t> </w:t>
            </w:r>
            <w:r>
              <w:rPr>
                <w:spacing w:val="-3"/>
                <w:sz w:val="21"/>
              </w:rPr>
              <w:t>资</w:t>
            </w:r>
            <w:r>
              <w:rPr>
                <w:sz w:val="21"/>
              </w:rPr>
              <w:t>料</w:t>
            </w:r>
            <w:r>
              <w:rPr>
                <w:spacing w:val="-3"/>
                <w:sz w:val="21"/>
              </w:rPr>
              <w:t>提</w:t>
            </w:r>
            <w:r>
              <w:rPr>
                <w:sz w:val="21"/>
              </w:rPr>
              <w:t>供第二</w:t>
            </w:r>
            <w:r>
              <w:rPr>
                <w:spacing w:val="-3"/>
                <w:sz w:val="21"/>
              </w:rPr>
              <w:t>十</w:t>
            </w:r>
            <w:r>
              <w:rPr>
                <w:sz w:val="21"/>
              </w:rPr>
              <w:t>二条</w:t>
            </w:r>
            <w:r>
              <w:rPr>
                <w:spacing w:val="7"/>
                <w:sz w:val="21"/>
              </w:rPr>
              <w:t> </w:t>
            </w:r>
            <w:r>
              <w:rPr>
                <w:spacing w:val="-3"/>
                <w:sz w:val="21"/>
              </w:rPr>
              <w:t>争</w:t>
            </w:r>
            <w:r>
              <w:rPr>
                <w:sz w:val="21"/>
              </w:rPr>
              <w:t>议</w:t>
            </w:r>
            <w:r>
              <w:rPr>
                <w:spacing w:val="-3"/>
                <w:sz w:val="21"/>
              </w:rPr>
              <w:t>处</w:t>
            </w:r>
            <w:r>
              <w:rPr>
                <w:sz w:val="21"/>
              </w:rPr>
              <w:t>理</w:t>
            </w:r>
          </w:p>
          <w:p>
            <w:pPr>
              <w:pStyle w:val="TableParagraph"/>
              <w:tabs>
                <w:tab w:pos="1680" w:val="left" w:leader="none"/>
              </w:tabs>
              <w:spacing w:line="300" w:lineRule="auto" w:before="15"/>
              <w:ind w:left="523" w:right="2342" w:hanging="420"/>
              <w:rPr>
                <w:sz w:val="21"/>
              </w:rPr>
            </w:pPr>
            <w:r>
              <w:rPr>
                <w:b/>
                <w:sz w:val="21"/>
              </w:rPr>
              <w:t>第七章</w:t>
              <w:tab/>
              <w:t>释义</w:t>
            </w:r>
            <w:r>
              <w:rPr>
                <w:sz w:val="21"/>
              </w:rPr>
              <w:t>第二</w:t>
            </w:r>
            <w:r>
              <w:rPr>
                <w:spacing w:val="-3"/>
                <w:sz w:val="21"/>
              </w:rPr>
              <w:t>十</w:t>
            </w:r>
            <w:r>
              <w:rPr>
                <w:sz w:val="21"/>
              </w:rPr>
              <w:t>三条</w:t>
            </w:r>
            <w:r>
              <w:rPr>
                <w:spacing w:val="15"/>
                <w:sz w:val="21"/>
              </w:rPr>
              <w:t> </w:t>
            </w:r>
            <w:r>
              <w:rPr>
                <w:spacing w:val="-3"/>
                <w:sz w:val="21"/>
              </w:rPr>
              <w:t>释义</w:t>
            </w:r>
            <w:r>
              <w:rPr>
                <w:sz w:val="21"/>
              </w:rPr>
              <w:t>一</w:t>
              <w:tab/>
            </w:r>
            <w:r>
              <w:rPr>
                <w:spacing w:val="-3"/>
                <w:sz w:val="21"/>
              </w:rPr>
              <w:t>本</w:t>
            </w:r>
            <w:r>
              <w:rPr>
                <w:sz w:val="21"/>
              </w:rPr>
              <w:t>公司</w:t>
            </w:r>
          </w:p>
          <w:p>
            <w:pPr>
              <w:pStyle w:val="TableParagraph"/>
              <w:tabs>
                <w:tab w:pos="1680" w:val="left" w:leader="none"/>
              </w:tabs>
              <w:spacing w:before="16"/>
              <w:ind w:left="523"/>
              <w:rPr>
                <w:sz w:val="21"/>
              </w:rPr>
            </w:pPr>
            <w:r>
              <w:rPr>
                <w:sz w:val="21"/>
              </w:rPr>
              <w:t>二</w:t>
              <w:tab/>
            </w:r>
            <w:r>
              <w:rPr>
                <w:spacing w:val="-3"/>
                <w:sz w:val="21"/>
              </w:rPr>
              <w:t>团体</w:t>
            </w:r>
          </w:p>
          <w:p>
            <w:pPr>
              <w:pStyle w:val="TableParagraph"/>
              <w:tabs>
                <w:tab w:pos="1680" w:val="left" w:leader="none"/>
              </w:tabs>
              <w:spacing w:before="68"/>
              <w:ind w:left="523"/>
              <w:rPr>
                <w:sz w:val="21"/>
              </w:rPr>
            </w:pPr>
            <w:r>
              <w:rPr>
                <w:sz w:val="21"/>
              </w:rPr>
              <w:t>三</w:t>
              <w:tab/>
            </w:r>
            <w:r>
              <w:rPr>
                <w:spacing w:val="-3"/>
                <w:sz w:val="21"/>
              </w:rPr>
              <w:t>医院</w:t>
            </w:r>
          </w:p>
          <w:p>
            <w:pPr>
              <w:pStyle w:val="TableParagraph"/>
              <w:tabs>
                <w:tab w:pos="1680" w:val="left" w:leader="none"/>
              </w:tabs>
              <w:spacing w:before="68"/>
              <w:ind w:left="523"/>
              <w:rPr>
                <w:sz w:val="21"/>
              </w:rPr>
            </w:pPr>
            <w:r>
              <w:rPr>
                <w:sz w:val="21"/>
              </w:rPr>
              <w:t>四</w:t>
              <w:tab/>
            </w:r>
            <w:r>
              <w:rPr>
                <w:spacing w:val="-3"/>
                <w:sz w:val="21"/>
              </w:rPr>
              <w:t>重</w:t>
            </w:r>
            <w:r>
              <w:rPr>
                <w:sz w:val="21"/>
              </w:rPr>
              <w:t>大</w:t>
            </w:r>
            <w:r>
              <w:rPr>
                <w:spacing w:val="-3"/>
                <w:sz w:val="21"/>
              </w:rPr>
              <w:t>疾</w:t>
            </w:r>
            <w:r>
              <w:rPr>
                <w:sz w:val="21"/>
              </w:rPr>
              <w:t>病</w:t>
            </w:r>
          </w:p>
          <w:p>
            <w:pPr>
              <w:pStyle w:val="TableParagraph"/>
              <w:tabs>
                <w:tab w:pos="1680" w:val="left" w:leader="none"/>
              </w:tabs>
              <w:spacing w:before="68"/>
              <w:ind w:left="523"/>
              <w:rPr>
                <w:sz w:val="21"/>
              </w:rPr>
            </w:pPr>
            <w:r>
              <w:rPr>
                <w:sz w:val="21"/>
              </w:rPr>
              <w:t>五</w:t>
              <w:tab/>
            </w:r>
            <w:r>
              <w:rPr>
                <w:spacing w:val="-3"/>
                <w:sz w:val="21"/>
              </w:rPr>
              <w:t>意</w:t>
            </w:r>
            <w:r>
              <w:rPr>
                <w:sz w:val="21"/>
              </w:rPr>
              <w:t>外</w:t>
            </w:r>
            <w:r>
              <w:rPr>
                <w:spacing w:val="-3"/>
                <w:sz w:val="21"/>
              </w:rPr>
              <w:t>伤</w:t>
            </w:r>
            <w:r>
              <w:rPr>
                <w:sz w:val="21"/>
              </w:rPr>
              <w:t>害</w:t>
            </w:r>
          </w:p>
          <w:p>
            <w:pPr>
              <w:pStyle w:val="TableParagraph"/>
              <w:tabs>
                <w:tab w:pos="1680" w:val="left" w:leader="none"/>
              </w:tabs>
              <w:spacing w:before="68"/>
              <w:ind w:left="523"/>
              <w:rPr>
                <w:sz w:val="21"/>
              </w:rPr>
            </w:pPr>
            <w:r>
              <w:rPr>
                <w:sz w:val="21"/>
              </w:rPr>
              <w:t>六</w:t>
              <w:tab/>
            </w:r>
            <w:r>
              <w:rPr>
                <w:spacing w:val="-3"/>
                <w:sz w:val="21"/>
              </w:rPr>
              <w:t>毒品</w:t>
            </w:r>
          </w:p>
          <w:p>
            <w:pPr>
              <w:pStyle w:val="TableParagraph"/>
              <w:tabs>
                <w:tab w:pos="1680" w:val="left" w:leader="none"/>
              </w:tabs>
              <w:spacing w:before="68"/>
              <w:ind w:left="523"/>
              <w:rPr>
                <w:sz w:val="21"/>
              </w:rPr>
            </w:pPr>
            <w:r>
              <w:rPr>
                <w:sz w:val="21"/>
              </w:rPr>
              <w:t>七</w:t>
              <w:tab/>
            </w:r>
            <w:r>
              <w:rPr>
                <w:spacing w:val="-3"/>
                <w:sz w:val="21"/>
              </w:rPr>
              <w:t>酒</w:t>
            </w:r>
            <w:r>
              <w:rPr>
                <w:sz w:val="21"/>
              </w:rPr>
              <w:t>后</w:t>
            </w:r>
            <w:r>
              <w:rPr>
                <w:spacing w:val="-3"/>
                <w:sz w:val="21"/>
              </w:rPr>
              <w:t>驾</w:t>
            </w:r>
            <w:r>
              <w:rPr>
                <w:sz w:val="21"/>
              </w:rPr>
              <w:t>驶</w:t>
            </w:r>
          </w:p>
          <w:p>
            <w:pPr>
              <w:pStyle w:val="TableParagraph"/>
              <w:tabs>
                <w:tab w:pos="1680" w:val="left" w:leader="none"/>
              </w:tabs>
              <w:spacing w:before="68"/>
              <w:ind w:left="523"/>
              <w:rPr>
                <w:sz w:val="21"/>
              </w:rPr>
            </w:pPr>
            <w:r>
              <w:rPr>
                <w:sz w:val="21"/>
              </w:rPr>
              <w:t>八</w:t>
              <w:tab/>
            </w:r>
            <w:r>
              <w:rPr>
                <w:spacing w:val="-3"/>
                <w:sz w:val="21"/>
              </w:rPr>
              <w:t>无</w:t>
            </w:r>
            <w:r>
              <w:rPr>
                <w:sz w:val="21"/>
              </w:rPr>
              <w:t>合</w:t>
            </w:r>
            <w:r>
              <w:rPr>
                <w:spacing w:val="-3"/>
                <w:sz w:val="21"/>
              </w:rPr>
              <w:t>法</w:t>
            </w:r>
            <w:r>
              <w:rPr>
                <w:sz w:val="21"/>
              </w:rPr>
              <w:t>有</w:t>
            </w:r>
            <w:r>
              <w:rPr>
                <w:spacing w:val="-3"/>
                <w:sz w:val="21"/>
              </w:rPr>
              <w:t>效驾</w:t>
            </w:r>
            <w:r>
              <w:rPr>
                <w:sz w:val="21"/>
              </w:rPr>
              <w:t>驶证</w:t>
            </w:r>
            <w:r>
              <w:rPr>
                <w:spacing w:val="-3"/>
                <w:sz w:val="21"/>
              </w:rPr>
              <w:t>驾</w:t>
            </w:r>
            <w:r>
              <w:rPr>
                <w:sz w:val="21"/>
              </w:rPr>
              <w:t>驶</w:t>
            </w:r>
          </w:p>
          <w:p>
            <w:pPr>
              <w:pStyle w:val="TableParagraph"/>
              <w:tabs>
                <w:tab w:pos="1680" w:val="left" w:leader="none"/>
              </w:tabs>
              <w:spacing w:before="68"/>
              <w:ind w:left="523"/>
              <w:rPr>
                <w:sz w:val="21"/>
              </w:rPr>
            </w:pPr>
            <w:r>
              <w:rPr>
                <w:sz w:val="21"/>
              </w:rPr>
              <w:t>九</w:t>
              <w:tab/>
            </w:r>
            <w:r>
              <w:rPr>
                <w:spacing w:val="-3"/>
                <w:sz w:val="21"/>
              </w:rPr>
              <w:t>无</w:t>
            </w:r>
            <w:r>
              <w:rPr>
                <w:sz w:val="21"/>
              </w:rPr>
              <w:t>有</w:t>
            </w:r>
            <w:r>
              <w:rPr>
                <w:spacing w:val="-3"/>
                <w:sz w:val="21"/>
              </w:rPr>
              <w:t>效</w:t>
            </w:r>
            <w:r>
              <w:rPr>
                <w:sz w:val="21"/>
              </w:rPr>
              <w:t>行</w:t>
            </w:r>
            <w:r>
              <w:rPr>
                <w:spacing w:val="-3"/>
                <w:sz w:val="21"/>
              </w:rPr>
              <w:t>驶</w:t>
            </w:r>
            <w:r>
              <w:rPr>
                <w:sz w:val="21"/>
              </w:rPr>
              <w:t>证</w:t>
            </w:r>
          </w:p>
          <w:p>
            <w:pPr>
              <w:pStyle w:val="TableParagraph"/>
              <w:tabs>
                <w:tab w:pos="1680" w:val="left" w:leader="none"/>
              </w:tabs>
              <w:spacing w:before="68"/>
              <w:ind w:left="523"/>
              <w:rPr>
                <w:sz w:val="21"/>
              </w:rPr>
            </w:pPr>
            <w:r>
              <w:rPr>
                <w:sz w:val="21"/>
              </w:rPr>
              <w:t>十</w:t>
              <w:tab/>
            </w:r>
            <w:r>
              <w:rPr>
                <w:spacing w:val="-3"/>
                <w:sz w:val="21"/>
              </w:rPr>
              <w:t>先</w:t>
            </w:r>
            <w:r>
              <w:rPr>
                <w:sz w:val="21"/>
              </w:rPr>
              <w:t>天</w:t>
            </w:r>
            <w:r>
              <w:rPr>
                <w:spacing w:val="-3"/>
                <w:sz w:val="21"/>
              </w:rPr>
              <w:t>性</w:t>
            </w:r>
            <w:r>
              <w:rPr>
                <w:sz w:val="21"/>
              </w:rPr>
              <w:t>畸</w:t>
            </w:r>
            <w:r>
              <w:rPr>
                <w:spacing w:val="-3"/>
                <w:sz w:val="21"/>
              </w:rPr>
              <w:t>形</w:t>
            </w:r>
            <w:r>
              <w:rPr>
                <w:spacing w:val="-75"/>
                <w:sz w:val="21"/>
              </w:rPr>
              <w:t>、</w:t>
            </w:r>
            <w:r>
              <w:rPr>
                <w:sz w:val="21"/>
              </w:rPr>
              <w:t>变形</w:t>
            </w:r>
            <w:r>
              <w:rPr>
                <w:spacing w:val="-3"/>
                <w:sz w:val="21"/>
              </w:rPr>
              <w:t>或</w:t>
            </w:r>
            <w:r>
              <w:rPr>
                <w:sz w:val="21"/>
              </w:rPr>
              <w:t>染</w:t>
            </w:r>
            <w:r>
              <w:rPr>
                <w:spacing w:val="-3"/>
                <w:sz w:val="21"/>
              </w:rPr>
              <w:t>色</w:t>
            </w:r>
            <w:r>
              <w:rPr>
                <w:sz w:val="21"/>
              </w:rPr>
              <w:t>体</w:t>
            </w:r>
            <w:r>
              <w:rPr>
                <w:spacing w:val="-3"/>
                <w:sz w:val="21"/>
              </w:rPr>
              <w:t>异</w:t>
            </w:r>
            <w:r>
              <w:rPr>
                <w:sz w:val="21"/>
              </w:rPr>
              <w:t>常</w:t>
            </w:r>
          </w:p>
          <w:p>
            <w:pPr>
              <w:pStyle w:val="TableParagraph"/>
              <w:tabs>
                <w:tab w:pos="1680" w:val="left" w:leader="none"/>
              </w:tabs>
              <w:spacing w:before="68"/>
              <w:ind w:left="523"/>
              <w:rPr>
                <w:sz w:val="21"/>
              </w:rPr>
            </w:pPr>
            <w:r>
              <w:rPr>
                <w:sz w:val="21"/>
              </w:rPr>
              <w:t>十一</w:t>
              <w:tab/>
            </w:r>
            <w:r>
              <w:rPr>
                <w:spacing w:val="-3"/>
                <w:sz w:val="21"/>
              </w:rPr>
              <w:t>手</w:t>
            </w:r>
            <w:r>
              <w:rPr>
                <w:sz w:val="21"/>
              </w:rPr>
              <w:t>续费</w:t>
            </w:r>
          </w:p>
          <w:p>
            <w:pPr>
              <w:pStyle w:val="TableParagraph"/>
              <w:tabs>
                <w:tab w:pos="1680" w:val="left" w:leader="none"/>
              </w:tabs>
              <w:spacing w:before="68"/>
              <w:ind w:left="523"/>
              <w:rPr>
                <w:sz w:val="21"/>
              </w:rPr>
            </w:pPr>
            <w:r>
              <w:rPr>
                <w:sz w:val="21"/>
              </w:rPr>
              <w:t>十二</w:t>
              <w:tab/>
            </w:r>
            <w:r>
              <w:rPr>
                <w:spacing w:val="-3"/>
                <w:sz w:val="21"/>
              </w:rPr>
              <w:t>未</w:t>
            </w:r>
            <w:r>
              <w:rPr>
                <w:sz w:val="21"/>
              </w:rPr>
              <w:t>满</w:t>
            </w:r>
            <w:r>
              <w:rPr>
                <w:spacing w:val="-3"/>
                <w:sz w:val="21"/>
              </w:rPr>
              <w:t>期</w:t>
            </w:r>
            <w:r>
              <w:rPr>
                <w:sz w:val="21"/>
              </w:rPr>
              <w:t>保</w:t>
            </w:r>
            <w:r>
              <w:rPr>
                <w:spacing w:val="-3"/>
                <w:sz w:val="21"/>
              </w:rPr>
              <w:t>险</w:t>
            </w:r>
            <w:r>
              <w:rPr>
                <w:sz w:val="21"/>
              </w:rPr>
              <w:t>费</w:t>
            </w:r>
          </w:p>
          <w:p>
            <w:pPr>
              <w:pStyle w:val="TableParagraph"/>
              <w:tabs>
                <w:tab w:pos="1680" w:val="left" w:leader="none"/>
              </w:tabs>
              <w:spacing w:before="69"/>
              <w:ind w:left="523"/>
              <w:rPr>
                <w:sz w:val="21"/>
              </w:rPr>
            </w:pPr>
            <w:r>
              <w:rPr>
                <w:sz w:val="21"/>
              </w:rPr>
              <w:t>十三</w:t>
              <w:tab/>
            </w:r>
            <w:r>
              <w:rPr>
                <w:spacing w:val="-3"/>
                <w:sz w:val="21"/>
              </w:rPr>
              <w:t>专</w:t>
            </w:r>
            <w:r>
              <w:rPr>
                <w:sz w:val="21"/>
              </w:rPr>
              <w:t>科</w:t>
            </w:r>
            <w:r>
              <w:rPr>
                <w:spacing w:val="-3"/>
                <w:sz w:val="21"/>
              </w:rPr>
              <w:t>医</w:t>
            </w:r>
            <w:r>
              <w:rPr>
                <w:sz w:val="21"/>
              </w:rPr>
              <w:t>生</w:t>
            </w:r>
          </w:p>
          <w:p>
            <w:pPr>
              <w:pStyle w:val="TableParagraph"/>
              <w:tabs>
                <w:tab w:pos="1680" w:val="left" w:leader="none"/>
              </w:tabs>
              <w:spacing w:before="68"/>
              <w:ind w:left="523"/>
              <w:rPr>
                <w:sz w:val="21"/>
              </w:rPr>
            </w:pPr>
            <w:r>
              <w:rPr>
                <w:sz w:val="21"/>
              </w:rPr>
              <w:t>十四</w:t>
              <w:tab/>
            </w:r>
            <w:r>
              <w:rPr>
                <w:spacing w:val="-3"/>
                <w:sz w:val="21"/>
              </w:rPr>
              <w:t>六</w:t>
            </w:r>
            <w:r>
              <w:rPr>
                <w:sz w:val="21"/>
              </w:rPr>
              <w:t>项</w:t>
            </w:r>
            <w:r>
              <w:rPr>
                <w:spacing w:val="-3"/>
                <w:sz w:val="21"/>
              </w:rPr>
              <w:t>基</w:t>
            </w:r>
            <w:r>
              <w:rPr>
                <w:sz w:val="21"/>
              </w:rPr>
              <w:t>本</w:t>
            </w:r>
            <w:r>
              <w:rPr>
                <w:spacing w:val="-3"/>
                <w:sz w:val="21"/>
              </w:rPr>
              <w:t>日常</w:t>
            </w:r>
            <w:r>
              <w:rPr>
                <w:sz w:val="21"/>
              </w:rPr>
              <w:t>生活</w:t>
            </w:r>
            <w:r>
              <w:rPr>
                <w:spacing w:val="-3"/>
                <w:sz w:val="21"/>
              </w:rPr>
              <w:t>活</w:t>
            </w:r>
            <w:r>
              <w:rPr>
                <w:sz w:val="21"/>
              </w:rPr>
              <w:t>动</w:t>
            </w:r>
          </w:p>
          <w:p>
            <w:pPr>
              <w:pStyle w:val="TableParagraph"/>
              <w:tabs>
                <w:tab w:pos="1680" w:val="left" w:leader="none"/>
              </w:tabs>
              <w:spacing w:before="68"/>
              <w:ind w:left="523"/>
              <w:rPr>
                <w:sz w:val="21"/>
              </w:rPr>
            </w:pPr>
            <w:r>
              <w:rPr>
                <w:sz w:val="21"/>
              </w:rPr>
              <w:t>十五</w:t>
              <w:tab/>
            </w:r>
            <w:r>
              <w:rPr>
                <w:spacing w:val="-3"/>
                <w:sz w:val="21"/>
              </w:rPr>
              <w:t>周岁</w:t>
            </w:r>
          </w:p>
        </w:tc>
      </w:tr>
    </w:tbl>
    <w:p>
      <w:pPr>
        <w:spacing w:after="0"/>
        <w:rPr>
          <w:sz w:val="21"/>
        </w:rPr>
        <w:sectPr>
          <w:footerReference w:type="default" r:id="rId5"/>
          <w:type w:val="continuous"/>
          <w:pgSz w:w="11910" w:h="16840"/>
          <w:pgMar w:footer="919" w:top="1580" w:bottom="1100" w:left="1180" w:right="1180"/>
          <w:pgNumType w:start="1"/>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1" w:after="1"/>
        <w:ind w:left="0"/>
        <w:rPr>
          <w:rFonts w:ascii="Times New Roman"/>
          <w:sz w:val="28"/>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9"/>
        <w:gridCol w:w="1882"/>
        <w:gridCol w:w="6203"/>
      </w:tblGrid>
      <w:tr>
        <w:trPr>
          <w:trHeight w:val="469" w:hRule="atLeast"/>
        </w:trPr>
        <w:tc>
          <w:tcPr>
            <w:tcW w:w="1169" w:type="dxa"/>
          </w:tcPr>
          <w:p>
            <w:pPr>
              <w:pStyle w:val="TableParagraph"/>
              <w:ind w:left="0"/>
              <w:rPr>
                <w:rFonts w:ascii="Times New Roman"/>
                <w:sz w:val="20"/>
              </w:rPr>
            </w:pPr>
          </w:p>
        </w:tc>
        <w:tc>
          <w:tcPr>
            <w:tcW w:w="1882" w:type="dxa"/>
          </w:tcPr>
          <w:p>
            <w:pPr>
              <w:pStyle w:val="TableParagraph"/>
              <w:ind w:left="0"/>
              <w:rPr>
                <w:rFonts w:ascii="Times New Roman"/>
                <w:sz w:val="20"/>
              </w:rPr>
            </w:pPr>
          </w:p>
        </w:tc>
        <w:tc>
          <w:tcPr>
            <w:tcW w:w="6203" w:type="dxa"/>
          </w:tcPr>
          <w:p>
            <w:pPr>
              <w:pStyle w:val="TableParagraph"/>
              <w:spacing w:line="281" w:lineRule="exact"/>
              <w:ind w:left="1005"/>
              <w:rPr>
                <w:b/>
                <w:sz w:val="28"/>
              </w:rPr>
            </w:pPr>
            <w:r>
              <w:rPr>
                <w:b/>
                <w:sz w:val="28"/>
              </w:rPr>
              <w:t>条款正文</w:t>
            </w:r>
          </w:p>
        </w:tc>
      </w:tr>
      <w:tr>
        <w:trPr>
          <w:trHeight w:val="948" w:hRule="atLeast"/>
        </w:trPr>
        <w:tc>
          <w:tcPr>
            <w:tcW w:w="9254" w:type="dxa"/>
            <w:gridSpan w:val="3"/>
          </w:tcPr>
          <w:p>
            <w:pPr>
              <w:pStyle w:val="TableParagraph"/>
              <w:spacing w:before="124"/>
              <w:ind w:left="1874"/>
              <w:rPr>
                <w:b/>
                <w:sz w:val="21"/>
              </w:rPr>
            </w:pPr>
            <w:r>
              <w:rPr>
                <w:b/>
                <w:sz w:val="21"/>
              </w:rPr>
              <w:t>条款是保险合同的重要组成部分，请投保人、被保险人、受益人仔细阅读。</w:t>
            </w:r>
          </w:p>
        </w:tc>
      </w:tr>
      <w:tr>
        <w:trPr>
          <w:trHeight w:val="311" w:hRule="atLeast"/>
        </w:trPr>
        <w:tc>
          <w:tcPr>
            <w:tcW w:w="1169" w:type="dxa"/>
            <w:shd w:val="clear" w:color="auto" w:fill="C5C5C5"/>
          </w:tcPr>
          <w:p>
            <w:pPr>
              <w:pStyle w:val="TableParagraph"/>
              <w:spacing w:line="266" w:lineRule="exact"/>
              <w:rPr>
                <w:b/>
                <w:sz w:val="22"/>
              </w:rPr>
            </w:pPr>
            <w:r>
              <w:rPr>
                <w:b/>
                <w:w w:val="95"/>
                <w:sz w:val="22"/>
              </w:rPr>
              <w:t>第一章</w:t>
            </w:r>
          </w:p>
        </w:tc>
        <w:tc>
          <w:tcPr>
            <w:tcW w:w="8085" w:type="dxa"/>
            <w:gridSpan w:val="2"/>
            <w:shd w:val="clear" w:color="auto" w:fill="C5C5C5"/>
          </w:tcPr>
          <w:p>
            <w:pPr>
              <w:pStyle w:val="TableParagraph"/>
              <w:spacing w:line="266" w:lineRule="exact"/>
              <w:ind w:left="398"/>
              <w:rPr>
                <w:b/>
                <w:sz w:val="22"/>
              </w:rPr>
            </w:pPr>
            <w:r>
              <w:rPr>
                <w:b/>
                <w:w w:val="95"/>
                <w:sz w:val="22"/>
              </w:rPr>
              <w:t>保险合同构成与投保范围</w:t>
            </w:r>
          </w:p>
        </w:tc>
      </w:tr>
      <w:tr>
        <w:trPr>
          <w:trHeight w:val="1402" w:hRule="atLeast"/>
        </w:trPr>
        <w:tc>
          <w:tcPr>
            <w:tcW w:w="1169" w:type="dxa"/>
          </w:tcPr>
          <w:p>
            <w:pPr>
              <w:pStyle w:val="TableParagraph"/>
              <w:spacing w:line="266" w:lineRule="exact"/>
              <w:rPr>
                <w:sz w:val="22"/>
              </w:rPr>
            </w:pPr>
            <w:r>
              <w:rPr>
                <w:sz w:val="22"/>
              </w:rPr>
              <w:t>第一条</w:t>
            </w:r>
          </w:p>
        </w:tc>
        <w:tc>
          <w:tcPr>
            <w:tcW w:w="1882" w:type="dxa"/>
          </w:tcPr>
          <w:p>
            <w:pPr>
              <w:pStyle w:val="TableParagraph"/>
              <w:spacing w:line="266" w:lineRule="exact"/>
              <w:ind w:left="398"/>
              <w:rPr>
                <w:sz w:val="22"/>
              </w:rPr>
            </w:pPr>
            <w:r>
              <w:rPr>
                <w:sz w:val="22"/>
              </w:rPr>
              <w:t>保险合同构成</w:t>
            </w:r>
          </w:p>
        </w:tc>
        <w:tc>
          <w:tcPr>
            <w:tcW w:w="6203" w:type="dxa"/>
          </w:tcPr>
          <w:p>
            <w:pPr>
              <w:pStyle w:val="TableParagraph"/>
              <w:spacing w:line="273" w:lineRule="auto"/>
              <w:ind w:left="165" w:right="149"/>
              <w:jc w:val="both"/>
              <w:rPr>
                <w:sz w:val="21"/>
              </w:rPr>
            </w:pPr>
            <w:r>
              <w:rPr>
                <w:sz w:val="21"/>
              </w:rPr>
              <w:t>《中航三星团体重大疾病保险》合同（以下简称“本合同”）由保险单、条款、其他保险凭证、投保单、被保险人名册、与本合同有关的其它投保文件、变更申请书、声明、批注、批单、其它书面协议构成。</w:t>
            </w:r>
          </w:p>
        </w:tc>
      </w:tr>
      <w:tr>
        <w:trPr>
          <w:trHeight w:val="2030" w:hRule="atLeast"/>
        </w:trPr>
        <w:tc>
          <w:tcPr>
            <w:tcW w:w="1169" w:type="dxa"/>
          </w:tcPr>
          <w:p>
            <w:pPr>
              <w:pStyle w:val="TableParagraph"/>
              <w:spacing w:before="136"/>
              <w:rPr>
                <w:sz w:val="22"/>
              </w:rPr>
            </w:pPr>
            <w:r>
              <w:rPr>
                <w:sz w:val="22"/>
              </w:rPr>
              <w:t>第二条</w:t>
            </w:r>
          </w:p>
        </w:tc>
        <w:tc>
          <w:tcPr>
            <w:tcW w:w="1882" w:type="dxa"/>
          </w:tcPr>
          <w:p>
            <w:pPr>
              <w:pStyle w:val="TableParagraph"/>
              <w:spacing w:before="136"/>
              <w:ind w:left="398"/>
              <w:rPr>
                <w:sz w:val="22"/>
              </w:rPr>
            </w:pPr>
            <w:r>
              <w:rPr>
                <w:sz w:val="22"/>
              </w:rPr>
              <w:t>投保范围</w:t>
            </w:r>
          </w:p>
        </w:tc>
        <w:tc>
          <w:tcPr>
            <w:tcW w:w="6203" w:type="dxa"/>
          </w:tcPr>
          <w:p>
            <w:pPr>
              <w:pStyle w:val="TableParagraph"/>
              <w:spacing w:line="273" w:lineRule="auto" w:before="146"/>
              <w:ind w:left="580" w:right="149" w:hanging="420"/>
              <w:jc w:val="both"/>
              <w:rPr>
                <w:sz w:val="21"/>
              </w:rPr>
            </w:pPr>
            <w:r>
              <w:rPr>
                <w:sz w:val="21"/>
              </w:rPr>
              <w:t>一、身体健康，能正常工作或劳动的人员，可作为被保险人参加本保险。</w:t>
            </w:r>
          </w:p>
          <w:p>
            <w:pPr>
              <w:pStyle w:val="TableParagraph"/>
              <w:spacing w:line="264" w:lineRule="auto" w:before="8"/>
              <w:ind w:left="580" w:right="138" w:hanging="420"/>
              <w:jc w:val="both"/>
              <w:rPr>
                <w:sz w:val="21"/>
              </w:rPr>
            </w:pPr>
            <w:r>
              <w:rPr>
                <w:spacing w:val="-3"/>
                <w:sz w:val="21"/>
              </w:rPr>
              <w:t>二、符合上述条件的人员所在团体可作为投保人。投保时，参保</w:t>
            </w:r>
            <w:r>
              <w:rPr>
                <w:spacing w:val="-5"/>
                <w:sz w:val="21"/>
              </w:rPr>
              <w:t>人员应占团体中符合参保条件成员总数的 </w:t>
            </w:r>
            <w:r>
              <w:rPr>
                <w:rFonts w:ascii="Times New Roman" w:eastAsia="Times New Roman"/>
                <w:sz w:val="21"/>
              </w:rPr>
              <w:t>75%</w:t>
            </w:r>
            <w:r>
              <w:rPr>
                <w:spacing w:val="-3"/>
                <w:sz w:val="21"/>
              </w:rPr>
              <w:t>或以上，且不</w:t>
            </w:r>
            <w:r>
              <w:rPr>
                <w:spacing w:val="-19"/>
                <w:sz w:val="21"/>
              </w:rPr>
              <w:t>少于 </w:t>
            </w:r>
            <w:r>
              <w:rPr>
                <w:rFonts w:ascii="Times New Roman" w:eastAsia="Times New Roman"/>
                <w:sz w:val="21"/>
              </w:rPr>
              <w:t>5 </w:t>
            </w:r>
            <w:r>
              <w:rPr>
                <w:sz w:val="21"/>
              </w:rPr>
              <w:t>人。</w:t>
            </w:r>
          </w:p>
        </w:tc>
      </w:tr>
      <w:tr>
        <w:trPr>
          <w:trHeight w:val="312" w:hRule="atLeast"/>
        </w:trPr>
        <w:tc>
          <w:tcPr>
            <w:tcW w:w="1169" w:type="dxa"/>
            <w:shd w:val="clear" w:color="auto" w:fill="CFCFCF"/>
          </w:tcPr>
          <w:p>
            <w:pPr>
              <w:pStyle w:val="TableParagraph"/>
              <w:spacing w:line="266" w:lineRule="exact"/>
              <w:rPr>
                <w:b/>
                <w:sz w:val="22"/>
              </w:rPr>
            </w:pPr>
            <w:r>
              <w:rPr>
                <w:b/>
                <w:w w:val="95"/>
                <w:sz w:val="22"/>
              </w:rPr>
              <w:t>第二章</w:t>
            </w:r>
          </w:p>
        </w:tc>
        <w:tc>
          <w:tcPr>
            <w:tcW w:w="8085" w:type="dxa"/>
            <w:gridSpan w:val="2"/>
            <w:shd w:val="clear" w:color="auto" w:fill="CFCFCF"/>
          </w:tcPr>
          <w:p>
            <w:pPr>
              <w:pStyle w:val="TableParagraph"/>
              <w:spacing w:line="266" w:lineRule="exact"/>
              <w:ind w:left="398"/>
              <w:rPr>
                <w:b/>
                <w:sz w:val="22"/>
              </w:rPr>
            </w:pPr>
            <w:r>
              <w:rPr>
                <w:b/>
                <w:w w:val="95"/>
                <w:sz w:val="22"/>
              </w:rPr>
              <w:t>保险责任与责任免除</w:t>
            </w:r>
          </w:p>
        </w:tc>
      </w:tr>
      <w:tr>
        <w:trPr>
          <w:trHeight w:val="2650" w:hRule="atLeast"/>
        </w:trPr>
        <w:tc>
          <w:tcPr>
            <w:tcW w:w="1169" w:type="dxa"/>
          </w:tcPr>
          <w:p>
            <w:pPr>
              <w:pStyle w:val="TableParagraph"/>
              <w:spacing w:line="266" w:lineRule="exact"/>
              <w:rPr>
                <w:sz w:val="22"/>
              </w:rPr>
            </w:pPr>
            <w:r>
              <w:rPr>
                <w:sz w:val="22"/>
              </w:rPr>
              <w:t>第三条</w:t>
            </w:r>
          </w:p>
        </w:tc>
        <w:tc>
          <w:tcPr>
            <w:tcW w:w="1882" w:type="dxa"/>
          </w:tcPr>
          <w:p>
            <w:pPr>
              <w:pStyle w:val="TableParagraph"/>
              <w:spacing w:line="266" w:lineRule="exact"/>
              <w:ind w:left="398"/>
              <w:rPr>
                <w:sz w:val="22"/>
              </w:rPr>
            </w:pPr>
            <w:r>
              <w:rPr>
                <w:sz w:val="22"/>
              </w:rPr>
              <w:t>保险责任</w:t>
            </w:r>
          </w:p>
        </w:tc>
        <w:tc>
          <w:tcPr>
            <w:tcW w:w="6203" w:type="dxa"/>
          </w:tcPr>
          <w:p>
            <w:pPr>
              <w:pStyle w:val="TableParagraph"/>
              <w:spacing w:line="273" w:lineRule="auto"/>
              <w:ind w:left="165" w:right="-15"/>
              <w:rPr>
                <w:sz w:val="21"/>
              </w:rPr>
            </w:pPr>
            <w:r>
              <w:rPr>
                <w:spacing w:val="-11"/>
                <w:sz w:val="21"/>
              </w:rPr>
              <w:t>在本合同有效期内，若被保险人于本合同生效日起 </w:t>
            </w:r>
            <w:r>
              <w:rPr>
                <w:sz w:val="21"/>
              </w:rPr>
              <w:t>60</w:t>
            </w:r>
            <w:r>
              <w:rPr>
                <w:spacing w:val="-10"/>
                <w:sz w:val="21"/>
              </w:rPr>
              <w:t> 日后初次发</w:t>
            </w:r>
            <w:r>
              <w:rPr>
                <w:spacing w:val="-7"/>
                <w:sz w:val="21"/>
              </w:rPr>
              <w:t>病并经医院确诊患本合同所定义的重大疾病</w:t>
            </w:r>
            <w:r>
              <w:rPr>
                <w:spacing w:val="-3"/>
                <w:sz w:val="21"/>
              </w:rPr>
              <w:t>（无论一种或多种</w:t>
            </w:r>
            <w:r>
              <w:rPr>
                <w:spacing w:val="-15"/>
                <w:sz w:val="21"/>
              </w:rPr>
              <w:t>）， </w:t>
            </w:r>
            <w:r>
              <w:rPr>
                <w:sz w:val="21"/>
              </w:rPr>
              <w:t>本公司按该被保险人的保险金额给付重大疾病保险金，本合同对该被保险人的保险责任终止。续保或因本合同有效期内发生的意</w:t>
            </w:r>
            <w:r>
              <w:rPr>
                <w:spacing w:val="-6"/>
                <w:sz w:val="21"/>
              </w:rPr>
              <w:t>外伤害导致重大疾病不受上述 </w:t>
            </w:r>
            <w:r>
              <w:rPr>
                <w:sz w:val="21"/>
              </w:rPr>
              <w:t>60</w:t>
            </w:r>
            <w:r>
              <w:rPr>
                <w:spacing w:val="-10"/>
                <w:sz w:val="21"/>
              </w:rPr>
              <w:t> 日的限制。</w:t>
            </w:r>
          </w:p>
          <w:p>
            <w:pPr>
              <w:pStyle w:val="TableParagraph"/>
              <w:spacing w:line="273" w:lineRule="auto" w:before="20"/>
              <w:ind w:left="165" w:right="149"/>
              <w:rPr>
                <w:sz w:val="21"/>
              </w:rPr>
            </w:pPr>
            <w:r>
              <w:rPr>
                <w:spacing w:val="-7"/>
                <w:sz w:val="21"/>
              </w:rPr>
              <w:t>若被保险人于本合同生效日起 </w:t>
            </w:r>
            <w:r>
              <w:rPr>
                <w:sz w:val="21"/>
              </w:rPr>
              <w:t>60</w:t>
            </w:r>
            <w:r>
              <w:rPr>
                <w:spacing w:val="-9"/>
                <w:sz w:val="21"/>
              </w:rPr>
              <w:t> 日内发病并经医院确诊患本合</w:t>
            </w:r>
            <w:r>
              <w:rPr>
                <w:spacing w:val="-5"/>
                <w:sz w:val="21"/>
              </w:rPr>
              <w:t>同所定义的重大疾病，本公司无息返还该被保险人对应的所交保</w:t>
            </w:r>
            <w:r>
              <w:rPr>
                <w:spacing w:val="-4"/>
                <w:sz w:val="21"/>
              </w:rPr>
              <w:t>险费，本合同对该被保险人的保险责任终止。</w:t>
            </w:r>
          </w:p>
        </w:tc>
      </w:tr>
      <w:tr>
        <w:trPr>
          <w:trHeight w:val="4165" w:hRule="atLeast"/>
        </w:trPr>
        <w:tc>
          <w:tcPr>
            <w:tcW w:w="1169" w:type="dxa"/>
          </w:tcPr>
          <w:p>
            <w:pPr>
              <w:pStyle w:val="TableParagraph"/>
              <w:spacing w:before="136"/>
              <w:rPr>
                <w:sz w:val="22"/>
              </w:rPr>
            </w:pPr>
            <w:r>
              <w:rPr>
                <w:sz w:val="22"/>
              </w:rPr>
              <w:t>第四条</w:t>
            </w:r>
          </w:p>
        </w:tc>
        <w:tc>
          <w:tcPr>
            <w:tcW w:w="1882" w:type="dxa"/>
          </w:tcPr>
          <w:p>
            <w:pPr>
              <w:pStyle w:val="TableParagraph"/>
              <w:spacing w:before="136"/>
              <w:ind w:left="398"/>
              <w:rPr>
                <w:sz w:val="22"/>
              </w:rPr>
            </w:pPr>
            <w:r>
              <w:rPr>
                <w:sz w:val="22"/>
              </w:rPr>
              <w:t>责任免除</w:t>
            </w:r>
          </w:p>
        </w:tc>
        <w:tc>
          <w:tcPr>
            <w:tcW w:w="6203" w:type="dxa"/>
          </w:tcPr>
          <w:p>
            <w:pPr>
              <w:pStyle w:val="TableParagraph"/>
              <w:spacing w:line="273" w:lineRule="auto" w:before="145"/>
              <w:ind w:left="165" w:right="104"/>
              <w:rPr>
                <w:sz w:val="21"/>
              </w:rPr>
            </w:pPr>
            <w:r>
              <w:rPr>
                <w:sz w:val="21"/>
              </w:rPr>
              <w:t>因下列情形之一被保险人患重大疾病、达到疾病状态或进行手术的，本公司不承担保险责任：</w:t>
            </w:r>
          </w:p>
          <w:p>
            <w:pPr>
              <w:pStyle w:val="TableParagraph"/>
              <w:spacing w:before="7"/>
              <w:ind w:left="165"/>
              <w:rPr>
                <w:sz w:val="21"/>
              </w:rPr>
            </w:pPr>
            <w:r>
              <w:rPr>
                <w:sz w:val="21"/>
              </w:rPr>
              <w:t>一、 投保人对被保险人的故意杀害、故意伤害；</w:t>
            </w:r>
          </w:p>
          <w:p>
            <w:pPr>
              <w:pStyle w:val="TableParagraph"/>
              <w:spacing w:line="273" w:lineRule="auto" w:before="37"/>
              <w:ind w:left="727" w:right="37" w:hanging="562"/>
              <w:rPr>
                <w:sz w:val="21"/>
              </w:rPr>
            </w:pPr>
            <w:r>
              <w:rPr>
                <w:sz w:val="21"/>
              </w:rPr>
              <w:t>二、 被保险人故意自伤、故意犯罪或者抗拒依法采取的刑事强制措施；</w:t>
            </w:r>
          </w:p>
          <w:p>
            <w:pPr>
              <w:pStyle w:val="TableParagraph"/>
              <w:spacing w:before="8"/>
              <w:ind w:left="165"/>
              <w:rPr>
                <w:sz w:val="21"/>
              </w:rPr>
            </w:pPr>
            <w:r>
              <w:rPr>
                <w:sz w:val="21"/>
              </w:rPr>
              <w:t>三、 被保险人主动吸食或注射毒品；</w:t>
            </w:r>
          </w:p>
          <w:p>
            <w:pPr>
              <w:pStyle w:val="TableParagraph"/>
              <w:spacing w:line="273" w:lineRule="auto" w:before="37"/>
              <w:ind w:left="727" w:right="38" w:hanging="562"/>
              <w:rPr>
                <w:sz w:val="21"/>
              </w:rPr>
            </w:pPr>
            <w:r>
              <w:rPr>
                <w:sz w:val="21"/>
              </w:rPr>
              <w:t>四、 被保险人酒后驾驶、无合法有效驾驶证驾驶，或驾驶无有效行驶证的机动车；</w:t>
            </w:r>
          </w:p>
          <w:p>
            <w:pPr>
              <w:pStyle w:val="TableParagraph"/>
              <w:spacing w:line="273" w:lineRule="auto" w:before="8"/>
              <w:ind w:left="727" w:right="38" w:hanging="562"/>
              <w:rPr>
                <w:sz w:val="21"/>
              </w:rPr>
            </w:pPr>
            <w:r>
              <w:rPr>
                <w:sz w:val="21"/>
              </w:rPr>
              <w:t>五、 战争、军事冲突、暴乱或武装叛乱；核爆炸、核辐射或核污染；</w:t>
            </w:r>
          </w:p>
          <w:p>
            <w:pPr>
              <w:pStyle w:val="TableParagraph"/>
              <w:spacing w:before="7"/>
              <w:ind w:left="165"/>
              <w:rPr>
                <w:sz w:val="21"/>
              </w:rPr>
            </w:pPr>
            <w:r>
              <w:rPr>
                <w:sz w:val="21"/>
              </w:rPr>
              <w:t>六、 先天性畸形、变形或染色体异常。</w:t>
            </w:r>
          </w:p>
          <w:p>
            <w:pPr>
              <w:pStyle w:val="TableParagraph"/>
              <w:spacing w:line="310" w:lineRule="atLeast" w:before="1"/>
              <w:ind w:left="165" w:right="149"/>
              <w:rPr>
                <w:sz w:val="21"/>
              </w:rPr>
            </w:pPr>
            <w:r>
              <w:rPr>
                <w:sz w:val="21"/>
              </w:rPr>
              <w:t>因上列情形之一被保险人患重大疾病、达到疾病状态或进行手术的，本公司对该被保险人的保险责任终止，本公司在扣除手续费</w:t>
            </w:r>
          </w:p>
        </w:tc>
      </w:tr>
    </w:tbl>
    <w:p>
      <w:pPr>
        <w:spacing w:after="0" w:line="310" w:lineRule="atLeast"/>
        <w:rPr>
          <w:sz w:val="21"/>
        </w:rPr>
        <w:sectPr>
          <w:pgSz w:w="11910" w:h="16840"/>
          <w:pgMar w:header="0" w:footer="919" w:top="1580" w:bottom="1100" w:left="1240" w:right="1180"/>
        </w:sectPr>
      </w:pPr>
    </w:p>
    <w:p>
      <w:pPr>
        <w:pStyle w:val="BodyText"/>
        <w:spacing w:before="0"/>
        <w:ind w:left="0"/>
        <w:rPr>
          <w:rFonts w:ascii="Times New Roman"/>
          <w:sz w:val="20"/>
        </w:rPr>
      </w:pPr>
    </w:p>
    <w:p>
      <w:pPr>
        <w:pStyle w:val="BodyText"/>
        <w:spacing w:before="1"/>
        <w:ind w:left="0"/>
        <w:rPr>
          <w:rFonts w:ascii="Times New Roman"/>
          <w:sz w:val="18"/>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9"/>
        <w:gridCol w:w="1774"/>
        <w:gridCol w:w="6201"/>
      </w:tblGrid>
      <w:tr>
        <w:trPr>
          <w:trHeight w:val="572" w:hRule="atLeast"/>
        </w:trPr>
        <w:tc>
          <w:tcPr>
            <w:tcW w:w="1279" w:type="dxa"/>
          </w:tcPr>
          <w:p>
            <w:pPr>
              <w:pStyle w:val="TableParagraph"/>
              <w:ind w:left="0"/>
              <w:rPr>
                <w:rFonts w:ascii="Times New Roman"/>
                <w:sz w:val="20"/>
              </w:rPr>
            </w:pPr>
          </w:p>
        </w:tc>
        <w:tc>
          <w:tcPr>
            <w:tcW w:w="1774" w:type="dxa"/>
          </w:tcPr>
          <w:p>
            <w:pPr>
              <w:pStyle w:val="TableParagraph"/>
              <w:ind w:left="0"/>
              <w:rPr>
                <w:rFonts w:ascii="Times New Roman"/>
                <w:sz w:val="20"/>
              </w:rPr>
            </w:pPr>
          </w:p>
        </w:tc>
        <w:tc>
          <w:tcPr>
            <w:tcW w:w="6201" w:type="dxa"/>
          </w:tcPr>
          <w:p>
            <w:pPr>
              <w:pStyle w:val="TableParagraph"/>
              <w:spacing w:line="211" w:lineRule="exact"/>
              <w:ind w:left="163"/>
              <w:rPr>
                <w:sz w:val="21"/>
              </w:rPr>
            </w:pPr>
            <w:r>
              <w:rPr>
                <w:sz w:val="21"/>
              </w:rPr>
              <w:t>后,退还该被保险人的未满期保险费。</w:t>
            </w:r>
          </w:p>
        </w:tc>
      </w:tr>
      <w:tr>
        <w:trPr>
          <w:trHeight w:val="311" w:hRule="atLeast"/>
        </w:trPr>
        <w:tc>
          <w:tcPr>
            <w:tcW w:w="1279" w:type="dxa"/>
            <w:shd w:val="clear" w:color="auto" w:fill="C5C5C5"/>
          </w:tcPr>
          <w:p>
            <w:pPr>
              <w:pStyle w:val="TableParagraph"/>
              <w:spacing w:line="266" w:lineRule="exact"/>
              <w:rPr>
                <w:b/>
                <w:sz w:val="22"/>
              </w:rPr>
            </w:pPr>
            <w:r>
              <w:rPr>
                <w:b/>
                <w:w w:val="95"/>
                <w:sz w:val="22"/>
              </w:rPr>
              <w:t>第三章</w:t>
            </w:r>
          </w:p>
        </w:tc>
        <w:tc>
          <w:tcPr>
            <w:tcW w:w="7975" w:type="dxa"/>
            <w:gridSpan w:val="2"/>
            <w:shd w:val="clear" w:color="auto" w:fill="C5C5C5"/>
          </w:tcPr>
          <w:p>
            <w:pPr>
              <w:pStyle w:val="TableParagraph"/>
              <w:spacing w:line="266" w:lineRule="exact"/>
              <w:ind w:left="288"/>
              <w:rPr>
                <w:b/>
                <w:sz w:val="22"/>
              </w:rPr>
            </w:pPr>
            <w:r>
              <w:rPr>
                <w:b/>
                <w:w w:val="95"/>
                <w:sz w:val="22"/>
              </w:rPr>
              <w:t>保险合同成立与生效、保险金额与保险费</w:t>
            </w:r>
          </w:p>
        </w:tc>
      </w:tr>
      <w:tr>
        <w:trPr>
          <w:trHeight w:val="2025" w:hRule="atLeast"/>
        </w:trPr>
        <w:tc>
          <w:tcPr>
            <w:tcW w:w="1279" w:type="dxa"/>
          </w:tcPr>
          <w:p>
            <w:pPr>
              <w:pStyle w:val="TableParagraph"/>
              <w:spacing w:line="266" w:lineRule="exact"/>
              <w:rPr>
                <w:sz w:val="22"/>
              </w:rPr>
            </w:pPr>
            <w:r>
              <w:rPr>
                <w:sz w:val="22"/>
              </w:rPr>
              <w:t>第五条</w:t>
            </w:r>
          </w:p>
        </w:tc>
        <w:tc>
          <w:tcPr>
            <w:tcW w:w="1774" w:type="dxa"/>
          </w:tcPr>
          <w:p>
            <w:pPr>
              <w:pStyle w:val="TableParagraph"/>
              <w:spacing w:line="266" w:lineRule="exact"/>
              <w:ind w:left="288"/>
              <w:rPr>
                <w:sz w:val="22"/>
              </w:rPr>
            </w:pPr>
            <w:r>
              <w:rPr>
                <w:sz w:val="22"/>
              </w:rPr>
              <w:t>保险合同成立</w:t>
            </w:r>
          </w:p>
          <w:p>
            <w:pPr>
              <w:pStyle w:val="TableParagraph"/>
              <w:spacing w:before="24"/>
              <w:ind w:left="288"/>
              <w:rPr>
                <w:sz w:val="22"/>
              </w:rPr>
            </w:pPr>
            <w:r>
              <w:rPr>
                <w:sz w:val="22"/>
              </w:rPr>
              <w:t>与生效</w:t>
            </w:r>
          </w:p>
        </w:tc>
        <w:tc>
          <w:tcPr>
            <w:tcW w:w="6201" w:type="dxa"/>
          </w:tcPr>
          <w:p>
            <w:pPr>
              <w:pStyle w:val="TableParagraph"/>
              <w:spacing w:line="273" w:lineRule="auto"/>
              <w:ind w:left="163" w:right="152"/>
              <w:rPr>
                <w:sz w:val="21"/>
              </w:rPr>
            </w:pPr>
            <w:r>
              <w:rPr>
                <w:sz w:val="21"/>
              </w:rPr>
              <w:t>投保人提出保险申请、本公司与投保人就承保条件达成一致，本合同成立，合同成立日期载明于保险单上。</w:t>
            </w:r>
          </w:p>
          <w:p>
            <w:pPr>
              <w:pStyle w:val="TableParagraph"/>
              <w:spacing w:line="273" w:lineRule="auto" w:before="20"/>
              <w:ind w:left="163" w:right="149"/>
              <w:rPr>
                <w:sz w:val="21"/>
              </w:rPr>
            </w:pPr>
            <w:r>
              <w:rPr>
                <w:sz w:val="21"/>
              </w:rPr>
              <w:t>除另有约定外，若本合同成立且投保人已交付保险费，本合同自生效日零时开始生效。本合同的生效日载明于保险单上。</w:t>
            </w:r>
          </w:p>
          <w:p>
            <w:pPr>
              <w:pStyle w:val="TableParagraph"/>
              <w:spacing w:line="273" w:lineRule="auto" w:before="7"/>
              <w:ind w:left="163" w:right="149"/>
              <w:rPr>
                <w:sz w:val="21"/>
              </w:rPr>
            </w:pPr>
            <w:r>
              <w:rPr>
                <w:sz w:val="21"/>
              </w:rPr>
              <w:t>除另有约定外，本公司对每一位被保险人自本合同生效时开始承担保险责任。</w:t>
            </w:r>
          </w:p>
        </w:tc>
      </w:tr>
      <w:tr>
        <w:trPr>
          <w:trHeight w:val="936" w:hRule="atLeast"/>
        </w:trPr>
        <w:tc>
          <w:tcPr>
            <w:tcW w:w="1279" w:type="dxa"/>
          </w:tcPr>
          <w:p>
            <w:pPr>
              <w:pStyle w:val="TableParagraph"/>
              <w:spacing w:before="136"/>
              <w:rPr>
                <w:sz w:val="22"/>
              </w:rPr>
            </w:pPr>
            <w:r>
              <w:rPr>
                <w:sz w:val="22"/>
              </w:rPr>
              <w:t>第六条</w:t>
            </w:r>
          </w:p>
        </w:tc>
        <w:tc>
          <w:tcPr>
            <w:tcW w:w="1774" w:type="dxa"/>
          </w:tcPr>
          <w:p>
            <w:pPr>
              <w:pStyle w:val="TableParagraph"/>
              <w:spacing w:before="136"/>
              <w:ind w:left="288"/>
              <w:rPr>
                <w:sz w:val="22"/>
              </w:rPr>
            </w:pPr>
            <w:r>
              <w:rPr>
                <w:sz w:val="22"/>
              </w:rPr>
              <w:t>保险期间</w:t>
            </w:r>
          </w:p>
        </w:tc>
        <w:tc>
          <w:tcPr>
            <w:tcW w:w="6201" w:type="dxa"/>
          </w:tcPr>
          <w:p>
            <w:pPr>
              <w:pStyle w:val="TableParagraph"/>
              <w:spacing w:line="273" w:lineRule="auto" w:before="145"/>
              <w:ind w:left="163" w:right="-15"/>
              <w:rPr>
                <w:sz w:val="21"/>
              </w:rPr>
            </w:pPr>
            <w:r>
              <w:rPr>
                <w:spacing w:val="-9"/>
                <w:sz w:val="21"/>
              </w:rPr>
              <w:t>除另有约定外，本合同的保险期间为一年，自本合同生效时起算。</w:t>
            </w:r>
            <w:r>
              <w:rPr>
                <w:spacing w:val="-5"/>
                <w:sz w:val="21"/>
              </w:rPr>
              <w:t>保险期间届满，本合同终止。</w:t>
            </w:r>
          </w:p>
        </w:tc>
      </w:tr>
      <w:tr>
        <w:trPr>
          <w:trHeight w:val="936" w:hRule="atLeast"/>
        </w:trPr>
        <w:tc>
          <w:tcPr>
            <w:tcW w:w="1279" w:type="dxa"/>
          </w:tcPr>
          <w:p>
            <w:pPr>
              <w:pStyle w:val="TableParagraph"/>
              <w:spacing w:before="136"/>
              <w:rPr>
                <w:sz w:val="22"/>
              </w:rPr>
            </w:pPr>
            <w:r>
              <w:rPr>
                <w:sz w:val="22"/>
              </w:rPr>
              <w:t>第七条</w:t>
            </w:r>
          </w:p>
        </w:tc>
        <w:tc>
          <w:tcPr>
            <w:tcW w:w="1774" w:type="dxa"/>
          </w:tcPr>
          <w:p>
            <w:pPr>
              <w:pStyle w:val="TableParagraph"/>
              <w:spacing w:before="136"/>
              <w:ind w:left="288"/>
              <w:rPr>
                <w:sz w:val="22"/>
              </w:rPr>
            </w:pPr>
            <w:r>
              <w:rPr>
                <w:sz w:val="22"/>
              </w:rPr>
              <w:t>保险金额</w:t>
            </w:r>
          </w:p>
        </w:tc>
        <w:tc>
          <w:tcPr>
            <w:tcW w:w="6201" w:type="dxa"/>
          </w:tcPr>
          <w:p>
            <w:pPr>
              <w:pStyle w:val="TableParagraph"/>
              <w:spacing w:line="273" w:lineRule="auto" w:before="146"/>
              <w:ind w:left="163" w:right="149"/>
              <w:rPr>
                <w:sz w:val="21"/>
              </w:rPr>
            </w:pPr>
            <w:r>
              <w:rPr>
                <w:sz w:val="21"/>
              </w:rPr>
              <w:t>保险金额由投保人、本公司双方约定，并在保险单或其他保险凭证中载明。</w:t>
            </w:r>
          </w:p>
        </w:tc>
      </w:tr>
      <w:tr>
        <w:trPr>
          <w:trHeight w:val="1094" w:hRule="atLeast"/>
        </w:trPr>
        <w:tc>
          <w:tcPr>
            <w:tcW w:w="1279" w:type="dxa"/>
          </w:tcPr>
          <w:p>
            <w:pPr>
              <w:pStyle w:val="TableParagraph"/>
              <w:spacing w:before="136"/>
              <w:rPr>
                <w:sz w:val="22"/>
              </w:rPr>
            </w:pPr>
            <w:r>
              <w:rPr>
                <w:sz w:val="22"/>
              </w:rPr>
              <w:t>第八条</w:t>
            </w:r>
          </w:p>
        </w:tc>
        <w:tc>
          <w:tcPr>
            <w:tcW w:w="1774" w:type="dxa"/>
          </w:tcPr>
          <w:p>
            <w:pPr>
              <w:pStyle w:val="TableParagraph"/>
              <w:spacing w:before="136"/>
              <w:ind w:left="288"/>
              <w:rPr>
                <w:sz w:val="22"/>
              </w:rPr>
            </w:pPr>
            <w:r>
              <w:rPr>
                <w:sz w:val="22"/>
              </w:rPr>
              <w:t>保险费</w:t>
            </w:r>
          </w:p>
        </w:tc>
        <w:tc>
          <w:tcPr>
            <w:tcW w:w="6201" w:type="dxa"/>
          </w:tcPr>
          <w:p>
            <w:pPr>
              <w:pStyle w:val="TableParagraph"/>
              <w:spacing w:line="273" w:lineRule="auto" w:before="145"/>
              <w:ind w:left="163" w:right="149"/>
              <w:rPr>
                <w:sz w:val="21"/>
              </w:rPr>
            </w:pPr>
            <w:r>
              <w:rPr>
                <w:sz w:val="21"/>
              </w:rPr>
              <w:t>本合同的保险费由投保人在投保时一次交清。保险期间不满一年的，本公司按照本合同所附极短期费率表收取保险费。</w:t>
            </w:r>
          </w:p>
        </w:tc>
      </w:tr>
      <w:tr>
        <w:trPr>
          <w:trHeight w:val="312" w:hRule="atLeast"/>
        </w:trPr>
        <w:tc>
          <w:tcPr>
            <w:tcW w:w="1279" w:type="dxa"/>
            <w:shd w:val="clear" w:color="auto" w:fill="C5C5C5"/>
          </w:tcPr>
          <w:p>
            <w:pPr>
              <w:pStyle w:val="TableParagraph"/>
              <w:spacing w:line="266" w:lineRule="exact"/>
              <w:rPr>
                <w:b/>
                <w:sz w:val="22"/>
              </w:rPr>
            </w:pPr>
            <w:r>
              <w:rPr>
                <w:b/>
                <w:w w:val="95"/>
                <w:sz w:val="22"/>
              </w:rPr>
              <w:t>第四章</w:t>
            </w:r>
          </w:p>
        </w:tc>
        <w:tc>
          <w:tcPr>
            <w:tcW w:w="1774" w:type="dxa"/>
            <w:shd w:val="clear" w:color="auto" w:fill="C5C5C5"/>
          </w:tcPr>
          <w:p>
            <w:pPr>
              <w:pStyle w:val="TableParagraph"/>
              <w:spacing w:line="266" w:lineRule="exact"/>
              <w:ind w:left="288"/>
              <w:rPr>
                <w:b/>
                <w:sz w:val="22"/>
              </w:rPr>
            </w:pPr>
            <w:r>
              <w:rPr>
                <w:b/>
                <w:w w:val="95"/>
                <w:sz w:val="22"/>
              </w:rPr>
              <w:t>保险金申请</w:t>
            </w:r>
          </w:p>
        </w:tc>
        <w:tc>
          <w:tcPr>
            <w:tcW w:w="6201" w:type="dxa"/>
            <w:shd w:val="clear" w:color="auto" w:fill="C5C5C5"/>
          </w:tcPr>
          <w:p>
            <w:pPr>
              <w:pStyle w:val="TableParagraph"/>
              <w:ind w:left="0"/>
              <w:rPr>
                <w:rFonts w:ascii="Times New Roman"/>
                <w:sz w:val="20"/>
              </w:rPr>
            </w:pPr>
          </w:p>
        </w:tc>
      </w:tr>
      <w:tr>
        <w:trPr>
          <w:trHeight w:val="2026" w:hRule="atLeast"/>
        </w:trPr>
        <w:tc>
          <w:tcPr>
            <w:tcW w:w="1279" w:type="dxa"/>
          </w:tcPr>
          <w:p>
            <w:pPr>
              <w:pStyle w:val="TableParagraph"/>
              <w:spacing w:line="266" w:lineRule="exact"/>
              <w:rPr>
                <w:sz w:val="22"/>
              </w:rPr>
            </w:pPr>
            <w:r>
              <w:rPr>
                <w:sz w:val="22"/>
              </w:rPr>
              <w:t>第九条</w:t>
            </w:r>
          </w:p>
        </w:tc>
        <w:tc>
          <w:tcPr>
            <w:tcW w:w="1774" w:type="dxa"/>
          </w:tcPr>
          <w:p>
            <w:pPr>
              <w:pStyle w:val="TableParagraph"/>
              <w:spacing w:line="266" w:lineRule="exact"/>
              <w:ind w:left="288"/>
              <w:rPr>
                <w:sz w:val="22"/>
              </w:rPr>
            </w:pPr>
            <w:r>
              <w:rPr>
                <w:sz w:val="22"/>
              </w:rPr>
              <w:t>保险事故通知</w:t>
            </w:r>
          </w:p>
        </w:tc>
        <w:tc>
          <w:tcPr>
            <w:tcW w:w="6201" w:type="dxa"/>
          </w:tcPr>
          <w:p>
            <w:pPr>
              <w:pStyle w:val="TableParagraph"/>
              <w:spacing w:line="262" w:lineRule="exact"/>
              <w:ind w:left="163"/>
              <w:rPr>
                <w:sz w:val="21"/>
              </w:rPr>
            </w:pPr>
            <w:r>
              <w:rPr>
                <w:sz w:val="21"/>
              </w:rPr>
              <w:t>投保人或受益人知道保险事故后应当在 10 日内通知本公司。</w:t>
            </w:r>
          </w:p>
          <w:p>
            <w:pPr>
              <w:pStyle w:val="TableParagraph"/>
              <w:spacing w:line="273" w:lineRule="auto" w:before="37"/>
              <w:ind w:left="163" w:right="103"/>
              <w:jc w:val="both"/>
              <w:rPr>
                <w:sz w:val="21"/>
              </w:rPr>
            </w:pPr>
            <w:r>
              <w:rPr>
                <w:sz w:val="21"/>
              </w:rPr>
              <w:t>如果投保人和受益人故意或者因重大过失未及时通知，致使保险事故的性质、原因、损失程度等难以确定的，本公司对无法确定的部分，不承担给付保险金的责任，但本公司通过其他途径已经及时知道或者应当及时知道保险事故发生或者虽未及时通知但不影响本公司确定保险事故的性质、原因、损失程度的除外。</w:t>
            </w:r>
          </w:p>
        </w:tc>
      </w:tr>
      <w:tr>
        <w:trPr>
          <w:trHeight w:val="935" w:hRule="atLeast"/>
        </w:trPr>
        <w:tc>
          <w:tcPr>
            <w:tcW w:w="1279" w:type="dxa"/>
          </w:tcPr>
          <w:p>
            <w:pPr>
              <w:pStyle w:val="TableParagraph"/>
              <w:spacing w:before="136"/>
              <w:rPr>
                <w:sz w:val="22"/>
              </w:rPr>
            </w:pPr>
            <w:r>
              <w:rPr>
                <w:sz w:val="22"/>
              </w:rPr>
              <w:t>第十条</w:t>
            </w:r>
          </w:p>
        </w:tc>
        <w:tc>
          <w:tcPr>
            <w:tcW w:w="1774" w:type="dxa"/>
          </w:tcPr>
          <w:p>
            <w:pPr>
              <w:pStyle w:val="TableParagraph"/>
              <w:spacing w:before="136"/>
              <w:ind w:left="288"/>
              <w:rPr>
                <w:sz w:val="22"/>
              </w:rPr>
            </w:pPr>
            <w:r>
              <w:rPr>
                <w:sz w:val="22"/>
              </w:rPr>
              <w:t>诉讼时效</w:t>
            </w:r>
          </w:p>
        </w:tc>
        <w:tc>
          <w:tcPr>
            <w:tcW w:w="6201" w:type="dxa"/>
          </w:tcPr>
          <w:p>
            <w:pPr>
              <w:pStyle w:val="TableParagraph"/>
              <w:spacing w:line="273" w:lineRule="auto" w:before="145"/>
              <w:ind w:left="163" w:right="139"/>
              <w:rPr>
                <w:sz w:val="21"/>
              </w:rPr>
            </w:pPr>
            <w:r>
              <w:rPr>
                <w:sz w:val="21"/>
              </w:rPr>
              <w:t>被保险人或受益人向本公司请求给付保险金的诉讼时效期间为 2 年,自其知道或者应当知道保险事故发生之日起计算。</w:t>
            </w:r>
          </w:p>
        </w:tc>
      </w:tr>
      <w:tr>
        <w:trPr>
          <w:trHeight w:val="3229" w:hRule="atLeast"/>
        </w:trPr>
        <w:tc>
          <w:tcPr>
            <w:tcW w:w="1279" w:type="dxa"/>
          </w:tcPr>
          <w:p>
            <w:pPr>
              <w:pStyle w:val="TableParagraph"/>
              <w:spacing w:before="136"/>
              <w:rPr>
                <w:sz w:val="22"/>
              </w:rPr>
            </w:pPr>
            <w:r>
              <w:rPr>
                <w:sz w:val="22"/>
              </w:rPr>
              <w:t>第十一条</w:t>
            </w:r>
          </w:p>
        </w:tc>
        <w:tc>
          <w:tcPr>
            <w:tcW w:w="1774" w:type="dxa"/>
          </w:tcPr>
          <w:p>
            <w:pPr>
              <w:pStyle w:val="TableParagraph"/>
              <w:spacing w:before="136"/>
              <w:ind w:left="288"/>
              <w:rPr>
                <w:sz w:val="22"/>
              </w:rPr>
            </w:pPr>
            <w:r>
              <w:rPr>
                <w:sz w:val="22"/>
              </w:rPr>
              <w:t>保险金申请</w:t>
            </w:r>
          </w:p>
        </w:tc>
        <w:tc>
          <w:tcPr>
            <w:tcW w:w="6201" w:type="dxa"/>
          </w:tcPr>
          <w:p>
            <w:pPr>
              <w:pStyle w:val="TableParagraph"/>
              <w:spacing w:line="273" w:lineRule="auto" w:before="145"/>
              <w:ind w:left="163" w:right="149"/>
              <w:rPr>
                <w:sz w:val="21"/>
              </w:rPr>
            </w:pPr>
            <w:r>
              <w:rPr>
                <w:sz w:val="21"/>
              </w:rPr>
              <w:t>在申请重大疾病保险金时，重大疾病保险金受益人须填写保险金给付申请书，并提供下列证明和资料：</w:t>
            </w:r>
          </w:p>
          <w:p>
            <w:pPr>
              <w:pStyle w:val="TableParagraph"/>
              <w:spacing w:before="7"/>
              <w:ind w:left="163"/>
              <w:rPr>
                <w:sz w:val="21"/>
              </w:rPr>
            </w:pPr>
            <w:r>
              <w:rPr>
                <w:sz w:val="21"/>
              </w:rPr>
              <w:t>一、保险单及其他保险凭证；</w:t>
            </w:r>
          </w:p>
          <w:p>
            <w:pPr>
              <w:pStyle w:val="TableParagraph"/>
              <w:spacing w:before="37"/>
              <w:ind w:left="163"/>
              <w:rPr>
                <w:sz w:val="21"/>
              </w:rPr>
            </w:pPr>
            <w:r>
              <w:rPr>
                <w:sz w:val="21"/>
              </w:rPr>
              <w:t>二、重大疾病保险金受益人的有效身份证件；</w:t>
            </w:r>
          </w:p>
          <w:p>
            <w:pPr>
              <w:pStyle w:val="TableParagraph"/>
              <w:spacing w:line="273" w:lineRule="auto" w:before="37"/>
              <w:ind w:left="607" w:right="125" w:hanging="444"/>
              <w:rPr>
                <w:sz w:val="21"/>
              </w:rPr>
            </w:pPr>
            <w:r>
              <w:rPr>
                <w:sz w:val="21"/>
              </w:rPr>
              <w:t>三、医院出具的被保险人病历资料，诊断证明，病理、血液及其他科学检验方法的检验报告；</w:t>
            </w:r>
          </w:p>
          <w:p>
            <w:pPr>
              <w:pStyle w:val="TableParagraph"/>
              <w:spacing w:line="273" w:lineRule="auto" w:before="8"/>
              <w:ind w:left="607" w:right="125" w:hanging="444"/>
              <w:rPr>
                <w:sz w:val="21"/>
              </w:rPr>
            </w:pPr>
            <w:r>
              <w:rPr>
                <w:sz w:val="21"/>
              </w:rPr>
              <w:t>四、重大疾病保险金受益人所能提供的与确认保险事故的时间、性质、原因、损失程度等相关的其他证明和资料。</w:t>
            </w:r>
          </w:p>
          <w:p>
            <w:pPr>
              <w:pStyle w:val="TableParagraph"/>
              <w:spacing w:line="312" w:lineRule="exact" w:before="3"/>
              <w:ind w:left="163" w:right="149"/>
              <w:rPr>
                <w:sz w:val="21"/>
              </w:rPr>
            </w:pPr>
            <w:r>
              <w:rPr>
                <w:sz w:val="21"/>
              </w:rPr>
              <w:t>以上证明和资料不完整的，本公司将及时一次性通知申请人补充提供有关证明和资料。</w:t>
            </w:r>
          </w:p>
        </w:tc>
      </w:tr>
    </w:tbl>
    <w:p>
      <w:pPr>
        <w:spacing w:after="0" w:line="312" w:lineRule="exact"/>
        <w:rPr>
          <w:sz w:val="21"/>
        </w:rPr>
        <w:sectPr>
          <w:pgSz w:w="11910" w:h="16840"/>
          <w:pgMar w:header="0" w:footer="919" w:top="1580" w:bottom="1100" w:left="1240" w:right="1180"/>
        </w:sectPr>
      </w:pPr>
    </w:p>
    <w:p>
      <w:pPr>
        <w:pStyle w:val="BodyText"/>
        <w:spacing w:before="0"/>
        <w:ind w:left="0"/>
        <w:rPr>
          <w:rFonts w:ascii="Times New Roman"/>
          <w:sz w:val="20"/>
        </w:rPr>
      </w:pPr>
    </w:p>
    <w:p>
      <w:pPr>
        <w:pStyle w:val="BodyText"/>
        <w:spacing w:before="6"/>
        <w:ind w:left="0"/>
        <w:rPr>
          <w:rFonts w:ascii="Times New Roman"/>
          <w:sz w:val="17"/>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9"/>
        <w:gridCol w:w="1774"/>
        <w:gridCol w:w="6201"/>
      </w:tblGrid>
      <w:tr>
        <w:trPr>
          <w:trHeight w:val="4011" w:hRule="atLeast"/>
        </w:trPr>
        <w:tc>
          <w:tcPr>
            <w:tcW w:w="1279" w:type="dxa"/>
          </w:tcPr>
          <w:p>
            <w:pPr>
              <w:pStyle w:val="TableParagraph"/>
              <w:spacing w:line="221" w:lineRule="exact"/>
              <w:rPr>
                <w:sz w:val="22"/>
              </w:rPr>
            </w:pPr>
            <w:r>
              <w:rPr>
                <w:sz w:val="22"/>
              </w:rPr>
              <w:t>第十二条</w:t>
            </w:r>
          </w:p>
        </w:tc>
        <w:tc>
          <w:tcPr>
            <w:tcW w:w="1774" w:type="dxa"/>
          </w:tcPr>
          <w:p>
            <w:pPr>
              <w:pStyle w:val="TableParagraph"/>
              <w:spacing w:line="221" w:lineRule="exact"/>
              <w:ind w:left="288"/>
              <w:rPr>
                <w:sz w:val="22"/>
              </w:rPr>
            </w:pPr>
            <w:r>
              <w:rPr>
                <w:sz w:val="22"/>
              </w:rPr>
              <w:t>保险金给付</w:t>
            </w:r>
          </w:p>
        </w:tc>
        <w:tc>
          <w:tcPr>
            <w:tcW w:w="6201" w:type="dxa"/>
          </w:tcPr>
          <w:p>
            <w:pPr>
              <w:pStyle w:val="TableParagraph"/>
              <w:spacing w:line="217" w:lineRule="exact"/>
              <w:ind w:left="163"/>
              <w:jc w:val="both"/>
              <w:rPr>
                <w:sz w:val="21"/>
              </w:rPr>
            </w:pPr>
            <w:r>
              <w:rPr>
                <w:sz w:val="21"/>
              </w:rPr>
              <w:t>本公司在收到保险金给付申请书及合同约定的证明和资料后，将</w:t>
            </w:r>
          </w:p>
          <w:p>
            <w:pPr>
              <w:pStyle w:val="TableParagraph"/>
              <w:spacing w:before="37"/>
              <w:ind w:left="163"/>
              <w:jc w:val="both"/>
              <w:rPr>
                <w:sz w:val="21"/>
              </w:rPr>
            </w:pPr>
            <w:r>
              <w:rPr>
                <w:sz w:val="21"/>
              </w:rPr>
              <w:t>及时作出核定；情形复杂的，在 30 日内作出核定。</w:t>
            </w:r>
          </w:p>
          <w:p>
            <w:pPr>
              <w:pStyle w:val="TableParagraph"/>
              <w:spacing w:before="37"/>
              <w:ind w:left="163"/>
              <w:jc w:val="both"/>
              <w:rPr>
                <w:sz w:val="21"/>
              </w:rPr>
            </w:pPr>
            <w:r>
              <w:rPr>
                <w:sz w:val="21"/>
              </w:rPr>
              <w:t>对属于保险责任的，本公司在与受益人达成给付保险金的协议后</w:t>
            </w:r>
          </w:p>
          <w:p>
            <w:pPr>
              <w:pStyle w:val="TableParagraph"/>
              <w:spacing w:before="37"/>
              <w:ind w:left="163"/>
              <w:jc w:val="both"/>
              <w:rPr>
                <w:sz w:val="21"/>
              </w:rPr>
            </w:pPr>
            <w:r>
              <w:rPr>
                <w:sz w:val="21"/>
              </w:rPr>
              <w:t>10 日内，履行给付保险金义务。</w:t>
            </w:r>
          </w:p>
          <w:p>
            <w:pPr>
              <w:pStyle w:val="TableParagraph"/>
              <w:spacing w:line="273" w:lineRule="auto" w:before="37"/>
              <w:ind w:left="163" w:right="149"/>
              <w:jc w:val="both"/>
              <w:rPr>
                <w:sz w:val="21"/>
              </w:rPr>
            </w:pPr>
            <w:r>
              <w:rPr>
                <w:sz w:val="21"/>
              </w:rPr>
              <w:t>本公司未及时履行前款规定义务的，除支付保险金外，应当赔偿受益人因此受到的损失。</w:t>
            </w:r>
          </w:p>
          <w:p>
            <w:pPr>
              <w:pStyle w:val="TableParagraph"/>
              <w:spacing w:line="273" w:lineRule="auto" w:before="7"/>
              <w:ind w:left="163" w:right="150"/>
              <w:jc w:val="both"/>
              <w:rPr>
                <w:sz w:val="21"/>
              </w:rPr>
            </w:pPr>
            <w:r>
              <w:rPr>
                <w:spacing w:val="-5"/>
                <w:sz w:val="21"/>
              </w:rPr>
              <w:t>对不属于保险责任的，本公司自作出核定之日起 </w:t>
            </w:r>
            <w:r>
              <w:rPr>
                <w:sz w:val="21"/>
              </w:rPr>
              <w:t>3</w:t>
            </w:r>
            <w:r>
              <w:rPr>
                <w:spacing w:val="-8"/>
                <w:sz w:val="21"/>
              </w:rPr>
              <w:t> 日内向受益人</w:t>
            </w:r>
            <w:r>
              <w:rPr>
                <w:spacing w:val="-5"/>
                <w:sz w:val="21"/>
              </w:rPr>
              <w:t>发出拒绝给付保险金通知书并说明理由。</w:t>
            </w:r>
          </w:p>
          <w:p>
            <w:pPr>
              <w:pStyle w:val="TableParagraph"/>
              <w:spacing w:line="273" w:lineRule="auto" w:before="7"/>
              <w:ind w:left="163" w:right="102"/>
              <w:jc w:val="both"/>
              <w:rPr>
                <w:sz w:val="21"/>
              </w:rPr>
            </w:pPr>
            <w:r>
              <w:rPr>
                <w:spacing w:val="-6"/>
                <w:sz w:val="21"/>
              </w:rPr>
              <w:t>本公司自收到有关证明和资料之日起 </w:t>
            </w:r>
            <w:r>
              <w:rPr>
                <w:sz w:val="21"/>
              </w:rPr>
              <w:t>60</w:t>
            </w:r>
            <w:r>
              <w:rPr>
                <w:spacing w:val="-11"/>
                <w:sz w:val="21"/>
              </w:rPr>
              <w:t> 日内，对属于保险责任而</w:t>
            </w:r>
            <w:r>
              <w:rPr>
                <w:spacing w:val="-6"/>
                <w:sz w:val="21"/>
              </w:rPr>
              <w:t>给付保险金的数额不能确定的，根据已有证明和资料可以确定的</w:t>
            </w:r>
            <w:r>
              <w:rPr>
                <w:spacing w:val="-4"/>
                <w:sz w:val="21"/>
              </w:rPr>
              <w:t>数额先予支付，本公司最终确定给付保险金的数额后，将支付相</w:t>
            </w:r>
            <w:r>
              <w:rPr>
                <w:spacing w:val="-3"/>
                <w:sz w:val="21"/>
              </w:rPr>
              <w:t>应的差额。</w:t>
            </w:r>
          </w:p>
        </w:tc>
      </w:tr>
      <w:tr>
        <w:trPr>
          <w:trHeight w:val="311" w:hRule="atLeast"/>
        </w:trPr>
        <w:tc>
          <w:tcPr>
            <w:tcW w:w="1279" w:type="dxa"/>
            <w:shd w:val="clear" w:color="auto" w:fill="C5C5C5"/>
          </w:tcPr>
          <w:p>
            <w:pPr>
              <w:pStyle w:val="TableParagraph"/>
              <w:spacing w:line="266" w:lineRule="exact"/>
              <w:rPr>
                <w:b/>
                <w:sz w:val="22"/>
              </w:rPr>
            </w:pPr>
            <w:r>
              <w:rPr>
                <w:b/>
                <w:w w:val="95"/>
                <w:sz w:val="22"/>
              </w:rPr>
              <w:t>第五章</w:t>
            </w:r>
          </w:p>
        </w:tc>
        <w:tc>
          <w:tcPr>
            <w:tcW w:w="1774" w:type="dxa"/>
            <w:shd w:val="clear" w:color="auto" w:fill="C5C5C5"/>
          </w:tcPr>
          <w:p>
            <w:pPr>
              <w:pStyle w:val="TableParagraph"/>
              <w:spacing w:line="266" w:lineRule="exact"/>
              <w:ind w:left="288"/>
              <w:rPr>
                <w:b/>
                <w:sz w:val="22"/>
              </w:rPr>
            </w:pPr>
            <w:r>
              <w:rPr>
                <w:b/>
                <w:w w:val="95"/>
                <w:sz w:val="22"/>
              </w:rPr>
              <w:t>合同变更事项</w:t>
            </w:r>
          </w:p>
        </w:tc>
        <w:tc>
          <w:tcPr>
            <w:tcW w:w="6201" w:type="dxa"/>
            <w:shd w:val="clear" w:color="auto" w:fill="C5C5C5"/>
          </w:tcPr>
          <w:p>
            <w:pPr>
              <w:pStyle w:val="TableParagraph"/>
              <w:ind w:left="0"/>
              <w:rPr>
                <w:rFonts w:ascii="Times New Roman"/>
                <w:sz w:val="20"/>
              </w:rPr>
            </w:pPr>
          </w:p>
        </w:tc>
      </w:tr>
      <w:tr>
        <w:trPr>
          <w:trHeight w:val="5146" w:hRule="atLeast"/>
        </w:trPr>
        <w:tc>
          <w:tcPr>
            <w:tcW w:w="1279" w:type="dxa"/>
          </w:tcPr>
          <w:p>
            <w:pPr>
              <w:pStyle w:val="TableParagraph"/>
              <w:spacing w:line="266" w:lineRule="exact"/>
              <w:rPr>
                <w:sz w:val="22"/>
              </w:rPr>
            </w:pPr>
            <w:r>
              <w:rPr>
                <w:sz w:val="22"/>
              </w:rPr>
              <w:t>第十三条</w:t>
            </w:r>
          </w:p>
        </w:tc>
        <w:tc>
          <w:tcPr>
            <w:tcW w:w="1774" w:type="dxa"/>
          </w:tcPr>
          <w:p>
            <w:pPr>
              <w:pStyle w:val="TableParagraph"/>
              <w:spacing w:line="266" w:lineRule="exact"/>
              <w:ind w:left="288"/>
              <w:rPr>
                <w:sz w:val="22"/>
              </w:rPr>
            </w:pPr>
            <w:r>
              <w:rPr>
                <w:sz w:val="22"/>
              </w:rPr>
              <w:t>被保险人变动</w:t>
            </w:r>
          </w:p>
        </w:tc>
        <w:tc>
          <w:tcPr>
            <w:tcW w:w="6201" w:type="dxa"/>
          </w:tcPr>
          <w:p>
            <w:pPr>
              <w:pStyle w:val="TableParagraph"/>
              <w:spacing w:line="273" w:lineRule="auto"/>
              <w:ind w:left="648" w:right="101" w:hanging="435"/>
              <w:rPr>
                <w:sz w:val="21"/>
              </w:rPr>
            </w:pPr>
            <w:r>
              <w:rPr>
                <w:spacing w:val="-3"/>
                <w:sz w:val="21"/>
              </w:rPr>
              <w:t>一、投保人因人员变动需要增加被保险人的，应书面通知本公 </w:t>
            </w:r>
            <w:r>
              <w:rPr>
                <w:spacing w:val="-5"/>
                <w:sz w:val="21"/>
              </w:rPr>
              <w:t>司，本公司审核同意并收取相应保险费后，签发相应批单作</w:t>
            </w:r>
            <w:r>
              <w:rPr>
                <w:spacing w:val="-7"/>
                <w:sz w:val="21"/>
              </w:rPr>
              <w:t>为本合同附件，并自批单所载明的生效日零时开始对增加的被保险人承担保险责任。新增被保险人保险责任的终止时间</w:t>
            </w:r>
            <w:r>
              <w:rPr>
                <w:spacing w:val="-5"/>
                <w:sz w:val="21"/>
              </w:rPr>
              <w:t>和首批参保人员的终止时间相一致。 除另有约定外,极短期</w:t>
            </w:r>
            <w:r>
              <w:rPr>
                <w:spacing w:val="-3"/>
                <w:sz w:val="21"/>
              </w:rPr>
              <w:t>保险费 = 年交保险费 × 极短期收费比例。</w:t>
            </w:r>
          </w:p>
          <w:p>
            <w:pPr>
              <w:pStyle w:val="TableParagraph"/>
              <w:spacing w:line="273" w:lineRule="auto" w:before="20"/>
              <w:ind w:left="648" w:right="95" w:hanging="476"/>
              <w:jc w:val="both"/>
              <w:rPr>
                <w:sz w:val="21"/>
              </w:rPr>
            </w:pPr>
            <w:r>
              <w:rPr>
                <w:spacing w:val="-7"/>
                <w:sz w:val="21"/>
              </w:rPr>
              <w:t>二、 投保人因被保险人离职或其它原因需要减少被保险人的，应以书面形式通知本公司，除另有约定外，本合同对该被保险</w:t>
            </w:r>
            <w:r>
              <w:rPr>
                <w:spacing w:val="-6"/>
                <w:sz w:val="21"/>
              </w:rPr>
              <w:t>人所承担的保险责任自通知到达次日零时起终止。如投保人</w:t>
            </w:r>
            <w:r>
              <w:rPr>
                <w:spacing w:val="-5"/>
                <w:sz w:val="21"/>
              </w:rPr>
              <w:t>要求的减少被保险人的日期在通知到达日之后，则本合同对</w:t>
            </w:r>
            <w:r>
              <w:rPr>
                <w:spacing w:val="3"/>
                <w:sz w:val="21"/>
              </w:rPr>
              <w:t>该被保险人的保险责任自通知注明的减少被保险人的日期</w:t>
            </w:r>
            <w:r>
              <w:rPr>
                <w:spacing w:val="-5"/>
                <w:sz w:val="21"/>
              </w:rPr>
              <w:t>零时起终止。若未发生对减保人员的保险金给付，本公司在</w:t>
            </w:r>
            <w:r>
              <w:rPr>
                <w:spacing w:val="-6"/>
                <w:sz w:val="21"/>
              </w:rPr>
              <w:t>扣除手续费后，退还该被保险人未满期保险费；若已发生对</w:t>
            </w:r>
            <w:r>
              <w:rPr>
                <w:spacing w:val="-4"/>
                <w:sz w:val="21"/>
              </w:rPr>
              <w:t>减保人员的保险金给付，则本公司不予退还保险费。</w:t>
            </w:r>
          </w:p>
          <w:p>
            <w:pPr>
              <w:pStyle w:val="TableParagraph"/>
              <w:spacing w:line="273" w:lineRule="auto" w:before="7"/>
              <w:ind w:left="648" w:right="138" w:hanging="476"/>
              <w:rPr>
                <w:sz w:val="21"/>
              </w:rPr>
            </w:pPr>
            <w:r>
              <w:rPr>
                <w:spacing w:val="-12"/>
                <w:sz w:val="21"/>
              </w:rPr>
              <w:t>三、 若被保险人少于 </w:t>
            </w:r>
            <w:r>
              <w:rPr>
                <w:sz w:val="21"/>
              </w:rPr>
              <w:t>5</w:t>
            </w:r>
            <w:r>
              <w:rPr>
                <w:spacing w:val="-12"/>
                <w:sz w:val="21"/>
              </w:rPr>
              <w:t> 人或参保比例不足 </w:t>
            </w:r>
            <w:r>
              <w:rPr>
                <w:sz w:val="21"/>
              </w:rPr>
              <w:t>75</w:t>
            </w:r>
            <w:r>
              <w:rPr>
                <w:spacing w:val="-3"/>
                <w:sz w:val="21"/>
              </w:rPr>
              <w:t>%投保的，本公司有权解除本合同，并在扣除手续费后退还未满期保险费。</w:t>
            </w:r>
          </w:p>
        </w:tc>
      </w:tr>
      <w:tr>
        <w:trPr>
          <w:trHeight w:val="1248" w:hRule="atLeast"/>
        </w:trPr>
        <w:tc>
          <w:tcPr>
            <w:tcW w:w="1279" w:type="dxa"/>
          </w:tcPr>
          <w:p>
            <w:pPr>
              <w:pStyle w:val="TableParagraph"/>
              <w:spacing w:before="136"/>
              <w:rPr>
                <w:sz w:val="22"/>
              </w:rPr>
            </w:pPr>
            <w:r>
              <w:rPr>
                <w:sz w:val="22"/>
              </w:rPr>
              <w:t>第十四条</w:t>
            </w:r>
          </w:p>
        </w:tc>
        <w:tc>
          <w:tcPr>
            <w:tcW w:w="1774" w:type="dxa"/>
          </w:tcPr>
          <w:p>
            <w:pPr>
              <w:pStyle w:val="TableParagraph"/>
              <w:spacing w:before="136"/>
              <w:ind w:left="288"/>
              <w:rPr>
                <w:sz w:val="22"/>
              </w:rPr>
            </w:pPr>
            <w:r>
              <w:rPr>
                <w:sz w:val="22"/>
              </w:rPr>
              <w:t>地址变更</w:t>
            </w:r>
          </w:p>
        </w:tc>
        <w:tc>
          <w:tcPr>
            <w:tcW w:w="6201" w:type="dxa"/>
          </w:tcPr>
          <w:p>
            <w:pPr>
              <w:pStyle w:val="TableParagraph"/>
              <w:spacing w:line="273" w:lineRule="auto" w:before="145"/>
              <w:ind w:left="163" w:right="104"/>
              <w:jc w:val="both"/>
              <w:rPr>
                <w:sz w:val="21"/>
              </w:rPr>
            </w:pPr>
            <w:r>
              <w:rPr>
                <w:sz w:val="21"/>
              </w:rPr>
              <w:t>投保人住所或通讯地址变更时，应及时以书面形式通知本公司， 投保人未以书面形式通知的，本公司将按本合同注明的最后住所或通讯地址发送有关通知，并视为已送达投保人。</w:t>
            </w:r>
          </w:p>
        </w:tc>
      </w:tr>
      <w:tr>
        <w:trPr>
          <w:trHeight w:val="1248" w:hRule="atLeast"/>
        </w:trPr>
        <w:tc>
          <w:tcPr>
            <w:tcW w:w="1279" w:type="dxa"/>
          </w:tcPr>
          <w:p>
            <w:pPr>
              <w:pStyle w:val="TableParagraph"/>
              <w:spacing w:before="136"/>
              <w:rPr>
                <w:sz w:val="22"/>
              </w:rPr>
            </w:pPr>
            <w:r>
              <w:rPr>
                <w:sz w:val="22"/>
              </w:rPr>
              <w:t>第十五条</w:t>
            </w:r>
          </w:p>
        </w:tc>
        <w:tc>
          <w:tcPr>
            <w:tcW w:w="1774" w:type="dxa"/>
          </w:tcPr>
          <w:p>
            <w:pPr>
              <w:pStyle w:val="TableParagraph"/>
              <w:spacing w:before="136"/>
              <w:ind w:left="288"/>
              <w:rPr>
                <w:sz w:val="22"/>
              </w:rPr>
            </w:pPr>
            <w:r>
              <w:rPr>
                <w:sz w:val="22"/>
              </w:rPr>
              <w:t>合同内容变更</w:t>
            </w:r>
          </w:p>
        </w:tc>
        <w:tc>
          <w:tcPr>
            <w:tcW w:w="6201" w:type="dxa"/>
          </w:tcPr>
          <w:p>
            <w:pPr>
              <w:pStyle w:val="TableParagraph"/>
              <w:spacing w:line="273" w:lineRule="auto" w:before="145"/>
              <w:ind w:left="163" w:right="149"/>
              <w:jc w:val="both"/>
              <w:rPr>
                <w:sz w:val="21"/>
              </w:rPr>
            </w:pPr>
            <w:r>
              <w:rPr>
                <w:sz w:val="21"/>
              </w:rPr>
              <w:t>投保人变更本合同的，应填写变更合同申请书，经本公司审核同意，并在本合同的保险单或其它保险凭证上加以批注，或由投保人和本公司订立合同变更的书面协议后生效。</w:t>
            </w:r>
          </w:p>
        </w:tc>
      </w:tr>
      <w:tr>
        <w:trPr>
          <w:trHeight w:val="736" w:hRule="atLeast"/>
        </w:trPr>
        <w:tc>
          <w:tcPr>
            <w:tcW w:w="1279" w:type="dxa"/>
          </w:tcPr>
          <w:p>
            <w:pPr>
              <w:pStyle w:val="TableParagraph"/>
              <w:spacing w:before="136"/>
              <w:rPr>
                <w:sz w:val="22"/>
              </w:rPr>
            </w:pPr>
            <w:r>
              <w:rPr>
                <w:sz w:val="22"/>
              </w:rPr>
              <w:t>第十六条</w:t>
            </w:r>
          </w:p>
        </w:tc>
        <w:tc>
          <w:tcPr>
            <w:tcW w:w="1774" w:type="dxa"/>
          </w:tcPr>
          <w:p>
            <w:pPr>
              <w:pStyle w:val="TableParagraph"/>
              <w:spacing w:line="310" w:lineRule="atLeast" w:before="114"/>
              <w:ind w:left="288" w:right="161"/>
              <w:rPr>
                <w:sz w:val="22"/>
              </w:rPr>
            </w:pPr>
            <w:r>
              <w:rPr>
                <w:sz w:val="22"/>
              </w:rPr>
              <w:t>投保人解除合同的手续及风</w:t>
            </w:r>
          </w:p>
        </w:tc>
        <w:tc>
          <w:tcPr>
            <w:tcW w:w="6201" w:type="dxa"/>
          </w:tcPr>
          <w:p>
            <w:pPr>
              <w:pStyle w:val="TableParagraph"/>
              <w:spacing w:line="310" w:lineRule="atLeast" w:before="110"/>
              <w:ind w:left="163" w:right="149"/>
              <w:rPr>
                <w:sz w:val="21"/>
              </w:rPr>
            </w:pPr>
            <w:r>
              <w:rPr>
                <w:sz w:val="21"/>
              </w:rPr>
              <w:t>在本合同保险期间内，如未发生保险金给付，投保人申请解除本合同，应填写解除合同申请书并向本公司提供下列资料：</w:t>
            </w:r>
          </w:p>
        </w:tc>
      </w:tr>
    </w:tbl>
    <w:p>
      <w:pPr>
        <w:spacing w:after="0" w:line="310" w:lineRule="atLeast"/>
        <w:rPr>
          <w:sz w:val="21"/>
        </w:rPr>
        <w:sectPr>
          <w:pgSz w:w="11910" w:h="16840"/>
          <w:pgMar w:header="0" w:footer="919" w:top="1580" w:bottom="1100" w:left="1240" w:right="1180"/>
        </w:sectPr>
      </w:pPr>
    </w:p>
    <w:p>
      <w:pPr>
        <w:pStyle w:val="BodyText"/>
        <w:spacing w:before="0"/>
        <w:ind w:left="0"/>
        <w:rPr>
          <w:rFonts w:ascii="Times New Roman"/>
          <w:sz w:val="20"/>
        </w:rPr>
      </w:pPr>
    </w:p>
    <w:p>
      <w:pPr>
        <w:pStyle w:val="BodyText"/>
        <w:spacing w:before="6"/>
        <w:ind w:left="0"/>
        <w:rPr>
          <w:rFonts w:ascii="Times New Roman"/>
          <w:sz w:val="17"/>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9"/>
        <w:gridCol w:w="1770"/>
        <w:gridCol w:w="6204"/>
      </w:tblGrid>
      <w:tr>
        <w:trPr>
          <w:trHeight w:val="2138" w:hRule="atLeast"/>
        </w:trPr>
        <w:tc>
          <w:tcPr>
            <w:tcW w:w="1279" w:type="dxa"/>
          </w:tcPr>
          <w:p>
            <w:pPr>
              <w:pStyle w:val="TableParagraph"/>
              <w:ind w:left="0"/>
              <w:rPr>
                <w:rFonts w:ascii="Times New Roman"/>
                <w:sz w:val="20"/>
              </w:rPr>
            </w:pPr>
          </w:p>
        </w:tc>
        <w:tc>
          <w:tcPr>
            <w:tcW w:w="1770" w:type="dxa"/>
          </w:tcPr>
          <w:p>
            <w:pPr>
              <w:pStyle w:val="TableParagraph"/>
              <w:spacing w:line="221" w:lineRule="exact"/>
              <w:ind w:left="288"/>
              <w:rPr>
                <w:sz w:val="22"/>
              </w:rPr>
            </w:pPr>
            <w:r>
              <w:rPr>
                <w:w w:val="100"/>
                <w:sz w:val="22"/>
              </w:rPr>
              <w:t>险</w:t>
            </w:r>
          </w:p>
        </w:tc>
        <w:tc>
          <w:tcPr>
            <w:tcW w:w="6204" w:type="dxa"/>
          </w:tcPr>
          <w:p>
            <w:pPr>
              <w:pStyle w:val="TableParagraph"/>
              <w:spacing w:line="217" w:lineRule="exact"/>
              <w:ind w:left="160"/>
              <w:rPr>
                <w:sz w:val="21"/>
              </w:rPr>
            </w:pPr>
            <w:r>
              <w:rPr>
                <w:sz w:val="21"/>
              </w:rPr>
              <w:t>一、保险单及其它保险凭证；</w:t>
            </w:r>
          </w:p>
          <w:p>
            <w:pPr>
              <w:pStyle w:val="TableParagraph"/>
              <w:spacing w:before="37"/>
              <w:ind w:left="160"/>
              <w:rPr>
                <w:sz w:val="21"/>
              </w:rPr>
            </w:pPr>
            <w:r>
              <w:rPr>
                <w:sz w:val="21"/>
              </w:rPr>
              <w:t>二、表明被保险人已知悉解除本合同事宜的证明文件。</w:t>
            </w:r>
          </w:p>
          <w:p>
            <w:pPr>
              <w:pStyle w:val="TableParagraph"/>
              <w:spacing w:line="273" w:lineRule="auto" w:before="37"/>
              <w:ind w:left="167" w:right="100"/>
              <w:jc w:val="both"/>
              <w:rPr>
                <w:sz w:val="21"/>
              </w:rPr>
            </w:pPr>
            <w:r>
              <w:rPr>
                <w:sz w:val="21"/>
              </w:rPr>
              <w:t>自本公司收到解除合同申请书及上述文件时起，本合同终止。本</w:t>
            </w:r>
            <w:r>
              <w:rPr>
                <w:spacing w:val="-6"/>
                <w:sz w:val="21"/>
              </w:rPr>
              <w:t>公司于收到上述文件之日起 </w:t>
            </w:r>
            <w:r>
              <w:rPr>
                <w:sz w:val="21"/>
              </w:rPr>
              <w:t>30</w:t>
            </w:r>
            <w:r>
              <w:rPr>
                <w:spacing w:val="-12"/>
                <w:sz w:val="21"/>
              </w:rPr>
              <w:t> 日内在扣除手续费后，退还未满期</w:t>
            </w:r>
            <w:r>
              <w:rPr>
                <w:spacing w:val="-7"/>
                <w:sz w:val="21"/>
              </w:rPr>
              <w:t>保险费。</w:t>
            </w:r>
          </w:p>
          <w:p>
            <w:pPr>
              <w:pStyle w:val="TableParagraph"/>
              <w:spacing w:before="7"/>
              <w:ind w:left="167"/>
              <w:jc w:val="both"/>
              <w:rPr>
                <w:sz w:val="21"/>
              </w:rPr>
            </w:pPr>
            <w:r>
              <w:rPr>
                <w:sz w:val="21"/>
              </w:rPr>
              <w:t>投保人解除合同会遭受一定损失。</w:t>
            </w:r>
          </w:p>
        </w:tc>
      </w:tr>
      <w:tr>
        <w:trPr>
          <w:trHeight w:val="311" w:hRule="atLeast"/>
        </w:trPr>
        <w:tc>
          <w:tcPr>
            <w:tcW w:w="1279" w:type="dxa"/>
            <w:shd w:val="clear" w:color="auto" w:fill="C5C5C5"/>
          </w:tcPr>
          <w:p>
            <w:pPr>
              <w:pStyle w:val="TableParagraph"/>
              <w:spacing w:line="266" w:lineRule="exact"/>
              <w:rPr>
                <w:b/>
                <w:sz w:val="22"/>
              </w:rPr>
            </w:pPr>
            <w:r>
              <w:rPr>
                <w:b/>
                <w:w w:val="95"/>
                <w:sz w:val="22"/>
              </w:rPr>
              <w:t>第六章</w:t>
            </w:r>
          </w:p>
        </w:tc>
        <w:tc>
          <w:tcPr>
            <w:tcW w:w="1770" w:type="dxa"/>
            <w:shd w:val="clear" w:color="auto" w:fill="C5C5C5"/>
          </w:tcPr>
          <w:p>
            <w:pPr>
              <w:pStyle w:val="TableParagraph"/>
              <w:spacing w:line="266" w:lineRule="exact"/>
              <w:ind w:left="288"/>
              <w:rPr>
                <w:b/>
                <w:sz w:val="22"/>
              </w:rPr>
            </w:pPr>
            <w:r>
              <w:rPr>
                <w:b/>
                <w:w w:val="95"/>
                <w:sz w:val="22"/>
              </w:rPr>
              <w:t>一般条款</w:t>
            </w:r>
          </w:p>
        </w:tc>
        <w:tc>
          <w:tcPr>
            <w:tcW w:w="6204" w:type="dxa"/>
            <w:shd w:val="clear" w:color="auto" w:fill="C5C5C5"/>
          </w:tcPr>
          <w:p>
            <w:pPr>
              <w:pStyle w:val="TableParagraph"/>
              <w:ind w:left="0"/>
              <w:rPr>
                <w:rFonts w:ascii="Times New Roman"/>
                <w:sz w:val="20"/>
              </w:rPr>
            </w:pPr>
          </w:p>
        </w:tc>
      </w:tr>
      <w:tr>
        <w:trPr>
          <w:trHeight w:val="5461" w:hRule="atLeast"/>
        </w:trPr>
        <w:tc>
          <w:tcPr>
            <w:tcW w:w="1279" w:type="dxa"/>
          </w:tcPr>
          <w:p>
            <w:pPr>
              <w:pStyle w:val="TableParagraph"/>
              <w:spacing w:line="266" w:lineRule="exact"/>
              <w:rPr>
                <w:sz w:val="22"/>
              </w:rPr>
            </w:pPr>
            <w:r>
              <w:rPr>
                <w:sz w:val="22"/>
              </w:rPr>
              <w:t>第十七条</w:t>
            </w:r>
          </w:p>
        </w:tc>
        <w:tc>
          <w:tcPr>
            <w:tcW w:w="1770" w:type="dxa"/>
          </w:tcPr>
          <w:p>
            <w:pPr>
              <w:pStyle w:val="TableParagraph"/>
              <w:spacing w:line="266" w:lineRule="exact"/>
              <w:ind w:left="288"/>
              <w:rPr>
                <w:sz w:val="22"/>
              </w:rPr>
            </w:pPr>
            <w:r>
              <w:rPr>
                <w:sz w:val="22"/>
              </w:rPr>
              <w:t>明确说明与如</w:t>
            </w:r>
          </w:p>
          <w:p>
            <w:pPr>
              <w:pStyle w:val="TableParagraph"/>
              <w:spacing w:before="24"/>
              <w:ind w:left="288"/>
              <w:rPr>
                <w:sz w:val="22"/>
              </w:rPr>
            </w:pPr>
            <w:r>
              <w:rPr>
                <w:sz w:val="22"/>
              </w:rPr>
              <w:t>实告知</w:t>
            </w:r>
          </w:p>
        </w:tc>
        <w:tc>
          <w:tcPr>
            <w:tcW w:w="6204" w:type="dxa"/>
          </w:tcPr>
          <w:p>
            <w:pPr>
              <w:pStyle w:val="TableParagraph"/>
              <w:spacing w:line="262" w:lineRule="exact"/>
              <w:ind w:left="167"/>
              <w:rPr>
                <w:sz w:val="21"/>
              </w:rPr>
            </w:pPr>
            <w:r>
              <w:rPr>
                <w:sz w:val="21"/>
              </w:rPr>
              <w:t>订立本合同时，本公司应向投保人说明本合同的内容。</w:t>
            </w:r>
          </w:p>
          <w:p>
            <w:pPr>
              <w:pStyle w:val="TableParagraph"/>
              <w:spacing w:line="273" w:lineRule="auto" w:before="37"/>
              <w:ind w:left="167" w:right="148"/>
              <w:jc w:val="both"/>
              <w:rPr>
                <w:sz w:val="21"/>
              </w:rPr>
            </w:pPr>
            <w:r>
              <w:rPr>
                <w:sz w:val="21"/>
              </w:rPr>
              <w:t>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TableParagraph"/>
              <w:spacing w:line="273" w:lineRule="auto" w:before="7"/>
              <w:ind w:left="167" w:right="148"/>
              <w:rPr>
                <w:sz w:val="21"/>
              </w:rPr>
            </w:pPr>
            <w:r>
              <w:rPr>
                <w:sz w:val="21"/>
              </w:rPr>
              <w:t>本公司就投保人和被保险人的有关情况提出询问，投保人应当如实告知。</w:t>
            </w:r>
          </w:p>
          <w:p>
            <w:pPr>
              <w:pStyle w:val="TableParagraph"/>
              <w:spacing w:line="273" w:lineRule="auto" w:before="7"/>
              <w:ind w:left="167" w:right="148"/>
              <w:rPr>
                <w:sz w:val="21"/>
              </w:rPr>
            </w:pPr>
            <w:r>
              <w:rPr>
                <w:spacing w:val="-3"/>
                <w:sz w:val="21"/>
              </w:rPr>
              <w:t>如果投保人故意或者因重大过失未履行前款规定的如实告知义 务，足以影响本公司决定是否同意承保或者提高保险费率的，本公司有权解除本合同。</w:t>
            </w:r>
          </w:p>
          <w:p>
            <w:pPr>
              <w:pStyle w:val="TableParagraph"/>
              <w:spacing w:line="273" w:lineRule="auto" w:before="7"/>
              <w:ind w:left="167" w:right="148"/>
              <w:jc w:val="both"/>
              <w:rPr>
                <w:sz w:val="21"/>
              </w:rPr>
            </w:pPr>
            <w:r>
              <w:rPr>
                <w:sz w:val="21"/>
              </w:rPr>
              <w:t>如果投保人故意不履行如实告知义务，对于本合同解除前发生的保险事故，本公司不承担给付保险金的责任，并不退还保险费。如果投保人因重大过失未履行如实告知义务，对保险事故的发生有严重影响的，对于本合同解除前发生的保险事故，本公司不承担给付保险金的责任，但会无息退还保险费。</w:t>
            </w:r>
          </w:p>
          <w:p>
            <w:pPr>
              <w:pStyle w:val="TableParagraph"/>
              <w:spacing w:line="273" w:lineRule="auto" w:before="7"/>
              <w:ind w:left="167" w:right="-15"/>
              <w:rPr>
                <w:sz w:val="21"/>
              </w:rPr>
            </w:pPr>
            <w:r>
              <w:rPr>
                <w:spacing w:val="-3"/>
                <w:sz w:val="21"/>
              </w:rPr>
              <w:t>本公司在合同订立时已经知道投保人未如实告知情况的，本公司</w:t>
            </w:r>
            <w:r>
              <w:rPr>
                <w:spacing w:val="-9"/>
                <w:sz w:val="21"/>
              </w:rPr>
              <w:t>不得解除合同；发生保险事故的，本公司承担给付保险金的责任。</w:t>
            </w:r>
          </w:p>
        </w:tc>
      </w:tr>
      <w:tr>
        <w:trPr>
          <w:trHeight w:val="933" w:hRule="atLeast"/>
        </w:trPr>
        <w:tc>
          <w:tcPr>
            <w:tcW w:w="1279" w:type="dxa"/>
          </w:tcPr>
          <w:p>
            <w:pPr>
              <w:pStyle w:val="TableParagraph"/>
              <w:spacing w:before="142"/>
              <w:rPr>
                <w:sz w:val="21"/>
              </w:rPr>
            </w:pPr>
            <w:r>
              <w:rPr>
                <w:sz w:val="21"/>
              </w:rPr>
              <w:t>第十八条</w:t>
            </w:r>
          </w:p>
        </w:tc>
        <w:tc>
          <w:tcPr>
            <w:tcW w:w="1770" w:type="dxa"/>
          </w:tcPr>
          <w:p>
            <w:pPr>
              <w:pStyle w:val="TableParagraph"/>
              <w:spacing w:line="273" w:lineRule="auto" w:before="142"/>
              <w:ind w:left="288" w:right="217"/>
              <w:rPr>
                <w:sz w:val="21"/>
              </w:rPr>
            </w:pPr>
            <w:r>
              <w:rPr>
                <w:sz w:val="21"/>
              </w:rPr>
              <w:t>本公司合同解除权的限制</w:t>
            </w:r>
          </w:p>
        </w:tc>
        <w:tc>
          <w:tcPr>
            <w:tcW w:w="6204" w:type="dxa"/>
          </w:tcPr>
          <w:p>
            <w:pPr>
              <w:pStyle w:val="TableParagraph"/>
              <w:spacing w:before="142"/>
              <w:ind w:left="167"/>
              <w:rPr>
                <w:sz w:val="21"/>
              </w:rPr>
            </w:pPr>
            <w:r>
              <w:rPr>
                <w:sz w:val="21"/>
              </w:rPr>
              <w:t>前条规定的合同解除权，自本公司知道有解除事由之日起，超过</w:t>
            </w:r>
          </w:p>
          <w:p>
            <w:pPr>
              <w:pStyle w:val="TableParagraph"/>
              <w:spacing w:before="36"/>
              <w:ind w:left="167"/>
              <w:rPr>
                <w:sz w:val="21"/>
              </w:rPr>
            </w:pPr>
            <w:r>
              <w:rPr>
                <w:sz w:val="21"/>
              </w:rPr>
              <w:t>30 日不行使而消灭。</w:t>
            </w:r>
          </w:p>
        </w:tc>
      </w:tr>
      <w:tr>
        <w:trPr>
          <w:trHeight w:val="3853" w:hRule="atLeast"/>
        </w:trPr>
        <w:tc>
          <w:tcPr>
            <w:tcW w:w="1279" w:type="dxa"/>
          </w:tcPr>
          <w:p>
            <w:pPr>
              <w:pStyle w:val="TableParagraph"/>
              <w:spacing w:before="136"/>
              <w:rPr>
                <w:sz w:val="22"/>
              </w:rPr>
            </w:pPr>
            <w:r>
              <w:rPr>
                <w:sz w:val="22"/>
              </w:rPr>
              <w:t>第十九条</w:t>
            </w:r>
          </w:p>
        </w:tc>
        <w:tc>
          <w:tcPr>
            <w:tcW w:w="1770" w:type="dxa"/>
          </w:tcPr>
          <w:p>
            <w:pPr>
              <w:pStyle w:val="TableParagraph"/>
              <w:spacing w:before="136"/>
              <w:ind w:left="288"/>
              <w:rPr>
                <w:sz w:val="22"/>
              </w:rPr>
            </w:pPr>
            <w:r>
              <w:rPr>
                <w:sz w:val="22"/>
              </w:rPr>
              <w:t>年龄错误</w:t>
            </w:r>
          </w:p>
        </w:tc>
        <w:tc>
          <w:tcPr>
            <w:tcW w:w="6204" w:type="dxa"/>
          </w:tcPr>
          <w:p>
            <w:pPr>
              <w:pStyle w:val="TableParagraph"/>
              <w:spacing w:line="273" w:lineRule="auto" w:before="145"/>
              <w:ind w:left="167" w:right="148"/>
              <w:rPr>
                <w:sz w:val="21"/>
              </w:rPr>
            </w:pPr>
            <w:r>
              <w:rPr>
                <w:sz w:val="21"/>
              </w:rPr>
              <w:t>投保人在申请投保时，应将与有效身份证件相符的被保险人的出生日期在投保单上填明，如果发生错误按照下列方式办理：</w:t>
            </w:r>
          </w:p>
          <w:p>
            <w:pPr>
              <w:pStyle w:val="TableParagraph"/>
              <w:spacing w:line="273" w:lineRule="auto" w:before="7"/>
              <w:ind w:left="729" w:right="100" w:hanging="538"/>
              <w:jc w:val="both"/>
              <w:rPr>
                <w:sz w:val="21"/>
              </w:rPr>
            </w:pPr>
            <w:r>
              <w:rPr>
                <w:spacing w:val="-8"/>
                <w:sz w:val="21"/>
              </w:rPr>
              <w:t>一、 投保人申报的被保险人年龄不真实，致使投保人实付保险费</w:t>
            </w:r>
            <w:r>
              <w:rPr>
                <w:spacing w:val="-12"/>
                <w:sz w:val="21"/>
              </w:rPr>
              <w:t>多于应付保险费的，本公司会将多收的保险费无息退还给投保人。</w:t>
            </w:r>
          </w:p>
          <w:p>
            <w:pPr>
              <w:pStyle w:val="TableParagraph"/>
              <w:spacing w:line="273" w:lineRule="auto" w:before="7"/>
              <w:ind w:left="729" w:right="100" w:hanging="538"/>
              <w:jc w:val="both"/>
              <w:rPr>
                <w:sz w:val="21"/>
              </w:rPr>
            </w:pPr>
            <w:r>
              <w:rPr>
                <w:spacing w:val="-8"/>
                <w:sz w:val="21"/>
              </w:rPr>
              <w:t>二、 投保人申报的被保险人年龄不真实，致使投保人实付保险费</w:t>
            </w:r>
            <w:r>
              <w:rPr>
                <w:spacing w:val="-12"/>
                <w:sz w:val="21"/>
              </w:rPr>
              <w:t>少于应付保险费的，本公司有权更正并要求投保人补交保险费。若已经发生保险事故，在给付保险金时按实付保险费和</w:t>
            </w:r>
            <w:r>
              <w:rPr>
                <w:spacing w:val="-6"/>
                <w:sz w:val="21"/>
              </w:rPr>
              <w:t>应付保险费的比例给付。</w:t>
            </w:r>
          </w:p>
          <w:p>
            <w:pPr>
              <w:pStyle w:val="TableParagraph"/>
              <w:spacing w:line="312" w:lineRule="exact" w:before="3"/>
              <w:ind w:left="729" w:right="100" w:hanging="538"/>
              <w:jc w:val="both"/>
              <w:rPr>
                <w:sz w:val="21"/>
              </w:rPr>
            </w:pPr>
            <w:r>
              <w:rPr>
                <w:spacing w:val="-8"/>
                <w:sz w:val="21"/>
              </w:rPr>
              <w:t>三、 投保人申报的被保险人年龄不真实，并且其真实年龄不符合</w:t>
            </w:r>
            <w:r>
              <w:rPr>
                <w:spacing w:val="-10"/>
                <w:sz w:val="21"/>
              </w:rPr>
              <w:t>本公司规定的投保年龄限制的，本公司有权解除本合同。本</w:t>
            </w:r>
            <w:r>
              <w:rPr>
                <w:spacing w:val="-11"/>
                <w:sz w:val="21"/>
              </w:rPr>
              <w:t>公司行使合同解除权适用“本公司合同解除权的限制”的规</w:t>
            </w:r>
          </w:p>
        </w:tc>
      </w:tr>
    </w:tbl>
    <w:p>
      <w:pPr>
        <w:spacing w:after="0" w:line="312" w:lineRule="exact"/>
        <w:jc w:val="both"/>
        <w:rPr>
          <w:sz w:val="21"/>
        </w:rPr>
        <w:sectPr>
          <w:pgSz w:w="11910" w:h="16840"/>
          <w:pgMar w:header="0" w:footer="919" w:top="1580" w:bottom="1100" w:left="1240" w:right="1180"/>
        </w:sectPr>
      </w:pPr>
    </w:p>
    <w:p>
      <w:pPr>
        <w:pStyle w:val="BodyText"/>
        <w:spacing w:before="0"/>
        <w:ind w:left="0"/>
        <w:rPr>
          <w:rFonts w:ascii="Times New Roman"/>
          <w:sz w:val="20"/>
        </w:rPr>
      </w:pPr>
    </w:p>
    <w:p>
      <w:pPr>
        <w:pStyle w:val="BodyText"/>
        <w:spacing w:before="1"/>
        <w:ind w:left="0"/>
        <w:rPr>
          <w:rFonts w:ascii="Times New Roman"/>
          <w:sz w:val="18"/>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0"/>
        <w:gridCol w:w="1445"/>
        <w:gridCol w:w="6622"/>
      </w:tblGrid>
      <w:tr>
        <w:trPr>
          <w:trHeight w:val="1038" w:hRule="atLeast"/>
        </w:trPr>
        <w:tc>
          <w:tcPr>
            <w:tcW w:w="1480" w:type="dxa"/>
          </w:tcPr>
          <w:p>
            <w:pPr>
              <w:pStyle w:val="TableParagraph"/>
              <w:ind w:left="0"/>
              <w:rPr>
                <w:rFonts w:ascii="Times New Roman"/>
                <w:sz w:val="20"/>
              </w:rPr>
            </w:pPr>
          </w:p>
        </w:tc>
        <w:tc>
          <w:tcPr>
            <w:tcW w:w="1445" w:type="dxa"/>
          </w:tcPr>
          <w:p>
            <w:pPr>
              <w:pStyle w:val="TableParagraph"/>
              <w:ind w:left="0"/>
              <w:rPr>
                <w:rFonts w:ascii="Times New Roman"/>
                <w:sz w:val="20"/>
              </w:rPr>
            </w:pPr>
          </w:p>
        </w:tc>
        <w:tc>
          <w:tcPr>
            <w:tcW w:w="6622" w:type="dxa"/>
          </w:tcPr>
          <w:p>
            <w:pPr>
              <w:pStyle w:val="TableParagraph"/>
              <w:spacing w:line="211" w:lineRule="exact"/>
              <w:ind w:left="945"/>
              <w:rPr>
                <w:sz w:val="21"/>
              </w:rPr>
            </w:pPr>
            <w:r>
              <w:rPr>
                <w:sz w:val="21"/>
              </w:rPr>
              <w:t>定。对于解除合同的,本公司在扣除手续费后，向投保人退</w:t>
            </w:r>
          </w:p>
          <w:p>
            <w:pPr>
              <w:pStyle w:val="TableParagraph"/>
              <w:spacing w:line="273" w:lineRule="auto" w:before="37"/>
              <w:ind w:left="945" w:right="302"/>
              <w:rPr>
                <w:sz w:val="21"/>
              </w:rPr>
            </w:pPr>
            <w:r>
              <w:rPr>
                <w:spacing w:val="-9"/>
                <w:sz w:val="21"/>
              </w:rPr>
              <w:t>还该被保险人的未满期保险费；对于不得解除合同的，按第</w:t>
            </w:r>
            <w:r>
              <w:rPr>
                <w:spacing w:val="-5"/>
                <w:sz w:val="21"/>
              </w:rPr>
              <w:t>一、二项处理。</w:t>
            </w:r>
          </w:p>
        </w:tc>
      </w:tr>
      <w:tr>
        <w:trPr>
          <w:trHeight w:val="7177" w:hRule="atLeast"/>
        </w:trPr>
        <w:tc>
          <w:tcPr>
            <w:tcW w:w="1480" w:type="dxa"/>
          </w:tcPr>
          <w:p>
            <w:pPr>
              <w:pStyle w:val="TableParagraph"/>
              <w:spacing w:before="136"/>
              <w:ind w:left="200"/>
              <w:rPr>
                <w:sz w:val="22"/>
              </w:rPr>
            </w:pPr>
            <w:r>
              <w:rPr>
                <w:sz w:val="22"/>
              </w:rPr>
              <w:t>第二十条</w:t>
            </w:r>
          </w:p>
        </w:tc>
        <w:tc>
          <w:tcPr>
            <w:tcW w:w="1445" w:type="dxa"/>
          </w:tcPr>
          <w:p>
            <w:pPr>
              <w:pStyle w:val="TableParagraph"/>
              <w:spacing w:before="136"/>
              <w:ind w:left="179"/>
              <w:rPr>
                <w:sz w:val="22"/>
              </w:rPr>
            </w:pPr>
            <w:r>
              <w:rPr>
                <w:sz w:val="22"/>
              </w:rPr>
              <w:t>受益人</w:t>
            </w:r>
          </w:p>
        </w:tc>
        <w:tc>
          <w:tcPr>
            <w:tcW w:w="6622" w:type="dxa"/>
          </w:tcPr>
          <w:p>
            <w:pPr>
              <w:pStyle w:val="TableParagraph"/>
              <w:spacing w:line="273" w:lineRule="auto" w:before="145"/>
              <w:ind w:left="383" w:right="350"/>
              <w:jc w:val="both"/>
              <w:rPr>
                <w:sz w:val="21"/>
              </w:rPr>
            </w:pPr>
            <w:r>
              <w:rPr>
                <w:sz w:val="21"/>
              </w:rPr>
              <w:t>投保人或者被保险人可以指定一人或多人为受益人。除另有约定外，重大疾病保险金的受益人为每一被保险人本人。</w:t>
            </w:r>
          </w:p>
          <w:p>
            <w:pPr>
              <w:pStyle w:val="TableParagraph"/>
              <w:spacing w:line="273" w:lineRule="auto" w:before="7"/>
              <w:ind w:left="383" w:right="147"/>
              <w:rPr>
                <w:sz w:val="21"/>
              </w:rPr>
            </w:pPr>
            <w:r>
              <w:rPr>
                <w:sz w:val="21"/>
              </w:rPr>
              <w:t>同一被保险人的受益人为多人时，可以确定受益顺序和受益份额； 如果没有确定份额，各受益人按照相等份额享有受益权。</w:t>
            </w:r>
          </w:p>
          <w:p>
            <w:pPr>
              <w:pStyle w:val="TableParagraph"/>
              <w:spacing w:line="273" w:lineRule="auto" w:before="7"/>
              <w:ind w:left="383" w:right="350"/>
              <w:jc w:val="both"/>
              <w:rPr>
                <w:sz w:val="21"/>
              </w:rPr>
            </w:pPr>
            <w:r>
              <w:rPr>
                <w:sz w:val="21"/>
              </w:rPr>
              <w:t>被保险人为无民事行为能力人或限制民事行为能力人的，可以由其监护人指定受益人。</w:t>
            </w:r>
          </w:p>
          <w:p>
            <w:pPr>
              <w:pStyle w:val="TableParagraph"/>
              <w:spacing w:line="273" w:lineRule="auto" w:before="7"/>
              <w:ind w:left="383" w:right="350"/>
              <w:jc w:val="both"/>
              <w:rPr>
                <w:sz w:val="21"/>
              </w:rPr>
            </w:pPr>
            <w:r>
              <w:rPr>
                <w:sz w:val="21"/>
              </w:rPr>
              <w:t>投保人或者被保险人可以变更受益人并书面通知本公司。本公司收到变更受益人的书面通知后，在保险单或其他保险凭证上批注或者附贴批单。</w:t>
            </w:r>
          </w:p>
          <w:p>
            <w:pPr>
              <w:pStyle w:val="TableParagraph"/>
              <w:spacing w:line="273" w:lineRule="auto" w:before="7"/>
              <w:ind w:left="383" w:right="350"/>
              <w:jc w:val="both"/>
              <w:rPr>
                <w:sz w:val="21"/>
              </w:rPr>
            </w:pPr>
            <w:r>
              <w:rPr>
                <w:sz w:val="21"/>
              </w:rPr>
              <w:t>投保人指定和变更受益人时须经被保险人同意，投保人为与其有劳动关系的劳动者投保人身保险，不得指定被保险人及其近亲属以外的人为受益人。</w:t>
            </w:r>
          </w:p>
          <w:p>
            <w:pPr>
              <w:pStyle w:val="TableParagraph"/>
              <w:spacing w:line="273" w:lineRule="auto" w:before="7"/>
              <w:ind w:left="383" w:right="350"/>
              <w:jc w:val="both"/>
              <w:rPr>
                <w:sz w:val="21"/>
              </w:rPr>
            </w:pPr>
            <w:r>
              <w:rPr>
                <w:sz w:val="21"/>
              </w:rPr>
              <w:t>被保险人身故后，有下列情形之一的，保险金作为被保险人的遗产，由本公司依照《中华人民共和国继承法》的规定履行给付保险金的义务：</w:t>
            </w:r>
          </w:p>
          <w:p>
            <w:pPr>
              <w:pStyle w:val="TableParagraph"/>
              <w:spacing w:line="273" w:lineRule="auto" w:before="7"/>
              <w:ind w:left="383" w:right="979"/>
              <w:rPr>
                <w:sz w:val="21"/>
              </w:rPr>
            </w:pPr>
            <w:r>
              <w:rPr>
                <w:sz w:val="21"/>
              </w:rPr>
              <w:t>一、没有指定受益人，或者受益人指定不明无法确定的； 二、受益人先于被保险人死亡，没有其他受益人的；</w:t>
            </w:r>
          </w:p>
          <w:p>
            <w:pPr>
              <w:pStyle w:val="TableParagraph"/>
              <w:spacing w:line="273" w:lineRule="auto" w:before="7"/>
              <w:ind w:left="383" w:right="199"/>
              <w:rPr>
                <w:sz w:val="21"/>
              </w:rPr>
            </w:pPr>
            <w:r>
              <w:rPr>
                <w:spacing w:val="-9"/>
                <w:sz w:val="21"/>
              </w:rPr>
              <w:t>三、受益人依法丧失受益权或者放弃受益权，没有其他受益人的。</w:t>
            </w:r>
            <w:r>
              <w:rPr>
                <w:spacing w:val="-5"/>
                <w:sz w:val="21"/>
              </w:rPr>
              <w:t>受益人与被保险人在同一事件中身故，且不能确定身故顺序的， </w:t>
            </w:r>
            <w:r>
              <w:rPr>
                <w:spacing w:val="-4"/>
                <w:sz w:val="21"/>
              </w:rPr>
              <w:t>推定受益人身故在先。</w:t>
            </w:r>
          </w:p>
          <w:p>
            <w:pPr>
              <w:pStyle w:val="TableParagraph"/>
              <w:spacing w:line="273" w:lineRule="auto" w:before="8"/>
              <w:ind w:left="383" w:right="350"/>
              <w:jc w:val="both"/>
              <w:rPr>
                <w:sz w:val="21"/>
              </w:rPr>
            </w:pPr>
            <w:r>
              <w:rPr>
                <w:sz w:val="21"/>
              </w:rPr>
              <w:t>受益人故意造成被保险人身故、伤残、疾病的，或者故意杀害被保险人未遂的，该受益人丧失受益权。</w:t>
            </w:r>
          </w:p>
        </w:tc>
      </w:tr>
      <w:tr>
        <w:trPr>
          <w:trHeight w:val="1247" w:hRule="atLeast"/>
        </w:trPr>
        <w:tc>
          <w:tcPr>
            <w:tcW w:w="1480" w:type="dxa"/>
          </w:tcPr>
          <w:p>
            <w:pPr>
              <w:pStyle w:val="TableParagraph"/>
              <w:spacing w:before="136"/>
              <w:ind w:left="200"/>
              <w:rPr>
                <w:sz w:val="22"/>
              </w:rPr>
            </w:pPr>
            <w:r>
              <w:rPr>
                <w:sz w:val="22"/>
              </w:rPr>
              <w:t>第二十一条</w:t>
            </w:r>
          </w:p>
        </w:tc>
        <w:tc>
          <w:tcPr>
            <w:tcW w:w="1445" w:type="dxa"/>
          </w:tcPr>
          <w:p>
            <w:pPr>
              <w:pStyle w:val="TableParagraph"/>
              <w:spacing w:before="136"/>
              <w:ind w:left="179"/>
              <w:rPr>
                <w:sz w:val="22"/>
              </w:rPr>
            </w:pPr>
            <w:r>
              <w:rPr>
                <w:sz w:val="22"/>
              </w:rPr>
              <w:t>资料提供</w:t>
            </w:r>
          </w:p>
        </w:tc>
        <w:tc>
          <w:tcPr>
            <w:tcW w:w="6622" w:type="dxa"/>
          </w:tcPr>
          <w:p>
            <w:pPr>
              <w:pStyle w:val="TableParagraph"/>
              <w:spacing w:line="273" w:lineRule="auto" w:before="145"/>
              <w:ind w:left="383" w:right="133"/>
              <w:rPr>
                <w:sz w:val="21"/>
              </w:rPr>
            </w:pPr>
            <w:r>
              <w:rPr>
                <w:sz w:val="21"/>
              </w:rPr>
              <w:t>投保人应保存每一被保险人的个人资料，详细记录其姓名、性别、年龄、出生日期、交费金额以及其它与本合同有关的一切资料。必要时投保人应按本公司的要求提供上述资料。</w:t>
            </w:r>
          </w:p>
        </w:tc>
      </w:tr>
      <w:tr>
        <w:trPr>
          <w:trHeight w:val="2184" w:hRule="atLeast"/>
        </w:trPr>
        <w:tc>
          <w:tcPr>
            <w:tcW w:w="1480" w:type="dxa"/>
          </w:tcPr>
          <w:p>
            <w:pPr>
              <w:pStyle w:val="TableParagraph"/>
              <w:spacing w:before="136"/>
              <w:ind w:left="200"/>
              <w:rPr>
                <w:sz w:val="22"/>
              </w:rPr>
            </w:pPr>
            <w:r>
              <w:rPr>
                <w:sz w:val="22"/>
              </w:rPr>
              <w:t>第二十二条</w:t>
            </w:r>
          </w:p>
        </w:tc>
        <w:tc>
          <w:tcPr>
            <w:tcW w:w="1445" w:type="dxa"/>
          </w:tcPr>
          <w:p>
            <w:pPr>
              <w:pStyle w:val="TableParagraph"/>
              <w:spacing w:before="136"/>
              <w:ind w:left="179"/>
              <w:rPr>
                <w:sz w:val="22"/>
              </w:rPr>
            </w:pPr>
            <w:r>
              <w:rPr>
                <w:sz w:val="22"/>
              </w:rPr>
              <w:t>争议处理</w:t>
            </w:r>
          </w:p>
        </w:tc>
        <w:tc>
          <w:tcPr>
            <w:tcW w:w="6622" w:type="dxa"/>
          </w:tcPr>
          <w:p>
            <w:pPr>
              <w:pStyle w:val="TableParagraph"/>
              <w:spacing w:line="273" w:lineRule="auto" w:before="145"/>
              <w:ind w:left="383" w:right="305"/>
              <w:rPr>
                <w:sz w:val="21"/>
              </w:rPr>
            </w:pPr>
            <w:r>
              <w:rPr>
                <w:sz w:val="21"/>
              </w:rPr>
              <w:t>合同争议解决方式由当事人在合同约定从下列两种方式中选择一种：</w:t>
            </w:r>
          </w:p>
          <w:p>
            <w:pPr>
              <w:pStyle w:val="TableParagraph"/>
              <w:spacing w:line="273" w:lineRule="auto" w:before="7"/>
              <w:ind w:left="803" w:right="146" w:hanging="420"/>
              <w:rPr>
                <w:sz w:val="21"/>
              </w:rPr>
            </w:pPr>
            <w:r>
              <w:rPr>
                <w:sz w:val="21"/>
              </w:rPr>
              <w:t>一、因履行本合同发生的争议，由当事人协商解决，协商不成的， 提交×××仲裁委员会仲裁；</w:t>
            </w:r>
          </w:p>
          <w:p>
            <w:pPr>
              <w:pStyle w:val="TableParagraph"/>
              <w:spacing w:line="273" w:lineRule="auto" w:before="7"/>
              <w:ind w:left="803" w:right="147" w:hanging="420"/>
              <w:rPr>
                <w:sz w:val="21"/>
              </w:rPr>
            </w:pPr>
            <w:r>
              <w:rPr>
                <w:sz w:val="21"/>
              </w:rPr>
              <w:t>二、因履行本合同发生的争议，由当事人协商解决，协商不成的， 依法向人民法院起诉。</w:t>
            </w:r>
          </w:p>
        </w:tc>
      </w:tr>
      <w:tr>
        <w:trPr>
          <w:trHeight w:val="469" w:hRule="atLeast"/>
        </w:trPr>
        <w:tc>
          <w:tcPr>
            <w:tcW w:w="1480" w:type="dxa"/>
          </w:tcPr>
          <w:p>
            <w:pPr>
              <w:pStyle w:val="TableParagraph"/>
              <w:spacing w:before="136"/>
              <w:ind w:left="200"/>
              <w:rPr>
                <w:b/>
                <w:sz w:val="22"/>
              </w:rPr>
            </w:pPr>
            <w:r>
              <w:rPr>
                <w:b/>
                <w:w w:val="95"/>
                <w:sz w:val="22"/>
              </w:rPr>
              <w:t>第七章</w:t>
            </w:r>
          </w:p>
        </w:tc>
        <w:tc>
          <w:tcPr>
            <w:tcW w:w="1445" w:type="dxa"/>
          </w:tcPr>
          <w:p>
            <w:pPr>
              <w:pStyle w:val="TableParagraph"/>
              <w:spacing w:before="136"/>
              <w:ind w:left="179"/>
              <w:rPr>
                <w:b/>
                <w:sz w:val="22"/>
              </w:rPr>
            </w:pPr>
            <w:r>
              <w:rPr>
                <w:b/>
                <w:w w:val="95"/>
                <w:sz w:val="22"/>
              </w:rPr>
              <w:t>释义</w:t>
            </w:r>
          </w:p>
        </w:tc>
        <w:tc>
          <w:tcPr>
            <w:tcW w:w="6622" w:type="dxa"/>
          </w:tcPr>
          <w:p>
            <w:pPr>
              <w:pStyle w:val="TableParagraph"/>
              <w:ind w:left="0"/>
              <w:rPr>
                <w:rFonts w:ascii="Times New Roman"/>
                <w:sz w:val="20"/>
              </w:rPr>
            </w:pPr>
          </w:p>
        </w:tc>
      </w:tr>
      <w:tr>
        <w:trPr>
          <w:trHeight w:val="314" w:hRule="atLeast"/>
        </w:trPr>
        <w:tc>
          <w:tcPr>
            <w:tcW w:w="1480" w:type="dxa"/>
          </w:tcPr>
          <w:p>
            <w:pPr>
              <w:pStyle w:val="TableParagraph"/>
              <w:spacing w:line="266" w:lineRule="exact"/>
              <w:ind w:left="200"/>
              <w:rPr>
                <w:sz w:val="22"/>
              </w:rPr>
            </w:pPr>
            <w:r>
              <w:rPr>
                <w:sz w:val="22"/>
              </w:rPr>
              <w:t>第二十三条</w:t>
            </w:r>
          </w:p>
        </w:tc>
        <w:tc>
          <w:tcPr>
            <w:tcW w:w="1445" w:type="dxa"/>
          </w:tcPr>
          <w:p>
            <w:pPr>
              <w:pStyle w:val="TableParagraph"/>
              <w:spacing w:line="266" w:lineRule="exact"/>
              <w:ind w:left="179"/>
              <w:rPr>
                <w:sz w:val="22"/>
              </w:rPr>
            </w:pPr>
            <w:r>
              <w:rPr>
                <w:sz w:val="22"/>
              </w:rPr>
              <w:t>释义</w:t>
            </w:r>
          </w:p>
        </w:tc>
        <w:tc>
          <w:tcPr>
            <w:tcW w:w="6622" w:type="dxa"/>
          </w:tcPr>
          <w:p>
            <w:pPr>
              <w:pStyle w:val="TableParagraph"/>
              <w:ind w:left="0"/>
              <w:rPr>
                <w:rFonts w:ascii="Times New Roman"/>
                <w:sz w:val="20"/>
              </w:rPr>
            </w:pPr>
          </w:p>
        </w:tc>
      </w:tr>
      <w:tr>
        <w:trPr>
          <w:trHeight w:val="259" w:hRule="atLeast"/>
        </w:trPr>
        <w:tc>
          <w:tcPr>
            <w:tcW w:w="1480" w:type="dxa"/>
          </w:tcPr>
          <w:p>
            <w:pPr>
              <w:pStyle w:val="TableParagraph"/>
              <w:spacing w:line="240" w:lineRule="exact"/>
              <w:ind w:left="163"/>
              <w:jc w:val="center"/>
              <w:rPr>
                <w:sz w:val="21"/>
              </w:rPr>
            </w:pPr>
            <w:r>
              <w:rPr>
                <w:w w:val="100"/>
                <w:sz w:val="21"/>
              </w:rPr>
              <w:t>一</w:t>
            </w:r>
          </w:p>
        </w:tc>
        <w:tc>
          <w:tcPr>
            <w:tcW w:w="1445" w:type="dxa"/>
          </w:tcPr>
          <w:p>
            <w:pPr>
              <w:pStyle w:val="TableParagraph"/>
              <w:spacing w:line="240" w:lineRule="exact"/>
              <w:ind w:left="179"/>
              <w:rPr>
                <w:sz w:val="21"/>
              </w:rPr>
            </w:pPr>
            <w:r>
              <w:rPr>
                <w:sz w:val="21"/>
              </w:rPr>
              <w:t>本公司</w:t>
            </w:r>
          </w:p>
        </w:tc>
        <w:tc>
          <w:tcPr>
            <w:tcW w:w="6622" w:type="dxa"/>
          </w:tcPr>
          <w:p>
            <w:pPr>
              <w:pStyle w:val="TableParagraph"/>
              <w:spacing w:line="240" w:lineRule="exact"/>
              <w:ind w:left="383"/>
              <w:rPr>
                <w:sz w:val="21"/>
              </w:rPr>
            </w:pPr>
            <w:r>
              <w:rPr>
                <w:sz w:val="21"/>
              </w:rPr>
              <w:t>指中航三星人寿保险有限公司。</w:t>
            </w:r>
          </w:p>
        </w:tc>
      </w:tr>
    </w:tbl>
    <w:p>
      <w:pPr>
        <w:spacing w:after="0" w:line="240" w:lineRule="exact"/>
        <w:rPr>
          <w:sz w:val="21"/>
        </w:rPr>
        <w:sectPr>
          <w:pgSz w:w="11910" w:h="16840"/>
          <w:pgMar w:header="0" w:footer="919" w:top="1580" w:bottom="1100" w:left="1160" w:right="980"/>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2"/>
        <w:ind w:left="0"/>
        <w:rPr>
          <w:rFonts w:ascii="Times New Roman"/>
          <w:sz w:val="25"/>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7"/>
        <w:gridCol w:w="1612"/>
        <w:gridCol w:w="6640"/>
      </w:tblGrid>
      <w:tr>
        <w:trPr>
          <w:trHeight w:val="729" w:hRule="atLeast"/>
        </w:trPr>
        <w:tc>
          <w:tcPr>
            <w:tcW w:w="777" w:type="dxa"/>
          </w:tcPr>
          <w:p>
            <w:pPr>
              <w:pStyle w:val="TableParagraph"/>
              <w:spacing w:line="211" w:lineRule="exact"/>
              <w:ind w:left="200"/>
              <w:rPr>
                <w:sz w:val="21"/>
              </w:rPr>
            </w:pPr>
            <w:r>
              <w:rPr>
                <w:w w:val="100"/>
                <w:sz w:val="21"/>
              </w:rPr>
              <w:t>二</w:t>
            </w:r>
          </w:p>
        </w:tc>
        <w:tc>
          <w:tcPr>
            <w:tcW w:w="1612" w:type="dxa"/>
          </w:tcPr>
          <w:p>
            <w:pPr>
              <w:pStyle w:val="TableParagraph"/>
              <w:spacing w:line="211" w:lineRule="exact"/>
              <w:ind w:left="366"/>
              <w:rPr>
                <w:sz w:val="21"/>
              </w:rPr>
            </w:pPr>
            <w:r>
              <w:rPr>
                <w:sz w:val="21"/>
              </w:rPr>
              <w:t>团体</w:t>
            </w:r>
          </w:p>
        </w:tc>
        <w:tc>
          <w:tcPr>
            <w:tcW w:w="6640" w:type="dxa"/>
          </w:tcPr>
          <w:p>
            <w:pPr>
              <w:pStyle w:val="TableParagraph"/>
              <w:spacing w:line="211" w:lineRule="exact"/>
              <w:ind w:left="403"/>
              <w:rPr>
                <w:sz w:val="21"/>
              </w:rPr>
            </w:pPr>
            <w:r>
              <w:rPr>
                <w:sz w:val="21"/>
              </w:rPr>
              <w:t>指中国境内具有五人以上且非因购买保险而组织的合法团体。包</w:t>
            </w:r>
          </w:p>
          <w:p>
            <w:pPr>
              <w:pStyle w:val="TableParagraph"/>
              <w:spacing w:before="37"/>
              <w:ind w:left="403"/>
              <w:rPr>
                <w:sz w:val="21"/>
              </w:rPr>
            </w:pPr>
            <w:r>
              <w:rPr>
                <w:sz w:val="21"/>
              </w:rPr>
              <w:t>括国家机关、院校、企事业单位、行业组织、职业工会等。</w:t>
            </w:r>
          </w:p>
        </w:tc>
      </w:tr>
      <w:tr>
        <w:trPr>
          <w:trHeight w:val="1248" w:hRule="atLeast"/>
        </w:trPr>
        <w:tc>
          <w:tcPr>
            <w:tcW w:w="777" w:type="dxa"/>
          </w:tcPr>
          <w:p>
            <w:pPr>
              <w:pStyle w:val="TableParagraph"/>
              <w:spacing w:before="142"/>
              <w:ind w:left="200"/>
              <w:rPr>
                <w:sz w:val="21"/>
              </w:rPr>
            </w:pPr>
            <w:r>
              <w:rPr>
                <w:w w:val="100"/>
                <w:sz w:val="21"/>
              </w:rPr>
              <w:t>三</w:t>
            </w:r>
          </w:p>
        </w:tc>
        <w:tc>
          <w:tcPr>
            <w:tcW w:w="1612" w:type="dxa"/>
          </w:tcPr>
          <w:p>
            <w:pPr>
              <w:pStyle w:val="TableParagraph"/>
              <w:spacing w:before="142"/>
              <w:ind w:left="366"/>
              <w:rPr>
                <w:sz w:val="21"/>
              </w:rPr>
            </w:pPr>
            <w:r>
              <w:rPr>
                <w:sz w:val="21"/>
              </w:rPr>
              <w:t>医院</w:t>
            </w:r>
          </w:p>
        </w:tc>
        <w:tc>
          <w:tcPr>
            <w:tcW w:w="6640" w:type="dxa"/>
          </w:tcPr>
          <w:p>
            <w:pPr>
              <w:pStyle w:val="TableParagraph"/>
              <w:spacing w:line="273" w:lineRule="auto" w:before="142"/>
              <w:ind w:left="403" w:right="303"/>
              <w:jc w:val="both"/>
              <w:rPr>
                <w:sz w:val="21"/>
              </w:rPr>
            </w:pPr>
            <w:r>
              <w:rPr>
                <w:sz w:val="21"/>
              </w:rPr>
              <w:t>指在本合同中列明的医院。本合同未列明的，则指国家卫生行政部门评定的二级或二级以上公立医院，但不包括康复、护理、疗养、戒酒、戒毒或类似性质的医疗机构。</w:t>
            </w:r>
          </w:p>
        </w:tc>
      </w:tr>
      <w:tr>
        <w:trPr>
          <w:trHeight w:val="10403" w:hRule="atLeast"/>
        </w:trPr>
        <w:tc>
          <w:tcPr>
            <w:tcW w:w="777" w:type="dxa"/>
          </w:tcPr>
          <w:p>
            <w:pPr>
              <w:pStyle w:val="TableParagraph"/>
              <w:spacing w:before="142"/>
              <w:ind w:left="200"/>
              <w:rPr>
                <w:sz w:val="21"/>
              </w:rPr>
            </w:pPr>
            <w:r>
              <w:rPr>
                <w:w w:val="100"/>
                <w:sz w:val="21"/>
              </w:rPr>
              <w:t>四</w:t>
            </w:r>
          </w:p>
        </w:tc>
        <w:tc>
          <w:tcPr>
            <w:tcW w:w="1612" w:type="dxa"/>
          </w:tcPr>
          <w:p>
            <w:pPr>
              <w:pStyle w:val="TableParagraph"/>
              <w:spacing w:before="142"/>
              <w:ind w:left="366"/>
              <w:rPr>
                <w:sz w:val="21"/>
              </w:rPr>
            </w:pPr>
            <w:r>
              <w:rPr>
                <w:sz w:val="21"/>
              </w:rPr>
              <w:t>重大疾病</w:t>
            </w:r>
          </w:p>
        </w:tc>
        <w:tc>
          <w:tcPr>
            <w:tcW w:w="6640" w:type="dxa"/>
          </w:tcPr>
          <w:p>
            <w:pPr>
              <w:pStyle w:val="TableParagraph"/>
              <w:spacing w:line="273" w:lineRule="auto" w:before="142"/>
              <w:ind w:left="403" w:right="300"/>
              <w:jc w:val="both"/>
              <w:rPr>
                <w:sz w:val="21"/>
              </w:rPr>
            </w:pPr>
            <w:r>
              <w:rPr>
                <w:spacing w:val="-6"/>
                <w:sz w:val="21"/>
              </w:rPr>
              <w:t>本合同所称的重大疾病共包含 </w:t>
            </w:r>
            <w:r>
              <w:rPr>
                <w:sz w:val="21"/>
              </w:rPr>
              <w:t>25</w:t>
            </w:r>
            <w:r>
              <w:rPr>
                <w:spacing w:val="-11"/>
                <w:sz w:val="21"/>
              </w:rPr>
              <w:t> 种重大疾病，其中 </w:t>
            </w:r>
            <w:r>
              <w:rPr>
                <w:sz w:val="21"/>
              </w:rPr>
              <w:t>22</w:t>
            </w:r>
            <w:r>
              <w:rPr>
                <w:spacing w:val="-9"/>
                <w:sz w:val="21"/>
              </w:rPr>
              <w:t> 种为中国保险行业协会推荐的疾病，3</w:t>
            </w:r>
            <w:r>
              <w:rPr>
                <w:sz w:val="21"/>
              </w:rPr>
              <w:t> 种为中国保险行业协会推荐范围以外的疾病。被保险人发生符合以下疾病定义所述条件的疾病，须</w:t>
            </w:r>
            <w:r>
              <w:rPr>
                <w:spacing w:val="-3"/>
                <w:sz w:val="21"/>
              </w:rPr>
              <w:t>由专科医生明确诊断。</w:t>
            </w:r>
          </w:p>
          <w:p>
            <w:pPr>
              <w:pStyle w:val="TableParagraph"/>
              <w:spacing w:line="273" w:lineRule="auto" w:before="7"/>
              <w:ind w:left="403" w:right="306"/>
              <w:rPr>
                <w:sz w:val="21"/>
              </w:rPr>
            </w:pPr>
            <w:r>
              <w:rPr>
                <w:sz w:val="21"/>
              </w:rPr>
              <w:t>1. 22 种由中国保险行业协会推荐的疾病是指符合下列条件的疾病：</w:t>
            </w:r>
          </w:p>
          <w:p>
            <w:pPr>
              <w:pStyle w:val="TableParagraph"/>
              <w:spacing w:before="7"/>
              <w:ind w:left="403"/>
              <w:rPr>
                <w:sz w:val="21"/>
              </w:rPr>
            </w:pPr>
            <w:r>
              <w:rPr>
                <w:sz w:val="21"/>
              </w:rPr>
              <w:t>（1）恶性肿瘤</w:t>
            </w:r>
          </w:p>
          <w:p>
            <w:pPr>
              <w:pStyle w:val="TableParagraph"/>
              <w:spacing w:line="273" w:lineRule="auto" w:before="37"/>
              <w:ind w:left="403" w:right="197"/>
              <w:rPr>
                <w:sz w:val="21"/>
              </w:rPr>
            </w:pPr>
            <w:r>
              <w:rPr>
                <w:sz w:val="21"/>
              </w:rPr>
              <w:t>指恶性细胞不受控制的进行性增长和扩散，浸润和破坏周围正常组织，可以经血管、淋巴管和体腔扩散转移到身体其它部位的疾</w:t>
            </w:r>
            <w:r>
              <w:rPr>
                <w:spacing w:val="-15"/>
                <w:sz w:val="21"/>
              </w:rPr>
              <w:t>病。经病理学检查结果明确诊断，临床诊断属于世界卫生组织《疾</w:t>
            </w:r>
            <w:r>
              <w:rPr>
                <w:spacing w:val="-10"/>
                <w:sz w:val="21"/>
              </w:rPr>
              <w:t>病和有关健康问题的国际统计分类》</w:t>
            </w:r>
            <w:r>
              <w:rPr>
                <w:spacing w:val="-4"/>
                <w:sz w:val="21"/>
              </w:rPr>
              <w:t>（ICD-10）</w:t>
            </w:r>
            <w:r>
              <w:rPr>
                <w:spacing w:val="-3"/>
                <w:sz w:val="21"/>
              </w:rPr>
              <w:t>的恶性肿瘤范畴。下列疾病不在保障范围内：</w:t>
            </w:r>
          </w:p>
          <w:p>
            <w:pPr>
              <w:pStyle w:val="TableParagraph"/>
              <w:spacing w:before="7"/>
              <w:ind w:left="403"/>
              <w:rPr>
                <w:sz w:val="21"/>
              </w:rPr>
            </w:pPr>
            <w:r>
              <w:rPr>
                <w:sz w:val="21"/>
              </w:rPr>
              <w:t>① 原位癌；</w:t>
            </w:r>
          </w:p>
          <w:p>
            <w:pPr>
              <w:pStyle w:val="TableParagraph"/>
              <w:spacing w:before="36"/>
              <w:ind w:left="403"/>
              <w:rPr>
                <w:sz w:val="21"/>
              </w:rPr>
            </w:pPr>
            <w:r>
              <w:rPr>
                <w:sz w:val="21"/>
              </w:rPr>
              <w:t>② 相当于 Binet 分期方案 A 期程度的慢性淋巴细胞白血病；</w:t>
            </w:r>
          </w:p>
          <w:p>
            <w:pPr>
              <w:pStyle w:val="TableParagraph"/>
              <w:spacing w:before="36"/>
              <w:ind w:left="403"/>
              <w:rPr>
                <w:sz w:val="21"/>
              </w:rPr>
            </w:pPr>
            <w:r>
              <w:rPr>
                <w:sz w:val="21"/>
              </w:rPr>
              <w:t>③ 相当于 Ann Arbor 分期方案 I 期程度的何杰金氏病；</w:t>
            </w:r>
          </w:p>
          <w:p>
            <w:pPr>
              <w:pStyle w:val="TableParagraph"/>
              <w:spacing w:before="36"/>
              <w:ind w:left="403"/>
              <w:rPr>
                <w:sz w:val="21"/>
              </w:rPr>
            </w:pPr>
            <w:r>
              <w:rPr>
                <w:sz w:val="21"/>
              </w:rPr>
              <w:t>④ 皮肤癌（不包括恶性黑色素瘤及已发生转移的皮肤癌）；</w:t>
            </w:r>
          </w:p>
          <w:p>
            <w:pPr>
              <w:pStyle w:val="TableParagraph"/>
              <w:spacing w:before="37"/>
              <w:ind w:left="403"/>
              <w:rPr>
                <w:sz w:val="21"/>
              </w:rPr>
            </w:pPr>
            <w:r>
              <w:rPr>
                <w:w w:val="100"/>
                <w:sz w:val="21"/>
              </w:rPr>
              <w:t>⑤</w:t>
            </w:r>
            <w:r>
              <w:rPr>
                <w:sz w:val="21"/>
              </w:rPr>
              <w:t> </w:t>
            </w:r>
            <w:r>
              <w:rPr>
                <w:w w:val="100"/>
                <w:sz w:val="21"/>
              </w:rPr>
              <w:t>T</w:t>
            </w:r>
            <w:r>
              <w:rPr>
                <w:spacing w:val="-3"/>
                <w:w w:val="100"/>
                <w:sz w:val="21"/>
              </w:rPr>
              <w:t>N</w:t>
            </w:r>
            <w:r>
              <w:rPr>
                <w:w w:val="100"/>
                <w:sz w:val="21"/>
              </w:rPr>
              <w:t>M</w:t>
            </w:r>
            <w:r>
              <w:rPr>
                <w:spacing w:val="-53"/>
                <w:sz w:val="21"/>
              </w:rPr>
              <w:t> </w:t>
            </w:r>
            <w:r>
              <w:rPr>
                <w:spacing w:val="-2"/>
                <w:w w:val="100"/>
                <w:sz w:val="21"/>
              </w:rPr>
              <w:t>分期为</w:t>
            </w:r>
            <w:r>
              <w:rPr>
                <w:spacing w:val="-53"/>
                <w:sz w:val="21"/>
              </w:rPr>
              <w:t> </w:t>
            </w:r>
            <w:r>
              <w:rPr>
                <w:spacing w:val="-3"/>
                <w:w w:val="100"/>
                <w:sz w:val="21"/>
              </w:rPr>
              <w:t>T</w:t>
            </w:r>
            <w:r>
              <w:rPr>
                <w:w w:val="100"/>
                <w:sz w:val="10"/>
              </w:rPr>
              <w:t>1</w:t>
            </w:r>
            <w:r>
              <w:rPr>
                <w:w w:val="100"/>
                <w:sz w:val="21"/>
              </w:rPr>
              <w:t>N</w:t>
            </w:r>
            <w:r>
              <w:rPr>
                <w:w w:val="100"/>
                <w:sz w:val="10"/>
              </w:rPr>
              <w:t>0</w:t>
            </w:r>
            <w:r>
              <w:rPr>
                <w:w w:val="100"/>
                <w:sz w:val="21"/>
              </w:rPr>
              <w:t>M</w:t>
            </w:r>
            <w:r>
              <w:rPr>
                <w:w w:val="100"/>
                <w:sz w:val="10"/>
              </w:rPr>
              <w:t>0</w:t>
            </w:r>
            <w:r>
              <w:rPr>
                <w:spacing w:val="-29"/>
                <w:sz w:val="10"/>
              </w:rPr>
              <w:t> </w:t>
            </w:r>
            <w:r>
              <w:rPr>
                <w:spacing w:val="-3"/>
                <w:w w:val="100"/>
                <w:sz w:val="21"/>
              </w:rPr>
              <w:t>期或更轻分期的前列腺癌；</w:t>
            </w:r>
          </w:p>
          <w:p>
            <w:pPr>
              <w:pStyle w:val="TableParagraph"/>
              <w:spacing w:before="37"/>
              <w:ind w:left="403"/>
              <w:rPr>
                <w:sz w:val="21"/>
              </w:rPr>
            </w:pPr>
            <w:r>
              <w:rPr>
                <w:sz w:val="21"/>
              </w:rPr>
              <w:t>⑥ 感染艾滋病病毒或患艾滋病期间所患恶性肿瘤。</w:t>
            </w:r>
          </w:p>
          <w:p>
            <w:pPr>
              <w:pStyle w:val="TableParagraph"/>
              <w:spacing w:before="37"/>
              <w:ind w:left="403"/>
              <w:rPr>
                <w:sz w:val="21"/>
              </w:rPr>
            </w:pPr>
            <w:r>
              <w:rPr>
                <w:sz w:val="21"/>
              </w:rPr>
              <w:t>（2）急性心肌梗塞</w:t>
            </w:r>
          </w:p>
          <w:p>
            <w:pPr>
              <w:pStyle w:val="TableParagraph"/>
              <w:spacing w:line="273" w:lineRule="auto" w:before="37"/>
              <w:ind w:left="403" w:right="303"/>
              <w:rPr>
                <w:sz w:val="21"/>
              </w:rPr>
            </w:pPr>
            <w:r>
              <w:rPr>
                <w:sz w:val="21"/>
              </w:rPr>
              <w:t>指因冠状动脉阻塞导致的相应区域供血不足造成部分心肌坏死。须满足下列至少三项条件：</w:t>
            </w:r>
          </w:p>
          <w:p>
            <w:pPr>
              <w:pStyle w:val="TableParagraph"/>
              <w:spacing w:before="7"/>
              <w:ind w:left="403"/>
              <w:rPr>
                <w:sz w:val="21"/>
              </w:rPr>
            </w:pPr>
            <w:r>
              <w:rPr>
                <w:sz w:val="21"/>
              </w:rPr>
              <w:t>① 典型临床表现，例如急性胸痛等；</w:t>
            </w:r>
          </w:p>
          <w:p>
            <w:pPr>
              <w:pStyle w:val="TableParagraph"/>
              <w:spacing w:before="36"/>
              <w:ind w:left="403"/>
              <w:rPr>
                <w:sz w:val="21"/>
              </w:rPr>
            </w:pPr>
            <w:r>
              <w:rPr>
                <w:sz w:val="21"/>
              </w:rPr>
              <w:t>② 新近的心电图改变提示急性心肌梗塞；</w:t>
            </w:r>
          </w:p>
          <w:p>
            <w:pPr>
              <w:pStyle w:val="TableParagraph"/>
              <w:spacing w:line="273" w:lineRule="auto" w:before="36"/>
              <w:ind w:left="403" w:right="236"/>
              <w:rPr>
                <w:sz w:val="21"/>
              </w:rPr>
            </w:pPr>
            <w:r>
              <w:rPr>
                <w:sz w:val="21"/>
              </w:rPr>
              <w:t>③ 心肌酶或肌钙蛋白有诊断意义的升高，或呈符合急性心肌梗塞的动态性变化；</w:t>
            </w:r>
          </w:p>
          <w:p>
            <w:pPr>
              <w:pStyle w:val="TableParagraph"/>
              <w:spacing w:line="273" w:lineRule="auto" w:before="7"/>
              <w:ind w:left="403" w:right="236"/>
              <w:rPr>
                <w:sz w:val="21"/>
              </w:rPr>
            </w:pPr>
            <w:r>
              <w:rPr>
                <w:sz w:val="21"/>
              </w:rPr>
              <w:t>④ 发病 90 天后，经检查证实左心室功能降低，如左心室射血分数低于 50%。</w:t>
            </w:r>
          </w:p>
          <w:p>
            <w:pPr>
              <w:pStyle w:val="TableParagraph"/>
              <w:spacing w:before="7"/>
              <w:ind w:left="403"/>
              <w:rPr>
                <w:sz w:val="21"/>
              </w:rPr>
            </w:pPr>
            <w:r>
              <w:rPr>
                <w:sz w:val="21"/>
              </w:rPr>
              <w:t>（3）脑中风后遗症</w:t>
            </w:r>
          </w:p>
          <w:p>
            <w:pPr>
              <w:pStyle w:val="TableParagraph"/>
              <w:spacing w:line="273" w:lineRule="auto" w:before="37"/>
              <w:ind w:left="403" w:right="303"/>
              <w:jc w:val="both"/>
              <w:rPr>
                <w:sz w:val="21"/>
              </w:rPr>
            </w:pPr>
            <w:r>
              <w:rPr>
                <w:sz w:val="21"/>
              </w:rPr>
              <w:t>指因脑血管的突发病变引起脑血管出血、栓塞或梗塞，并导致神经系统永久性的功能障碍。神经系统永久性的功能障碍，指疾病确诊 180 天后，仍遗留下列一种或一种以上障碍：</w:t>
            </w:r>
          </w:p>
          <w:p>
            <w:pPr>
              <w:pStyle w:val="TableParagraph"/>
              <w:spacing w:before="7"/>
              <w:ind w:left="403"/>
              <w:rPr>
                <w:sz w:val="21"/>
              </w:rPr>
            </w:pPr>
            <w:r>
              <w:rPr>
                <w:sz w:val="21"/>
              </w:rPr>
              <w:t>① 一肢或一肢以上肢体机能完全丧失；</w:t>
            </w:r>
          </w:p>
          <w:p>
            <w:pPr>
              <w:pStyle w:val="TableParagraph"/>
              <w:spacing w:line="255" w:lineRule="exact" w:before="36"/>
              <w:ind w:left="403"/>
              <w:rPr>
                <w:sz w:val="21"/>
              </w:rPr>
            </w:pPr>
            <w:r>
              <w:rPr>
                <w:sz w:val="21"/>
              </w:rPr>
              <w:t>② 语言能力或咀嚼吞咽能力完全丧失；</w:t>
            </w:r>
          </w:p>
        </w:tc>
      </w:tr>
    </w:tbl>
    <w:p>
      <w:pPr>
        <w:spacing w:after="0" w:line="255" w:lineRule="exact"/>
        <w:rPr>
          <w:sz w:val="21"/>
        </w:rPr>
        <w:sectPr>
          <w:pgSz w:w="11910" w:h="16840"/>
          <w:pgMar w:header="0" w:footer="919" w:top="1580" w:bottom="1100" w:left="1680" w:right="980"/>
        </w:sectPr>
      </w:pPr>
    </w:p>
    <w:p>
      <w:pPr>
        <w:pStyle w:val="BodyText"/>
        <w:spacing w:before="4"/>
        <w:ind w:left="0"/>
        <w:rPr>
          <w:rFonts w:ascii="Times New Roman"/>
          <w:sz w:val="29"/>
        </w:rPr>
      </w:pPr>
    </w:p>
    <w:p>
      <w:pPr>
        <w:pStyle w:val="BodyText"/>
        <w:spacing w:line="273" w:lineRule="auto"/>
        <w:ind w:right="119"/>
      </w:pPr>
      <w:r>
        <w:rPr>
          <w:spacing w:val="-8"/>
        </w:rPr>
        <w:t>③ 自主生活能力完全丧失，无法独立完成六项基本日常生活活动</w:t>
      </w:r>
      <w:r>
        <w:rPr>
          <w:spacing w:val="-5"/>
        </w:rPr>
        <w:t>中的三项或三项以上。</w:t>
      </w:r>
    </w:p>
    <w:p>
      <w:pPr>
        <w:pStyle w:val="BodyText"/>
        <w:spacing w:before="8"/>
      </w:pPr>
      <w:r>
        <w:rPr/>
        <w:t>（4）重大器官移植术或造血干细胞移植术</w:t>
      </w:r>
    </w:p>
    <w:p>
      <w:pPr>
        <w:pStyle w:val="BodyText"/>
        <w:spacing w:line="273" w:lineRule="auto"/>
        <w:ind w:right="120"/>
      </w:pPr>
      <w:r>
        <w:rPr/>
        <w:t>重大器官移植术，指因相应器官功能衰竭，已经实施了肾脏、肝脏、心脏或肺脏的异体移植手术。</w:t>
      </w:r>
    </w:p>
    <w:p>
      <w:pPr>
        <w:pStyle w:val="BodyText"/>
        <w:spacing w:line="273" w:lineRule="auto" w:before="7"/>
        <w:ind w:right="120"/>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7"/>
      </w:pPr>
      <w:r>
        <w:rPr/>
        <w:t>（5）冠状动脉搭桥术</w:t>
      </w:r>
    </w:p>
    <w:p>
      <w:pPr>
        <w:pStyle w:val="BodyText"/>
        <w:spacing w:line="273" w:lineRule="auto"/>
        <w:ind w:right="120"/>
      </w:pPr>
      <w:r>
        <w:rPr/>
        <w:t>指为治疗严重的冠心病，实际实施了开胸进行的冠状动脉血管旁路移植的手术。</w:t>
      </w:r>
    </w:p>
    <w:p>
      <w:pPr>
        <w:pStyle w:val="BodyText"/>
        <w:spacing w:line="273" w:lineRule="auto" w:before="8"/>
        <w:ind w:right="120"/>
      </w:pPr>
      <w:r>
        <w:rPr/>
        <w:t>冠状动脉支架植入术、心导管球囊扩张术、激光射频技术及其它非开胸的介入手术、腔镜手术不在保障范围内。</w:t>
      </w:r>
    </w:p>
    <w:p>
      <w:pPr>
        <w:pStyle w:val="BodyText"/>
        <w:spacing w:before="8"/>
      </w:pPr>
      <w:r>
        <w:rPr/>
        <w:t>（6）终末期肾病</w:t>
      </w:r>
    </w:p>
    <w:p>
      <w:pPr>
        <w:pStyle w:val="BodyText"/>
        <w:spacing w:line="273" w:lineRule="auto"/>
        <w:ind w:right="120"/>
      </w:pPr>
      <w:r>
        <w:rPr/>
        <w:t>指双肾功能慢性不可逆性衰竭，达到尿毒症期，经诊断后已经进行了至少 90 天的规律性透析治疗或实施了肾脏移植手术。</w:t>
      </w:r>
    </w:p>
    <w:p>
      <w:pPr>
        <w:pStyle w:val="BodyText"/>
        <w:spacing w:before="7"/>
      </w:pPr>
      <w:r>
        <w:rPr/>
        <w:t>（7）急性或亚急性重症肝炎</w:t>
      </w:r>
    </w:p>
    <w:p>
      <w:pPr>
        <w:pStyle w:val="BodyText"/>
        <w:spacing w:line="273" w:lineRule="auto" w:before="36"/>
        <w:ind w:right="120"/>
      </w:pPr>
      <w:r>
        <w:rPr/>
        <w:t>指因肝炎病毒感染引起肝脏组织弥漫性坏死，导致急性肝功能衰竭，且经血清学或病毒学检查证实，并须满足下列全部条件：</w:t>
      </w:r>
    </w:p>
    <w:p>
      <w:pPr>
        <w:pStyle w:val="BodyText"/>
        <w:spacing w:before="7"/>
        <w:jc w:val="both"/>
      </w:pPr>
      <w:r>
        <w:rPr/>
        <w:t>① 重度黄疸或黄疸迅速加重；</w:t>
      </w:r>
    </w:p>
    <w:p>
      <w:pPr>
        <w:pStyle w:val="BodyText"/>
        <w:jc w:val="both"/>
      </w:pPr>
      <w:r>
        <w:rPr/>
        <w:t>② 肝性脑病；</w:t>
      </w:r>
    </w:p>
    <w:p>
      <w:pPr>
        <w:pStyle w:val="BodyText"/>
        <w:jc w:val="both"/>
      </w:pPr>
      <w:r>
        <w:rPr/>
        <w:t>③ B 超或其它影像学检查显示肝脏体积急速萎缩；</w:t>
      </w:r>
    </w:p>
    <w:p>
      <w:pPr>
        <w:pStyle w:val="BodyText"/>
        <w:jc w:val="both"/>
      </w:pPr>
      <w:r>
        <w:rPr/>
        <w:t>④ 肝功能指标进行性恶化。</w:t>
      </w:r>
    </w:p>
    <w:p>
      <w:pPr>
        <w:pStyle w:val="BodyText"/>
        <w:jc w:val="both"/>
      </w:pPr>
      <w:r>
        <w:rPr/>
        <w:t>（8）良性脑肿瘤</w:t>
      </w:r>
    </w:p>
    <w:p>
      <w:pPr>
        <w:pStyle w:val="BodyText"/>
        <w:spacing w:line="273" w:lineRule="auto"/>
        <w:ind w:right="117"/>
        <w:jc w:val="both"/>
      </w:pPr>
      <w:r>
        <w:rPr/>
        <w:t>指脑的良性肿瘤，已经引起颅内压增高，临床表现为视神经乳头水肿、精神症状、癫痫及运动感觉障碍等，并危及生命。须由头</w:t>
      </w:r>
      <w:r>
        <w:rPr>
          <w:spacing w:val="-4"/>
        </w:rPr>
        <w:t>颅断层扫描（CT）</w:t>
      </w:r>
      <w:r>
        <w:rPr>
          <w:spacing w:val="-7"/>
        </w:rPr>
        <w:t>、核磁共振检查</w:t>
      </w:r>
      <w:r>
        <w:rPr>
          <w:spacing w:val="-4"/>
        </w:rPr>
        <w:t>（MRI）</w:t>
      </w:r>
      <w:r>
        <w:rPr>
          <w:spacing w:val="-3"/>
        </w:rPr>
        <w:t>或正电子发射断层扫描</w:t>
      </w:r>
    </w:p>
    <w:p>
      <w:pPr>
        <w:pStyle w:val="BodyText"/>
        <w:spacing w:before="7"/>
        <w:jc w:val="both"/>
      </w:pPr>
      <w:r>
        <w:rPr/>
        <w:t>（PET）等影像学检查证实，并须满足下列至少一项条件：</w:t>
      </w:r>
    </w:p>
    <w:p>
      <w:pPr>
        <w:pStyle w:val="BodyText"/>
        <w:jc w:val="both"/>
      </w:pPr>
      <w:r>
        <w:rPr/>
        <w:t>① 实际实施了开颅进行的脑肿瘤完全切除或部分切除的手术；</w:t>
      </w:r>
    </w:p>
    <w:p>
      <w:pPr>
        <w:pStyle w:val="BodyText"/>
        <w:jc w:val="both"/>
      </w:pPr>
      <w:r>
        <w:rPr/>
        <w:t>② 实际实施了对脑肿瘤进行的放射治疗。</w:t>
      </w:r>
    </w:p>
    <w:p>
      <w:pPr>
        <w:pStyle w:val="BodyText"/>
        <w:jc w:val="both"/>
      </w:pPr>
      <w:r>
        <w:rPr/>
        <w:t>脑垂体瘤、脑囊肿、脑血管性疾病不在保障范围内。</w:t>
      </w:r>
    </w:p>
    <w:p>
      <w:pPr>
        <w:pStyle w:val="BodyText"/>
        <w:jc w:val="both"/>
      </w:pPr>
      <w:r>
        <w:rPr/>
        <w:t>（9）脑炎后遗症或脑膜炎后遗症</w:t>
      </w:r>
    </w:p>
    <w:p>
      <w:pPr>
        <w:pStyle w:val="BodyText"/>
        <w:spacing w:line="273" w:lineRule="auto"/>
        <w:ind w:right="117"/>
        <w:jc w:val="both"/>
      </w:pPr>
      <w:r>
        <w:rPr/>
        <w:t>指因患脑炎或脑膜炎导致的神经系统永久性的功能障碍。神经系</w:t>
      </w:r>
      <w:r>
        <w:rPr>
          <w:spacing w:val="-4"/>
        </w:rPr>
        <w:t>统永久性的功能障碍，指疾病确诊 </w:t>
      </w:r>
      <w:r>
        <w:rPr/>
        <w:t>180</w:t>
      </w:r>
      <w:r>
        <w:rPr>
          <w:spacing w:val="-5"/>
        </w:rPr>
        <w:t> 天后，仍遗留下列一种或</w:t>
      </w:r>
      <w:r>
        <w:rPr>
          <w:spacing w:val="-4"/>
        </w:rPr>
        <w:t>一种以上障碍：</w:t>
      </w:r>
    </w:p>
    <w:p>
      <w:pPr>
        <w:pStyle w:val="BodyText"/>
        <w:spacing w:before="8"/>
      </w:pPr>
      <w:r>
        <w:rPr/>
        <w:t>① 一肢或一肢以上肢体机能完全丧失；</w:t>
      </w:r>
    </w:p>
    <w:p>
      <w:pPr>
        <w:pStyle w:val="BodyText"/>
        <w:spacing w:before="38"/>
      </w:pPr>
      <w:r>
        <w:rPr/>
        <w:t>② 语言能力或咀嚼吞咽能力完全丧失；</w:t>
      </w:r>
    </w:p>
    <w:p>
      <w:pPr>
        <w:pStyle w:val="BodyText"/>
        <w:spacing w:line="273" w:lineRule="auto"/>
        <w:ind w:right="119"/>
      </w:pPr>
      <w:r>
        <w:rPr>
          <w:spacing w:val="-8"/>
        </w:rPr>
        <w:t>③ 自主生活能力完全丧失，无法独立完成六项基本日常生活活动</w:t>
      </w:r>
      <w:r>
        <w:rPr>
          <w:spacing w:val="-5"/>
        </w:rPr>
        <w:t>中的三项或三项以上。</w:t>
      </w:r>
    </w:p>
    <w:p>
      <w:pPr>
        <w:pStyle w:val="BodyText"/>
        <w:spacing w:before="7"/>
        <w:jc w:val="both"/>
      </w:pPr>
      <w:r>
        <w:rPr/>
        <w:t>（10）深度昏迷</w:t>
      </w:r>
    </w:p>
    <w:p>
      <w:pPr>
        <w:pStyle w:val="BodyText"/>
        <w:spacing w:before="36"/>
        <w:jc w:val="both"/>
      </w:pPr>
      <w:r>
        <w:rPr/>
        <w:t>指因疾病或意外伤害导致意识丧失,对外界刺激和体内需求均无</w:t>
      </w:r>
    </w:p>
    <w:p>
      <w:pPr>
        <w:spacing w:after="0"/>
        <w:jc w:val="both"/>
        <w:sectPr>
          <w:pgSz w:w="11910" w:h="16840"/>
          <w:pgMar w:header="0" w:footer="919" w:top="1580" w:bottom="1100" w:left="1680" w:right="1280"/>
        </w:sectPr>
      </w:pPr>
    </w:p>
    <w:p>
      <w:pPr>
        <w:pStyle w:val="BodyText"/>
        <w:spacing w:before="10"/>
        <w:ind w:left="0"/>
        <w:rPr>
          <w:sz w:val="25"/>
        </w:rPr>
      </w:pPr>
    </w:p>
    <w:p>
      <w:pPr>
        <w:pStyle w:val="BodyText"/>
        <w:spacing w:line="273" w:lineRule="auto"/>
        <w:ind w:right="217"/>
      </w:pPr>
      <w:r>
        <w:rPr>
          <w:spacing w:val="-3"/>
        </w:rPr>
        <w:t>反应,昏迷程度按照格拉斯哥昏迷分级</w:t>
      </w:r>
      <w:r>
        <w:rPr/>
        <w:t>（Glasgow coma scale）结</w:t>
      </w:r>
      <w:r>
        <w:rPr>
          <w:spacing w:val="-11"/>
        </w:rPr>
        <w:t>果为 </w:t>
      </w:r>
      <w:r>
        <w:rPr/>
        <w:t>5</w:t>
      </w:r>
      <w:r>
        <w:rPr>
          <w:spacing w:val="-18"/>
        </w:rPr>
        <w:t> 分或 </w:t>
      </w:r>
      <w:r>
        <w:rPr/>
        <w:t>5</w:t>
      </w:r>
      <w:r>
        <w:rPr>
          <w:spacing w:val="-7"/>
        </w:rPr>
        <w:t> 分以下，且已经持续使用呼吸机及其它生命维持系</w:t>
      </w:r>
    </w:p>
    <w:p>
      <w:pPr>
        <w:pStyle w:val="BodyText"/>
        <w:spacing w:before="7"/>
      </w:pPr>
      <w:r>
        <w:rPr/>
        <w:t>统 96 小时以上。</w:t>
      </w:r>
    </w:p>
    <w:p>
      <w:pPr>
        <w:pStyle w:val="BodyText"/>
        <w:spacing w:before="36"/>
      </w:pPr>
      <w:r>
        <w:rPr/>
        <w:t>因酗酒或药物滥用导致的深度昏迷不在保障范围内。</w:t>
      </w:r>
    </w:p>
    <w:p>
      <w:pPr>
        <w:pStyle w:val="BodyText"/>
        <w:spacing w:before="36"/>
      </w:pPr>
      <w:r>
        <w:rPr/>
        <w:t>（11）双耳失聪</w:t>
      </w:r>
    </w:p>
    <w:p>
      <w:pPr>
        <w:pStyle w:val="BodyText"/>
        <w:spacing w:before="36"/>
      </w:pPr>
      <w:r>
        <w:rPr/>
        <w:t>指因疾病或意外伤害导致双耳听力永久不可逆性丧失，在 500 赫</w:t>
      </w:r>
    </w:p>
    <w:p>
      <w:pPr>
        <w:pStyle w:val="BodyText"/>
        <w:spacing w:line="273" w:lineRule="auto" w:before="36"/>
        <w:ind w:right="217"/>
      </w:pPr>
      <w:r>
        <w:rPr/>
        <w:t>兹、1000</w:t>
      </w:r>
      <w:r>
        <w:rPr>
          <w:spacing w:val="-22"/>
        </w:rPr>
        <w:t> 赫兹和 </w:t>
      </w:r>
      <w:r>
        <w:rPr/>
        <w:t>2000</w:t>
      </w:r>
      <w:r>
        <w:rPr>
          <w:spacing w:val="-11"/>
        </w:rPr>
        <w:t> 赫兹语音频率下，平均听阈大于 </w:t>
      </w:r>
      <w:r>
        <w:rPr/>
        <w:t>90</w:t>
      </w:r>
      <w:r>
        <w:rPr>
          <w:spacing w:val="-15"/>
        </w:rPr>
        <w:t> 分贝， </w:t>
      </w:r>
      <w:r>
        <w:rPr>
          <w:spacing w:val="-3"/>
        </w:rPr>
        <w:t>且经纯音听力测试、声导抗检测或听觉诱发电位检测等证实。</w:t>
      </w:r>
    </w:p>
    <w:p>
      <w:pPr>
        <w:pStyle w:val="BodyText"/>
        <w:spacing w:before="7"/>
      </w:pPr>
      <w:r>
        <w:rPr/>
        <w:t>（12）瘫痪</w:t>
      </w:r>
    </w:p>
    <w:p>
      <w:pPr>
        <w:pStyle w:val="BodyText"/>
        <w:spacing w:line="273" w:lineRule="auto"/>
        <w:ind w:right="217"/>
      </w:pPr>
      <w:r>
        <w:rPr>
          <w:spacing w:val="3"/>
        </w:rPr>
        <w:t>指因疾病或意外伤害导致两肢或两肢以上肢体机能永久完全丧</w:t>
      </w:r>
      <w:r>
        <w:rPr>
          <w:spacing w:val="-4"/>
        </w:rPr>
        <w:t>失。肢体机能永久完全丧失，指疾病确诊 </w:t>
      </w:r>
      <w:r>
        <w:rPr/>
        <w:t>180</w:t>
      </w:r>
      <w:r>
        <w:rPr>
          <w:spacing w:val="-5"/>
        </w:rPr>
        <w:t> 天后或意外伤害发</w:t>
      </w:r>
    </w:p>
    <w:p>
      <w:pPr>
        <w:pStyle w:val="BodyText"/>
        <w:spacing w:line="273" w:lineRule="auto" w:before="7"/>
        <w:ind w:right="155"/>
      </w:pPr>
      <w:r>
        <w:rPr/>
        <w:t>生 180 天后，每肢三大关节中的两大关节仍然完全僵硬，或不能随意识活动。</w:t>
      </w:r>
    </w:p>
    <w:p>
      <w:pPr>
        <w:pStyle w:val="BodyText"/>
        <w:spacing w:before="7"/>
      </w:pPr>
      <w:r>
        <w:rPr/>
        <w:t>（13）心脏瓣膜手术</w:t>
      </w:r>
    </w:p>
    <w:p>
      <w:pPr>
        <w:pStyle w:val="BodyText"/>
        <w:spacing w:line="273" w:lineRule="auto"/>
        <w:ind w:right="220"/>
      </w:pPr>
      <w:r>
        <w:rPr/>
        <w:t>指为治疗心脏瓣膜疾病，实际实施了开胸进行的心脏瓣膜置换或修复的手术。</w:t>
      </w:r>
    </w:p>
    <w:p>
      <w:pPr>
        <w:pStyle w:val="BodyText"/>
        <w:spacing w:before="7"/>
      </w:pPr>
      <w:r>
        <w:rPr/>
        <w:t>（14）严重阿尔茨海默病</w:t>
      </w:r>
    </w:p>
    <w:p>
      <w:pPr>
        <w:pStyle w:val="BodyText"/>
        <w:spacing w:line="273" w:lineRule="auto" w:before="36"/>
        <w:ind w:right="112"/>
      </w:pPr>
      <w:r>
        <w:rPr/>
        <w:t>指因大脑进行性、不可逆性改变导致智能严重衰退或丧失，临床表现为明显的认知能力障碍、行为异常和社交能力减退，其日常生活必须持续受到他人监护。须由头颅断层扫描（CT）、核磁共</w:t>
      </w:r>
      <w:r>
        <w:rPr>
          <w:spacing w:val="-6"/>
        </w:rPr>
        <w:t>振检查</w:t>
      </w:r>
      <w:r>
        <w:rPr>
          <w:spacing w:val="-4"/>
        </w:rPr>
        <w:t>（MRI）</w:t>
      </w:r>
      <w:r>
        <w:rPr>
          <w:spacing w:val="-5"/>
        </w:rPr>
        <w:t>或正电子发射断层扫描</w:t>
      </w:r>
      <w:r>
        <w:rPr>
          <w:spacing w:val="-4"/>
        </w:rPr>
        <w:t>（PET）</w:t>
      </w:r>
      <w:r>
        <w:rPr>
          <w:spacing w:val="-3"/>
        </w:rPr>
        <w:t>等影像学检查证实， 且自主生活能力完全丧失，无法独立完成六项基本日常生活活动中的三项或三项以上。</w:t>
      </w:r>
    </w:p>
    <w:p>
      <w:pPr>
        <w:pStyle w:val="BodyText"/>
        <w:spacing w:line="273" w:lineRule="auto" w:before="7"/>
        <w:ind w:right="221"/>
      </w:pPr>
      <w:r>
        <w:rPr/>
        <w:t>上述诊断必须在被保险人年满 65 周岁后的首个保险单周年日前由专科医生明确诊断。</w:t>
      </w:r>
    </w:p>
    <w:p>
      <w:pPr>
        <w:pStyle w:val="BodyText"/>
        <w:spacing w:before="7"/>
      </w:pPr>
      <w:r>
        <w:rPr/>
        <w:t>神经官能症和精神疾病不在保障范围内。</w:t>
      </w:r>
    </w:p>
    <w:p>
      <w:pPr>
        <w:pStyle w:val="BodyText"/>
        <w:spacing w:before="36"/>
      </w:pPr>
      <w:r>
        <w:rPr/>
        <w:t>（15）严重脑损伤</w:t>
      </w:r>
    </w:p>
    <w:p>
      <w:pPr>
        <w:pStyle w:val="BodyText"/>
        <w:spacing w:line="273" w:lineRule="auto" w:before="36"/>
        <w:ind w:right="114"/>
      </w:pPr>
      <w:r>
        <w:rPr/>
        <w:t>指因头部遭受机械性外力，引起脑重要部位损伤，导致神经系统</w:t>
      </w:r>
      <w:r>
        <w:rPr>
          <w:spacing w:val="-15"/>
        </w:rPr>
        <w:t>永久性的功能障碍。须由头颅断层扫描</w:t>
      </w:r>
      <w:r>
        <w:rPr>
          <w:spacing w:val="-20"/>
        </w:rPr>
        <w:t>（CT）</w:t>
      </w:r>
      <w:r>
        <w:rPr>
          <w:spacing w:val="-24"/>
        </w:rPr>
        <w:t>、核磁共振检查</w:t>
      </w:r>
      <w:r>
        <w:rPr/>
        <w:t>（MRI） </w:t>
      </w:r>
      <w:r>
        <w:rPr>
          <w:spacing w:val="-5"/>
        </w:rPr>
        <w:t>或正电子发射断层扫描（PET）</w:t>
      </w:r>
      <w:r>
        <w:rPr>
          <w:spacing w:val="-6"/>
        </w:rPr>
        <w:t>等影像学检查证实。神经系统永久性的功能障碍，指脑损伤 </w:t>
      </w:r>
      <w:r>
        <w:rPr/>
        <w:t>180</w:t>
      </w:r>
      <w:r>
        <w:rPr>
          <w:spacing w:val="-6"/>
        </w:rPr>
        <w:t> 天后，仍遗留下列一种或一种以上障碍：</w:t>
      </w:r>
    </w:p>
    <w:p>
      <w:pPr>
        <w:pStyle w:val="BodyText"/>
        <w:spacing w:before="7"/>
      </w:pPr>
      <w:r>
        <w:rPr/>
        <w:t>① 一肢或一肢以上肢体机能完全丧失；</w:t>
      </w:r>
    </w:p>
    <w:p>
      <w:pPr>
        <w:pStyle w:val="BodyText"/>
      </w:pPr>
      <w:r>
        <w:rPr/>
        <w:t>② 语言能力或咀嚼吞咽能力完全丧失；</w:t>
      </w:r>
    </w:p>
    <w:p>
      <w:pPr>
        <w:pStyle w:val="BodyText"/>
        <w:spacing w:line="273" w:lineRule="auto"/>
        <w:ind w:right="219"/>
      </w:pPr>
      <w:r>
        <w:rPr>
          <w:spacing w:val="-8"/>
        </w:rPr>
        <w:t>③ 自主生活能力完全丧失，无法独立完成六项基本日常生活活动</w:t>
      </w:r>
      <w:r>
        <w:rPr>
          <w:spacing w:val="-5"/>
        </w:rPr>
        <w:t>中的三项或三项以上。</w:t>
      </w:r>
    </w:p>
    <w:p>
      <w:pPr>
        <w:pStyle w:val="BodyText"/>
        <w:spacing w:before="8"/>
      </w:pPr>
      <w:r>
        <w:rPr/>
        <w:t>（16）严重帕金森病</w:t>
      </w:r>
    </w:p>
    <w:p>
      <w:pPr>
        <w:pStyle w:val="BodyText"/>
        <w:spacing w:line="273" w:lineRule="auto"/>
        <w:ind w:right="220"/>
      </w:pPr>
      <w:r>
        <w:rPr/>
        <w:t>是指一种中枢神经系统的退行性疾病，临床表现为震颤麻痹、共济失调等。须满足下列全部条件：</w:t>
      </w:r>
    </w:p>
    <w:p>
      <w:pPr>
        <w:pStyle w:val="BodyText"/>
        <w:spacing w:before="7"/>
      </w:pPr>
      <w:r>
        <w:rPr/>
        <w:t>① 药物治疗无法控制病情；</w:t>
      </w:r>
    </w:p>
    <w:p>
      <w:pPr>
        <w:pStyle w:val="BodyText"/>
        <w:spacing w:before="36"/>
      </w:pPr>
      <w:r>
        <w:rPr/>
        <w:t>② 自主生活能力完全丧失，无法独立完成六项基本日常生活活动</w:t>
      </w:r>
    </w:p>
    <w:p>
      <w:pPr>
        <w:spacing w:after="0"/>
        <w:sectPr>
          <w:pgSz w:w="11910" w:h="16840"/>
          <w:pgMar w:header="0" w:footer="919" w:top="1580" w:bottom="1180" w:left="1680" w:right="1180"/>
        </w:sectPr>
      </w:pPr>
    </w:p>
    <w:p>
      <w:pPr>
        <w:pStyle w:val="BodyText"/>
        <w:spacing w:before="10"/>
        <w:ind w:left="0"/>
        <w:rPr>
          <w:sz w:val="25"/>
        </w:rPr>
      </w:pPr>
    </w:p>
    <w:p>
      <w:pPr>
        <w:pStyle w:val="BodyText"/>
      </w:pPr>
      <w:r>
        <w:rPr/>
        <w:t>中的三项或三项以上。</w:t>
      </w:r>
    </w:p>
    <w:p>
      <w:pPr>
        <w:pStyle w:val="BodyText"/>
        <w:spacing w:line="273" w:lineRule="auto"/>
        <w:ind w:right="221"/>
      </w:pPr>
      <w:r>
        <w:rPr/>
        <w:t>上述诊断必须在被保险人年满 65 周岁后的首个保险单周年日前由专科医生明确诊断。</w:t>
      </w:r>
    </w:p>
    <w:p>
      <w:pPr>
        <w:pStyle w:val="BodyText"/>
        <w:spacing w:before="7"/>
      </w:pPr>
      <w:r>
        <w:rPr/>
        <w:t>继发性帕金森综合征不在保障范围内。</w:t>
      </w:r>
    </w:p>
    <w:p>
      <w:pPr>
        <w:pStyle w:val="BodyText"/>
        <w:spacing w:before="36"/>
      </w:pPr>
      <w:r>
        <w:rPr/>
        <w:t>（17）严重Ⅲ度烧伤</w:t>
      </w:r>
    </w:p>
    <w:p>
      <w:pPr>
        <w:pStyle w:val="BodyText"/>
        <w:spacing w:line="273" w:lineRule="auto" w:before="36"/>
        <w:ind w:right="154"/>
      </w:pPr>
      <w:r>
        <w:rPr/>
        <w:t>指烧伤程度为Ⅲ度，且Ⅲ度烧伤的面积达到全身体表面积的 20％ 或 20％以上。体表面积根据《中国新九分法》计算。</w:t>
      </w:r>
    </w:p>
    <w:p>
      <w:pPr>
        <w:pStyle w:val="BodyText"/>
        <w:spacing w:before="7"/>
      </w:pPr>
      <w:r>
        <w:rPr/>
        <w:t>（18）严重原发性肺动脉高压</w:t>
      </w:r>
    </w:p>
    <w:p>
      <w:pPr>
        <w:pStyle w:val="BodyText"/>
        <w:spacing w:line="273" w:lineRule="auto"/>
        <w:ind w:right="217"/>
        <w:jc w:val="both"/>
      </w:pPr>
      <w:r>
        <w:rPr/>
        <w:t>指不明原因的肺动脉压力持续性增高，进行性发展而导致的慢性疾病，已经造成永久不可逆性的体力活动能力受限，达到美国纽</w:t>
      </w:r>
      <w:r>
        <w:rPr>
          <w:spacing w:val="-6"/>
        </w:rPr>
        <w:t>约心脏病学会心功能状态分级 </w:t>
      </w:r>
      <w:r>
        <w:rPr/>
        <w:t>IV</w:t>
      </w:r>
      <w:r>
        <w:rPr>
          <w:spacing w:val="-12"/>
        </w:rPr>
        <w:t> 级，且静息状态下肺动脉平均压</w:t>
      </w:r>
      <w:r>
        <w:rPr>
          <w:spacing w:val="-26"/>
        </w:rPr>
        <w:t>超过 </w:t>
      </w:r>
      <w:r>
        <w:rPr/>
        <w:t>30mmHg。</w:t>
      </w:r>
    </w:p>
    <w:p>
      <w:pPr>
        <w:pStyle w:val="BodyText"/>
        <w:spacing w:before="8"/>
      </w:pPr>
      <w:r>
        <w:rPr/>
        <w:t>（19）严重运动神经元病</w:t>
      </w:r>
    </w:p>
    <w:p>
      <w:pPr>
        <w:pStyle w:val="BodyText"/>
        <w:spacing w:line="273" w:lineRule="auto"/>
        <w:ind w:right="22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8"/>
      </w:pPr>
      <w:r>
        <w:rPr/>
        <w:t>（20）语言能力丧失</w:t>
      </w:r>
    </w:p>
    <w:p>
      <w:pPr>
        <w:pStyle w:val="BodyText"/>
      </w:pPr>
      <w:r>
        <w:rPr/>
        <w:t>指因疾病或意外伤害导致完全丧失语言能力，经过积极治疗至少</w:t>
      </w:r>
    </w:p>
    <w:p>
      <w:pPr>
        <w:pStyle w:val="BodyText"/>
        <w:spacing w:line="273" w:lineRule="auto"/>
        <w:ind w:right="154"/>
      </w:pPr>
      <w:r>
        <w:rPr/>
        <w:t>12 个月（声带完全切除不受此时间限制），仍无法通过现有医疗手段恢复。</w:t>
      </w:r>
    </w:p>
    <w:p>
      <w:pPr>
        <w:pStyle w:val="BodyText"/>
        <w:spacing w:before="8"/>
      </w:pPr>
      <w:r>
        <w:rPr/>
        <w:t>精神心理因素所致的语言能力丧失不在保障范围内。</w:t>
      </w:r>
    </w:p>
    <w:p>
      <w:pPr>
        <w:pStyle w:val="BodyText"/>
      </w:pPr>
      <w:r>
        <w:rPr/>
        <w:t>（21）重型再生障碍性贫血</w:t>
      </w:r>
    </w:p>
    <w:p>
      <w:pPr>
        <w:pStyle w:val="BodyText"/>
        <w:spacing w:line="273" w:lineRule="auto"/>
        <w:ind w:right="220"/>
      </w:pPr>
      <w:r>
        <w:rPr/>
        <w:t>指因骨髓造血功能慢性持续性衰竭导致的贫血、中性粒细胞减少及血小板减少。须满足下列全部条件：</w:t>
      </w:r>
    </w:p>
    <w:p>
      <w:pPr>
        <w:pStyle w:val="BodyText"/>
        <w:spacing w:before="8"/>
      </w:pPr>
      <w:r>
        <w:rPr/>
        <w:t>① 骨髓穿刺检查或骨髓活检结果支持诊断；</w:t>
      </w:r>
    </w:p>
    <w:p>
      <w:pPr>
        <w:pStyle w:val="BodyText"/>
      </w:pPr>
      <w:r>
        <w:rPr/>
        <w:t>② 外周血象须具备以下三项条件：</w:t>
      </w:r>
    </w:p>
    <w:p>
      <w:pPr>
        <w:pStyle w:val="BodyText"/>
      </w:pPr>
      <w:r>
        <w:rPr/>
        <w:t>1）中性粒细胞绝对值≤0.5×10</w:t>
      </w:r>
      <w:r>
        <w:rPr>
          <w:position w:val="11"/>
          <w:sz w:val="11"/>
        </w:rPr>
        <w:t>9</w:t>
      </w:r>
      <w:r>
        <w:rPr/>
        <w:t>/L；</w:t>
      </w:r>
    </w:p>
    <w:p>
      <w:pPr>
        <w:pStyle w:val="BodyText"/>
      </w:pPr>
      <w:r>
        <w:rPr/>
        <w:t>2）网织红细胞＜1%；</w:t>
      </w:r>
    </w:p>
    <w:p>
      <w:pPr>
        <w:pStyle w:val="BodyText"/>
      </w:pPr>
      <w:r>
        <w:rPr/>
        <w:t>3）血小板绝对值≤20×10</w:t>
      </w:r>
      <w:r>
        <w:rPr>
          <w:position w:val="11"/>
          <w:sz w:val="11"/>
        </w:rPr>
        <w:t>9</w:t>
      </w:r>
      <w:r>
        <w:rPr/>
        <w:t>/L。</w:t>
      </w:r>
    </w:p>
    <w:p>
      <w:pPr>
        <w:pStyle w:val="BodyText"/>
      </w:pPr>
      <w:r>
        <w:rPr/>
        <w:t>（22）主动脉手术</w:t>
      </w:r>
    </w:p>
    <w:p>
      <w:pPr>
        <w:pStyle w:val="BodyText"/>
        <w:spacing w:line="273" w:lineRule="auto"/>
        <w:ind w:right="111"/>
      </w:pPr>
      <w:r>
        <w:rPr>
          <w:spacing w:val="-7"/>
        </w:rPr>
        <w:t>指为治疗主动脉疾病，实际实施了开胸或开腹进行的切除、置换、修补病损主动脉血管的手术。主动脉指胸主动脉和腹主动脉，不</w:t>
      </w:r>
      <w:r>
        <w:rPr>
          <w:spacing w:val="-5"/>
        </w:rPr>
        <w:t>包括胸主动脉和腹主动脉的分支血管。</w:t>
      </w:r>
    </w:p>
    <w:p>
      <w:pPr>
        <w:pStyle w:val="BodyText"/>
        <w:spacing w:before="8"/>
      </w:pPr>
      <w:r>
        <w:rPr/>
        <w:t>动脉内血管成形术不在保障范围内。</w:t>
      </w:r>
    </w:p>
    <w:p>
      <w:pPr>
        <w:pStyle w:val="BodyText"/>
        <w:spacing w:line="273" w:lineRule="auto"/>
        <w:ind w:right="169"/>
      </w:pPr>
      <w:r>
        <w:rPr/>
        <w:t>2. 3 种中国保险行业协会推荐范围以外的疾病是指符合下列条件的疾病：</w:t>
      </w:r>
    </w:p>
    <w:p>
      <w:pPr>
        <w:pStyle w:val="BodyText"/>
        <w:spacing w:before="7"/>
      </w:pPr>
      <w:r>
        <w:rPr/>
        <w:t>(23）严重多发性硬化</w:t>
      </w:r>
    </w:p>
    <w:p>
      <w:pPr>
        <w:pStyle w:val="BodyText"/>
        <w:spacing w:line="273" w:lineRule="auto" w:before="36"/>
        <w:ind w:right="217"/>
        <w:jc w:val="both"/>
      </w:pPr>
      <w:r>
        <w:rPr/>
        <w:t>指一种中枢神经系统脱髓鞘性疾病而导致的身体部位永久不可逆</w:t>
      </w:r>
      <w:r>
        <w:rPr>
          <w:spacing w:val="-4"/>
        </w:rPr>
        <w:t>的功能障碍。永久性功能障碍是指被保险人 </w:t>
      </w:r>
      <w:r>
        <w:rPr/>
        <w:t>180</w:t>
      </w:r>
      <w:r>
        <w:rPr>
          <w:spacing w:val="-5"/>
        </w:rPr>
        <w:t> 天以上持续性的自主生活能力完全丧失，从而无法独立完成六项基本日常生活活</w:t>
      </w:r>
    </w:p>
    <w:p>
      <w:pPr>
        <w:spacing w:after="0" w:line="273" w:lineRule="auto"/>
        <w:jc w:val="both"/>
        <w:sectPr>
          <w:pgSz w:w="11910" w:h="16840"/>
          <w:pgMar w:header="0" w:footer="919" w:top="1580" w:bottom="1180" w:left="1680" w:right="1180"/>
        </w:sectPr>
      </w:pPr>
    </w:p>
    <w:p>
      <w:pPr>
        <w:pStyle w:val="BodyText"/>
        <w:spacing w:before="0"/>
        <w:ind w:left="0"/>
        <w:rPr>
          <w:rFonts w:ascii="Times New Roman"/>
          <w:sz w:val="20"/>
        </w:rPr>
      </w:pPr>
    </w:p>
    <w:p>
      <w:pPr>
        <w:pStyle w:val="BodyText"/>
        <w:spacing w:before="1"/>
        <w:ind w:left="0"/>
        <w:rPr>
          <w:rFonts w:ascii="Times New Roman"/>
          <w:sz w:val="18"/>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7"/>
        <w:gridCol w:w="1907"/>
        <w:gridCol w:w="6347"/>
      </w:tblGrid>
      <w:tr>
        <w:trPr>
          <w:trHeight w:val="4474" w:hRule="atLeast"/>
        </w:trPr>
        <w:tc>
          <w:tcPr>
            <w:tcW w:w="777" w:type="dxa"/>
          </w:tcPr>
          <w:p>
            <w:pPr>
              <w:pStyle w:val="TableParagraph"/>
              <w:ind w:left="0"/>
              <w:rPr>
                <w:rFonts w:ascii="Times New Roman"/>
                <w:sz w:val="20"/>
              </w:rPr>
            </w:pPr>
          </w:p>
        </w:tc>
        <w:tc>
          <w:tcPr>
            <w:tcW w:w="1907" w:type="dxa"/>
          </w:tcPr>
          <w:p>
            <w:pPr>
              <w:pStyle w:val="TableParagraph"/>
              <w:ind w:left="0"/>
              <w:rPr>
                <w:rFonts w:ascii="Times New Roman"/>
                <w:sz w:val="20"/>
              </w:rPr>
            </w:pPr>
          </w:p>
        </w:tc>
        <w:tc>
          <w:tcPr>
            <w:tcW w:w="6347" w:type="dxa"/>
          </w:tcPr>
          <w:p>
            <w:pPr>
              <w:pStyle w:val="TableParagraph"/>
              <w:spacing w:line="211" w:lineRule="exact"/>
              <w:rPr>
                <w:sz w:val="21"/>
              </w:rPr>
            </w:pPr>
            <w:r>
              <w:rPr>
                <w:sz w:val="21"/>
              </w:rPr>
              <w:t>动的三项或三项以上。</w:t>
            </w:r>
          </w:p>
          <w:p>
            <w:pPr>
              <w:pStyle w:val="TableParagraph"/>
              <w:spacing w:before="37"/>
              <w:rPr>
                <w:sz w:val="21"/>
              </w:rPr>
            </w:pPr>
            <w:r>
              <w:rPr>
                <w:sz w:val="21"/>
              </w:rPr>
              <w:t>(24)严重肌营养不良症</w:t>
            </w:r>
          </w:p>
          <w:p>
            <w:pPr>
              <w:pStyle w:val="TableParagraph"/>
              <w:spacing w:line="273" w:lineRule="auto" w:before="37"/>
              <w:ind w:right="313"/>
              <w:rPr>
                <w:sz w:val="21"/>
              </w:rPr>
            </w:pPr>
            <w:r>
              <w:rPr>
                <w:sz w:val="21"/>
              </w:rPr>
              <w:t>是一组以与神经系统无关的肌肉无力及萎缩为特征的遗传性疾病，并导致永久性运动功能障碍。须满足下列全部条件：</w:t>
            </w:r>
          </w:p>
          <w:p>
            <w:pPr>
              <w:pStyle w:val="TableParagraph"/>
              <w:spacing w:before="7"/>
              <w:rPr>
                <w:sz w:val="21"/>
              </w:rPr>
            </w:pPr>
            <w:r>
              <w:rPr>
                <w:sz w:val="21"/>
              </w:rPr>
              <w:t>① 肌电图显示肌营养不良症的特征性改变；</w:t>
            </w:r>
          </w:p>
          <w:p>
            <w:pPr>
              <w:pStyle w:val="TableParagraph"/>
              <w:spacing w:line="273" w:lineRule="auto" w:before="36"/>
              <w:ind w:right="298"/>
              <w:rPr>
                <w:sz w:val="21"/>
              </w:rPr>
            </w:pPr>
            <w:r>
              <w:rPr>
                <w:sz w:val="21"/>
              </w:rPr>
              <w:t>② 肌肉活体组织检查的病理学诊断符合肌营养不良症的肌肉细胞变性、坏死等阳性改变；</w:t>
            </w:r>
          </w:p>
          <w:p>
            <w:pPr>
              <w:pStyle w:val="TableParagraph"/>
              <w:spacing w:line="273" w:lineRule="auto" w:before="7"/>
              <w:ind w:right="302"/>
              <w:rPr>
                <w:sz w:val="21"/>
              </w:rPr>
            </w:pPr>
            <w:r>
              <w:rPr>
                <w:spacing w:val="-7"/>
                <w:sz w:val="21"/>
              </w:rPr>
              <w:t>③ 被保险人 </w:t>
            </w:r>
            <w:r>
              <w:rPr>
                <w:sz w:val="21"/>
              </w:rPr>
              <w:t>180</w:t>
            </w:r>
            <w:r>
              <w:rPr>
                <w:spacing w:val="-11"/>
                <w:sz w:val="21"/>
              </w:rPr>
              <w:t> 天以上持续性的自主生活能力完全丧失，从而无</w:t>
            </w:r>
            <w:r>
              <w:rPr>
                <w:spacing w:val="-6"/>
                <w:sz w:val="21"/>
              </w:rPr>
              <w:t>法独立完成六项基本日常生活活动的三项或三项以上。</w:t>
            </w:r>
          </w:p>
          <w:p>
            <w:pPr>
              <w:pStyle w:val="TableParagraph"/>
              <w:spacing w:before="7"/>
              <w:rPr>
                <w:sz w:val="21"/>
              </w:rPr>
            </w:pPr>
            <w:r>
              <w:rPr>
                <w:sz w:val="21"/>
              </w:rPr>
              <w:t>(25)去皮质综合征（植物人状态）</w:t>
            </w:r>
          </w:p>
          <w:p>
            <w:pPr>
              <w:pStyle w:val="TableParagraph"/>
              <w:spacing w:line="273" w:lineRule="auto" w:before="36"/>
              <w:ind w:right="304"/>
              <w:jc w:val="both"/>
              <w:rPr>
                <w:sz w:val="21"/>
              </w:rPr>
            </w:pPr>
            <w:r>
              <w:rPr>
                <w:spacing w:val="3"/>
                <w:sz w:val="21"/>
              </w:rPr>
              <w:t>是指脑皮质广泛性坏死而导致对自身及周边的认知能力完全丧</w:t>
            </w:r>
            <w:r>
              <w:rPr>
                <w:spacing w:val="-6"/>
                <w:sz w:val="21"/>
              </w:rPr>
              <w:t>失,但脑干功能依然存在。须由头颅断层扫描</w:t>
            </w:r>
            <w:r>
              <w:rPr>
                <w:spacing w:val="-7"/>
                <w:sz w:val="21"/>
              </w:rPr>
              <w:t>（CT）</w:t>
            </w:r>
            <w:r>
              <w:rPr>
                <w:spacing w:val="-3"/>
                <w:sz w:val="21"/>
              </w:rPr>
              <w:t>，核磁共振检查（MRI）或正电子发射断层扫描（PET）等影像学检查证实。上述情况必须有至少一个月的病历记录加以证实。</w:t>
            </w:r>
          </w:p>
        </w:tc>
      </w:tr>
      <w:tr>
        <w:trPr>
          <w:trHeight w:val="936" w:hRule="atLeast"/>
        </w:trPr>
        <w:tc>
          <w:tcPr>
            <w:tcW w:w="777" w:type="dxa"/>
          </w:tcPr>
          <w:p>
            <w:pPr>
              <w:pStyle w:val="TableParagraph"/>
              <w:spacing w:before="142"/>
              <w:ind w:left="200"/>
              <w:rPr>
                <w:sz w:val="21"/>
              </w:rPr>
            </w:pPr>
            <w:r>
              <w:rPr>
                <w:w w:val="100"/>
                <w:sz w:val="21"/>
              </w:rPr>
              <w:t>五</w:t>
            </w:r>
          </w:p>
        </w:tc>
        <w:tc>
          <w:tcPr>
            <w:tcW w:w="1907" w:type="dxa"/>
          </w:tcPr>
          <w:p>
            <w:pPr>
              <w:pStyle w:val="TableParagraph"/>
              <w:spacing w:before="142"/>
              <w:ind w:left="366"/>
              <w:rPr>
                <w:sz w:val="21"/>
              </w:rPr>
            </w:pPr>
            <w:r>
              <w:rPr>
                <w:sz w:val="21"/>
              </w:rPr>
              <w:t>意外伤害</w:t>
            </w:r>
          </w:p>
        </w:tc>
        <w:tc>
          <w:tcPr>
            <w:tcW w:w="6347" w:type="dxa"/>
          </w:tcPr>
          <w:p>
            <w:pPr>
              <w:pStyle w:val="TableParagraph"/>
              <w:spacing w:line="273" w:lineRule="auto" w:before="142"/>
              <w:ind w:right="305"/>
              <w:rPr>
                <w:sz w:val="21"/>
              </w:rPr>
            </w:pPr>
            <w:r>
              <w:rPr>
                <w:sz w:val="21"/>
              </w:rPr>
              <w:t>指外来的、突然的、非本意的、非疾病的使身体受到伤害的客观事件。</w:t>
            </w:r>
          </w:p>
        </w:tc>
      </w:tr>
      <w:tr>
        <w:trPr>
          <w:trHeight w:val="1560" w:hRule="atLeast"/>
        </w:trPr>
        <w:tc>
          <w:tcPr>
            <w:tcW w:w="777" w:type="dxa"/>
          </w:tcPr>
          <w:p>
            <w:pPr>
              <w:pStyle w:val="TableParagraph"/>
              <w:spacing w:before="142"/>
              <w:ind w:left="200"/>
              <w:rPr>
                <w:sz w:val="21"/>
              </w:rPr>
            </w:pPr>
            <w:r>
              <w:rPr>
                <w:w w:val="100"/>
                <w:sz w:val="21"/>
              </w:rPr>
              <w:t>六</w:t>
            </w:r>
          </w:p>
        </w:tc>
        <w:tc>
          <w:tcPr>
            <w:tcW w:w="1907" w:type="dxa"/>
          </w:tcPr>
          <w:p>
            <w:pPr>
              <w:pStyle w:val="TableParagraph"/>
              <w:spacing w:before="142"/>
              <w:ind w:left="366"/>
              <w:rPr>
                <w:sz w:val="21"/>
              </w:rPr>
            </w:pPr>
            <w:r>
              <w:rPr>
                <w:sz w:val="21"/>
              </w:rPr>
              <w:t>毒品</w:t>
            </w:r>
          </w:p>
        </w:tc>
        <w:tc>
          <w:tcPr>
            <w:tcW w:w="6347" w:type="dxa"/>
          </w:tcPr>
          <w:p>
            <w:pPr>
              <w:pStyle w:val="TableParagraph"/>
              <w:spacing w:line="273" w:lineRule="auto" w:before="142"/>
              <w:ind w:right="197"/>
              <w:rPr>
                <w:sz w:val="21"/>
              </w:rPr>
            </w:pPr>
            <w:r>
              <w:rPr>
                <w:spacing w:val="-14"/>
                <w:sz w:val="21"/>
              </w:rPr>
              <w:t>指中华人民共和国刑法规定的鸦片、海洛因、甲基苯丙胺</w:t>
            </w:r>
            <w:r>
              <w:rPr>
                <w:spacing w:val="-3"/>
                <w:sz w:val="21"/>
              </w:rPr>
              <w:t>（</w:t>
            </w:r>
            <w:r>
              <w:rPr>
                <w:sz w:val="21"/>
              </w:rPr>
              <w:t>冰毒</w:t>
            </w:r>
            <w:r>
              <w:rPr>
                <w:spacing w:val="-70"/>
                <w:sz w:val="21"/>
              </w:rPr>
              <w:t>）</w:t>
            </w:r>
            <w:r>
              <w:rPr>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248" w:hRule="atLeast"/>
        </w:trPr>
        <w:tc>
          <w:tcPr>
            <w:tcW w:w="777" w:type="dxa"/>
          </w:tcPr>
          <w:p>
            <w:pPr>
              <w:pStyle w:val="TableParagraph"/>
              <w:spacing w:before="142"/>
              <w:ind w:left="200"/>
              <w:rPr>
                <w:sz w:val="21"/>
              </w:rPr>
            </w:pPr>
            <w:r>
              <w:rPr>
                <w:w w:val="100"/>
                <w:sz w:val="21"/>
              </w:rPr>
              <w:t>七</w:t>
            </w:r>
          </w:p>
        </w:tc>
        <w:tc>
          <w:tcPr>
            <w:tcW w:w="1907" w:type="dxa"/>
          </w:tcPr>
          <w:p>
            <w:pPr>
              <w:pStyle w:val="TableParagraph"/>
              <w:spacing w:before="142"/>
              <w:ind w:left="366"/>
              <w:rPr>
                <w:sz w:val="21"/>
              </w:rPr>
            </w:pPr>
            <w:r>
              <w:rPr>
                <w:sz w:val="21"/>
              </w:rPr>
              <w:t>酒后驾驶</w:t>
            </w:r>
          </w:p>
        </w:tc>
        <w:tc>
          <w:tcPr>
            <w:tcW w:w="6347" w:type="dxa"/>
          </w:tcPr>
          <w:p>
            <w:pPr>
              <w:pStyle w:val="TableParagraph"/>
              <w:spacing w:line="273" w:lineRule="auto" w:before="142"/>
              <w:ind w:right="350"/>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184" w:hRule="atLeast"/>
        </w:trPr>
        <w:tc>
          <w:tcPr>
            <w:tcW w:w="777" w:type="dxa"/>
          </w:tcPr>
          <w:p>
            <w:pPr>
              <w:pStyle w:val="TableParagraph"/>
              <w:spacing w:before="142"/>
              <w:ind w:left="200"/>
              <w:rPr>
                <w:sz w:val="21"/>
              </w:rPr>
            </w:pPr>
            <w:r>
              <w:rPr>
                <w:w w:val="100"/>
                <w:sz w:val="21"/>
              </w:rPr>
              <w:t>八</w:t>
            </w:r>
          </w:p>
        </w:tc>
        <w:tc>
          <w:tcPr>
            <w:tcW w:w="1907" w:type="dxa"/>
          </w:tcPr>
          <w:p>
            <w:pPr>
              <w:pStyle w:val="TableParagraph"/>
              <w:spacing w:line="273" w:lineRule="auto" w:before="142"/>
              <w:ind w:left="366" w:right="107"/>
              <w:rPr>
                <w:sz w:val="21"/>
              </w:rPr>
            </w:pPr>
            <w:r>
              <w:rPr>
                <w:sz w:val="21"/>
              </w:rPr>
              <w:t>无合法有效驾驶证驾驶</w:t>
            </w:r>
          </w:p>
        </w:tc>
        <w:tc>
          <w:tcPr>
            <w:tcW w:w="6347" w:type="dxa"/>
          </w:tcPr>
          <w:p>
            <w:pPr>
              <w:pStyle w:val="TableParagraph"/>
              <w:spacing w:before="142"/>
              <w:rPr>
                <w:sz w:val="21"/>
              </w:rPr>
            </w:pPr>
            <w:r>
              <w:rPr>
                <w:sz w:val="21"/>
              </w:rPr>
              <w:t>指下列情形之一：</w:t>
            </w:r>
          </w:p>
          <w:p>
            <w:pPr>
              <w:pStyle w:val="TableParagraph"/>
              <w:numPr>
                <w:ilvl w:val="0"/>
                <w:numId w:val="1"/>
              </w:numPr>
              <w:tabs>
                <w:tab w:pos="528" w:val="left" w:leader="none"/>
                <w:tab w:pos="529" w:val="left" w:leader="none"/>
              </w:tabs>
              <w:spacing w:line="240" w:lineRule="auto" w:before="36" w:after="0"/>
              <w:ind w:left="528" w:right="0" w:hanging="420"/>
              <w:jc w:val="left"/>
              <w:rPr>
                <w:sz w:val="21"/>
              </w:rPr>
            </w:pPr>
            <w:r>
              <w:rPr>
                <w:spacing w:val="-3"/>
                <w:sz w:val="21"/>
              </w:rPr>
              <w:t>没有取得驾驶资格；</w:t>
            </w:r>
          </w:p>
          <w:p>
            <w:pPr>
              <w:pStyle w:val="TableParagraph"/>
              <w:numPr>
                <w:ilvl w:val="0"/>
                <w:numId w:val="1"/>
              </w:numPr>
              <w:tabs>
                <w:tab w:pos="528" w:val="left" w:leader="none"/>
                <w:tab w:pos="529" w:val="left" w:leader="none"/>
              </w:tabs>
              <w:spacing w:line="240" w:lineRule="auto" w:before="36" w:after="0"/>
              <w:ind w:left="528" w:right="0" w:hanging="420"/>
              <w:jc w:val="left"/>
              <w:rPr>
                <w:sz w:val="21"/>
              </w:rPr>
            </w:pPr>
            <w:r>
              <w:rPr>
                <w:spacing w:val="-3"/>
                <w:sz w:val="21"/>
              </w:rPr>
              <w:t>驾驶与驾驶证准驾车型不相符合的车辆；</w:t>
            </w:r>
          </w:p>
          <w:p>
            <w:pPr>
              <w:pStyle w:val="TableParagraph"/>
              <w:numPr>
                <w:ilvl w:val="0"/>
                <w:numId w:val="1"/>
              </w:numPr>
              <w:tabs>
                <w:tab w:pos="528" w:val="left" w:leader="none"/>
                <w:tab w:pos="529" w:val="left" w:leader="none"/>
              </w:tabs>
              <w:spacing w:line="240" w:lineRule="auto" w:before="36" w:after="0"/>
              <w:ind w:left="528" w:right="0" w:hanging="420"/>
              <w:jc w:val="left"/>
              <w:rPr>
                <w:sz w:val="21"/>
              </w:rPr>
            </w:pPr>
            <w:r>
              <w:rPr>
                <w:spacing w:val="-3"/>
                <w:sz w:val="21"/>
              </w:rPr>
              <w:t>持审验不合格的驾驶证驾驶；</w:t>
            </w:r>
          </w:p>
          <w:p>
            <w:pPr>
              <w:pStyle w:val="TableParagraph"/>
              <w:numPr>
                <w:ilvl w:val="0"/>
                <w:numId w:val="1"/>
              </w:numPr>
              <w:tabs>
                <w:tab w:pos="528" w:val="left" w:leader="none"/>
                <w:tab w:pos="529" w:val="left" w:leader="none"/>
              </w:tabs>
              <w:spacing w:line="273" w:lineRule="auto" w:before="36" w:after="0"/>
              <w:ind w:left="528" w:right="350" w:hanging="420"/>
              <w:jc w:val="left"/>
              <w:rPr>
                <w:sz w:val="21"/>
              </w:rPr>
            </w:pPr>
            <w:r>
              <w:rPr>
                <w:spacing w:val="-3"/>
                <w:sz w:val="21"/>
              </w:rPr>
              <w:t>持学习驾驶证学习驾车时，无教练员随车指导，或不按指定时间、路线学习驾车。</w:t>
            </w:r>
          </w:p>
        </w:tc>
      </w:tr>
      <w:tr>
        <w:trPr>
          <w:trHeight w:val="1248" w:hRule="atLeast"/>
        </w:trPr>
        <w:tc>
          <w:tcPr>
            <w:tcW w:w="777" w:type="dxa"/>
          </w:tcPr>
          <w:p>
            <w:pPr>
              <w:pStyle w:val="TableParagraph"/>
              <w:spacing w:before="142"/>
              <w:ind w:left="200"/>
              <w:rPr>
                <w:sz w:val="21"/>
              </w:rPr>
            </w:pPr>
            <w:r>
              <w:rPr>
                <w:w w:val="100"/>
                <w:sz w:val="21"/>
              </w:rPr>
              <w:t>九</w:t>
            </w:r>
          </w:p>
        </w:tc>
        <w:tc>
          <w:tcPr>
            <w:tcW w:w="1907" w:type="dxa"/>
          </w:tcPr>
          <w:p>
            <w:pPr>
              <w:pStyle w:val="TableParagraph"/>
              <w:spacing w:before="142"/>
              <w:ind w:left="366"/>
              <w:rPr>
                <w:sz w:val="21"/>
              </w:rPr>
            </w:pPr>
            <w:r>
              <w:rPr>
                <w:sz w:val="21"/>
              </w:rPr>
              <w:t>无有效行驶证</w:t>
            </w:r>
          </w:p>
        </w:tc>
        <w:tc>
          <w:tcPr>
            <w:tcW w:w="6347" w:type="dxa"/>
          </w:tcPr>
          <w:p>
            <w:pPr>
              <w:pStyle w:val="TableParagraph"/>
              <w:spacing w:before="142"/>
              <w:rPr>
                <w:sz w:val="21"/>
              </w:rPr>
            </w:pPr>
            <w:r>
              <w:rPr>
                <w:sz w:val="21"/>
              </w:rPr>
              <w:t>指下列情形之一：</w:t>
            </w:r>
          </w:p>
          <w:p>
            <w:pPr>
              <w:pStyle w:val="TableParagraph"/>
              <w:numPr>
                <w:ilvl w:val="0"/>
                <w:numId w:val="2"/>
              </w:numPr>
              <w:tabs>
                <w:tab w:pos="528" w:val="left" w:leader="none"/>
                <w:tab w:pos="529" w:val="left" w:leader="none"/>
              </w:tabs>
              <w:spacing w:line="240" w:lineRule="auto" w:before="36" w:after="0"/>
              <w:ind w:left="528" w:right="0" w:hanging="420"/>
              <w:jc w:val="left"/>
              <w:rPr>
                <w:sz w:val="21"/>
              </w:rPr>
            </w:pPr>
            <w:r>
              <w:rPr>
                <w:spacing w:val="-3"/>
                <w:sz w:val="21"/>
              </w:rPr>
              <w:t>机动车被依法注销登记的；</w:t>
            </w:r>
          </w:p>
          <w:p>
            <w:pPr>
              <w:pStyle w:val="TableParagraph"/>
              <w:numPr>
                <w:ilvl w:val="0"/>
                <w:numId w:val="2"/>
              </w:numPr>
              <w:tabs>
                <w:tab w:pos="528" w:val="left" w:leader="none"/>
                <w:tab w:pos="529" w:val="left" w:leader="none"/>
              </w:tabs>
              <w:spacing w:line="240" w:lineRule="auto" w:before="37" w:after="0"/>
              <w:ind w:left="528" w:right="0" w:hanging="420"/>
              <w:jc w:val="left"/>
              <w:rPr>
                <w:sz w:val="21"/>
              </w:rPr>
            </w:pPr>
            <w:r>
              <w:rPr>
                <w:spacing w:val="-3"/>
                <w:sz w:val="21"/>
              </w:rPr>
              <w:t>未依法按时进行或通过机动车安全技术检验。</w:t>
            </w:r>
          </w:p>
        </w:tc>
      </w:tr>
      <w:tr>
        <w:trPr>
          <w:trHeight w:val="1041" w:hRule="atLeast"/>
        </w:trPr>
        <w:tc>
          <w:tcPr>
            <w:tcW w:w="777" w:type="dxa"/>
          </w:tcPr>
          <w:p>
            <w:pPr>
              <w:pStyle w:val="TableParagraph"/>
              <w:spacing w:before="142"/>
              <w:ind w:left="200"/>
              <w:rPr>
                <w:sz w:val="21"/>
              </w:rPr>
            </w:pPr>
            <w:r>
              <w:rPr>
                <w:w w:val="100"/>
                <w:sz w:val="21"/>
              </w:rPr>
              <w:t>十</w:t>
            </w:r>
          </w:p>
        </w:tc>
        <w:tc>
          <w:tcPr>
            <w:tcW w:w="1907" w:type="dxa"/>
          </w:tcPr>
          <w:p>
            <w:pPr>
              <w:pStyle w:val="TableParagraph"/>
              <w:spacing w:line="310" w:lineRule="atLeast" w:before="107"/>
              <w:ind w:left="366" w:right="105"/>
              <w:jc w:val="both"/>
              <w:rPr>
                <w:sz w:val="21"/>
              </w:rPr>
            </w:pPr>
            <w:r>
              <w:rPr>
                <w:spacing w:val="-8"/>
                <w:sz w:val="21"/>
              </w:rPr>
              <w:t>先天性畸形、变</w:t>
            </w:r>
            <w:r>
              <w:rPr>
                <w:spacing w:val="25"/>
                <w:sz w:val="21"/>
              </w:rPr>
              <w:t>形或染色体异常</w:t>
            </w:r>
          </w:p>
        </w:tc>
        <w:tc>
          <w:tcPr>
            <w:tcW w:w="6347" w:type="dxa"/>
          </w:tcPr>
          <w:p>
            <w:pPr>
              <w:pStyle w:val="TableParagraph"/>
              <w:spacing w:line="310" w:lineRule="atLeast" w:before="107"/>
              <w:ind w:right="305"/>
              <w:jc w:val="both"/>
              <w:rPr>
                <w:sz w:val="21"/>
              </w:rPr>
            </w:pPr>
            <w:r>
              <w:rPr>
                <w:sz w:val="21"/>
              </w:rPr>
              <w:t>指被保险人出生时就具有的畸形、变形或染色体异常。先天性畸形、变形和染色体异常依照世界卫生组织《疾病和有关健康问题的国际统计分类》（ICD-10）确定。</w:t>
            </w:r>
          </w:p>
        </w:tc>
      </w:tr>
    </w:tbl>
    <w:p>
      <w:pPr>
        <w:spacing w:after="0" w:line="310" w:lineRule="atLeast"/>
        <w:jc w:val="both"/>
        <w:rPr>
          <w:sz w:val="21"/>
        </w:rPr>
        <w:sectPr>
          <w:pgSz w:w="11910" w:h="16840"/>
          <w:pgMar w:header="0" w:footer="919" w:top="1580" w:bottom="1100" w:left="1680" w:right="980"/>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6"/>
        <w:ind w:left="0"/>
        <w:rPr>
          <w:rFonts w:ascii="Times New Roman"/>
          <w:sz w:val="12"/>
        </w:rPr>
      </w:pPr>
    </w:p>
    <w:tbl>
      <w:tblPr>
        <w:tblW w:w="0" w:type="auto"/>
        <w:jc w:val="left"/>
        <w:tblInd w:w="4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6"/>
        <w:gridCol w:w="1854"/>
        <w:gridCol w:w="6243"/>
      </w:tblGrid>
      <w:tr>
        <w:trPr>
          <w:trHeight w:val="417" w:hRule="atLeast"/>
        </w:trPr>
        <w:tc>
          <w:tcPr>
            <w:tcW w:w="936" w:type="dxa"/>
          </w:tcPr>
          <w:p>
            <w:pPr>
              <w:pStyle w:val="TableParagraph"/>
              <w:spacing w:line="211" w:lineRule="exact"/>
              <w:ind w:left="200"/>
              <w:rPr>
                <w:sz w:val="21"/>
              </w:rPr>
            </w:pPr>
            <w:r>
              <w:rPr>
                <w:sz w:val="21"/>
              </w:rPr>
              <w:t>十一</w:t>
            </w:r>
          </w:p>
        </w:tc>
        <w:tc>
          <w:tcPr>
            <w:tcW w:w="1854" w:type="dxa"/>
          </w:tcPr>
          <w:p>
            <w:pPr>
              <w:pStyle w:val="TableParagraph"/>
              <w:spacing w:line="211" w:lineRule="exact"/>
              <w:ind w:left="312"/>
              <w:rPr>
                <w:sz w:val="21"/>
              </w:rPr>
            </w:pPr>
            <w:r>
              <w:rPr>
                <w:sz w:val="21"/>
              </w:rPr>
              <w:t>手续费</w:t>
            </w:r>
          </w:p>
        </w:tc>
        <w:tc>
          <w:tcPr>
            <w:tcW w:w="6243" w:type="dxa"/>
          </w:tcPr>
          <w:p>
            <w:pPr>
              <w:pStyle w:val="TableParagraph"/>
              <w:spacing w:line="211" w:lineRule="exact"/>
              <w:rPr>
                <w:sz w:val="21"/>
              </w:rPr>
            </w:pPr>
            <w:r>
              <w:rPr>
                <w:sz w:val="21"/>
              </w:rPr>
              <w:t>手续费＝未满期保险费×25％。</w:t>
            </w:r>
          </w:p>
        </w:tc>
      </w:tr>
      <w:tr>
        <w:trPr>
          <w:trHeight w:val="935" w:hRule="atLeast"/>
        </w:trPr>
        <w:tc>
          <w:tcPr>
            <w:tcW w:w="936" w:type="dxa"/>
          </w:tcPr>
          <w:p>
            <w:pPr>
              <w:pStyle w:val="TableParagraph"/>
              <w:spacing w:before="142"/>
              <w:ind w:left="200"/>
              <w:rPr>
                <w:sz w:val="21"/>
              </w:rPr>
            </w:pPr>
            <w:r>
              <w:rPr>
                <w:sz w:val="21"/>
              </w:rPr>
              <w:t>十二</w:t>
            </w:r>
          </w:p>
        </w:tc>
        <w:tc>
          <w:tcPr>
            <w:tcW w:w="1854" w:type="dxa"/>
          </w:tcPr>
          <w:p>
            <w:pPr>
              <w:pStyle w:val="TableParagraph"/>
              <w:spacing w:before="142"/>
              <w:ind w:left="312"/>
              <w:rPr>
                <w:sz w:val="21"/>
              </w:rPr>
            </w:pPr>
            <w:r>
              <w:rPr>
                <w:sz w:val="21"/>
              </w:rPr>
              <w:t>未满期保险费</w:t>
            </w:r>
          </w:p>
        </w:tc>
        <w:tc>
          <w:tcPr>
            <w:tcW w:w="6243" w:type="dxa"/>
          </w:tcPr>
          <w:p>
            <w:pPr>
              <w:pStyle w:val="TableParagraph"/>
              <w:spacing w:line="273" w:lineRule="auto" w:before="142"/>
              <w:ind w:right="199"/>
              <w:rPr>
                <w:sz w:val="21"/>
              </w:rPr>
            </w:pPr>
            <w:r>
              <w:rPr>
                <w:sz w:val="21"/>
              </w:rPr>
              <w:t>除另有约定外，未满期保险费＝期交保险费× （保险期间天数- 当期已经过天数） ÷保险期间天数。</w:t>
            </w:r>
          </w:p>
        </w:tc>
      </w:tr>
      <w:tr>
        <w:trPr>
          <w:trHeight w:val="2496" w:hRule="atLeast"/>
        </w:trPr>
        <w:tc>
          <w:tcPr>
            <w:tcW w:w="936" w:type="dxa"/>
          </w:tcPr>
          <w:p>
            <w:pPr>
              <w:pStyle w:val="TableParagraph"/>
              <w:spacing w:before="142"/>
              <w:ind w:left="200"/>
              <w:rPr>
                <w:sz w:val="21"/>
              </w:rPr>
            </w:pPr>
            <w:r>
              <w:rPr>
                <w:sz w:val="21"/>
              </w:rPr>
              <w:t>十三</w:t>
            </w:r>
          </w:p>
        </w:tc>
        <w:tc>
          <w:tcPr>
            <w:tcW w:w="1854" w:type="dxa"/>
          </w:tcPr>
          <w:p>
            <w:pPr>
              <w:pStyle w:val="TableParagraph"/>
              <w:spacing w:before="142"/>
              <w:ind w:left="312"/>
              <w:rPr>
                <w:sz w:val="21"/>
              </w:rPr>
            </w:pPr>
            <w:r>
              <w:rPr>
                <w:sz w:val="21"/>
              </w:rPr>
              <w:t>专科医生</w:t>
            </w:r>
          </w:p>
        </w:tc>
        <w:tc>
          <w:tcPr>
            <w:tcW w:w="6243" w:type="dxa"/>
          </w:tcPr>
          <w:p>
            <w:pPr>
              <w:pStyle w:val="TableParagraph"/>
              <w:spacing w:before="142"/>
              <w:rPr>
                <w:sz w:val="21"/>
              </w:rPr>
            </w:pPr>
            <w:r>
              <w:rPr>
                <w:sz w:val="21"/>
              </w:rPr>
              <w:t>专科医生应当同时满足以下四项资格条件：</w:t>
            </w:r>
          </w:p>
          <w:p>
            <w:pPr>
              <w:pStyle w:val="TableParagraph"/>
              <w:numPr>
                <w:ilvl w:val="0"/>
                <w:numId w:val="3"/>
              </w:numPr>
              <w:tabs>
                <w:tab w:pos="425" w:val="left" w:leader="none"/>
              </w:tabs>
              <w:spacing w:line="240" w:lineRule="auto" w:before="36" w:after="0"/>
              <w:ind w:left="424" w:right="0" w:hanging="316"/>
              <w:jc w:val="left"/>
              <w:rPr>
                <w:sz w:val="21"/>
              </w:rPr>
            </w:pPr>
            <w:r>
              <w:rPr>
                <w:spacing w:val="-3"/>
                <w:sz w:val="21"/>
              </w:rPr>
              <w:t>具有有效的中华人民共和国《医师资格证书》；</w:t>
            </w:r>
          </w:p>
          <w:p>
            <w:pPr>
              <w:pStyle w:val="TableParagraph"/>
              <w:numPr>
                <w:ilvl w:val="0"/>
                <w:numId w:val="3"/>
              </w:numPr>
              <w:tabs>
                <w:tab w:pos="425" w:val="left" w:leader="none"/>
              </w:tabs>
              <w:spacing w:line="273" w:lineRule="auto" w:before="36" w:after="0"/>
              <w:ind w:left="424" w:right="201" w:hanging="316"/>
              <w:jc w:val="left"/>
              <w:rPr>
                <w:sz w:val="21"/>
              </w:rPr>
            </w:pPr>
            <w:r>
              <w:rPr>
                <w:spacing w:val="-7"/>
                <w:sz w:val="21"/>
              </w:rPr>
              <w:t>具有有效的中华人民共和国《医师执业证书》，并按期到相关</w:t>
            </w:r>
            <w:r>
              <w:rPr>
                <w:spacing w:val="-3"/>
                <w:sz w:val="21"/>
              </w:rPr>
              <w:t>部门登记注册；</w:t>
            </w:r>
          </w:p>
          <w:p>
            <w:pPr>
              <w:pStyle w:val="TableParagraph"/>
              <w:numPr>
                <w:ilvl w:val="0"/>
                <w:numId w:val="3"/>
              </w:numPr>
              <w:tabs>
                <w:tab w:pos="425" w:val="left" w:leader="none"/>
              </w:tabs>
              <w:spacing w:line="240" w:lineRule="auto" w:before="7" w:after="0"/>
              <w:ind w:left="424" w:right="0" w:hanging="316"/>
              <w:jc w:val="left"/>
              <w:rPr>
                <w:sz w:val="21"/>
              </w:rPr>
            </w:pPr>
            <w:r>
              <w:rPr>
                <w:spacing w:val="-3"/>
                <w:sz w:val="21"/>
              </w:rPr>
              <w:t>具有有效的中华人民共和国主治医师或主治医师以上职称的</w:t>
            </w:r>
          </w:p>
          <w:p>
            <w:pPr>
              <w:pStyle w:val="TableParagraph"/>
              <w:spacing w:before="37"/>
              <w:ind w:left="319"/>
              <w:rPr>
                <w:sz w:val="21"/>
              </w:rPr>
            </w:pPr>
            <w:r>
              <w:rPr>
                <w:sz w:val="21"/>
              </w:rPr>
              <w:t>《医师职称证书》；</w:t>
            </w:r>
          </w:p>
          <w:p>
            <w:pPr>
              <w:pStyle w:val="TableParagraph"/>
              <w:numPr>
                <w:ilvl w:val="0"/>
                <w:numId w:val="3"/>
              </w:numPr>
              <w:tabs>
                <w:tab w:pos="425" w:val="left" w:leader="none"/>
              </w:tabs>
              <w:spacing w:line="240" w:lineRule="auto" w:before="36" w:after="0"/>
              <w:ind w:left="424" w:right="0" w:hanging="316"/>
              <w:jc w:val="left"/>
              <w:rPr>
                <w:sz w:val="21"/>
              </w:rPr>
            </w:pPr>
            <w:r>
              <w:rPr>
                <w:spacing w:val="-3"/>
                <w:sz w:val="21"/>
              </w:rPr>
              <w:t>在二级或二级以上医院的相应科室从事临床工作三年以上。</w:t>
            </w:r>
          </w:p>
        </w:tc>
      </w:tr>
      <w:tr>
        <w:trPr>
          <w:trHeight w:val="2496" w:hRule="atLeast"/>
        </w:trPr>
        <w:tc>
          <w:tcPr>
            <w:tcW w:w="936" w:type="dxa"/>
          </w:tcPr>
          <w:p>
            <w:pPr>
              <w:pStyle w:val="TableParagraph"/>
              <w:spacing w:before="142"/>
              <w:ind w:left="200"/>
              <w:rPr>
                <w:sz w:val="21"/>
              </w:rPr>
            </w:pPr>
            <w:r>
              <w:rPr>
                <w:sz w:val="21"/>
              </w:rPr>
              <w:t>十四</w:t>
            </w:r>
          </w:p>
        </w:tc>
        <w:tc>
          <w:tcPr>
            <w:tcW w:w="1854" w:type="dxa"/>
          </w:tcPr>
          <w:p>
            <w:pPr>
              <w:pStyle w:val="TableParagraph"/>
              <w:spacing w:line="273" w:lineRule="auto" w:before="142"/>
              <w:ind w:left="312" w:right="107"/>
              <w:rPr>
                <w:sz w:val="21"/>
              </w:rPr>
            </w:pPr>
            <w:r>
              <w:rPr>
                <w:sz w:val="21"/>
              </w:rPr>
              <w:t>六项基本日常生活活动</w:t>
            </w:r>
          </w:p>
        </w:tc>
        <w:tc>
          <w:tcPr>
            <w:tcW w:w="6243" w:type="dxa"/>
          </w:tcPr>
          <w:p>
            <w:pPr>
              <w:pStyle w:val="TableParagraph"/>
              <w:spacing w:before="142"/>
              <w:rPr>
                <w:sz w:val="21"/>
              </w:rPr>
            </w:pPr>
            <w:r>
              <w:rPr>
                <w:sz w:val="21"/>
              </w:rPr>
              <w:t>六项基本日常生活活动是指：</w:t>
            </w:r>
          </w:p>
          <w:p>
            <w:pPr>
              <w:pStyle w:val="TableParagraph"/>
              <w:numPr>
                <w:ilvl w:val="0"/>
                <w:numId w:val="4"/>
              </w:numPr>
              <w:tabs>
                <w:tab w:pos="425" w:val="left" w:leader="none"/>
              </w:tabs>
              <w:spacing w:line="240" w:lineRule="auto" w:before="36" w:after="0"/>
              <w:ind w:left="424" w:right="0" w:hanging="316"/>
              <w:jc w:val="left"/>
              <w:rPr>
                <w:sz w:val="21"/>
              </w:rPr>
            </w:pPr>
            <w:r>
              <w:rPr>
                <w:spacing w:val="-3"/>
                <w:sz w:val="21"/>
              </w:rPr>
              <w:t>穿衣：自己能够穿衣及脱衣；</w:t>
            </w:r>
          </w:p>
          <w:p>
            <w:pPr>
              <w:pStyle w:val="TableParagraph"/>
              <w:numPr>
                <w:ilvl w:val="0"/>
                <w:numId w:val="4"/>
              </w:numPr>
              <w:tabs>
                <w:tab w:pos="425" w:val="left" w:leader="none"/>
              </w:tabs>
              <w:spacing w:line="240" w:lineRule="auto" w:before="36" w:after="0"/>
              <w:ind w:left="424" w:right="0" w:hanging="316"/>
              <w:jc w:val="left"/>
              <w:rPr>
                <w:sz w:val="21"/>
              </w:rPr>
            </w:pPr>
            <w:r>
              <w:rPr>
                <w:spacing w:val="-3"/>
                <w:sz w:val="21"/>
              </w:rPr>
              <w:t>移动：自己从一个房间到另一个房间；</w:t>
            </w:r>
          </w:p>
          <w:p>
            <w:pPr>
              <w:pStyle w:val="TableParagraph"/>
              <w:numPr>
                <w:ilvl w:val="0"/>
                <w:numId w:val="4"/>
              </w:numPr>
              <w:tabs>
                <w:tab w:pos="425" w:val="left" w:leader="none"/>
              </w:tabs>
              <w:spacing w:line="240" w:lineRule="auto" w:before="36" w:after="0"/>
              <w:ind w:left="424" w:right="0" w:hanging="316"/>
              <w:jc w:val="left"/>
              <w:rPr>
                <w:sz w:val="21"/>
              </w:rPr>
            </w:pPr>
            <w:r>
              <w:rPr>
                <w:spacing w:val="-3"/>
                <w:sz w:val="21"/>
              </w:rPr>
              <w:t>行动：自己上下床或上下轮椅；</w:t>
            </w:r>
          </w:p>
          <w:p>
            <w:pPr>
              <w:pStyle w:val="TableParagraph"/>
              <w:numPr>
                <w:ilvl w:val="0"/>
                <w:numId w:val="4"/>
              </w:numPr>
              <w:tabs>
                <w:tab w:pos="425" w:val="left" w:leader="none"/>
              </w:tabs>
              <w:spacing w:line="240" w:lineRule="auto" w:before="36" w:after="0"/>
              <w:ind w:left="424" w:right="0" w:hanging="316"/>
              <w:jc w:val="left"/>
              <w:rPr>
                <w:sz w:val="21"/>
              </w:rPr>
            </w:pPr>
            <w:r>
              <w:rPr>
                <w:spacing w:val="-3"/>
                <w:sz w:val="21"/>
              </w:rPr>
              <w:t>如厕：自己控制进行大小便；</w:t>
            </w:r>
          </w:p>
          <w:p>
            <w:pPr>
              <w:pStyle w:val="TableParagraph"/>
              <w:numPr>
                <w:ilvl w:val="0"/>
                <w:numId w:val="4"/>
              </w:numPr>
              <w:tabs>
                <w:tab w:pos="425" w:val="left" w:leader="none"/>
              </w:tabs>
              <w:spacing w:line="240" w:lineRule="auto" w:before="36" w:after="0"/>
              <w:ind w:left="424" w:right="0" w:hanging="316"/>
              <w:jc w:val="left"/>
              <w:rPr>
                <w:sz w:val="21"/>
              </w:rPr>
            </w:pPr>
            <w:r>
              <w:rPr>
                <w:spacing w:val="-3"/>
                <w:sz w:val="21"/>
              </w:rPr>
              <w:t>进食：自己从已准备好的碗或碟中取食物放入口中；</w:t>
            </w:r>
          </w:p>
          <w:p>
            <w:pPr>
              <w:pStyle w:val="TableParagraph"/>
              <w:numPr>
                <w:ilvl w:val="0"/>
                <w:numId w:val="4"/>
              </w:numPr>
              <w:tabs>
                <w:tab w:pos="425" w:val="left" w:leader="none"/>
              </w:tabs>
              <w:spacing w:line="240" w:lineRule="auto" w:before="36" w:after="0"/>
              <w:ind w:left="424" w:right="0" w:hanging="316"/>
              <w:jc w:val="left"/>
              <w:rPr>
                <w:sz w:val="21"/>
              </w:rPr>
            </w:pPr>
            <w:r>
              <w:rPr>
                <w:spacing w:val="-3"/>
                <w:sz w:val="21"/>
              </w:rPr>
              <w:t>洗澡：自己进行淋浴或盆浴。</w:t>
            </w:r>
          </w:p>
        </w:tc>
      </w:tr>
      <w:tr>
        <w:trPr>
          <w:trHeight w:val="730" w:hRule="atLeast"/>
        </w:trPr>
        <w:tc>
          <w:tcPr>
            <w:tcW w:w="936" w:type="dxa"/>
          </w:tcPr>
          <w:p>
            <w:pPr>
              <w:pStyle w:val="TableParagraph"/>
              <w:spacing w:before="142"/>
              <w:ind w:left="200"/>
              <w:rPr>
                <w:sz w:val="21"/>
              </w:rPr>
            </w:pPr>
            <w:r>
              <w:rPr>
                <w:sz w:val="21"/>
              </w:rPr>
              <w:t>十五</w:t>
            </w:r>
          </w:p>
        </w:tc>
        <w:tc>
          <w:tcPr>
            <w:tcW w:w="1854" w:type="dxa"/>
          </w:tcPr>
          <w:p>
            <w:pPr>
              <w:pStyle w:val="TableParagraph"/>
              <w:spacing w:before="142"/>
              <w:ind w:left="816"/>
              <w:rPr>
                <w:sz w:val="21"/>
              </w:rPr>
            </w:pPr>
            <w:r>
              <w:rPr>
                <w:sz w:val="21"/>
              </w:rPr>
              <w:t>周岁</w:t>
            </w:r>
          </w:p>
        </w:tc>
        <w:tc>
          <w:tcPr>
            <w:tcW w:w="6243" w:type="dxa"/>
          </w:tcPr>
          <w:p>
            <w:pPr>
              <w:pStyle w:val="TableParagraph"/>
              <w:spacing w:before="142"/>
              <w:rPr>
                <w:sz w:val="21"/>
              </w:rPr>
            </w:pPr>
            <w:r>
              <w:rPr>
                <w:sz w:val="21"/>
              </w:rPr>
              <w:t>按照公历的年、月、日计算，从周岁生日的第二天起，为年满×</w:t>
            </w:r>
          </w:p>
          <w:p>
            <w:pPr>
              <w:pStyle w:val="TableParagraph"/>
              <w:spacing w:line="255" w:lineRule="exact" w:before="37"/>
              <w:rPr>
                <w:sz w:val="21"/>
              </w:rPr>
            </w:pPr>
            <w:r>
              <w:rPr>
                <w:sz w:val="21"/>
              </w:rPr>
              <w:t>×周岁。</w:t>
            </w:r>
          </w:p>
        </w:tc>
      </w:tr>
    </w:tbl>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8"/>
        <w:ind w:left="0"/>
        <w:rPr>
          <w:rFonts w:ascii="Times New Roman"/>
          <w:sz w:val="22"/>
        </w:rPr>
      </w:pPr>
    </w:p>
    <w:p>
      <w:pPr>
        <w:pStyle w:val="Heading1"/>
        <w:spacing w:before="36"/>
        <w:jc w:val="left"/>
      </w:pPr>
      <w:r>
        <w:rPr/>
        <w:t>附表</w:t>
      </w:r>
    </w:p>
    <w:p>
      <w:pPr>
        <w:spacing w:before="84"/>
        <w:ind w:left="3892" w:right="4010" w:firstLine="0"/>
        <w:jc w:val="center"/>
        <w:rPr>
          <w:b/>
          <w:sz w:val="21"/>
        </w:rPr>
      </w:pPr>
      <w:r>
        <w:rPr>
          <w:b/>
          <w:sz w:val="21"/>
        </w:rPr>
        <w:t>极短期收费比例表</w:t>
      </w:r>
    </w:p>
    <w:p>
      <w:pPr>
        <w:pStyle w:val="BodyText"/>
        <w:spacing w:before="0"/>
        <w:ind w:left="0"/>
        <w:rPr>
          <w:b/>
          <w:sz w:val="20"/>
        </w:rPr>
      </w:pPr>
    </w:p>
    <w:p>
      <w:pPr>
        <w:pStyle w:val="BodyText"/>
        <w:spacing w:before="9"/>
        <w:ind w:left="0"/>
        <w:rPr>
          <w:b/>
          <w:sz w:val="14"/>
        </w:rPr>
      </w:pPr>
    </w:p>
    <w:tbl>
      <w:tblPr>
        <w:tblW w:w="0" w:type="auto"/>
        <w:jc w:val="left"/>
        <w:tblInd w:w="4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6"/>
        <w:gridCol w:w="614"/>
        <w:gridCol w:w="617"/>
        <w:gridCol w:w="616"/>
        <w:gridCol w:w="614"/>
        <w:gridCol w:w="631"/>
        <w:gridCol w:w="602"/>
        <w:gridCol w:w="614"/>
        <w:gridCol w:w="616"/>
        <w:gridCol w:w="614"/>
        <w:gridCol w:w="631"/>
        <w:gridCol w:w="615"/>
        <w:gridCol w:w="617"/>
      </w:tblGrid>
      <w:tr>
        <w:trPr>
          <w:trHeight w:val="558" w:hRule="atLeast"/>
        </w:trPr>
        <w:tc>
          <w:tcPr>
            <w:tcW w:w="1116" w:type="dxa"/>
          </w:tcPr>
          <w:p>
            <w:pPr>
              <w:pStyle w:val="TableParagraph"/>
              <w:spacing w:line="205" w:lineRule="exact"/>
              <w:ind w:left="196"/>
              <w:rPr>
                <w:sz w:val="18"/>
              </w:rPr>
            </w:pPr>
            <w:r>
              <w:rPr>
                <w:sz w:val="18"/>
              </w:rPr>
              <w:t>保险期间</w:t>
            </w:r>
          </w:p>
          <w:p>
            <w:pPr>
              <w:pStyle w:val="TableParagraph"/>
              <w:spacing w:before="45"/>
              <w:ind w:left="196"/>
              <w:rPr>
                <w:sz w:val="18"/>
              </w:rPr>
            </w:pPr>
            <w:r>
              <w:rPr>
                <w:sz w:val="18"/>
              </w:rPr>
              <w:t>（个月）</w:t>
            </w:r>
          </w:p>
        </w:tc>
        <w:tc>
          <w:tcPr>
            <w:tcW w:w="614" w:type="dxa"/>
          </w:tcPr>
          <w:p>
            <w:pPr>
              <w:pStyle w:val="TableParagraph"/>
              <w:spacing w:before="108"/>
              <w:ind w:left="8"/>
              <w:jc w:val="center"/>
              <w:rPr>
                <w:sz w:val="18"/>
              </w:rPr>
            </w:pPr>
            <w:r>
              <w:rPr>
                <w:sz w:val="18"/>
              </w:rPr>
              <w:t>1</w:t>
            </w:r>
          </w:p>
        </w:tc>
        <w:tc>
          <w:tcPr>
            <w:tcW w:w="617" w:type="dxa"/>
          </w:tcPr>
          <w:p>
            <w:pPr>
              <w:pStyle w:val="TableParagraph"/>
              <w:spacing w:before="108"/>
              <w:ind w:left="264"/>
              <w:rPr>
                <w:sz w:val="18"/>
              </w:rPr>
            </w:pPr>
            <w:r>
              <w:rPr>
                <w:sz w:val="18"/>
              </w:rPr>
              <w:t>2</w:t>
            </w:r>
          </w:p>
        </w:tc>
        <w:tc>
          <w:tcPr>
            <w:tcW w:w="616" w:type="dxa"/>
          </w:tcPr>
          <w:p>
            <w:pPr>
              <w:pStyle w:val="TableParagraph"/>
              <w:spacing w:before="108"/>
              <w:ind w:left="8"/>
              <w:jc w:val="center"/>
              <w:rPr>
                <w:sz w:val="18"/>
              </w:rPr>
            </w:pPr>
            <w:r>
              <w:rPr>
                <w:sz w:val="18"/>
              </w:rPr>
              <w:t>3</w:t>
            </w:r>
          </w:p>
        </w:tc>
        <w:tc>
          <w:tcPr>
            <w:tcW w:w="614" w:type="dxa"/>
          </w:tcPr>
          <w:p>
            <w:pPr>
              <w:pStyle w:val="TableParagraph"/>
              <w:spacing w:before="108"/>
              <w:ind w:left="11"/>
              <w:jc w:val="center"/>
              <w:rPr>
                <w:sz w:val="18"/>
              </w:rPr>
            </w:pPr>
            <w:r>
              <w:rPr>
                <w:sz w:val="18"/>
              </w:rPr>
              <w:t>4</w:t>
            </w:r>
          </w:p>
        </w:tc>
        <w:tc>
          <w:tcPr>
            <w:tcW w:w="631" w:type="dxa"/>
          </w:tcPr>
          <w:p>
            <w:pPr>
              <w:pStyle w:val="TableParagraph"/>
              <w:spacing w:before="108"/>
              <w:ind w:left="272"/>
              <w:rPr>
                <w:sz w:val="18"/>
              </w:rPr>
            </w:pPr>
            <w:r>
              <w:rPr>
                <w:sz w:val="18"/>
              </w:rPr>
              <w:t>5</w:t>
            </w:r>
          </w:p>
        </w:tc>
        <w:tc>
          <w:tcPr>
            <w:tcW w:w="602" w:type="dxa"/>
          </w:tcPr>
          <w:p>
            <w:pPr>
              <w:pStyle w:val="TableParagraph"/>
              <w:spacing w:before="108"/>
              <w:ind w:left="256"/>
              <w:rPr>
                <w:sz w:val="18"/>
              </w:rPr>
            </w:pPr>
            <w:r>
              <w:rPr>
                <w:sz w:val="18"/>
              </w:rPr>
              <w:t>6</w:t>
            </w:r>
          </w:p>
        </w:tc>
        <w:tc>
          <w:tcPr>
            <w:tcW w:w="614" w:type="dxa"/>
          </w:tcPr>
          <w:p>
            <w:pPr>
              <w:pStyle w:val="TableParagraph"/>
              <w:spacing w:before="108"/>
              <w:ind w:left="14"/>
              <w:jc w:val="center"/>
              <w:rPr>
                <w:sz w:val="18"/>
              </w:rPr>
            </w:pPr>
            <w:r>
              <w:rPr>
                <w:sz w:val="18"/>
              </w:rPr>
              <w:t>7</w:t>
            </w:r>
          </w:p>
        </w:tc>
        <w:tc>
          <w:tcPr>
            <w:tcW w:w="616" w:type="dxa"/>
          </w:tcPr>
          <w:p>
            <w:pPr>
              <w:pStyle w:val="TableParagraph"/>
              <w:spacing w:before="108"/>
              <w:ind w:left="18"/>
              <w:jc w:val="center"/>
              <w:rPr>
                <w:sz w:val="18"/>
              </w:rPr>
            </w:pPr>
            <w:r>
              <w:rPr>
                <w:sz w:val="18"/>
              </w:rPr>
              <w:t>8</w:t>
            </w:r>
          </w:p>
        </w:tc>
        <w:tc>
          <w:tcPr>
            <w:tcW w:w="614" w:type="dxa"/>
          </w:tcPr>
          <w:p>
            <w:pPr>
              <w:pStyle w:val="TableParagraph"/>
              <w:spacing w:before="108"/>
              <w:ind w:left="265"/>
              <w:rPr>
                <w:sz w:val="18"/>
              </w:rPr>
            </w:pPr>
            <w:r>
              <w:rPr>
                <w:sz w:val="18"/>
              </w:rPr>
              <w:t>9</w:t>
            </w:r>
          </w:p>
        </w:tc>
        <w:tc>
          <w:tcPr>
            <w:tcW w:w="631" w:type="dxa"/>
          </w:tcPr>
          <w:p>
            <w:pPr>
              <w:pStyle w:val="TableParagraph"/>
              <w:spacing w:before="108"/>
              <w:ind w:left="211" w:right="190"/>
              <w:jc w:val="center"/>
              <w:rPr>
                <w:sz w:val="18"/>
              </w:rPr>
            </w:pPr>
            <w:r>
              <w:rPr>
                <w:sz w:val="18"/>
              </w:rPr>
              <w:t>10</w:t>
            </w:r>
          </w:p>
        </w:tc>
        <w:tc>
          <w:tcPr>
            <w:tcW w:w="615" w:type="dxa"/>
          </w:tcPr>
          <w:p>
            <w:pPr>
              <w:pStyle w:val="TableParagraph"/>
              <w:spacing w:before="108"/>
              <w:ind w:left="204" w:right="181"/>
              <w:jc w:val="center"/>
              <w:rPr>
                <w:sz w:val="18"/>
              </w:rPr>
            </w:pPr>
            <w:r>
              <w:rPr>
                <w:sz w:val="18"/>
              </w:rPr>
              <w:t>11</w:t>
            </w:r>
          </w:p>
        </w:tc>
        <w:tc>
          <w:tcPr>
            <w:tcW w:w="617" w:type="dxa"/>
          </w:tcPr>
          <w:p>
            <w:pPr>
              <w:pStyle w:val="TableParagraph"/>
              <w:spacing w:before="108"/>
              <w:ind w:left="225"/>
              <w:rPr>
                <w:sz w:val="18"/>
              </w:rPr>
            </w:pPr>
            <w:r>
              <w:rPr>
                <w:sz w:val="18"/>
              </w:rPr>
              <w:t>12</w:t>
            </w:r>
          </w:p>
        </w:tc>
      </w:tr>
      <w:tr>
        <w:trPr>
          <w:trHeight w:val="561" w:hRule="atLeast"/>
        </w:trPr>
        <w:tc>
          <w:tcPr>
            <w:tcW w:w="1116" w:type="dxa"/>
          </w:tcPr>
          <w:p>
            <w:pPr>
              <w:pStyle w:val="TableParagraph"/>
              <w:spacing w:line="205" w:lineRule="exact"/>
              <w:ind w:left="196"/>
              <w:rPr>
                <w:sz w:val="18"/>
              </w:rPr>
            </w:pPr>
            <w:r>
              <w:rPr>
                <w:sz w:val="18"/>
              </w:rPr>
              <w:t>收费比例</w:t>
            </w:r>
          </w:p>
          <w:p>
            <w:pPr>
              <w:pStyle w:val="TableParagraph"/>
              <w:spacing w:before="45"/>
              <w:ind w:left="287"/>
              <w:rPr>
                <w:sz w:val="18"/>
              </w:rPr>
            </w:pPr>
            <w:r>
              <w:rPr>
                <w:sz w:val="18"/>
              </w:rPr>
              <w:t>（％）</w:t>
            </w:r>
          </w:p>
        </w:tc>
        <w:tc>
          <w:tcPr>
            <w:tcW w:w="614" w:type="dxa"/>
          </w:tcPr>
          <w:p>
            <w:pPr>
              <w:pStyle w:val="TableParagraph"/>
              <w:spacing w:before="111"/>
              <w:ind w:left="196" w:right="182"/>
              <w:jc w:val="center"/>
              <w:rPr>
                <w:sz w:val="18"/>
              </w:rPr>
            </w:pPr>
            <w:r>
              <w:rPr>
                <w:sz w:val="18"/>
              </w:rPr>
              <w:t>10</w:t>
            </w:r>
          </w:p>
        </w:tc>
        <w:tc>
          <w:tcPr>
            <w:tcW w:w="617" w:type="dxa"/>
          </w:tcPr>
          <w:p>
            <w:pPr>
              <w:pStyle w:val="TableParagraph"/>
              <w:spacing w:before="111"/>
              <w:ind w:left="220"/>
              <w:rPr>
                <w:sz w:val="18"/>
              </w:rPr>
            </w:pPr>
            <w:r>
              <w:rPr>
                <w:sz w:val="18"/>
              </w:rPr>
              <w:t>20</w:t>
            </w:r>
          </w:p>
        </w:tc>
        <w:tc>
          <w:tcPr>
            <w:tcW w:w="616" w:type="dxa"/>
          </w:tcPr>
          <w:p>
            <w:pPr>
              <w:pStyle w:val="TableParagraph"/>
              <w:spacing w:before="111"/>
              <w:ind w:left="197" w:right="183"/>
              <w:jc w:val="center"/>
              <w:rPr>
                <w:sz w:val="18"/>
              </w:rPr>
            </w:pPr>
            <w:r>
              <w:rPr>
                <w:sz w:val="18"/>
              </w:rPr>
              <w:t>30</w:t>
            </w:r>
          </w:p>
        </w:tc>
        <w:tc>
          <w:tcPr>
            <w:tcW w:w="614" w:type="dxa"/>
          </w:tcPr>
          <w:p>
            <w:pPr>
              <w:pStyle w:val="TableParagraph"/>
              <w:spacing w:before="111"/>
              <w:ind w:left="199" w:right="182"/>
              <w:jc w:val="center"/>
              <w:rPr>
                <w:sz w:val="18"/>
              </w:rPr>
            </w:pPr>
            <w:r>
              <w:rPr>
                <w:sz w:val="18"/>
              </w:rPr>
              <w:t>40</w:t>
            </w:r>
          </w:p>
        </w:tc>
        <w:tc>
          <w:tcPr>
            <w:tcW w:w="631" w:type="dxa"/>
          </w:tcPr>
          <w:p>
            <w:pPr>
              <w:pStyle w:val="TableParagraph"/>
              <w:spacing w:before="111"/>
              <w:ind w:left="227"/>
              <w:rPr>
                <w:sz w:val="18"/>
              </w:rPr>
            </w:pPr>
            <w:r>
              <w:rPr>
                <w:sz w:val="18"/>
              </w:rPr>
              <w:t>50</w:t>
            </w:r>
          </w:p>
        </w:tc>
        <w:tc>
          <w:tcPr>
            <w:tcW w:w="602" w:type="dxa"/>
          </w:tcPr>
          <w:p>
            <w:pPr>
              <w:pStyle w:val="TableParagraph"/>
              <w:spacing w:before="111"/>
              <w:ind w:left="213"/>
              <w:rPr>
                <w:sz w:val="18"/>
              </w:rPr>
            </w:pPr>
            <w:r>
              <w:rPr>
                <w:sz w:val="18"/>
              </w:rPr>
              <w:t>60</w:t>
            </w:r>
          </w:p>
        </w:tc>
        <w:tc>
          <w:tcPr>
            <w:tcW w:w="614" w:type="dxa"/>
          </w:tcPr>
          <w:p>
            <w:pPr>
              <w:pStyle w:val="TableParagraph"/>
              <w:spacing w:before="111"/>
              <w:ind w:left="199" w:right="179"/>
              <w:jc w:val="center"/>
              <w:rPr>
                <w:sz w:val="18"/>
              </w:rPr>
            </w:pPr>
            <w:r>
              <w:rPr>
                <w:sz w:val="18"/>
              </w:rPr>
              <w:t>70</w:t>
            </w:r>
          </w:p>
        </w:tc>
        <w:tc>
          <w:tcPr>
            <w:tcW w:w="616" w:type="dxa"/>
          </w:tcPr>
          <w:p>
            <w:pPr>
              <w:pStyle w:val="TableParagraph"/>
              <w:spacing w:before="111"/>
              <w:ind w:left="200" w:right="181"/>
              <w:jc w:val="center"/>
              <w:rPr>
                <w:sz w:val="18"/>
              </w:rPr>
            </w:pPr>
            <w:r>
              <w:rPr>
                <w:sz w:val="18"/>
              </w:rPr>
              <w:t>80</w:t>
            </w:r>
          </w:p>
        </w:tc>
        <w:tc>
          <w:tcPr>
            <w:tcW w:w="614" w:type="dxa"/>
          </w:tcPr>
          <w:p>
            <w:pPr>
              <w:pStyle w:val="TableParagraph"/>
              <w:spacing w:before="111"/>
              <w:ind w:left="222"/>
              <w:rPr>
                <w:sz w:val="18"/>
              </w:rPr>
            </w:pPr>
            <w:r>
              <w:rPr>
                <w:sz w:val="18"/>
              </w:rPr>
              <w:t>85</w:t>
            </w:r>
          </w:p>
        </w:tc>
        <w:tc>
          <w:tcPr>
            <w:tcW w:w="631" w:type="dxa"/>
          </w:tcPr>
          <w:p>
            <w:pPr>
              <w:pStyle w:val="TableParagraph"/>
              <w:spacing w:before="111"/>
              <w:ind w:left="211" w:right="190"/>
              <w:jc w:val="center"/>
              <w:rPr>
                <w:sz w:val="18"/>
              </w:rPr>
            </w:pPr>
            <w:r>
              <w:rPr>
                <w:sz w:val="18"/>
              </w:rPr>
              <w:t>90</w:t>
            </w:r>
          </w:p>
        </w:tc>
        <w:tc>
          <w:tcPr>
            <w:tcW w:w="615" w:type="dxa"/>
          </w:tcPr>
          <w:p>
            <w:pPr>
              <w:pStyle w:val="TableParagraph"/>
              <w:spacing w:before="111"/>
              <w:ind w:left="204" w:right="181"/>
              <w:jc w:val="center"/>
              <w:rPr>
                <w:sz w:val="18"/>
              </w:rPr>
            </w:pPr>
            <w:r>
              <w:rPr>
                <w:sz w:val="18"/>
              </w:rPr>
              <w:t>95</w:t>
            </w:r>
          </w:p>
        </w:tc>
        <w:tc>
          <w:tcPr>
            <w:tcW w:w="617" w:type="dxa"/>
          </w:tcPr>
          <w:p>
            <w:pPr>
              <w:pStyle w:val="TableParagraph"/>
              <w:spacing w:before="111"/>
              <w:ind w:left="179"/>
              <w:rPr>
                <w:sz w:val="18"/>
              </w:rPr>
            </w:pPr>
            <w:r>
              <w:rPr>
                <w:sz w:val="18"/>
              </w:rPr>
              <w:t>100</w:t>
            </w:r>
          </w:p>
        </w:tc>
      </w:tr>
    </w:tbl>
    <w:p>
      <w:pPr>
        <w:pStyle w:val="BodyText"/>
        <w:spacing w:before="4"/>
        <w:ind w:left="0"/>
        <w:rPr>
          <w:b/>
          <w:sz w:val="27"/>
        </w:rPr>
      </w:pPr>
    </w:p>
    <w:p>
      <w:pPr>
        <w:pStyle w:val="BodyText"/>
        <w:spacing w:line="326" w:lineRule="auto" w:before="36"/>
        <w:ind w:left="526" w:right="4583" w:hanging="106"/>
      </w:pPr>
      <w:r>
        <w:rPr>
          <w:spacing w:val="-3"/>
        </w:rPr>
        <w:t>（注：保险期间不足一个月的，按一个月计算</w:t>
      </w:r>
      <w:r>
        <w:rPr/>
        <w:t>） </w:t>
      </w:r>
      <w:r>
        <w:rPr>
          <w:spacing w:val="-3"/>
        </w:rPr>
        <w:t>极短期保险费 = 年交保险费 × 极短期收费比例</w:t>
      </w:r>
    </w:p>
    <w:sectPr>
      <w:pgSz w:w="11910" w:h="16840"/>
      <w:pgMar w:header="0" w:footer="919" w:top="1580" w:bottom="1100" w:left="120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Light">
    <w:altName w:val="Microsoft JhengHei Ligh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89.503998pt;margin-top:780.961609pt;width:110pt;height:11pt;mso-position-horizontal-relative:page;mso-position-vertical-relative:page;z-index:-22024" type="#_x0000_t202" filled="false" stroked="false">
          <v:textbox inset="0,0,0,0">
            <w:txbxContent>
              <w:p>
                <w:pPr>
                  <w:spacing w:line="200" w:lineRule="exact" w:before="0"/>
                  <w:ind w:left="20" w:right="0" w:firstLine="0"/>
                  <w:jc w:val="left"/>
                  <w:rPr>
                    <w:sz w:val="18"/>
                  </w:rPr>
                </w:pPr>
                <w:r>
                  <w:rPr>
                    <w:sz w:val="18"/>
                  </w:rPr>
                  <w:t>中航三星团体重大疾病保险</w:t>
                </w:r>
              </w:p>
            </w:txbxContent>
          </v:textbox>
          <w10:wrap type="none"/>
        </v:shape>
      </w:pict>
    </w:r>
    <w:r>
      <w:rPr/>
      <w:pict>
        <v:shape style="position:absolute;margin-left:305.769989pt;margin-top:780.961609pt;width:20pt;height:11pt;mso-position-horizontal-relative:page;mso-position-vertical-relative:page;z-index:-22000"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31.790009pt;margin-top:780.961609pt;width:74.150pt;height:11pt;mso-position-horizontal-relative:page;mso-position-vertical-relative:page;z-index:-21976" type="#_x0000_t202" filled="false" stroked="false">
          <v:textbox inset="0,0,0,0">
            <w:txbxContent>
              <w:p>
                <w:pPr>
                  <w:spacing w:line="200" w:lineRule="exact" w:before="0"/>
                  <w:ind w:left="20" w:right="0" w:firstLine="0"/>
                  <w:jc w:val="left"/>
                  <w:rPr>
                    <w:sz w:val="18"/>
                  </w:rPr>
                </w:pPr>
                <w:r>
                  <w:rPr>
                    <w:spacing w:val="-24"/>
                    <w:sz w:val="18"/>
                  </w:rPr>
                  <w:t>第 </w:t>
                </w:r>
                <w:r>
                  <w:rPr/>
                  <w:fldChar w:fldCharType="begin"/>
                </w:r>
                <w:r>
                  <w:rPr>
                    <w:sz w:val="18"/>
                  </w:rPr>
                  <w:instrText> PAGE </w:instrText>
                </w:r>
                <w:r>
                  <w:rPr/>
                  <w:fldChar w:fldCharType="separate"/>
                </w:r>
                <w:r>
                  <w:rPr/>
                  <w:t>10</w:t>
                </w:r>
                <w:r>
                  <w:rPr/>
                  <w:fldChar w:fldCharType="end"/>
                </w:r>
                <w:r>
                  <w:rPr>
                    <w:spacing w:val="-19"/>
                    <w:sz w:val="18"/>
                  </w:rPr>
                  <w:t> 页，共 </w:t>
                </w:r>
                <w:r>
                  <w:rPr>
                    <w:sz w:val="18"/>
                  </w:rPr>
                  <w:t>12</w:t>
                </w:r>
                <w:r>
                  <w:rPr>
                    <w:spacing w:val="-22"/>
                    <w:sz w:val="18"/>
                  </w:rPr>
                  <w:t>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4" w:hanging="317"/>
        <w:jc w:val="left"/>
      </w:pPr>
      <w:rPr>
        <w:rFonts w:hint="default" w:ascii="宋体" w:hAnsi="宋体" w:eastAsia="宋体" w:cs="宋体"/>
        <w:w w:val="100"/>
        <w:sz w:val="21"/>
        <w:szCs w:val="21"/>
      </w:rPr>
    </w:lvl>
    <w:lvl w:ilvl="1">
      <w:start w:val="0"/>
      <w:numFmt w:val="bullet"/>
      <w:lvlText w:val="•"/>
      <w:lvlJc w:val="left"/>
      <w:pPr>
        <w:ind w:left="1002" w:hanging="317"/>
      </w:pPr>
      <w:rPr>
        <w:rFonts w:hint="default"/>
      </w:rPr>
    </w:lvl>
    <w:lvl w:ilvl="2">
      <w:start w:val="0"/>
      <w:numFmt w:val="bullet"/>
      <w:lvlText w:val="•"/>
      <w:lvlJc w:val="left"/>
      <w:pPr>
        <w:ind w:left="1584" w:hanging="317"/>
      </w:pPr>
      <w:rPr>
        <w:rFonts w:hint="default"/>
      </w:rPr>
    </w:lvl>
    <w:lvl w:ilvl="3">
      <w:start w:val="0"/>
      <w:numFmt w:val="bullet"/>
      <w:lvlText w:val="•"/>
      <w:lvlJc w:val="left"/>
      <w:pPr>
        <w:ind w:left="2166" w:hanging="317"/>
      </w:pPr>
      <w:rPr>
        <w:rFonts w:hint="default"/>
      </w:rPr>
    </w:lvl>
    <w:lvl w:ilvl="4">
      <w:start w:val="0"/>
      <w:numFmt w:val="bullet"/>
      <w:lvlText w:val="•"/>
      <w:lvlJc w:val="left"/>
      <w:pPr>
        <w:ind w:left="2749" w:hanging="317"/>
      </w:pPr>
      <w:rPr>
        <w:rFonts w:hint="default"/>
      </w:rPr>
    </w:lvl>
    <w:lvl w:ilvl="5">
      <w:start w:val="0"/>
      <w:numFmt w:val="bullet"/>
      <w:lvlText w:val="•"/>
      <w:lvlJc w:val="left"/>
      <w:pPr>
        <w:ind w:left="3331" w:hanging="317"/>
      </w:pPr>
      <w:rPr>
        <w:rFonts w:hint="default"/>
      </w:rPr>
    </w:lvl>
    <w:lvl w:ilvl="6">
      <w:start w:val="0"/>
      <w:numFmt w:val="bullet"/>
      <w:lvlText w:val="•"/>
      <w:lvlJc w:val="left"/>
      <w:pPr>
        <w:ind w:left="3913" w:hanging="317"/>
      </w:pPr>
      <w:rPr>
        <w:rFonts w:hint="default"/>
      </w:rPr>
    </w:lvl>
    <w:lvl w:ilvl="7">
      <w:start w:val="0"/>
      <w:numFmt w:val="bullet"/>
      <w:lvlText w:val="•"/>
      <w:lvlJc w:val="left"/>
      <w:pPr>
        <w:ind w:left="4496" w:hanging="317"/>
      </w:pPr>
      <w:rPr>
        <w:rFonts w:hint="default"/>
      </w:rPr>
    </w:lvl>
    <w:lvl w:ilvl="8">
      <w:start w:val="0"/>
      <w:numFmt w:val="bullet"/>
      <w:lvlText w:val="•"/>
      <w:lvlJc w:val="left"/>
      <w:pPr>
        <w:ind w:left="5078" w:hanging="317"/>
      </w:pPr>
      <w:rPr>
        <w:rFonts w:hint="default"/>
      </w:rPr>
    </w:lvl>
  </w:abstractNum>
  <w:abstractNum w:abstractNumId="2">
    <w:multiLevelType w:val="hybridMultilevel"/>
    <w:lvl w:ilvl="0">
      <w:start w:val="1"/>
      <w:numFmt w:val="decimal"/>
      <w:lvlText w:val="%1."/>
      <w:lvlJc w:val="left"/>
      <w:pPr>
        <w:ind w:left="424" w:hanging="317"/>
        <w:jc w:val="left"/>
      </w:pPr>
      <w:rPr>
        <w:rFonts w:hint="default" w:ascii="宋体" w:hAnsi="宋体" w:eastAsia="宋体" w:cs="宋体"/>
        <w:w w:val="100"/>
        <w:sz w:val="21"/>
        <w:szCs w:val="21"/>
      </w:rPr>
    </w:lvl>
    <w:lvl w:ilvl="1">
      <w:start w:val="0"/>
      <w:numFmt w:val="bullet"/>
      <w:lvlText w:val="•"/>
      <w:lvlJc w:val="left"/>
      <w:pPr>
        <w:ind w:left="1002" w:hanging="317"/>
      </w:pPr>
      <w:rPr>
        <w:rFonts w:hint="default"/>
      </w:rPr>
    </w:lvl>
    <w:lvl w:ilvl="2">
      <w:start w:val="0"/>
      <w:numFmt w:val="bullet"/>
      <w:lvlText w:val="•"/>
      <w:lvlJc w:val="left"/>
      <w:pPr>
        <w:ind w:left="1584" w:hanging="317"/>
      </w:pPr>
      <w:rPr>
        <w:rFonts w:hint="default"/>
      </w:rPr>
    </w:lvl>
    <w:lvl w:ilvl="3">
      <w:start w:val="0"/>
      <w:numFmt w:val="bullet"/>
      <w:lvlText w:val="•"/>
      <w:lvlJc w:val="left"/>
      <w:pPr>
        <w:ind w:left="2166" w:hanging="317"/>
      </w:pPr>
      <w:rPr>
        <w:rFonts w:hint="default"/>
      </w:rPr>
    </w:lvl>
    <w:lvl w:ilvl="4">
      <w:start w:val="0"/>
      <w:numFmt w:val="bullet"/>
      <w:lvlText w:val="•"/>
      <w:lvlJc w:val="left"/>
      <w:pPr>
        <w:ind w:left="2749" w:hanging="317"/>
      </w:pPr>
      <w:rPr>
        <w:rFonts w:hint="default"/>
      </w:rPr>
    </w:lvl>
    <w:lvl w:ilvl="5">
      <w:start w:val="0"/>
      <w:numFmt w:val="bullet"/>
      <w:lvlText w:val="•"/>
      <w:lvlJc w:val="left"/>
      <w:pPr>
        <w:ind w:left="3331" w:hanging="317"/>
      </w:pPr>
      <w:rPr>
        <w:rFonts w:hint="default"/>
      </w:rPr>
    </w:lvl>
    <w:lvl w:ilvl="6">
      <w:start w:val="0"/>
      <w:numFmt w:val="bullet"/>
      <w:lvlText w:val="•"/>
      <w:lvlJc w:val="left"/>
      <w:pPr>
        <w:ind w:left="3913" w:hanging="317"/>
      </w:pPr>
      <w:rPr>
        <w:rFonts w:hint="default"/>
      </w:rPr>
    </w:lvl>
    <w:lvl w:ilvl="7">
      <w:start w:val="0"/>
      <w:numFmt w:val="bullet"/>
      <w:lvlText w:val="•"/>
      <w:lvlJc w:val="left"/>
      <w:pPr>
        <w:ind w:left="4496" w:hanging="317"/>
      </w:pPr>
      <w:rPr>
        <w:rFonts w:hint="default"/>
      </w:rPr>
    </w:lvl>
    <w:lvl w:ilvl="8">
      <w:start w:val="0"/>
      <w:numFmt w:val="bullet"/>
      <w:lvlText w:val="•"/>
      <w:lvlJc w:val="left"/>
      <w:pPr>
        <w:ind w:left="5078" w:hanging="317"/>
      </w:pPr>
      <w:rPr>
        <w:rFonts w:hint="default"/>
      </w:rPr>
    </w:lvl>
  </w:abstractNum>
  <w:abstractNum w:abstractNumId="1">
    <w:multiLevelType w:val="hybridMultilevel"/>
    <w:lvl w:ilvl="0">
      <w:start w:val="1"/>
      <w:numFmt w:val="decimal"/>
      <w:lvlText w:val="%1."/>
      <w:lvlJc w:val="left"/>
      <w:pPr>
        <w:ind w:left="528" w:hanging="420"/>
        <w:jc w:val="left"/>
      </w:pPr>
      <w:rPr>
        <w:rFonts w:hint="default" w:ascii="宋体" w:hAnsi="宋体" w:eastAsia="宋体" w:cs="宋体"/>
        <w:w w:val="100"/>
        <w:sz w:val="21"/>
        <w:szCs w:val="21"/>
      </w:rPr>
    </w:lvl>
    <w:lvl w:ilvl="1">
      <w:start w:val="0"/>
      <w:numFmt w:val="bullet"/>
      <w:lvlText w:val="•"/>
      <w:lvlJc w:val="left"/>
      <w:pPr>
        <w:ind w:left="1102" w:hanging="420"/>
      </w:pPr>
      <w:rPr>
        <w:rFonts w:hint="default"/>
      </w:rPr>
    </w:lvl>
    <w:lvl w:ilvl="2">
      <w:start w:val="0"/>
      <w:numFmt w:val="bullet"/>
      <w:lvlText w:val="•"/>
      <w:lvlJc w:val="left"/>
      <w:pPr>
        <w:ind w:left="1685" w:hanging="420"/>
      </w:pPr>
      <w:rPr>
        <w:rFonts w:hint="default"/>
      </w:rPr>
    </w:lvl>
    <w:lvl w:ilvl="3">
      <w:start w:val="0"/>
      <w:numFmt w:val="bullet"/>
      <w:lvlText w:val="•"/>
      <w:lvlJc w:val="left"/>
      <w:pPr>
        <w:ind w:left="2268" w:hanging="420"/>
      </w:pPr>
      <w:rPr>
        <w:rFonts w:hint="default"/>
      </w:rPr>
    </w:lvl>
    <w:lvl w:ilvl="4">
      <w:start w:val="0"/>
      <w:numFmt w:val="bullet"/>
      <w:lvlText w:val="•"/>
      <w:lvlJc w:val="left"/>
      <w:pPr>
        <w:ind w:left="2850" w:hanging="420"/>
      </w:pPr>
      <w:rPr>
        <w:rFonts w:hint="default"/>
      </w:rPr>
    </w:lvl>
    <w:lvl w:ilvl="5">
      <w:start w:val="0"/>
      <w:numFmt w:val="bullet"/>
      <w:lvlText w:val="•"/>
      <w:lvlJc w:val="left"/>
      <w:pPr>
        <w:ind w:left="3433" w:hanging="420"/>
      </w:pPr>
      <w:rPr>
        <w:rFonts w:hint="default"/>
      </w:rPr>
    </w:lvl>
    <w:lvl w:ilvl="6">
      <w:start w:val="0"/>
      <w:numFmt w:val="bullet"/>
      <w:lvlText w:val="•"/>
      <w:lvlJc w:val="left"/>
      <w:pPr>
        <w:ind w:left="4016" w:hanging="420"/>
      </w:pPr>
      <w:rPr>
        <w:rFonts w:hint="default"/>
      </w:rPr>
    </w:lvl>
    <w:lvl w:ilvl="7">
      <w:start w:val="0"/>
      <w:numFmt w:val="bullet"/>
      <w:lvlText w:val="•"/>
      <w:lvlJc w:val="left"/>
      <w:pPr>
        <w:ind w:left="4598" w:hanging="420"/>
      </w:pPr>
      <w:rPr>
        <w:rFonts w:hint="default"/>
      </w:rPr>
    </w:lvl>
    <w:lvl w:ilvl="8">
      <w:start w:val="0"/>
      <w:numFmt w:val="bullet"/>
      <w:lvlText w:val="•"/>
      <w:lvlJc w:val="left"/>
      <w:pPr>
        <w:ind w:left="5181" w:hanging="420"/>
      </w:pPr>
      <w:rPr>
        <w:rFonts w:hint="default"/>
      </w:rPr>
    </w:lvl>
  </w:abstractNum>
  <w:abstractNum w:abstractNumId="0">
    <w:multiLevelType w:val="hybridMultilevel"/>
    <w:lvl w:ilvl="0">
      <w:start w:val="1"/>
      <w:numFmt w:val="decimal"/>
      <w:lvlText w:val="%1."/>
      <w:lvlJc w:val="left"/>
      <w:pPr>
        <w:ind w:left="528" w:hanging="420"/>
        <w:jc w:val="left"/>
      </w:pPr>
      <w:rPr>
        <w:rFonts w:hint="default" w:ascii="宋体" w:hAnsi="宋体" w:eastAsia="宋体" w:cs="宋体"/>
        <w:w w:val="100"/>
        <w:sz w:val="21"/>
        <w:szCs w:val="21"/>
      </w:rPr>
    </w:lvl>
    <w:lvl w:ilvl="1">
      <w:start w:val="0"/>
      <w:numFmt w:val="bullet"/>
      <w:lvlText w:val="•"/>
      <w:lvlJc w:val="left"/>
      <w:pPr>
        <w:ind w:left="1102" w:hanging="420"/>
      </w:pPr>
      <w:rPr>
        <w:rFonts w:hint="default"/>
      </w:rPr>
    </w:lvl>
    <w:lvl w:ilvl="2">
      <w:start w:val="0"/>
      <w:numFmt w:val="bullet"/>
      <w:lvlText w:val="•"/>
      <w:lvlJc w:val="left"/>
      <w:pPr>
        <w:ind w:left="1685" w:hanging="420"/>
      </w:pPr>
      <w:rPr>
        <w:rFonts w:hint="default"/>
      </w:rPr>
    </w:lvl>
    <w:lvl w:ilvl="3">
      <w:start w:val="0"/>
      <w:numFmt w:val="bullet"/>
      <w:lvlText w:val="•"/>
      <w:lvlJc w:val="left"/>
      <w:pPr>
        <w:ind w:left="2268" w:hanging="420"/>
      </w:pPr>
      <w:rPr>
        <w:rFonts w:hint="default"/>
      </w:rPr>
    </w:lvl>
    <w:lvl w:ilvl="4">
      <w:start w:val="0"/>
      <w:numFmt w:val="bullet"/>
      <w:lvlText w:val="•"/>
      <w:lvlJc w:val="left"/>
      <w:pPr>
        <w:ind w:left="2850" w:hanging="420"/>
      </w:pPr>
      <w:rPr>
        <w:rFonts w:hint="default"/>
      </w:rPr>
    </w:lvl>
    <w:lvl w:ilvl="5">
      <w:start w:val="0"/>
      <w:numFmt w:val="bullet"/>
      <w:lvlText w:val="•"/>
      <w:lvlJc w:val="left"/>
      <w:pPr>
        <w:ind w:left="3433" w:hanging="420"/>
      </w:pPr>
      <w:rPr>
        <w:rFonts w:hint="default"/>
      </w:rPr>
    </w:lvl>
    <w:lvl w:ilvl="6">
      <w:start w:val="0"/>
      <w:numFmt w:val="bullet"/>
      <w:lvlText w:val="•"/>
      <w:lvlJc w:val="left"/>
      <w:pPr>
        <w:ind w:left="4016" w:hanging="420"/>
      </w:pPr>
      <w:rPr>
        <w:rFonts w:hint="default"/>
      </w:rPr>
    </w:lvl>
    <w:lvl w:ilvl="7">
      <w:start w:val="0"/>
      <w:numFmt w:val="bullet"/>
      <w:lvlText w:val="•"/>
      <w:lvlJc w:val="left"/>
      <w:pPr>
        <w:ind w:left="4598" w:hanging="420"/>
      </w:pPr>
      <w:rPr>
        <w:rFonts w:hint="default"/>
      </w:rPr>
    </w:lvl>
    <w:lvl w:ilvl="8">
      <w:start w:val="0"/>
      <w:numFmt w:val="bullet"/>
      <w:lvlText w:val="•"/>
      <w:lvlJc w:val="left"/>
      <w:pPr>
        <w:ind w:left="5181" w:hanging="42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2893"/>
    </w:pPr>
    <w:rPr>
      <w:rFonts w:ascii="宋体" w:hAnsi="宋体" w:eastAsia="宋体" w:cs="宋体"/>
      <w:sz w:val="21"/>
      <w:szCs w:val="21"/>
    </w:rPr>
  </w:style>
  <w:style w:styleId="Heading1" w:type="paragraph">
    <w:name w:val="Heading 1"/>
    <w:basedOn w:val="Normal"/>
    <w:uiPriority w:val="1"/>
    <w:qFormat/>
    <w:pPr>
      <w:ind w:left="103"/>
      <w:jc w:val="center"/>
      <w:outlineLvl w:val="1"/>
    </w:pPr>
    <w:rPr>
      <w:rFonts w:ascii="宋体" w:hAnsi="宋体" w:eastAsia="宋体" w:cs="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曲娜</dc:creator>
  <dc:title>中航三星人寿保险有限公司</dc:title>
  <dcterms:created xsi:type="dcterms:W3CDTF">2018-10-20T04:52:35Z</dcterms:created>
  <dcterms:modified xsi:type="dcterms:W3CDTF">2018-10-20T04:52:35Z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2014-07-02T00:00:00Z</vt:filetime>
  </property>
  <property fmtid="{D5CDD505-2E9C-101B-9397-08002B2CF9AE}" pid="3" name="Creator">
    <vt:lpwstr>Microsoft® Word 2010</vt:lpwstr>
  </property>
  <property fmtid="{D5CDD505-2E9C-101B-9397-08002B2CF9AE}" pid="4" name="LastSaved">
    <vt:filetime>2018-10-19T00:00:00Z</vt:filetime>
  </property>
</Properties>
</file>