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8"/>
        <w:ind w:left="363" w:right="0" w:firstLine="0"/>
        <w:jc w:val="left"/>
        <w:rPr>
          <w:b/>
          <w:sz w:val="32"/>
        </w:rPr>
      </w:pPr>
      <w:r>
        <w:rPr>
          <w:b/>
          <w:color w:val="003F7E"/>
          <w:w w:val="95"/>
          <w:sz w:val="32"/>
        </w:rPr>
        <w:t>中美联泰大都会人寿保险有限公司</w:t>
      </w:r>
    </w:p>
    <w:p>
      <w:pPr>
        <w:pStyle w:val="Heading1"/>
        <w:spacing w:before="184"/>
        <w:jc w:val="left"/>
      </w:pPr>
      <w:r>
        <w:rPr/>
        <w:t>金牌保镖终身重大疾病保险（B</w:t>
      </w:r>
      <w:r>
        <w:rPr>
          <w:spacing w:val="-47"/>
        </w:rPr>
        <w:t> 款</w:t>
      </w:r>
      <w:r>
        <w:rPr/>
        <w:t>）条款</w:t>
      </w:r>
    </w:p>
    <w:p>
      <w:pPr>
        <w:spacing w:before="262"/>
        <w:ind w:left="382" w:right="0" w:firstLine="0"/>
        <w:jc w:val="left"/>
        <w:rPr>
          <w:sz w:val="16"/>
        </w:rPr>
      </w:pPr>
      <w:r>
        <w:rPr>
          <w:sz w:val="16"/>
        </w:rPr>
        <w:t>中美联泰大都会人寿保险有限公司（以下简称“我们”）</w:t>
      </w:r>
    </w:p>
    <w:p>
      <w:pPr>
        <w:spacing w:before="15"/>
        <w:ind w:left="295" w:right="383" w:firstLine="0"/>
        <w:jc w:val="center"/>
        <w:rPr>
          <w:sz w:val="20"/>
        </w:rPr>
      </w:pPr>
      <w:r>
        <w:rPr/>
        <w:br w:type="column"/>
      </w:r>
      <w:r>
        <w:rPr>
          <w:sz w:val="20"/>
        </w:rPr>
        <w:t>中美联泰大都会[2011]疾病保险 038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6"/>
        </w:rPr>
      </w:pPr>
    </w:p>
    <w:p>
      <w:pPr>
        <w:spacing w:before="0"/>
        <w:ind w:left="295" w:right="383" w:firstLine="0"/>
        <w:jc w:val="center"/>
        <w:rPr>
          <w:sz w:val="20"/>
        </w:rPr>
      </w:pPr>
      <w:r>
        <w:rPr/>
        <w:drawing>
          <wp:anchor distT="0" distB="0" distL="0" distR="0" allowOverlap="1" layoutInCell="1" locked="0" behindDoc="1" simplePos="0" relativeHeight="268416215">
            <wp:simplePos x="0" y="0"/>
            <wp:positionH relativeFrom="page">
              <wp:posOffset>5380036</wp:posOffset>
            </wp:positionH>
            <wp:positionV relativeFrom="paragraph">
              <wp:posOffset>-697297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700" w:bottom="940" w:left="880" w:right="720"/>
          <w:cols w:num="2" w:equalWidth="0">
            <w:col w:w="5713" w:space="378"/>
            <w:col w:w="4219"/>
          </w:cols>
        </w:sectPr>
      </w:pPr>
    </w:p>
    <w:p>
      <w:pPr>
        <w:pStyle w:val="BodyText"/>
        <w:spacing w:before="0"/>
        <w:ind w:left="0"/>
        <w:rPr>
          <w:sz w:val="2"/>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11"/>
        <w:ind w:left="0"/>
        <w:rPr>
          <w:sz w:val="22"/>
        </w:rPr>
      </w:pPr>
    </w:p>
    <w:p>
      <w:pPr>
        <w:pStyle w:val="Heading1"/>
        <w:spacing w:before="8"/>
        <w:ind w:left="1755" w:right="1771"/>
      </w:pPr>
      <w:r>
        <w:rPr/>
        <w:t>阅 读 指 南</w:t>
      </w:r>
    </w:p>
    <w:p>
      <w:pPr>
        <w:pStyle w:val="Heading2"/>
        <w:spacing w:line="333" w:lineRule="auto" w:before="240"/>
        <w:ind w:left="1756" w:right="1771"/>
        <w:jc w:val="center"/>
      </w:pPr>
      <w:r>
        <w:rPr/>
        <w:t>本阅读指南为帮助您理解本条款而设，对保险合同内容的解释以条款为准您拥有的重要权利</w:t>
      </w:r>
    </w:p>
    <w:p>
      <w:pPr>
        <w:spacing w:before="22"/>
        <w:ind w:left="538" w:right="0" w:firstLine="0"/>
        <w:jc w:val="left"/>
        <w:rPr>
          <w:sz w:val="21"/>
        </w:rPr>
      </w:pPr>
      <w:r>
        <w:rPr>
          <w:sz w:val="21"/>
        </w:rPr>
        <w:t>您有权解除保险合同</w:t>
      </w:r>
    </w:p>
    <w:p>
      <w:pPr>
        <w:spacing w:line="331" w:lineRule="auto" w:before="104"/>
        <w:ind w:left="538" w:right="1367" w:firstLine="0"/>
        <w:jc w:val="left"/>
        <w:rPr>
          <w:sz w:val="21"/>
        </w:rPr>
      </w:pPr>
      <w:r>
        <w:rPr>
          <w:spacing w:val="-6"/>
          <w:sz w:val="21"/>
        </w:rPr>
        <w:t>您有权在签收保险合同后 </w:t>
      </w:r>
      <w:r>
        <w:rPr>
          <w:sz w:val="21"/>
        </w:rPr>
        <w:t>10</w:t>
      </w:r>
      <w:r>
        <w:rPr>
          <w:spacing w:val="-7"/>
          <w:sz w:val="21"/>
        </w:rPr>
        <w:t> 日内解除合同，并获取全额退还的保险费.........第十二条您</w:t>
      </w:r>
      <w:r>
        <w:rPr>
          <w:spacing w:val="-4"/>
          <w:sz w:val="21"/>
        </w:rPr>
        <w:t>指定的受益人可以享受保险合同项下的保障利益..........................第二十条 您</w:t>
      </w:r>
      <w:r>
        <w:rPr>
          <w:spacing w:val="-3"/>
          <w:sz w:val="21"/>
        </w:rPr>
        <w:t>有权申请保险单贷款..................................................第二十四条</w:t>
      </w:r>
    </w:p>
    <w:p>
      <w:pPr>
        <w:pStyle w:val="Heading2"/>
        <w:spacing w:before="24"/>
        <w:ind w:left="1755" w:right="1771"/>
        <w:jc w:val="center"/>
      </w:pPr>
      <w:r>
        <w:rPr/>
        <w:t>您应当特别注意的事项</w:t>
      </w:r>
    </w:p>
    <w:p>
      <w:pPr>
        <w:spacing w:before="106"/>
        <w:ind w:left="538" w:right="0" w:firstLine="0"/>
        <w:jc w:val="left"/>
        <w:rPr>
          <w:sz w:val="21"/>
        </w:rPr>
      </w:pPr>
      <w:r>
        <w:rPr>
          <w:sz w:val="21"/>
        </w:rPr>
        <w:t>在特定情况下，我们不承担保险责任，并做了显著标识，请您注意............第四、九、十二、十三</w:t>
      </w:r>
    </w:p>
    <w:p>
      <w:pPr>
        <w:spacing w:line="331" w:lineRule="auto" w:before="104"/>
        <w:ind w:left="539" w:right="163" w:firstLine="6659"/>
        <w:jc w:val="left"/>
        <w:rPr>
          <w:sz w:val="21"/>
        </w:rPr>
      </w:pPr>
      <w:r>
        <w:rPr>
          <w:sz w:val="21"/>
        </w:rPr>
        <w:t>十四、二十、二十一、二十八条解除合同会给您造成一定的损失，请您慎重抉择............................第十二条</w:t>
      </w:r>
    </w:p>
    <w:p>
      <w:pPr>
        <w:spacing w:before="27"/>
        <w:ind w:left="539" w:right="0" w:firstLine="0"/>
        <w:jc w:val="left"/>
        <w:rPr>
          <w:sz w:val="21"/>
        </w:rPr>
      </w:pPr>
      <w:r>
        <w:rPr>
          <w:sz w:val="21"/>
        </w:rPr>
        <w:t>您应当按时交纳保险费..................................................第八条</w:t>
      </w:r>
    </w:p>
    <w:p>
      <w:pPr>
        <w:spacing w:before="104"/>
        <w:ind w:left="539" w:right="0" w:firstLine="0"/>
        <w:jc w:val="left"/>
        <w:rPr>
          <w:sz w:val="21"/>
        </w:rPr>
      </w:pPr>
      <w:r>
        <w:rPr>
          <w:sz w:val="21"/>
        </w:rPr>
        <w:t>您有如实告知的义务....................................................第十三条</w:t>
      </w:r>
    </w:p>
    <w:p>
      <w:pPr>
        <w:spacing w:before="104"/>
        <w:ind w:left="539" w:right="0" w:firstLine="0"/>
        <w:jc w:val="left"/>
        <w:rPr>
          <w:sz w:val="21"/>
        </w:rPr>
      </w:pPr>
      <w:r>
        <w:rPr>
          <w:sz w:val="21"/>
        </w:rPr>
        <w:t>您有及时向我们通知保险事故的义务......................................第四条</w:t>
      </w:r>
    </w:p>
    <w:p>
      <w:pPr>
        <w:spacing w:before="106"/>
        <w:ind w:left="539" w:right="0" w:firstLine="0"/>
        <w:jc w:val="left"/>
        <w:rPr>
          <w:sz w:val="21"/>
        </w:rPr>
      </w:pPr>
      <w:r>
        <w:rPr>
          <w:sz w:val="21"/>
        </w:rPr>
        <w:t>我们对一些重要术语进行了解释，并作了显著标识，请您注意................第二十八、二十九条</w:t>
      </w:r>
    </w:p>
    <w:p>
      <w:pPr>
        <w:pStyle w:val="BodyText"/>
        <w:spacing w:before="6"/>
        <w:ind w:left="0"/>
        <w:rPr>
          <w:sz w:val="5"/>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04"/>
        <w:gridCol w:w="706"/>
        <w:gridCol w:w="505"/>
        <w:gridCol w:w="3335"/>
      </w:tblGrid>
      <w:tr>
        <w:trPr>
          <w:trHeight w:val="512" w:hRule="atLeast"/>
        </w:trPr>
        <w:tc>
          <w:tcPr>
            <w:tcW w:w="3955" w:type="dxa"/>
            <w:gridSpan w:val="2"/>
          </w:tcPr>
          <w:p>
            <w:pPr>
              <w:pStyle w:val="TableParagraph"/>
              <w:rPr>
                <w:rFonts w:ascii="Times New Roman"/>
                <w:sz w:val="20"/>
              </w:rPr>
            </w:pPr>
          </w:p>
        </w:tc>
        <w:tc>
          <w:tcPr>
            <w:tcW w:w="706" w:type="dxa"/>
          </w:tcPr>
          <w:p>
            <w:pPr>
              <w:pStyle w:val="TableParagraph"/>
              <w:spacing w:line="300" w:lineRule="exact"/>
              <w:ind w:left="331"/>
              <w:rPr>
                <w:b/>
                <w:sz w:val="30"/>
              </w:rPr>
            </w:pPr>
            <w:r>
              <w:rPr>
                <w:b/>
                <w:w w:val="99"/>
                <w:sz w:val="30"/>
              </w:rPr>
              <w:t>目</w:t>
            </w:r>
          </w:p>
        </w:tc>
        <w:tc>
          <w:tcPr>
            <w:tcW w:w="505" w:type="dxa"/>
          </w:tcPr>
          <w:p>
            <w:pPr>
              <w:pStyle w:val="TableParagraph"/>
              <w:spacing w:line="300" w:lineRule="exact"/>
              <w:ind w:left="76"/>
              <w:rPr>
                <w:b/>
                <w:sz w:val="30"/>
              </w:rPr>
            </w:pPr>
            <w:r>
              <w:rPr>
                <w:b/>
                <w:w w:val="99"/>
                <w:sz w:val="30"/>
              </w:rPr>
              <w:t>录</w:t>
            </w:r>
          </w:p>
        </w:tc>
        <w:tc>
          <w:tcPr>
            <w:tcW w:w="3335" w:type="dxa"/>
          </w:tcPr>
          <w:p>
            <w:pPr>
              <w:pStyle w:val="TableParagraph"/>
              <w:rPr>
                <w:rFonts w:ascii="Times New Roman"/>
                <w:sz w:val="20"/>
              </w:rPr>
            </w:pPr>
          </w:p>
        </w:tc>
      </w:tr>
      <w:tr>
        <w:trPr>
          <w:trHeight w:val="508" w:hRule="atLeast"/>
        </w:trPr>
        <w:tc>
          <w:tcPr>
            <w:tcW w:w="951" w:type="dxa"/>
          </w:tcPr>
          <w:p>
            <w:pPr>
              <w:pStyle w:val="TableParagraph"/>
              <w:spacing w:before="150"/>
              <w:ind w:left="57"/>
              <w:rPr>
                <w:b/>
                <w:sz w:val="21"/>
              </w:rPr>
            </w:pPr>
            <w:hyperlink w:history="true" w:anchor="_bookmark0">
              <w:r>
                <w:rPr>
                  <w:b/>
                  <w:sz w:val="21"/>
                </w:rPr>
                <w:t>第一部分</w:t>
              </w:r>
            </w:hyperlink>
          </w:p>
        </w:tc>
        <w:tc>
          <w:tcPr>
            <w:tcW w:w="3004" w:type="dxa"/>
          </w:tcPr>
          <w:p>
            <w:pPr>
              <w:pStyle w:val="TableParagraph"/>
              <w:spacing w:before="150"/>
              <w:ind w:left="51"/>
              <w:rPr>
                <w:b/>
                <w:sz w:val="21"/>
              </w:rPr>
            </w:pPr>
            <w:hyperlink w:history="true" w:anchor="_bookmark0">
              <w:r>
                <w:rPr>
                  <w:b/>
                  <w:sz w:val="21"/>
                </w:rPr>
                <w:t>共同条款</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1" w:val="left" w:leader="none"/>
              </w:tabs>
              <w:spacing w:before="149"/>
              <w:ind w:left="131"/>
              <w:rPr>
                <w:sz w:val="21"/>
              </w:rPr>
            </w:pPr>
            <w:hyperlink w:history="true" w:anchor="_bookmark16">
              <w:r>
                <w:rPr>
                  <w:sz w:val="21"/>
                </w:rPr>
                <w:t>第十</w:t>
              </w:r>
              <w:r>
                <w:rPr>
                  <w:spacing w:val="-3"/>
                  <w:sz w:val="21"/>
                </w:rPr>
                <w:t>六</w:t>
              </w:r>
              <w:r>
                <w:rPr>
                  <w:sz w:val="21"/>
                </w:rPr>
                <w:t>条</w:t>
                <w:tab/>
                <w:t>保险</w:t>
              </w:r>
              <w:r>
                <w:rPr>
                  <w:spacing w:val="-3"/>
                  <w:sz w:val="21"/>
                </w:rPr>
                <w:t>合</w:t>
              </w:r>
              <w:r>
                <w:rPr>
                  <w:sz w:val="21"/>
                </w:rPr>
                <w:t>同</w:t>
              </w:r>
              <w:r>
                <w:rPr>
                  <w:spacing w:val="-3"/>
                  <w:sz w:val="21"/>
                </w:rPr>
                <w:t>内</w:t>
              </w:r>
              <w:r>
                <w:rPr>
                  <w:sz w:val="21"/>
                </w:rPr>
                <w:t>容</w:t>
              </w:r>
              <w:r>
                <w:rPr>
                  <w:spacing w:val="-3"/>
                  <w:sz w:val="21"/>
                </w:rPr>
                <w:t>的</w:t>
              </w:r>
              <w:r>
                <w:rPr>
                  <w:sz w:val="21"/>
                </w:rPr>
                <w:t>变更</w:t>
              </w:r>
            </w:hyperlink>
          </w:p>
        </w:tc>
      </w:tr>
      <w:tr>
        <w:trPr>
          <w:trHeight w:val="379" w:hRule="atLeast"/>
        </w:trPr>
        <w:tc>
          <w:tcPr>
            <w:tcW w:w="951" w:type="dxa"/>
          </w:tcPr>
          <w:p>
            <w:pPr>
              <w:pStyle w:val="TableParagraph"/>
              <w:spacing w:before="20"/>
              <w:ind w:left="50"/>
              <w:rPr>
                <w:sz w:val="21"/>
              </w:rPr>
            </w:pPr>
            <w:hyperlink w:history="true" w:anchor="_bookmark1">
              <w:r>
                <w:rPr>
                  <w:sz w:val="21"/>
                </w:rPr>
                <w:t>第一条</w:t>
              </w:r>
            </w:hyperlink>
          </w:p>
        </w:tc>
        <w:tc>
          <w:tcPr>
            <w:tcW w:w="3004" w:type="dxa"/>
          </w:tcPr>
          <w:p>
            <w:pPr>
              <w:pStyle w:val="TableParagraph"/>
              <w:spacing w:before="20"/>
              <w:ind w:left="150"/>
              <w:rPr>
                <w:sz w:val="21"/>
              </w:rPr>
            </w:pPr>
            <w:hyperlink w:history="true" w:anchor="_bookmark1">
              <w:r>
                <w:rPr>
                  <w:sz w:val="21"/>
                </w:rPr>
                <w:t>保险合同的构成</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2" w:val="left" w:leader="none"/>
              </w:tabs>
              <w:spacing w:before="19"/>
              <w:ind w:left="132"/>
              <w:rPr>
                <w:sz w:val="21"/>
              </w:rPr>
            </w:pPr>
            <w:hyperlink w:history="true" w:anchor="_bookmark17">
              <w:r>
                <w:rPr>
                  <w:sz w:val="21"/>
                </w:rPr>
                <w:t>第十</w:t>
              </w:r>
              <w:r>
                <w:rPr>
                  <w:spacing w:val="-3"/>
                  <w:sz w:val="21"/>
                </w:rPr>
                <w:t>七</w:t>
              </w:r>
              <w:r>
                <w:rPr>
                  <w:sz w:val="21"/>
                </w:rPr>
                <w:t>条</w:t>
                <w:tab/>
                <w:t>争议</w:t>
              </w:r>
              <w:r>
                <w:rPr>
                  <w:spacing w:val="-3"/>
                  <w:sz w:val="21"/>
                </w:rPr>
                <w:t>处</w:t>
              </w:r>
              <w:r>
                <w:rPr>
                  <w:sz w:val="21"/>
                </w:rPr>
                <w:t>理</w:t>
              </w:r>
            </w:hyperlink>
          </w:p>
        </w:tc>
      </w:tr>
      <w:tr>
        <w:trPr>
          <w:trHeight w:val="380" w:hRule="atLeast"/>
        </w:trPr>
        <w:tc>
          <w:tcPr>
            <w:tcW w:w="951" w:type="dxa"/>
          </w:tcPr>
          <w:p>
            <w:pPr>
              <w:pStyle w:val="TableParagraph"/>
              <w:spacing w:before="20"/>
              <w:ind w:left="50"/>
              <w:rPr>
                <w:sz w:val="21"/>
              </w:rPr>
            </w:pPr>
            <w:hyperlink w:history="true" w:anchor="_bookmark2">
              <w:r>
                <w:rPr>
                  <w:sz w:val="21"/>
                </w:rPr>
                <w:t>第二条</w:t>
              </w:r>
            </w:hyperlink>
          </w:p>
        </w:tc>
        <w:tc>
          <w:tcPr>
            <w:tcW w:w="3004" w:type="dxa"/>
          </w:tcPr>
          <w:p>
            <w:pPr>
              <w:pStyle w:val="TableParagraph"/>
              <w:spacing w:before="20"/>
              <w:ind w:left="150"/>
              <w:rPr>
                <w:sz w:val="21"/>
              </w:rPr>
            </w:pPr>
            <w:hyperlink w:history="true" w:anchor="_bookmark2">
              <w:r>
                <w:rPr>
                  <w:sz w:val="21"/>
                </w:rPr>
                <w:t>保险合同成立与生效</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2" w:val="left" w:leader="none"/>
              </w:tabs>
              <w:spacing w:before="19"/>
              <w:ind w:left="132"/>
              <w:rPr>
                <w:sz w:val="21"/>
              </w:rPr>
            </w:pPr>
            <w:hyperlink w:history="true" w:anchor="_bookmark18">
              <w:r>
                <w:rPr>
                  <w:sz w:val="21"/>
                </w:rPr>
                <w:t>第十</w:t>
              </w:r>
              <w:r>
                <w:rPr>
                  <w:spacing w:val="-3"/>
                  <w:sz w:val="21"/>
                </w:rPr>
                <w:t>八</w:t>
              </w:r>
              <w:r>
                <w:rPr>
                  <w:sz w:val="21"/>
                </w:rPr>
                <w:t>条</w:t>
                <w:tab/>
                <w:t>法律</w:t>
              </w:r>
              <w:r>
                <w:rPr>
                  <w:spacing w:val="-3"/>
                  <w:sz w:val="21"/>
                </w:rPr>
                <w:t>适用</w:t>
              </w:r>
            </w:hyperlink>
          </w:p>
        </w:tc>
      </w:tr>
      <w:tr>
        <w:trPr>
          <w:trHeight w:val="380" w:hRule="atLeast"/>
        </w:trPr>
        <w:tc>
          <w:tcPr>
            <w:tcW w:w="951" w:type="dxa"/>
          </w:tcPr>
          <w:p>
            <w:pPr>
              <w:pStyle w:val="TableParagraph"/>
              <w:spacing w:before="21"/>
              <w:ind w:left="50"/>
              <w:rPr>
                <w:sz w:val="21"/>
              </w:rPr>
            </w:pPr>
            <w:hyperlink w:history="true" w:anchor="_bookmark3">
              <w:r>
                <w:rPr>
                  <w:sz w:val="21"/>
                </w:rPr>
                <w:t>第三条</w:t>
              </w:r>
            </w:hyperlink>
          </w:p>
        </w:tc>
        <w:tc>
          <w:tcPr>
            <w:tcW w:w="3004" w:type="dxa"/>
          </w:tcPr>
          <w:p>
            <w:pPr>
              <w:pStyle w:val="TableParagraph"/>
              <w:spacing w:before="21"/>
              <w:ind w:left="150"/>
              <w:rPr>
                <w:sz w:val="21"/>
              </w:rPr>
            </w:pPr>
            <w:hyperlink w:history="true" w:anchor="_bookmark3">
              <w:r>
                <w:rPr>
                  <w:sz w:val="21"/>
                </w:rPr>
                <w:t>受益人</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spacing w:before="21"/>
              <w:ind w:left="137"/>
              <w:rPr>
                <w:b/>
                <w:sz w:val="21"/>
              </w:rPr>
            </w:pPr>
            <w:hyperlink w:history="true" w:anchor="_bookmark19">
              <w:r>
                <w:rPr>
                  <w:b/>
                  <w:sz w:val="21"/>
                </w:rPr>
                <w:t>第二部分 特殊条款</w:t>
              </w:r>
            </w:hyperlink>
          </w:p>
        </w:tc>
      </w:tr>
      <w:tr>
        <w:trPr>
          <w:trHeight w:val="379" w:hRule="atLeast"/>
        </w:trPr>
        <w:tc>
          <w:tcPr>
            <w:tcW w:w="951" w:type="dxa"/>
          </w:tcPr>
          <w:p>
            <w:pPr>
              <w:pStyle w:val="TableParagraph"/>
              <w:spacing w:before="20"/>
              <w:ind w:left="50"/>
              <w:rPr>
                <w:sz w:val="21"/>
              </w:rPr>
            </w:pPr>
            <w:hyperlink w:history="true" w:anchor="_bookmark4">
              <w:r>
                <w:rPr>
                  <w:sz w:val="21"/>
                </w:rPr>
                <w:t>第四条</w:t>
              </w:r>
            </w:hyperlink>
          </w:p>
        </w:tc>
        <w:tc>
          <w:tcPr>
            <w:tcW w:w="3004" w:type="dxa"/>
          </w:tcPr>
          <w:p>
            <w:pPr>
              <w:pStyle w:val="TableParagraph"/>
              <w:spacing w:before="20"/>
              <w:ind w:left="150"/>
              <w:rPr>
                <w:sz w:val="21"/>
              </w:rPr>
            </w:pPr>
            <w:hyperlink w:history="true" w:anchor="_bookmark4">
              <w:r>
                <w:rPr>
                  <w:sz w:val="21"/>
                </w:rPr>
                <w:t>保险事故通知</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0">
              <w:r>
                <w:rPr>
                  <w:sz w:val="21"/>
                </w:rPr>
                <w:t>第十</w:t>
              </w:r>
              <w:r>
                <w:rPr>
                  <w:spacing w:val="-3"/>
                  <w:sz w:val="21"/>
                </w:rPr>
                <w:t>九</w:t>
              </w:r>
              <w:r>
                <w:rPr>
                  <w:sz w:val="21"/>
                </w:rPr>
                <w:t>条</w:t>
                <w:tab/>
                <w:t>承保</w:t>
              </w:r>
              <w:r>
                <w:rPr>
                  <w:spacing w:val="-3"/>
                  <w:sz w:val="21"/>
                </w:rPr>
                <w:t>范</w:t>
              </w:r>
              <w:r>
                <w:rPr>
                  <w:sz w:val="21"/>
                </w:rPr>
                <w:t>围</w:t>
              </w:r>
            </w:hyperlink>
          </w:p>
        </w:tc>
      </w:tr>
      <w:tr>
        <w:trPr>
          <w:trHeight w:val="380" w:hRule="atLeast"/>
        </w:trPr>
        <w:tc>
          <w:tcPr>
            <w:tcW w:w="951" w:type="dxa"/>
          </w:tcPr>
          <w:p>
            <w:pPr>
              <w:pStyle w:val="TableParagraph"/>
              <w:spacing w:before="20"/>
              <w:ind w:left="50"/>
              <w:rPr>
                <w:sz w:val="21"/>
              </w:rPr>
            </w:pPr>
            <w:hyperlink w:history="true" w:anchor="_bookmark5">
              <w:r>
                <w:rPr>
                  <w:sz w:val="21"/>
                </w:rPr>
                <w:t>第五条</w:t>
              </w:r>
            </w:hyperlink>
          </w:p>
        </w:tc>
        <w:tc>
          <w:tcPr>
            <w:tcW w:w="3004" w:type="dxa"/>
          </w:tcPr>
          <w:p>
            <w:pPr>
              <w:pStyle w:val="TableParagraph"/>
              <w:spacing w:before="20"/>
              <w:ind w:left="151"/>
              <w:rPr>
                <w:sz w:val="21"/>
              </w:rPr>
            </w:pPr>
            <w:hyperlink w:history="true" w:anchor="_bookmark5">
              <w:r>
                <w:rPr>
                  <w:sz w:val="21"/>
                </w:rPr>
                <w:t>保险金申请</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1">
              <w:r>
                <w:rPr>
                  <w:sz w:val="21"/>
                </w:rPr>
                <w:t>第二</w:t>
              </w:r>
              <w:r>
                <w:rPr>
                  <w:spacing w:val="-3"/>
                  <w:sz w:val="21"/>
                </w:rPr>
                <w:t>十</w:t>
              </w:r>
              <w:r>
                <w:rPr>
                  <w:sz w:val="21"/>
                </w:rPr>
                <w:t>条</w:t>
                <w:tab/>
                <w:t>保险</w:t>
              </w:r>
              <w:r>
                <w:rPr>
                  <w:spacing w:val="-3"/>
                  <w:sz w:val="21"/>
                </w:rPr>
                <w:t>责</w:t>
              </w:r>
              <w:r>
                <w:rPr>
                  <w:sz w:val="21"/>
                </w:rPr>
                <w:t>任</w:t>
              </w:r>
            </w:hyperlink>
          </w:p>
        </w:tc>
      </w:tr>
      <w:tr>
        <w:trPr>
          <w:trHeight w:val="380" w:hRule="atLeast"/>
        </w:trPr>
        <w:tc>
          <w:tcPr>
            <w:tcW w:w="951" w:type="dxa"/>
          </w:tcPr>
          <w:p>
            <w:pPr>
              <w:pStyle w:val="TableParagraph"/>
              <w:spacing w:before="21"/>
              <w:ind w:left="50"/>
              <w:rPr>
                <w:sz w:val="21"/>
              </w:rPr>
            </w:pPr>
            <w:hyperlink w:history="true" w:anchor="_bookmark6">
              <w:r>
                <w:rPr>
                  <w:sz w:val="21"/>
                </w:rPr>
                <w:t>第六条</w:t>
              </w:r>
            </w:hyperlink>
          </w:p>
        </w:tc>
        <w:tc>
          <w:tcPr>
            <w:tcW w:w="3004" w:type="dxa"/>
          </w:tcPr>
          <w:p>
            <w:pPr>
              <w:pStyle w:val="TableParagraph"/>
              <w:spacing w:before="21"/>
              <w:ind w:left="151"/>
              <w:rPr>
                <w:sz w:val="21"/>
              </w:rPr>
            </w:pPr>
            <w:hyperlink w:history="true" w:anchor="_bookmark6">
              <w:r>
                <w:rPr>
                  <w:sz w:val="21"/>
                </w:rPr>
                <w:t>保险金给付</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1"/>
              <w:ind w:left="130"/>
              <w:rPr>
                <w:sz w:val="21"/>
              </w:rPr>
            </w:pPr>
            <w:hyperlink w:history="true" w:anchor="_bookmark22">
              <w:r>
                <w:rPr>
                  <w:sz w:val="21"/>
                </w:rPr>
                <w:t>第二</w:t>
              </w:r>
              <w:r>
                <w:rPr>
                  <w:spacing w:val="-3"/>
                  <w:sz w:val="21"/>
                </w:rPr>
                <w:t>十</w:t>
              </w:r>
              <w:r>
                <w:rPr>
                  <w:sz w:val="21"/>
                </w:rPr>
                <w:t>一条</w:t>
                <w:tab/>
                <w:t>责任</w:t>
              </w:r>
              <w:r>
                <w:rPr>
                  <w:spacing w:val="-3"/>
                  <w:sz w:val="21"/>
                </w:rPr>
                <w:t>免</w:t>
              </w:r>
              <w:r>
                <w:rPr>
                  <w:sz w:val="21"/>
                </w:rPr>
                <w:t>除</w:t>
              </w:r>
            </w:hyperlink>
          </w:p>
        </w:tc>
      </w:tr>
      <w:tr>
        <w:trPr>
          <w:trHeight w:val="379" w:hRule="atLeast"/>
        </w:trPr>
        <w:tc>
          <w:tcPr>
            <w:tcW w:w="951" w:type="dxa"/>
          </w:tcPr>
          <w:p>
            <w:pPr>
              <w:pStyle w:val="TableParagraph"/>
              <w:spacing w:before="20"/>
              <w:ind w:left="50"/>
              <w:rPr>
                <w:sz w:val="21"/>
              </w:rPr>
            </w:pPr>
            <w:hyperlink w:history="true" w:anchor="_bookmark7">
              <w:r>
                <w:rPr>
                  <w:sz w:val="21"/>
                </w:rPr>
                <w:t>第七条</w:t>
              </w:r>
            </w:hyperlink>
          </w:p>
        </w:tc>
        <w:tc>
          <w:tcPr>
            <w:tcW w:w="3004" w:type="dxa"/>
          </w:tcPr>
          <w:p>
            <w:pPr>
              <w:pStyle w:val="TableParagraph"/>
              <w:spacing w:before="20"/>
              <w:ind w:left="151"/>
              <w:rPr>
                <w:sz w:val="21"/>
              </w:rPr>
            </w:pPr>
            <w:hyperlink w:history="true" w:anchor="_bookmark7">
              <w:r>
                <w:rPr>
                  <w:sz w:val="21"/>
                </w:rPr>
                <w:t>诉讼时效</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3">
              <w:r>
                <w:rPr>
                  <w:sz w:val="21"/>
                </w:rPr>
                <w:t>第二</w:t>
              </w:r>
              <w:r>
                <w:rPr>
                  <w:spacing w:val="-3"/>
                  <w:sz w:val="21"/>
                </w:rPr>
                <w:t>十</w:t>
              </w:r>
              <w:r>
                <w:rPr>
                  <w:sz w:val="21"/>
                </w:rPr>
                <w:t>二条</w:t>
                <w:tab/>
                <w:t>保险</w:t>
              </w:r>
              <w:r>
                <w:rPr>
                  <w:spacing w:val="-3"/>
                  <w:sz w:val="21"/>
                </w:rPr>
                <w:t>期</w:t>
              </w:r>
              <w:r>
                <w:rPr>
                  <w:sz w:val="21"/>
                </w:rPr>
                <w:t>间</w:t>
              </w:r>
            </w:hyperlink>
          </w:p>
        </w:tc>
      </w:tr>
      <w:tr>
        <w:trPr>
          <w:trHeight w:val="380" w:hRule="atLeast"/>
        </w:trPr>
        <w:tc>
          <w:tcPr>
            <w:tcW w:w="951" w:type="dxa"/>
          </w:tcPr>
          <w:p>
            <w:pPr>
              <w:pStyle w:val="TableParagraph"/>
              <w:spacing w:before="20"/>
              <w:ind w:left="50"/>
              <w:rPr>
                <w:sz w:val="21"/>
              </w:rPr>
            </w:pPr>
            <w:hyperlink w:history="true" w:anchor="_bookmark8">
              <w:r>
                <w:rPr>
                  <w:sz w:val="21"/>
                </w:rPr>
                <w:t>第八条</w:t>
              </w:r>
            </w:hyperlink>
          </w:p>
        </w:tc>
        <w:tc>
          <w:tcPr>
            <w:tcW w:w="3004" w:type="dxa"/>
          </w:tcPr>
          <w:p>
            <w:pPr>
              <w:pStyle w:val="TableParagraph"/>
              <w:spacing w:before="20"/>
              <w:ind w:left="151"/>
              <w:rPr>
                <w:sz w:val="21"/>
              </w:rPr>
            </w:pPr>
            <w:hyperlink w:history="true" w:anchor="_bookmark8">
              <w:r>
                <w:rPr>
                  <w:sz w:val="21"/>
                </w:rPr>
                <w:t>保险费的支付</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4">
              <w:r>
                <w:rPr>
                  <w:sz w:val="21"/>
                </w:rPr>
                <w:t>第二</w:t>
              </w:r>
              <w:r>
                <w:rPr>
                  <w:spacing w:val="-3"/>
                  <w:sz w:val="21"/>
                </w:rPr>
                <w:t>十</w:t>
              </w:r>
              <w:r>
                <w:rPr>
                  <w:sz w:val="21"/>
                </w:rPr>
                <w:t>三条</w:t>
                <w:tab/>
                <w:t>保险</w:t>
              </w:r>
              <w:r>
                <w:rPr>
                  <w:spacing w:val="-3"/>
                  <w:sz w:val="21"/>
                </w:rPr>
                <w:t>费</w:t>
              </w:r>
              <w:r>
                <w:rPr>
                  <w:sz w:val="21"/>
                </w:rPr>
                <w:t>率</w:t>
              </w:r>
              <w:r>
                <w:rPr>
                  <w:spacing w:val="-3"/>
                  <w:sz w:val="21"/>
                </w:rPr>
                <w:t>的</w:t>
              </w:r>
              <w:r>
                <w:rPr>
                  <w:sz w:val="21"/>
                </w:rPr>
                <w:t>调整</w:t>
              </w:r>
            </w:hyperlink>
          </w:p>
        </w:tc>
      </w:tr>
      <w:tr>
        <w:trPr>
          <w:trHeight w:val="380" w:hRule="atLeast"/>
        </w:trPr>
        <w:tc>
          <w:tcPr>
            <w:tcW w:w="951" w:type="dxa"/>
          </w:tcPr>
          <w:p>
            <w:pPr>
              <w:pStyle w:val="TableParagraph"/>
              <w:spacing w:before="21"/>
              <w:ind w:left="51"/>
              <w:rPr>
                <w:sz w:val="21"/>
              </w:rPr>
            </w:pPr>
            <w:hyperlink w:history="true" w:anchor="_bookmark9">
              <w:r>
                <w:rPr>
                  <w:sz w:val="21"/>
                </w:rPr>
                <w:t>第九条</w:t>
              </w:r>
            </w:hyperlink>
          </w:p>
        </w:tc>
        <w:tc>
          <w:tcPr>
            <w:tcW w:w="3004" w:type="dxa"/>
          </w:tcPr>
          <w:p>
            <w:pPr>
              <w:pStyle w:val="TableParagraph"/>
              <w:spacing w:before="21"/>
              <w:ind w:left="151"/>
              <w:rPr>
                <w:sz w:val="21"/>
              </w:rPr>
            </w:pPr>
            <w:hyperlink w:history="true" w:anchor="_bookmark9">
              <w:r>
                <w:rPr>
                  <w:sz w:val="21"/>
                </w:rPr>
                <w:t>宽限期</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1"/>
              <w:ind w:left="130"/>
              <w:rPr>
                <w:sz w:val="21"/>
              </w:rPr>
            </w:pPr>
            <w:hyperlink w:history="true" w:anchor="_bookmark25">
              <w:r>
                <w:rPr>
                  <w:sz w:val="21"/>
                </w:rPr>
                <w:t>第二</w:t>
              </w:r>
              <w:r>
                <w:rPr>
                  <w:spacing w:val="-3"/>
                  <w:sz w:val="21"/>
                </w:rPr>
                <w:t>十</w:t>
              </w:r>
              <w:r>
                <w:rPr>
                  <w:sz w:val="21"/>
                </w:rPr>
                <w:t>四条</w:t>
                <w:tab/>
                <w:t>保单</w:t>
              </w:r>
              <w:r>
                <w:rPr>
                  <w:spacing w:val="-3"/>
                  <w:sz w:val="21"/>
                </w:rPr>
                <w:t>贷</w:t>
              </w:r>
              <w:r>
                <w:rPr>
                  <w:sz w:val="21"/>
                </w:rPr>
                <w:t>款</w:t>
              </w:r>
            </w:hyperlink>
          </w:p>
        </w:tc>
      </w:tr>
      <w:tr>
        <w:trPr>
          <w:trHeight w:val="379" w:hRule="atLeast"/>
        </w:trPr>
        <w:tc>
          <w:tcPr>
            <w:tcW w:w="951" w:type="dxa"/>
          </w:tcPr>
          <w:p>
            <w:pPr>
              <w:pStyle w:val="TableParagraph"/>
              <w:spacing w:before="20"/>
              <w:ind w:left="51"/>
              <w:rPr>
                <w:sz w:val="21"/>
              </w:rPr>
            </w:pPr>
            <w:hyperlink w:history="true" w:anchor="_bookmark10">
              <w:r>
                <w:rPr>
                  <w:sz w:val="21"/>
                </w:rPr>
                <w:t>第十条</w:t>
              </w:r>
            </w:hyperlink>
          </w:p>
        </w:tc>
        <w:tc>
          <w:tcPr>
            <w:tcW w:w="3004" w:type="dxa"/>
          </w:tcPr>
          <w:p>
            <w:pPr>
              <w:pStyle w:val="TableParagraph"/>
              <w:spacing w:before="20"/>
              <w:ind w:left="151"/>
              <w:rPr>
                <w:sz w:val="21"/>
              </w:rPr>
            </w:pPr>
            <w:hyperlink w:history="true" w:anchor="_bookmark10">
              <w:r>
                <w:rPr>
                  <w:sz w:val="21"/>
                </w:rPr>
                <w:t>效力恢复</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6">
              <w:r>
                <w:rPr>
                  <w:sz w:val="21"/>
                </w:rPr>
                <w:t>第二</w:t>
              </w:r>
              <w:r>
                <w:rPr>
                  <w:spacing w:val="-3"/>
                  <w:sz w:val="21"/>
                </w:rPr>
                <w:t>十</w:t>
              </w:r>
              <w:r>
                <w:rPr>
                  <w:sz w:val="21"/>
                </w:rPr>
                <w:t>五条</w:t>
                <w:tab/>
                <w:t>保险</w:t>
              </w:r>
              <w:r>
                <w:rPr>
                  <w:spacing w:val="-3"/>
                  <w:sz w:val="21"/>
                </w:rPr>
                <w:t>费</w:t>
              </w:r>
              <w:r>
                <w:rPr>
                  <w:sz w:val="21"/>
                </w:rPr>
                <w:t>的</w:t>
              </w:r>
              <w:r>
                <w:rPr>
                  <w:spacing w:val="-3"/>
                  <w:sz w:val="21"/>
                </w:rPr>
                <w:t>自</w:t>
              </w:r>
              <w:r>
                <w:rPr>
                  <w:sz w:val="21"/>
                </w:rPr>
                <w:t>动</w:t>
              </w:r>
              <w:r>
                <w:rPr>
                  <w:spacing w:val="-3"/>
                  <w:sz w:val="21"/>
                </w:rPr>
                <w:t>垫</w:t>
              </w:r>
              <w:r>
                <w:rPr>
                  <w:sz w:val="21"/>
                </w:rPr>
                <w:t>交</w:t>
              </w:r>
            </w:hyperlink>
          </w:p>
        </w:tc>
      </w:tr>
      <w:tr>
        <w:trPr>
          <w:trHeight w:val="380" w:hRule="atLeast"/>
        </w:trPr>
        <w:tc>
          <w:tcPr>
            <w:tcW w:w="951" w:type="dxa"/>
          </w:tcPr>
          <w:p>
            <w:pPr>
              <w:pStyle w:val="TableParagraph"/>
              <w:spacing w:before="20"/>
              <w:ind w:left="51"/>
              <w:rPr>
                <w:sz w:val="21"/>
              </w:rPr>
            </w:pPr>
            <w:hyperlink w:history="true" w:anchor="_bookmark11">
              <w:r>
                <w:rPr>
                  <w:sz w:val="21"/>
                </w:rPr>
                <w:t>第十一条</w:t>
              </w:r>
            </w:hyperlink>
          </w:p>
        </w:tc>
        <w:tc>
          <w:tcPr>
            <w:tcW w:w="3004" w:type="dxa"/>
          </w:tcPr>
          <w:p>
            <w:pPr>
              <w:pStyle w:val="TableParagraph"/>
              <w:spacing w:before="20"/>
              <w:ind w:left="360"/>
              <w:rPr>
                <w:sz w:val="21"/>
              </w:rPr>
            </w:pPr>
            <w:hyperlink w:history="true" w:anchor="_bookmark11">
              <w:r>
                <w:rPr>
                  <w:sz w:val="21"/>
                </w:rPr>
                <w:t>合同终止</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27">
              <w:r>
                <w:rPr>
                  <w:sz w:val="21"/>
                </w:rPr>
                <w:t>第二</w:t>
              </w:r>
              <w:r>
                <w:rPr>
                  <w:spacing w:val="-3"/>
                  <w:sz w:val="21"/>
                </w:rPr>
                <w:t>十</w:t>
              </w:r>
              <w:r>
                <w:rPr>
                  <w:sz w:val="21"/>
                </w:rPr>
                <w:t>六条</w:t>
                <w:tab/>
                <w:t>减额</w:t>
              </w:r>
              <w:r>
                <w:rPr>
                  <w:spacing w:val="-3"/>
                  <w:sz w:val="21"/>
                </w:rPr>
                <w:t>交</w:t>
              </w:r>
              <w:r>
                <w:rPr>
                  <w:sz w:val="21"/>
                </w:rPr>
                <w:t>清</w:t>
              </w:r>
            </w:hyperlink>
          </w:p>
        </w:tc>
      </w:tr>
      <w:tr>
        <w:trPr>
          <w:trHeight w:val="380" w:hRule="atLeast"/>
        </w:trPr>
        <w:tc>
          <w:tcPr>
            <w:tcW w:w="951" w:type="dxa"/>
          </w:tcPr>
          <w:p>
            <w:pPr>
              <w:pStyle w:val="TableParagraph"/>
              <w:spacing w:before="21"/>
              <w:ind w:left="51"/>
              <w:rPr>
                <w:sz w:val="21"/>
              </w:rPr>
            </w:pPr>
            <w:hyperlink w:history="true" w:anchor="_bookmark12">
              <w:r>
                <w:rPr>
                  <w:sz w:val="21"/>
                </w:rPr>
                <w:t>第十二条</w:t>
              </w:r>
            </w:hyperlink>
          </w:p>
        </w:tc>
        <w:tc>
          <w:tcPr>
            <w:tcW w:w="3004" w:type="dxa"/>
          </w:tcPr>
          <w:p>
            <w:pPr>
              <w:pStyle w:val="TableParagraph"/>
              <w:spacing w:before="21"/>
              <w:ind w:left="360"/>
              <w:rPr>
                <w:sz w:val="21"/>
              </w:rPr>
            </w:pPr>
            <w:hyperlink w:history="true" w:anchor="_bookmark12">
              <w:r>
                <w:rPr>
                  <w:sz w:val="21"/>
                </w:rPr>
                <w:t>您解除合同的手续及风险</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1"/>
              <w:ind w:left="130"/>
              <w:rPr>
                <w:sz w:val="21"/>
              </w:rPr>
            </w:pPr>
            <w:hyperlink w:history="true" w:anchor="_bookmark28">
              <w:r>
                <w:rPr>
                  <w:sz w:val="21"/>
                </w:rPr>
                <w:t>第二</w:t>
              </w:r>
              <w:r>
                <w:rPr>
                  <w:spacing w:val="-3"/>
                  <w:sz w:val="21"/>
                </w:rPr>
                <w:t>十</w:t>
              </w:r>
              <w:r>
                <w:rPr>
                  <w:sz w:val="21"/>
                </w:rPr>
                <w:t>七条</w:t>
                <w:tab/>
                <w:t>保单</w:t>
              </w:r>
              <w:r>
                <w:rPr>
                  <w:spacing w:val="-3"/>
                  <w:sz w:val="21"/>
                </w:rPr>
                <w:t>欠</w:t>
              </w:r>
              <w:r>
                <w:rPr>
                  <w:sz w:val="21"/>
                </w:rPr>
                <w:t>款</w:t>
              </w:r>
              <w:r>
                <w:rPr>
                  <w:spacing w:val="-3"/>
                  <w:sz w:val="21"/>
                </w:rPr>
                <w:t>的</w:t>
              </w:r>
              <w:r>
                <w:rPr>
                  <w:sz w:val="21"/>
                </w:rPr>
                <w:t>结清</w:t>
              </w:r>
            </w:hyperlink>
          </w:p>
        </w:tc>
      </w:tr>
      <w:tr>
        <w:trPr>
          <w:trHeight w:val="379" w:hRule="atLeast"/>
        </w:trPr>
        <w:tc>
          <w:tcPr>
            <w:tcW w:w="951" w:type="dxa"/>
          </w:tcPr>
          <w:p>
            <w:pPr>
              <w:pStyle w:val="TableParagraph"/>
              <w:spacing w:before="20"/>
              <w:ind w:left="51"/>
              <w:rPr>
                <w:sz w:val="21"/>
              </w:rPr>
            </w:pPr>
            <w:hyperlink w:history="true" w:anchor="_bookmark13">
              <w:r>
                <w:rPr>
                  <w:sz w:val="21"/>
                </w:rPr>
                <w:t>第十三条</w:t>
              </w:r>
            </w:hyperlink>
          </w:p>
        </w:tc>
        <w:tc>
          <w:tcPr>
            <w:tcW w:w="3004" w:type="dxa"/>
          </w:tcPr>
          <w:p>
            <w:pPr>
              <w:pStyle w:val="TableParagraph"/>
              <w:spacing w:before="20"/>
              <w:ind w:left="360"/>
              <w:rPr>
                <w:sz w:val="21"/>
              </w:rPr>
            </w:pPr>
            <w:hyperlink w:history="true" w:anchor="_bookmark13">
              <w:r>
                <w:rPr>
                  <w:sz w:val="21"/>
                </w:rPr>
                <w:t>明确说明与如实告知</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spacing w:before="21"/>
              <w:ind w:left="137"/>
              <w:rPr>
                <w:b/>
                <w:sz w:val="21"/>
              </w:rPr>
            </w:pPr>
            <w:hyperlink w:history="true" w:anchor="_bookmark29">
              <w:r>
                <w:rPr>
                  <w:b/>
                  <w:sz w:val="21"/>
                </w:rPr>
                <w:t>第三部分 释义条款</w:t>
              </w:r>
            </w:hyperlink>
          </w:p>
        </w:tc>
      </w:tr>
      <w:tr>
        <w:trPr>
          <w:trHeight w:val="380" w:hRule="atLeast"/>
        </w:trPr>
        <w:tc>
          <w:tcPr>
            <w:tcW w:w="951" w:type="dxa"/>
          </w:tcPr>
          <w:p>
            <w:pPr>
              <w:pStyle w:val="TableParagraph"/>
              <w:spacing w:before="20"/>
              <w:ind w:left="51"/>
              <w:rPr>
                <w:sz w:val="21"/>
              </w:rPr>
            </w:pPr>
            <w:hyperlink w:history="true" w:anchor="_bookmark14">
              <w:r>
                <w:rPr>
                  <w:sz w:val="21"/>
                </w:rPr>
                <w:t>第十四条</w:t>
              </w:r>
            </w:hyperlink>
          </w:p>
        </w:tc>
        <w:tc>
          <w:tcPr>
            <w:tcW w:w="3004" w:type="dxa"/>
          </w:tcPr>
          <w:p>
            <w:pPr>
              <w:pStyle w:val="TableParagraph"/>
              <w:spacing w:before="20"/>
              <w:ind w:left="360"/>
              <w:rPr>
                <w:sz w:val="21"/>
              </w:rPr>
            </w:pPr>
            <w:hyperlink w:history="true" w:anchor="_bookmark14">
              <w:r>
                <w:rPr>
                  <w:sz w:val="21"/>
                </w:rPr>
                <w:t>年龄及性别错误</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before="20"/>
              <w:ind w:left="130"/>
              <w:rPr>
                <w:sz w:val="21"/>
              </w:rPr>
            </w:pPr>
            <w:hyperlink w:history="true" w:anchor="_bookmark30">
              <w:r>
                <w:rPr>
                  <w:sz w:val="21"/>
                </w:rPr>
                <w:t>第二</w:t>
              </w:r>
              <w:r>
                <w:rPr>
                  <w:spacing w:val="-3"/>
                  <w:sz w:val="21"/>
                </w:rPr>
                <w:t>十</w:t>
              </w:r>
              <w:r>
                <w:rPr>
                  <w:sz w:val="21"/>
                </w:rPr>
                <w:t>八条</w:t>
                <w:tab/>
                <w:t>重大</w:t>
              </w:r>
              <w:r>
                <w:rPr>
                  <w:spacing w:val="-3"/>
                  <w:sz w:val="21"/>
                </w:rPr>
                <w:t>疾</w:t>
              </w:r>
              <w:r>
                <w:rPr>
                  <w:sz w:val="21"/>
                </w:rPr>
                <w:t>病</w:t>
              </w:r>
              <w:r>
                <w:rPr>
                  <w:spacing w:val="-3"/>
                  <w:sz w:val="21"/>
                </w:rPr>
                <w:t>释</w:t>
              </w:r>
              <w:r>
                <w:rPr>
                  <w:sz w:val="21"/>
                </w:rPr>
                <w:t>义</w:t>
              </w:r>
            </w:hyperlink>
          </w:p>
        </w:tc>
      </w:tr>
      <w:tr>
        <w:trPr>
          <w:trHeight w:val="296" w:hRule="atLeast"/>
        </w:trPr>
        <w:tc>
          <w:tcPr>
            <w:tcW w:w="951" w:type="dxa"/>
          </w:tcPr>
          <w:p>
            <w:pPr>
              <w:pStyle w:val="TableParagraph"/>
              <w:spacing w:line="256" w:lineRule="exact" w:before="21"/>
              <w:ind w:left="51"/>
              <w:rPr>
                <w:sz w:val="21"/>
              </w:rPr>
            </w:pPr>
            <w:hyperlink w:history="true" w:anchor="_bookmark15">
              <w:r>
                <w:rPr>
                  <w:sz w:val="21"/>
                </w:rPr>
                <w:t>第十五条</w:t>
              </w:r>
            </w:hyperlink>
          </w:p>
        </w:tc>
        <w:tc>
          <w:tcPr>
            <w:tcW w:w="3004" w:type="dxa"/>
          </w:tcPr>
          <w:p>
            <w:pPr>
              <w:pStyle w:val="TableParagraph"/>
              <w:spacing w:line="256" w:lineRule="exact" w:before="21"/>
              <w:ind w:left="360"/>
              <w:rPr>
                <w:sz w:val="21"/>
              </w:rPr>
            </w:pPr>
            <w:hyperlink w:history="true" w:anchor="_bookmark15">
              <w:r>
                <w:rPr>
                  <w:sz w:val="21"/>
                </w:rPr>
                <w:t>地址变更</w:t>
              </w:r>
            </w:hyperlink>
          </w:p>
        </w:tc>
        <w:tc>
          <w:tcPr>
            <w:tcW w:w="706" w:type="dxa"/>
          </w:tcPr>
          <w:p>
            <w:pPr>
              <w:pStyle w:val="TableParagraph"/>
              <w:rPr>
                <w:rFonts w:ascii="Times New Roman"/>
                <w:sz w:val="20"/>
              </w:rPr>
            </w:pPr>
          </w:p>
        </w:tc>
        <w:tc>
          <w:tcPr>
            <w:tcW w:w="505" w:type="dxa"/>
          </w:tcPr>
          <w:p>
            <w:pPr>
              <w:pStyle w:val="TableParagraph"/>
              <w:rPr>
                <w:rFonts w:ascii="Times New Roman"/>
                <w:sz w:val="20"/>
              </w:rPr>
            </w:pPr>
          </w:p>
        </w:tc>
        <w:tc>
          <w:tcPr>
            <w:tcW w:w="3335" w:type="dxa"/>
          </w:tcPr>
          <w:p>
            <w:pPr>
              <w:pStyle w:val="TableParagraph"/>
              <w:tabs>
                <w:tab w:pos="1390" w:val="left" w:leader="none"/>
              </w:tabs>
              <w:spacing w:line="255" w:lineRule="exact" w:before="22"/>
              <w:ind w:left="130"/>
              <w:rPr>
                <w:sz w:val="21"/>
              </w:rPr>
            </w:pPr>
            <w:hyperlink w:history="true" w:anchor="_bookmark31">
              <w:r>
                <w:rPr>
                  <w:sz w:val="21"/>
                </w:rPr>
                <w:t>第二</w:t>
              </w:r>
              <w:r>
                <w:rPr>
                  <w:spacing w:val="-3"/>
                  <w:sz w:val="21"/>
                </w:rPr>
                <w:t>十</w:t>
              </w:r>
              <w:r>
                <w:rPr>
                  <w:sz w:val="21"/>
                </w:rPr>
                <w:t>九条</w:t>
                <w:tab/>
                <w:t>释义</w:t>
              </w:r>
            </w:hyperlink>
          </w:p>
        </w:tc>
      </w:tr>
    </w:tbl>
    <w:p>
      <w:pPr>
        <w:spacing w:after="0" w:line="255" w:lineRule="exact"/>
        <w:rPr>
          <w:sz w:val="21"/>
        </w:rPr>
        <w:sectPr>
          <w:type w:val="continuous"/>
          <w:pgSz w:w="11910" w:h="16840"/>
          <w:pgMar w:top="700" w:bottom="940" w:left="880" w:right="720"/>
        </w:sectPr>
      </w:pPr>
    </w:p>
    <w:p>
      <w:pPr>
        <w:pStyle w:val="BodyText"/>
        <w:spacing w:before="11"/>
        <w:ind w:left="0"/>
        <w:rPr>
          <w:sz w:val="24"/>
        </w:rPr>
      </w:pPr>
    </w:p>
    <w:p>
      <w:pPr>
        <w:spacing w:after="0"/>
        <w:rPr>
          <w:sz w:val="24"/>
        </w:rPr>
        <w:sectPr>
          <w:headerReference w:type="default" r:id="rId7"/>
          <w:pgSz w:w="11910" w:h="16840"/>
          <w:pgMar w:header="672" w:footer="759" w:top="860" w:bottom="940" w:left="880" w:right="740"/>
        </w:sectPr>
      </w:pPr>
    </w:p>
    <w:p>
      <w:pPr>
        <w:pStyle w:val="BodyText"/>
        <w:spacing w:before="0"/>
        <w:ind w:left="0"/>
        <w:rPr>
          <w:sz w:val="20"/>
        </w:rPr>
      </w:pPr>
    </w:p>
    <w:p>
      <w:pPr>
        <w:pStyle w:val="BodyText"/>
        <w:spacing w:before="3"/>
        <w:ind w:left="0"/>
        <w:rPr>
          <w:sz w:val="21"/>
        </w:rPr>
      </w:pPr>
    </w:p>
    <w:p>
      <w:pPr>
        <w:pStyle w:val="Heading2"/>
        <w:spacing w:before="0"/>
      </w:pPr>
      <w:bookmarkStart w:name="_bookmark0" w:id="1"/>
      <w:bookmarkEnd w:id="1"/>
      <w:r>
        <w:rPr>
          <w:b w:val="0"/>
        </w:rPr>
      </w:r>
      <w:bookmarkStart w:name="_bookmark1" w:id="2"/>
      <w:bookmarkEnd w:id="2"/>
      <w:r>
        <w:rPr>
          <w:b w:val="0"/>
        </w:rPr>
      </w:r>
      <w:r>
        <w:rPr>
          <w:spacing w:val="-4"/>
        </w:rPr>
        <w:t>第一条 保险合同的构成</w:t>
      </w:r>
    </w:p>
    <w:p>
      <w:pPr>
        <w:spacing w:before="7"/>
        <w:ind w:left="471" w:right="0" w:firstLine="0"/>
        <w:jc w:val="left"/>
        <w:rPr>
          <w:b/>
          <w:sz w:val="30"/>
        </w:rPr>
      </w:pPr>
      <w:r>
        <w:rPr/>
        <w:br w:type="column"/>
      </w:r>
      <w:r>
        <w:rPr>
          <w:b/>
          <w:sz w:val="30"/>
        </w:rPr>
        <w:t>第一部分 共同条款</w:t>
      </w:r>
    </w:p>
    <w:p>
      <w:pPr>
        <w:spacing w:after="0"/>
        <w:jc w:val="left"/>
        <w:rPr>
          <w:sz w:val="30"/>
        </w:rPr>
        <w:sectPr>
          <w:type w:val="continuous"/>
          <w:pgSz w:w="11910" w:h="16840"/>
          <w:pgMar w:top="700" w:bottom="940" w:left="880" w:right="740"/>
          <w:cols w:num="2" w:equalWidth="0">
            <w:col w:w="2663" w:space="942"/>
            <w:col w:w="6685"/>
          </w:cols>
        </w:sectPr>
      </w:pPr>
    </w:p>
    <w:p>
      <w:pPr>
        <w:pStyle w:val="BodyText"/>
        <w:tabs>
          <w:tab w:pos="1188" w:val="left" w:leader="none"/>
        </w:tabs>
        <w:spacing w:line="340" w:lineRule="auto" w:before="139"/>
        <w:ind w:left="1188" w:right="105" w:hanging="651"/>
      </w:pPr>
      <w:r>
        <w:rPr>
          <w:rFonts w:ascii="Arial" w:hAnsi="Arial" w:eastAsia="Arial"/>
        </w:rPr>
        <w:t>1.1</w:t>
        <w:tab/>
      </w:r>
      <w:r>
        <w:rPr/>
        <w:t>本《金牌保镖终身重大疾病保险（B</w:t>
      </w:r>
      <w:r>
        <w:rPr>
          <w:spacing w:val="-4"/>
        </w:rPr>
        <w:t> 款</w:t>
      </w:r>
      <w:r>
        <w:rPr/>
        <w:t>）》合同（以下简称“本合同”）由保险单、现金价值表与减额交清保险基本保额表、保险条款、投保单以及与本合同有关的其它投保文件、合法有效的声明、批注及其他书面协议构成。</w:t>
      </w:r>
    </w:p>
    <w:p>
      <w:pPr>
        <w:pStyle w:val="Heading2"/>
        <w:spacing w:before="40"/>
      </w:pPr>
      <w:bookmarkStart w:name="_bookmark2" w:id="3"/>
      <w:bookmarkEnd w:id="3"/>
      <w:r>
        <w:rPr>
          <w:b w:val="0"/>
        </w:rPr>
      </w:r>
      <w:r>
        <w:rPr/>
        <w:t>第二条 保险合同成立与生效</w:t>
      </w:r>
    </w:p>
    <w:p>
      <w:pPr>
        <w:pStyle w:val="ListParagraph"/>
        <w:numPr>
          <w:ilvl w:val="1"/>
          <w:numId w:val="1"/>
        </w:numPr>
        <w:tabs>
          <w:tab w:pos="1243" w:val="left" w:leader="none"/>
          <w:tab w:pos="1244" w:val="left" w:leader="none"/>
        </w:tabs>
        <w:spacing w:line="240" w:lineRule="auto" w:before="141" w:after="0"/>
        <w:ind w:left="1243" w:right="0" w:hanging="705"/>
        <w:jc w:val="left"/>
        <w:rPr>
          <w:sz w:val="18"/>
        </w:rPr>
      </w:pPr>
      <w:r>
        <w:rPr>
          <w:sz w:val="18"/>
        </w:rPr>
        <w:t>投保人（以下简称“您”）提出保险申请、我们同意承保，本合同成立。我们将签发保险单作为保险凭证。</w:t>
      </w:r>
    </w:p>
    <w:p>
      <w:pPr>
        <w:pStyle w:val="ListParagraph"/>
        <w:numPr>
          <w:ilvl w:val="1"/>
          <w:numId w:val="1"/>
        </w:numPr>
        <w:tabs>
          <w:tab w:pos="1244" w:val="left" w:leader="none"/>
        </w:tabs>
        <w:spacing w:line="350" w:lineRule="auto" w:before="103" w:after="0"/>
        <w:ind w:left="1243" w:right="102" w:hanging="705"/>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6"/>
          <w:sz w:val="18"/>
        </w:rPr>
        <w:t>保险单周年日</w:t>
      </w:r>
      <w:r>
        <w:rPr>
          <w:sz w:val="18"/>
        </w:rPr>
        <w:t>（见释义）、保险单年度、保险单月份和保险费约定支付日均以保险单生效日计算。如果当月无对应的同一日，则以该月最后一日为对应日。</w:t>
      </w:r>
    </w:p>
    <w:p>
      <w:pPr>
        <w:pStyle w:val="Heading2"/>
        <w:spacing w:before="32"/>
      </w:pPr>
      <w:bookmarkStart w:name="_bookmark3" w:id="4"/>
      <w:bookmarkEnd w:id="4"/>
      <w:r>
        <w:rPr>
          <w:b w:val="0"/>
        </w:rPr>
      </w:r>
      <w:r>
        <w:rPr/>
        <w:t>第三条 受益人</w:t>
      </w:r>
    </w:p>
    <w:p>
      <w:pPr>
        <w:pStyle w:val="ListParagraph"/>
        <w:numPr>
          <w:ilvl w:val="1"/>
          <w:numId w:val="2"/>
        </w:numPr>
        <w:tabs>
          <w:tab w:pos="1243" w:val="left" w:leader="none"/>
          <w:tab w:pos="1245" w:val="left" w:leader="none"/>
        </w:tabs>
        <w:spacing w:line="240" w:lineRule="auto" w:before="139" w:after="0"/>
        <w:ind w:left="1244" w:right="0" w:hanging="682"/>
        <w:jc w:val="left"/>
        <w:rPr>
          <w:sz w:val="18"/>
        </w:rPr>
      </w:pPr>
      <w:r>
        <w:rPr>
          <w:sz w:val="18"/>
        </w:rPr>
        <w:t>您或被保险人可以指定一人或多人为身故保险金受益人。</w:t>
      </w:r>
    </w:p>
    <w:p>
      <w:pPr>
        <w:pStyle w:val="ListParagraph"/>
        <w:numPr>
          <w:ilvl w:val="1"/>
          <w:numId w:val="2"/>
        </w:numPr>
        <w:tabs>
          <w:tab w:pos="1243" w:val="left" w:leader="none"/>
          <w:tab w:pos="1245" w:val="left" w:leader="none"/>
        </w:tabs>
        <w:spacing w:line="240" w:lineRule="auto" w:before="106" w:after="0"/>
        <w:ind w:left="1244" w:right="0" w:hanging="682"/>
        <w:jc w:val="left"/>
        <w:rPr>
          <w:sz w:val="18"/>
        </w:rPr>
      </w:pPr>
      <w:r>
        <w:rPr>
          <w:sz w:val="18"/>
        </w:rPr>
        <w:t>除本合同另有约定外，重大疾病保险金受益人为被保险人本人。</w:t>
      </w:r>
    </w:p>
    <w:p>
      <w:pPr>
        <w:pStyle w:val="ListParagraph"/>
        <w:numPr>
          <w:ilvl w:val="1"/>
          <w:numId w:val="2"/>
        </w:numPr>
        <w:tabs>
          <w:tab w:pos="1243"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2"/>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2"/>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2"/>
        </w:numPr>
        <w:tabs>
          <w:tab w:pos="1243"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2"/>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2"/>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2"/>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2"/>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2"/>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2"/>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ListParagraph"/>
        <w:numPr>
          <w:ilvl w:val="1"/>
          <w:numId w:val="3"/>
        </w:numPr>
        <w:tabs>
          <w:tab w:pos="1191" w:val="left" w:leader="none"/>
          <w:tab w:pos="1192" w:val="left" w:leader="none"/>
        </w:tabs>
        <w:spacing w:line="240" w:lineRule="auto" w:before="139" w:after="0"/>
        <w:ind w:left="1191" w:right="0" w:hanging="653"/>
        <w:jc w:val="left"/>
        <w:rPr>
          <w:sz w:val="18"/>
        </w:rPr>
      </w:pPr>
      <w:r>
        <w:rPr>
          <w:spacing w:val="-3"/>
          <w:sz w:val="18"/>
        </w:rPr>
        <w:t>您、被保险人或受益人知道保险事故后应当在 </w:t>
      </w:r>
      <w:r>
        <w:rPr>
          <w:rFonts w:ascii="Arial" w:eastAsia="Arial"/>
          <w:sz w:val="18"/>
        </w:rPr>
        <w:t>10</w:t>
      </w:r>
      <w:r>
        <w:rPr>
          <w:rFonts w:ascii="Arial" w:eastAsia="Arial"/>
          <w:spacing w:val="-9"/>
          <w:sz w:val="18"/>
        </w:rPr>
        <w:t> </w:t>
      </w:r>
      <w:r>
        <w:rPr>
          <w:spacing w:val="-1"/>
          <w:sz w:val="18"/>
        </w:rPr>
        <w:t>日内通知我们。</w:t>
      </w:r>
    </w:p>
    <w:p>
      <w:pPr>
        <w:pStyle w:val="ListParagraph"/>
        <w:numPr>
          <w:ilvl w:val="1"/>
          <w:numId w:val="3"/>
        </w:numPr>
        <w:tabs>
          <w:tab w:pos="1192" w:val="left" w:leader="none"/>
        </w:tabs>
        <w:spacing w:line="348" w:lineRule="auto" w:before="107" w:after="0"/>
        <w:ind w:left="1191" w:right="103"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5"/>
      </w:pPr>
      <w:bookmarkStart w:name="_bookmark5" w:id="6"/>
      <w:bookmarkEnd w:id="6"/>
      <w:r>
        <w:rPr>
          <w:b w:val="0"/>
        </w:rPr>
      </w:r>
      <w:r>
        <w:rPr/>
        <w:t>第五条 保险金申请</w:t>
      </w:r>
    </w:p>
    <w:p>
      <w:pPr>
        <w:pStyle w:val="ListParagraph"/>
        <w:numPr>
          <w:ilvl w:val="1"/>
          <w:numId w:val="4"/>
        </w:numPr>
        <w:tabs>
          <w:tab w:pos="1191" w:val="left" w:leader="none"/>
          <w:tab w:pos="1192" w:val="left" w:leader="none"/>
        </w:tabs>
        <w:spacing w:line="340" w:lineRule="auto" w:before="142" w:after="0"/>
        <w:ind w:left="1244" w:right="102" w:hanging="706"/>
        <w:jc w:val="left"/>
        <w:rPr>
          <w:sz w:val="18"/>
        </w:rPr>
      </w:pPr>
      <w:r>
        <w:rPr>
          <w:spacing w:val="5"/>
          <w:sz w:val="18"/>
        </w:rPr>
        <w:t>重大疾病保险金的申请人为重大疾病保险金受益人，在申请重大疾病保险金时，申请人须填写保险金给付申请</w:t>
      </w:r>
      <w:r>
        <w:rPr>
          <w:sz w:val="18"/>
        </w:rPr>
        <w:t>书，并提供下列证明和资料：</w:t>
      </w:r>
    </w:p>
    <w:p>
      <w:pPr>
        <w:pStyle w:val="ListParagraph"/>
        <w:numPr>
          <w:ilvl w:val="2"/>
          <w:numId w:val="4"/>
        </w:numPr>
        <w:tabs>
          <w:tab w:pos="1530" w:val="left" w:leader="none"/>
        </w:tabs>
        <w:spacing w:line="240" w:lineRule="auto" w:before="41" w:after="0"/>
        <w:ind w:left="1529" w:right="0" w:hanging="285"/>
        <w:jc w:val="left"/>
        <w:rPr>
          <w:sz w:val="18"/>
        </w:rPr>
      </w:pPr>
      <w:r>
        <w:rPr>
          <w:w w:val="95"/>
          <w:sz w:val="18"/>
        </w:rPr>
        <w:t>保险合同；</w:t>
      </w:r>
    </w:p>
    <w:p>
      <w:pPr>
        <w:pStyle w:val="ListParagraph"/>
        <w:numPr>
          <w:ilvl w:val="2"/>
          <w:numId w:val="4"/>
        </w:numPr>
        <w:tabs>
          <w:tab w:pos="1530" w:val="left" w:leader="none"/>
        </w:tabs>
        <w:spacing w:line="240" w:lineRule="auto" w:before="106" w:after="0"/>
        <w:ind w:left="1529" w:right="0" w:hanging="285"/>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4"/>
        </w:numPr>
        <w:tabs>
          <w:tab w:pos="1530" w:val="left" w:leader="none"/>
        </w:tabs>
        <w:spacing w:line="240" w:lineRule="auto" w:before="106" w:after="0"/>
        <w:ind w:left="1529" w:right="0" w:hanging="285"/>
        <w:jc w:val="left"/>
        <w:rPr>
          <w:sz w:val="18"/>
        </w:rPr>
      </w:pPr>
      <w:r>
        <w:rPr>
          <w:b/>
          <w:w w:val="95"/>
          <w:sz w:val="18"/>
        </w:rPr>
        <w:t>专科医生</w:t>
      </w:r>
      <w:r>
        <w:rPr>
          <w:w w:val="95"/>
          <w:sz w:val="18"/>
        </w:rPr>
        <w:t>（见释义）</w:t>
      </w:r>
      <w:r>
        <w:rPr>
          <w:spacing w:val="-1"/>
          <w:w w:val="95"/>
          <w:sz w:val="18"/>
        </w:rPr>
        <w:t>出具的被保险人病理组织学检查、血液检查及其他科学方法检验报告的疾病诊断证明书；</w:t>
      </w:r>
    </w:p>
    <w:p>
      <w:pPr>
        <w:pStyle w:val="ListParagraph"/>
        <w:numPr>
          <w:ilvl w:val="2"/>
          <w:numId w:val="4"/>
        </w:numPr>
        <w:tabs>
          <w:tab w:pos="1530" w:val="left" w:leader="none"/>
        </w:tabs>
        <w:spacing w:line="240" w:lineRule="auto" w:before="106" w:after="0"/>
        <w:ind w:left="1529" w:right="0" w:hanging="285"/>
        <w:jc w:val="left"/>
        <w:rPr>
          <w:sz w:val="18"/>
        </w:rPr>
      </w:pPr>
      <w:r>
        <w:rPr>
          <w:w w:val="95"/>
          <w:sz w:val="18"/>
        </w:rPr>
        <w:t>所能提供的与确认保险事故的性质、原因、伤害程度等有关的其他证明和资料；</w:t>
      </w:r>
    </w:p>
    <w:p>
      <w:pPr>
        <w:pStyle w:val="ListParagraph"/>
        <w:numPr>
          <w:ilvl w:val="2"/>
          <w:numId w:val="4"/>
        </w:numPr>
        <w:tabs>
          <w:tab w:pos="1530" w:val="left" w:leader="none"/>
        </w:tabs>
        <w:spacing w:line="240" w:lineRule="auto" w:before="104" w:after="0"/>
        <w:ind w:left="1529" w:right="0" w:hanging="285"/>
        <w:jc w:val="left"/>
        <w:rPr>
          <w:sz w:val="18"/>
        </w:rPr>
      </w:pPr>
      <w:r>
        <w:rPr>
          <w:w w:val="95"/>
          <w:sz w:val="18"/>
        </w:rPr>
        <w:t>申请人与被保险人的相关关系证明（如有需要）。</w:t>
      </w:r>
    </w:p>
    <w:p>
      <w:pPr>
        <w:pStyle w:val="ListParagraph"/>
        <w:numPr>
          <w:ilvl w:val="1"/>
          <w:numId w:val="4"/>
        </w:numPr>
        <w:tabs>
          <w:tab w:pos="1191" w:val="left" w:leader="none"/>
          <w:tab w:pos="1192" w:val="left" w:leader="none"/>
        </w:tabs>
        <w:spacing w:line="340" w:lineRule="auto" w:before="106" w:after="0"/>
        <w:ind w:left="1244" w:right="107" w:hanging="706"/>
        <w:jc w:val="left"/>
        <w:rPr>
          <w:sz w:val="18"/>
        </w:rPr>
      </w:pPr>
      <w:r>
        <w:rPr>
          <w:sz w:val="18"/>
        </w:rPr>
        <w:t>身故保险金的申请人为身故保险金受益人，在申请身故保险金时，申请人须填写保险金给付申请书，并提供下列证明和资料：</w:t>
      </w:r>
    </w:p>
    <w:p>
      <w:pPr>
        <w:spacing w:after="0" w:line="340" w:lineRule="auto"/>
        <w:jc w:val="left"/>
        <w:rPr>
          <w:sz w:val="18"/>
        </w:rPr>
        <w:sectPr>
          <w:type w:val="continuous"/>
          <w:pgSz w:w="11910" w:h="16840"/>
          <w:pgMar w:top="700" w:bottom="940" w:left="880" w:right="740"/>
        </w:sectPr>
      </w:pPr>
    </w:p>
    <w:p>
      <w:pPr>
        <w:pStyle w:val="BodyText"/>
        <w:spacing w:before="9"/>
        <w:ind w:left="0"/>
        <w:rPr>
          <w:sz w:val="13"/>
        </w:rPr>
      </w:pPr>
    </w:p>
    <w:p>
      <w:pPr>
        <w:pStyle w:val="ListParagraph"/>
        <w:numPr>
          <w:ilvl w:val="2"/>
          <w:numId w:val="4"/>
        </w:numPr>
        <w:tabs>
          <w:tab w:pos="1552" w:val="left" w:leader="none"/>
        </w:tabs>
        <w:spacing w:line="240" w:lineRule="auto" w:before="53" w:after="0"/>
        <w:ind w:left="1551" w:right="0" w:hanging="307"/>
        <w:jc w:val="left"/>
        <w:rPr>
          <w:sz w:val="18"/>
        </w:rPr>
      </w:pPr>
      <w:r>
        <w:rPr>
          <w:w w:val="95"/>
          <w:sz w:val="18"/>
        </w:rPr>
        <w:t>保险合同；</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申请人的有效身份证件；</w:t>
      </w:r>
    </w:p>
    <w:p>
      <w:pPr>
        <w:pStyle w:val="ListParagraph"/>
        <w:numPr>
          <w:ilvl w:val="2"/>
          <w:numId w:val="4"/>
        </w:numPr>
        <w:tabs>
          <w:tab w:pos="1552" w:val="left" w:leader="none"/>
        </w:tabs>
        <w:spacing w:line="240" w:lineRule="auto" w:before="104" w:after="0"/>
        <w:ind w:left="1551" w:right="0" w:hanging="307"/>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所能提供的与确认保险事故的性质、原因等有关的其他证明和材料；</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申请人与被保险人的相关关系证明（如有需要）。</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保险金作为被保险人遗产时，必须提供可证明合法继承权的相关权利文件。</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以上证明和资料不完整的，我们将及时一次性通知申请人补充提供有关的证明和资料。</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上述相关证明和资料，除保险合同外，我们审核原件，审核完毕后留存复印件，原件返还给申请人或受托人。</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除有关法律、行政法规不允许外，我们将保留进行医学鉴定或核实的权利。</w:t>
      </w:r>
    </w:p>
    <w:p>
      <w:pPr>
        <w:pStyle w:val="Heading2"/>
      </w:pPr>
      <w:bookmarkStart w:name="_bookmark6" w:id="7"/>
      <w:bookmarkEnd w:id="7"/>
      <w:r>
        <w:rPr>
          <w:b w:val="0"/>
        </w:rPr>
      </w:r>
      <w:r>
        <w:rPr/>
        <w:t>第六条 保险金给付</w:t>
      </w:r>
    </w:p>
    <w:p>
      <w:pPr>
        <w:pStyle w:val="ListParagraph"/>
        <w:numPr>
          <w:ilvl w:val="1"/>
          <w:numId w:val="5"/>
        </w:numPr>
        <w:tabs>
          <w:tab w:pos="1192" w:val="left" w:leader="none"/>
        </w:tabs>
        <w:spacing w:line="340" w:lineRule="auto" w:before="139" w:after="0"/>
        <w:ind w:left="1191" w:right="105" w:hanging="708"/>
        <w:jc w:val="both"/>
        <w:rPr>
          <w:sz w:val="18"/>
        </w:rPr>
      </w:pPr>
      <w:r>
        <w:rPr>
          <w:spacing w:val="-1"/>
          <w:sz w:val="18"/>
        </w:rPr>
        <w:t>我们在收到保险金给付申请书及合同约定的证明和资料后，将及时作出核定；情形复杂的，在 </w:t>
      </w:r>
      <w:r>
        <w:rPr>
          <w:rFonts w:ascii="Arial" w:eastAsia="Arial"/>
          <w:sz w:val="18"/>
        </w:rPr>
        <w:t>30</w:t>
      </w:r>
      <w:r>
        <w:rPr>
          <w:rFonts w:ascii="Arial" w:eastAsia="Arial"/>
          <w:spacing w:val="20"/>
          <w:sz w:val="18"/>
        </w:rPr>
        <w:t> </w:t>
      </w:r>
      <w:r>
        <w:rPr>
          <w:sz w:val="18"/>
        </w:rPr>
        <w:t>日内作出核定，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18"/>
          <w:sz w:val="18"/>
        </w:rPr>
        <w:t> </w:t>
      </w:r>
      <w:r>
        <w:rPr>
          <w:sz w:val="18"/>
        </w:rPr>
        <w:t>日内，履行给付保险金义务。</w:t>
      </w:r>
    </w:p>
    <w:p>
      <w:pPr>
        <w:pStyle w:val="ListParagraph"/>
        <w:numPr>
          <w:ilvl w:val="1"/>
          <w:numId w:val="5"/>
        </w:numPr>
        <w:tabs>
          <w:tab w:pos="1191" w:val="left" w:leader="none"/>
          <w:tab w:pos="1192" w:val="left" w:leader="none"/>
        </w:tabs>
        <w:spacing w:line="240" w:lineRule="auto" w:before="44" w:after="0"/>
        <w:ind w:left="1191" w:right="0" w:hanging="708"/>
        <w:jc w:val="left"/>
        <w:rPr>
          <w:sz w:val="18"/>
        </w:rPr>
      </w:pPr>
      <w:r>
        <w:rPr>
          <w:sz w:val="18"/>
        </w:rPr>
        <w:t>我们未及时履行前款规定义务的，除支付保险金外，应当赔偿申请人因此受到的损失。</w:t>
      </w:r>
    </w:p>
    <w:p>
      <w:pPr>
        <w:pStyle w:val="ListParagraph"/>
        <w:numPr>
          <w:ilvl w:val="1"/>
          <w:numId w:val="5"/>
        </w:numPr>
        <w:tabs>
          <w:tab w:pos="1191" w:val="left" w:leader="none"/>
          <w:tab w:pos="1192" w:val="left" w:leader="none"/>
        </w:tabs>
        <w:spacing w:line="240" w:lineRule="auto" w:before="107" w:after="0"/>
        <w:ind w:left="1191" w:right="0" w:hanging="708"/>
        <w:jc w:val="left"/>
        <w:rPr>
          <w:sz w:val="18"/>
        </w:rPr>
      </w:pPr>
      <w:r>
        <w:rPr>
          <w:spacing w:val="-3"/>
          <w:sz w:val="18"/>
        </w:rPr>
        <w:t>对不属于保险责任的，我们自作出核定之日起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5"/>
        </w:numPr>
        <w:tabs>
          <w:tab w:pos="1191" w:val="left" w:leader="none"/>
          <w:tab w:pos="1192" w:val="left" w:leader="none"/>
        </w:tabs>
        <w:spacing w:line="340" w:lineRule="auto" w:before="104" w:after="0"/>
        <w:ind w:left="1191" w:right="104"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5"/>
        </w:numPr>
        <w:tabs>
          <w:tab w:pos="1191" w:val="left" w:leader="none"/>
          <w:tab w:pos="1193" w:val="left" w:leader="none"/>
        </w:tabs>
        <w:spacing w:line="340" w:lineRule="auto" w:before="43" w:after="0"/>
        <w:ind w:left="1192" w:right="101" w:hanging="709"/>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40"/>
      </w:pPr>
      <w:bookmarkStart w:name="_bookmark7" w:id="8"/>
      <w:bookmarkEnd w:id="8"/>
      <w:r>
        <w:rPr>
          <w:b w:val="0"/>
        </w:rPr>
      </w:r>
      <w:r>
        <w:rPr/>
        <w:t>第七条 诉讼时效</w:t>
      </w:r>
    </w:p>
    <w:p>
      <w:pPr>
        <w:pStyle w:val="BodyText"/>
        <w:tabs>
          <w:tab w:pos="1243" w:val="left" w:leader="none"/>
        </w:tabs>
        <w:spacing w:before="139"/>
        <w:ind w:left="538"/>
      </w:pPr>
      <w:r>
        <w:rPr>
          <w:rFonts w:ascii="Arial" w:eastAsia="Arial"/>
        </w:rPr>
        <w:t>7.1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6"/>
        </w:numPr>
        <w:tabs>
          <w:tab w:pos="1243" w:val="left" w:leader="none"/>
          <w:tab w:pos="1244" w:val="left" w:leader="none"/>
        </w:tabs>
        <w:spacing w:line="240" w:lineRule="auto" w:before="139" w:after="0"/>
        <w:ind w:left="1244" w:right="0" w:hanging="706"/>
        <w:jc w:val="left"/>
        <w:rPr>
          <w:sz w:val="18"/>
        </w:rPr>
      </w:pPr>
      <w:r>
        <w:rPr>
          <w:sz w:val="18"/>
        </w:rPr>
        <w:t>您可选择适用于本合同的各种交费方式支付保险费，并在保险单上载明。</w:t>
      </w:r>
    </w:p>
    <w:p>
      <w:pPr>
        <w:pStyle w:val="ListParagraph"/>
        <w:numPr>
          <w:ilvl w:val="1"/>
          <w:numId w:val="6"/>
        </w:numPr>
        <w:tabs>
          <w:tab w:pos="1243" w:val="left" w:leader="none"/>
          <w:tab w:pos="1244" w:val="left" w:leader="none"/>
        </w:tabs>
        <w:spacing w:line="340" w:lineRule="auto" w:before="106" w:after="0"/>
        <w:ind w:left="1244" w:right="108" w:hanging="706"/>
        <w:jc w:val="left"/>
        <w:rPr>
          <w:sz w:val="18"/>
        </w:rPr>
      </w:pPr>
      <w:r>
        <w:rPr>
          <w:sz w:val="18"/>
        </w:rPr>
        <w:t>如果约定分期支付保险费，您支付首期保险费后，应当按照保险单所载明的交费方式和约定交费日期支付续期保险费。</w:t>
      </w:r>
    </w:p>
    <w:p>
      <w:pPr>
        <w:pStyle w:val="Heading2"/>
        <w:spacing w:before="40"/>
      </w:pPr>
      <w:bookmarkStart w:name="_bookmark9" w:id="10"/>
      <w:bookmarkEnd w:id="10"/>
      <w:r>
        <w:rPr>
          <w:b w:val="0"/>
        </w:rPr>
      </w:r>
      <w:r>
        <w:rPr/>
        <w:t>第九条 宽限期</w:t>
      </w:r>
    </w:p>
    <w:p>
      <w:pPr>
        <w:pStyle w:val="ListParagraph"/>
        <w:numPr>
          <w:ilvl w:val="1"/>
          <w:numId w:val="7"/>
        </w:numPr>
        <w:tabs>
          <w:tab w:pos="1244" w:val="left" w:leader="none"/>
        </w:tabs>
        <w:spacing w:line="340" w:lineRule="auto" w:before="141" w:after="0"/>
        <w:ind w:left="1244" w:right="107" w:hanging="706"/>
        <w:jc w:val="both"/>
        <w:rPr>
          <w:sz w:val="18"/>
        </w:rPr>
      </w:pPr>
      <w:r>
        <w:rPr>
          <w:sz w:val="18"/>
        </w:rPr>
        <w:t>分期支付保险费的，您支付首期保险费后，除本合同另有约定外，如果您到期未支付保险费，自保险费约定支付</w:t>
      </w:r>
      <w:r>
        <w:rPr>
          <w:spacing w:val="-8"/>
          <w:sz w:val="18"/>
        </w:rPr>
        <w:t>日的 </w:t>
      </w:r>
      <w:r>
        <w:rPr>
          <w:rFonts w:ascii="Arial" w:eastAsia="Arial"/>
          <w:sz w:val="18"/>
        </w:rPr>
        <w:t>24</w:t>
      </w:r>
      <w:r>
        <w:rPr>
          <w:rFonts w:ascii="Arial" w:eastAsia="Arial"/>
          <w:spacing w:val="6"/>
          <w:sz w:val="18"/>
        </w:rPr>
        <w:t> </w:t>
      </w:r>
      <w:r>
        <w:rPr>
          <w:spacing w:val="-8"/>
          <w:sz w:val="18"/>
        </w:rPr>
        <w:t>时起 </w:t>
      </w:r>
      <w:r>
        <w:rPr>
          <w:rFonts w:ascii="Arial" w:eastAsia="Arial"/>
          <w:sz w:val="18"/>
        </w:rPr>
        <w:t>60</w:t>
      </w:r>
      <w:r>
        <w:rPr>
          <w:rFonts w:ascii="Arial" w:eastAsia="Arial"/>
          <w:spacing w:val="6"/>
          <w:sz w:val="18"/>
        </w:rPr>
        <w:t> </w:t>
      </w:r>
      <w:r>
        <w:rPr>
          <w:spacing w:val="-1"/>
          <w:sz w:val="18"/>
        </w:rPr>
        <w:t>日为宽限期。宽限期内发生的保险事故，我们仍会承担保险责任，但在给付保险金时会扣减您欠交的保险费。</w:t>
      </w:r>
    </w:p>
    <w:p>
      <w:pPr>
        <w:pStyle w:val="Heading3"/>
        <w:numPr>
          <w:ilvl w:val="1"/>
          <w:numId w:val="7"/>
        </w:numPr>
        <w:tabs>
          <w:tab w:pos="1243" w:val="left" w:leader="none"/>
          <w:tab w:pos="1244" w:val="left" w:leader="none"/>
        </w:tabs>
        <w:spacing w:line="240" w:lineRule="auto" w:before="41" w:after="0"/>
        <w:ind w:left="1244" w:right="0" w:hanging="706"/>
        <w:jc w:val="left"/>
      </w:pPr>
      <w:r>
        <w:rPr>
          <w:b w:val="0"/>
        </w:rPr>
        <w:t>除本合同另有约定外，</w:t>
      </w:r>
      <w:r>
        <w:rPr>
          <w:spacing w:val="-2"/>
        </w:rPr>
        <w:t>如果您宽限期结束之后仍未支付保险费，则本合同自宽限期满当日的 </w:t>
      </w:r>
      <w:r>
        <w:rPr>
          <w:rFonts w:ascii="Arial" w:eastAsia="Arial"/>
        </w:rPr>
        <w:t>24</w:t>
      </w:r>
      <w:r>
        <w:rPr>
          <w:rFonts w:ascii="Arial" w:eastAsia="Arial"/>
          <w:spacing w:val="-20"/>
        </w:rPr>
        <w:t> </w:t>
      </w:r>
      <w:r>
        <w:rPr/>
        <w:t>时起效力中止。</w:t>
      </w:r>
    </w:p>
    <w:p>
      <w:pPr>
        <w:spacing w:before="105"/>
        <w:ind w:left="471" w:right="0" w:firstLine="0"/>
        <w:jc w:val="left"/>
        <w:rPr>
          <w:b/>
          <w:sz w:val="21"/>
        </w:rPr>
      </w:pPr>
      <w:bookmarkStart w:name="_bookmark10" w:id="11"/>
      <w:bookmarkEnd w:id="11"/>
      <w:r>
        <w:rPr/>
      </w:r>
      <w:r>
        <w:rPr>
          <w:b/>
          <w:sz w:val="21"/>
        </w:rPr>
        <w:t>第十条 效力恢复</w:t>
      </w:r>
    </w:p>
    <w:p>
      <w:pPr>
        <w:pStyle w:val="ListParagraph"/>
        <w:numPr>
          <w:ilvl w:val="1"/>
          <w:numId w:val="8"/>
        </w:numPr>
        <w:tabs>
          <w:tab w:pos="1191" w:val="left" w:leader="none"/>
          <w:tab w:pos="1192" w:val="left" w:leader="none"/>
        </w:tabs>
        <w:spacing w:line="340" w:lineRule="auto" w:before="139" w:after="0"/>
        <w:ind w:left="1191" w:right="102" w:hanging="653"/>
        <w:jc w:val="left"/>
        <w:rPr>
          <w:sz w:val="18"/>
        </w:rPr>
      </w:pPr>
      <w:r>
        <w:rPr>
          <w:spacing w:val="-4"/>
          <w:sz w:val="18"/>
        </w:rPr>
        <w:t>本合同效力中止后 </w:t>
      </w:r>
      <w:r>
        <w:rPr>
          <w:rFonts w:ascii="Arial" w:eastAsia="Arial"/>
          <w:sz w:val="18"/>
        </w:rPr>
        <w:t>2</w:t>
      </w:r>
      <w:r>
        <w:rPr>
          <w:rFonts w:ascii="Arial" w:eastAsia="Arial"/>
          <w:spacing w:val="1"/>
          <w:sz w:val="18"/>
        </w:rPr>
        <w:t> </w:t>
      </w:r>
      <w:r>
        <w:rPr>
          <w:spacing w:val="-1"/>
          <w:sz w:val="18"/>
        </w:rPr>
        <w:t>年内，您可以申请恢复合同效力。经我们与您协商并达成协议，在您补交保险费当日的 </w:t>
      </w:r>
      <w:r>
        <w:rPr>
          <w:rFonts w:ascii="Arial" w:eastAsia="Arial"/>
          <w:sz w:val="18"/>
        </w:rPr>
        <w:t>24</w:t>
      </w:r>
      <w:r>
        <w:rPr>
          <w:rFonts w:ascii="Arial" w:eastAsia="Arial"/>
          <w:spacing w:val="1"/>
          <w:sz w:val="18"/>
        </w:rPr>
        <w:t> </w:t>
      </w:r>
      <w:r>
        <w:rPr>
          <w:sz w:val="18"/>
        </w:rPr>
        <w:t>时起，合同效力恢复。</w:t>
      </w:r>
    </w:p>
    <w:p>
      <w:pPr>
        <w:pStyle w:val="ListParagraph"/>
        <w:numPr>
          <w:ilvl w:val="1"/>
          <w:numId w:val="8"/>
        </w:numPr>
        <w:tabs>
          <w:tab w:pos="1191" w:val="left" w:leader="none"/>
          <w:tab w:pos="1192" w:val="left" w:leader="none"/>
        </w:tabs>
        <w:spacing w:line="340" w:lineRule="auto" w:before="41" w:after="0"/>
        <w:ind w:left="1191" w:right="103" w:hanging="653"/>
        <w:jc w:val="left"/>
        <w:rPr>
          <w:sz w:val="18"/>
        </w:rPr>
      </w:pPr>
      <w:r>
        <w:rPr>
          <w:spacing w:val="1"/>
          <w:sz w:val="18"/>
        </w:rPr>
        <w:t>自本合同效力中止之日起满 </w:t>
      </w:r>
      <w:r>
        <w:rPr>
          <w:rFonts w:ascii="Arial" w:eastAsia="Arial"/>
          <w:sz w:val="18"/>
        </w:rPr>
        <w:t>2</w:t>
      </w:r>
      <w:r>
        <w:rPr>
          <w:rFonts w:ascii="Arial" w:eastAsia="Arial"/>
          <w:spacing w:val="7"/>
          <w:sz w:val="18"/>
        </w:rPr>
        <w:t> </w:t>
      </w:r>
      <w:r>
        <w:rPr>
          <w:sz w:val="18"/>
        </w:rPr>
        <w:t>年您和我们未达成协议的，我们有权解除合同。我们解除合同的，向您退还合同效</w:t>
      </w:r>
      <w:r>
        <w:rPr>
          <w:w w:val="95"/>
          <w:sz w:val="18"/>
        </w:rPr>
        <w:t>力中止时本合同的</w:t>
      </w:r>
      <w:r>
        <w:rPr>
          <w:b/>
          <w:w w:val="95"/>
          <w:sz w:val="18"/>
        </w:rPr>
        <w:t>现金价值</w:t>
      </w:r>
      <w:r>
        <w:rPr>
          <w:spacing w:val="-3"/>
          <w:w w:val="95"/>
          <w:sz w:val="18"/>
        </w:rPr>
        <w:t>（</w:t>
      </w:r>
      <w:r>
        <w:rPr>
          <w:w w:val="95"/>
          <w:sz w:val="18"/>
        </w:rPr>
        <w:t>见释义）。</w:t>
      </w:r>
    </w:p>
    <w:p>
      <w:pPr>
        <w:pStyle w:val="Heading2"/>
        <w:spacing w:before="42"/>
      </w:pPr>
      <w:bookmarkStart w:name="_bookmark11" w:id="12"/>
      <w:bookmarkEnd w:id="12"/>
      <w:r>
        <w:rPr>
          <w:b w:val="0"/>
        </w:rPr>
      </w:r>
      <w:r>
        <w:rPr/>
        <w:t>第十一条 合同终止</w:t>
      </w:r>
    </w:p>
    <w:p>
      <w:pPr>
        <w:pStyle w:val="ListParagraph"/>
        <w:numPr>
          <w:ilvl w:val="1"/>
          <w:numId w:val="9"/>
        </w:numPr>
        <w:tabs>
          <w:tab w:pos="1191" w:val="left" w:leader="none"/>
          <w:tab w:pos="1192" w:val="left" w:leader="none"/>
        </w:tabs>
        <w:spacing w:line="240" w:lineRule="auto" w:before="139" w:after="0"/>
        <w:ind w:left="1191" w:right="0" w:hanging="653"/>
        <w:jc w:val="left"/>
        <w:rPr>
          <w:sz w:val="18"/>
        </w:rPr>
      </w:pPr>
      <w:r>
        <w:rPr>
          <w:sz w:val="18"/>
        </w:rPr>
        <w:t>发生下列情形之一，本合同即行终止：</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您于本合同保险期间内按约定申请解除本合同；</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本合同因条款所列的其他情况而中止效力，且未按约定办理复效；</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本合同因法律规定或本合同及其附加合同约定的其他情况而终止。</w:t>
      </w:r>
    </w:p>
    <w:p>
      <w:pPr>
        <w:spacing w:after="0" w:line="240" w:lineRule="auto"/>
        <w:jc w:val="left"/>
        <w:rPr>
          <w:sz w:val="18"/>
        </w:rPr>
        <w:sectPr>
          <w:pgSz w:w="11910" w:h="16840"/>
          <w:pgMar w:header="672" w:footer="759" w:top="860" w:bottom="940" w:left="880" w:right="740"/>
        </w:sectPr>
      </w:pPr>
    </w:p>
    <w:p>
      <w:pPr>
        <w:pStyle w:val="BodyText"/>
        <w:spacing w:before="1"/>
        <w:ind w:left="0"/>
        <w:rPr>
          <w:sz w:val="15"/>
        </w:rPr>
      </w:pPr>
    </w:p>
    <w:p>
      <w:pPr>
        <w:pStyle w:val="Heading2"/>
        <w:spacing w:before="36"/>
      </w:pPr>
      <w:bookmarkStart w:name="_bookmark12" w:id="13"/>
      <w:bookmarkEnd w:id="13"/>
      <w:r>
        <w:rPr>
          <w:b w:val="0"/>
        </w:rPr>
      </w:r>
      <w:r>
        <w:rPr/>
        <w:t>第十二条 您解除合同的手续及风险</w:t>
      </w:r>
    </w:p>
    <w:p>
      <w:pPr>
        <w:pStyle w:val="ListParagraph"/>
        <w:numPr>
          <w:ilvl w:val="1"/>
          <w:numId w:val="10"/>
        </w:numPr>
        <w:tabs>
          <w:tab w:pos="1191" w:val="left" w:leader="none"/>
          <w:tab w:pos="1192" w:val="left" w:leader="none"/>
        </w:tabs>
        <w:spacing w:line="240" w:lineRule="auto" w:before="141" w:after="0"/>
        <w:ind w:left="1191" w:right="0" w:hanging="653"/>
        <w:jc w:val="left"/>
        <w:rPr>
          <w:sz w:val="18"/>
        </w:rPr>
      </w:pPr>
      <w:r>
        <w:rPr>
          <w:sz w:val="18"/>
        </w:rPr>
        <w:t>如您申请解除本合同，请填写解除合同申请书并向我们提供下列资料：</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4" w:after="0"/>
        <w:ind w:left="1812" w:right="0" w:hanging="568"/>
        <w:jc w:val="left"/>
        <w:rPr>
          <w:sz w:val="18"/>
        </w:rPr>
      </w:pPr>
      <w:r>
        <w:rPr>
          <w:w w:val="95"/>
          <w:sz w:val="18"/>
        </w:rPr>
        <w:t>您的有效身份证件。</w:t>
      </w:r>
    </w:p>
    <w:p>
      <w:pPr>
        <w:pStyle w:val="ListParagraph"/>
        <w:numPr>
          <w:ilvl w:val="1"/>
          <w:numId w:val="10"/>
        </w:numPr>
        <w:tabs>
          <w:tab w:pos="1191" w:val="left" w:leader="none"/>
          <w:tab w:pos="1192" w:val="left" w:leader="none"/>
        </w:tabs>
        <w:spacing w:line="340" w:lineRule="auto" w:before="107" w:after="0"/>
        <w:ind w:left="1191" w:right="125" w:hanging="653"/>
        <w:jc w:val="left"/>
        <w:rPr>
          <w:sz w:val="18"/>
        </w:rPr>
      </w:pPr>
      <w:r>
        <w:rPr>
          <w:sz w:val="18"/>
        </w:rPr>
        <w:t>如您在</w:t>
      </w:r>
      <w:r>
        <w:rPr>
          <w:b/>
          <w:spacing w:val="2"/>
          <w:sz w:val="18"/>
        </w:rPr>
        <w:t>犹豫期</w:t>
      </w:r>
      <w:r>
        <w:rPr>
          <w:sz w:val="18"/>
        </w:rPr>
        <w:t>（见释义</w:t>
      </w:r>
      <w:r>
        <w:rPr>
          <w:spacing w:val="2"/>
          <w:sz w:val="18"/>
        </w:rPr>
        <w:t>）</w:t>
      </w:r>
      <w:r>
        <w:rPr>
          <w:sz w:val="18"/>
        </w:rPr>
        <w:t>内申请解除本合同，自我们收到解除合同申请书时起，本合同终止，</w:t>
      </w:r>
      <w:r>
        <w:rPr>
          <w:b/>
          <w:sz w:val="18"/>
        </w:rPr>
        <w:t>我们自本合同生效日起自始不承担保险责任，</w:t>
      </w:r>
      <w:r>
        <w:rPr>
          <w:spacing w:val="-5"/>
          <w:sz w:val="18"/>
        </w:rPr>
        <w:t>并将自收到解除合同申请书之日起 </w:t>
      </w:r>
      <w:r>
        <w:rPr>
          <w:rFonts w:ascii="Arial" w:eastAsia="Arial"/>
          <w:sz w:val="18"/>
        </w:rPr>
        <w:t>30</w:t>
      </w:r>
      <w:r>
        <w:rPr>
          <w:rFonts w:ascii="Arial" w:eastAsia="Arial"/>
          <w:spacing w:val="-12"/>
          <w:sz w:val="18"/>
        </w:rPr>
        <w:t> </w:t>
      </w:r>
      <w:r>
        <w:rPr>
          <w:spacing w:val="-1"/>
          <w:sz w:val="18"/>
        </w:rPr>
        <w:t>日内无息退还已收保险费。</w:t>
      </w:r>
    </w:p>
    <w:p>
      <w:pPr>
        <w:pStyle w:val="ListParagraph"/>
        <w:numPr>
          <w:ilvl w:val="1"/>
          <w:numId w:val="10"/>
        </w:numPr>
        <w:tabs>
          <w:tab w:pos="1191" w:val="left" w:leader="none"/>
          <w:tab w:pos="1192" w:val="left" w:leader="none"/>
        </w:tabs>
        <w:spacing w:line="338" w:lineRule="auto" w:before="22" w:after="0"/>
        <w:ind w:left="1191" w:right="127" w:hanging="653"/>
        <w:jc w:val="left"/>
        <w:rPr>
          <w:sz w:val="18"/>
        </w:rPr>
      </w:pPr>
      <w:r>
        <w:rPr>
          <w:sz w:val="18"/>
        </w:rPr>
        <w:t>如您在犹豫期后申请解除本合同，自我们收到解除合同申请书时起，本合同终止。我们自收到解除合同申请书之</w:t>
      </w:r>
      <w:r>
        <w:rPr>
          <w:spacing w:val="-16"/>
          <w:sz w:val="18"/>
        </w:rPr>
        <w:t>日起 </w:t>
      </w:r>
      <w:r>
        <w:rPr>
          <w:rFonts w:ascii="Arial" w:eastAsia="Arial"/>
          <w:sz w:val="18"/>
        </w:rPr>
        <w:t>30</w:t>
      </w:r>
      <w:r>
        <w:rPr>
          <w:rFonts w:ascii="Arial" w:eastAsia="Arial"/>
          <w:spacing w:val="-10"/>
          <w:sz w:val="18"/>
        </w:rPr>
        <w:t> </w:t>
      </w:r>
      <w:r>
        <w:rPr>
          <w:spacing w:val="-1"/>
          <w:sz w:val="18"/>
        </w:rPr>
        <w:t>日内向您退还本合同的现金价值。</w:t>
      </w:r>
    </w:p>
    <w:p>
      <w:pPr>
        <w:pStyle w:val="ListParagraph"/>
        <w:numPr>
          <w:ilvl w:val="1"/>
          <w:numId w:val="10"/>
        </w:numPr>
        <w:tabs>
          <w:tab w:pos="1191" w:val="left" w:leader="none"/>
          <w:tab w:pos="1192" w:val="left" w:leader="none"/>
        </w:tabs>
        <w:spacing w:line="240" w:lineRule="auto" w:before="23" w:after="0"/>
        <w:ind w:left="1191" w:right="0" w:hanging="653"/>
        <w:jc w:val="left"/>
        <w:rPr>
          <w:sz w:val="18"/>
        </w:rPr>
      </w:pPr>
      <w:r>
        <w:rPr>
          <w:sz w:val="18"/>
        </w:rPr>
        <w:t>您犹豫期后解除合同会遭受一定损失。</w:t>
      </w:r>
    </w:p>
    <w:p>
      <w:pPr>
        <w:pStyle w:val="Heading2"/>
        <w:spacing w:before="104"/>
      </w:pPr>
      <w:bookmarkStart w:name="_bookmark13" w:id="14"/>
      <w:bookmarkEnd w:id="14"/>
      <w:r>
        <w:rPr>
          <w:b w:val="0"/>
        </w:rPr>
      </w:r>
      <w:r>
        <w:rPr/>
        <w:t>第十三条 明确说明与如实告知</w:t>
      </w:r>
    </w:p>
    <w:p>
      <w:pPr>
        <w:pStyle w:val="ListParagraph"/>
        <w:numPr>
          <w:ilvl w:val="1"/>
          <w:numId w:val="11"/>
        </w:numPr>
        <w:tabs>
          <w:tab w:pos="1243" w:val="left" w:leader="none"/>
          <w:tab w:pos="1244" w:val="left" w:leader="none"/>
        </w:tabs>
        <w:spacing w:line="240" w:lineRule="auto" w:before="139" w:after="0"/>
        <w:ind w:left="1244" w:right="0" w:hanging="706"/>
        <w:jc w:val="left"/>
        <w:rPr>
          <w:rFonts w:ascii="Arial" w:eastAsia="Arial"/>
          <w:sz w:val="18"/>
        </w:rPr>
      </w:pPr>
      <w:r>
        <w:rPr>
          <w:sz w:val="18"/>
        </w:rPr>
        <w:t>订立本合同时，我们应向您说明本合同的内容。</w:t>
      </w:r>
    </w:p>
    <w:p>
      <w:pPr>
        <w:pStyle w:val="ListParagraph"/>
        <w:numPr>
          <w:ilvl w:val="1"/>
          <w:numId w:val="11"/>
        </w:numPr>
        <w:tabs>
          <w:tab w:pos="1244" w:val="left" w:leader="none"/>
        </w:tabs>
        <w:spacing w:line="348" w:lineRule="auto" w:before="107" w:after="0"/>
        <w:ind w:left="1244" w:right="128" w:hanging="706"/>
        <w:jc w:val="both"/>
        <w:rPr>
          <w:rFonts w:ascii="Arial" w:eastAsia="Arial"/>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11"/>
        </w:numPr>
        <w:tabs>
          <w:tab w:pos="1243" w:val="left" w:leader="none"/>
          <w:tab w:pos="1244" w:val="left" w:leader="none"/>
        </w:tabs>
        <w:spacing w:line="240" w:lineRule="auto" w:before="36" w:after="0"/>
        <w:ind w:left="1244" w:right="0" w:hanging="706"/>
        <w:jc w:val="left"/>
        <w:rPr>
          <w:rFonts w:ascii="Arial" w:eastAsia="Arial"/>
          <w:sz w:val="18"/>
        </w:rPr>
      </w:pPr>
      <w:r>
        <w:rPr>
          <w:sz w:val="18"/>
        </w:rPr>
        <w:t>我们就您和被保险人的有关情况提出询问，您应当如实告知。</w:t>
      </w:r>
    </w:p>
    <w:p>
      <w:pPr>
        <w:pStyle w:val="Heading3"/>
        <w:numPr>
          <w:ilvl w:val="1"/>
          <w:numId w:val="11"/>
        </w:numPr>
        <w:tabs>
          <w:tab w:pos="1243" w:val="left" w:leader="none"/>
          <w:tab w:pos="1244" w:val="left" w:leader="none"/>
        </w:tabs>
        <w:spacing w:line="340" w:lineRule="auto" w:before="106" w:after="0"/>
        <w:ind w:left="1244" w:right="128"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11"/>
        </w:numPr>
        <w:tabs>
          <w:tab w:pos="1243" w:val="left" w:leader="none"/>
          <w:tab w:pos="1244" w:val="left" w:leader="none"/>
        </w:tabs>
        <w:spacing w:line="340" w:lineRule="auto" w:before="41" w:after="0"/>
        <w:ind w:left="1244" w:right="128"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11"/>
        </w:numPr>
        <w:tabs>
          <w:tab w:pos="1243" w:val="left" w:leader="none"/>
          <w:tab w:pos="1244" w:val="left" w:leader="none"/>
        </w:tabs>
        <w:spacing w:line="340" w:lineRule="auto" w:before="41" w:after="0"/>
        <w:ind w:left="1244" w:right="127"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11"/>
        </w:numPr>
        <w:tabs>
          <w:tab w:pos="1243" w:val="left" w:leader="none"/>
          <w:tab w:pos="1244" w:val="left" w:leader="none"/>
        </w:tabs>
        <w:spacing w:line="340" w:lineRule="auto" w:before="43" w:after="0"/>
        <w:ind w:left="1244" w:right="128"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3"/>
        <w:numPr>
          <w:ilvl w:val="1"/>
          <w:numId w:val="11"/>
        </w:numPr>
        <w:tabs>
          <w:tab w:pos="1243" w:val="left" w:leader="none"/>
          <w:tab w:pos="1244" w:val="left" w:leader="none"/>
        </w:tabs>
        <w:spacing w:line="240" w:lineRule="auto" w:before="41" w:after="0"/>
        <w:ind w:left="1244" w:right="0" w:hanging="706"/>
        <w:jc w:val="left"/>
        <w:rPr>
          <w:rFonts w:ascii="Arial" w:eastAsia="Arial"/>
        </w:rPr>
      </w:pPr>
      <w:r>
        <w:rPr/>
        <w:t>本条规定的合同解除权，自我们知道有解除事由之日起，超过 </w:t>
      </w:r>
      <w:r>
        <w:rPr>
          <w:rFonts w:ascii="Arial" w:eastAsia="Arial"/>
        </w:rPr>
        <w:t>30</w:t>
      </w:r>
      <w:r>
        <w:rPr>
          <w:rFonts w:ascii="Arial" w:eastAsia="Arial"/>
          <w:spacing w:val="47"/>
        </w:rPr>
        <w:t> </w:t>
      </w:r>
      <w:r>
        <w:rPr/>
        <w:t>日不行使而消灭。自本合同成立之日起超过 </w:t>
      </w:r>
      <w:r>
        <w:rPr>
          <w:rFonts w:ascii="Arial" w:eastAsia="Arial"/>
        </w:rPr>
        <w:t>2</w:t>
      </w:r>
    </w:p>
    <w:p>
      <w:pPr>
        <w:spacing w:before="104"/>
        <w:ind w:left="1244" w:right="0" w:firstLine="0"/>
        <w:jc w:val="left"/>
        <w:rPr>
          <w:b/>
          <w:sz w:val="18"/>
        </w:rPr>
      </w:pPr>
      <w:r>
        <w:rPr>
          <w:b/>
          <w:w w:val="95"/>
          <w:sz w:val="18"/>
        </w:rPr>
        <w:t>年的，我们不得解除合同；发生保险事故的，我们承担给付保险金的责任。</w:t>
      </w:r>
    </w:p>
    <w:p>
      <w:pPr>
        <w:spacing w:before="115"/>
        <w:ind w:left="471" w:right="0" w:firstLine="0"/>
        <w:jc w:val="left"/>
        <w:rPr>
          <w:b/>
          <w:sz w:val="21"/>
        </w:rPr>
      </w:pPr>
      <w:bookmarkStart w:name="_bookmark14" w:id="15"/>
      <w:bookmarkEnd w:id="15"/>
      <w:r>
        <w:rPr/>
      </w:r>
      <w:r>
        <w:rPr>
          <w:b/>
          <w:sz w:val="21"/>
        </w:rPr>
        <w:t>第十四条 年龄及性别错误</w:t>
      </w:r>
    </w:p>
    <w:p>
      <w:pPr>
        <w:pStyle w:val="ListParagraph"/>
        <w:numPr>
          <w:ilvl w:val="1"/>
          <w:numId w:val="12"/>
        </w:numPr>
        <w:tabs>
          <w:tab w:pos="1243" w:val="left" w:leader="none"/>
          <w:tab w:pos="1244" w:val="left" w:leader="none"/>
        </w:tabs>
        <w:spacing w:line="340" w:lineRule="auto" w:before="139" w:after="0"/>
        <w:ind w:left="1244" w:right="128"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2"/>
        </w:numPr>
        <w:tabs>
          <w:tab w:pos="2092" w:val="left" w:leader="none"/>
        </w:tabs>
        <w:spacing w:line="348" w:lineRule="auto" w:before="41" w:after="0"/>
        <w:ind w:left="2091" w:right="114" w:hanging="900"/>
        <w:jc w:val="both"/>
        <w:rPr>
          <w:sz w:val="18"/>
        </w:rPr>
      </w:pPr>
      <w:r>
        <w:rPr>
          <w:b/>
          <w:sz w:val="18"/>
        </w:rPr>
        <w:t>您申报的被保险人年龄或性别不真实，并且其真实年龄或性别不符合本合同约定投保年龄或性别限制的，在保险事故发生之前我们有权解除合同，并向您退还本合同的现金价值。</w:t>
      </w:r>
      <w:r>
        <w:rPr>
          <w:sz w:val="18"/>
        </w:rPr>
        <w:t>上述合同解除权，自我</w:t>
      </w:r>
      <w:r>
        <w:rPr>
          <w:spacing w:val="-2"/>
          <w:sz w:val="18"/>
        </w:rPr>
        <w:t>们知道有解除事由之日起，超过 </w:t>
      </w:r>
      <w:r>
        <w:rPr>
          <w:rFonts w:ascii="Arial" w:eastAsia="Arial"/>
          <w:sz w:val="18"/>
        </w:rPr>
        <w:t>30</w:t>
      </w:r>
      <w:r>
        <w:rPr>
          <w:rFonts w:ascii="Arial" w:eastAsia="Arial"/>
          <w:spacing w:val="1"/>
          <w:sz w:val="18"/>
        </w:rPr>
        <w:t> </w:t>
      </w:r>
      <w:r>
        <w:rPr>
          <w:spacing w:val="-3"/>
          <w:sz w:val="18"/>
        </w:rPr>
        <w:t>日不行使而消灭。自本合同成立之日起超过 </w:t>
      </w:r>
      <w:r>
        <w:rPr>
          <w:rFonts w:ascii="Arial" w:eastAsia="Arial"/>
          <w:sz w:val="18"/>
        </w:rPr>
        <w:t>2</w:t>
      </w:r>
      <w:r>
        <w:rPr>
          <w:rFonts w:ascii="Arial" w:eastAsia="Arial"/>
          <w:spacing w:val="1"/>
          <w:sz w:val="18"/>
        </w:rPr>
        <w:t> </w:t>
      </w:r>
      <w:r>
        <w:rPr>
          <w:sz w:val="18"/>
        </w:rPr>
        <w:t>年的，我们不得解除本合同；发生保险事故的，我们承担给付保险金的责任。我们在合同订立时已经知道您未如实告知的情况的，我们不得解除合同；发生保险事故的，我们承担给付保险金的责任。</w:t>
      </w:r>
    </w:p>
    <w:p>
      <w:pPr>
        <w:pStyle w:val="ListParagraph"/>
        <w:numPr>
          <w:ilvl w:val="2"/>
          <w:numId w:val="12"/>
        </w:numPr>
        <w:tabs>
          <w:tab w:pos="2091" w:val="left" w:leader="none"/>
          <w:tab w:pos="2092" w:val="left" w:leader="none"/>
        </w:tabs>
        <w:spacing w:line="340" w:lineRule="auto" w:before="35" w:after="0"/>
        <w:ind w:left="2091" w:right="114" w:hanging="900"/>
        <w:jc w:val="left"/>
        <w:rPr>
          <w:sz w:val="18"/>
        </w:rPr>
      </w:pPr>
      <w:r>
        <w:rPr>
          <w:sz w:val="18"/>
        </w:rPr>
        <w:t>您申报的被保险人年龄或性别不真实，致使您实付保险费少于应付保险费，我们有权更正并要求您补交保险费。若已经发生保险事故，在给付保险金时按实付保险费与应付保险费的比例给付。</w:t>
      </w:r>
    </w:p>
    <w:p>
      <w:pPr>
        <w:pStyle w:val="ListParagraph"/>
        <w:numPr>
          <w:ilvl w:val="2"/>
          <w:numId w:val="12"/>
        </w:numPr>
        <w:tabs>
          <w:tab w:pos="2091" w:val="left" w:leader="none"/>
          <w:tab w:pos="2092" w:val="left" w:leader="none"/>
        </w:tabs>
        <w:spacing w:line="338" w:lineRule="auto" w:before="43" w:after="0"/>
        <w:ind w:left="2091" w:right="114" w:hanging="900"/>
        <w:jc w:val="left"/>
        <w:rPr>
          <w:sz w:val="18"/>
        </w:rPr>
      </w:pPr>
      <w:r>
        <w:rPr>
          <w:sz w:val="18"/>
        </w:rPr>
        <w:t>您申报的被保险人年龄或性别不真实，致使您实付保险费多于应付保险费的，我们会将多收的保险费退还给您。</w:t>
      </w:r>
    </w:p>
    <w:p>
      <w:pPr>
        <w:pStyle w:val="Heading2"/>
        <w:spacing w:before="44"/>
      </w:pPr>
      <w:bookmarkStart w:name="_bookmark15" w:id="16"/>
      <w:bookmarkEnd w:id="16"/>
      <w:r>
        <w:rPr>
          <w:b w:val="0"/>
        </w:rPr>
      </w:r>
      <w:r>
        <w:rPr/>
        <w:t>第十五条 地址变更</w:t>
      </w:r>
    </w:p>
    <w:p>
      <w:pPr>
        <w:pStyle w:val="BodyText"/>
        <w:tabs>
          <w:tab w:pos="1243" w:val="left" w:leader="none"/>
        </w:tabs>
        <w:spacing w:line="340" w:lineRule="auto" w:before="139"/>
        <w:ind w:left="1243" w:right="128" w:hanging="706"/>
      </w:pPr>
      <w:r>
        <w:rPr>
          <w:rFonts w:ascii="Arial" w:eastAsia="Arial"/>
        </w:rPr>
        <w:t>15.1</w:t>
        <w:tab/>
      </w:r>
      <w:r>
        <w:rPr/>
        <w:t>您的住所或通讯地址发生变更时，应及时通知我们。否则，所有我们的通知信息都将按本合同所载的最后住所或  通讯地址发送，并视为已送达。</w:t>
      </w:r>
    </w:p>
    <w:p>
      <w:pPr>
        <w:spacing w:after="0" w:line="340" w:lineRule="auto"/>
        <w:sectPr>
          <w:pgSz w:w="11910" w:h="16840"/>
          <w:pgMar w:header="672" w:footer="759" w:top="860" w:bottom="940" w:left="880" w:right="720"/>
        </w:sectPr>
      </w:pPr>
    </w:p>
    <w:p>
      <w:pPr>
        <w:pStyle w:val="BodyText"/>
        <w:spacing w:before="1"/>
        <w:ind w:left="0"/>
        <w:rPr>
          <w:sz w:val="15"/>
        </w:rPr>
      </w:pPr>
    </w:p>
    <w:p>
      <w:pPr>
        <w:pStyle w:val="Heading2"/>
        <w:spacing w:before="36"/>
      </w:pPr>
      <w:bookmarkStart w:name="_bookmark16" w:id="17"/>
      <w:bookmarkEnd w:id="17"/>
      <w:r>
        <w:rPr>
          <w:b w:val="0"/>
        </w:rPr>
      </w:r>
      <w:r>
        <w:rPr/>
        <w:t>第十六条 保险合同内容的变更</w:t>
      </w:r>
    </w:p>
    <w:p>
      <w:pPr>
        <w:pStyle w:val="BodyText"/>
        <w:spacing w:line="348" w:lineRule="auto" w:before="141"/>
        <w:ind w:left="1243" w:right="116" w:hanging="706"/>
        <w:jc w:val="both"/>
      </w:pPr>
      <w:r>
        <w:rPr>
          <w:rFonts w:ascii="Arial" w:eastAsia="Arial"/>
        </w:rPr>
        <w:t>16.1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7" w:id="18"/>
      <w:bookmarkEnd w:id="18"/>
      <w:r>
        <w:rPr>
          <w:b w:val="0"/>
        </w:rPr>
      </w:r>
      <w:r>
        <w:rPr/>
        <w:t>第十七条 争议处理</w:t>
      </w:r>
    </w:p>
    <w:p>
      <w:pPr>
        <w:pStyle w:val="ListParagraph"/>
        <w:numPr>
          <w:ilvl w:val="1"/>
          <w:numId w:val="13"/>
        </w:numPr>
        <w:tabs>
          <w:tab w:pos="1243" w:val="left" w:leader="none"/>
          <w:tab w:pos="1244" w:val="left" w:leader="none"/>
        </w:tabs>
        <w:spacing w:line="340" w:lineRule="auto" w:before="139" w:after="0"/>
        <w:ind w:left="1244" w:right="128"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3"/>
        </w:numPr>
        <w:tabs>
          <w:tab w:pos="1812" w:val="left" w:leader="none"/>
          <w:tab w:pos="1813" w:val="left" w:leader="none"/>
        </w:tabs>
        <w:spacing w:line="240" w:lineRule="auto" w:before="41" w:after="0"/>
        <w:ind w:left="1812" w:right="0" w:hanging="568"/>
        <w:jc w:val="left"/>
        <w:rPr>
          <w:sz w:val="18"/>
        </w:rPr>
      </w:pPr>
      <w:r>
        <w:rPr>
          <w:w w:val="95"/>
          <w:sz w:val="18"/>
        </w:rPr>
        <w:t>因履行本合同发生的争议，由当事人协商解决，协商不成的，提交当事人约定的仲裁机构仲裁；</w:t>
      </w:r>
    </w:p>
    <w:p>
      <w:pPr>
        <w:pStyle w:val="ListParagraph"/>
        <w:numPr>
          <w:ilvl w:val="2"/>
          <w:numId w:val="13"/>
        </w:numPr>
        <w:tabs>
          <w:tab w:pos="1812" w:val="left" w:leader="none"/>
          <w:tab w:pos="1813" w:val="left" w:leader="none"/>
        </w:tabs>
        <w:spacing w:line="240" w:lineRule="auto" w:before="106" w:after="0"/>
        <w:ind w:left="1812" w:right="0" w:hanging="568"/>
        <w:jc w:val="left"/>
        <w:rPr>
          <w:sz w:val="18"/>
        </w:rPr>
      </w:pPr>
      <w:r>
        <w:rPr>
          <w:w w:val="95"/>
          <w:sz w:val="18"/>
        </w:rPr>
        <w:t>因履行本合同发生的争议，由当事人协商解决，协商不成的，依法向有管辖权的法院起诉。</w:t>
      </w:r>
    </w:p>
    <w:p>
      <w:pPr>
        <w:pStyle w:val="Heading2"/>
      </w:pPr>
      <w:r>
        <w:rPr/>
        <w:t>第十八条 法律适用</w:t>
      </w:r>
    </w:p>
    <w:p>
      <w:pPr>
        <w:pStyle w:val="BodyText"/>
        <w:tabs>
          <w:tab w:pos="1282" w:val="left" w:leader="none"/>
        </w:tabs>
        <w:spacing w:before="141"/>
        <w:ind w:left="538"/>
      </w:pPr>
      <w:r>
        <w:rPr>
          <w:rFonts w:ascii="Arial" w:eastAsia="Arial"/>
        </w:rPr>
        <w:t>18.1</w:t>
        <w:tab/>
      </w:r>
      <w:r>
        <w:rPr/>
        <w:t>本合同受中华人民共和国的法律管辖，任何与之冲突的部分都将作相应的修改。</w:t>
      </w:r>
    </w:p>
    <w:p>
      <w:pPr>
        <w:pStyle w:val="BodyText"/>
        <w:spacing w:before="7"/>
        <w:ind w:left="0"/>
        <w:rPr>
          <w:sz w:val="15"/>
        </w:rPr>
      </w:pPr>
    </w:p>
    <w:p>
      <w:pPr>
        <w:pStyle w:val="Heading1"/>
        <w:ind w:left="1756" w:right="1345"/>
      </w:pPr>
      <w:bookmarkStart w:name="_bookmark19" w:id="19"/>
      <w:bookmarkEnd w:id="19"/>
      <w:r>
        <w:rPr>
          <w:b w:val="0"/>
        </w:rPr>
      </w:r>
      <w:r>
        <w:rPr/>
        <w:t>第二部分 特殊条款</w:t>
      </w:r>
    </w:p>
    <w:p>
      <w:pPr>
        <w:pStyle w:val="BodyText"/>
        <w:spacing w:before="9"/>
        <w:ind w:left="0"/>
        <w:rPr>
          <w:b/>
          <w:sz w:val="7"/>
        </w:rPr>
      </w:pPr>
    </w:p>
    <w:p>
      <w:pPr>
        <w:pStyle w:val="Heading2"/>
        <w:spacing w:before="36"/>
      </w:pPr>
      <w:bookmarkStart w:name="_bookmark20" w:id="20"/>
      <w:bookmarkEnd w:id="20"/>
      <w:r>
        <w:rPr>
          <w:b w:val="0"/>
        </w:rPr>
      </w:r>
      <w:r>
        <w:rPr/>
        <w:t>第十九条 承保范围</w:t>
      </w:r>
    </w:p>
    <w:p>
      <w:pPr>
        <w:pStyle w:val="ListParagraph"/>
        <w:numPr>
          <w:ilvl w:val="1"/>
          <w:numId w:val="14"/>
        </w:numPr>
        <w:tabs>
          <w:tab w:pos="1243" w:val="left" w:leader="none"/>
          <w:tab w:pos="1244" w:val="left" w:leader="none"/>
        </w:tabs>
        <w:spacing w:line="340" w:lineRule="auto" w:before="139" w:after="0"/>
        <w:ind w:left="1243" w:right="130" w:hanging="705"/>
        <w:jc w:val="left"/>
        <w:rPr>
          <w:sz w:val="18"/>
        </w:rPr>
      </w:pPr>
      <w:r>
        <w:rPr>
          <w:spacing w:val="-2"/>
          <w:sz w:val="18"/>
        </w:rPr>
        <w:t>您可为与您具有保险利益的，且出生满 </w:t>
      </w:r>
      <w:r>
        <w:rPr>
          <w:rFonts w:ascii="Arial" w:eastAsia="Arial"/>
          <w:sz w:val="18"/>
        </w:rPr>
        <w:t>30</w:t>
      </w:r>
      <w:r>
        <w:rPr>
          <w:rFonts w:ascii="Arial" w:eastAsia="Arial"/>
          <w:spacing w:val="6"/>
          <w:sz w:val="18"/>
        </w:rPr>
        <w:t> </w:t>
      </w:r>
      <w:r>
        <w:rPr>
          <w:spacing w:val="-8"/>
          <w:sz w:val="18"/>
        </w:rPr>
        <w:t>日至 </w:t>
      </w:r>
      <w:r>
        <w:rPr>
          <w:rFonts w:ascii="Arial" w:eastAsia="Arial"/>
          <w:sz w:val="18"/>
        </w:rPr>
        <w:t>60</w:t>
      </w:r>
      <w:r>
        <w:rPr>
          <w:rFonts w:ascii="Arial" w:eastAsia="Arial"/>
          <w:spacing w:val="6"/>
          <w:sz w:val="18"/>
        </w:rPr>
        <w:t> </w:t>
      </w:r>
      <w:r>
        <w:rPr>
          <w:sz w:val="18"/>
        </w:rPr>
        <w:t>周岁的人士（被保险人）投保本合同，交费期满时，被保险人</w:t>
      </w:r>
      <w:r>
        <w:rPr>
          <w:spacing w:val="-6"/>
          <w:sz w:val="18"/>
        </w:rPr>
        <w:t>的年龄不能超过 </w:t>
      </w:r>
      <w:r>
        <w:rPr>
          <w:rFonts w:ascii="Arial" w:eastAsia="Arial"/>
          <w:sz w:val="18"/>
        </w:rPr>
        <w:t>65</w:t>
      </w:r>
      <w:r>
        <w:rPr>
          <w:rFonts w:ascii="Arial" w:eastAsia="Arial"/>
          <w:spacing w:val="-10"/>
          <w:sz w:val="18"/>
        </w:rPr>
        <w:t> </w:t>
      </w:r>
      <w:r>
        <w:rPr>
          <w:sz w:val="18"/>
        </w:rPr>
        <w:t>周岁。</w:t>
      </w:r>
    </w:p>
    <w:p>
      <w:pPr>
        <w:pStyle w:val="ListParagraph"/>
        <w:numPr>
          <w:ilvl w:val="1"/>
          <w:numId w:val="14"/>
        </w:numPr>
        <w:tabs>
          <w:tab w:pos="1243" w:val="left" w:leader="none"/>
          <w:tab w:pos="1244" w:val="left" w:leader="none"/>
        </w:tabs>
        <w:spacing w:line="340" w:lineRule="auto" w:before="20" w:after="0"/>
        <w:ind w:left="1243" w:right="117" w:hanging="705"/>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2"/>
        <w:spacing w:before="42"/>
      </w:pPr>
      <w:bookmarkStart w:name="_bookmark21" w:id="21"/>
      <w:bookmarkEnd w:id="21"/>
      <w:r>
        <w:rPr>
          <w:b w:val="0"/>
        </w:rPr>
      </w:r>
      <w:r>
        <w:rPr/>
        <w:t>第二十条 保险责任</w:t>
      </w:r>
    </w:p>
    <w:p>
      <w:pPr>
        <w:pStyle w:val="ListParagraph"/>
        <w:numPr>
          <w:ilvl w:val="1"/>
          <w:numId w:val="15"/>
        </w:numPr>
        <w:tabs>
          <w:tab w:pos="1191" w:val="left" w:leader="none"/>
          <w:tab w:pos="1192" w:val="left" w:leader="none"/>
        </w:tabs>
        <w:spacing w:line="240" w:lineRule="auto" w:before="138" w:after="0"/>
        <w:ind w:left="1191" w:right="0" w:hanging="653"/>
        <w:jc w:val="left"/>
        <w:rPr>
          <w:rFonts w:ascii="Arial" w:eastAsia="Arial"/>
          <w:sz w:val="18"/>
        </w:rPr>
      </w:pPr>
      <w:r>
        <w:rPr>
          <w:sz w:val="18"/>
        </w:rPr>
        <w:t>在本合同保险期间内，我们将承担以下保险责任：</w:t>
      </w:r>
    </w:p>
    <w:p>
      <w:pPr>
        <w:pStyle w:val="ListParagraph"/>
        <w:numPr>
          <w:ilvl w:val="2"/>
          <w:numId w:val="15"/>
        </w:numPr>
        <w:tabs>
          <w:tab w:pos="1732" w:val="left" w:leader="none"/>
        </w:tabs>
        <w:spacing w:line="240" w:lineRule="auto" w:before="106" w:after="0"/>
        <w:ind w:left="1731" w:right="0" w:hanging="540"/>
        <w:jc w:val="left"/>
        <w:rPr>
          <w:sz w:val="18"/>
        </w:rPr>
      </w:pPr>
      <w:r>
        <w:rPr>
          <w:sz w:val="18"/>
        </w:rPr>
        <w:t>重大疾病保险金</w:t>
      </w:r>
    </w:p>
    <w:p>
      <w:pPr>
        <w:pStyle w:val="BodyText"/>
        <w:spacing w:line="357" w:lineRule="auto" w:before="107"/>
        <w:ind w:left="1731" w:right="122"/>
        <w:jc w:val="both"/>
      </w:pPr>
      <w:r>
        <w:rPr/>
        <w:t>在本合同保险期间内，若被保险人因</w:t>
      </w:r>
      <w:r>
        <w:rPr>
          <w:b/>
        </w:rPr>
        <w:t>意外伤害事故</w:t>
      </w:r>
      <w:r>
        <w:rPr/>
        <w:t>（见释义）或于</w:t>
      </w:r>
      <w:r>
        <w:rPr>
          <w:b/>
        </w:rPr>
        <w:t>等待期</w:t>
      </w:r>
      <w:r>
        <w:rPr/>
        <w:t>（见释义）后因疾病导致被保险人首次发病并经专科医生首次确诊患有本合同约定的</w:t>
      </w:r>
      <w:r>
        <w:rPr>
          <w:b/>
        </w:rPr>
        <w:t>重大疾病</w:t>
      </w:r>
      <w:r>
        <w:rPr/>
        <w:t>（见释义）中一项或多项，我们将按本合同所载的基本保险金额给付该重大疾病保险金，本合同终止。</w:t>
      </w:r>
    </w:p>
    <w:p>
      <w:pPr>
        <w:pStyle w:val="ListParagraph"/>
        <w:numPr>
          <w:ilvl w:val="2"/>
          <w:numId w:val="15"/>
        </w:numPr>
        <w:tabs>
          <w:tab w:pos="1732" w:val="left" w:leader="none"/>
        </w:tabs>
        <w:spacing w:line="240" w:lineRule="auto" w:before="29" w:after="0"/>
        <w:ind w:left="1731" w:right="0" w:hanging="540"/>
        <w:jc w:val="left"/>
        <w:rPr>
          <w:sz w:val="18"/>
        </w:rPr>
      </w:pPr>
      <w:r>
        <w:rPr>
          <w:sz w:val="18"/>
        </w:rPr>
        <w:t>身故保险金</w:t>
      </w:r>
    </w:p>
    <w:p>
      <w:pPr>
        <w:pStyle w:val="BodyText"/>
        <w:ind w:left="1731"/>
        <w:jc w:val="both"/>
      </w:pPr>
      <w:r>
        <w:rPr/>
        <w:t>若被保险人于本合同保险期间内身故，我们将按本合同基本保险金额给付身故保险金，本合同终止。</w:t>
      </w:r>
    </w:p>
    <w:p>
      <w:pPr>
        <w:pStyle w:val="Heading3"/>
        <w:numPr>
          <w:ilvl w:val="1"/>
          <w:numId w:val="15"/>
        </w:numPr>
        <w:tabs>
          <w:tab w:pos="1174" w:val="left" w:leader="none"/>
          <w:tab w:pos="1175" w:val="left" w:leader="none"/>
        </w:tabs>
        <w:spacing w:line="240" w:lineRule="auto" w:before="119" w:after="0"/>
        <w:ind w:left="1174" w:right="0" w:hanging="636"/>
        <w:jc w:val="left"/>
        <w:rPr>
          <w:rFonts w:ascii="Arial" w:eastAsia="Arial"/>
        </w:rPr>
      </w:pPr>
      <w:r>
        <w:rPr>
          <w:w w:val="95"/>
        </w:rPr>
        <w:t>本合同终止后或效力中止期间，我们不承担给付保险金的责任。</w:t>
      </w:r>
    </w:p>
    <w:p>
      <w:pPr>
        <w:spacing w:before="105"/>
        <w:ind w:left="471" w:right="0" w:firstLine="0"/>
        <w:jc w:val="left"/>
        <w:rPr>
          <w:b/>
          <w:sz w:val="21"/>
        </w:rPr>
      </w:pPr>
      <w:bookmarkStart w:name="_bookmark22" w:id="22"/>
      <w:bookmarkEnd w:id="22"/>
      <w:r>
        <w:rPr/>
      </w:r>
      <w:r>
        <w:rPr>
          <w:b/>
          <w:sz w:val="21"/>
        </w:rPr>
        <w:t>第二十一条 责任免除</w:t>
      </w:r>
    </w:p>
    <w:p>
      <w:pPr>
        <w:pStyle w:val="ListParagraph"/>
        <w:numPr>
          <w:ilvl w:val="1"/>
          <w:numId w:val="16"/>
        </w:numPr>
        <w:tabs>
          <w:tab w:pos="1191" w:val="left" w:leader="none"/>
          <w:tab w:pos="1192" w:val="left" w:leader="none"/>
        </w:tabs>
        <w:spacing w:line="240" w:lineRule="auto" w:before="139" w:after="0"/>
        <w:ind w:left="1188" w:right="0" w:hanging="650"/>
        <w:jc w:val="left"/>
        <w:rPr>
          <w:b/>
          <w:sz w:val="18"/>
        </w:rPr>
      </w:pPr>
      <w:r>
        <w:rPr>
          <w:b/>
          <w:w w:val="95"/>
          <w:sz w:val="18"/>
        </w:rPr>
        <w:t>因下列情形之一导致被保险人身故的，我们不承担给付身故保险金的责任：</w:t>
      </w:r>
    </w:p>
    <w:p>
      <w:pPr>
        <w:pStyle w:val="ListParagraph"/>
        <w:numPr>
          <w:ilvl w:val="2"/>
          <w:numId w:val="16"/>
        </w:numPr>
        <w:tabs>
          <w:tab w:pos="1813" w:val="left" w:leader="none"/>
        </w:tabs>
        <w:spacing w:line="240" w:lineRule="auto" w:before="106" w:after="0"/>
        <w:ind w:left="1812" w:right="0" w:hanging="568"/>
        <w:jc w:val="left"/>
        <w:rPr>
          <w:b/>
          <w:sz w:val="18"/>
        </w:rPr>
      </w:pPr>
      <w:r>
        <w:rPr>
          <w:b/>
          <w:w w:val="95"/>
          <w:sz w:val="18"/>
        </w:rPr>
        <w:t>您对被保险人的故意杀害、故意伤害；</w:t>
      </w:r>
    </w:p>
    <w:p>
      <w:pPr>
        <w:pStyle w:val="ListParagraph"/>
        <w:numPr>
          <w:ilvl w:val="2"/>
          <w:numId w:val="16"/>
        </w:numPr>
        <w:tabs>
          <w:tab w:pos="1813" w:val="left" w:leader="none"/>
        </w:tabs>
        <w:spacing w:line="240" w:lineRule="auto" w:before="106" w:after="0"/>
        <w:ind w:left="1812" w:right="0" w:hanging="568"/>
        <w:jc w:val="left"/>
        <w:rPr>
          <w:b/>
          <w:sz w:val="18"/>
        </w:rPr>
      </w:pPr>
      <w:r>
        <w:rPr>
          <w:b/>
          <w:w w:val="95"/>
          <w:sz w:val="18"/>
        </w:rPr>
        <w:t>被保险人故意犯罪或者抗拒依法采取的刑事强制措施；</w:t>
      </w:r>
    </w:p>
    <w:p>
      <w:pPr>
        <w:pStyle w:val="ListParagraph"/>
        <w:numPr>
          <w:ilvl w:val="2"/>
          <w:numId w:val="16"/>
        </w:numPr>
        <w:tabs>
          <w:tab w:pos="1813" w:val="left" w:leader="none"/>
        </w:tabs>
        <w:spacing w:line="340" w:lineRule="auto" w:before="106" w:after="0"/>
        <w:ind w:left="1812" w:right="122" w:hanging="568"/>
        <w:jc w:val="left"/>
        <w:rPr>
          <w:b/>
          <w:sz w:val="18"/>
        </w:rPr>
      </w:pPr>
      <w:r>
        <w:rPr>
          <w:b/>
          <w:spacing w:val="-1"/>
          <w:sz w:val="18"/>
        </w:rPr>
        <w:t>被保险人自本合同成立或者合同效力恢复之日起 </w:t>
      </w:r>
      <w:r>
        <w:rPr>
          <w:rFonts w:ascii="Arial" w:eastAsia="Arial"/>
          <w:b/>
          <w:sz w:val="18"/>
        </w:rPr>
        <w:t>2</w:t>
      </w:r>
      <w:r>
        <w:rPr>
          <w:rFonts w:ascii="Arial" w:eastAsia="Arial"/>
          <w:b/>
          <w:spacing w:val="15"/>
          <w:sz w:val="18"/>
        </w:rPr>
        <w:t> </w:t>
      </w:r>
      <w:r>
        <w:rPr>
          <w:b/>
          <w:sz w:val="18"/>
        </w:rPr>
        <w:t>年内自杀，但被保险人自杀时为无民事行为能力人的除</w:t>
      </w:r>
      <w:r>
        <w:rPr>
          <w:b/>
          <w:w w:val="95"/>
          <w:sz w:val="18"/>
        </w:rPr>
        <w:t>外。</w:t>
      </w:r>
    </w:p>
    <w:p>
      <w:pPr>
        <w:pStyle w:val="ListParagraph"/>
        <w:numPr>
          <w:ilvl w:val="2"/>
          <w:numId w:val="16"/>
        </w:numPr>
        <w:tabs>
          <w:tab w:pos="1813" w:val="left" w:leader="none"/>
        </w:tabs>
        <w:spacing w:line="240" w:lineRule="auto" w:before="41" w:after="0"/>
        <w:ind w:left="1812" w:right="0" w:hanging="568"/>
        <w:jc w:val="left"/>
        <w:rPr>
          <w:b/>
          <w:sz w:val="18"/>
        </w:rPr>
      </w:pPr>
      <w:r>
        <w:rPr>
          <w:b/>
          <w:w w:val="95"/>
          <w:sz w:val="18"/>
        </w:rPr>
        <w:t>被保险人主动吸食或注射毒品（见释义）；</w:t>
      </w:r>
    </w:p>
    <w:p>
      <w:pPr>
        <w:pStyle w:val="ListParagraph"/>
        <w:numPr>
          <w:ilvl w:val="2"/>
          <w:numId w:val="16"/>
        </w:numPr>
        <w:tabs>
          <w:tab w:pos="1813" w:val="left" w:leader="none"/>
        </w:tabs>
        <w:spacing w:line="340" w:lineRule="auto" w:before="107" w:after="0"/>
        <w:ind w:left="1812" w:right="120" w:hanging="568"/>
        <w:jc w:val="left"/>
        <w:rPr>
          <w:b/>
          <w:sz w:val="18"/>
        </w:rPr>
      </w:pPr>
      <w:r>
        <w:rPr>
          <w:b/>
          <w:sz w:val="18"/>
        </w:rPr>
        <w:t>被保险人酒后驾驶（见释义），无合法有效驾驶证驾驶（见释义），或驾驶无有效行驶证（见释义）的机</w:t>
      </w:r>
      <w:r>
        <w:rPr>
          <w:b/>
          <w:w w:val="95"/>
          <w:sz w:val="18"/>
        </w:rPr>
        <w:t>动车；</w:t>
      </w:r>
    </w:p>
    <w:p>
      <w:pPr>
        <w:pStyle w:val="ListParagraph"/>
        <w:numPr>
          <w:ilvl w:val="2"/>
          <w:numId w:val="16"/>
        </w:numPr>
        <w:tabs>
          <w:tab w:pos="1813" w:val="left" w:leader="none"/>
        </w:tabs>
        <w:spacing w:line="240" w:lineRule="auto" w:before="42" w:after="0"/>
        <w:ind w:left="1812" w:right="0" w:hanging="568"/>
        <w:jc w:val="left"/>
        <w:rPr>
          <w:b/>
          <w:sz w:val="18"/>
        </w:rPr>
      </w:pPr>
      <w:r>
        <w:rPr>
          <w:b/>
          <w:w w:val="95"/>
          <w:sz w:val="18"/>
        </w:rPr>
        <w:t>战争（见释义）、军事冲突、暴乱或武装叛乱；</w:t>
      </w:r>
    </w:p>
    <w:p>
      <w:pPr>
        <w:pStyle w:val="ListParagraph"/>
        <w:numPr>
          <w:ilvl w:val="2"/>
          <w:numId w:val="16"/>
        </w:numPr>
        <w:tabs>
          <w:tab w:pos="1813" w:val="left" w:leader="none"/>
        </w:tabs>
        <w:spacing w:line="240" w:lineRule="auto" w:before="107" w:after="0"/>
        <w:ind w:left="1812" w:right="0" w:hanging="568"/>
        <w:jc w:val="left"/>
        <w:rPr>
          <w:b/>
          <w:sz w:val="18"/>
        </w:rPr>
      </w:pPr>
      <w:r>
        <w:rPr>
          <w:b/>
          <w:w w:val="95"/>
          <w:sz w:val="18"/>
        </w:rPr>
        <w:t>核爆炸、核辐射或核污染。</w:t>
      </w:r>
    </w:p>
    <w:p>
      <w:pPr>
        <w:pStyle w:val="ListParagraph"/>
        <w:numPr>
          <w:ilvl w:val="1"/>
          <w:numId w:val="16"/>
        </w:numPr>
        <w:tabs>
          <w:tab w:pos="1191" w:val="left" w:leader="none"/>
          <w:tab w:pos="1192" w:val="left" w:leader="none"/>
        </w:tabs>
        <w:spacing w:line="240" w:lineRule="auto" w:before="107" w:after="0"/>
        <w:ind w:left="1188" w:right="0" w:hanging="650"/>
        <w:jc w:val="left"/>
        <w:rPr>
          <w:b/>
          <w:sz w:val="18"/>
        </w:rPr>
      </w:pPr>
      <w:r>
        <w:rPr>
          <w:b/>
          <w:w w:val="95"/>
          <w:sz w:val="18"/>
        </w:rPr>
        <w:t>因下列情形之一导致被保险人发生疾病、达到疾病状态或进行手术的，我们不承担给付重大疾病保险金的责任：</w:t>
      </w:r>
    </w:p>
    <w:p>
      <w:pPr>
        <w:pStyle w:val="ListParagraph"/>
        <w:numPr>
          <w:ilvl w:val="2"/>
          <w:numId w:val="16"/>
        </w:numPr>
        <w:tabs>
          <w:tab w:pos="1813" w:val="left" w:leader="none"/>
        </w:tabs>
        <w:spacing w:line="240" w:lineRule="auto" w:before="107" w:after="0"/>
        <w:ind w:left="1812" w:right="0" w:hanging="568"/>
        <w:jc w:val="left"/>
        <w:rPr>
          <w:b/>
          <w:sz w:val="18"/>
        </w:rPr>
      </w:pPr>
      <w:r>
        <w:rPr>
          <w:b/>
          <w:spacing w:val="-13"/>
          <w:sz w:val="18"/>
        </w:rPr>
        <w:t>本合同 </w:t>
      </w:r>
      <w:r>
        <w:rPr>
          <w:rFonts w:ascii="Arial" w:eastAsia="Arial"/>
          <w:b/>
          <w:sz w:val="18"/>
        </w:rPr>
        <w:t>21.1</w:t>
      </w:r>
      <w:r>
        <w:rPr>
          <w:rFonts w:ascii="Arial" w:eastAsia="Arial"/>
          <w:b/>
          <w:spacing w:val="-14"/>
          <w:sz w:val="18"/>
        </w:rPr>
        <w:t> </w:t>
      </w:r>
      <w:r>
        <w:rPr>
          <w:b/>
          <w:sz w:val="18"/>
        </w:rPr>
        <w:t>所列的各项责任免除事项；</w:t>
      </w:r>
    </w:p>
    <w:p>
      <w:pPr>
        <w:spacing w:after="0" w:line="240" w:lineRule="auto"/>
        <w:jc w:val="left"/>
        <w:rPr>
          <w:sz w:val="18"/>
        </w:rPr>
        <w:sectPr>
          <w:pgSz w:w="11910" w:h="16840"/>
          <w:pgMar w:header="672" w:footer="759" w:top="860" w:bottom="940" w:left="880" w:right="720"/>
        </w:sectPr>
      </w:pPr>
    </w:p>
    <w:p>
      <w:pPr>
        <w:pStyle w:val="BodyText"/>
        <w:spacing w:before="9"/>
        <w:ind w:left="0"/>
        <w:rPr>
          <w:b/>
          <w:sz w:val="13"/>
        </w:rPr>
      </w:pPr>
    </w:p>
    <w:p>
      <w:pPr>
        <w:pStyle w:val="ListParagraph"/>
        <w:numPr>
          <w:ilvl w:val="2"/>
          <w:numId w:val="16"/>
        </w:numPr>
        <w:tabs>
          <w:tab w:pos="1813" w:val="left" w:leader="none"/>
        </w:tabs>
        <w:spacing w:line="240" w:lineRule="auto" w:before="53" w:after="0"/>
        <w:ind w:left="1812" w:right="0" w:hanging="568"/>
        <w:jc w:val="left"/>
        <w:rPr>
          <w:b/>
          <w:sz w:val="18"/>
        </w:rPr>
      </w:pPr>
      <w:r>
        <w:rPr>
          <w:b/>
          <w:w w:val="95"/>
          <w:sz w:val="18"/>
        </w:rPr>
        <w:t>被保险人故意自伤；</w:t>
      </w:r>
    </w:p>
    <w:p>
      <w:pPr>
        <w:pStyle w:val="ListParagraph"/>
        <w:numPr>
          <w:ilvl w:val="2"/>
          <w:numId w:val="16"/>
        </w:numPr>
        <w:tabs>
          <w:tab w:pos="1813" w:val="left" w:leader="none"/>
        </w:tabs>
        <w:spacing w:line="240" w:lineRule="auto" w:before="106" w:after="0"/>
        <w:ind w:left="1812" w:right="0" w:hanging="568"/>
        <w:jc w:val="left"/>
        <w:rPr>
          <w:b/>
          <w:sz w:val="18"/>
        </w:rPr>
      </w:pPr>
      <w:r>
        <w:rPr>
          <w:b/>
          <w:w w:val="95"/>
          <w:sz w:val="18"/>
        </w:rPr>
        <w:t>被保险人感染艾滋病病毒或患艾滋病（见释义）；</w:t>
      </w:r>
    </w:p>
    <w:p>
      <w:pPr>
        <w:pStyle w:val="ListParagraph"/>
        <w:numPr>
          <w:ilvl w:val="2"/>
          <w:numId w:val="16"/>
        </w:numPr>
        <w:tabs>
          <w:tab w:pos="1813" w:val="left" w:leader="none"/>
        </w:tabs>
        <w:spacing w:line="240" w:lineRule="auto" w:before="104" w:after="0"/>
        <w:ind w:left="1812" w:right="0" w:hanging="568"/>
        <w:jc w:val="left"/>
        <w:rPr>
          <w:b/>
          <w:sz w:val="18"/>
        </w:rPr>
      </w:pPr>
      <w:r>
        <w:rPr>
          <w:b/>
          <w:w w:val="95"/>
          <w:sz w:val="18"/>
        </w:rPr>
        <w:t>遗传性疾病（见释义），先天性畸形、变形或染色体异常（见释义）。</w:t>
      </w:r>
    </w:p>
    <w:p>
      <w:pPr>
        <w:pStyle w:val="ListParagraph"/>
        <w:numPr>
          <w:ilvl w:val="1"/>
          <w:numId w:val="16"/>
        </w:numPr>
        <w:tabs>
          <w:tab w:pos="1191" w:val="left" w:leader="none"/>
          <w:tab w:pos="1192" w:val="left" w:leader="none"/>
        </w:tabs>
        <w:spacing w:line="340" w:lineRule="auto" w:before="106" w:after="0"/>
        <w:ind w:left="1188" w:right="125" w:hanging="650"/>
        <w:jc w:val="left"/>
        <w:rPr>
          <w:sz w:val="18"/>
        </w:rPr>
      </w:pPr>
      <w:r>
        <w:rPr>
          <w:spacing w:val="-3"/>
          <w:sz w:val="18"/>
        </w:rPr>
        <w:t>发生上述 </w:t>
      </w:r>
      <w:r>
        <w:rPr>
          <w:rFonts w:ascii="Arial" w:eastAsia="Arial"/>
          <w:sz w:val="18"/>
        </w:rPr>
        <w:t>21.1.1</w:t>
      </w:r>
      <w:r>
        <w:rPr>
          <w:rFonts w:ascii="Arial" w:eastAsia="Arial"/>
          <w:spacing w:val="15"/>
          <w:sz w:val="18"/>
        </w:rPr>
        <w:t> </w:t>
      </w:r>
      <w:r>
        <w:rPr>
          <w:spacing w:val="-2"/>
          <w:sz w:val="18"/>
        </w:rPr>
        <w:t>情形导致被保险人身故、发生疾病、达到疾病状态或进行手术的，本合同终止，您已交足 </w:t>
      </w:r>
      <w:r>
        <w:rPr>
          <w:rFonts w:ascii="Arial" w:eastAsia="Arial"/>
          <w:sz w:val="18"/>
        </w:rPr>
        <w:t>2</w:t>
      </w:r>
      <w:r>
        <w:rPr>
          <w:rFonts w:ascii="Arial" w:eastAsia="Arial"/>
          <w:spacing w:val="15"/>
          <w:sz w:val="18"/>
        </w:rPr>
        <w:t> </w:t>
      </w:r>
      <w:r>
        <w:rPr>
          <w:sz w:val="18"/>
        </w:rPr>
        <w:t>年以上保险费的，我们向其他权利人退还本合同的现金价值。</w:t>
      </w:r>
    </w:p>
    <w:p>
      <w:pPr>
        <w:pStyle w:val="ListParagraph"/>
        <w:numPr>
          <w:ilvl w:val="1"/>
          <w:numId w:val="16"/>
        </w:numPr>
        <w:tabs>
          <w:tab w:pos="1188" w:val="left" w:leader="none"/>
          <w:tab w:pos="1189" w:val="left" w:leader="none"/>
        </w:tabs>
        <w:spacing w:line="338" w:lineRule="auto" w:before="43" w:after="0"/>
        <w:ind w:left="1188" w:right="127" w:hanging="650"/>
        <w:jc w:val="left"/>
        <w:rPr>
          <w:sz w:val="18"/>
        </w:rPr>
      </w:pPr>
      <w:r>
        <w:rPr>
          <w:spacing w:val="1"/>
          <w:sz w:val="18"/>
        </w:rPr>
        <w:t>发生上述除 </w:t>
      </w:r>
      <w:r>
        <w:rPr>
          <w:rFonts w:ascii="Arial" w:eastAsia="Arial"/>
          <w:sz w:val="18"/>
        </w:rPr>
        <w:t>21.1.1</w:t>
      </w:r>
      <w:r>
        <w:rPr>
          <w:rFonts w:ascii="Arial" w:eastAsia="Arial"/>
          <w:spacing w:val="40"/>
          <w:sz w:val="18"/>
        </w:rPr>
        <w:t> </w:t>
      </w:r>
      <w:r>
        <w:rPr>
          <w:sz w:val="18"/>
        </w:rPr>
        <w:t>外其他情形导致被保险人身故、发生疾病、达到疾病状态或进行手术的，本合同终止，我们向您退还本合同的现金价值。</w:t>
      </w:r>
    </w:p>
    <w:p>
      <w:pPr>
        <w:pStyle w:val="Heading2"/>
        <w:spacing w:before="44"/>
      </w:pPr>
      <w:bookmarkStart w:name="_bookmark23" w:id="23"/>
      <w:bookmarkEnd w:id="23"/>
      <w:r>
        <w:rPr>
          <w:b w:val="0"/>
        </w:rPr>
      </w:r>
      <w:r>
        <w:rPr/>
        <w:t>第二十二条 保险期间</w:t>
      </w:r>
    </w:p>
    <w:p>
      <w:pPr>
        <w:pStyle w:val="BodyText"/>
        <w:tabs>
          <w:tab w:pos="1243" w:val="left" w:leader="none"/>
        </w:tabs>
        <w:spacing w:before="139"/>
        <w:ind w:left="538"/>
      </w:pPr>
      <w:r>
        <w:rPr>
          <w:rFonts w:ascii="Arial" w:eastAsia="Arial"/>
        </w:rPr>
        <w:t>22.1</w:t>
        <w:tab/>
      </w:r>
      <w:r>
        <w:rPr/>
        <w:t>本合同的保险期间由您在投保时与我们约定，并在保险单上载明。</w:t>
      </w:r>
    </w:p>
    <w:p>
      <w:pPr>
        <w:pStyle w:val="Heading2"/>
      </w:pPr>
      <w:bookmarkStart w:name="_bookmark24" w:id="24"/>
      <w:bookmarkEnd w:id="24"/>
      <w:r>
        <w:rPr>
          <w:b w:val="0"/>
        </w:rPr>
      </w:r>
      <w:r>
        <w:rPr/>
        <w:t>第二十三条 保险费率的调整</w:t>
      </w:r>
    </w:p>
    <w:p>
      <w:pPr>
        <w:pStyle w:val="ListParagraph"/>
        <w:numPr>
          <w:ilvl w:val="1"/>
          <w:numId w:val="17"/>
        </w:numPr>
        <w:tabs>
          <w:tab w:pos="1243" w:val="left" w:leader="none"/>
          <w:tab w:pos="1244" w:val="left" w:leader="none"/>
        </w:tabs>
        <w:spacing w:line="340" w:lineRule="auto" w:before="139" w:after="0"/>
        <w:ind w:left="1244" w:right="128" w:hanging="706"/>
        <w:jc w:val="left"/>
        <w:rPr>
          <w:sz w:val="18"/>
        </w:rPr>
      </w:pPr>
      <w:r>
        <w:rPr>
          <w:sz w:val="18"/>
        </w:rPr>
        <w:t>在本附加合同的有效期内且在不违反国务院保险监督管理机构有关规定的前提下，我们保留提高或降低本附加合同保险费率权利，该保险费率的调整适用于此类保险产品项下的所有被保险人。</w:t>
      </w:r>
    </w:p>
    <w:p>
      <w:pPr>
        <w:pStyle w:val="ListParagraph"/>
        <w:numPr>
          <w:ilvl w:val="1"/>
          <w:numId w:val="17"/>
        </w:numPr>
        <w:tabs>
          <w:tab w:pos="1243" w:val="left" w:leader="none"/>
          <w:tab w:pos="1244" w:val="left" w:leader="none"/>
        </w:tabs>
        <w:spacing w:line="240" w:lineRule="auto" w:before="41" w:after="0"/>
        <w:ind w:left="1244" w:right="0" w:hanging="706"/>
        <w:jc w:val="left"/>
        <w:rPr>
          <w:sz w:val="18"/>
        </w:rPr>
      </w:pPr>
      <w:r>
        <w:rPr>
          <w:sz w:val="18"/>
        </w:rPr>
        <w:t>在我们调整保险费率后，您应自调整后的首个保险单周年日起交付按新的保险费率所计算的保险费。</w:t>
      </w:r>
    </w:p>
    <w:p>
      <w:pPr>
        <w:pStyle w:val="ListParagraph"/>
        <w:numPr>
          <w:ilvl w:val="1"/>
          <w:numId w:val="17"/>
        </w:numPr>
        <w:tabs>
          <w:tab w:pos="1243" w:val="left" w:leader="none"/>
          <w:tab w:pos="1244" w:val="left" w:leader="none"/>
        </w:tabs>
        <w:spacing w:line="240" w:lineRule="auto" w:before="106" w:after="0"/>
        <w:ind w:left="1244" w:right="0" w:hanging="706"/>
        <w:jc w:val="left"/>
        <w:rPr>
          <w:sz w:val="18"/>
        </w:rPr>
      </w:pPr>
      <w:r>
        <w:rPr>
          <w:sz w:val="18"/>
        </w:rPr>
        <w:t>若本附加合同保险费率发生调整，我们将及时通知您。</w:t>
      </w:r>
    </w:p>
    <w:p>
      <w:pPr>
        <w:pStyle w:val="Heading2"/>
      </w:pPr>
      <w:bookmarkStart w:name="_bookmark25" w:id="25"/>
      <w:bookmarkEnd w:id="25"/>
      <w:r>
        <w:rPr>
          <w:b w:val="0"/>
        </w:rPr>
      </w:r>
      <w:r>
        <w:rPr/>
        <w:t>第二十四条 保单贷款</w:t>
      </w:r>
    </w:p>
    <w:p>
      <w:pPr>
        <w:pStyle w:val="ListParagraph"/>
        <w:numPr>
          <w:ilvl w:val="1"/>
          <w:numId w:val="18"/>
        </w:numPr>
        <w:tabs>
          <w:tab w:pos="1244" w:val="left" w:leader="none"/>
        </w:tabs>
        <w:spacing w:line="348" w:lineRule="auto" w:before="142" w:after="0"/>
        <w:ind w:left="1244" w:right="125" w:hanging="706"/>
        <w:jc w:val="both"/>
        <w:rPr>
          <w:sz w:val="18"/>
        </w:rPr>
      </w:pPr>
      <w:r>
        <w:rPr>
          <w:sz w:val="18"/>
        </w:rPr>
        <w:t>在本合同保险期间内，如果本合同当时已经累积有现金价值，您可向我们申请保单贷款，最高贷款金额为本合同</w:t>
      </w:r>
      <w:r>
        <w:rPr>
          <w:spacing w:val="-1"/>
          <w:sz w:val="18"/>
        </w:rPr>
        <w:t>现金价值扣除自动垫交的保险费及其累计利息、其他保单贷款及其累计利息后净额的 </w:t>
      </w:r>
      <w:r>
        <w:rPr>
          <w:sz w:val="18"/>
        </w:rPr>
        <w:t>90</w:t>
      </w:r>
      <w:r>
        <w:rPr>
          <w:spacing w:val="-3"/>
          <w:sz w:val="18"/>
        </w:rPr>
        <w:t>%,每次贷款期限最长为 </w:t>
      </w:r>
      <w:r>
        <w:rPr>
          <w:sz w:val="18"/>
        </w:rPr>
        <w:t>12 个月。</w:t>
      </w:r>
    </w:p>
    <w:p>
      <w:pPr>
        <w:pStyle w:val="ListParagraph"/>
        <w:numPr>
          <w:ilvl w:val="1"/>
          <w:numId w:val="18"/>
        </w:numPr>
        <w:tabs>
          <w:tab w:pos="1243" w:val="left" w:leader="none"/>
          <w:tab w:pos="1244" w:val="left" w:leader="none"/>
        </w:tabs>
        <w:spacing w:line="340" w:lineRule="auto" w:before="36" w:after="0"/>
        <w:ind w:left="1244" w:right="128" w:hanging="706"/>
        <w:jc w:val="left"/>
        <w:rPr>
          <w:sz w:val="18"/>
        </w:rPr>
      </w:pPr>
      <w:r>
        <w:rPr>
          <w:sz w:val="18"/>
        </w:rPr>
        <w:t>我们将适时调整适用于贷款的利率。贷款利率根据中国人民银行六个月流动资金贷款利率作相应浮动。合同的贷款利息按当时我们已宣布的利率计算，并沿用至该次贷款期满。</w:t>
      </w:r>
    </w:p>
    <w:p>
      <w:pPr>
        <w:pStyle w:val="ListParagraph"/>
        <w:numPr>
          <w:ilvl w:val="1"/>
          <w:numId w:val="18"/>
        </w:numPr>
        <w:tabs>
          <w:tab w:pos="1244" w:val="left" w:leader="none"/>
        </w:tabs>
        <w:spacing w:line="352" w:lineRule="auto" w:before="41" w:after="0"/>
        <w:ind w:left="1244" w:right="128" w:hanging="706"/>
        <w:jc w:val="both"/>
        <w:rPr>
          <w:sz w:val="18"/>
        </w:rPr>
      </w:pPr>
      <w:r>
        <w:rPr>
          <w:sz w:val="18"/>
        </w:rPr>
        <w:t>若您逾期未偿还全部贷款及其累计利息，且本合同在扣除所有自动垫交的保险费及其累计利息、其他保单贷款及其累计利息后仍具有足够现金价值，则所欠的贷款及其累计利息将构成新的贷款本金，按我们公布的最新保单贷款利率计算利息。若本合同的现金价值不足以抵偿所有的自动垫交的保险费及其累计利息、保单贷款及其累计利息，本合同效力中止。</w:t>
      </w:r>
    </w:p>
    <w:p>
      <w:pPr>
        <w:pStyle w:val="Heading2"/>
        <w:spacing w:before="30"/>
      </w:pPr>
      <w:bookmarkStart w:name="_bookmark26" w:id="26"/>
      <w:bookmarkEnd w:id="26"/>
      <w:r>
        <w:rPr>
          <w:b w:val="0"/>
        </w:rPr>
      </w:r>
      <w:r>
        <w:rPr/>
        <w:t>第二十五条 保险费的自动垫交</w:t>
      </w:r>
    </w:p>
    <w:p>
      <w:pPr>
        <w:pStyle w:val="ListParagraph"/>
        <w:numPr>
          <w:ilvl w:val="1"/>
          <w:numId w:val="19"/>
        </w:numPr>
        <w:tabs>
          <w:tab w:pos="1244" w:val="left" w:leader="none"/>
        </w:tabs>
        <w:spacing w:line="348" w:lineRule="auto" w:before="138" w:after="0"/>
        <w:ind w:left="1244" w:right="128" w:hanging="706"/>
        <w:jc w:val="both"/>
        <w:rPr>
          <w:sz w:val="18"/>
        </w:rPr>
      </w:pPr>
      <w:r>
        <w:rPr>
          <w:sz w:val="18"/>
        </w:rPr>
        <w:t>如果您选择了该项利益，在您超过宽限期仍未交付本合同的保险费时，而您的保险合同当时的现金价值扣除您尚未清偿的保单贷款及其累计利息之后的余额，足以垫交到期保险费时（含附加合同的保险费），我们将自动贷款给您，为您垫交该期保险费，该利率同保单贷款利率。</w:t>
      </w:r>
    </w:p>
    <w:p>
      <w:pPr>
        <w:pStyle w:val="ListParagraph"/>
        <w:numPr>
          <w:ilvl w:val="1"/>
          <w:numId w:val="19"/>
        </w:numPr>
        <w:tabs>
          <w:tab w:pos="1243" w:val="left" w:leader="none"/>
          <w:tab w:pos="1244" w:val="left" w:leader="none"/>
        </w:tabs>
        <w:spacing w:line="240" w:lineRule="auto" w:before="35" w:after="0"/>
        <w:ind w:left="1244" w:right="0" w:hanging="706"/>
        <w:jc w:val="left"/>
        <w:rPr>
          <w:sz w:val="18"/>
        </w:rPr>
      </w:pPr>
      <w:r>
        <w:rPr>
          <w:sz w:val="18"/>
        </w:rPr>
        <w:t>如果在垫交期内发生保险事故，我们仍根据本合同条款承担保险责任。</w:t>
      </w:r>
    </w:p>
    <w:p>
      <w:pPr>
        <w:pStyle w:val="ListParagraph"/>
        <w:numPr>
          <w:ilvl w:val="1"/>
          <w:numId w:val="19"/>
        </w:numPr>
        <w:tabs>
          <w:tab w:pos="1243" w:val="left" w:leader="none"/>
          <w:tab w:pos="1244" w:val="left" w:leader="none"/>
        </w:tabs>
        <w:spacing w:line="340" w:lineRule="auto" w:before="106" w:after="0"/>
        <w:ind w:left="1244" w:right="116" w:hanging="706"/>
        <w:jc w:val="left"/>
        <w:rPr>
          <w:sz w:val="18"/>
        </w:rPr>
      </w:pPr>
      <w:r>
        <w:rPr>
          <w:spacing w:val="2"/>
          <w:sz w:val="18"/>
        </w:rPr>
        <w:t>当本合同的现金价值在扣除保单贷款及其累计利息后的余额不足以垫交其应交保险费及利息时，本合同效力中</w:t>
      </w:r>
      <w:r>
        <w:rPr>
          <w:sz w:val="18"/>
        </w:rPr>
        <w:t>止。</w:t>
      </w:r>
    </w:p>
    <w:p>
      <w:pPr>
        <w:pStyle w:val="Heading2"/>
        <w:spacing w:before="42"/>
      </w:pPr>
      <w:bookmarkStart w:name="_bookmark27" w:id="27"/>
      <w:bookmarkEnd w:id="27"/>
      <w:r>
        <w:rPr>
          <w:b w:val="0"/>
        </w:rPr>
      </w:r>
      <w:r>
        <w:rPr/>
        <w:t>第二十六条 减额交清</w:t>
      </w:r>
    </w:p>
    <w:p>
      <w:pPr>
        <w:pStyle w:val="ListParagraph"/>
        <w:numPr>
          <w:ilvl w:val="1"/>
          <w:numId w:val="20"/>
        </w:numPr>
        <w:tabs>
          <w:tab w:pos="1263" w:val="left" w:leader="none"/>
          <w:tab w:pos="1264" w:val="left" w:leader="none"/>
        </w:tabs>
        <w:spacing w:line="340" w:lineRule="auto" w:before="139" w:after="0"/>
        <w:ind w:left="1263" w:right="125" w:hanging="725"/>
        <w:jc w:val="left"/>
        <w:rPr>
          <w:sz w:val="18"/>
        </w:rPr>
      </w:pPr>
      <w:r>
        <w:rPr>
          <w:sz w:val="18"/>
        </w:rPr>
        <w:t>在本合同保险期间内，经我们同意，您可以申请减额交清。我们将以下一期保险费约定支付日的前一日本合同的现金价值在扣除保单贷款及其累计利息后的净额作为一次性付清保险费，计算减额交清后的基本保险金额。</w:t>
      </w:r>
    </w:p>
    <w:p>
      <w:pPr>
        <w:pStyle w:val="ListParagraph"/>
        <w:numPr>
          <w:ilvl w:val="1"/>
          <w:numId w:val="20"/>
        </w:numPr>
        <w:tabs>
          <w:tab w:pos="1263" w:val="left" w:leader="none"/>
          <w:tab w:pos="1264" w:val="left" w:leader="none"/>
        </w:tabs>
        <w:spacing w:line="240" w:lineRule="auto" w:before="41" w:after="0"/>
        <w:ind w:left="1263" w:right="0" w:hanging="725"/>
        <w:jc w:val="left"/>
        <w:rPr>
          <w:sz w:val="18"/>
        </w:rPr>
      </w:pPr>
      <w:r>
        <w:rPr>
          <w:sz w:val="18"/>
        </w:rPr>
        <w:t>本合同更改为减额交清保险后，保险责任与更改前相同，但基本保险金额以变更后的为准。</w:t>
      </w:r>
    </w:p>
    <w:p>
      <w:pPr>
        <w:pStyle w:val="Heading2"/>
        <w:spacing w:before="104"/>
      </w:pPr>
      <w:bookmarkStart w:name="_bookmark28" w:id="28"/>
      <w:bookmarkEnd w:id="28"/>
      <w:r>
        <w:rPr>
          <w:b w:val="0"/>
        </w:rPr>
      </w:r>
      <w:r>
        <w:rPr/>
        <w:t>第二十七条 保单欠款的结清</w:t>
      </w:r>
    </w:p>
    <w:p>
      <w:pPr>
        <w:pStyle w:val="BodyText"/>
        <w:spacing w:line="348" w:lineRule="auto" w:before="138"/>
        <w:ind w:right="122" w:hanging="706"/>
        <w:jc w:val="both"/>
      </w:pPr>
      <w:r>
        <w:rPr>
          <w:rFonts w:ascii="Arial" w:eastAsia="Arial"/>
        </w:rPr>
        <w:t>27.1      </w:t>
      </w:r>
      <w:r>
        <w:rPr/>
        <w:t>我们给付各项保险金或退还本合同现金价值或保险费时，您应先结清应交保险费(包括自动垫交的保险费)及其累计利息、保单贷款及其累计利息，否则，我们将在给付保险金、退还本合同现金价值或保险费时扣除前述欠款及其应付利息。</w:t>
      </w:r>
    </w:p>
    <w:p>
      <w:pPr>
        <w:spacing w:after="0" w:line="348" w:lineRule="auto"/>
        <w:jc w:val="both"/>
        <w:sectPr>
          <w:pgSz w:w="11910" w:h="16840"/>
          <w:pgMar w:header="672" w:footer="759" w:top="860" w:bottom="940" w:left="880" w:right="720"/>
        </w:sectPr>
      </w:pPr>
    </w:p>
    <w:p>
      <w:pPr>
        <w:pStyle w:val="BodyText"/>
        <w:spacing w:before="8"/>
        <w:ind w:left="0"/>
        <w:rPr>
          <w:sz w:val="15"/>
        </w:rPr>
      </w:pPr>
    </w:p>
    <w:p>
      <w:pPr>
        <w:pStyle w:val="Heading1"/>
        <w:spacing w:before="8"/>
        <w:ind w:left="4060" w:right="3629"/>
      </w:pPr>
      <w:bookmarkStart w:name="_bookmark29" w:id="29"/>
      <w:bookmarkEnd w:id="29"/>
      <w:r>
        <w:rPr>
          <w:b w:val="0"/>
        </w:rPr>
      </w:r>
      <w:r>
        <w:rPr/>
        <w:t>第三部分 释义条款</w:t>
      </w:r>
    </w:p>
    <w:p>
      <w:pPr>
        <w:pStyle w:val="Heading2"/>
        <w:spacing w:before="139"/>
      </w:pPr>
      <w:bookmarkStart w:name="_bookmark30" w:id="30"/>
      <w:bookmarkEnd w:id="30"/>
      <w:r>
        <w:rPr>
          <w:b w:val="0"/>
        </w:rPr>
      </w:r>
      <w:r>
        <w:rPr/>
        <w:t>第二十八条 重大疾病释义</w:t>
      </w:r>
    </w:p>
    <w:p>
      <w:pPr>
        <w:pStyle w:val="ListParagraph"/>
        <w:numPr>
          <w:ilvl w:val="1"/>
          <w:numId w:val="21"/>
        </w:numPr>
        <w:tabs>
          <w:tab w:pos="1243" w:val="left" w:leader="none"/>
          <w:tab w:pos="1244" w:val="left" w:leader="none"/>
        </w:tabs>
        <w:spacing w:line="240" w:lineRule="auto" w:before="139" w:after="0"/>
        <w:ind w:left="1244" w:right="0" w:hanging="706"/>
        <w:jc w:val="left"/>
        <w:rPr>
          <w:sz w:val="18"/>
        </w:rPr>
      </w:pPr>
      <w:r>
        <w:rPr>
          <w:sz w:val="18"/>
        </w:rPr>
        <w:t>恶性肿瘤</w:t>
      </w:r>
    </w:p>
    <w:p>
      <w:pPr>
        <w:pStyle w:val="BodyText"/>
        <w:spacing w:line="357" w:lineRule="auto"/>
        <w:ind w:left="1243" w:right="10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Arial" w:eastAsia="Arial"/>
        </w:rPr>
        <w:t>ICD-10</w:t>
      </w:r>
      <w:r>
        <w:rPr/>
        <w:t>）的恶性肿瘤范畴。</w:t>
      </w:r>
    </w:p>
    <w:p>
      <w:pPr>
        <w:pStyle w:val="Heading3"/>
        <w:spacing w:before="5"/>
        <w:ind w:left="1246"/>
        <w:jc w:val="both"/>
      </w:pPr>
      <w:r>
        <w:rPr>
          <w:w w:val="95"/>
        </w:rPr>
        <w:t>下列疾病不在保障范围内：</w:t>
      </w:r>
    </w:p>
    <w:p>
      <w:pPr>
        <w:spacing w:before="119"/>
        <w:ind w:left="1246" w:right="0" w:firstLine="0"/>
        <w:jc w:val="both"/>
        <w:rPr>
          <w:b/>
          <w:sz w:val="18"/>
        </w:rPr>
      </w:pPr>
      <w:r>
        <w:rPr>
          <w:b/>
          <w:w w:val="95"/>
          <w:sz w:val="18"/>
        </w:rPr>
        <w:t>（</w:t>
      </w:r>
      <w:r>
        <w:rPr>
          <w:rFonts w:ascii="Arial" w:eastAsia="Arial"/>
          <w:b/>
          <w:w w:val="95"/>
          <w:sz w:val="18"/>
        </w:rPr>
        <w:t>1</w:t>
      </w:r>
      <w:r>
        <w:rPr>
          <w:b/>
          <w:w w:val="95"/>
          <w:sz w:val="18"/>
        </w:rPr>
        <w:t>）原位癌；</w:t>
      </w:r>
    </w:p>
    <w:p>
      <w:pPr>
        <w:spacing w:before="106"/>
        <w:ind w:left="1246" w:right="0" w:firstLine="0"/>
        <w:jc w:val="both"/>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w:t>
      </w:r>
      <w:r>
        <w:rPr>
          <w:rFonts w:ascii="Arial" w:eastAsia="Arial"/>
          <w:b/>
          <w:sz w:val="18"/>
        </w:rPr>
        <w:t>A </w:t>
      </w:r>
      <w:r>
        <w:rPr>
          <w:b/>
          <w:sz w:val="18"/>
        </w:rPr>
        <w:t>期程度的慢性淋巴细胞白血病；</w:t>
      </w:r>
    </w:p>
    <w:p>
      <w:pPr>
        <w:spacing w:before="106"/>
        <w:ind w:left="1246" w:right="0" w:firstLine="0"/>
        <w:jc w:val="both"/>
        <w:rPr>
          <w:b/>
          <w:sz w:val="18"/>
        </w:rPr>
      </w:pPr>
      <w:r>
        <w:rPr>
          <w:b/>
          <w:sz w:val="18"/>
        </w:rPr>
        <w:t>（</w:t>
      </w:r>
      <w:r>
        <w:rPr>
          <w:rFonts w:ascii="Arial" w:eastAsia="Arial"/>
          <w:b/>
          <w:sz w:val="18"/>
        </w:rPr>
        <w:t>3</w:t>
      </w:r>
      <w:r>
        <w:rPr>
          <w:b/>
          <w:sz w:val="18"/>
        </w:rPr>
        <w:t>）相当于 </w:t>
      </w:r>
      <w:r>
        <w:rPr>
          <w:rFonts w:ascii="Arial" w:eastAsia="Arial"/>
          <w:b/>
          <w:sz w:val="18"/>
        </w:rPr>
        <w:t>Ann Arbor </w:t>
      </w:r>
      <w:r>
        <w:rPr>
          <w:b/>
          <w:sz w:val="18"/>
        </w:rPr>
        <w:t>分期方案 </w:t>
      </w:r>
      <w:r>
        <w:rPr>
          <w:rFonts w:ascii="Arial" w:eastAsia="Arial"/>
          <w:b/>
          <w:sz w:val="18"/>
        </w:rPr>
        <w:t>I </w:t>
      </w:r>
      <w:r>
        <w:rPr>
          <w:b/>
          <w:sz w:val="18"/>
        </w:rPr>
        <w:t>期程度的何杰金氏病；</w:t>
      </w:r>
    </w:p>
    <w:p>
      <w:pPr>
        <w:spacing w:before="106"/>
        <w:ind w:left="1246" w:right="0" w:firstLine="0"/>
        <w:jc w:val="both"/>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5"/>
        <w:ind w:left="1246" w:right="0" w:firstLine="0"/>
        <w:jc w:val="both"/>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7"/>
        <w:ind w:left="1246" w:right="0" w:firstLine="0"/>
        <w:jc w:val="both"/>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21"/>
        </w:numPr>
        <w:tabs>
          <w:tab w:pos="1243" w:val="left" w:leader="none"/>
          <w:tab w:pos="1244" w:val="left" w:leader="none"/>
        </w:tabs>
        <w:spacing w:line="240" w:lineRule="auto" w:before="107" w:after="0"/>
        <w:ind w:left="1244" w:right="0" w:hanging="706"/>
        <w:jc w:val="left"/>
        <w:rPr>
          <w:sz w:val="18"/>
        </w:rPr>
      </w:pPr>
      <w:r>
        <w:rPr>
          <w:sz w:val="18"/>
        </w:rPr>
        <w:t>急性心肌梗塞</w:t>
      </w:r>
    </w:p>
    <w:p>
      <w:pPr>
        <w:pStyle w:val="BodyText"/>
        <w:spacing w:before="107"/>
        <w:ind w:left="1243"/>
        <w:jc w:val="both"/>
      </w:pPr>
      <w:r>
        <w:rPr/>
        <w:t>指因冠状动脉阻塞导致的相应区域供血不足造成部分心肌坏死。须满足下列至少三项条件：</w:t>
      </w:r>
    </w:p>
    <w:p>
      <w:pPr>
        <w:pStyle w:val="BodyText"/>
        <w:spacing w:before="119"/>
        <w:ind w:left="1243"/>
        <w:jc w:val="both"/>
      </w:pPr>
      <w:r>
        <w:rPr>
          <w:w w:val="95"/>
        </w:rPr>
        <w:t>（</w:t>
      </w:r>
      <w:r>
        <w:rPr>
          <w:rFonts w:ascii="Arial" w:eastAsia="Arial"/>
          <w:w w:val="95"/>
        </w:rPr>
        <w:t>1</w:t>
      </w:r>
      <w:r>
        <w:rPr>
          <w:w w:val="95"/>
        </w:rPr>
        <w:t>）典型临床表现，例如急性胸痛等；</w:t>
      </w:r>
    </w:p>
    <w:p>
      <w:pPr>
        <w:pStyle w:val="BodyText"/>
        <w:ind w:left="1243"/>
        <w:jc w:val="both"/>
      </w:pPr>
      <w:r>
        <w:rPr>
          <w:w w:val="95"/>
        </w:rPr>
        <w:t>（</w:t>
      </w:r>
      <w:r>
        <w:rPr>
          <w:rFonts w:ascii="Arial" w:eastAsia="Arial"/>
          <w:w w:val="95"/>
        </w:rPr>
        <w:t>2</w:t>
      </w:r>
      <w:r>
        <w:rPr>
          <w:w w:val="95"/>
        </w:rPr>
        <w:t>）新近的心电图改变提示急性心肌梗塞；</w:t>
      </w:r>
    </w:p>
    <w:p>
      <w:pPr>
        <w:pStyle w:val="BodyText"/>
        <w:ind w:left="1243"/>
        <w:jc w:val="both"/>
      </w:pPr>
      <w:r>
        <w:rPr>
          <w:w w:val="95"/>
        </w:rPr>
        <w:t>（</w:t>
      </w:r>
      <w:r>
        <w:rPr>
          <w:rFonts w:ascii="Arial" w:eastAsia="Arial"/>
          <w:w w:val="95"/>
        </w:rPr>
        <w:t>3</w:t>
      </w:r>
      <w:r>
        <w:rPr>
          <w:w w:val="95"/>
        </w:rPr>
        <w:t>）心肌酶或肌钙蛋白有诊断意义的升高，或呈符合急性心肌梗塞的动态性变化；</w:t>
      </w:r>
    </w:p>
    <w:p>
      <w:pPr>
        <w:pStyle w:val="BodyText"/>
        <w:spacing w:before="103"/>
        <w:ind w:left="1243"/>
        <w:jc w:val="both"/>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21"/>
        </w:numPr>
        <w:tabs>
          <w:tab w:pos="1243" w:val="left" w:leader="none"/>
          <w:tab w:pos="1244" w:val="left" w:leader="none"/>
        </w:tabs>
        <w:spacing w:line="240" w:lineRule="auto" w:before="106" w:after="0"/>
        <w:ind w:left="1243" w:right="0" w:hanging="705"/>
        <w:jc w:val="left"/>
        <w:rPr>
          <w:sz w:val="18"/>
        </w:rPr>
      </w:pPr>
      <w:r>
        <w:rPr>
          <w:sz w:val="18"/>
        </w:rPr>
        <w:t>脑中风后遗症</w:t>
      </w:r>
    </w:p>
    <w:p>
      <w:pPr>
        <w:pStyle w:val="BodyText"/>
        <w:spacing w:line="360" w:lineRule="auto"/>
        <w:ind w:left="1243" w:right="108"/>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244"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244"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244"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重大器官移植术或造血干细胞移植术</w:t>
      </w:r>
    </w:p>
    <w:p>
      <w:pPr>
        <w:pStyle w:val="BodyText"/>
        <w:ind w:left="1243"/>
        <w:jc w:val="both"/>
      </w:pPr>
      <w:r>
        <w:rPr/>
        <w:t>重大器官移植术，指因相应器官功能衰竭，已经实施了肾脏、肝脏、心脏或肺脏的异体移植手术。</w:t>
      </w:r>
    </w:p>
    <w:p>
      <w:pPr>
        <w:pStyle w:val="BodyText"/>
        <w:spacing w:line="360" w:lineRule="auto" w:before="119"/>
        <w:ind w:left="1243" w:right="108"/>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21"/>
        </w:numPr>
        <w:tabs>
          <w:tab w:pos="1243" w:val="left" w:leader="none"/>
          <w:tab w:pos="1244" w:val="left" w:leader="none"/>
        </w:tabs>
        <w:spacing w:line="240" w:lineRule="auto" w:before="27" w:after="0"/>
        <w:ind w:left="1244" w:right="0" w:hanging="706"/>
        <w:jc w:val="left"/>
        <w:rPr>
          <w:sz w:val="18"/>
        </w:rPr>
      </w:pPr>
      <w:r>
        <w:rPr>
          <w:sz w:val="18"/>
        </w:rPr>
        <w:t>冠状动脉搭桥术（或称冠状动脉旁路移植术）</w:t>
      </w:r>
    </w:p>
    <w:p>
      <w:pPr>
        <w:pStyle w:val="BodyText"/>
        <w:ind w:left="1243"/>
        <w:jc w:val="both"/>
      </w:pPr>
      <w:r>
        <w:rPr/>
        <w:t>指为治疗严重的冠心病，实际实施了开胸进行的冠状动脉血管旁路移植的手术。</w:t>
      </w:r>
    </w:p>
    <w:p>
      <w:pPr>
        <w:pStyle w:val="Heading3"/>
        <w:spacing w:before="119"/>
        <w:jc w:val="both"/>
      </w:pPr>
      <w:r>
        <w:rPr>
          <w:w w:val="95"/>
        </w:rPr>
        <w:t>冠状动脉支架植入术、心导管球囊扩张术、激光射频技术及其它非开胸的介入手术、腔镜手术不在保障范围内。</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终末期肾病（或称慢性肾功能衰竭尿毒症期）</w:t>
      </w:r>
    </w:p>
    <w:p>
      <w:pPr>
        <w:pStyle w:val="BodyText"/>
        <w:spacing w:line="340" w:lineRule="auto"/>
        <w:ind w:left="1243" w:right="47"/>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z w:val="18"/>
        </w:rPr>
        <w:t>多个肢体缺失</w:t>
      </w:r>
    </w:p>
    <w:p>
      <w:pPr>
        <w:pStyle w:val="BodyText"/>
        <w:ind w:left="1243"/>
      </w:pPr>
      <w:r>
        <w:rPr/>
        <w:t>指因疾病或意外伤害导致两个或两个以上肢体自腕关节或踝关节近端（靠近躯干端）以上完全性断离。</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急性或亚急性重症肝炎</w:t>
      </w:r>
    </w:p>
    <w:p>
      <w:pPr>
        <w:pStyle w:val="BodyText"/>
        <w:spacing w:line="360" w:lineRule="auto"/>
        <w:ind w:left="1243" w:right="108"/>
      </w:pPr>
      <w:r>
        <w:rPr/>
        <w:t>指因肝炎病毒感染引起肝脏组织弥漫性坏死，导致急性肝功能衰竭，且经血清学或病毒学检查证实，并须满足下列全部条件：</w:t>
      </w:r>
    </w:p>
    <w:p>
      <w:pPr>
        <w:spacing w:after="0" w:line="360" w:lineRule="auto"/>
        <w:sectPr>
          <w:pgSz w:w="11910" w:h="16840"/>
          <w:pgMar w:header="672" w:footer="759" w:top="860" w:bottom="940" w:left="880" w:right="740"/>
        </w:sectPr>
      </w:pPr>
    </w:p>
    <w:p>
      <w:pPr>
        <w:pStyle w:val="BodyText"/>
        <w:spacing w:before="9"/>
        <w:ind w:left="0"/>
        <w:rPr>
          <w:sz w:val="13"/>
        </w:rPr>
      </w:pPr>
    </w:p>
    <w:p>
      <w:pPr>
        <w:pStyle w:val="BodyText"/>
        <w:spacing w:before="53"/>
        <w:jc w:val="both"/>
      </w:pPr>
      <w:r>
        <w:rPr>
          <w:w w:val="95"/>
        </w:rPr>
        <w:t>（</w:t>
      </w:r>
      <w:r>
        <w:rPr>
          <w:rFonts w:ascii="Arial" w:eastAsia="Arial"/>
          <w:w w:val="95"/>
        </w:rPr>
        <w:t>1</w:t>
      </w:r>
      <w:r>
        <w:rPr>
          <w:w w:val="95"/>
        </w:rPr>
        <w:t>）重度黄疸或黄疸迅速加重；</w:t>
      </w:r>
    </w:p>
    <w:p>
      <w:pPr>
        <w:pStyle w:val="BodyText"/>
        <w:ind w:left="1243"/>
        <w:jc w:val="both"/>
      </w:pPr>
      <w:r>
        <w:rPr>
          <w:w w:val="95"/>
        </w:rPr>
        <w:t>（</w:t>
      </w:r>
      <w:r>
        <w:rPr>
          <w:rFonts w:ascii="Arial" w:eastAsia="Arial"/>
          <w:w w:val="95"/>
        </w:rPr>
        <w:t>2</w:t>
      </w:r>
      <w:r>
        <w:rPr>
          <w:w w:val="95"/>
        </w:rPr>
        <w:t>）肝性脑病；</w:t>
      </w:r>
    </w:p>
    <w:p>
      <w:pPr>
        <w:pStyle w:val="BodyText"/>
        <w:spacing w:before="104"/>
        <w:ind w:left="1243"/>
        <w:jc w:val="both"/>
      </w:pPr>
      <w:r>
        <w:rPr/>
        <w:t>（</w:t>
      </w:r>
      <w:r>
        <w:rPr>
          <w:rFonts w:ascii="Arial" w:eastAsia="Arial"/>
        </w:rPr>
        <w:t>3</w:t>
      </w:r>
      <w:r>
        <w:rPr/>
        <w:t>）</w:t>
      </w:r>
      <w:r>
        <w:rPr>
          <w:rFonts w:ascii="Arial" w:eastAsia="Arial"/>
        </w:rPr>
        <w:t>B </w:t>
      </w:r>
      <w:r>
        <w:rPr/>
        <w:t>超或其它影像学检查显示肝脏体积急速萎缩；</w:t>
      </w:r>
    </w:p>
    <w:p>
      <w:pPr>
        <w:pStyle w:val="BodyText"/>
        <w:ind w:left="1243"/>
        <w:jc w:val="both"/>
      </w:pPr>
      <w:r>
        <w:rPr>
          <w:w w:val="95"/>
        </w:rPr>
        <w:t>（</w:t>
      </w:r>
      <w:r>
        <w:rPr>
          <w:rFonts w:ascii="Arial" w:eastAsia="Arial"/>
          <w:w w:val="95"/>
        </w:rPr>
        <w:t>4</w:t>
      </w:r>
      <w:r>
        <w:rPr>
          <w:w w:val="95"/>
        </w:rPr>
        <w:t>）肝功能指标进行性恶化。</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良性脑肿瘤</w:t>
      </w:r>
    </w:p>
    <w:p>
      <w:pPr>
        <w:pStyle w:val="BodyText"/>
        <w:spacing w:line="348" w:lineRule="auto"/>
        <w:ind w:left="1243" w:right="10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8"/>
        <w:jc w:val="both"/>
      </w:pPr>
      <w:r>
        <w:rPr>
          <w:w w:val="95"/>
        </w:rPr>
        <w:t>（</w:t>
      </w:r>
      <w:r>
        <w:rPr>
          <w:rFonts w:ascii="Arial" w:eastAsia="Arial"/>
          <w:w w:val="95"/>
        </w:rPr>
        <w:t>1</w:t>
      </w:r>
      <w:r>
        <w:rPr>
          <w:w w:val="95"/>
        </w:rPr>
        <w:t>）实际实施了开颅进行的脑肿瘤完全切除或部分切除的手术；</w:t>
      </w:r>
    </w:p>
    <w:p>
      <w:pPr>
        <w:pStyle w:val="BodyText"/>
        <w:jc w:val="both"/>
      </w:pPr>
      <w:r>
        <w:rPr>
          <w:w w:val="95"/>
        </w:rPr>
        <w:t>（</w:t>
      </w:r>
      <w:r>
        <w:rPr>
          <w:rFonts w:ascii="Arial" w:eastAsia="Arial"/>
          <w:w w:val="95"/>
        </w:rPr>
        <w:t>2</w:t>
      </w:r>
      <w:r>
        <w:rPr>
          <w:w w:val="95"/>
        </w:rPr>
        <w:t>）实际实施了对脑肿瘤进行的放射治疗。</w:t>
      </w:r>
    </w:p>
    <w:p>
      <w:pPr>
        <w:pStyle w:val="Heading3"/>
        <w:spacing w:before="104"/>
        <w:jc w:val="both"/>
      </w:pPr>
      <w:r>
        <w:rPr>
          <w:w w:val="95"/>
        </w:rPr>
        <w:t>脑垂体瘤、脑囊肿、脑血管性疾病不在保障范围内。</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慢性肝功能衰竭失代偿期</w:t>
      </w:r>
    </w:p>
    <w:p>
      <w:pPr>
        <w:pStyle w:val="BodyText"/>
        <w:jc w:val="both"/>
      </w:pPr>
      <w:r>
        <w:rPr/>
        <w:t>指因慢性肝脏疾病导致肝功能衰竭。须满足下列全部条件：</w:t>
      </w:r>
    </w:p>
    <w:p>
      <w:pPr>
        <w:pStyle w:val="BodyText"/>
        <w:spacing w:before="119"/>
        <w:jc w:val="both"/>
      </w:pPr>
      <w:r>
        <w:rPr>
          <w:w w:val="95"/>
        </w:rPr>
        <w:t>（</w:t>
      </w:r>
      <w:r>
        <w:rPr>
          <w:rFonts w:ascii="Arial" w:eastAsia="Arial"/>
          <w:w w:val="95"/>
        </w:rPr>
        <w:t>1</w:t>
      </w:r>
      <w:r>
        <w:rPr>
          <w:w w:val="95"/>
        </w:rPr>
        <w:t>）持续性黄疸；</w:t>
      </w:r>
    </w:p>
    <w:p>
      <w:pPr>
        <w:pStyle w:val="BodyText"/>
        <w:jc w:val="both"/>
      </w:pPr>
      <w:r>
        <w:rPr>
          <w:w w:val="95"/>
        </w:rPr>
        <w:t>（</w:t>
      </w:r>
      <w:r>
        <w:rPr>
          <w:rFonts w:ascii="Arial" w:eastAsia="Arial"/>
          <w:w w:val="95"/>
        </w:rPr>
        <w:t>2</w:t>
      </w:r>
      <w:r>
        <w:rPr>
          <w:w w:val="95"/>
        </w:rPr>
        <w:t>）腹水；</w:t>
      </w:r>
    </w:p>
    <w:p>
      <w:pPr>
        <w:pStyle w:val="BodyText"/>
        <w:jc w:val="both"/>
      </w:pPr>
      <w:r>
        <w:rPr>
          <w:w w:val="95"/>
        </w:rPr>
        <w:t>（</w:t>
      </w:r>
      <w:r>
        <w:rPr>
          <w:rFonts w:ascii="Arial" w:eastAsia="Arial"/>
          <w:w w:val="95"/>
        </w:rPr>
        <w:t>3</w:t>
      </w:r>
      <w:r>
        <w:rPr>
          <w:w w:val="95"/>
        </w:rPr>
        <w:t>）肝性脑病；</w:t>
      </w:r>
    </w:p>
    <w:p>
      <w:pPr>
        <w:spacing w:line="343" w:lineRule="auto" w:before="106"/>
        <w:ind w:left="1244" w:right="4623"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21"/>
        </w:numPr>
        <w:tabs>
          <w:tab w:pos="1294" w:val="left" w:leader="none"/>
          <w:tab w:pos="1295" w:val="left" w:leader="none"/>
        </w:tabs>
        <w:spacing w:line="240" w:lineRule="auto" w:before="42" w:after="0"/>
        <w:ind w:left="1294" w:right="0" w:hanging="756"/>
        <w:jc w:val="left"/>
        <w:rPr>
          <w:sz w:val="18"/>
        </w:rPr>
      </w:pPr>
      <w:r>
        <w:rPr>
          <w:sz w:val="18"/>
        </w:rPr>
        <w:t>脑炎后遗症或脑膜炎后遗症</w:t>
      </w:r>
    </w:p>
    <w:p>
      <w:pPr>
        <w:pStyle w:val="BodyText"/>
        <w:spacing w:line="340" w:lineRule="auto" w:before="107"/>
        <w:ind w:left="1243" w:right="109"/>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1"/>
        <w:ind w:left="1243"/>
        <w:jc w:val="both"/>
      </w:pPr>
      <w:r>
        <w:rPr>
          <w:w w:val="95"/>
        </w:rPr>
        <w:t>（</w:t>
      </w:r>
      <w:r>
        <w:rPr>
          <w:rFonts w:ascii="Arial" w:eastAsia="Arial"/>
          <w:w w:val="95"/>
        </w:rPr>
        <w:t>1</w:t>
      </w:r>
      <w:r>
        <w:rPr>
          <w:w w:val="95"/>
        </w:rPr>
        <w:t>）一肢或一肢以上肢体机能完全丧失；</w:t>
      </w:r>
    </w:p>
    <w:p>
      <w:pPr>
        <w:pStyle w:val="BodyText"/>
        <w:ind w:left="1243"/>
        <w:jc w:val="both"/>
      </w:pPr>
      <w:r>
        <w:rPr>
          <w:w w:val="95"/>
        </w:rPr>
        <w:t>（</w:t>
      </w:r>
      <w:r>
        <w:rPr>
          <w:rFonts w:ascii="Arial" w:eastAsia="Arial"/>
          <w:w w:val="95"/>
        </w:rPr>
        <w:t>2</w:t>
      </w:r>
      <w:r>
        <w:rPr>
          <w:w w:val="95"/>
        </w:rPr>
        <w:t>）语言能力或咀嚼吞咽能力完全丧失；</w:t>
      </w:r>
    </w:p>
    <w:p>
      <w:pPr>
        <w:pStyle w:val="BodyText"/>
        <w:ind w:left="1243"/>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深度昏迷</w:t>
      </w:r>
    </w:p>
    <w:p>
      <w:pPr>
        <w:pStyle w:val="BodyText"/>
        <w:spacing w:line="340" w:lineRule="auto"/>
        <w:ind w:left="1243" w:right="105"/>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jc w:val="both"/>
      </w:pPr>
      <w:r>
        <w:rPr>
          <w:w w:val="95"/>
        </w:rPr>
        <w:t>因酗酒或药物滥用导致的深度昏迷不在保障范围内。</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双耳失聪</w:t>
      </w:r>
    </w:p>
    <w:p>
      <w:pPr>
        <w:pStyle w:val="BodyText"/>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3"/>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21"/>
        </w:numPr>
        <w:tabs>
          <w:tab w:pos="1243" w:val="left" w:leader="none"/>
          <w:tab w:pos="1244" w:val="left" w:leader="none"/>
        </w:tabs>
        <w:spacing w:line="240" w:lineRule="auto" w:before="103" w:after="0"/>
        <w:ind w:left="1244" w:right="0" w:hanging="706"/>
        <w:jc w:val="left"/>
        <w:rPr>
          <w:sz w:val="18"/>
        </w:rPr>
      </w:pPr>
      <w:r>
        <w:rPr>
          <w:sz w:val="18"/>
        </w:rPr>
        <w:t>双目失明</w:t>
      </w:r>
    </w:p>
    <w:p>
      <w:pPr>
        <w:pStyle w:val="BodyText"/>
        <w:jc w:val="both"/>
      </w:pPr>
      <w:r>
        <w:rPr/>
        <w:t>指因疾病或意外伤害导致双眼视力永久不可逆性丧失，双眼中较好眼须满足下列至少一项条件：</w:t>
      </w:r>
    </w:p>
    <w:p>
      <w:pPr>
        <w:pStyle w:val="BodyText"/>
        <w:spacing w:before="119"/>
        <w:ind w:left="1243"/>
        <w:jc w:val="both"/>
      </w:pPr>
      <w:r>
        <w:rPr>
          <w:w w:val="95"/>
        </w:rPr>
        <w:t>（</w:t>
      </w:r>
      <w:r>
        <w:rPr>
          <w:rFonts w:ascii="Arial" w:eastAsia="Arial"/>
          <w:w w:val="95"/>
        </w:rPr>
        <w:t>1</w:t>
      </w:r>
      <w:r>
        <w:rPr>
          <w:w w:val="95"/>
        </w:rPr>
        <w:t>）眼球缺失或摘除；</w:t>
      </w:r>
    </w:p>
    <w:p>
      <w:pPr>
        <w:pStyle w:val="BodyText"/>
        <w:ind w:left="1243"/>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4"/>
        <w:ind w:left="1243"/>
        <w:jc w:val="both"/>
      </w:pPr>
      <w:r>
        <w:rPr/>
        <w:t>（</w:t>
      </w:r>
      <w:r>
        <w:rPr>
          <w:rFonts w:ascii="Arial" w:eastAsia="Arial"/>
        </w:rPr>
        <w:t>3</w:t>
      </w:r>
      <w:r>
        <w:rPr/>
        <w:t>）视野半径小于 </w:t>
      </w:r>
      <w:r>
        <w:rPr>
          <w:rFonts w:ascii="Arial" w:eastAsia="Arial"/>
        </w:rPr>
        <w:t>5 </w:t>
      </w:r>
      <w:r>
        <w:rPr/>
        <w:t>度。</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瘫痪</w:t>
      </w:r>
    </w:p>
    <w:p>
      <w:pPr>
        <w:pStyle w:val="BodyText"/>
        <w:jc w:val="both"/>
      </w:pPr>
      <w:r>
        <w:rPr/>
        <w:t>指因疾病或意外伤害导致两肢或两肢以上肢体机能永久完全丧失。肢体机能永久完全丧失，指疾病确诊 </w:t>
      </w:r>
      <w:r>
        <w:rPr>
          <w:rFonts w:ascii="Arial" w:eastAsia="Arial"/>
        </w:rPr>
        <w:t>180 </w:t>
      </w:r>
      <w:r>
        <w:rPr/>
        <w:t>日后</w:t>
      </w:r>
    </w:p>
    <w:p>
      <w:pPr>
        <w:pStyle w:val="BodyText"/>
        <w:spacing w:before="104"/>
        <w:jc w:val="both"/>
      </w:pPr>
      <w:r>
        <w:rPr/>
        <w:t>或意外伤害发生 </w:t>
      </w:r>
      <w:r>
        <w:rPr>
          <w:rFonts w:ascii="Arial" w:eastAsia="Arial"/>
        </w:rPr>
        <w:t>180 </w:t>
      </w:r>
      <w:r>
        <w:rPr/>
        <w:t>日后，每肢三大关节中的两大关节仍然完全僵硬，或不能随意识活动。</w:t>
      </w:r>
    </w:p>
    <w:p>
      <w:pPr>
        <w:pStyle w:val="ListParagraph"/>
        <w:numPr>
          <w:ilvl w:val="1"/>
          <w:numId w:val="21"/>
        </w:numPr>
        <w:tabs>
          <w:tab w:pos="1243" w:val="left" w:leader="none"/>
          <w:tab w:pos="1244" w:val="left" w:leader="none"/>
        </w:tabs>
        <w:spacing w:line="240" w:lineRule="auto" w:before="104" w:after="0"/>
        <w:ind w:left="1243" w:right="0" w:hanging="705"/>
        <w:jc w:val="left"/>
        <w:rPr>
          <w:sz w:val="18"/>
        </w:rPr>
      </w:pPr>
      <w:r>
        <w:rPr>
          <w:sz w:val="18"/>
        </w:rPr>
        <w:t>心脏瓣膜手术</w:t>
      </w:r>
    </w:p>
    <w:p>
      <w:pPr>
        <w:pStyle w:val="BodyText"/>
        <w:ind w:left="1243"/>
        <w:jc w:val="both"/>
      </w:pPr>
      <w:r>
        <w:rPr/>
        <w:t>指为治疗心脏瓣膜疾病，实际实施了开胸进行的心脏瓣膜置换或修复的手术。</w:t>
      </w:r>
    </w:p>
    <w:p>
      <w:pPr>
        <w:spacing w:after="0"/>
        <w:jc w:val="both"/>
        <w:sectPr>
          <w:pgSz w:w="11910" w:h="16840"/>
          <w:pgMar w:header="672" w:footer="759" w:top="860" w:bottom="940" w:left="880" w:right="740"/>
        </w:sectPr>
      </w:pPr>
    </w:p>
    <w:p>
      <w:pPr>
        <w:pStyle w:val="BodyText"/>
        <w:spacing w:before="9"/>
        <w:ind w:left="0"/>
        <w:rPr>
          <w:sz w:val="13"/>
        </w:rPr>
      </w:pPr>
    </w:p>
    <w:p>
      <w:pPr>
        <w:pStyle w:val="ListParagraph"/>
        <w:numPr>
          <w:ilvl w:val="1"/>
          <w:numId w:val="21"/>
        </w:numPr>
        <w:tabs>
          <w:tab w:pos="1243" w:val="left" w:leader="none"/>
          <w:tab w:pos="1244" w:val="left" w:leader="none"/>
        </w:tabs>
        <w:spacing w:line="240" w:lineRule="auto" w:before="53" w:after="0"/>
        <w:ind w:left="1244" w:right="0" w:hanging="706"/>
        <w:jc w:val="left"/>
        <w:rPr>
          <w:sz w:val="18"/>
        </w:rPr>
      </w:pPr>
      <w:r>
        <w:rPr>
          <w:sz w:val="18"/>
        </w:rPr>
        <w:t>严重阿尔茨海默病</w:t>
      </w:r>
    </w:p>
    <w:p>
      <w:pPr>
        <w:pStyle w:val="BodyText"/>
        <w:spacing w:line="345" w:lineRule="auto"/>
        <w:ind w:left="1243" w:right="103"/>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8"/>
        <w:jc w:val="both"/>
      </w:pPr>
      <w:r>
        <w:rPr>
          <w:w w:val="95"/>
        </w:rPr>
        <w:t>神经官能症和精神疾病不在保障范围内。</w:t>
      </w:r>
    </w:p>
    <w:p>
      <w:pPr>
        <w:spacing w:line="348" w:lineRule="auto" w:before="119"/>
        <w:ind w:left="1244" w:right="108" w:firstLine="0"/>
        <w:jc w:val="both"/>
        <w:rPr>
          <w:b/>
          <w:sz w:val="18"/>
        </w:rPr>
      </w:pPr>
      <w:r>
        <w:rPr>
          <w:b/>
          <w:spacing w:val="-6"/>
          <w:sz w:val="18"/>
        </w:rPr>
        <w:t>若被保险人于 </w:t>
      </w:r>
      <w:r>
        <w:rPr>
          <w:rFonts w:ascii="Arial" w:eastAsia="Arial"/>
          <w:b/>
          <w:sz w:val="18"/>
        </w:rPr>
        <w:t>65 </w:t>
      </w:r>
      <w:r>
        <w:rPr>
          <w:b/>
          <w:sz w:val="18"/>
        </w:rPr>
        <w:t>周岁之前（</w:t>
      </w:r>
      <w:r>
        <w:rPr>
          <w:b/>
          <w:spacing w:val="-11"/>
          <w:sz w:val="18"/>
        </w:rPr>
        <w:t>包括 </w:t>
      </w:r>
      <w:r>
        <w:rPr>
          <w:rFonts w:ascii="Arial" w:eastAsia="Arial"/>
          <w:b/>
          <w:sz w:val="18"/>
        </w:rPr>
        <w:t>65 </w:t>
      </w:r>
      <w:r>
        <w:rPr>
          <w:b/>
          <w:sz w:val="18"/>
        </w:rPr>
        <w:t>周岁），经专科医生首次确诊患有本条所定义的严重阿尔茨海默病，我们按本合同第三条的规定承担保险责任。除此之外，在本合同项下我们不再承担任何与严重阿尔茨海默病相关的保险</w:t>
      </w:r>
      <w:r>
        <w:rPr>
          <w:b/>
          <w:w w:val="95"/>
          <w:sz w:val="18"/>
        </w:rPr>
        <w:t>责任。</w:t>
      </w:r>
    </w:p>
    <w:p>
      <w:pPr>
        <w:pStyle w:val="ListParagraph"/>
        <w:numPr>
          <w:ilvl w:val="1"/>
          <w:numId w:val="21"/>
        </w:numPr>
        <w:tabs>
          <w:tab w:pos="1243" w:val="left" w:leader="none"/>
          <w:tab w:pos="1244" w:val="left" w:leader="none"/>
        </w:tabs>
        <w:spacing w:line="240" w:lineRule="auto" w:before="38" w:after="0"/>
        <w:ind w:left="1244" w:right="0" w:hanging="706"/>
        <w:jc w:val="left"/>
        <w:rPr>
          <w:sz w:val="18"/>
        </w:rPr>
      </w:pPr>
      <w:r>
        <w:rPr>
          <w:sz w:val="18"/>
        </w:rPr>
        <w:t>严重脑损伤</w:t>
      </w:r>
    </w:p>
    <w:p>
      <w:pPr>
        <w:pStyle w:val="BodyText"/>
        <w:spacing w:line="340" w:lineRule="auto" w:before="107"/>
        <w:ind w:left="1243" w:right="112"/>
        <w:jc w:val="both"/>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20"/>
        <w:ind w:left="1243"/>
        <w:jc w:val="both"/>
      </w:pPr>
      <w:r>
        <w:rPr>
          <w:w w:val="95"/>
        </w:rPr>
        <w:t>（</w:t>
      </w:r>
      <w:r>
        <w:rPr>
          <w:rFonts w:ascii="Arial" w:eastAsia="Arial"/>
          <w:w w:val="95"/>
        </w:rPr>
        <w:t>1</w:t>
      </w:r>
      <w:r>
        <w:rPr>
          <w:w w:val="95"/>
        </w:rPr>
        <w:t>）一肢或一肢以上肢体机能完全丧失；</w:t>
      </w:r>
    </w:p>
    <w:p>
      <w:pPr>
        <w:pStyle w:val="BodyText"/>
        <w:ind w:left="1243"/>
        <w:jc w:val="both"/>
      </w:pPr>
      <w:r>
        <w:rPr>
          <w:w w:val="95"/>
        </w:rPr>
        <w:t>（</w:t>
      </w:r>
      <w:r>
        <w:rPr>
          <w:rFonts w:ascii="Arial" w:eastAsia="Arial"/>
          <w:w w:val="95"/>
        </w:rPr>
        <w:t>2</w:t>
      </w:r>
      <w:r>
        <w:rPr>
          <w:w w:val="95"/>
        </w:rPr>
        <w:t>）语言能力或咀嚼吞咽能力完全丧失；</w:t>
      </w:r>
    </w:p>
    <w:p>
      <w:pPr>
        <w:pStyle w:val="BodyText"/>
        <w:ind w:left="1243"/>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严重帕金森病</w:t>
      </w:r>
    </w:p>
    <w:p>
      <w:pPr>
        <w:pStyle w:val="BodyText"/>
        <w:ind w:left="1243"/>
        <w:jc w:val="both"/>
      </w:pPr>
      <w:r>
        <w:rPr/>
        <w:t>是一种中枢神经系统的退行性疾病，临床表现为震颤麻痹、共济失调等。须满足下列全部条件：</w:t>
      </w:r>
    </w:p>
    <w:p>
      <w:pPr>
        <w:pStyle w:val="BodyText"/>
        <w:spacing w:before="119"/>
        <w:ind w:left="1243"/>
        <w:jc w:val="both"/>
      </w:pPr>
      <w:r>
        <w:rPr>
          <w:w w:val="95"/>
        </w:rPr>
        <w:t>（</w:t>
      </w:r>
      <w:r>
        <w:rPr>
          <w:rFonts w:ascii="Arial" w:eastAsia="Arial"/>
          <w:w w:val="95"/>
        </w:rPr>
        <w:t>1</w:t>
      </w:r>
      <w:r>
        <w:rPr>
          <w:w w:val="95"/>
        </w:rPr>
        <w:t>）药物治疗无法控制病情；</w:t>
      </w:r>
    </w:p>
    <w:p>
      <w:pPr>
        <w:spacing w:line="343" w:lineRule="auto" w:before="104"/>
        <w:ind w:left="1244" w:right="192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ListParagraph"/>
        <w:numPr>
          <w:ilvl w:val="1"/>
          <w:numId w:val="21"/>
        </w:numPr>
        <w:tabs>
          <w:tab w:pos="1243" w:val="left" w:leader="none"/>
          <w:tab w:pos="1244" w:val="left" w:leader="none"/>
        </w:tabs>
        <w:spacing w:line="240" w:lineRule="auto" w:before="42" w:after="0"/>
        <w:ind w:left="1244" w:right="0" w:hanging="706"/>
        <w:jc w:val="left"/>
        <w:rPr>
          <w:sz w:val="18"/>
        </w:rPr>
      </w:pPr>
      <w:r>
        <w:rPr>
          <w:sz w:val="18"/>
        </w:rPr>
        <w:t>严重Ⅲ度烧伤</w:t>
      </w:r>
    </w:p>
    <w:p>
      <w:pPr>
        <w:pStyle w:val="BodyText"/>
        <w:spacing w:line="340" w:lineRule="auto"/>
        <w:ind w:left="1243" w:right="106"/>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21"/>
        </w:numPr>
        <w:tabs>
          <w:tab w:pos="1243" w:val="left" w:leader="none"/>
          <w:tab w:pos="1244" w:val="left" w:leader="none"/>
        </w:tabs>
        <w:spacing w:line="240" w:lineRule="auto" w:before="41" w:after="0"/>
        <w:ind w:left="1243" w:right="0" w:hanging="705"/>
        <w:jc w:val="left"/>
        <w:rPr>
          <w:sz w:val="18"/>
        </w:rPr>
      </w:pPr>
      <w:r>
        <w:rPr>
          <w:sz w:val="18"/>
        </w:rPr>
        <w:t>严重原发性肺动脉高压</w:t>
      </w:r>
    </w:p>
    <w:p>
      <w:pPr>
        <w:pStyle w:val="BodyText"/>
        <w:spacing w:line="360" w:lineRule="auto"/>
        <w:ind w:left="1243" w:right="108"/>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21"/>
        </w:numPr>
        <w:tabs>
          <w:tab w:pos="1243" w:val="left" w:leader="none"/>
          <w:tab w:pos="1244" w:val="left" w:leader="none"/>
        </w:tabs>
        <w:spacing w:line="240" w:lineRule="auto" w:before="3" w:after="0"/>
        <w:ind w:left="1243" w:right="0" w:hanging="705"/>
        <w:jc w:val="left"/>
        <w:rPr>
          <w:sz w:val="18"/>
        </w:rPr>
      </w:pPr>
      <w:r>
        <w:rPr>
          <w:sz w:val="18"/>
        </w:rPr>
        <w:t>严重运动神经元病</w:t>
      </w:r>
    </w:p>
    <w:p>
      <w:pPr>
        <w:pStyle w:val="BodyText"/>
        <w:spacing w:line="360" w:lineRule="auto"/>
        <w:ind w:left="1243" w:right="1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21"/>
        </w:numPr>
        <w:tabs>
          <w:tab w:pos="1243" w:val="left" w:leader="none"/>
          <w:tab w:pos="1244" w:val="left" w:leader="none"/>
        </w:tabs>
        <w:spacing w:line="240" w:lineRule="auto" w:before="27" w:after="0"/>
        <w:ind w:left="1243" w:right="0" w:hanging="705"/>
        <w:jc w:val="left"/>
        <w:rPr>
          <w:sz w:val="18"/>
        </w:rPr>
      </w:pPr>
      <w:r>
        <w:rPr>
          <w:sz w:val="18"/>
        </w:rPr>
        <w:t>语言能力丧失</w:t>
      </w:r>
    </w:p>
    <w:p>
      <w:pPr>
        <w:pStyle w:val="BodyText"/>
        <w:spacing w:line="340" w:lineRule="auto" w:before="107"/>
        <w:ind w:left="1243" w:right="48"/>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2"/>
        <w:jc w:val="both"/>
      </w:pPr>
      <w:r>
        <w:rPr>
          <w:w w:val="95"/>
        </w:rPr>
        <w:t>精神心理因素所致的语言能力丧失不在保障范围内。</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重型再生障碍性贫血</w:t>
      </w:r>
    </w:p>
    <w:p>
      <w:pPr>
        <w:pStyle w:val="BodyText"/>
        <w:jc w:val="both"/>
      </w:pPr>
      <w:r>
        <w:rPr/>
        <w:t>指因骨髓造血功能慢性持续性衰竭导致的贫血、中性粒细胞减少及血小板减少。须满足下列全部条件：</w:t>
      </w:r>
    </w:p>
    <w:p>
      <w:pPr>
        <w:pStyle w:val="BodyText"/>
        <w:spacing w:before="119"/>
        <w:jc w:val="both"/>
      </w:pPr>
      <w:r>
        <w:rPr>
          <w:w w:val="95"/>
        </w:rPr>
        <w:t>（</w:t>
      </w:r>
      <w:r>
        <w:rPr>
          <w:rFonts w:ascii="Arial" w:eastAsia="Arial"/>
          <w:w w:val="95"/>
        </w:rPr>
        <w:t>1</w:t>
      </w:r>
      <w:r>
        <w:rPr>
          <w:w w:val="95"/>
        </w:rPr>
        <w:t>）骨髓穿刺检查或骨髓活检结果支持诊断；</w:t>
      </w:r>
    </w:p>
    <w:p>
      <w:pPr>
        <w:pStyle w:val="BodyText"/>
        <w:jc w:val="both"/>
      </w:pPr>
      <w:r>
        <w:rPr>
          <w:w w:val="95"/>
        </w:rPr>
        <w:t>（</w:t>
      </w:r>
      <w:r>
        <w:rPr>
          <w:rFonts w:ascii="Arial" w:eastAsia="Arial"/>
          <w:w w:val="95"/>
        </w:rPr>
        <w:t>2</w:t>
      </w:r>
      <w:r>
        <w:rPr>
          <w:w w:val="95"/>
        </w:rPr>
        <w:t>）外周血象须具备以下三项条件：</w:t>
      </w:r>
    </w:p>
    <w:p>
      <w:pPr>
        <w:pStyle w:val="BodyText"/>
        <w:spacing w:before="104"/>
        <w:jc w:val="both"/>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jc w:val="both"/>
      </w:pPr>
      <w:r>
        <w:rPr/>
        <w:t>② 网织红细胞＜</w:t>
      </w:r>
      <w:r>
        <w:rPr>
          <w:rFonts w:ascii="Arial" w:hAnsi="Arial" w:eastAsia="Arial"/>
        </w:rPr>
        <w:t>1%</w:t>
      </w:r>
      <w:r>
        <w:rPr/>
        <w:t>；</w:t>
      </w:r>
    </w:p>
    <w:p>
      <w:pPr>
        <w:spacing w:after="0"/>
        <w:jc w:val="both"/>
        <w:sectPr>
          <w:pgSz w:w="11910" w:h="16840"/>
          <w:pgMar w:header="672" w:footer="759" w:top="860" w:bottom="940" w:left="880" w:right="740"/>
        </w:sectPr>
      </w:pPr>
    </w:p>
    <w:p>
      <w:pPr>
        <w:pStyle w:val="BodyText"/>
        <w:spacing w:before="12"/>
        <w:ind w:left="0"/>
        <w:rPr>
          <w:sz w:val="10"/>
        </w:rPr>
      </w:pPr>
    </w:p>
    <w:p>
      <w:pPr>
        <w:pStyle w:val="BodyText"/>
        <w:spacing w:before="90"/>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/L</w:t>
      </w:r>
      <w:r>
        <w:rPr>
          <w:vertAlign w:val="baseline"/>
        </w:rPr>
        <w:t>。</w:t>
      </w:r>
    </w:p>
    <w:p>
      <w:pPr>
        <w:pStyle w:val="ListParagraph"/>
        <w:numPr>
          <w:ilvl w:val="1"/>
          <w:numId w:val="21"/>
        </w:numPr>
        <w:tabs>
          <w:tab w:pos="1243" w:val="left" w:leader="none"/>
          <w:tab w:pos="1244" w:val="left" w:leader="none"/>
        </w:tabs>
        <w:spacing w:line="240" w:lineRule="auto" w:before="107" w:after="0"/>
        <w:ind w:left="1244" w:right="0" w:hanging="706"/>
        <w:jc w:val="left"/>
        <w:rPr>
          <w:sz w:val="18"/>
        </w:rPr>
      </w:pPr>
      <w:r>
        <w:rPr>
          <w:sz w:val="18"/>
        </w:rPr>
        <w:t>主动脉手术</w:t>
      </w:r>
    </w:p>
    <w:p>
      <w:pPr>
        <w:pStyle w:val="BodyText"/>
        <w:spacing w:line="360" w:lineRule="auto" w:before="104"/>
        <w:ind w:right="128"/>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z w:val="18"/>
        </w:rPr>
        <w:t>上述定义的各项重大疾病为中国保险行业协会制定的《重大疾病保险的疾病定义使用规范》中所定义的疾病。</w:t>
      </w:r>
    </w:p>
    <w:p>
      <w:pPr>
        <w:pStyle w:val="Heading2"/>
        <w:spacing w:before="102"/>
      </w:pPr>
      <w:r>
        <w:rPr/>
        <w:t>第二十九条 释义</w:t>
      </w:r>
    </w:p>
    <w:p>
      <w:pPr>
        <w:pStyle w:val="ListParagraph"/>
        <w:numPr>
          <w:ilvl w:val="1"/>
          <w:numId w:val="22"/>
        </w:numPr>
        <w:tabs>
          <w:tab w:pos="1243" w:val="left" w:leader="none"/>
          <w:tab w:pos="1244" w:val="left" w:leader="none"/>
        </w:tabs>
        <w:spacing w:line="340" w:lineRule="auto" w:before="141" w:after="0"/>
        <w:ind w:left="1244" w:right="125" w:hanging="706"/>
        <w:jc w:val="left"/>
        <w:rPr>
          <w:sz w:val="18"/>
        </w:rPr>
      </w:pPr>
      <w:r>
        <w:rPr>
          <w:sz w:val="18"/>
        </w:rPr>
        <w:t>保险单生效日：指保险单上载明的合同生效日，除非本合同另行约定，本保险单自保险单生效日的 </w:t>
      </w:r>
      <w:r>
        <w:rPr>
          <w:rFonts w:ascii="Arial" w:eastAsia="Arial"/>
          <w:sz w:val="18"/>
        </w:rPr>
        <w:t>24</w:t>
      </w:r>
      <w:r>
        <w:rPr>
          <w:rFonts w:ascii="Arial" w:eastAsia="Arial"/>
          <w:spacing w:val="16"/>
          <w:sz w:val="18"/>
        </w:rPr>
        <w:t> </w:t>
      </w:r>
      <w:r>
        <w:rPr>
          <w:sz w:val="18"/>
        </w:rPr>
        <w:t>时开始生效。</w:t>
      </w:r>
    </w:p>
    <w:p>
      <w:pPr>
        <w:pStyle w:val="ListParagraph"/>
        <w:numPr>
          <w:ilvl w:val="1"/>
          <w:numId w:val="22"/>
        </w:numPr>
        <w:tabs>
          <w:tab w:pos="1243" w:val="left" w:leader="none"/>
          <w:tab w:pos="1244" w:val="left" w:leader="none"/>
        </w:tabs>
        <w:spacing w:line="240" w:lineRule="auto" w:before="41" w:after="0"/>
        <w:ind w:left="1244" w:right="0" w:hanging="706"/>
        <w:jc w:val="left"/>
        <w:rPr>
          <w:sz w:val="18"/>
        </w:rPr>
      </w:pPr>
      <w:r>
        <w:rPr>
          <w:sz w:val="18"/>
        </w:rPr>
        <w:t>保险单周年日：指保险单生效日所对应的每个周年日。</w:t>
      </w:r>
    </w:p>
    <w:p>
      <w:pPr>
        <w:pStyle w:val="ListParagraph"/>
        <w:numPr>
          <w:ilvl w:val="1"/>
          <w:numId w:val="22"/>
        </w:numPr>
        <w:tabs>
          <w:tab w:pos="1243" w:val="left" w:leader="none"/>
          <w:tab w:pos="1244" w:val="left" w:leader="none"/>
        </w:tabs>
        <w:spacing w:line="340" w:lineRule="auto" w:before="106" w:after="0"/>
        <w:ind w:left="1244" w:right="116"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22"/>
        </w:numPr>
        <w:tabs>
          <w:tab w:pos="1243" w:val="left" w:leader="none"/>
          <w:tab w:pos="1244" w:val="left" w:leader="none"/>
        </w:tabs>
        <w:spacing w:line="240" w:lineRule="auto" w:before="41" w:after="0"/>
        <w:ind w:left="1244" w:right="0" w:hanging="706"/>
        <w:jc w:val="left"/>
        <w:rPr>
          <w:sz w:val="18"/>
        </w:rPr>
      </w:pPr>
      <w:r>
        <w:rPr>
          <w:sz w:val="18"/>
        </w:rPr>
        <w:t>专科医生：专科医生应当同时满足以下四项资格条件：</w:t>
      </w:r>
    </w:p>
    <w:p>
      <w:pPr>
        <w:pStyle w:val="BodyText"/>
        <w:ind w:left="1243"/>
      </w:pPr>
      <w:r>
        <w:rPr>
          <w:w w:val="95"/>
        </w:rPr>
        <w:t>（</w:t>
      </w:r>
      <w:r>
        <w:rPr>
          <w:rFonts w:ascii="Arial" w:eastAsia="Arial"/>
          <w:w w:val="95"/>
        </w:rPr>
        <w:t>1</w:t>
      </w:r>
      <w:r>
        <w:rPr>
          <w:w w:val="95"/>
        </w:rPr>
        <w:t>）具有有效的中华人民共和国《医师资格证书》；</w:t>
      </w:r>
    </w:p>
    <w:p>
      <w:pPr>
        <w:pStyle w:val="BodyText"/>
        <w:ind w:left="1243"/>
      </w:pPr>
      <w:r>
        <w:rPr>
          <w:w w:val="95"/>
        </w:rPr>
        <w:t>（</w:t>
      </w:r>
      <w:r>
        <w:rPr>
          <w:rFonts w:ascii="Arial" w:eastAsia="Arial"/>
          <w:w w:val="95"/>
        </w:rPr>
        <w:t>2</w:t>
      </w:r>
      <w:r>
        <w:rPr>
          <w:w w:val="95"/>
        </w:rPr>
        <w:t>）具有有效的中华人民共和国《医师执业证书》，并按期到相关部门登记注册；</w:t>
      </w:r>
    </w:p>
    <w:p>
      <w:pPr>
        <w:pStyle w:val="BodyText"/>
        <w:ind w:left="1243"/>
      </w:pPr>
      <w:r>
        <w:rPr>
          <w:w w:val="95"/>
        </w:rPr>
        <w:t>（</w:t>
      </w:r>
      <w:r>
        <w:rPr>
          <w:rFonts w:ascii="Arial" w:eastAsia="Arial"/>
          <w:w w:val="95"/>
        </w:rPr>
        <w:t>3</w:t>
      </w:r>
      <w:r>
        <w:rPr>
          <w:w w:val="95"/>
        </w:rPr>
        <w:t>）具有有效的中华人民共和国主治医师或主治医师以上职称的《医师职称证书》；</w:t>
      </w:r>
    </w:p>
    <w:p>
      <w:pPr>
        <w:pStyle w:val="BodyText"/>
        <w:ind w:left="1243"/>
      </w:pPr>
      <w:r>
        <w:rPr>
          <w:w w:val="95"/>
        </w:rPr>
        <w:t>（</w:t>
      </w:r>
      <w:r>
        <w:rPr>
          <w:rFonts w:ascii="Arial" w:eastAsia="Arial"/>
          <w:w w:val="95"/>
        </w:rPr>
        <w:t>4</w:t>
      </w:r>
      <w:r>
        <w:rPr>
          <w:w w:val="95"/>
        </w:rPr>
        <w:t>）在二级或二级以上医院的相应科室从事临床工作三年以上。</w:t>
      </w:r>
    </w:p>
    <w:p>
      <w:pPr>
        <w:pStyle w:val="ListParagraph"/>
        <w:numPr>
          <w:ilvl w:val="1"/>
          <w:numId w:val="22"/>
        </w:numPr>
        <w:tabs>
          <w:tab w:pos="1244" w:val="left" w:leader="none"/>
        </w:tabs>
        <w:spacing w:line="350" w:lineRule="auto" w:before="106" w:after="0"/>
        <w:ind w:left="1244" w:right="128"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22"/>
        </w:numPr>
        <w:tabs>
          <w:tab w:pos="1243" w:val="left" w:leader="none"/>
          <w:tab w:pos="1244" w:val="left" w:leader="none"/>
        </w:tabs>
        <w:spacing w:line="240" w:lineRule="auto" w:before="34"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22"/>
        </w:numPr>
        <w:tabs>
          <w:tab w:pos="1243" w:val="left" w:leader="none"/>
          <w:tab w:pos="1244" w:val="left" w:leader="none"/>
        </w:tabs>
        <w:spacing w:line="240" w:lineRule="auto" w:before="107" w:after="0"/>
        <w:ind w:left="1244" w:right="0" w:hanging="706"/>
        <w:jc w:val="left"/>
        <w:rPr>
          <w:sz w:val="18"/>
        </w:rPr>
      </w:pPr>
      <w:r>
        <w:rPr>
          <w:sz w:val="18"/>
        </w:rPr>
        <w:t>犹豫期：是指您在书面签收保险合同之日起的十日内（含第十日）。</w:t>
      </w:r>
    </w:p>
    <w:p>
      <w:pPr>
        <w:pStyle w:val="ListParagraph"/>
        <w:numPr>
          <w:ilvl w:val="1"/>
          <w:numId w:val="22"/>
        </w:numPr>
        <w:tabs>
          <w:tab w:pos="1243" w:val="left" w:leader="none"/>
          <w:tab w:pos="1244" w:val="left" w:leader="none"/>
        </w:tabs>
        <w:spacing w:line="340" w:lineRule="auto" w:before="107" w:after="0"/>
        <w:ind w:left="1244" w:right="127" w:hanging="706"/>
        <w:jc w:val="left"/>
        <w:rPr>
          <w:sz w:val="18"/>
        </w:rPr>
      </w:pPr>
      <w:r>
        <w:rPr>
          <w:sz w:val="18"/>
        </w:rPr>
        <w:t>意外伤害事故：指遭受外来的、突发的、非本意的、非疾病的使被保险人身体受到伤害的客观事件。此类意外事故不包括无明确外来意外伤害原因导致的后果，如过敏、原发性感染、细菌性食物中毒、猝死等。</w:t>
      </w:r>
    </w:p>
    <w:p>
      <w:pPr>
        <w:pStyle w:val="ListParagraph"/>
        <w:numPr>
          <w:ilvl w:val="1"/>
          <w:numId w:val="22"/>
        </w:numPr>
        <w:tabs>
          <w:tab w:pos="1243" w:val="left" w:leader="none"/>
          <w:tab w:pos="1244" w:val="left" w:leader="none"/>
        </w:tabs>
        <w:spacing w:line="240" w:lineRule="auto" w:before="41" w:after="0"/>
        <w:ind w:left="1244" w:right="0" w:hanging="706"/>
        <w:jc w:val="left"/>
        <w:rPr>
          <w:sz w:val="18"/>
        </w:rPr>
      </w:pPr>
      <w:r>
        <w:rPr>
          <w:sz w:val="18"/>
        </w:rPr>
        <w:t>等待期：本合同生效日起或最后一次复效日起（以较迟者为准）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z w:val="18"/>
        </w:rPr>
        <w:t>日）</w:t>
      </w:r>
      <w:r>
        <w:rPr>
          <w:spacing w:val="-2"/>
          <w:sz w:val="18"/>
        </w:rPr>
        <w:t>为等待期。</w:t>
      </w:r>
    </w:p>
    <w:p>
      <w:pPr>
        <w:pStyle w:val="ListParagraph"/>
        <w:numPr>
          <w:ilvl w:val="1"/>
          <w:numId w:val="22"/>
        </w:numPr>
        <w:tabs>
          <w:tab w:pos="1244" w:val="left" w:leader="none"/>
          <w:tab w:pos="1245" w:val="left" w:leader="none"/>
        </w:tabs>
        <w:spacing w:line="240" w:lineRule="auto" w:before="106" w:after="0"/>
        <w:ind w:left="1244" w:right="0" w:hanging="706"/>
        <w:jc w:val="left"/>
        <w:rPr>
          <w:sz w:val="18"/>
        </w:rPr>
      </w:pPr>
      <w:r>
        <w:rPr>
          <w:sz w:val="18"/>
        </w:rPr>
        <w:t>重大疾病：指本合同第二十八条所约定的疾病、疾病状态或手术。</w:t>
      </w:r>
    </w:p>
    <w:p>
      <w:pPr>
        <w:pStyle w:val="ListParagraph"/>
        <w:numPr>
          <w:ilvl w:val="1"/>
          <w:numId w:val="22"/>
        </w:numPr>
        <w:tabs>
          <w:tab w:pos="1244" w:val="left" w:leader="none"/>
          <w:tab w:pos="1245" w:val="left" w:leader="none"/>
        </w:tabs>
        <w:spacing w:line="340" w:lineRule="auto" w:before="106" w:after="0"/>
        <w:ind w:left="1244" w:right="127"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22"/>
        </w:numPr>
        <w:tabs>
          <w:tab w:pos="1244" w:val="left" w:leader="none"/>
          <w:tab w:pos="1245"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before="107"/>
        <w:ind w:right="127"/>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27"/>
      </w:pPr>
      <w:r>
        <w:rPr/>
        <w:t>咀嚼吞咽能力完全丧失，指因牙齿以外的原因导致器质障碍或机能障碍，以致不能作咀嚼吞咽运动，除流质食物外不能摄取或吞咽的状态。</w:t>
      </w:r>
    </w:p>
    <w:p>
      <w:pPr>
        <w:pStyle w:val="ListParagraph"/>
        <w:numPr>
          <w:ilvl w:val="1"/>
          <w:numId w:val="22"/>
        </w:numPr>
        <w:tabs>
          <w:tab w:pos="1243" w:val="left" w:leader="none"/>
          <w:tab w:pos="1244" w:val="left" w:leader="none"/>
        </w:tabs>
        <w:spacing w:line="240" w:lineRule="auto" w:before="30" w:after="0"/>
        <w:ind w:left="1244" w:right="0" w:hanging="706"/>
        <w:jc w:val="left"/>
        <w:rPr>
          <w:sz w:val="18"/>
        </w:rPr>
      </w:pPr>
      <w:r>
        <w:rPr>
          <w:sz w:val="18"/>
        </w:rPr>
        <w:t>六项基本日常生活活动是指：</w:t>
      </w:r>
    </w:p>
    <w:p>
      <w:pPr>
        <w:pStyle w:val="BodyText"/>
        <w:spacing w:before="104"/>
      </w:pPr>
      <w:r>
        <w:rPr/>
        <w:t>（1）穿衣：自己能够穿衣及脱衣；</w:t>
      </w:r>
    </w:p>
    <w:p>
      <w:pPr>
        <w:pStyle w:val="BodyText"/>
        <w:spacing w:before="119"/>
      </w:pPr>
      <w:r>
        <w:rPr/>
        <w:t>（2）移动：自己从一个房间到另一个房间；</w:t>
      </w:r>
    </w:p>
    <w:p>
      <w:pPr>
        <w:pStyle w:val="BodyText"/>
        <w:spacing w:before="119"/>
      </w:pPr>
      <w:r>
        <w:rPr/>
        <w:t>（3）行动：自己上下床或上下轮椅；</w:t>
      </w:r>
    </w:p>
    <w:p>
      <w:pPr>
        <w:pStyle w:val="BodyText"/>
        <w:spacing w:before="119"/>
      </w:pPr>
      <w:r>
        <w:rPr/>
        <w:t>（4）如厕：自己控制进行大小便；</w:t>
      </w:r>
    </w:p>
    <w:p>
      <w:pPr>
        <w:pStyle w:val="BodyText"/>
        <w:spacing w:before="119"/>
      </w:pPr>
      <w:r>
        <w:rPr/>
        <w:t>（5）进食：自己从已准备好的碗或碟中取食物放入口中；</w:t>
      </w:r>
    </w:p>
    <w:p>
      <w:pPr>
        <w:pStyle w:val="BodyText"/>
        <w:spacing w:before="119"/>
      </w:pPr>
      <w:r>
        <w:rPr/>
        <w:t>（6）洗澡：自己进行淋浴或盆浴。</w:t>
      </w:r>
    </w:p>
    <w:p>
      <w:pPr>
        <w:spacing w:after="0"/>
        <w:sectPr>
          <w:pgSz w:w="11910" w:h="16840"/>
          <w:pgMar w:header="672" w:footer="759" w:top="860" w:bottom="940" w:left="880" w:right="720"/>
        </w:sectPr>
      </w:pPr>
    </w:p>
    <w:p>
      <w:pPr>
        <w:pStyle w:val="BodyText"/>
        <w:spacing w:before="9"/>
        <w:ind w:left="0"/>
        <w:rPr>
          <w:sz w:val="13"/>
        </w:rPr>
      </w:pPr>
    </w:p>
    <w:p>
      <w:pPr>
        <w:pStyle w:val="ListParagraph"/>
        <w:numPr>
          <w:ilvl w:val="1"/>
          <w:numId w:val="22"/>
        </w:numPr>
        <w:tabs>
          <w:tab w:pos="1243" w:val="left" w:leader="none"/>
          <w:tab w:pos="1244" w:val="left" w:leader="none"/>
        </w:tabs>
        <w:spacing w:line="240" w:lineRule="auto" w:before="53" w:after="0"/>
        <w:ind w:left="1244" w:right="0" w:hanging="706"/>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22"/>
        </w:numPr>
        <w:tabs>
          <w:tab w:pos="1244" w:val="left" w:leader="none"/>
        </w:tabs>
        <w:spacing w:line="348" w:lineRule="auto" w:before="106" w:after="0"/>
        <w:ind w:left="1244" w:right="548"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22"/>
        </w:numPr>
        <w:tabs>
          <w:tab w:pos="1244" w:val="left" w:leader="none"/>
        </w:tabs>
        <w:spacing w:line="340" w:lineRule="auto" w:before="36" w:after="0"/>
        <w:ind w:left="1244" w:right="548"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22"/>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ind w:left="1243"/>
      </w:pPr>
      <w:r>
        <w:rPr>
          <w:w w:val="95"/>
        </w:rPr>
        <w:t>（</w:t>
      </w:r>
      <w:r>
        <w:rPr>
          <w:rFonts w:ascii="Arial" w:eastAsia="Arial"/>
          <w:w w:val="95"/>
        </w:rPr>
        <w:t>1</w:t>
      </w:r>
      <w:r>
        <w:rPr>
          <w:w w:val="95"/>
        </w:rPr>
        <w:t>）没有取得驾驶资格；</w:t>
      </w:r>
    </w:p>
    <w:p>
      <w:pPr>
        <w:pStyle w:val="BodyText"/>
        <w:spacing w:before="102"/>
        <w:ind w:left="1243"/>
      </w:pPr>
      <w:r>
        <w:rPr>
          <w:w w:val="95"/>
        </w:rPr>
        <w:t>（</w:t>
      </w:r>
      <w:r>
        <w:rPr>
          <w:rFonts w:ascii="Arial" w:eastAsia="Arial"/>
          <w:w w:val="95"/>
        </w:rPr>
        <w:t>2</w:t>
      </w:r>
      <w:r>
        <w:rPr>
          <w:w w:val="95"/>
        </w:rPr>
        <w:t>）驾驶与驾驶证准驾车型不相符合的车辆；</w:t>
      </w:r>
    </w:p>
    <w:p>
      <w:pPr>
        <w:pStyle w:val="BodyText"/>
        <w:spacing w:before="104"/>
        <w:ind w:left="1243"/>
      </w:pPr>
      <w:r>
        <w:rPr>
          <w:w w:val="95"/>
        </w:rPr>
        <w:t>（</w:t>
      </w:r>
      <w:r>
        <w:rPr>
          <w:rFonts w:ascii="Arial" w:eastAsia="Arial"/>
          <w:w w:val="95"/>
        </w:rPr>
        <w:t>3</w:t>
      </w:r>
      <w:r>
        <w:rPr>
          <w:w w:val="95"/>
        </w:rPr>
        <w:t>）持审验不合格的驾驶证驾驶；</w:t>
      </w:r>
    </w:p>
    <w:p>
      <w:pPr>
        <w:pStyle w:val="BodyText"/>
        <w:spacing w:before="102"/>
        <w:ind w:left="128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22"/>
        </w:numPr>
        <w:tabs>
          <w:tab w:pos="1243" w:val="left" w:leader="none"/>
          <w:tab w:pos="1244" w:val="left" w:leader="none"/>
        </w:tabs>
        <w:spacing w:line="240" w:lineRule="auto" w:before="104" w:after="0"/>
        <w:ind w:left="1244" w:right="0" w:hanging="706"/>
        <w:jc w:val="left"/>
        <w:rPr>
          <w:sz w:val="18"/>
        </w:rPr>
      </w:pPr>
      <w:r>
        <w:rPr>
          <w:sz w:val="18"/>
        </w:rPr>
        <w:t>无有效行驶证：是指下列情形之一：</w:t>
      </w:r>
    </w:p>
    <w:p>
      <w:pPr>
        <w:pStyle w:val="BodyText"/>
        <w:spacing w:before="104"/>
        <w:ind w:left="1243"/>
      </w:pPr>
      <w:r>
        <w:rPr>
          <w:w w:val="95"/>
        </w:rPr>
        <w:t>（</w:t>
      </w:r>
      <w:r>
        <w:rPr>
          <w:rFonts w:ascii="Arial" w:eastAsia="Arial"/>
          <w:w w:val="95"/>
        </w:rPr>
        <w:t>1</w:t>
      </w:r>
      <w:r>
        <w:rPr>
          <w:w w:val="95"/>
        </w:rPr>
        <w:t>）没有机动车行驶证或已被依法注销登记；</w:t>
      </w:r>
    </w:p>
    <w:p>
      <w:pPr>
        <w:pStyle w:val="BodyText"/>
        <w:spacing w:before="102"/>
        <w:ind w:left="1243"/>
      </w:pPr>
      <w:r>
        <w:rPr>
          <w:w w:val="95"/>
        </w:rPr>
        <w:t>（</w:t>
      </w:r>
      <w:r>
        <w:rPr>
          <w:rFonts w:ascii="Arial" w:eastAsia="Arial"/>
          <w:w w:val="95"/>
        </w:rPr>
        <w:t>2</w:t>
      </w:r>
      <w:r>
        <w:rPr>
          <w:w w:val="95"/>
        </w:rPr>
        <w:t>）未依法按时进行或通过机动车安全技术检验。</w:t>
      </w:r>
    </w:p>
    <w:p>
      <w:pPr>
        <w:pStyle w:val="ListParagraph"/>
        <w:numPr>
          <w:ilvl w:val="1"/>
          <w:numId w:val="22"/>
        </w:numPr>
        <w:tabs>
          <w:tab w:pos="1244" w:val="left" w:leader="none"/>
        </w:tabs>
        <w:spacing w:line="338" w:lineRule="auto" w:before="106" w:after="0"/>
        <w:ind w:left="1244" w:right="548"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2"/>
        </w:numPr>
        <w:tabs>
          <w:tab w:pos="1244" w:val="left" w:leader="none"/>
        </w:tabs>
        <w:spacing w:line="340" w:lineRule="auto" w:before="45" w:after="0"/>
        <w:ind w:left="1244" w:right="541"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2"/>
        </w:numPr>
        <w:tabs>
          <w:tab w:pos="1244" w:val="left" w:leader="none"/>
        </w:tabs>
        <w:spacing w:line="340" w:lineRule="auto" w:before="41" w:after="0"/>
        <w:ind w:left="1244" w:right="548"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2"/>
        </w:numPr>
        <w:tabs>
          <w:tab w:pos="1244" w:val="left" w:leader="none"/>
        </w:tabs>
        <w:spacing w:line="340" w:lineRule="auto" w:before="41" w:after="0"/>
        <w:ind w:left="1244" w:right="548"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BodyText"/>
        <w:spacing w:before="5"/>
        <w:ind w:left="0"/>
        <w:rPr>
          <w:sz w:val="29"/>
        </w:rPr>
      </w:pPr>
      <w:r>
        <w:rPr/>
        <w:pict>
          <v:line style="position:absolute;mso-position-horizontal-relative:page;mso-position-vertical-relative:paragraph;z-index:1072;mso-wrap-distance-left:0;mso-wrap-distance-right:0" from="70.680pt,21.447247pt" to="575.16pt,21.447247pt" stroked="true" strokeweight=".48pt" strokecolor="#000000">
            <v:stroke dashstyle="shortdot"/>
            <w10:wrap type="topAndBottom"/>
          </v:line>
        </w:pict>
      </w:r>
    </w:p>
    <w:p>
      <w:pPr>
        <w:pStyle w:val="BodyText"/>
        <w:tabs>
          <w:tab w:pos="479" w:val="left" w:leader="none"/>
          <w:tab w:pos="960" w:val="left" w:leader="none"/>
          <w:tab w:pos="1440" w:val="left" w:leader="none"/>
        </w:tabs>
        <w:spacing w:before="41"/>
        <w:ind w:left="0" w:right="321"/>
        <w:jc w:val="center"/>
      </w:pPr>
      <w:r>
        <w:rPr/>
        <w:t>以</w:t>
        <w:tab/>
        <w:t>下</w:t>
        <w:tab/>
        <w:t>空</w:t>
        <w:tab/>
        <w:t>白</w:t>
      </w:r>
    </w:p>
    <w:sectPr>
      <w:pgSz w:w="11910" w:h="16840"/>
      <w:pgMar w:header="672" w:footer="759" w:top="860" w:bottom="94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85pt;height:11pt;mso-position-horizontal-relative:page;mso-position-vertical-relative:page;z-index:-19264" type="#_x0000_t202" filled="false" stroked="false">
          <v:textbox inset="0,0,0,0">
            <w:txbxContent>
              <w:p>
                <w:pPr>
                  <w:spacing w:before="15"/>
                  <w:ind w:left="20" w:right="0" w:firstLine="0"/>
                  <w:jc w:val="left"/>
                  <w:rPr>
                    <w:rFonts w:ascii="Arial"/>
                    <w:sz w:val="16"/>
                  </w:rPr>
                </w:pPr>
                <w:r>
                  <w:rPr>
                    <w:rFonts w:ascii="Arial"/>
                    <w:sz w:val="16"/>
                  </w:rPr>
                  <w:t>DD03-C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27.76001pt;margin-top:34.570618pt;width:122.25pt;height:10.050pt;mso-position-horizontal-relative:page;mso-position-vertical-relative:page;z-index:-1924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20">
    <w:multiLevelType w:val="hybridMultilevel"/>
    <w:lvl w:ilvl="0">
      <w:start w:val="2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2654" w:hanging="706"/>
      </w:pPr>
      <w:rPr>
        <w:rFonts w:hint="default"/>
      </w:rPr>
    </w:lvl>
    <w:lvl w:ilvl="3">
      <w:start w:val="0"/>
      <w:numFmt w:val="bullet"/>
      <w:lvlText w:val="•"/>
      <w:lvlJc w:val="left"/>
      <w:pPr>
        <w:ind w:left="3608" w:hanging="706"/>
      </w:pPr>
      <w:rPr>
        <w:rFonts w:hint="default"/>
      </w:rPr>
    </w:lvl>
    <w:lvl w:ilvl="4">
      <w:start w:val="0"/>
      <w:numFmt w:val="bullet"/>
      <w:lvlText w:val="•"/>
      <w:lvlJc w:val="left"/>
      <w:pPr>
        <w:ind w:left="4562" w:hanging="706"/>
      </w:pPr>
      <w:rPr>
        <w:rFonts w:hint="default"/>
      </w:rPr>
    </w:lvl>
    <w:lvl w:ilvl="5">
      <w:start w:val="0"/>
      <w:numFmt w:val="bullet"/>
      <w:lvlText w:val="•"/>
      <w:lvlJc w:val="left"/>
      <w:pPr>
        <w:ind w:left="5517" w:hanging="706"/>
      </w:pPr>
      <w:rPr>
        <w:rFonts w:hint="default"/>
      </w:rPr>
    </w:lvl>
    <w:lvl w:ilvl="6">
      <w:start w:val="0"/>
      <w:numFmt w:val="bullet"/>
      <w:lvlText w:val="•"/>
      <w:lvlJc w:val="left"/>
      <w:pPr>
        <w:ind w:left="6471" w:hanging="706"/>
      </w:pPr>
      <w:rPr>
        <w:rFonts w:hint="default"/>
      </w:rPr>
    </w:lvl>
    <w:lvl w:ilvl="7">
      <w:start w:val="0"/>
      <w:numFmt w:val="bullet"/>
      <w:lvlText w:val="•"/>
      <w:lvlJc w:val="left"/>
      <w:pPr>
        <w:ind w:left="7425" w:hanging="706"/>
      </w:pPr>
      <w:rPr>
        <w:rFonts w:hint="default"/>
      </w:rPr>
    </w:lvl>
    <w:lvl w:ilvl="8">
      <w:start w:val="0"/>
      <w:numFmt w:val="bullet"/>
      <w:lvlText w:val="•"/>
      <w:lvlJc w:val="left"/>
      <w:pPr>
        <w:ind w:left="8380" w:hanging="706"/>
      </w:pPr>
      <w:rPr>
        <w:rFonts w:hint="default"/>
      </w:rPr>
    </w:lvl>
  </w:abstractNum>
  <w:abstractNum w:abstractNumId="19">
    <w:multiLevelType w:val="hybridMultilevel"/>
    <w:lvl w:ilvl="0">
      <w:start w:val="26"/>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w w:val="99"/>
        <w:sz w:val="18"/>
        <w:szCs w:val="18"/>
      </w:rPr>
    </w:lvl>
    <w:lvl w:ilvl="2">
      <w:start w:val="0"/>
      <w:numFmt w:val="bullet"/>
      <w:lvlText w:val="•"/>
      <w:lvlJc w:val="left"/>
      <w:pPr>
        <w:ind w:left="3069" w:hanging="725"/>
      </w:pPr>
      <w:rPr>
        <w:rFonts w:hint="default"/>
      </w:rPr>
    </w:lvl>
    <w:lvl w:ilvl="3">
      <w:start w:val="0"/>
      <w:numFmt w:val="bullet"/>
      <w:lvlText w:val="•"/>
      <w:lvlJc w:val="left"/>
      <w:pPr>
        <w:ind w:left="3974" w:hanging="725"/>
      </w:pPr>
      <w:rPr>
        <w:rFonts w:hint="default"/>
      </w:rPr>
    </w:lvl>
    <w:lvl w:ilvl="4">
      <w:start w:val="0"/>
      <w:numFmt w:val="bullet"/>
      <w:lvlText w:val="•"/>
      <w:lvlJc w:val="left"/>
      <w:pPr>
        <w:ind w:left="4879" w:hanging="725"/>
      </w:pPr>
      <w:rPr>
        <w:rFonts w:hint="default"/>
      </w:rPr>
    </w:lvl>
    <w:lvl w:ilvl="5">
      <w:start w:val="0"/>
      <w:numFmt w:val="bullet"/>
      <w:lvlText w:val="•"/>
      <w:lvlJc w:val="left"/>
      <w:pPr>
        <w:ind w:left="5784" w:hanging="725"/>
      </w:pPr>
      <w:rPr>
        <w:rFonts w:hint="default"/>
      </w:rPr>
    </w:lvl>
    <w:lvl w:ilvl="6">
      <w:start w:val="0"/>
      <w:numFmt w:val="bullet"/>
      <w:lvlText w:val="•"/>
      <w:lvlJc w:val="left"/>
      <w:pPr>
        <w:ind w:left="6689" w:hanging="725"/>
      </w:pPr>
      <w:rPr>
        <w:rFonts w:hint="default"/>
      </w:rPr>
    </w:lvl>
    <w:lvl w:ilvl="7">
      <w:start w:val="0"/>
      <w:numFmt w:val="bullet"/>
      <w:lvlText w:val="•"/>
      <w:lvlJc w:val="left"/>
      <w:pPr>
        <w:ind w:left="7594" w:hanging="725"/>
      </w:pPr>
      <w:rPr>
        <w:rFonts w:hint="default"/>
      </w:rPr>
    </w:lvl>
    <w:lvl w:ilvl="8">
      <w:start w:val="0"/>
      <w:numFmt w:val="bullet"/>
      <w:lvlText w:val="•"/>
      <w:lvlJc w:val="left"/>
      <w:pPr>
        <w:ind w:left="8499" w:hanging="725"/>
      </w:pPr>
      <w:rPr>
        <w:rFonts w:hint="default"/>
      </w:rPr>
    </w:lvl>
  </w:abstractNum>
  <w:abstractNum w:abstractNumId="18">
    <w:multiLevelType w:val="hybridMultilevel"/>
    <w:lvl w:ilvl="0">
      <w:start w:val="2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7">
    <w:multiLevelType w:val="hybridMultilevel"/>
    <w:lvl w:ilvl="0">
      <w:start w:val="2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6">
    <w:multiLevelType w:val="hybridMultilevel"/>
    <w:lvl w:ilvl="0">
      <w:start w:val="2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5">
    <w:multiLevelType w:val="hybridMultilevel"/>
    <w:lvl w:ilvl="0">
      <w:start w:val="21"/>
      <w:numFmt w:val="decimal"/>
      <w:lvlText w:val="%1"/>
      <w:lvlJc w:val="left"/>
      <w:pPr>
        <w:ind w:left="1191" w:hanging="653"/>
        <w:jc w:val="left"/>
      </w:pPr>
      <w:rPr>
        <w:rFonts w:hint="default"/>
      </w:rPr>
    </w:lvl>
    <w:lvl w:ilvl="1">
      <w:start w:val="1"/>
      <w:numFmt w:val="decimal"/>
      <w:lvlText w:val="%1.%2"/>
      <w:lvlJc w:val="left"/>
      <w:pPr>
        <w:ind w:left="1188" w:hanging="653"/>
        <w:jc w:val="left"/>
      </w:pPr>
      <w:rPr>
        <w:rFonts w:hint="default" w:ascii="Arial" w:hAnsi="Arial" w:eastAsia="Arial" w:cs="Arial"/>
        <w:w w:val="99"/>
        <w:sz w:val="18"/>
        <w:szCs w:val="18"/>
      </w:rPr>
    </w:lvl>
    <w:lvl w:ilvl="2">
      <w:start w:val="1"/>
      <w:numFmt w:val="decimal"/>
      <w:lvlText w:val="%1.%2.%3"/>
      <w:lvlJc w:val="left"/>
      <w:pPr>
        <w:ind w:left="1812" w:hanging="569"/>
        <w:jc w:val="left"/>
      </w:pPr>
      <w:rPr>
        <w:rFonts w:hint="default" w:ascii="Arial" w:hAnsi="Arial" w:eastAsia="Arial" w:cs="Arial"/>
        <w:b/>
        <w:bCs/>
        <w:w w:val="99"/>
        <w:sz w:val="18"/>
        <w:szCs w:val="18"/>
      </w:rPr>
    </w:lvl>
    <w:lvl w:ilvl="3">
      <w:start w:val="0"/>
      <w:numFmt w:val="bullet"/>
      <w:lvlText w:val="•"/>
      <w:lvlJc w:val="left"/>
      <w:pPr>
        <w:ind w:left="2881" w:hanging="569"/>
      </w:pPr>
      <w:rPr>
        <w:rFonts w:hint="default"/>
      </w:rPr>
    </w:lvl>
    <w:lvl w:ilvl="4">
      <w:start w:val="0"/>
      <w:numFmt w:val="bullet"/>
      <w:lvlText w:val="•"/>
      <w:lvlJc w:val="left"/>
      <w:pPr>
        <w:ind w:left="3942" w:hanging="569"/>
      </w:pPr>
      <w:rPr>
        <w:rFonts w:hint="default"/>
      </w:rPr>
    </w:lvl>
    <w:lvl w:ilvl="5">
      <w:start w:val="0"/>
      <w:numFmt w:val="bullet"/>
      <w:lvlText w:val="•"/>
      <w:lvlJc w:val="left"/>
      <w:pPr>
        <w:ind w:left="5003" w:hanging="569"/>
      </w:pPr>
      <w:rPr>
        <w:rFonts w:hint="default"/>
      </w:rPr>
    </w:lvl>
    <w:lvl w:ilvl="6">
      <w:start w:val="0"/>
      <w:numFmt w:val="bullet"/>
      <w:lvlText w:val="•"/>
      <w:lvlJc w:val="left"/>
      <w:pPr>
        <w:ind w:left="6064" w:hanging="569"/>
      </w:pPr>
      <w:rPr>
        <w:rFonts w:hint="default"/>
      </w:rPr>
    </w:lvl>
    <w:lvl w:ilvl="7">
      <w:start w:val="0"/>
      <w:numFmt w:val="bullet"/>
      <w:lvlText w:val="•"/>
      <w:lvlJc w:val="left"/>
      <w:pPr>
        <w:ind w:left="7125" w:hanging="569"/>
      </w:pPr>
      <w:rPr>
        <w:rFonts w:hint="default"/>
      </w:rPr>
    </w:lvl>
    <w:lvl w:ilvl="8">
      <w:start w:val="0"/>
      <w:numFmt w:val="bullet"/>
      <w:lvlText w:val="•"/>
      <w:lvlJc w:val="left"/>
      <w:pPr>
        <w:ind w:left="8186" w:hanging="569"/>
      </w:pPr>
      <w:rPr>
        <w:rFonts w:hint="default"/>
      </w:rPr>
    </w:lvl>
  </w:abstractNum>
  <w:abstractNum w:abstractNumId="14">
    <w:multiLevelType w:val="hybridMultilevel"/>
    <w:lvl w:ilvl="0">
      <w:start w:val="2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w w:val="99"/>
      </w:rPr>
    </w:lvl>
    <w:lvl w:ilvl="2">
      <w:start w:val="1"/>
      <w:numFmt w:val="decimal"/>
      <w:lvlText w:val="%1.%2.%3"/>
      <w:lvlJc w:val="left"/>
      <w:pPr>
        <w:ind w:left="1731" w:hanging="540"/>
        <w:jc w:val="left"/>
      </w:pPr>
      <w:rPr>
        <w:rFonts w:hint="default" w:ascii="Arial" w:hAnsi="Arial" w:eastAsia="Arial" w:cs="Arial"/>
        <w:w w:val="99"/>
        <w:sz w:val="18"/>
        <w:szCs w:val="18"/>
      </w:rPr>
    </w:lvl>
    <w:lvl w:ilvl="3">
      <w:start w:val="0"/>
      <w:numFmt w:val="bullet"/>
      <w:lvlText w:val="•"/>
      <w:lvlJc w:val="left"/>
      <w:pPr>
        <w:ind w:left="3644" w:hanging="540"/>
      </w:pPr>
      <w:rPr>
        <w:rFonts w:hint="default"/>
      </w:rPr>
    </w:lvl>
    <w:lvl w:ilvl="4">
      <w:start w:val="0"/>
      <w:numFmt w:val="bullet"/>
      <w:lvlText w:val="•"/>
      <w:lvlJc w:val="left"/>
      <w:pPr>
        <w:ind w:left="4596" w:hanging="540"/>
      </w:pPr>
      <w:rPr>
        <w:rFonts w:hint="default"/>
      </w:rPr>
    </w:lvl>
    <w:lvl w:ilvl="5">
      <w:start w:val="0"/>
      <w:numFmt w:val="bullet"/>
      <w:lvlText w:val="•"/>
      <w:lvlJc w:val="left"/>
      <w:pPr>
        <w:ind w:left="5548" w:hanging="540"/>
      </w:pPr>
      <w:rPr>
        <w:rFonts w:hint="default"/>
      </w:rPr>
    </w:lvl>
    <w:lvl w:ilvl="6">
      <w:start w:val="0"/>
      <w:numFmt w:val="bullet"/>
      <w:lvlText w:val="•"/>
      <w:lvlJc w:val="left"/>
      <w:pPr>
        <w:ind w:left="6500" w:hanging="540"/>
      </w:pPr>
      <w:rPr>
        <w:rFonts w:hint="default"/>
      </w:rPr>
    </w:lvl>
    <w:lvl w:ilvl="7">
      <w:start w:val="0"/>
      <w:numFmt w:val="bullet"/>
      <w:lvlText w:val="•"/>
      <w:lvlJc w:val="left"/>
      <w:pPr>
        <w:ind w:left="7452" w:hanging="540"/>
      </w:pPr>
      <w:rPr>
        <w:rFonts w:hint="default"/>
      </w:rPr>
    </w:lvl>
    <w:lvl w:ilvl="8">
      <w:start w:val="0"/>
      <w:numFmt w:val="bullet"/>
      <w:lvlText w:val="•"/>
      <w:lvlJc w:val="left"/>
      <w:pPr>
        <w:ind w:left="8404" w:hanging="540"/>
      </w:pPr>
      <w:rPr>
        <w:rFonts w:hint="default"/>
      </w:rPr>
    </w:lvl>
  </w:abstractNum>
  <w:abstractNum w:abstractNumId="13">
    <w:multiLevelType w:val="hybridMultilevel"/>
    <w:lvl w:ilvl="0">
      <w:start w:val="19"/>
      <w:numFmt w:val="decimal"/>
      <w:lvlText w:val="%1"/>
      <w:lvlJc w:val="left"/>
      <w:pPr>
        <w:ind w:left="1243" w:hanging="706"/>
        <w:jc w:val="left"/>
      </w:pPr>
      <w:rPr>
        <w:rFonts w:hint="default"/>
      </w:rPr>
    </w:lvl>
    <w:lvl w:ilvl="1">
      <w:start w:val="1"/>
      <w:numFmt w:val="decimal"/>
      <w:lvlText w:val="%1.%2"/>
      <w:lvlJc w:val="left"/>
      <w:pPr>
        <w:ind w:left="1243"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2">
    <w:multiLevelType w:val="hybridMultilevel"/>
    <w:lvl w:ilvl="0">
      <w:start w:val="17"/>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11">
    <w:multiLevelType w:val="hybridMultilevel"/>
    <w:lvl w:ilvl="0">
      <w:start w:val="1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1.%2.%3"/>
      <w:lvlJc w:val="left"/>
      <w:pPr>
        <w:ind w:left="2091" w:hanging="900"/>
        <w:jc w:val="left"/>
      </w:pPr>
      <w:rPr>
        <w:rFonts w:hint="default" w:ascii="Arial" w:hAnsi="Arial" w:eastAsia="Arial" w:cs="Arial"/>
        <w:w w:val="99"/>
        <w:sz w:val="18"/>
        <w:szCs w:val="18"/>
      </w:rPr>
    </w:lvl>
    <w:lvl w:ilvl="3">
      <w:start w:val="0"/>
      <w:numFmt w:val="bullet"/>
      <w:lvlText w:val="•"/>
      <w:lvlJc w:val="left"/>
      <w:pPr>
        <w:ind w:left="3924" w:hanging="900"/>
      </w:pPr>
      <w:rPr>
        <w:rFonts w:hint="default"/>
      </w:rPr>
    </w:lvl>
    <w:lvl w:ilvl="4">
      <w:start w:val="0"/>
      <w:numFmt w:val="bullet"/>
      <w:lvlText w:val="•"/>
      <w:lvlJc w:val="left"/>
      <w:pPr>
        <w:ind w:left="4836" w:hanging="900"/>
      </w:pPr>
      <w:rPr>
        <w:rFonts w:hint="default"/>
      </w:rPr>
    </w:lvl>
    <w:lvl w:ilvl="5">
      <w:start w:val="0"/>
      <w:numFmt w:val="bullet"/>
      <w:lvlText w:val="•"/>
      <w:lvlJc w:val="left"/>
      <w:pPr>
        <w:ind w:left="5748" w:hanging="900"/>
      </w:pPr>
      <w:rPr>
        <w:rFonts w:hint="default"/>
      </w:rPr>
    </w:lvl>
    <w:lvl w:ilvl="6">
      <w:start w:val="0"/>
      <w:numFmt w:val="bullet"/>
      <w:lvlText w:val="•"/>
      <w:lvlJc w:val="left"/>
      <w:pPr>
        <w:ind w:left="6660" w:hanging="900"/>
      </w:pPr>
      <w:rPr>
        <w:rFonts w:hint="default"/>
      </w:rPr>
    </w:lvl>
    <w:lvl w:ilvl="7">
      <w:start w:val="0"/>
      <w:numFmt w:val="bullet"/>
      <w:lvlText w:val="•"/>
      <w:lvlJc w:val="left"/>
      <w:pPr>
        <w:ind w:left="7572" w:hanging="900"/>
      </w:pPr>
      <w:rPr>
        <w:rFonts w:hint="default"/>
      </w:rPr>
    </w:lvl>
    <w:lvl w:ilvl="8">
      <w:start w:val="0"/>
      <w:numFmt w:val="bullet"/>
      <w:lvlText w:val="•"/>
      <w:lvlJc w:val="left"/>
      <w:pPr>
        <w:ind w:left="8484" w:hanging="900"/>
      </w:pPr>
      <w:rPr>
        <w:rFonts w:hint="default"/>
      </w:rPr>
    </w:lvl>
  </w:abstractNum>
  <w:abstractNum w:abstractNumId="10">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w w:val="99"/>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9">
    <w:multiLevelType w:val="hybridMultilevel"/>
    <w:lvl w:ilvl="0">
      <w:start w:val="12"/>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8">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1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6">
    <w:multiLevelType w:val="hybridMultilevel"/>
    <w:lvl w:ilvl="0">
      <w:start w:val="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21"/>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5">
    <w:multiLevelType w:val="hybridMultilevel"/>
    <w:lvl w:ilvl="0">
      <w:start w:val="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4">
    <w:multiLevelType w:val="hybridMultilevel"/>
    <w:lvl w:ilvl="0">
      <w:start w:val="6"/>
      <w:numFmt w:val="decimal"/>
      <w:lvlText w:val="%1"/>
      <w:lvlJc w:val="left"/>
      <w:pPr>
        <w:ind w:left="1191" w:hanging="709"/>
        <w:jc w:val="left"/>
      </w:pPr>
      <w:rPr>
        <w:rFonts w:hint="default"/>
      </w:rPr>
    </w:lvl>
    <w:lvl w:ilvl="1">
      <w:start w:val="1"/>
      <w:numFmt w:val="decimal"/>
      <w:lvlText w:val="%1.%2"/>
      <w:lvlJc w:val="left"/>
      <w:pPr>
        <w:ind w:left="1191" w:hanging="709"/>
        <w:jc w:val="left"/>
      </w:pPr>
      <w:rPr>
        <w:rFonts w:hint="default" w:ascii="Arial" w:hAnsi="Arial" w:eastAsia="Arial" w:cs="Arial"/>
        <w:spacing w:val="-11"/>
        <w:w w:val="99"/>
        <w:sz w:val="18"/>
        <w:szCs w:val="18"/>
      </w:rPr>
    </w:lvl>
    <w:lvl w:ilvl="2">
      <w:start w:val="0"/>
      <w:numFmt w:val="bullet"/>
      <w:lvlText w:val="•"/>
      <w:lvlJc w:val="left"/>
      <w:pPr>
        <w:ind w:left="3017" w:hanging="709"/>
      </w:pPr>
      <w:rPr>
        <w:rFonts w:hint="default"/>
      </w:rPr>
    </w:lvl>
    <w:lvl w:ilvl="3">
      <w:start w:val="0"/>
      <w:numFmt w:val="bullet"/>
      <w:lvlText w:val="•"/>
      <w:lvlJc w:val="left"/>
      <w:pPr>
        <w:ind w:left="3926" w:hanging="709"/>
      </w:pPr>
      <w:rPr>
        <w:rFonts w:hint="default"/>
      </w:rPr>
    </w:lvl>
    <w:lvl w:ilvl="4">
      <w:start w:val="0"/>
      <w:numFmt w:val="bullet"/>
      <w:lvlText w:val="•"/>
      <w:lvlJc w:val="left"/>
      <w:pPr>
        <w:ind w:left="4835" w:hanging="709"/>
      </w:pPr>
      <w:rPr>
        <w:rFonts w:hint="default"/>
      </w:rPr>
    </w:lvl>
    <w:lvl w:ilvl="5">
      <w:start w:val="0"/>
      <w:numFmt w:val="bullet"/>
      <w:lvlText w:val="•"/>
      <w:lvlJc w:val="left"/>
      <w:pPr>
        <w:ind w:left="5744" w:hanging="709"/>
      </w:pPr>
      <w:rPr>
        <w:rFonts w:hint="default"/>
      </w:rPr>
    </w:lvl>
    <w:lvl w:ilvl="6">
      <w:start w:val="0"/>
      <w:numFmt w:val="bullet"/>
      <w:lvlText w:val="•"/>
      <w:lvlJc w:val="left"/>
      <w:pPr>
        <w:ind w:left="6653" w:hanging="709"/>
      </w:pPr>
      <w:rPr>
        <w:rFonts w:hint="default"/>
      </w:rPr>
    </w:lvl>
    <w:lvl w:ilvl="7">
      <w:start w:val="0"/>
      <w:numFmt w:val="bullet"/>
      <w:lvlText w:val="•"/>
      <w:lvlJc w:val="left"/>
      <w:pPr>
        <w:ind w:left="7562" w:hanging="709"/>
      </w:pPr>
      <w:rPr>
        <w:rFonts w:hint="default"/>
      </w:rPr>
    </w:lvl>
    <w:lvl w:ilvl="8">
      <w:start w:val="0"/>
      <w:numFmt w:val="bullet"/>
      <w:lvlText w:val="•"/>
      <w:lvlJc w:val="left"/>
      <w:pPr>
        <w:ind w:left="8471" w:hanging="709"/>
      </w:pPr>
      <w:rPr>
        <w:rFonts w:hint="default"/>
      </w:rPr>
    </w:lvl>
  </w:abstractNum>
  <w:abstractNum w:abstractNumId="3">
    <w:multiLevelType w:val="hybridMultilevel"/>
    <w:lvl w:ilvl="0">
      <w:start w:val="5"/>
      <w:numFmt w:val="decimal"/>
      <w:lvlText w:val="%1"/>
      <w:lvlJc w:val="left"/>
      <w:pPr>
        <w:ind w:left="1244" w:hanging="653"/>
        <w:jc w:val="left"/>
      </w:pPr>
      <w:rPr>
        <w:rFonts w:hint="default"/>
      </w:rPr>
    </w:lvl>
    <w:lvl w:ilvl="1">
      <w:start w:val="1"/>
      <w:numFmt w:val="decimal"/>
      <w:lvlText w:val="%1.%2"/>
      <w:lvlJc w:val="left"/>
      <w:pPr>
        <w:ind w:left="1244" w:hanging="653"/>
        <w:jc w:val="left"/>
      </w:pPr>
      <w:rPr>
        <w:rFonts w:hint="default" w:ascii="Arial" w:hAnsi="Arial" w:eastAsia="Arial" w:cs="Arial"/>
        <w:w w:val="99"/>
        <w:sz w:val="18"/>
        <w:szCs w:val="18"/>
      </w:rPr>
    </w:lvl>
    <w:lvl w:ilvl="2">
      <w:start w:val="1"/>
      <w:numFmt w:val="decimal"/>
      <w:lvlText w:val="(%3)"/>
      <w:lvlJc w:val="left"/>
      <w:pPr>
        <w:ind w:left="1529" w:hanging="286"/>
        <w:jc w:val="left"/>
      </w:pPr>
      <w:rPr>
        <w:rFonts w:hint="default" w:ascii="Arial" w:hAnsi="Arial" w:eastAsia="Arial" w:cs="Arial"/>
        <w:w w:val="99"/>
        <w:sz w:val="18"/>
        <w:szCs w:val="18"/>
      </w:rPr>
    </w:lvl>
    <w:lvl w:ilvl="3">
      <w:start w:val="0"/>
      <w:numFmt w:val="bullet"/>
      <w:lvlText w:val="•"/>
      <w:lvlJc w:val="left"/>
      <w:pPr>
        <w:ind w:left="2651" w:hanging="286"/>
      </w:pPr>
      <w:rPr>
        <w:rFonts w:hint="default"/>
      </w:rPr>
    </w:lvl>
    <w:lvl w:ilvl="4">
      <w:start w:val="0"/>
      <w:numFmt w:val="bullet"/>
      <w:lvlText w:val="•"/>
      <w:lvlJc w:val="left"/>
      <w:pPr>
        <w:ind w:left="3742" w:hanging="286"/>
      </w:pPr>
      <w:rPr>
        <w:rFonts w:hint="default"/>
      </w:rPr>
    </w:lvl>
    <w:lvl w:ilvl="5">
      <w:start w:val="0"/>
      <w:numFmt w:val="bullet"/>
      <w:lvlText w:val="•"/>
      <w:lvlJc w:val="left"/>
      <w:pPr>
        <w:ind w:left="4833" w:hanging="286"/>
      </w:pPr>
      <w:rPr>
        <w:rFonts w:hint="default"/>
      </w:rPr>
    </w:lvl>
    <w:lvl w:ilvl="6">
      <w:start w:val="0"/>
      <w:numFmt w:val="bullet"/>
      <w:lvlText w:val="•"/>
      <w:lvlJc w:val="left"/>
      <w:pPr>
        <w:ind w:left="5924" w:hanging="286"/>
      </w:pPr>
      <w:rPr>
        <w:rFonts w:hint="default"/>
      </w:rPr>
    </w:lvl>
    <w:lvl w:ilvl="7">
      <w:start w:val="0"/>
      <w:numFmt w:val="bullet"/>
      <w:lvlText w:val="•"/>
      <w:lvlJc w:val="left"/>
      <w:pPr>
        <w:ind w:left="7015" w:hanging="286"/>
      </w:pPr>
      <w:rPr>
        <w:rFonts w:hint="default"/>
      </w:rPr>
    </w:lvl>
    <w:lvl w:ilvl="8">
      <w:start w:val="0"/>
      <w:numFmt w:val="bullet"/>
      <w:lvlText w:val="•"/>
      <w:lvlJc w:val="left"/>
      <w:pPr>
        <w:ind w:left="8106" w:hanging="286"/>
      </w:pPr>
      <w:rPr>
        <w:rFonts w:hint="default"/>
      </w:rPr>
    </w:lvl>
  </w:abstractNum>
  <w:abstractNum w:abstractNumId="2">
    <w:multiLevelType w:val="hybridMultilevel"/>
    <w:lvl w:ilvl="0">
      <w:start w:val="4"/>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45"/>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1">
    <w:multiLevelType w:val="hybridMultilevel"/>
    <w:lvl w:ilvl="0">
      <w:start w:val="3"/>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0">
    <w:multiLevelType w:val="hybridMultilevel"/>
    <w:lvl w:ilvl="0">
      <w:start w:val="2"/>
      <w:numFmt w:val="decimal"/>
      <w:lvlText w:val="%1"/>
      <w:lvlJc w:val="left"/>
      <w:pPr>
        <w:ind w:left="1243" w:hanging="706"/>
        <w:jc w:val="left"/>
      </w:pPr>
      <w:rPr>
        <w:rFonts w:hint="default"/>
      </w:rPr>
    </w:lvl>
    <w:lvl w:ilvl="1">
      <w:start w:val="1"/>
      <w:numFmt w:val="decimal"/>
      <w:lvlText w:val="%1.%2"/>
      <w:lvlJc w:val="left"/>
      <w:pPr>
        <w:ind w:left="1243"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ind w:left="382"/>
      <w:jc w:val="center"/>
      <w:outlineLvl w:val="1"/>
    </w:pPr>
    <w:rPr>
      <w:rFonts w:ascii="宋体" w:hAnsi="宋体" w:eastAsia="宋体" w:cs="宋体"/>
      <w:b/>
      <w:bCs/>
      <w:sz w:val="30"/>
      <w:szCs w:val="30"/>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spacing w:before="106"/>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2018-10-20T04:54:28Z</dcterms:created>
  <dcterms:modified xsi:type="dcterms:W3CDTF">2018-10-20T04:54:28Z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