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t>海尔保险[2011]疾病保险 035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313" w:lineRule="exact" w:before="26"/>
        <w:ind w:left="2768" w:right="54" w:firstLine="0"/>
        <w:jc w:val="center"/>
        <w:rPr>
          <w:b/>
          <w:sz w:val="24"/>
        </w:rPr>
      </w:pPr>
      <w:r>
        <w:rPr/>
        <w:pict>
          <v:group style="position:absolute;margin-left:83.633759pt;margin-top:-49.722103pt;width:428.4pt;height:57pt;mso-position-horizontal-relative:page;mso-position-vertical-relative:paragraph;z-index:-16168" coordorigin="1673,-994"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w:t>
      </w:r>
    </w:p>
    <w:p>
      <w:pPr>
        <w:spacing w:line="312" w:lineRule="exact" w:before="0"/>
        <w:ind w:left="2768" w:right="59" w:firstLine="0"/>
        <w:jc w:val="center"/>
        <w:rPr>
          <w:b/>
          <w:sz w:val="24"/>
        </w:rPr>
      </w:pPr>
      <w:r>
        <w:rPr>
          <w:b/>
          <w:w w:val="95"/>
          <w:sz w:val="24"/>
        </w:rPr>
        <w:t>附加乐宁少儿重大疾病保险条款</w:t>
      </w:r>
    </w:p>
    <w:p>
      <w:pPr>
        <w:spacing w:line="331" w:lineRule="exact" w:before="0"/>
        <w:ind w:left="2768" w:right="57"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ind w:left="0"/>
        <w:rPr>
          <w:b/>
          <w:sz w:val="26"/>
        </w:rPr>
      </w:pPr>
    </w:p>
    <w:p>
      <w:pPr>
        <w:spacing w:before="185"/>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3"/>
      </w:pPr>
      <w:r>
        <w:rPr/>
        <w:t>请扫描以查询验证条款</w:t>
      </w:r>
    </w:p>
    <w:p>
      <w:pPr>
        <w:spacing w:after="0"/>
        <w:sectPr>
          <w:type w:val="continuous"/>
          <w:pgSz w:w="11960" w:h="16850"/>
          <w:pgMar w:top="280" w:bottom="1200" w:left="1560" w:right="940"/>
          <w:cols w:num="2" w:equalWidth="0">
            <w:col w:w="6072" w:space="40"/>
            <w:col w:w="3348"/>
          </w:cols>
        </w:sectPr>
      </w:pPr>
    </w:p>
    <w:p>
      <w:pPr>
        <w:pStyle w:val="BodyText"/>
        <w:spacing w:before="9"/>
        <w:ind w:left="0"/>
        <w:rPr>
          <w:sz w:val="9"/>
        </w:rPr>
      </w:pPr>
    </w:p>
    <w:sdt>
      <w:sdtPr>
        <w:docPartObj>
          <w:docPartGallery w:val="Table of Contents"/>
          <w:docPartUnique/>
        </w:docPartObj>
      </w:sdtPr>
      <w:sdtEndPr/>
      <w:sdtContent>
        <w:p>
          <w:pPr>
            <w:pStyle w:val="TOC1"/>
            <w:tabs>
              <w:tab w:pos="894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2"/>
            <w:tabs>
              <w:tab w:pos="1401" w:val="left" w:leader="none"/>
              <w:tab w:pos="8710" w:val="right" w:leader="middleDot"/>
            </w:tabs>
            <w:spacing w:before="56"/>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4··</w:t>
          </w:r>
        </w:p>
        <w:p>
          <w:pPr>
            <w:pStyle w:val="TOC1"/>
            <w:tabs>
              <w:tab w:pos="8764" w:val="right" w:leader="middleDot"/>
            </w:tabs>
            <w:spacing w:before="167"/>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5·</w:t>
            </w:r>
          </w:hyperlink>
        </w:p>
        <w:p>
          <w:pPr>
            <w:pStyle w:val="TOC3"/>
            <w:tabs>
              <w:tab w:pos="1401" w:val="left" w:leader="none"/>
              <w:tab w:pos="8867" w:val="right" w:leader="middleDot"/>
            </w:tabs>
            <w:spacing w:before="55"/>
            <w:rPr>
              <w:rFonts w:ascii="Times New Roman" w:hAnsi="Times New Roman" w:eastAsia="Times New Roman"/>
              <w:b w:val="0"/>
              <w:i w:val="0"/>
              <w:sz w:val="21"/>
            </w:rPr>
          </w:pPr>
          <w:r>
            <w:rPr>
              <w:b w:val="0"/>
              <w:i w:val="0"/>
              <w:sz w:val="18"/>
            </w:rPr>
            <w:t>第十四条</w:t>
            <w:tab/>
            <w:t>宽限期</w:t>
            <w:tab/>
          </w:r>
          <w:r>
            <w:rPr>
              <w:rFonts w:ascii="Times New Roman" w:hAnsi="Times New Roman" w:eastAsia="Times New Roman"/>
              <w:b w:val="0"/>
              <w:i w:val="0"/>
              <w:spacing w:val="-11"/>
              <w:sz w:val="21"/>
            </w:rPr>
            <w:t>5····</w:t>
          </w:r>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第十五条</w:t>
              <w:tab/>
              <w:t>现金价值</w:t>
              <w:tab/>
            </w:r>
            <w:r>
              <w:rPr>
                <w:rFonts w:ascii="Times New Roman" w:hAnsi="Times New Roman" w:eastAsia="Times New Roman"/>
                <w:b w:val="0"/>
                <w:i w:val="0"/>
                <w:spacing w:val="-9"/>
                <w:sz w:val="21"/>
              </w:rPr>
              <w:t>5···</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7">
            <w:r>
              <w:rPr>
                <w:b w:val="0"/>
                <w:i w:val="0"/>
                <w:sz w:val="18"/>
              </w:rPr>
              <w:t>第十六条</w:t>
              <w:tab/>
              <w:t>减额交清</w:t>
              <w:tab/>
            </w:r>
            <w:r>
              <w:rPr>
                <w:rFonts w:ascii="Times New Roman" w:hAnsi="Times New Roman" w:eastAsia="Times New Roman"/>
                <w:b w:val="0"/>
                <w:i w:val="0"/>
                <w:spacing w:val="-9"/>
                <w:sz w:val="21"/>
              </w:rPr>
              <w:t>5···</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5···</w:t>
            </w:r>
          </w:hyperlink>
        </w:p>
        <w:p>
          <w:pPr>
            <w:pStyle w:val="TOC3"/>
            <w:tabs>
              <w:tab w:pos="1401" w:val="left" w:leader="none"/>
              <w:tab w:pos="9024" w:val="right" w:leader="middleDot"/>
            </w:tabs>
            <w:spacing w:before="191"/>
            <w:rPr>
              <w:rFonts w:ascii="Times New Roman" w:hAnsi="Times New Roman" w:eastAsia="Times New Roman"/>
              <w:b w:val="0"/>
              <w:i w:val="0"/>
              <w:sz w:val="21"/>
            </w:rPr>
          </w:pPr>
          <w:hyperlink w:history="true" w:anchor="_TOC_250005">
            <w:r>
              <w:rPr>
                <w:b w:val="0"/>
                <w:i w:val="0"/>
                <w:sz w:val="18"/>
              </w:rPr>
              <w:t>第十七条</w:t>
              <w:tab/>
              <w:t>您主动解除合同的权利</w:t>
              <w:tab/>
            </w:r>
            <w:r>
              <w:rPr>
                <w:rFonts w:ascii="Times New Roman" w:hAnsi="Times New Roman" w:eastAsia="Times New Roman"/>
                <w:b w:val="0"/>
                <w:i w:val="0"/>
                <w:spacing w:val="-6"/>
                <w:sz w:val="21"/>
              </w:rPr>
              <w:t>5······</w:t>
            </w:r>
          </w:hyperlink>
        </w:p>
        <w:p>
          <w:pPr>
            <w:pStyle w:val="TOC2"/>
            <w:tabs>
              <w:tab w:pos="1401" w:val="left" w:leader="none"/>
              <w:tab w:pos="8640" w:val="right" w:leader="middleDot"/>
            </w:tabs>
            <w:rPr>
              <w:rFonts w:ascii="Times New Roman" w:hAnsi="Times New Roman" w:eastAsia="Times New Roman"/>
              <w:sz w:val="21"/>
            </w:rPr>
          </w:pPr>
          <w:r>
            <w:rPr/>
            <w:t>第十八条</w:t>
            <w:tab/>
            <w:t>合同效力的终止</w:t>
            <w:tab/>
          </w:r>
          <w:r>
            <w:rPr>
              <w:rFonts w:ascii="Times New Roman" w:hAnsi="Times New Roman" w:eastAsia="Times New Roman"/>
              <w:spacing w:val="-33"/>
              <w:sz w:val="21"/>
            </w:rPr>
            <w:t>5·</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第十九条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第二十条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8814" w:val="right" w:leader="middleDot"/>
            </w:tabs>
            <w:rPr>
              <w:rFonts w:ascii="Times New Roman" w:hAnsi="Times New Roman" w:eastAsia="Times New Roman"/>
              <w:b w:val="0"/>
              <w:i w:val="0"/>
              <w:sz w:val="21"/>
            </w:rPr>
          </w:pPr>
          <w:hyperlink w:history="true" w:anchor="_TOC_250001">
            <w:r>
              <w:rPr>
                <w:b w:val="0"/>
                <w:i w:val="0"/>
                <w:sz w:val="18"/>
              </w:rPr>
              <w:t>第二十一条</w:t>
            </w:r>
            <w:r>
              <w:rPr>
                <w:b w:val="0"/>
                <w:i w:val="0"/>
                <w:spacing w:val="57"/>
                <w:sz w:val="18"/>
              </w:rPr>
              <w:t> </w:t>
            </w:r>
            <w:r>
              <w:rPr>
                <w:b w:val="0"/>
                <w:i w:val="0"/>
                <w:sz w:val="18"/>
              </w:rPr>
              <w:t>未还款项</w:t>
              <w:tab/>
            </w:r>
            <w:r>
              <w:rPr>
                <w:rFonts w:ascii="Times New Roman" w:hAnsi="Times New Roman" w:eastAsia="Times New Roman"/>
                <w:b w:val="0"/>
                <w:i w:val="0"/>
                <w:spacing w:val="-9"/>
                <w:sz w:val="21"/>
              </w:rPr>
              <w:t>6···</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3129" w:val="left" w:leader="none"/>
        </w:tabs>
        <w:spacing w:line="670" w:lineRule="atLeast"/>
        <w:ind w:left="141" w:right="1396" w:firstLine="1187"/>
        <w:jc w:val="left"/>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ind w:left="0"/>
        <w:rPr>
          <w:b/>
          <w:sz w:val="14"/>
        </w:rPr>
      </w:pPr>
    </w:p>
    <w:p>
      <w:pPr>
        <w:pStyle w:val="BodyText"/>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253" w:firstLine="0"/>
        <w:jc w:val="left"/>
        <w:rPr>
          <w:b/>
          <w:sz w:val="18"/>
        </w:rPr>
      </w:pPr>
      <w:r>
        <w:rPr>
          <w:sz w:val="18"/>
        </w:rPr>
        <w:t>本附加合同的英文简称为</w:t>
      </w:r>
      <w:r>
        <w:rPr>
          <w:spacing w:val="-47"/>
          <w:sz w:val="18"/>
        </w:rPr>
        <w:t> </w:t>
      </w:r>
      <w:r>
        <w:rPr>
          <w:rFonts w:ascii="Times New Roman" w:eastAsia="Times New Roman"/>
          <w:sz w:val="18"/>
        </w:rPr>
        <w:t>JCI</w:t>
      </w:r>
      <w:r>
        <w:rPr>
          <w:sz w:val="18"/>
        </w:rPr>
        <w:t>。</w:t>
      </w:r>
      <w:r>
        <w:rPr>
          <w:b/>
          <w:sz w:val="18"/>
        </w:rPr>
        <w:t>第二条</w:t>
        <w:tab/>
      </w:r>
      <w:r>
        <w:rPr>
          <w:b/>
          <w:w w:val="95"/>
          <w:sz w:val="18"/>
        </w:rPr>
        <w:t>投保范围</w:t>
      </w:r>
    </w:p>
    <w:p>
      <w:pPr>
        <w:spacing w:line="103" w:lineRule="exact" w:before="36"/>
        <w:ind w:left="5001" w:right="0" w:firstLine="0"/>
        <w:jc w:val="left"/>
        <w:rPr>
          <w:b/>
          <w:sz w:val="12"/>
        </w:rPr>
      </w:pPr>
      <w:r>
        <w:rPr>
          <w:b/>
          <w:sz w:val="12"/>
        </w:rPr>
        <w:t>释义 1</w:t>
      </w:r>
    </w:p>
    <w:p>
      <w:pPr>
        <w:pStyle w:val="BodyText"/>
        <w:tabs>
          <w:tab w:pos="5334" w:val="left" w:leader="none"/>
        </w:tabs>
        <w:spacing w:line="182" w:lineRule="exact"/>
      </w:pPr>
      <w:r>
        <w:rPr/>
        <w:t>本附加合同接受的被保险人的投保年龄为出生满七天至十</w:t>
      </w:r>
      <w:r>
        <w:rPr>
          <w:b/>
        </w:rPr>
        <w:t>周岁</w:t>
        <w:tab/>
      </w:r>
      <w:r>
        <w:rPr/>
        <w:t>。</w:t>
      </w:r>
    </w:p>
    <w:p>
      <w:pPr>
        <w:pStyle w:val="BodyText"/>
        <w:spacing w:before="5"/>
        <w:ind w:left="0"/>
        <w:rPr>
          <w:sz w:val="13"/>
        </w:rPr>
      </w:pPr>
    </w:p>
    <w:p>
      <w:pPr>
        <w:pStyle w:val="Heading1"/>
        <w:tabs>
          <w:tab w:pos="1401" w:val="left" w:leader="none"/>
        </w:tabs>
        <w:ind w:left="141"/>
        <w:jc w:val="left"/>
      </w:pPr>
      <w:bookmarkStart w:name="_TOC_250020"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ind w:left="141"/>
        <w:jc w:val="left"/>
      </w:pPr>
      <w:bookmarkStart w:name="_TOC_250019" w:id="2"/>
      <w:r>
        <w:rPr/>
        <w:t>第五条</w:t>
        <w:tab/>
      </w:r>
      <w:bookmarkEnd w:id="2"/>
      <w:r>
        <w:rPr>
          <w:w w:val="95"/>
        </w:rPr>
        <w:t>犹豫期</w:t>
      </w:r>
    </w:p>
    <w:p>
      <w:pPr>
        <w:pStyle w:val="BodyText"/>
        <w:ind w:left="0"/>
        <w:rPr>
          <w:b/>
          <w:sz w:val="15"/>
        </w:rPr>
      </w:pPr>
    </w:p>
    <w:p>
      <w:pPr>
        <w:pStyle w:val="BodyText"/>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ind w:left="141"/>
        <w:jc w:val="left"/>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ind w:left="141"/>
        <w:jc w:val="left"/>
      </w:pPr>
      <w:bookmarkStart w:name="_TOC_250016" w:id="5"/>
      <w:r>
        <w:rPr/>
        <w:t>第七条</w:t>
        <w:tab/>
      </w:r>
      <w:bookmarkEnd w:id="5"/>
      <w:r>
        <w:rPr>
          <w:w w:val="95"/>
        </w:rPr>
        <w:t>保险责任</w:t>
      </w:r>
    </w:p>
    <w:p>
      <w:pPr>
        <w:pStyle w:val="BodyText"/>
        <w:spacing w:before="12"/>
        <w:ind w:left="0"/>
        <w:rPr>
          <w:b/>
          <w:sz w:val="14"/>
        </w:rPr>
      </w:pPr>
    </w:p>
    <w:p>
      <w:pPr>
        <w:pStyle w:val="BodyText"/>
        <w:spacing w:line="316" w:lineRule="auto"/>
        <w:ind w:right="3848"/>
      </w:pPr>
      <w:r>
        <w:rPr/>
        <w:t>在本附加合同的有效保险期间内，我们将承担下列保险责任： 一、重大疾病保险金：</w:t>
      </w:r>
    </w:p>
    <w:p>
      <w:pPr>
        <w:pStyle w:val="BodyText"/>
        <w:spacing w:line="300" w:lineRule="auto"/>
        <w:ind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确诊初次患有本附加合同内所界定的重大疾病中的任何一种疾病，且从确诊之日起三十天后仍然生存，我们将按如下比例给付重大疾病保险金，同时本附加合同终止。如果该重大疾病是由于被保险人遭受</w:t>
      </w:r>
      <w:r>
        <w:rPr>
          <w:b/>
        </w:rPr>
        <w:t>意外伤害事故</w:t>
      </w:r>
      <w:r>
        <w:rPr>
          <w:b/>
          <w:spacing w:val="-12"/>
          <w:position w:val="12"/>
          <w:sz w:val="12"/>
        </w:rPr>
        <w:t>释义 </w:t>
      </w:r>
      <w:r>
        <w:rPr>
          <w:b/>
          <w:position w:val="12"/>
          <w:sz w:val="12"/>
        </w:rPr>
        <w:t>5 </w:t>
      </w:r>
      <w:r>
        <w:rPr>
          <w:spacing w:val="-1"/>
        </w:rPr>
        <w:t>引起的，则无须受上述九十天的限制。</w:t>
      </w:r>
    </w:p>
    <w:p>
      <w:pPr>
        <w:pStyle w:val="BodyText"/>
        <w:tabs>
          <w:tab w:pos="3654" w:val="left" w:leader="none"/>
        </w:tabs>
        <w:spacing w:line="228" w:lineRule="exact" w:before="10"/>
      </w:pPr>
      <w:r>
        <w:rPr/>
        <w:t>被保险人初次确诊患有重大疾病时的年龄</w:t>
        <w:tab/>
        <w:t>重大疾病保险</w:t>
      </w:r>
      <w:r>
        <w:rPr>
          <w:spacing w:val="-3"/>
        </w:rPr>
        <w:t>金</w:t>
      </w:r>
      <w:r>
        <w:rPr/>
        <w:t>占基本保险金额的比例</w:t>
      </w:r>
    </w:p>
    <w:p>
      <w:pPr>
        <w:spacing w:after="0" w:line="228" w:lineRule="exact"/>
        <w:sectPr>
          <w:headerReference w:type="default" r:id="rId7"/>
          <w:pgSz w:w="11960" w:h="16850"/>
          <w:pgMar w:header="897" w:footer="1001" w:top="1080" w:bottom="1200" w:left="1560" w:right="1540"/>
        </w:sectPr>
      </w:pPr>
    </w:p>
    <w:p>
      <w:pPr>
        <w:pStyle w:val="BodyText"/>
        <w:ind w:left="0"/>
        <w:rPr>
          <w:sz w:val="20"/>
        </w:rPr>
      </w:pPr>
    </w:p>
    <w:p>
      <w:pPr>
        <w:pStyle w:val="BodyText"/>
        <w:ind w:left="0"/>
        <w:rPr>
          <w:sz w:val="20"/>
        </w:rPr>
      </w:pPr>
    </w:p>
    <w:p>
      <w:pPr>
        <w:pStyle w:val="BodyText"/>
        <w:spacing w:before="4" w:after="1"/>
        <w:ind w:left="0"/>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1"/>
        <w:gridCol w:w="1372"/>
      </w:tblGrid>
      <w:tr>
        <w:trPr>
          <w:trHeight w:val="255" w:hRule="atLeast"/>
        </w:trPr>
        <w:tc>
          <w:tcPr>
            <w:tcW w:w="2751" w:type="dxa"/>
          </w:tcPr>
          <w:p>
            <w:pPr>
              <w:pStyle w:val="TableParagraph"/>
              <w:spacing w:line="199" w:lineRule="exact" w:before="0"/>
              <w:rPr>
                <w:sz w:val="18"/>
              </w:rPr>
            </w:pPr>
            <w:r>
              <w:rPr>
                <w:sz w:val="18"/>
              </w:rPr>
              <w:t>不足 </w:t>
            </w:r>
            <w:r>
              <w:rPr>
                <w:rFonts w:ascii="Times New Roman" w:eastAsia="Times New Roman"/>
                <w:sz w:val="18"/>
              </w:rPr>
              <w:t>1 </w:t>
            </w:r>
            <w:r>
              <w:rPr>
                <w:sz w:val="18"/>
              </w:rPr>
              <w:t>周岁</w:t>
            </w:r>
          </w:p>
        </w:tc>
        <w:tc>
          <w:tcPr>
            <w:tcW w:w="1372" w:type="dxa"/>
          </w:tcPr>
          <w:p>
            <w:pPr>
              <w:pStyle w:val="TableParagraph"/>
              <w:spacing w:line="199" w:lineRule="exact" w:before="0"/>
              <w:ind w:left="0" w:right="47"/>
              <w:jc w:val="right"/>
              <w:rPr>
                <w:rFonts w:ascii="Times New Roman"/>
                <w:sz w:val="18"/>
              </w:rPr>
            </w:pPr>
            <w:r>
              <w:rPr>
                <w:rFonts w:ascii="Times New Roman"/>
                <w:sz w:val="18"/>
              </w:rPr>
              <w:t>20%</w:t>
            </w:r>
          </w:p>
        </w:tc>
      </w:tr>
      <w:tr>
        <w:trPr>
          <w:trHeight w:val="311" w:hRule="atLeast"/>
        </w:trPr>
        <w:tc>
          <w:tcPr>
            <w:tcW w:w="2751"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1372" w:type="dxa"/>
          </w:tcPr>
          <w:p>
            <w:pPr>
              <w:pStyle w:val="TableParagraph"/>
              <w:spacing w:before="48"/>
              <w:ind w:left="0" w:right="49"/>
              <w:jc w:val="right"/>
              <w:rPr>
                <w:rFonts w:ascii="Times New Roman"/>
                <w:sz w:val="18"/>
              </w:rPr>
            </w:pPr>
            <w:r>
              <w:rPr>
                <w:rFonts w:ascii="Times New Roman"/>
                <w:sz w:val="18"/>
              </w:rPr>
              <w:t>40%</w:t>
            </w:r>
          </w:p>
        </w:tc>
      </w:tr>
      <w:tr>
        <w:trPr>
          <w:trHeight w:val="311" w:hRule="atLeast"/>
        </w:trPr>
        <w:tc>
          <w:tcPr>
            <w:tcW w:w="2751"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72" w:type="dxa"/>
          </w:tcPr>
          <w:p>
            <w:pPr>
              <w:pStyle w:val="TableParagraph"/>
              <w:spacing w:before="48"/>
              <w:ind w:left="0" w:right="49"/>
              <w:jc w:val="right"/>
              <w:rPr>
                <w:rFonts w:ascii="Times New Roman"/>
                <w:sz w:val="18"/>
              </w:rPr>
            </w:pPr>
            <w:r>
              <w:rPr>
                <w:rFonts w:ascii="Times New Roman"/>
                <w:sz w:val="18"/>
              </w:rPr>
              <w:t>60%</w:t>
            </w:r>
          </w:p>
        </w:tc>
      </w:tr>
      <w:tr>
        <w:trPr>
          <w:trHeight w:val="311" w:hRule="atLeast"/>
        </w:trPr>
        <w:tc>
          <w:tcPr>
            <w:tcW w:w="2751"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72" w:type="dxa"/>
          </w:tcPr>
          <w:p>
            <w:pPr>
              <w:pStyle w:val="TableParagraph"/>
              <w:spacing w:before="48"/>
              <w:ind w:left="0" w:right="49"/>
              <w:jc w:val="right"/>
              <w:rPr>
                <w:rFonts w:ascii="Times New Roman"/>
                <w:sz w:val="18"/>
              </w:rPr>
            </w:pPr>
            <w:r>
              <w:rPr>
                <w:rFonts w:ascii="Times New Roman"/>
                <w:sz w:val="18"/>
              </w:rPr>
              <w:t>80%</w:t>
            </w:r>
          </w:p>
        </w:tc>
      </w:tr>
      <w:tr>
        <w:trPr>
          <w:trHeight w:val="554" w:hRule="atLeast"/>
        </w:trPr>
        <w:tc>
          <w:tcPr>
            <w:tcW w:w="2751" w:type="dxa"/>
          </w:tcPr>
          <w:p>
            <w:pPr>
              <w:pStyle w:val="TableParagraph"/>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二、豁免保险费</w:t>
            </w:r>
          </w:p>
        </w:tc>
        <w:tc>
          <w:tcPr>
            <w:tcW w:w="1372" w:type="dxa"/>
          </w:tcPr>
          <w:p>
            <w:pPr>
              <w:pStyle w:val="TableParagraph"/>
              <w:spacing w:before="48"/>
              <w:ind w:left="0" w:right="50"/>
              <w:jc w:val="right"/>
              <w:rPr>
                <w:rFonts w:ascii="Times New Roman"/>
                <w:sz w:val="18"/>
              </w:rPr>
            </w:pPr>
            <w:r>
              <w:rPr>
                <w:rFonts w:ascii="Times New Roman"/>
                <w:sz w:val="18"/>
              </w:rPr>
              <w:t>100%</w:t>
            </w:r>
          </w:p>
        </w:tc>
      </w:tr>
    </w:tbl>
    <w:p>
      <w:pPr>
        <w:pStyle w:val="BodyText"/>
        <w:spacing w:before="76"/>
        <w:ind w:left="161"/>
        <w:jc w:val="both"/>
      </w:pPr>
      <w:r>
        <w:rPr/>
        <w:t>在本附加合同的有效保险期间内，如果投保人发生以下情形，可以豁免保险费：</w:t>
      </w:r>
    </w:p>
    <w:p>
      <w:pPr>
        <w:pStyle w:val="BodyText"/>
        <w:spacing w:before="76"/>
        <w:ind w:left="161"/>
        <w:jc w:val="both"/>
      </w:pPr>
      <w:r>
        <w:rPr>
          <w:rFonts w:ascii="Times New Roman" w:eastAsia="Times New Roman"/>
        </w:rPr>
        <w:t>1</w:t>
      </w:r>
      <w:r>
        <w:rPr/>
        <w:t>、如果投保人在本附加合同生效日或最后复效日（以较迟者为准）起一年后，首次发病并经医生确诊初次患</w:t>
      </w:r>
    </w:p>
    <w:p>
      <w:pPr>
        <w:spacing w:line="103" w:lineRule="exact" w:before="34"/>
        <w:ind w:left="2627" w:right="5343" w:firstLine="0"/>
        <w:jc w:val="center"/>
        <w:rPr>
          <w:b/>
          <w:sz w:val="12"/>
        </w:rPr>
      </w:pPr>
      <w:r>
        <w:rPr>
          <w:b/>
          <w:sz w:val="12"/>
        </w:rPr>
        <w:t>释义 6</w:t>
      </w:r>
    </w:p>
    <w:p>
      <w:pPr>
        <w:pStyle w:val="BodyText"/>
        <w:spacing w:line="182" w:lineRule="exact"/>
        <w:ind w:left="161"/>
        <w:jc w:val="both"/>
      </w:pPr>
      <w:r>
        <w:rPr/>
        <w:t>有本附加合同内所界定的</w:t>
      </w:r>
      <w:r>
        <w:rPr>
          <w:b/>
        </w:rPr>
        <w:t>恶性肿瘤    </w:t>
      </w:r>
      <w:r>
        <w:rPr/>
        <w:t>，经我们核准后，我们将在确诊恶性肿瘤后的首个交费日开始豁免本</w:t>
      </w:r>
    </w:p>
    <w:p>
      <w:pPr>
        <w:pStyle w:val="BodyText"/>
        <w:spacing w:before="55"/>
        <w:ind w:left="161"/>
        <w:jc w:val="both"/>
      </w:pPr>
      <w:r>
        <w:rPr/>
        <w:t>附加合同的保险费。获豁免的保险费被视作已支付的保险费。</w:t>
      </w:r>
    </w:p>
    <w:p>
      <w:pPr>
        <w:spacing w:line="103" w:lineRule="exact" w:before="47"/>
        <w:ind w:left="2861" w:right="5109" w:firstLine="0"/>
        <w:jc w:val="center"/>
        <w:rPr>
          <w:b/>
          <w:sz w:val="12"/>
        </w:rPr>
      </w:pPr>
      <w:r>
        <w:rPr>
          <w:b/>
          <w:sz w:val="12"/>
        </w:rPr>
        <w:t>释义 7</w:t>
      </w:r>
    </w:p>
    <w:p>
      <w:pPr>
        <w:pStyle w:val="BodyText"/>
        <w:spacing w:line="196" w:lineRule="exact"/>
        <w:ind w:left="161"/>
        <w:jc w:val="both"/>
      </w:pPr>
      <w:r>
        <w:rPr>
          <w:rFonts w:ascii="Times New Roman" w:eastAsia="Times New Roman"/>
        </w:rPr>
        <w:t>2</w:t>
      </w:r>
      <w:r>
        <w:rPr/>
        <w:t>、如果投保人在交费期内身故或</w:t>
      </w:r>
      <w:r>
        <w:rPr>
          <w:b/>
        </w:rPr>
        <w:t>全残   </w:t>
      </w:r>
      <w:r>
        <w:rPr/>
        <w:t>，经我们核准后，我们将在投保人身故或全残后的首个交费日开始</w:t>
      </w:r>
    </w:p>
    <w:p>
      <w:pPr>
        <w:pStyle w:val="BodyText"/>
        <w:spacing w:line="316" w:lineRule="auto" w:before="42"/>
        <w:ind w:left="161" w:right="3268"/>
      </w:pPr>
      <w:r>
        <w:rPr/>
        <w:t>豁免本附加合同的保险费。获豁免的保险费被视作已支付的保险费。豁免保险费的保障生效后，我们不接受任何保险利益变更的申请。</w:t>
      </w:r>
    </w:p>
    <w:p>
      <w:pPr>
        <w:pStyle w:val="Heading1"/>
        <w:spacing w:before="139"/>
      </w:pPr>
      <w:bookmarkStart w:name="_TOC_250015" w:id="6"/>
      <w:bookmarkEnd w:id="6"/>
      <w:r>
        <w:rPr/>
        <w:t>第 八 条  责 任 免 除</w:t>
      </w:r>
    </w:p>
    <w:p>
      <w:pPr>
        <w:pStyle w:val="BodyText"/>
        <w:ind w:left="0"/>
        <w:rPr>
          <w:b/>
          <w:sz w:val="15"/>
        </w:rPr>
      </w:pPr>
    </w:p>
    <w:p>
      <w:pPr>
        <w:spacing w:before="0"/>
        <w:ind w:left="161" w:right="0" w:firstLine="0"/>
        <w:jc w:val="both"/>
        <w:rPr>
          <w:b/>
          <w:sz w:val="18"/>
        </w:rPr>
      </w:pPr>
      <w:r>
        <w:rPr>
          <w:b/>
          <w:w w:val="95"/>
          <w:sz w:val="18"/>
        </w:rPr>
        <w:t>一、请您注意，下列情形的发生将导致我们重大疾病保险金责任的免除：</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）被保险人故意自伤、故意犯罪活动或者抗拒依法采取的刑事强制措施的；</w:t>
      </w:r>
    </w:p>
    <w:p>
      <w:pPr>
        <w:spacing w:before="34"/>
        <w:ind w:left="16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8</w:t>
      </w:r>
      <w:r>
        <w:rPr>
          <w:b/>
          <w:sz w:val="18"/>
        </w:rPr>
        <w:t>；</w:t>
      </w:r>
    </w:p>
    <w:p>
      <w:pPr>
        <w:spacing w:before="13"/>
        <w:ind w:left="16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9</w:t>
      </w:r>
      <w:r>
        <w:rPr>
          <w:b/>
          <w:sz w:val="18"/>
        </w:rPr>
        <w:t>、无合法有效驾驶证驾驶</w:t>
      </w:r>
      <w:r>
        <w:rPr>
          <w:b/>
          <w:position w:val="12"/>
          <w:sz w:val="12"/>
        </w:rPr>
        <w:t>释义 10 </w:t>
      </w:r>
      <w:r>
        <w:rPr>
          <w:b/>
          <w:sz w:val="18"/>
        </w:rPr>
        <w:t>或驾驶无有效行驶证</w:t>
      </w:r>
      <w:r>
        <w:rPr>
          <w:b/>
          <w:position w:val="12"/>
          <w:sz w:val="12"/>
        </w:rPr>
        <w:t>释义 11 </w:t>
      </w:r>
      <w:r>
        <w:rPr>
          <w:b/>
          <w:sz w:val="18"/>
        </w:rPr>
        <w:t>的机动交通工具；</w:t>
      </w:r>
    </w:p>
    <w:p>
      <w:pPr>
        <w:spacing w:before="13"/>
        <w:ind w:left="161" w:right="0" w:firstLine="0"/>
        <w:jc w:val="both"/>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2</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pPr>
      <w:r>
        <w:rPr>
          <w:w w:val="95"/>
        </w:rPr>
        <w:t>（</w:t>
      </w:r>
      <w:r>
        <w:rPr>
          <w:rFonts w:ascii="Times New Roman" w:eastAsia="Times New Roman"/>
          <w:w w:val="95"/>
        </w:rPr>
        <w:t>6</w:t>
      </w:r>
      <w:r>
        <w:rPr>
          <w:w w:val="95"/>
        </w:rPr>
        <w:t>）战争、军事行动、暴乱或武装叛乱；</w:t>
      </w:r>
    </w:p>
    <w:p>
      <w:pPr>
        <w:spacing w:before="62"/>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61" w:right="0" w:firstLine="0"/>
        <w:jc w:val="both"/>
        <w:rPr>
          <w:b/>
          <w:sz w:val="18"/>
        </w:rPr>
      </w:pPr>
      <w:r>
        <w:rPr>
          <w:b/>
          <w:sz w:val="18"/>
        </w:rPr>
        <w:t>（</w:t>
      </w:r>
      <w:r>
        <w:rPr>
          <w:rFonts w:ascii="Times New Roman" w:eastAsia="Times New Roman"/>
          <w:b/>
          <w:sz w:val="18"/>
        </w:rPr>
        <w:t>8</w:t>
      </w:r>
      <w:r>
        <w:rPr>
          <w:b/>
          <w:sz w:val="18"/>
        </w:rPr>
        <w:t>）遗传性疾病</w:t>
      </w:r>
      <w:r>
        <w:rPr>
          <w:b/>
          <w:position w:val="12"/>
          <w:sz w:val="12"/>
        </w:rPr>
        <w:t>释义 14</w:t>
      </w:r>
      <w:r>
        <w:rPr>
          <w:b/>
          <w:sz w:val="18"/>
        </w:rPr>
        <w:t>，先天性畸形、变形或染色体异常</w:t>
      </w:r>
      <w:r>
        <w:rPr>
          <w:b/>
          <w:position w:val="12"/>
          <w:sz w:val="12"/>
        </w:rPr>
        <w:t>释义 15</w:t>
      </w:r>
      <w:r>
        <w:rPr>
          <w:b/>
          <w:sz w:val="18"/>
        </w:rPr>
        <w:t>。</w:t>
      </w:r>
    </w:p>
    <w:p>
      <w:pPr>
        <w:pStyle w:val="BodyText"/>
        <w:spacing w:line="309" w:lineRule="auto" w:before="41"/>
        <w:ind w:left="161" w:right="166"/>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重大疾病保险金给付责任。但符合本附加合同内重大疾病释义中所界定的“经输血导致的艾滋病病毒感染”不受上述情形（</w:t>
      </w:r>
      <w:r>
        <w:rPr>
          <w:rFonts w:ascii="Times New Roman" w:hAnsi="Times New Roman" w:eastAsia="Times New Roman"/>
        </w:rPr>
        <w:t>5</w:t>
      </w:r>
      <w:r>
        <w:rPr/>
        <w:t>）的限制。</w:t>
      </w:r>
    </w:p>
    <w:p>
      <w:pPr>
        <w:pStyle w:val="Heading1"/>
        <w:spacing w:before="5"/>
      </w:pPr>
      <w:r>
        <w:rPr>
          <w:w w:val="95"/>
        </w:rPr>
        <w:t>二、请您注意，下列情形的发生将导致我们不承担豁免保险费的责任：</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）受益人故意杀害或伤害投保人；</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）投保人故意犯罪或者抗拒依法采取的刑事强制措施的；</w:t>
      </w:r>
    </w:p>
    <w:p>
      <w:pPr>
        <w:spacing w:before="62"/>
        <w:ind w:left="161" w:right="0" w:firstLine="0"/>
        <w:jc w:val="both"/>
        <w:rPr>
          <w:b/>
          <w:sz w:val="18"/>
        </w:rPr>
      </w:pPr>
      <w:r>
        <w:rPr>
          <w:b/>
          <w:w w:val="95"/>
          <w:sz w:val="18"/>
        </w:rPr>
        <w:t>（</w:t>
      </w:r>
      <w:r>
        <w:rPr>
          <w:rFonts w:ascii="Times New Roman" w:eastAsia="Times New Roman"/>
          <w:b/>
          <w:w w:val="95"/>
          <w:sz w:val="18"/>
        </w:rPr>
        <w:t>3</w:t>
      </w:r>
      <w:r>
        <w:rPr>
          <w:b/>
          <w:w w:val="95"/>
          <w:sz w:val="18"/>
        </w:rPr>
        <w:t>）投保人主动服用、吸食或注射毒品；</w:t>
      </w:r>
    </w:p>
    <w:p>
      <w:pPr>
        <w:spacing w:before="34"/>
        <w:ind w:left="161" w:right="0" w:firstLine="0"/>
        <w:jc w:val="both"/>
        <w:rPr>
          <w:b/>
          <w:sz w:val="18"/>
        </w:rPr>
      </w:pPr>
      <w:r>
        <w:rPr>
          <w:b/>
          <w:sz w:val="18"/>
        </w:rPr>
        <w:t>（</w:t>
      </w:r>
      <w:r>
        <w:rPr>
          <w:rFonts w:ascii="Times New Roman" w:eastAsia="Times New Roman"/>
          <w:b/>
          <w:sz w:val="18"/>
        </w:rPr>
        <w:t>4</w:t>
      </w:r>
      <w:r>
        <w:rPr>
          <w:b/>
          <w:sz w:val="18"/>
        </w:rPr>
        <w:t>）投保人斗殴</w:t>
      </w:r>
      <w:r>
        <w:rPr>
          <w:b/>
          <w:position w:val="12"/>
          <w:sz w:val="12"/>
        </w:rPr>
        <w:t>释义 16</w:t>
      </w:r>
      <w:r>
        <w:rPr>
          <w:b/>
          <w:sz w:val="18"/>
        </w:rPr>
        <w:t>，酗酒</w:t>
      </w:r>
      <w:r>
        <w:rPr>
          <w:b/>
          <w:position w:val="12"/>
          <w:sz w:val="12"/>
        </w:rPr>
        <w:t>释义 17</w:t>
      </w:r>
      <w:r>
        <w:rPr>
          <w:b/>
          <w:sz w:val="18"/>
        </w:rPr>
        <w:t>，自杀及故意自伤；</w:t>
      </w:r>
    </w:p>
    <w:p>
      <w:pPr>
        <w:pStyle w:val="Heading1"/>
        <w:spacing w:before="41"/>
      </w:pPr>
      <w:r>
        <w:rPr>
          <w:w w:val="95"/>
        </w:rPr>
        <w:t>（</w:t>
      </w:r>
      <w:r>
        <w:rPr>
          <w:rFonts w:ascii="Times New Roman" w:eastAsia="Times New Roman"/>
          <w:w w:val="95"/>
        </w:rPr>
        <w:t>5</w:t>
      </w:r>
      <w:r>
        <w:rPr>
          <w:w w:val="95"/>
        </w:rPr>
        <w:t>）投保人酒后驾驶、无合法有效驾驶证驾驶或驾驶无有效行驶证的机动交通工具；</w:t>
      </w:r>
    </w:p>
    <w:p>
      <w:pPr>
        <w:spacing w:before="34"/>
        <w:ind w:left="161" w:right="0" w:firstLine="0"/>
        <w:jc w:val="both"/>
        <w:rPr>
          <w:b/>
          <w:sz w:val="18"/>
        </w:rPr>
      </w:pPr>
      <w:r>
        <w:rPr>
          <w:b/>
          <w:sz w:val="18"/>
        </w:rPr>
        <w:t>（</w:t>
      </w:r>
      <w:r>
        <w:rPr>
          <w:rFonts w:ascii="Times New Roman" w:eastAsia="Times New Roman"/>
          <w:b/>
          <w:sz w:val="18"/>
        </w:rPr>
        <w:t>6</w:t>
      </w:r>
      <w:r>
        <w:rPr>
          <w:b/>
          <w:sz w:val="18"/>
        </w:rPr>
        <w:t>）投保人未遵医嘱使用处方药物</w:t>
      </w:r>
      <w:r>
        <w:rPr>
          <w:b/>
          <w:position w:val="12"/>
          <w:sz w:val="12"/>
        </w:rPr>
        <w:t>释义 18 </w:t>
      </w:r>
      <w:r>
        <w:rPr>
          <w:b/>
          <w:sz w:val="18"/>
        </w:rPr>
        <w:t>或未按照说明书所示的内容使用非处方药物；</w:t>
      </w:r>
    </w:p>
    <w:p>
      <w:pPr>
        <w:spacing w:before="41"/>
        <w:ind w:left="161" w:right="0" w:firstLine="0"/>
        <w:jc w:val="both"/>
        <w:rPr>
          <w:b/>
          <w:sz w:val="18"/>
        </w:rPr>
      </w:pPr>
      <w:r>
        <w:rPr>
          <w:b/>
          <w:spacing w:val="1"/>
          <w:w w:val="99"/>
          <w:sz w:val="18"/>
        </w:rPr>
        <w:t>（</w:t>
      </w:r>
      <w:r>
        <w:rPr>
          <w:rFonts w:ascii="Times New Roman" w:eastAsia="Times New Roman"/>
          <w:b/>
          <w:spacing w:val="-2"/>
          <w:w w:val="100"/>
          <w:sz w:val="18"/>
        </w:rPr>
        <w:t>7</w:t>
      </w:r>
      <w:r>
        <w:rPr>
          <w:b/>
          <w:spacing w:val="-1"/>
          <w:w w:val="99"/>
          <w:sz w:val="18"/>
        </w:rPr>
        <w:t>）投保人患艾滋病</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spacing w:before="34"/>
        <w:ind w:left="161" w:right="0" w:firstLine="0"/>
        <w:jc w:val="both"/>
        <w:rPr>
          <w:b/>
          <w:sz w:val="18"/>
        </w:rPr>
      </w:pPr>
      <w:r>
        <w:rPr>
          <w:b/>
          <w:sz w:val="18"/>
        </w:rPr>
        <w:t>（</w:t>
      </w:r>
      <w:r>
        <w:rPr>
          <w:rFonts w:ascii="Times New Roman" w:eastAsia="Times New Roman"/>
          <w:b/>
          <w:sz w:val="18"/>
        </w:rPr>
        <w:t>8</w:t>
      </w:r>
      <w:r>
        <w:rPr>
          <w:b/>
          <w:sz w:val="18"/>
        </w:rPr>
        <w:t>）战争、军事冲突、暴乱、恐怖活动</w:t>
      </w:r>
      <w:r>
        <w:rPr>
          <w:b/>
          <w:position w:val="12"/>
          <w:sz w:val="12"/>
        </w:rPr>
        <w:t>释义 19 </w:t>
      </w:r>
      <w:r>
        <w:rPr>
          <w:b/>
          <w:sz w:val="18"/>
        </w:rPr>
        <w:t>或武装叛乱；</w:t>
      </w:r>
    </w:p>
    <w:p>
      <w:pPr>
        <w:spacing w:before="40"/>
        <w:ind w:left="161" w:right="0" w:firstLine="0"/>
        <w:jc w:val="both"/>
        <w:rPr>
          <w:b/>
          <w:sz w:val="18"/>
        </w:rPr>
      </w:pPr>
      <w:r>
        <w:rPr>
          <w:b/>
          <w:w w:val="95"/>
          <w:sz w:val="18"/>
        </w:rPr>
        <w:t>（</w:t>
      </w:r>
      <w:r>
        <w:rPr>
          <w:rFonts w:ascii="Times New Roman" w:eastAsia="Times New Roman"/>
          <w:b/>
          <w:w w:val="95"/>
          <w:sz w:val="18"/>
        </w:rPr>
        <w:t>9</w:t>
      </w:r>
      <w:r>
        <w:rPr>
          <w:b/>
          <w:w w:val="95"/>
          <w:sz w:val="18"/>
        </w:rPr>
        <w:t>）核爆炸、核辐射或核污染；</w:t>
      </w:r>
    </w:p>
    <w:p>
      <w:pPr>
        <w:spacing w:line="252" w:lineRule="auto" w:before="33"/>
        <w:ind w:left="161" w:right="108" w:firstLine="0"/>
        <w:jc w:val="left"/>
        <w:rPr>
          <w:b/>
          <w:sz w:val="18"/>
        </w:rPr>
      </w:pPr>
      <w:r>
        <w:rPr>
          <w:b/>
          <w:sz w:val="18"/>
        </w:rPr>
        <w:t>（</w:t>
      </w:r>
      <w:r>
        <w:rPr>
          <w:rFonts w:ascii="Times New Roman" w:eastAsia="Times New Roman"/>
          <w:b/>
          <w:sz w:val="18"/>
        </w:rPr>
        <w:t>10</w:t>
      </w:r>
      <w:r>
        <w:rPr>
          <w:b/>
          <w:sz w:val="18"/>
        </w:rPr>
        <w:t>）投保人从事以下高风险运动：潜水</w:t>
      </w:r>
      <w:r>
        <w:rPr>
          <w:b/>
          <w:spacing w:val="-14"/>
          <w:position w:val="12"/>
          <w:sz w:val="12"/>
        </w:rPr>
        <w:t>释义 </w:t>
      </w:r>
      <w:r>
        <w:rPr>
          <w:b/>
          <w:position w:val="12"/>
          <w:sz w:val="12"/>
        </w:rPr>
        <w:t>20</w:t>
      </w:r>
      <w:r>
        <w:rPr>
          <w:b/>
          <w:sz w:val="18"/>
        </w:rPr>
        <w:t>、滑水、滑冰、滑雪、滑翔翼、跳伞、攀岩</w:t>
      </w:r>
      <w:r>
        <w:rPr>
          <w:b/>
          <w:spacing w:val="-14"/>
          <w:position w:val="12"/>
          <w:sz w:val="12"/>
        </w:rPr>
        <w:t>释义 </w:t>
      </w:r>
      <w:r>
        <w:rPr>
          <w:b/>
          <w:position w:val="12"/>
          <w:sz w:val="12"/>
        </w:rPr>
        <w:t>21</w:t>
      </w:r>
      <w:r>
        <w:rPr>
          <w:b/>
          <w:sz w:val="18"/>
        </w:rPr>
        <w:t>、探险</w:t>
      </w:r>
      <w:r>
        <w:rPr>
          <w:b/>
          <w:spacing w:val="-14"/>
          <w:position w:val="12"/>
          <w:sz w:val="12"/>
        </w:rPr>
        <w:t>释义 </w:t>
      </w:r>
      <w:r>
        <w:rPr>
          <w:b/>
          <w:position w:val="12"/>
          <w:sz w:val="12"/>
        </w:rPr>
        <w:t>22</w:t>
      </w:r>
      <w:r>
        <w:rPr>
          <w:b/>
          <w:sz w:val="18"/>
        </w:rPr>
        <w:t>、武术比赛</w:t>
      </w:r>
      <w:r>
        <w:rPr>
          <w:b/>
          <w:spacing w:val="-14"/>
          <w:position w:val="12"/>
          <w:sz w:val="12"/>
        </w:rPr>
        <w:t>释义 </w:t>
      </w:r>
      <w:r>
        <w:rPr>
          <w:b/>
          <w:position w:val="12"/>
          <w:sz w:val="12"/>
        </w:rPr>
        <w:t>23</w:t>
      </w:r>
      <w:r>
        <w:rPr>
          <w:b/>
          <w:sz w:val="18"/>
        </w:rPr>
        <w:t>、摔跤比赛、特技表演</w:t>
      </w:r>
      <w:r>
        <w:rPr>
          <w:b/>
          <w:spacing w:val="-14"/>
          <w:position w:val="12"/>
          <w:sz w:val="12"/>
        </w:rPr>
        <w:t>释义 </w:t>
      </w:r>
      <w:r>
        <w:rPr>
          <w:b/>
          <w:position w:val="12"/>
          <w:sz w:val="12"/>
        </w:rPr>
        <w:t>24</w:t>
      </w:r>
      <w:r>
        <w:rPr>
          <w:b/>
          <w:sz w:val="18"/>
        </w:rPr>
        <w:t>、赛马、赛车。</w:t>
      </w:r>
    </w:p>
    <w:p>
      <w:pPr>
        <w:pStyle w:val="BodyText"/>
        <w:spacing w:line="300" w:lineRule="auto" w:before="41"/>
        <w:ind w:left="161" w:right="165"/>
      </w:pPr>
      <w:r>
        <w:rPr>
          <w:spacing w:val="-2"/>
        </w:rPr>
        <w:t>发生上述</w:t>
      </w:r>
      <w:r>
        <w:rPr>
          <w:spacing w:val="-3"/>
        </w:rPr>
        <w:t>（</w:t>
      </w:r>
      <w:r>
        <w:rPr>
          <w:rFonts w:ascii="Times New Roman" w:eastAsia="Times New Roman"/>
          <w:spacing w:val="-3"/>
        </w:rPr>
        <w:t>1</w:t>
      </w:r>
      <w:r>
        <w:rPr>
          <w:spacing w:val="-3"/>
        </w:rPr>
        <w:t>）</w:t>
      </w:r>
      <w:r>
        <w:rPr>
          <w:spacing w:val="-8"/>
        </w:rPr>
        <w:t>至</w:t>
      </w:r>
      <w:r>
        <w:rPr>
          <w:spacing w:val="-3"/>
        </w:rPr>
        <w:t>（</w:t>
      </w:r>
      <w:r>
        <w:rPr>
          <w:rFonts w:ascii="Times New Roman" w:eastAsia="Times New Roman"/>
          <w:spacing w:val="-3"/>
        </w:rPr>
        <w:t>10</w:t>
      </w:r>
      <w:r>
        <w:rPr>
          <w:spacing w:val="-3"/>
        </w:rPr>
        <w:t>）</w:t>
      </w:r>
      <w:r>
        <w:rPr>
          <w:spacing w:val="-4"/>
        </w:rPr>
        <w:t>情形之一，导致投保人初次患有本附加合同内所界定的恶性肿瘤，身故或全残，我们</w:t>
      </w:r>
      <w:r>
        <w:rPr>
          <w:spacing w:val="-1"/>
        </w:rPr>
        <w:t>不承担豁免保险费责任。</w:t>
      </w:r>
    </w:p>
    <w:p>
      <w:pPr>
        <w:spacing w:after="0" w:line="300" w:lineRule="auto"/>
        <w:sectPr>
          <w:pgSz w:w="11960" w:h="16850"/>
          <w:pgMar w:header="897" w:footer="1001" w:top="1080" w:bottom="1200" w:left="1540" w:right="1580"/>
        </w:sectPr>
      </w:pPr>
    </w:p>
    <w:p>
      <w:pPr>
        <w:pStyle w:val="BodyText"/>
        <w:ind w:left="0"/>
        <w:rPr>
          <w:sz w:val="20"/>
        </w:rPr>
      </w:pPr>
    </w:p>
    <w:p>
      <w:pPr>
        <w:pStyle w:val="BodyText"/>
        <w:spacing w:before="2"/>
        <w:ind w:left="0"/>
        <w:rPr>
          <w:sz w:val="24"/>
        </w:rPr>
      </w:pPr>
    </w:p>
    <w:p>
      <w:pPr>
        <w:pStyle w:val="Heading1"/>
        <w:tabs>
          <w:tab w:pos="1799" w:val="left" w:leader="none"/>
        </w:tabs>
        <w:spacing w:before="44"/>
        <w:ind w:left="0" w:right="66"/>
        <w:jc w:val="center"/>
      </w:pPr>
      <w:bookmarkStart w:name="_TOC_250014" w:id="7"/>
      <w:r>
        <w:rPr/>
        <w:t>第三部分</w:t>
        <w:tab/>
      </w:r>
      <w:bookmarkEnd w:id="7"/>
      <w:r>
        <w:rPr>
          <w:w w:val="95"/>
        </w:rPr>
        <w:t>如何申请领取保险金</w:t>
      </w:r>
    </w:p>
    <w:p>
      <w:pPr>
        <w:pStyle w:val="BodyText"/>
        <w:ind w:left="0"/>
        <w:rPr>
          <w:b/>
        </w:rPr>
      </w:pPr>
    </w:p>
    <w:p>
      <w:pPr>
        <w:pStyle w:val="BodyText"/>
        <w:spacing w:before="3"/>
        <w:ind w:left="0"/>
        <w:rPr>
          <w:b/>
          <w:sz w:val="15"/>
        </w:rPr>
      </w:pPr>
    </w:p>
    <w:p>
      <w:pPr>
        <w:pStyle w:val="Heading1"/>
        <w:tabs>
          <w:tab w:pos="1401" w:val="left" w:leader="none"/>
        </w:tabs>
        <w:spacing w:before="1"/>
        <w:ind w:left="141"/>
        <w:jc w:val="left"/>
      </w:pPr>
      <w:bookmarkStart w:name="_TOC_250013" w:id="8"/>
      <w:r>
        <w:rPr/>
        <w:t>第九条</w:t>
        <w:tab/>
      </w:r>
      <w:bookmarkEnd w:id="8"/>
      <w:r>
        <w:rPr>
          <w:w w:val="95"/>
        </w:rPr>
        <w:t>受益人的指定和变更</w:t>
      </w:r>
    </w:p>
    <w:p>
      <w:pPr>
        <w:pStyle w:val="BodyText"/>
        <w:ind w:left="0"/>
        <w:rPr>
          <w:b/>
          <w:sz w:val="15"/>
        </w:rPr>
      </w:pPr>
    </w:p>
    <w:p>
      <w:pPr>
        <w:pStyle w:val="BodyText"/>
      </w:pPr>
      <w:r>
        <w:rPr/>
        <w:t>重大疾病保险金的受益人为被保险人本人。豁免保险费的受益人默认为被保险人本人。</w:t>
      </w:r>
    </w:p>
    <w:p>
      <w:pPr>
        <w:spacing w:line="103" w:lineRule="exact" w:before="48"/>
        <w:ind w:left="2483" w:right="0" w:firstLine="0"/>
        <w:jc w:val="left"/>
        <w:rPr>
          <w:b/>
          <w:sz w:val="12"/>
        </w:rPr>
      </w:pPr>
      <w:r>
        <w:rPr>
          <w:b/>
          <w:sz w:val="12"/>
        </w:rPr>
        <w:t>释义 25</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pStyle w:val="BodyText"/>
        <w:spacing w:line="316" w:lineRule="auto" w:before="54"/>
        <w:ind w:right="60"/>
      </w:pPr>
      <w:r>
        <w:rPr/>
        <w:t>您或被保险人可以变更受益人，但需书面通知我们，由我们在保险单或者其他保险凭证上批注或者附贴批单。我们对因变更受益人所引起的纠纷不负任何责任。</w:t>
      </w:r>
    </w:p>
    <w:p>
      <w:pPr>
        <w:pStyle w:val="BodyText"/>
        <w:tabs>
          <w:tab w:pos="1401" w:val="left" w:leader="none"/>
        </w:tabs>
        <w:spacing w:line="439" w:lineRule="auto" w:before="18"/>
        <w:ind w:right="2948"/>
        <w:rPr>
          <w:b/>
        </w:rPr>
      </w:pPr>
      <w:r>
        <w:rPr/>
        <w:t>您在指定和变更受益人时，须经被保险人或被保险人的监护人书面同意。</w:t>
      </w:r>
      <w:r>
        <w:rPr>
          <w:b/>
        </w:rPr>
        <w:t>第十条</w:t>
        <w:tab/>
      </w:r>
      <w:r>
        <w:rPr>
          <w:b/>
          <w:spacing w:val="-1"/>
          <w:w w:val="95"/>
        </w:rPr>
        <w:t>申</w:t>
      </w:r>
      <w:r>
        <w:rPr>
          <w:b/>
          <w:w w:val="95"/>
        </w:rPr>
        <w:t>请资料</w:t>
      </w:r>
    </w:p>
    <w:p>
      <w:pPr>
        <w:pStyle w:val="BodyText"/>
        <w:spacing w:before="47"/>
      </w:pPr>
      <w:r>
        <w:rPr/>
        <w:t>一、重大疾病保险金的申请</w:t>
      </w:r>
    </w:p>
    <w:p>
      <w:pPr>
        <w:pStyle w:val="BodyText"/>
        <w:spacing w:line="316" w:lineRule="auto" w:before="76"/>
        <w:ind w:right="208"/>
      </w:pPr>
      <w:r>
        <w:rPr/>
        <w:t>在符合保险责任有关规定的条件下，由重大疾病保险金受益人作为申请人填写申请书，并凭下列证明、资料的原件向我们申请给付保险金：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103" w:lineRule="exact" w:before="34"/>
        <w:ind w:left="2397" w:right="0" w:firstLine="0"/>
        <w:jc w:val="left"/>
        <w:rPr>
          <w:b/>
          <w:sz w:val="12"/>
        </w:rPr>
      </w:pPr>
      <w:r>
        <w:rPr>
          <w:b/>
          <w:sz w:val="12"/>
        </w:rPr>
        <w:t>释义 26</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pPr>
      <w:r>
        <w:rPr/>
        <w:t>断证明文件；</w:t>
      </w:r>
    </w:p>
    <w:p>
      <w:pPr>
        <w:spacing w:line="103" w:lineRule="exact" w:before="47"/>
        <w:ind w:left="2752" w:right="0" w:firstLine="0"/>
        <w:jc w:val="left"/>
        <w:rPr>
          <w:b/>
          <w:sz w:val="12"/>
        </w:rPr>
      </w:pPr>
      <w:r>
        <w:rPr>
          <w:b/>
          <w:sz w:val="12"/>
        </w:rPr>
        <w:t>释义 28</w:t>
      </w:r>
    </w:p>
    <w:p>
      <w:pPr>
        <w:pStyle w:val="BodyText"/>
        <w:tabs>
          <w:tab w:pos="3174" w:val="left" w:leader="none"/>
        </w:tabs>
        <w:spacing w:line="196" w:lineRule="exact"/>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spacing w:before="42"/>
      </w:pPr>
      <w:r>
        <w:rPr/>
        <w:t>二、豁免保险费的申请</w:t>
      </w:r>
    </w:p>
    <w:p>
      <w:pPr>
        <w:pStyle w:val="BodyText"/>
        <w:spacing w:line="316" w:lineRule="auto" w:before="76"/>
        <w:ind w:right="208"/>
      </w:pPr>
      <w:r>
        <w:rPr/>
        <w:t>在符合保险责任有关规定的条件下，由豁免保险费的受益人作为申请人填写申请书，并凭下列证明、资料的原件向我们申请豁免保险费：</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pStyle w:val="BodyText"/>
        <w:spacing w:before="62"/>
      </w:pPr>
      <w:r>
        <w:rPr/>
        <w:t>（</w:t>
      </w:r>
      <w:r>
        <w:rPr>
          <w:rFonts w:ascii="Times New Roman" w:eastAsia="Times New Roman"/>
        </w:rPr>
        <w:t>4</w:t>
      </w:r>
      <w:r>
        <w:rPr/>
        <w:t>）国家卫生行政部门认定的医疗机构、公安部门或其他相关机构出具的投保人的死亡证明；</w:t>
      </w:r>
    </w:p>
    <w:p>
      <w:pPr>
        <w:pStyle w:val="BodyText"/>
        <w:spacing w:before="62"/>
      </w:pPr>
      <w:r>
        <w:rPr>
          <w:spacing w:val="-1"/>
          <w:w w:val="100"/>
        </w:rPr>
        <w:t>（</w:t>
      </w:r>
      <w:r>
        <w:rPr>
          <w:rFonts w:ascii="Times New Roman" w:eastAsia="Times New Roman"/>
          <w:spacing w:val="0"/>
          <w:w w:val="100"/>
        </w:rPr>
        <w:t>5</w:t>
      </w:r>
      <w:r>
        <w:rPr>
          <w:spacing w:val="-1"/>
          <w:w w:val="100"/>
        </w:rPr>
        <w:t>）</w:t>
      </w:r>
      <w:r>
        <w:rPr>
          <w:spacing w:val="-5"/>
          <w:w w:val="100"/>
        </w:rPr>
        <w:t>我们指定或认可的医院或鉴定机构出具的投保人残疾程度鉴定书；</w:t>
      </w:r>
      <w:r>
        <w:rPr>
          <w:spacing w:val="-1"/>
          <w:w w:val="100"/>
        </w:rPr>
        <w:t>（如适用者</w:t>
      </w:r>
      <w:r>
        <w:rPr>
          <w:w w:val="100"/>
        </w:rPr>
        <w:t>）</w:t>
      </w:r>
    </w:p>
    <w:p>
      <w:pPr>
        <w:pStyle w:val="BodyText"/>
        <w:spacing w:line="300" w:lineRule="auto" w:before="62"/>
        <w:ind w:right="155"/>
      </w:pPr>
      <w:r>
        <w:rPr/>
        <w:t>（</w:t>
      </w:r>
      <w:r>
        <w:rPr>
          <w:rFonts w:ascii="Times New Roman" w:eastAsia="Times New Roman"/>
        </w:rPr>
        <w:t>6</w:t>
      </w:r>
      <w:r>
        <w:rPr/>
        <w:t>）我们指定或认可的医院出具的附有投保人完整病历、病理、血液及其它科学方法检验报告的诊断证明文件；</w:t>
      </w:r>
      <w:r>
        <w:rPr>
          <w:rFonts w:ascii="Times New Roman" w:eastAsia="Times New Roman"/>
        </w:rPr>
        <w:t>(</w:t>
      </w:r>
      <w:r>
        <w:rPr/>
        <w:t>如适用者）</w:t>
      </w:r>
    </w:p>
    <w:p>
      <w:pPr>
        <w:pStyle w:val="BodyText"/>
        <w:spacing w:before="12"/>
      </w:pPr>
      <w:r>
        <w:rPr/>
        <w:t>（</w:t>
      </w:r>
      <w:r>
        <w:rPr>
          <w:rFonts w:ascii="Times New Roman" w:eastAsia="Times New Roman"/>
        </w:rPr>
        <w:t>7</w:t>
      </w:r>
      <w:r>
        <w:rPr/>
        <w:t>）所能提供的与确认豁免保险费情形的性质、原因等有关的其他证明和资料。</w:t>
      </w:r>
    </w:p>
    <w:p>
      <w:pPr>
        <w:tabs>
          <w:tab w:pos="1401" w:val="left" w:leader="none"/>
        </w:tabs>
        <w:spacing w:line="439" w:lineRule="auto" w:before="62"/>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right="208"/>
      </w:pPr>
      <w:r>
        <w:rPr/>
        <w:t>被保险人或受益人向我们申请保险金的权利，应当在其知道或者应当知道保险事故发生之日起二年内行使， 超过二年不行使此权利的，则丧失此权利。</w:t>
      </w:r>
    </w:p>
    <w:p>
      <w:pPr>
        <w:pStyle w:val="BodyText"/>
        <w:spacing w:before="9"/>
        <w:ind w:left="0"/>
        <w:rPr>
          <w:sz w:val="19"/>
        </w:rPr>
      </w:pPr>
    </w:p>
    <w:p>
      <w:pPr>
        <w:pStyle w:val="Heading1"/>
        <w:tabs>
          <w:tab w:pos="1799" w:val="left" w:leader="none"/>
        </w:tabs>
        <w:ind w:left="0" w:right="66"/>
        <w:jc w:val="center"/>
      </w:pPr>
      <w:bookmarkStart w:name="_TOC_250012" w:id="9"/>
      <w:r>
        <w:rPr/>
        <w:t>第四部分</w:t>
        <w:tab/>
      </w:r>
      <w:bookmarkEnd w:id="9"/>
      <w:r>
        <w:rPr>
          <w:w w:val="95"/>
        </w:rPr>
        <w:t>如何交纳保险费</w:t>
      </w:r>
    </w:p>
    <w:p>
      <w:pPr>
        <w:pStyle w:val="BodyText"/>
        <w:ind w:left="0"/>
        <w:rPr>
          <w:b/>
        </w:rPr>
      </w:pPr>
    </w:p>
    <w:p>
      <w:pPr>
        <w:pStyle w:val="BodyText"/>
        <w:spacing w:before="4"/>
        <w:ind w:left="0"/>
        <w:rPr>
          <w:b/>
          <w:sz w:val="15"/>
        </w:rPr>
      </w:pPr>
    </w:p>
    <w:p>
      <w:pPr>
        <w:pStyle w:val="Heading1"/>
        <w:tabs>
          <w:tab w:pos="1401" w:val="left" w:leader="none"/>
        </w:tabs>
        <w:ind w:left="141"/>
        <w:jc w:val="left"/>
      </w:pPr>
      <w:bookmarkStart w:name="_TOC_250011" w:id="10"/>
      <w:r>
        <w:rPr/>
        <w:t>第十二条</w:t>
        <w:tab/>
      </w:r>
      <w:bookmarkEnd w:id="10"/>
      <w:r>
        <w:rPr>
          <w:w w:val="95"/>
        </w:rPr>
        <w:t>保险费的交纳</w:t>
      </w:r>
    </w:p>
    <w:p>
      <w:pPr>
        <w:pStyle w:val="BodyText"/>
        <w:ind w:left="0"/>
        <w:rPr>
          <w:b/>
          <w:sz w:val="15"/>
        </w:rPr>
      </w:pPr>
    </w:p>
    <w:p>
      <w:pPr>
        <w:pStyle w:val="BodyText"/>
        <w:spacing w:line="316" w:lineRule="auto"/>
        <w:ind w:right="208"/>
      </w:pPr>
      <w:r>
        <w:rPr/>
        <w:t>本附加合同的交费方式与主合同相同。在主合同的交费期间内，本附加合同的保险费必须随主合同保险费一同支付，不能单独交纳。</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1401" w:val="left" w:leader="none"/>
        </w:tabs>
        <w:spacing w:before="44"/>
        <w:ind w:left="141"/>
        <w:jc w:val="left"/>
      </w:pPr>
      <w:bookmarkStart w:name="_TOC_250010" w:id="11"/>
      <w:r>
        <w:rPr/>
        <w:t>第十三条</w:t>
        <w:tab/>
      </w:r>
      <w:bookmarkEnd w:id="11"/>
      <w:r>
        <w:rPr>
          <w:w w:val="95"/>
        </w:rPr>
        <w:t>保险费率的调整</w:t>
      </w:r>
    </w:p>
    <w:p>
      <w:pPr>
        <w:pStyle w:val="BodyText"/>
        <w:spacing w:before="12"/>
        <w:ind w:left="0"/>
        <w:rPr>
          <w:b/>
          <w:sz w:val="14"/>
        </w:rPr>
      </w:pPr>
    </w:p>
    <w:p>
      <w:pPr>
        <w:pStyle w:val="BodyText"/>
        <w:spacing w:line="316" w:lineRule="auto"/>
        <w:ind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5351" w:right="0" w:firstLine="0"/>
        <w:jc w:val="left"/>
        <w:rPr>
          <w:b/>
          <w:sz w:val="12"/>
        </w:rPr>
      </w:pPr>
      <w:r>
        <w:rPr>
          <w:b/>
          <w:sz w:val="12"/>
        </w:rPr>
        <w:t>释义 29</w:t>
      </w:r>
    </w:p>
    <w:p>
      <w:pPr>
        <w:pStyle w:val="BodyText"/>
        <w:tabs>
          <w:tab w:pos="5773" w:val="left" w:leader="none"/>
        </w:tabs>
        <w:spacing w:line="182" w:lineRule="exact"/>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tabs>
          <w:tab w:pos="1401" w:val="left" w:leader="none"/>
        </w:tabs>
        <w:spacing w:line="439" w:lineRule="auto" w:before="54"/>
        <w:ind w:left="141" w:right="6908" w:firstLine="0"/>
        <w:jc w:val="left"/>
        <w:rPr>
          <w:b/>
          <w:sz w:val="18"/>
        </w:rPr>
      </w:pPr>
      <w:r>
        <w:rPr>
          <w:sz w:val="18"/>
        </w:rPr>
        <w:t>加合同相应的保险费。</w:t>
      </w:r>
      <w:r>
        <w:rPr>
          <w:b/>
          <w:sz w:val="18"/>
        </w:rPr>
        <w:t>第十四条</w:t>
        <w:tab/>
      </w:r>
      <w:r>
        <w:rPr>
          <w:b/>
          <w:w w:val="95"/>
          <w:sz w:val="18"/>
        </w:rPr>
        <w:t>宽限期</w:t>
      </w:r>
    </w:p>
    <w:p>
      <w:pPr>
        <w:pStyle w:val="BodyText"/>
        <w:spacing w:line="316" w:lineRule="auto" w:before="46"/>
        <w:ind w:right="20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ind w:left="0"/>
      </w:pPr>
    </w:p>
    <w:p>
      <w:pPr>
        <w:pStyle w:val="BodyText"/>
        <w:spacing w:before="7"/>
        <w:ind w:left="0"/>
        <w:rPr>
          <w:sz w:val="25"/>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ind w:left="141"/>
        <w:jc w:val="left"/>
      </w:pPr>
      <w:bookmarkStart w:name="_TOC_250008" w:id="13"/>
      <w:r>
        <w:rPr/>
        <w:t>第十五条</w:t>
        <w:tab/>
      </w:r>
      <w:bookmarkEnd w:id="13"/>
      <w:r>
        <w:rPr>
          <w:w w:val="95"/>
        </w:rPr>
        <w:t>现金价值</w:t>
      </w:r>
    </w:p>
    <w:p>
      <w:pPr>
        <w:pStyle w:val="BodyText"/>
        <w:ind w:left="0"/>
        <w:rPr>
          <w:b/>
          <w:sz w:val="15"/>
        </w:rPr>
      </w:pPr>
    </w:p>
    <w:p>
      <w:pPr>
        <w:pStyle w:val="BodyText"/>
        <w:spacing w:line="316" w:lineRule="auto"/>
        <w:ind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9"/>
        <w:ind w:left="141"/>
        <w:jc w:val="left"/>
      </w:pPr>
      <w:bookmarkStart w:name="_TOC_250007" w:id="14"/>
      <w:r>
        <w:rPr/>
        <w:t>第十六条</w:t>
        <w:tab/>
      </w:r>
      <w:bookmarkEnd w:id="14"/>
      <w:r>
        <w:rPr>
          <w:w w:val="95"/>
        </w:rPr>
        <w:t>减额交清</w:t>
      </w:r>
    </w:p>
    <w:p>
      <w:pPr>
        <w:pStyle w:val="BodyText"/>
        <w:ind w:left="0"/>
        <w:rPr>
          <w:b/>
          <w:sz w:val="15"/>
        </w:rPr>
      </w:pPr>
    </w:p>
    <w:p>
      <w:pPr>
        <w:pStyle w:val="BodyText"/>
      </w:pPr>
      <w:r>
        <w:rPr/>
        <w:t>减额交清保险不适用于本附加合同。</w:t>
      </w:r>
    </w:p>
    <w:p>
      <w:pPr>
        <w:pStyle w:val="BodyText"/>
        <w:spacing w:before="2"/>
        <w:ind w:left="0"/>
        <w:rPr>
          <w:sz w:val="24"/>
        </w:rPr>
      </w:pPr>
    </w:p>
    <w:p>
      <w:pPr>
        <w:pStyle w:val="Heading1"/>
        <w:tabs>
          <w:tab w:pos="1799" w:val="left" w:leader="none"/>
        </w:tabs>
        <w:ind w:left="0" w:right="66"/>
        <w:jc w:val="center"/>
      </w:pPr>
      <w:bookmarkStart w:name="_TOC_250006" w:id="15"/>
      <w:r>
        <w:rPr/>
        <w:t>第六部分</w:t>
        <w:tab/>
      </w:r>
      <w:bookmarkEnd w:id="15"/>
      <w:r>
        <w:rPr>
          <w:w w:val="95"/>
        </w:rPr>
        <w:t>合同效力的终止</w:t>
      </w:r>
    </w:p>
    <w:p>
      <w:pPr>
        <w:pStyle w:val="BodyText"/>
        <w:ind w:left="0"/>
        <w:rPr>
          <w:b/>
        </w:rPr>
      </w:pPr>
    </w:p>
    <w:p>
      <w:pPr>
        <w:pStyle w:val="BodyText"/>
        <w:spacing w:before="4"/>
        <w:ind w:left="0"/>
        <w:rPr>
          <w:b/>
          <w:sz w:val="15"/>
        </w:rPr>
      </w:pPr>
    </w:p>
    <w:p>
      <w:pPr>
        <w:pStyle w:val="Heading1"/>
        <w:tabs>
          <w:tab w:pos="1401" w:val="left" w:leader="none"/>
        </w:tabs>
        <w:ind w:left="141"/>
        <w:jc w:val="left"/>
      </w:pPr>
      <w:bookmarkStart w:name="_TOC_250005" w:id="16"/>
      <w:r>
        <w:rPr/>
        <w:t>第十七条</w:t>
        <w:tab/>
      </w:r>
      <w:bookmarkEnd w:id="16"/>
      <w:r>
        <w:rPr>
          <w:w w:val="95"/>
        </w:rPr>
        <w:t>您主动解除合同的权利</w:t>
      </w:r>
    </w:p>
    <w:p>
      <w:pPr>
        <w:pStyle w:val="BodyText"/>
        <w:spacing w:before="12"/>
        <w:ind w:left="0"/>
        <w:rPr>
          <w:b/>
          <w:sz w:val="14"/>
        </w:rPr>
      </w:pPr>
    </w:p>
    <w:p>
      <w:pPr>
        <w:pStyle w:val="BodyText"/>
      </w:pPr>
      <w:r>
        <w:rPr/>
        <w:t>本附加合同犹豫期过后，您仍可以书面通知我们要求解除本附加合同，并应提供下列证明和资料：</w:t>
      </w:r>
    </w:p>
    <w:p>
      <w:pPr>
        <w:pStyle w:val="BodyText"/>
        <w:spacing w:before="75"/>
      </w:pPr>
      <w:r>
        <w:rPr/>
        <w:t>（</w:t>
      </w:r>
      <w:r>
        <w:rPr>
          <w:rFonts w:ascii="Times New Roman" w:eastAsia="Times New Roman"/>
        </w:rPr>
        <w:t>1</w:t>
      </w:r>
      <w:r>
        <w:rPr/>
        <w:t>）保险合同终止申请书；</w:t>
      </w:r>
    </w:p>
    <w:p>
      <w:pPr>
        <w:pStyle w:val="BodyText"/>
        <w:spacing w:before="62"/>
      </w:pPr>
      <w:r>
        <w:rPr/>
        <w:t>（</w:t>
      </w:r>
      <w:r>
        <w:rPr>
          <w:rFonts w:ascii="Times New Roman" w:eastAsia="Times New Roman"/>
        </w:rPr>
        <w:t>2</w:t>
      </w:r>
      <w:r>
        <w:rPr/>
        <w:t>）保险合同原件；</w:t>
      </w:r>
    </w:p>
    <w:p>
      <w:pPr>
        <w:pStyle w:val="BodyText"/>
        <w:spacing w:before="62"/>
      </w:pPr>
      <w:r>
        <w:rPr/>
        <w:t>（</w:t>
      </w:r>
      <w:r>
        <w:rPr>
          <w:rFonts w:ascii="Times New Roman" w:eastAsia="Times New Roman"/>
        </w:rPr>
        <w:t>3</w:t>
      </w:r>
      <w:r>
        <w:rPr/>
        <w:t>）您的身份证明复印件。</w:t>
      </w:r>
    </w:p>
    <w:p>
      <w:pPr>
        <w:pStyle w:val="BodyText"/>
        <w:spacing w:before="62"/>
      </w:pPr>
      <w:r>
        <w:rPr/>
        <w:t>如果您要求解除本附加合同，本附加合同的保险责任将自我们收到解除保险合同的书面申请之次日零时起终</w:t>
      </w:r>
    </w:p>
    <w:p>
      <w:pPr>
        <w:spacing w:line="103" w:lineRule="exact" w:before="48"/>
        <w:ind w:left="0" w:right="2197" w:firstLine="0"/>
        <w:jc w:val="right"/>
        <w:rPr>
          <w:b/>
          <w:sz w:val="12"/>
        </w:rPr>
      </w:pPr>
      <w:r>
        <w:rPr>
          <w:b/>
          <w:sz w:val="12"/>
        </w:rPr>
        <w:t>释义 30</w:t>
      </w:r>
    </w:p>
    <w:p>
      <w:pPr>
        <w:pStyle w:val="BodyText"/>
        <w:tabs>
          <w:tab w:pos="6654" w:val="left" w:leader="none"/>
        </w:tabs>
        <w:spacing w:line="182" w:lineRule="exact"/>
      </w:pPr>
      <w:r>
        <w:rPr/>
        <w:t>止，我们将于收到上述证明和资料之日起三十日内退还本附加合同的</w:t>
      </w:r>
      <w:r>
        <w:rPr>
          <w:b/>
        </w:rPr>
        <w:t>现金价值</w:t>
        <w:tab/>
      </w:r>
      <w:r>
        <w:rPr/>
        <w:t>。</w:t>
      </w:r>
    </w:p>
    <w:p>
      <w:pPr>
        <w:tabs>
          <w:tab w:pos="1401" w:val="left" w:leader="none"/>
        </w:tabs>
        <w:spacing w:line="439" w:lineRule="auto" w:before="55"/>
        <w:ind w:left="141" w:right="5648" w:firstLine="0"/>
        <w:jc w:val="left"/>
        <w:rPr>
          <w:b/>
          <w:sz w:val="18"/>
        </w:rPr>
      </w:pPr>
      <w:r>
        <w:rPr>
          <w:sz w:val="18"/>
        </w:rPr>
        <w:t>您犹豫期后解除合同会遭受一定损失。</w:t>
      </w:r>
      <w:r>
        <w:rPr>
          <w:b/>
          <w:sz w:val="18"/>
        </w:rPr>
        <w:t>第十八条</w:t>
        <w:tab/>
      </w:r>
      <w:r>
        <w:rPr>
          <w:b/>
          <w:w w:val="95"/>
          <w:sz w:val="18"/>
        </w:rPr>
        <w:t>合同效力的终止</w:t>
      </w:r>
    </w:p>
    <w:p>
      <w:pPr>
        <w:pStyle w:val="BodyText"/>
        <w:spacing w:before="47"/>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69"/>
        <w:jc w:val="center"/>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401" w:val="left" w:leader="none"/>
        </w:tabs>
        <w:ind w:left="141"/>
        <w:jc w:val="left"/>
      </w:pPr>
      <w:bookmarkStart w:name="_TOC_250003" w:id="18"/>
      <w:r>
        <w:rPr/>
        <w:t>第十九条</w:t>
        <w:tab/>
      </w:r>
      <w:bookmarkEnd w:id="18"/>
      <w:r>
        <w:rPr>
          <w:w w:val="95"/>
        </w:rPr>
        <w:t>明确说明与如实告知</w:t>
      </w:r>
    </w:p>
    <w:p>
      <w:pPr>
        <w:pStyle w:val="BodyText"/>
        <w:spacing w:before="12"/>
        <w:ind w:left="0"/>
        <w:rPr>
          <w:b/>
          <w:sz w:val="14"/>
        </w:rPr>
      </w:pPr>
    </w:p>
    <w:p>
      <w:pPr>
        <w:pStyle w:val="BodyText"/>
        <w:spacing w:before="1"/>
      </w:pPr>
      <w:r>
        <w:rPr/>
        <w:t>订立本附加合同时，我们应向您明确说明本附加合同的条款内容。对本附加合同条款中免除我们责任的条款，</w:t>
      </w:r>
    </w:p>
    <w:p>
      <w:pPr>
        <w:spacing w:after="0"/>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6" w:lineRule="auto" w:before="44"/>
        <w:ind w:right="148"/>
      </w:pPr>
      <w:r>
        <w:rPr/>
        <w:t>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6"/>
        <w:ind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150"/>
      </w:pPr>
      <w:r>
        <w:rPr/>
        <w:t>您故意不履行如实告知义务，我们对于本附加合同解除前发生的保险事故，不承担赔偿或者给付保险金的责任，并不退还保险费。</w:t>
      </w:r>
    </w:p>
    <w:p>
      <w:pPr>
        <w:pStyle w:val="BodyText"/>
        <w:spacing w:line="316" w:lineRule="auto" w:before="18"/>
        <w:ind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ind w:left="141"/>
        <w:jc w:val="left"/>
      </w:pPr>
      <w:bookmarkStart w:name="_TOC_250002" w:id="19"/>
      <w:r>
        <w:rPr/>
        <w:t>第二十条</w:t>
        <w:tab/>
      </w:r>
      <w:bookmarkEnd w:id="19"/>
      <w:r>
        <w:rPr>
          <w:w w:val="95"/>
        </w:rPr>
        <w:t>本公司合同解除权的限制</w:t>
      </w:r>
    </w:p>
    <w:p>
      <w:pPr>
        <w:pStyle w:val="BodyText"/>
        <w:spacing w:before="12"/>
        <w:ind w:left="0"/>
        <w:rPr>
          <w:b/>
          <w:sz w:val="14"/>
        </w:rPr>
      </w:pPr>
    </w:p>
    <w:p>
      <w:pPr>
        <w:pStyle w:val="BodyText"/>
        <w:spacing w:line="300" w:lineRule="auto"/>
        <w:ind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0"/>
        <w:ind w:right="148"/>
      </w:pPr>
      <w:r>
        <w:rPr/>
        <w:t>我们在合同订立时已经知道您未如实告知的情况的，我们不得解除合同；发生保险事故的，我们承担给付保险金的责任。</w:t>
      </w:r>
    </w:p>
    <w:p>
      <w:pPr>
        <w:pStyle w:val="Heading1"/>
        <w:tabs>
          <w:tab w:pos="1401" w:val="left" w:leader="none"/>
        </w:tabs>
        <w:spacing w:before="138"/>
        <w:ind w:left="141"/>
        <w:jc w:val="left"/>
      </w:pPr>
      <w:bookmarkStart w:name="_TOC_250001" w:id="20"/>
      <w:r>
        <w:rPr/>
        <w:t>第二十一条</w:t>
        <w:tab/>
      </w:r>
      <w:bookmarkEnd w:id="20"/>
      <w:r>
        <w:rPr>
          <w:w w:val="95"/>
        </w:rPr>
        <w:t>未还款项</w:t>
      </w:r>
    </w:p>
    <w:p>
      <w:pPr>
        <w:pStyle w:val="BodyText"/>
        <w:ind w:left="0"/>
        <w:rPr>
          <w:b/>
          <w:sz w:val="15"/>
        </w:rPr>
      </w:pPr>
    </w:p>
    <w:p>
      <w:pPr>
        <w:pStyle w:val="BodyText"/>
        <w:spacing w:line="316" w:lineRule="auto"/>
        <w:ind w:right="14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5111" w:val="left" w:leader="none"/>
        </w:tabs>
        <w:ind w:left="3311"/>
        <w:jc w:val="left"/>
      </w:pPr>
      <w:bookmarkStart w:name="_TOC_250000" w:id="21"/>
      <w:r>
        <w:rPr/>
        <w:t>第八部分</w:t>
        <w:tab/>
      </w:r>
      <w:bookmarkEnd w:id="21"/>
      <w:r>
        <w:rPr>
          <w:w w:val="95"/>
        </w:rPr>
        <w:t>释义</w:t>
      </w:r>
    </w:p>
    <w:p>
      <w:pPr>
        <w:pStyle w:val="BodyText"/>
        <w:spacing w:before="3"/>
        <w:ind w:left="0"/>
        <w:rPr>
          <w:b/>
          <w:sz w:val="21"/>
        </w:rPr>
      </w:pPr>
    </w:p>
    <w:p>
      <w:pPr>
        <w:pStyle w:val="BodyText"/>
        <w:tabs>
          <w:tab w:pos="2380" w:val="left" w:leader="none"/>
        </w:tabs>
        <w:spacing w:line="245" w:lineRule="exact"/>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3"/>
        <w:ind w:left="2582" w:right="12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23" w:lineRule="auto" w:before="17"/>
        <w:ind w:left="2582" w:right="129" w:hanging="2441"/>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5"/>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7"/>
        <w:ind w:left="2582" w:right="129" w:hanging="2441"/>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5"/>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23" w:lineRule="auto" w:before="17"/>
        <w:ind w:left="2582" w:right="126" w:hanging="2441"/>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0"/>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spacing w:line="232" w:lineRule="auto" w:before="7"/>
        <w:ind w:left="2582" w:right="126" w:hanging="2441"/>
        <w:jc w:val="both"/>
      </w:pPr>
      <w:r>
        <w:rPr>
          <w:spacing w:val="-16"/>
        </w:rPr>
        <w:t>释义 </w:t>
      </w:r>
      <w:r>
        <w:rPr>
          <w:rFonts w:ascii="Times New Roman" w:eastAsia="Times New Roman"/>
        </w:rPr>
        <w:t>6</w:t>
      </w:r>
      <w:r>
        <w:rPr>
          <w:spacing w:val="1"/>
        </w:rPr>
        <w:t>、恶性肿瘤        </w:t>
      </w:r>
      <w:r>
        <w:rPr>
          <w:rFonts w:ascii="Times New Roman" w:eastAsia="Times New Roman"/>
          <w:spacing w:val="2"/>
          <w:position w:val="2"/>
        </w:rPr>
        <w:t>:   </w:t>
      </w:r>
      <w:r>
        <w:rPr>
          <w:spacing w:val="-3"/>
        </w:rPr>
        <w:t>指恶性细胞不受控制的进行性增长和扩散，浸润和破坏周围正常组织，可以经</w:t>
      </w: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5" w:lineRule="auto" w:before="12"/>
        <w:ind w:left="2582" w:right="3856"/>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ListParagraph"/>
        <w:numPr>
          <w:ilvl w:val="0"/>
          <w:numId w:val="1"/>
        </w:numPr>
        <w:tabs>
          <w:tab w:pos="3035" w:val="left" w:leader="none"/>
        </w:tabs>
        <w:spacing w:line="234" w:lineRule="exact" w:before="0" w:after="0"/>
        <w:ind w:left="3034" w:right="0" w:hanging="452"/>
        <w:jc w:val="left"/>
        <w:rPr>
          <w:sz w:val="18"/>
        </w:rPr>
      </w:pPr>
      <w:r>
        <w:rPr>
          <w:rFonts w:ascii="Times New Roman" w:eastAsia="Times New Roman"/>
          <w:sz w:val="18"/>
        </w:rPr>
        <w:t>TNM</w:t>
      </w:r>
      <w:r>
        <w:rPr>
          <w:rFonts w:ascii="Times New Roman" w:eastAsia="Times New Roman"/>
          <w:spacing w:val="-1"/>
          <w:sz w:val="18"/>
        </w:rPr>
        <w:t> </w:t>
      </w:r>
      <w:r>
        <w:rPr>
          <w:spacing w:val="-12"/>
          <w:sz w:val="18"/>
        </w:rPr>
        <w:t>分期为 </w:t>
      </w:r>
      <w:r>
        <w:rPr>
          <w:rFonts w:ascii="Times New Roman" w:eastAsia="Times New Roman"/>
          <w:sz w:val="18"/>
        </w:rPr>
        <w:t>T1N0M0 </w:t>
      </w:r>
      <w:r>
        <w:rPr>
          <w:spacing w:val="-2"/>
          <w:sz w:val="18"/>
        </w:rPr>
        <w:t>期或更轻分期的前列腺癌；</w:t>
      </w:r>
    </w:p>
    <w:p>
      <w:pPr>
        <w:pStyle w:val="ListParagraph"/>
        <w:numPr>
          <w:ilvl w:val="0"/>
          <w:numId w:val="1"/>
        </w:numPr>
        <w:tabs>
          <w:tab w:pos="3035" w:val="left" w:leader="none"/>
        </w:tabs>
        <w:spacing w:line="234" w:lineRule="exact" w:before="0" w:after="0"/>
        <w:ind w:left="3034" w:right="0" w:hanging="452"/>
        <w:jc w:val="left"/>
        <w:rPr>
          <w:sz w:val="18"/>
        </w:rPr>
      </w:pPr>
      <w:r>
        <w:rPr>
          <w:rFonts w:ascii="Times New Roman" w:eastAsia="Times New Roman"/>
          <w:sz w:val="18"/>
        </w:rPr>
        <w:t>TNM</w:t>
      </w:r>
      <w:r>
        <w:rPr>
          <w:rFonts w:ascii="Times New Roman" w:eastAsia="Times New Roman"/>
          <w:spacing w:val="-1"/>
          <w:sz w:val="18"/>
        </w:rPr>
        <w:t> </w:t>
      </w:r>
      <w:r>
        <w:rPr>
          <w:spacing w:val="-12"/>
          <w:sz w:val="18"/>
        </w:rPr>
        <w:t>分期为 </w:t>
      </w:r>
      <w:r>
        <w:rPr>
          <w:rFonts w:ascii="Times New Roman" w:eastAsia="Times New Roman"/>
          <w:sz w:val="18"/>
        </w:rPr>
        <w:t>T1N0M0 </w:t>
      </w:r>
      <w:r>
        <w:rPr>
          <w:spacing w:val="-2"/>
          <w:sz w:val="18"/>
        </w:rPr>
        <w:t>期或更轻分期的甲状腺或膀胱的乳头状癌；</w:t>
      </w:r>
    </w:p>
    <w:p>
      <w:pPr>
        <w:pStyle w:val="BodyText"/>
        <w:spacing w:line="234" w:lineRule="exact"/>
        <w:ind w:left="2582"/>
      </w:pPr>
      <w:r>
        <w:rPr/>
        <w:t>（</w:t>
      </w:r>
      <w:r>
        <w:rPr>
          <w:rFonts w:ascii="Times New Roman" w:eastAsia="Times New Roman"/>
        </w:rPr>
        <w:t>7</w:t>
      </w:r>
      <w:r>
        <w:rPr/>
        <w:t>）感染艾滋病病毒或患艾滋病期间所患恶性肿瘤。</w:t>
      </w:r>
    </w:p>
    <w:p>
      <w:pPr>
        <w:pStyle w:val="BodyText"/>
        <w:tabs>
          <w:tab w:pos="2380" w:val="left" w:leader="none"/>
        </w:tabs>
        <w:spacing w:line="234" w:lineRule="exact"/>
      </w:pPr>
      <w:r>
        <w:rPr/>
        <w:t>释义</w:t>
      </w:r>
      <w:r>
        <w:rPr>
          <w:spacing w:val="-45"/>
        </w:rPr>
        <w:t> </w:t>
      </w:r>
      <w:r>
        <w:rPr>
          <w:rFonts w:ascii="Times New Roman" w:eastAsia="Times New Roman"/>
        </w:rPr>
        <w:t>7</w:t>
      </w:r>
      <w:r>
        <w:rPr/>
        <w:t>、全残</w:t>
        <w:tab/>
      </w:r>
      <w:r>
        <w:rPr>
          <w:rFonts w:ascii="Times New Roman" w:eastAsia="Times New Roman"/>
          <w:position w:val="2"/>
        </w:rPr>
        <w:t>:  </w:t>
      </w:r>
      <w:r>
        <w:rPr>
          <w:rFonts w:ascii="Times New Roman" w:eastAsia="Times New Roman"/>
          <w:spacing w:val="15"/>
          <w:position w:val="2"/>
        </w:rPr>
        <w:t> </w:t>
      </w:r>
      <w:r>
        <w:rPr/>
        <w:t>是指被保险人造成下列残疾程度之一者：</w:t>
      </w:r>
    </w:p>
    <w:p>
      <w:pPr>
        <w:pStyle w:val="BodyText"/>
        <w:tabs>
          <w:tab w:pos="3318" w:val="left" w:leader="none"/>
        </w:tabs>
        <w:spacing w:line="241" w:lineRule="exact"/>
        <w:ind w:left="2802"/>
      </w:pPr>
      <w:r>
        <w:rPr>
          <w:rFonts w:ascii="Times New Roman" w:eastAsia="Times New Roman"/>
        </w:rPr>
        <w:t>1</w:t>
      </w:r>
      <w:r>
        <w:rPr/>
        <w:t>、</w:t>
        <w:tab/>
        <w:t>双目永久完全失明的（注</w:t>
      </w:r>
      <w:r>
        <w:rPr>
          <w:spacing w:val="-46"/>
        </w:rPr>
        <w:t> </w:t>
      </w:r>
      <w:r>
        <w:rPr>
          <w:rFonts w:ascii="Times New Roman" w:eastAsia="Times New Roman"/>
        </w:rPr>
        <w:t>1</w:t>
      </w:r>
      <w:r>
        <w:rPr/>
        <w:t>）</w:t>
      </w:r>
    </w:p>
    <w:p>
      <w:pPr>
        <w:pStyle w:val="BodyText"/>
        <w:tabs>
          <w:tab w:pos="3318" w:val="left" w:leader="none"/>
        </w:tabs>
        <w:spacing w:before="36"/>
        <w:ind w:left="2802"/>
      </w:pPr>
      <w:r>
        <w:rPr>
          <w:rFonts w:ascii="Times New Roman" w:eastAsia="Times New Roman"/>
        </w:rPr>
        <w:t>2</w:t>
      </w:r>
      <w:r>
        <w:rPr/>
        <w:t>、</w:t>
        <w:tab/>
        <w:t>两上肢腕关节以上或两下肢踝关节以上缺失的</w:t>
      </w:r>
    </w:p>
    <w:p>
      <w:pPr>
        <w:pStyle w:val="BodyText"/>
        <w:tabs>
          <w:tab w:pos="3318" w:val="left" w:leader="none"/>
        </w:tabs>
        <w:spacing w:before="69"/>
        <w:ind w:left="2802"/>
      </w:pPr>
      <w:r>
        <w:rPr>
          <w:rFonts w:ascii="Times New Roman" w:eastAsia="Times New Roman"/>
        </w:rPr>
        <w:t>3</w:t>
      </w:r>
      <w:r>
        <w:rPr/>
        <w:t>、</w:t>
        <w:tab/>
        <w:t>一上肢腕关节以上及一下肢踝关节以上缺失的</w:t>
      </w:r>
    </w:p>
    <w:p>
      <w:pPr>
        <w:pStyle w:val="BodyText"/>
        <w:tabs>
          <w:tab w:pos="3318" w:val="left" w:leader="none"/>
        </w:tabs>
        <w:spacing w:before="110"/>
        <w:ind w:left="2802"/>
      </w:pPr>
      <w:r>
        <w:rPr>
          <w:rFonts w:ascii="Times New Roman" w:eastAsia="Times New Roman"/>
        </w:rPr>
        <w:t>4</w:t>
      </w:r>
      <w:r>
        <w:rPr/>
        <w:t>、</w:t>
        <w:tab/>
        <w:t>一目永久完全失明及一上肢腕关节以上缺失的</w:t>
      </w:r>
    </w:p>
    <w:p>
      <w:pPr>
        <w:spacing w:after="0"/>
        <w:sectPr>
          <w:pgSz w:w="11960" w:h="16850"/>
          <w:pgMar w:header="897" w:footer="1001" w:top="1080" w:bottom="1200" w:left="1560" w:right="1600"/>
        </w:sectPr>
      </w:pPr>
    </w:p>
    <w:p>
      <w:pPr>
        <w:pStyle w:val="BodyText"/>
        <w:ind w:left="0"/>
        <w:rPr>
          <w:sz w:val="20"/>
        </w:rPr>
      </w:pPr>
    </w:p>
    <w:p>
      <w:pPr>
        <w:pStyle w:val="BodyText"/>
        <w:spacing w:before="10"/>
        <w:ind w:left="0"/>
        <w:rPr>
          <w:sz w:val="20"/>
        </w:rPr>
      </w:pPr>
    </w:p>
    <w:p>
      <w:pPr>
        <w:pStyle w:val="BodyText"/>
        <w:tabs>
          <w:tab w:pos="3318" w:val="left" w:leader="none"/>
        </w:tabs>
        <w:spacing w:before="50"/>
        <w:ind w:left="2802"/>
      </w:pPr>
      <w:r>
        <w:rPr>
          <w:rFonts w:ascii="Times New Roman" w:eastAsia="Times New Roman"/>
        </w:rPr>
        <w:t>5</w:t>
      </w:r>
      <w:r>
        <w:rPr/>
        <w:t>、</w:t>
        <w:tab/>
        <w:t>一目永久完全失明及一下肢踝关节以上缺失的</w:t>
      </w:r>
    </w:p>
    <w:p>
      <w:pPr>
        <w:pStyle w:val="BodyText"/>
        <w:tabs>
          <w:tab w:pos="3318" w:val="left" w:leader="none"/>
        </w:tabs>
        <w:spacing w:before="64"/>
        <w:ind w:left="2802"/>
      </w:pPr>
      <w:r>
        <w:rPr>
          <w:rFonts w:ascii="Times New Roman" w:eastAsia="Times New Roman"/>
        </w:rPr>
        <w:t>6</w:t>
      </w:r>
      <w:r>
        <w:rPr/>
        <w:t>、</w:t>
        <w:tab/>
        <w:t>四肢关节机能永久完全丧失的（注</w:t>
      </w:r>
      <w:r>
        <w:rPr>
          <w:spacing w:val="-46"/>
        </w:rPr>
        <w:t> </w:t>
      </w:r>
      <w:r>
        <w:rPr>
          <w:rFonts w:ascii="Times New Roman" w:eastAsia="Times New Roman"/>
        </w:rPr>
        <w:t>2</w:t>
      </w:r>
      <w:r>
        <w:rPr/>
        <w:t>，</w:t>
      </w:r>
      <w:r>
        <w:rPr>
          <w:rFonts w:ascii="Times New Roman" w:eastAsia="Times New Roman"/>
        </w:rPr>
        <w:t>5</w:t>
      </w:r>
      <w:r>
        <w:rPr/>
        <w:t>）</w:t>
      </w:r>
    </w:p>
    <w:p>
      <w:pPr>
        <w:pStyle w:val="BodyText"/>
        <w:tabs>
          <w:tab w:pos="3318" w:val="left" w:leader="none"/>
        </w:tabs>
        <w:spacing w:before="62"/>
        <w:ind w:left="2802"/>
      </w:pPr>
      <w:r>
        <w:rPr>
          <w:rFonts w:ascii="Times New Roman" w:eastAsia="Times New Roman"/>
        </w:rPr>
        <w:t>7</w:t>
      </w:r>
      <w:r>
        <w:rPr/>
        <w:t>、</w:t>
        <w:tab/>
        <w:t>咀嚼、吞咽机能永久完全丧失的（注</w:t>
      </w:r>
      <w:r>
        <w:rPr>
          <w:spacing w:val="-49"/>
        </w:rPr>
        <w:t> </w:t>
      </w:r>
      <w:r>
        <w:rPr>
          <w:rFonts w:ascii="Times New Roman" w:eastAsia="Times New Roman"/>
        </w:rPr>
        <w:t>3</w:t>
      </w:r>
      <w:r>
        <w:rPr/>
        <w:t>，</w:t>
      </w:r>
      <w:r>
        <w:rPr>
          <w:rFonts w:ascii="Times New Roman" w:eastAsia="Times New Roman"/>
        </w:rPr>
        <w:t>5</w:t>
      </w:r>
      <w:r>
        <w:rPr/>
        <w:t>）</w:t>
      </w:r>
    </w:p>
    <w:p>
      <w:pPr>
        <w:pStyle w:val="BodyText"/>
        <w:tabs>
          <w:tab w:pos="3318" w:val="left" w:leader="none"/>
        </w:tabs>
        <w:spacing w:line="223" w:lineRule="auto" w:before="82"/>
        <w:ind w:left="3318" w:right="306" w:hanging="516"/>
      </w:pPr>
      <w:r>
        <w:rPr>
          <w:rFonts w:ascii="Times New Roman" w:eastAsia="Times New Roman"/>
        </w:rPr>
        <w:t>8</w:t>
      </w:r>
      <w:r>
        <w:rPr/>
        <w:t>、</w:t>
        <w:tab/>
        <w:t>中枢神经系统机能或胸、腹部脏器机能极度障碍，终身不能从事任何工作，为维持生命必要的日常生活活动，全需他人扶助（注</w:t>
      </w:r>
      <w:r>
        <w:rPr>
          <w:spacing w:val="-50"/>
        </w:rPr>
        <w:t> </w:t>
      </w:r>
      <w:r>
        <w:rPr>
          <w:rFonts w:ascii="Times New Roman" w:eastAsia="Times New Roman"/>
        </w:rPr>
        <w:t>4</w:t>
      </w:r>
      <w:r>
        <w:rPr/>
        <w:t>）</w:t>
      </w:r>
    </w:p>
    <w:p>
      <w:pPr>
        <w:pStyle w:val="BodyText"/>
        <w:spacing w:before="3"/>
        <w:ind w:left="0"/>
        <w:rPr>
          <w:sz w:val="13"/>
        </w:rPr>
      </w:pPr>
    </w:p>
    <w:p>
      <w:pPr>
        <w:pStyle w:val="BodyText"/>
        <w:spacing w:line="235" w:lineRule="exact" w:before="45"/>
        <w:ind w:left="2582"/>
      </w:pPr>
      <w:r>
        <w:rPr/>
        <w:t>注：</w:t>
      </w:r>
    </w:p>
    <w:p>
      <w:pPr>
        <w:pStyle w:val="BodyText"/>
        <w:spacing w:line="225" w:lineRule="auto" w:before="14"/>
        <w:ind w:left="3374" w:right="189" w:hanging="360"/>
      </w:pPr>
      <w:r>
        <w:rPr>
          <w:rFonts w:ascii="Times New Roman" w:eastAsia="Times New Roman"/>
        </w:rPr>
        <w:t>1</w:t>
      </w:r>
      <w:r>
        <w:rPr/>
        <w:t>、 失明包括眼球缺失或摘除、或不能辨别明暗、或仅能辨别眼前手动</w:t>
      </w:r>
      <w:r>
        <w:rPr>
          <w:spacing w:val="-7"/>
        </w:rPr>
        <w:t>者，最佳矫正视力低于国际标准视力表 </w:t>
      </w:r>
      <w:r>
        <w:rPr>
          <w:rFonts w:ascii="Times New Roman" w:eastAsia="Times New Roman"/>
          <w:spacing w:val="-3"/>
        </w:rPr>
        <w:t>0.02</w:t>
      </w:r>
      <w:r>
        <w:rPr>
          <w:spacing w:val="-7"/>
        </w:rPr>
        <w:t>，或视野半径小于 </w:t>
      </w:r>
      <w:r>
        <w:rPr>
          <w:rFonts w:ascii="Times New Roman" w:eastAsia="Times New Roman"/>
        </w:rPr>
        <w:t>5 </w:t>
      </w:r>
      <w:r>
        <w:rPr/>
        <w:t>度</w:t>
      </w:r>
      <w:r>
        <w:rPr>
          <w:spacing w:val="-1"/>
        </w:rPr>
        <w:t>并由有资格的眼科医生出具医疗诊断证明。</w:t>
      </w:r>
    </w:p>
    <w:p>
      <w:pPr>
        <w:pStyle w:val="BodyText"/>
        <w:spacing w:line="225" w:lineRule="auto" w:before="11"/>
        <w:ind w:left="3374" w:right="191" w:hanging="360"/>
      </w:pPr>
      <w:r>
        <w:rPr>
          <w:rFonts w:ascii="Times New Roman" w:eastAsia="Times New Roman"/>
        </w:rPr>
        <w:t>2</w:t>
      </w:r>
      <w:r>
        <w:rPr/>
        <w:t>、 关节机能的丧失系指关节永久完全僵硬、或麻痹、或关节不能随意识活动。</w:t>
      </w:r>
    </w:p>
    <w:p>
      <w:pPr>
        <w:pStyle w:val="BodyText"/>
        <w:spacing w:line="232" w:lineRule="auto" w:before="4"/>
        <w:ind w:left="3374" w:right="192" w:hanging="360"/>
        <w:jc w:val="both"/>
      </w:pPr>
      <w:r>
        <w:rPr>
          <w:rFonts w:ascii="Times New Roman" w:eastAsia="Times New Roman"/>
        </w:rPr>
        <w:t>3</w:t>
      </w:r>
      <w:r>
        <w:rPr/>
        <w:t>、 咀嚼、吞咽机能的丧失系指由于牙齿以外的原因引起器质障碍或机能障碍，以致不能作咀嚼、吞咽运动、除流质食物外不能摄取或吞咽的状态。</w:t>
      </w:r>
    </w:p>
    <w:p>
      <w:pPr>
        <w:pStyle w:val="BodyText"/>
        <w:spacing w:line="232" w:lineRule="auto" w:before="7"/>
        <w:ind w:left="3374" w:right="100" w:hanging="360"/>
      </w:pPr>
      <w:r>
        <w:rPr>
          <w:rFonts w:ascii="Times New Roman" w:hAnsi="Times New Roman" w:eastAsia="Times New Roman"/>
        </w:rPr>
        <w:t>4</w:t>
      </w:r>
      <w:r>
        <w:rPr/>
        <w:t>、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spacing w:line="225" w:lineRule="auto" w:before="12"/>
        <w:ind w:left="3340" w:right="186" w:hanging="360"/>
      </w:pPr>
      <w:r>
        <w:rPr>
          <w:rFonts w:ascii="Times New Roman" w:eastAsia="Times New Roman"/>
        </w:rPr>
        <w:t>5</w:t>
      </w:r>
      <w:r>
        <w:rPr>
          <w:spacing w:val="-8"/>
        </w:rPr>
        <w:t>、 所谓永久完全系指自以上情况发生之日起经过一百八十天的治疗，机</w:t>
      </w:r>
      <w:r>
        <w:rPr>
          <w:spacing w:val="-1"/>
        </w:rPr>
        <w:t>能仍完全丧失，但眼球摘除等明显无法复原之情况不在此限。</w:t>
      </w:r>
    </w:p>
    <w:p>
      <w:pPr>
        <w:pStyle w:val="BodyText"/>
        <w:tabs>
          <w:tab w:pos="2380" w:val="left" w:leader="none"/>
        </w:tabs>
        <w:spacing w:line="235" w:lineRule="auto" w:before="2"/>
        <w:ind w:left="2582" w:right="186" w:hanging="2441"/>
        <w:jc w:val="both"/>
      </w:pPr>
      <w:r>
        <w:rPr/>
        <w:t>释义</w:t>
      </w:r>
      <w:r>
        <w:rPr>
          <w:spacing w:val="-45"/>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2" w:lineRule="auto" w:before="4"/>
        <w:ind w:left="2582" w:right="186" w:hanging="2441"/>
        <w:jc w:val="both"/>
      </w:pPr>
      <w:r>
        <w:rPr>
          <w:spacing w:val="-16"/>
        </w:rPr>
        <w:t>释义 </w:t>
      </w:r>
      <w:r>
        <w:rPr>
          <w:rFonts w:ascii="Times New Roman" w:eastAsia="Times New Roman"/>
        </w:rPr>
        <w:t>9</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9" w:lineRule="exact"/>
      </w:pPr>
      <w:r>
        <w:rPr/>
        <w:t>释义 </w:t>
      </w:r>
      <w:r>
        <w:rPr>
          <w:rFonts w:ascii="Times New Roman" w:eastAsia="Times New Roman"/>
        </w:rPr>
        <w:t>10</w:t>
      </w:r>
      <w:r>
        <w:rPr/>
        <w:t>、无合法有效驾驶证</w:t>
      </w:r>
      <w:r>
        <w:rPr>
          <w:rFonts w:ascii="Times New Roman" w:eastAsia="Times New Roman"/>
          <w:position w:val="2"/>
        </w:rPr>
        <w:t>:   </w:t>
      </w:r>
      <w:r>
        <w:rPr/>
        <w:t>指下列情形之一：</w:t>
      </w:r>
    </w:p>
    <w:p>
      <w:pPr>
        <w:pStyle w:val="BodyText"/>
        <w:tabs>
          <w:tab w:pos="2581" w:val="left" w:leader="none"/>
        </w:tabs>
        <w:spacing w:line="226" w:lineRule="exact"/>
      </w:pPr>
      <w:r>
        <w:rPr/>
        <w:t>驾驶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5" w:lineRule="auto" w:before="6"/>
        <w:ind w:left="2582" w:right="186"/>
      </w:pPr>
      <w:r>
        <w:rPr>
          <w:rFonts w:ascii="Times New Roman" w:eastAsia="Times New Roman"/>
        </w:rPr>
        <w:t>5</w:t>
      </w:r>
      <w:r>
        <w:rPr/>
        <w:t>、持学习驾驶证学习驾车时，无教练员随车指导，或不按指定时间、路线学习驾车；</w:t>
      </w:r>
    </w:p>
    <w:p>
      <w:pPr>
        <w:pStyle w:val="BodyText"/>
        <w:spacing w:line="246"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28" w:lineRule="exact"/>
      </w:pPr>
      <w:r>
        <w:rPr/>
        <w:t>释义</w:t>
      </w:r>
      <w:r>
        <w:rPr>
          <w:spacing w:val="-45"/>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1"/>
        <w:ind w:right="225"/>
      </w:pPr>
      <w:r>
        <w:rPr/>
        <w:t>释义</w:t>
      </w:r>
      <w:r>
        <w:rPr>
          <w:spacing w:val="-45"/>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5" w:lineRule="auto" w:before="5"/>
        <w:ind w:left="2582" w:right="188" w:hanging="2441"/>
      </w:pPr>
      <w:r>
        <w:rPr/>
        <w:t>释义</w:t>
      </w:r>
      <w:r>
        <w:rPr>
          <w:spacing w:val="-45"/>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6" w:lineRule="exact"/>
      </w:pPr>
      <w:r>
        <w:rPr/>
        <w:t>释义 </w:t>
      </w:r>
      <w:r>
        <w:rPr>
          <w:rFonts w:ascii="Times New Roman" w:eastAsia="Times New Roman"/>
        </w:rPr>
        <w:t>15</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540"/>
        </w:sectPr>
      </w:pPr>
    </w:p>
    <w:p>
      <w:pPr>
        <w:pStyle w:val="BodyText"/>
        <w:spacing w:line="222" w:lineRule="exact"/>
      </w:pPr>
      <w:r>
        <w:rPr/>
        <w:t>或染色体异常</w:t>
      </w:r>
    </w:p>
    <w:p>
      <w:pPr>
        <w:pStyle w:val="BodyText"/>
        <w:spacing w:line="223" w:lineRule="auto" w:before="3"/>
        <w:ind w:right="27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540"/>
          <w:cols w:num="2" w:equalWidth="0">
            <w:col w:w="1222" w:space="1219"/>
            <w:col w:w="6419"/>
          </w:cols>
        </w:sectPr>
      </w:pPr>
    </w:p>
    <w:p>
      <w:pPr>
        <w:pStyle w:val="BodyText"/>
        <w:tabs>
          <w:tab w:pos="2380" w:val="left" w:leader="none"/>
        </w:tabs>
        <w:spacing w:line="223" w:lineRule="auto" w:before="16"/>
        <w:ind w:left="2582" w:right="190" w:hanging="2441"/>
      </w:pPr>
      <w:r>
        <w:rPr/>
        <w:t>释义</w:t>
      </w:r>
      <w:r>
        <w:rPr>
          <w:spacing w:val="-45"/>
        </w:rPr>
        <w:t> </w:t>
      </w:r>
      <w:r>
        <w:rPr>
          <w:rFonts w:ascii="Times New Roman" w:eastAsia="Times New Roman"/>
        </w:rPr>
        <w:t>16</w:t>
      </w:r>
      <w:r>
        <w:rPr/>
        <w:t>、斗殴</w:t>
        <w:tab/>
      </w:r>
      <w:r>
        <w:rPr>
          <w:rFonts w:ascii="Times New Roman" w:eastAsia="Times New Roman"/>
          <w:position w:val="2"/>
        </w:rPr>
        <w:t>:   </w:t>
      </w:r>
      <w:r>
        <w:rPr>
          <w:rFonts w:ascii="Times New Roman" w:eastAsia="Times New Roman"/>
          <w:spacing w:val="2"/>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80" w:val="left" w:leader="none"/>
        </w:tabs>
        <w:spacing w:line="223" w:lineRule="auto" w:before="16"/>
        <w:ind w:left="2582" w:right="186" w:hanging="2441"/>
      </w:pPr>
      <w:r>
        <w:rPr/>
        <w:t>释义</w:t>
      </w:r>
      <w:r>
        <w:rPr>
          <w:spacing w:val="-45"/>
        </w:rPr>
        <w:t> </w:t>
      </w:r>
      <w:r>
        <w:rPr>
          <w:rFonts w:ascii="Times New Roman" w:eastAsia="Times New Roman"/>
        </w:rPr>
        <w:t>17</w:t>
      </w:r>
      <w:r>
        <w:rPr/>
        <w:t>、酗酒</w:t>
        <w:tab/>
      </w:r>
      <w:r>
        <w:rPr>
          <w:rFonts w:ascii="Times New Roman" w:eastAsia="Times New Roman"/>
          <w:position w:val="2"/>
        </w:rPr>
        <w:t>:  </w:t>
      </w:r>
      <w:r>
        <w:rPr>
          <w:rFonts w:ascii="Times New Roman" w:eastAsia="Times New Roman"/>
          <w:spacing w:val="13"/>
          <w:position w:val="2"/>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44" w:lineRule="exact"/>
      </w:pPr>
      <w:r>
        <w:rPr/>
        <w:t>释义</w:t>
      </w:r>
      <w:r>
        <w:rPr>
          <w:spacing w:val="-45"/>
        </w:rPr>
        <w:t> </w:t>
      </w:r>
      <w:r>
        <w:rPr>
          <w:rFonts w:ascii="Times New Roman" w:eastAsia="Times New Roman"/>
        </w:rPr>
        <w:t>18</w:t>
      </w:r>
      <w:r>
        <w:rPr/>
        <w:t>、处方药物</w:t>
        <w:tab/>
      </w:r>
      <w:r>
        <w:rPr>
          <w:rFonts w:ascii="Times New Roman" w:eastAsia="Times New Roman"/>
          <w:position w:val="2"/>
        </w:rPr>
        <w:t>:  </w:t>
      </w:r>
      <w:r>
        <w:rPr>
          <w:rFonts w:ascii="Times New Roman" w:eastAsia="Times New Roman"/>
          <w:spacing w:val="12"/>
          <w:position w:val="2"/>
        </w:rPr>
        <w:t> </w:t>
      </w:r>
      <w:r>
        <w:rPr/>
        <w:t>指必须凭执业医师处方才可调配、购买和使用的药品。</w:t>
      </w:r>
    </w:p>
    <w:p>
      <w:pPr>
        <w:pStyle w:val="BodyText"/>
        <w:tabs>
          <w:tab w:pos="2380" w:val="left" w:leader="none"/>
        </w:tabs>
        <w:spacing w:line="223" w:lineRule="auto" w:before="13"/>
        <w:ind w:left="2582" w:right="186" w:hanging="2441"/>
      </w:pPr>
      <w:r>
        <w:rPr/>
        <w:t>释义</w:t>
      </w:r>
      <w:r>
        <w:rPr>
          <w:spacing w:val="-45"/>
        </w:rPr>
        <w:t> </w:t>
      </w:r>
      <w:r>
        <w:rPr>
          <w:rFonts w:ascii="Times New Roman" w:eastAsia="Times New Roman"/>
        </w:rPr>
        <w:t>19</w:t>
      </w:r>
      <w:r>
        <w:rPr/>
        <w:t>、恐怖活动</w:t>
        <w:tab/>
      </w:r>
      <w:r>
        <w:rPr>
          <w:rFonts w:ascii="Times New Roman" w:eastAsia="Times New Roman"/>
          <w:position w:val="2"/>
        </w:rPr>
        <w:t>:  </w:t>
      </w:r>
      <w:r>
        <w:rPr>
          <w:rFonts w:ascii="Times New Roman" w:eastAsia="Times New Roman"/>
          <w:spacing w:val="10"/>
          <w:position w:val="2"/>
        </w:rPr>
        <w:t> </w:t>
      </w:r>
      <w:r>
        <w:rPr/>
        <w:t>指为达到政治</w:t>
      </w:r>
      <w:r>
        <w:rPr>
          <w:spacing w:val="-8"/>
        </w:rPr>
        <w:t>、</w:t>
      </w:r>
      <w:r>
        <w:rPr/>
        <w:t>宗教和意识形态的目的</w:t>
      </w:r>
      <w:r>
        <w:rPr>
          <w:spacing w:val="-8"/>
        </w:rPr>
        <w:t>，</w:t>
      </w:r>
      <w:r>
        <w:rPr/>
        <w:t>使用爆炸</w:t>
      </w:r>
      <w:r>
        <w:rPr>
          <w:spacing w:val="-8"/>
        </w:rPr>
        <w:t>、</w:t>
      </w:r>
      <w:r>
        <w:rPr/>
        <w:t>杀人</w:t>
      </w:r>
      <w:r>
        <w:rPr>
          <w:spacing w:val="-10"/>
        </w:rPr>
        <w:t>、</w:t>
      </w:r>
      <w:r>
        <w:rPr/>
        <w:t>放火</w:t>
      </w:r>
      <w:r>
        <w:rPr>
          <w:spacing w:val="-8"/>
        </w:rPr>
        <w:t>、</w:t>
      </w:r>
      <w:r>
        <w:rPr/>
        <w:t>绑架等手段</w:t>
      </w:r>
      <w:r>
        <w:rPr>
          <w:spacing w:val="-1"/>
        </w:rPr>
        <w:t>伤害人身或</w:t>
      </w:r>
      <w:r>
        <w:rPr/>
        <w:t>者损坏财产，恐吓和威胁政府、普通民众的行为。</w:t>
      </w:r>
    </w:p>
    <w:p>
      <w:pPr>
        <w:pStyle w:val="BodyText"/>
        <w:tabs>
          <w:tab w:pos="2380" w:val="left" w:leader="none"/>
        </w:tabs>
        <w:spacing w:line="230" w:lineRule="auto" w:before="9"/>
        <w:ind w:right="148"/>
      </w:pPr>
      <w:r>
        <w:rPr/>
        <w:t>释义</w:t>
      </w:r>
      <w:r>
        <w:rPr>
          <w:spacing w:val="-45"/>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5"/>
          <w:position w:val="2"/>
        </w:rPr>
        <w:t> </w:t>
      </w:r>
      <w:r>
        <w:rPr/>
        <w:t>是指以辅助呼吸器材在江、河、湖、海、水库、运河等水域进行的水下运动。释义</w:t>
      </w:r>
      <w:r>
        <w:rPr>
          <w:spacing w:val="-45"/>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6"/>
          <w:position w:val="2"/>
        </w:rPr>
        <w:t> </w:t>
      </w:r>
      <w:r>
        <w:rPr/>
        <w:t>是指攀登悬崖、楼宇外墙、人造悬崖、冰崖、冰ft等的运动。</w:t>
      </w:r>
    </w:p>
    <w:p>
      <w:pPr>
        <w:spacing w:after="0" w:line="230" w:lineRule="auto"/>
        <w:sectPr>
          <w:type w:val="continuous"/>
          <w:pgSz w:w="11960" w:h="16850"/>
          <w:pgMar w:top="280" w:bottom="1200" w:left="1560" w:right="1540"/>
        </w:sectPr>
      </w:pPr>
    </w:p>
    <w:p>
      <w:pPr>
        <w:pStyle w:val="BodyText"/>
        <w:ind w:left="0"/>
        <w:rPr>
          <w:sz w:val="20"/>
        </w:rPr>
      </w:pPr>
    </w:p>
    <w:p>
      <w:pPr>
        <w:pStyle w:val="BodyText"/>
        <w:spacing w:before="6"/>
        <w:ind w:left="0"/>
        <w:rPr>
          <w:sz w:val="19"/>
        </w:rPr>
      </w:pPr>
    </w:p>
    <w:p>
      <w:pPr>
        <w:pStyle w:val="BodyText"/>
        <w:tabs>
          <w:tab w:pos="2380" w:val="left" w:leader="none"/>
        </w:tabs>
        <w:spacing w:line="232" w:lineRule="auto" w:before="75"/>
        <w:ind w:left="2582" w:right="126" w:hanging="2441"/>
        <w:jc w:val="both"/>
      </w:pPr>
      <w:r>
        <w:rPr/>
        <w:t>释义</w:t>
      </w:r>
      <w:r>
        <w:rPr>
          <w:spacing w:val="-45"/>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5"/>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spacing w:line="225" w:lineRule="auto" w:before="12"/>
        <w:ind w:left="2582" w:right="129" w:hanging="2441"/>
        <w:jc w:val="both"/>
      </w:pPr>
      <w:r>
        <w:rPr>
          <w:spacing w:val="-16"/>
        </w:rPr>
        <w:t>释义 </w:t>
      </w:r>
      <w:r>
        <w:rPr>
          <w:rFonts w:ascii="Times New Roman" w:eastAsia="Times New Roman"/>
        </w:rPr>
        <w:t>23</w:t>
      </w:r>
      <w:r>
        <w:rPr>
          <w:spacing w:val="1"/>
        </w:rPr>
        <w:t>、武术比赛       </w:t>
      </w:r>
      <w:r>
        <w:rPr>
          <w:rFonts w:ascii="Times New Roman" w:eastAsia="Times New Roman"/>
          <w:spacing w:val="2"/>
          <w:position w:val="2"/>
        </w:rPr>
        <w:t>:   </w:t>
      </w:r>
      <w:r>
        <w:rPr>
          <w:spacing w:val="-4"/>
        </w:rPr>
        <w:t>是指两人或两人以上对抗性柔道、空手道、跆拳道、散打、拳击等各种拳术及</w:t>
      </w:r>
      <w:r>
        <w:rPr>
          <w:spacing w:val="-1"/>
        </w:rPr>
        <w:t>各种使用器械的对抗性比赛。</w:t>
      </w:r>
    </w:p>
    <w:p>
      <w:pPr>
        <w:pStyle w:val="BodyText"/>
        <w:tabs>
          <w:tab w:pos="2380" w:val="left" w:leader="none"/>
        </w:tabs>
        <w:spacing w:line="242" w:lineRule="exact"/>
      </w:pPr>
      <w:r>
        <w:rPr/>
        <w:t>释义</w:t>
      </w:r>
      <w:r>
        <w:rPr>
          <w:spacing w:val="-45"/>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10"/>
          <w:position w:val="2"/>
        </w:rPr>
        <w:t> </w:t>
      </w:r>
      <w:r>
        <w:rPr/>
        <w:t>是指从事马术、杂技、驯兽等特殊技能的表演。</w:t>
      </w:r>
    </w:p>
    <w:p>
      <w:pPr>
        <w:pStyle w:val="BodyText"/>
        <w:spacing w:line="225" w:lineRule="auto" w:before="10"/>
        <w:ind w:left="2582" w:right="126" w:hanging="2441"/>
        <w:jc w:val="both"/>
      </w:pPr>
      <w:r>
        <w:rPr/>
        <w:t>释义 </w:t>
      </w:r>
      <w:r>
        <w:rPr>
          <w:rFonts w:ascii="Times New Roman" w:eastAsia="Times New Roman"/>
        </w:rPr>
        <w:t>25</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pPr>
      <w:r>
        <w:rPr/>
        <w:t>释义 </w:t>
      </w:r>
      <w:r>
        <w:rPr>
          <w:rFonts w:ascii="Times New Roman" w:eastAsia="Times New Roman"/>
        </w:rPr>
        <w:t>26</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2" w:lineRule="exact" w:before="11"/>
        <w:ind w:left="2582" w:right="12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before="6"/>
        <w:ind w:left="0"/>
        <w:rPr>
          <w:sz w:val="15"/>
        </w:rPr>
      </w:pPr>
    </w:p>
    <w:p>
      <w:pPr>
        <w:pStyle w:val="BodyText"/>
        <w:spacing w:line="223" w:lineRule="auto"/>
        <w:ind w:left="2582" w:right="126"/>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11"/>
        <w:ind w:left="0"/>
        <w:rPr>
          <w:sz w:val="16"/>
        </w:rPr>
      </w:pPr>
    </w:p>
    <w:p>
      <w:pPr>
        <w:pStyle w:val="BodyText"/>
        <w:spacing w:line="225" w:lineRule="auto"/>
        <w:ind w:left="2582" w:right="12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9"/>
        <w:ind w:left="0"/>
        <w:rPr>
          <w:sz w:val="11"/>
        </w:rPr>
      </w:pPr>
    </w:p>
    <w:p>
      <w:pPr>
        <w:pStyle w:val="BodyText"/>
        <w:spacing w:line="225" w:lineRule="auto" w:before="65"/>
        <w:ind w:left="2582" w:right="12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2"/>
        <w:ind w:left="2582" w:right="128" w:hanging="2441"/>
        <w:jc w:val="both"/>
      </w:pPr>
      <w:r>
        <w:rPr/>
        <w:t>释义</w:t>
      </w:r>
      <w:r>
        <w:rPr>
          <w:spacing w:val="-45"/>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医疗设备</w:t>
      </w:r>
      <w:r>
        <w:rPr/>
        <w:t>，且全天二十四小时有合格医师及护士驻院提供医疗和护理服务。</w:t>
      </w:r>
    </w:p>
    <w:p>
      <w:pPr>
        <w:pStyle w:val="BodyText"/>
        <w:spacing w:before="7"/>
        <w:ind w:left="0"/>
        <w:rPr>
          <w:sz w:val="15"/>
        </w:rPr>
      </w:pPr>
    </w:p>
    <w:p>
      <w:pPr>
        <w:pStyle w:val="BodyText"/>
        <w:ind w:left="2582" w:right="73"/>
      </w:pPr>
      <w:r>
        <w:rPr/>
        <w:t>若国家有关部门对于医院的评级标准有更改或取消，我们保留调整医院定义的权利。</w:t>
      </w:r>
    </w:p>
    <w:p>
      <w:pPr>
        <w:pStyle w:val="BodyText"/>
        <w:tabs>
          <w:tab w:pos="2380" w:val="left" w:leader="none"/>
        </w:tabs>
        <w:spacing w:line="230" w:lineRule="auto" w:before="7"/>
        <w:ind w:right="2428"/>
      </w:pPr>
      <w:r>
        <w:rPr/>
        <w:t>释义</w:t>
      </w:r>
      <w:r>
        <w:rPr>
          <w:spacing w:val="-45"/>
        </w:rPr>
        <w:t> </w:t>
      </w:r>
      <w:r>
        <w:rPr>
          <w:rFonts w:ascii="Times New Roman" w:eastAsia="Times New Roman"/>
        </w:rPr>
        <w:t>28</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是指本附加合同约定的保险责任范围内的事故。释义</w:t>
      </w:r>
      <w:r>
        <w:rPr>
          <w:spacing w:val="-45"/>
        </w:rPr>
        <w:t> </w:t>
      </w:r>
      <w:r>
        <w:rPr>
          <w:rFonts w:ascii="Times New Roman" w:eastAsia="Times New Roman"/>
        </w:rPr>
        <w:t>29</w:t>
      </w:r>
      <w:r>
        <w:rPr/>
        <w:t>、保险合同周年日</w:t>
        <w:tab/>
      </w:r>
      <w:r>
        <w:rPr>
          <w:rFonts w:ascii="Times New Roman" w:eastAsia="Times New Roman"/>
          <w:position w:val="2"/>
        </w:rPr>
        <w:t>:  </w:t>
      </w:r>
      <w:r>
        <w:rPr>
          <w:rFonts w:ascii="Times New Roman" w:eastAsia="Times New Roman"/>
          <w:spacing w:val="15"/>
          <w:position w:val="2"/>
        </w:rPr>
        <w:t> </w:t>
      </w:r>
      <w:r>
        <w:rPr/>
        <w:t>是指主合同生效日起的周年日期。</w:t>
      </w:r>
    </w:p>
    <w:p>
      <w:pPr>
        <w:pStyle w:val="BodyText"/>
        <w:tabs>
          <w:tab w:pos="2581" w:val="left" w:leader="none"/>
        </w:tabs>
        <w:spacing w:line="225" w:lineRule="auto" w:before="6"/>
        <w:ind w:left="2582" w:right="126" w:hanging="2441"/>
        <w:jc w:val="both"/>
      </w:pPr>
      <w:r>
        <w:rPr/>
        <w:t>释义</w:t>
      </w:r>
      <w:r>
        <w:rPr>
          <w:spacing w:val="-45"/>
        </w:rPr>
        <w:t> </w:t>
      </w:r>
      <w:r>
        <w:rPr>
          <w:rFonts w:ascii="Times New Roman" w:eastAsia="Times New Roman"/>
        </w:rPr>
        <w:t>30</w:t>
      </w:r>
      <w:r>
        <w:rPr/>
        <w:t>、现金价值</w:t>
        <w:tab/>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316" w:lineRule="auto" w:before="35"/>
        <w:ind w:right="148"/>
      </w:pPr>
      <w:r>
        <w:rPr/>
        <w:t>重大疾病是指下列任何一种疾病，被保险人发生符合以下疾病定义所述条件的疾病，应当由专科医生明确诊断。</w:t>
      </w:r>
    </w:p>
    <w:p>
      <w:pPr>
        <w:pStyle w:val="BodyText"/>
        <w:spacing w:before="3"/>
        <w:ind w:left="0"/>
        <w:rPr>
          <w:sz w:val="22"/>
        </w:rPr>
      </w:pPr>
    </w:p>
    <w:p>
      <w:pPr>
        <w:pStyle w:val="BodyText"/>
        <w:tabs>
          <w:tab w:pos="2380" w:val="left" w:leader="none"/>
        </w:tabs>
        <w:spacing w:line="201" w:lineRule="exact"/>
      </w:pPr>
      <w:r>
        <w:rPr>
          <w:rFonts w:ascii="Times New Roman" w:eastAsia="Times New Roman"/>
        </w:rPr>
        <w:t>1</w:t>
      </w:r>
      <w:r>
        <w:rPr/>
        <w:t>、恶性肿瘤</w:t>
        <w:tab/>
        <w:t>：</w:t>
      </w:r>
    </w:p>
    <w:p>
      <w:pPr>
        <w:pStyle w:val="BodyText"/>
        <w:spacing w:line="188" w:lineRule="exact"/>
        <w:ind w:left="2582"/>
      </w:pPr>
      <w:r>
        <w:rPr/>
        <w:t>指恶性细胞不受控制的进行性增长和扩散，浸润和破坏周围正常组织，可以经</w:t>
      </w:r>
    </w:p>
    <w:p>
      <w:pPr>
        <w:pStyle w:val="BodyText"/>
        <w:spacing w:line="237" w:lineRule="auto" w:before="3"/>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3" w:lineRule="auto" w:before="17"/>
        <w:ind w:left="2944" w:right="3688" w:hanging="363"/>
      </w:pPr>
      <w:r>
        <w:rPr/>
        <w:t>（</w:t>
      </w:r>
      <w:r>
        <w:rPr>
          <w:rFonts w:ascii="Times New Roman" w:eastAsia="Times New Roman"/>
        </w:rPr>
        <w:t>ICD-10</w:t>
      </w:r>
      <w:r>
        <w:rPr/>
        <w:t>）的恶性肿瘤范畴。下列疾病不在保障范围内：</w:t>
      </w:r>
    </w:p>
    <w:p>
      <w:pPr>
        <w:pStyle w:val="BodyText"/>
        <w:spacing w:line="241"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1" w:lineRule="exact"/>
        <w:ind w:left="2582"/>
      </w:pPr>
      <w:r>
        <w:rPr/>
        <w:t>（</w:t>
      </w:r>
      <w:r>
        <w:rPr>
          <w:rFonts w:ascii="Times New Roman" w:eastAsia="Times New Roman"/>
        </w:rPr>
        <w:t>6</w:t>
      </w:r>
      <w:r>
        <w:rPr/>
        <w:t>）感染艾滋病病毒或患艾滋病期间所患恶性肿瘤。</w:t>
      </w:r>
    </w:p>
    <w:p>
      <w:pPr>
        <w:spacing w:after="0" w:line="241" w:lineRule="exact"/>
        <w:sectPr>
          <w:pgSz w:w="11960" w:h="16850"/>
          <w:pgMar w:header="897" w:footer="1001" w:top="1080" w:bottom="1200" w:left="1560" w:right="1600"/>
        </w:sectPr>
      </w:pPr>
    </w:p>
    <w:p>
      <w:pPr>
        <w:pStyle w:val="BodyText"/>
        <w:spacing w:line="225" w:lineRule="auto" w:before="152"/>
      </w:pPr>
      <w:r>
        <w:rPr>
          <w:rFonts w:ascii="Times New Roman" w:eastAsia="Times New Roman"/>
        </w:rPr>
        <w:t>2</w:t>
      </w:r>
      <w:r>
        <w:rPr>
          <w:spacing w:val="-3"/>
        </w:rPr>
        <w:t>、重大器官移植术或造血干： 细胞移植术</w:t>
      </w:r>
    </w:p>
    <w:p>
      <w:pPr>
        <w:pStyle w:val="BodyText"/>
        <w:spacing w:before="9"/>
        <w:ind w:left="0"/>
        <w:rPr>
          <w:sz w:val="20"/>
        </w:rPr>
      </w:pPr>
      <w:r>
        <w:rPr/>
        <w:br w:type="column"/>
      </w:r>
      <w:r>
        <w:rPr>
          <w:sz w:val="20"/>
        </w:rPr>
      </w:r>
    </w:p>
    <w:p>
      <w:pPr>
        <w:pStyle w:val="BodyText"/>
        <w:ind w:left="-1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ind w:left="-1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2561" w:space="40"/>
            <w:col w:w="6199"/>
          </w:cols>
        </w:sectPr>
      </w:pPr>
    </w:p>
    <w:p>
      <w:pPr>
        <w:pStyle w:val="BodyText"/>
        <w:ind w:left="0"/>
        <w:rPr>
          <w:sz w:val="20"/>
        </w:rPr>
      </w:pPr>
    </w:p>
    <w:p>
      <w:pPr>
        <w:pStyle w:val="BodyText"/>
        <w:spacing w:before="10"/>
        <w:ind w:left="0"/>
        <w:rPr>
          <w:sz w:val="20"/>
        </w:rPr>
      </w:pPr>
    </w:p>
    <w:p>
      <w:pPr>
        <w:pStyle w:val="BodyText"/>
        <w:spacing w:before="1"/>
        <w:ind w:left="0"/>
        <w:rPr>
          <w:sz w:val="15"/>
        </w:rPr>
      </w:pPr>
    </w:p>
    <w:p>
      <w:pPr>
        <w:pStyle w:val="BodyText"/>
        <w:spacing w:line="103" w:lineRule="auto"/>
        <w:ind w:right="124"/>
      </w:pPr>
      <w:r>
        <w:rPr>
          <w:rFonts w:ascii="Times New Roman" w:eastAsia="Times New Roman"/>
          <w:position w:val="12"/>
        </w:rPr>
        <w:t>3</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5" w:lineRule="exact"/>
        <w:ind w:left="2582"/>
      </w:pPr>
      <w:r>
        <w:rPr/>
        <w:t>的规律性透析治疗或实施了肾脏移植手术。</w:t>
      </w:r>
    </w:p>
    <w:p>
      <w:pPr>
        <w:pStyle w:val="BodyText"/>
        <w:tabs>
          <w:tab w:pos="2380" w:val="left" w:leader="none"/>
        </w:tabs>
        <w:spacing w:line="237" w:lineRule="auto" w:before="134"/>
        <w:ind w:left="2582" w:right="129" w:hanging="2441"/>
      </w:pPr>
      <w:r>
        <w:rPr>
          <w:rFonts w:ascii="Times New Roman" w:eastAsia="Times New Roman"/>
          <w:position w:val="12"/>
        </w:rPr>
        <w:t>4</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193" w:lineRule="exact" w:before="126"/>
      </w:pPr>
      <w:r>
        <w:rPr>
          <w:rFonts w:ascii="Times New Roman" w:eastAsia="Times New Roman"/>
        </w:rPr>
        <w:t>5</w:t>
      </w:r>
      <w:r>
        <w:rPr/>
        <w:t>、急性或亚急性重症肝炎 ：</w:t>
      </w:r>
    </w:p>
    <w:p>
      <w:pPr>
        <w:pStyle w:val="BodyText"/>
        <w:spacing w:line="178" w:lineRule="exact"/>
        <w:ind w:left="2582"/>
        <w:jc w:val="both"/>
      </w:pPr>
      <w:r>
        <w:rPr/>
        <w:t>指因肝炎病毒感染引起肝脏组织弥漫性坏死，导致急性肝功能衰竭，且经血清</w:t>
      </w:r>
    </w:p>
    <w:p>
      <w:pPr>
        <w:pStyle w:val="BodyText"/>
        <w:spacing w:line="234" w:lineRule="exact"/>
        <w:ind w:left="2582"/>
        <w:jc w:val="both"/>
      </w:pPr>
      <w:r>
        <w:rPr/>
        <w:t>学或病毒学检查证实，并须满足下列全部条件：</w:t>
      </w:r>
    </w:p>
    <w:p>
      <w:pPr>
        <w:pStyle w:val="BodyText"/>
        <w:spacing w:line="241" w:lineRule="exact"/>
        <w:ind w:left="2582"/>
        <w:jc w:val="both"/>
      </w:pPr>
      <w:r>
        <w:rPr/>
        <w:t>（</w:t>
      </w:r>
      <w:r>
        <w:rPr>
          <w:rFonts w:ascii="Times New Roman" w:eastAsia="Times New Roman"/>
        </w:rPr>
        <w:t>1</w:t>
      </w:r>
      <w:r>
        <w:rPr/>
        <w:t>）重度黄疸或黄疸迅速加重；</w:t>
      </w:r>
    </w:p>
    <w:p>
      <w:pPr>
        <w:pStyle w:val="BodyText"/>
        <w:spacing w:line="234" w:lineRule="exact"/>
        <w:ind w:left="2582"/>
        <w:jc w:val="both"/>
      </w:pPr>
      <w:r>
        <w:rPr/>
        <w:t>（</w:t>
      </w:r>
      <w:r>
        <w:rPr>
          <w:rFonts w:ascii="Times New Roman" w:eastAsia="Times New Roman"/>
        </w:rPr>
        <w:t>2</w:t>
      </w:r>
      <w:r>
        <w:rPr/>
        <w:t>）肝性脑病；</w:t>
      </w:r>
    </w:p>
    <w:p>
      <w:pPr>
        <w:pStyle w:val="BodyText"/>
        <w:spacing w:line="234" w:lineRule="exact"/>
        <w:ind w:left="258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jc w:val="both"/>
      </w:pPr>
      <w:r>
        <w:rPr/>
        <w:t>（</w:t>
      </w:r>
      <w:r>
        <w:rPr>
          <w:rFonts w:ascii="Times New Roman" w:eastAsia="Times New Roman"/>
        </w:rPr>
        <w:t>4</w:t>
      </w:r>
      <w:r>
        <w:rPr/>
        <w:t>）肝功能指标进行性恶化。</w:t>
      </w:r>
    </w:p>
    <w:p>
      <w:pPr>
        <w:pStyle w:val="BodyText"/>
        <w:tabs>
          <w:tab w:pos="2380" w:val="left" w:leader="none"/>
        </w:tabs>
        <w:spacing w:line="195" w:lineRule="exact" w:before="124"/>
      </w:pPr>
      <w:r>
        <w:rPr>
          <w:rFonts w:ascii="Times New Roman" w:eastAsia="Times New Roman"/>
        </w:rPr>
        <w:t>6</w:t>
      </w:r>
      <w:r>
        <w:rPr/>
        <w:t>、良性脑肿瘤</w:t>
        <w:tab/>
        <w:t>：</w:t>
      </w:r>
    </w:p>
    <w:p>
      <w:pPr>
        <w:pStyle w:val="BodyText"/>
        <w:spacing w:line="180" w:lineRule="exact"/>
        <w:ind w:left="2582"/>
        <w:jc w:val="both"/>
      </w:pPr>
      <w:r>
        <w:rPr/>
        <w:t>指脑的良性肿瘤，已经引起颅内压增高，临床表现为视神经乳头水肿、精神症</w:t>
      </w:r>
    </w:p>
    <w:p>
      <w:pPr>
        <w:pStyle w:val="BodyText"/>
        <w:spacing w:line="225" w:lineRule="auto" w:before="14"/>
        <w:ind w:left="2582" w:right="12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pStyle w:val="BodyText"/>
        <w:spacing w:line="193" w:lineRule="exact" w:before="139"/>
      </w:pPr>
      <w:r>
        <w:rPr>
          <w:rFonts w:ascii="Times New Roman" w:eastAsia="Times New Roman"/>
        </w:rPr>
        <w:t>7</w:t>
      </w:r>
      <w:r>
        <w:rPr/>
        <w:t>、慢性肝功能衰竭失代偿期：</w:t>
      </w:r>
    </w:p>
    <w:p>
      <w:pPr>
        <w:pStyle w:val="BodyText"/>
        <w:spacing w:line="178" w:lineRule="exact"/>
        <w:ind w:left="2582"/>
        <w:jc w:val="both"/>
      </w:pPr>
      <w:r>
        <w:rPr/>
        <w:t>指因慢性肝脏疾病导致肝功能衰竭。须满足下列全部条件：</w:t>
      </w:r>
    </w:p>
    <w:p>
      <w:pPr>
        <w:pStyle w:val="BodyText"/>
        <w:spacing w:line="241" w:lineRule="exact"/>
        <w:ind w:left="2582"/>
        <w:jc w:val="both"/>
      </w:pPr>
      <w:r>
        <w:rPr/>
        <w:t>（</w:t>
      </w:r>
      <w:r>
        <w:rPr>
          <w:rFonts w:ascii="Times New Roman" w:eastAsia="Times New Roman"/>
        </w:rPr>
        <w:t>1</w:t>
      </w:r>
      <w:r>
        <w:rPr/>
        <w:t>）持续性黄疸；</w:t>
      </w:r>
    </w:p>
    <w:p>
      <w:pPr>
        <w:pStyle w:val="BodyText"/>
        <w:spacing w:line="234" w:lineRule="exact"/>
        <w:ind w:left="2582"/>
        <w:jc w:val="both"/>
      </w:pPr>
      <w:r>
        <w:rPr/>
        <w:t>（</w:t>
      </w:r>
      <w:r>
        <w:rPr>
          <w:rFonts w:ascii="Times New Roman" w:eastAsia="Times New Roman"/>
        </w:rPr>
        <w:t>2</w:t>
      </w:r>
      <w:r>
        <w:rPr/>
        <w:t>）腹水；</w:t>
      </w:r>
    </w:p>
    <w:p>
      <w:pPr>
        <w:pStyle w:val="BodyText"/>
        <w:spacing w:line="234" w:lineRule="exact"/>
        <w:ind w:left="2582"/>
        <w:jc w:val="both"/>
      </w:pPr>
      <w:r>
        <w:rPr/>
        <w:t>（</w:t>
      </w:r>
      <w:r>
        <w:rPr>
          <w:rFonts w:ascii="Times New Roman" w:eastAsia="Times New Roman"/>
        </w:rPr>
        <w:t>3</w:t>
      </w:r>
      <w:r>
        <w:rPr/>
        <w:t>）肝性脑病；</w:t>
      </w:r>
    </w:p>
    <w:p>
      <w:pPr>
        <w:pStyle w:val="BodyText"/>
        <w:spacing w:line="223" w:lineRule="auto" w:before="10"/>
        <w:ind w:left="2582" w:right="1797"/>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23" w:lineRule="auto"/>
        <w:sectPr>
          <w:pgSz w:w="11960" w:h="16850"/>
          <w:pgMar w:header="897" w:footer="1001" w:top="1080" w:bottom="1200" w:left="1560" w:right="1600"/>
        </w:sectPr>
      </w:pPr>
    </w:p>
    <w:p>
      <w:pPr>
        <w:pStyle w:val="BodyText"/>
        <w:spacing w:line="223" w:lineRule="auto" w:before="156"/>
      </w:pPr>
      <w:r>
        <w:rPr>
          <w:rFonts w:ascii="Times New Roman" w:eastAsia="Times New Roman"/>
        </w:rPr>
        <w:t>8</w:t>
      </w:r>
      <w:r>
        <w:rPr>
          <w:spacing w:val="-3"/>
        </w:rPr>
        <w:t>、脑炎后遗症或脑膜炎后遗： 症</w:t>
      </w:r>
    </w:p>
    <w:p>
      <w:pPr>
        <w:pStyle w:val="BodyText"/>
        <w:ind w:left="0"/>
        <w:rPr>
          <w:sz w:val="20"/>
        </w:rPr>
      </w:pPr>
      <w:r>
        <w:rPr/>
        <w:br w:type="column"/>
      </w:r>
      <w:r>
        <w:rPr>
          <w:sz w:val="20"/>
        </w:rPr>
      </w:r>
    </w:p>
    <w:p>
      <w:pPr>
        <w:pStyle w:val="BodyText"/>
        <w:spacing w:line="237" w:lineRule="auto" w:before="136"/>
        <w:ind w:left="-19" w:right="7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2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600"/>
          <w:cols w:num="2" w:equalWidth="0">
            <w:col w:w="2561" w:space="40"/>
            <w:col w:w="6199"/>
          </w:cols>
        </w:sectPr>
      </w:pPr>
    </w:p>
    <w:p>
      <w:pPr>
        <w:pStyle w:val="BodyText"/>
        <w:spacing w:before="11"/>
        <w:ind w:left="0"/>
        <w:rPr>
          <w:sz w:val="15"/>
        </w:rPr>
      </w:pPr>
    </w:p>
    <w:p>
      <w:pPr>
        <w:spacing w:after="0"/>
        <w:rPr>
          <w:sz w:val="15"/>
        </w:rPr>
        <w:sectPr>
          <w:type w:val="continuous"/>
          <w:pgSz w:w="11960" w:h="16850"/>
          <w:pgMar w:top="280" w:bottom="1200" w:left="1560" w:right="1600"/>
        </w:sectPr>
      </w:pPr>
    </w:p>
    <w:p>
      <w:pPr>
        <w:pStyle w:val="BodyText"/>
        <w:tabs>
          <w:tab w:pos="2380" w:val="left" w:leader="none"/>
        </w:tabs>
        <w:spacing w:before="51"/>
      </w:pPr>
      <w:r>
        <w:rPr>
          <w:rFonts w:ascii="Times New Roman" w:eastAsia="Times New Roman"/>
        </w:rPr>
        <w:t>9</w:t>
      </w:r>
      <w:r>
        <w:rPr/>
        <w:t>、深度昏迷</w:t>
        <w:tab/>
        <w:t>：</w:t>
      </w:r>
    </w:p>
    <w:p>
      <w:pPr>
        <w:pStyle w:val="BodyText"/>
        <w:spacing w:before="3"/>
        <w:ind w:left="0"/>
        <w:rPr>
          <w:sz w:val="24"/>
        </w:rPr>
      </w:pPr>
      <w:r>
        <w:rPr/>
        <w:br w:type="column"/>
      </w:r>
      <w:r>
        <w:rPr>
          <w:sz w:val="24"/>
        </w:rPr>
      </w:r>
    </w:p>
    <w:p>
      <w:pPr>
        <w:pStyle w:val="BodyText"/>
        <w:spacing w:line="225" w:lineRule="auto" w:before="1"/>
        <w:ind w:left="-19" w:right="12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600"/>
          <w:cols w:num="2" w:equalWidth="0">
            <w:col w:w="2561" w:space="40"/>
            <w:col w:w="6199"/>
          </w:cols>
        </w:sectPr>
      </w:pPr>
    </w:p>
    <w:p>
      <w:pPr>
        <w:pStyle w:val="BodyText"/>
        <w:spacing w:before="5"/>
        <w:ind w:left="0"/>
        <w:rPr>
          <w:sz w:val="15"/>
        </w:rPr>
      </w:pPr>
    </w:p>
    <w:p>
      <w:pPr>
        <w:pStyle w:val="BodyText"/>
        <w:tabs>
          <w:tab w:pos="2380" w:val="left" w:leader="none"/>
        </w:tabs>
        <w:spacing w:line="225" w:lineRule="auto" w:before="64"/>
        <w:ind w:left="2582" w:right="124" w:hanging="2441"/>
        <w:jc w:val="both"/>
      </w:pPr>
      <w:r>
        <w:rPr>
          <w:rFonts w:ascii="Times New Roman" w:eastAsia="Times New Roman"/>
          <w:position w:val="13"/>
        </w:rPr>
        <w:t>10</w:t>
      </w:r>
      <w:r>
        <w:rPr>
          <w:position w:val="13"/>
        </w:rPr>
        <w:t>、双耳失聪</w:t>
        <w:tab/>
        <w:t>：</w:t>
      </w:r>
      <w:r>
        <w:rPr>
          <w:spacing w:val="-70"/>
          <w:position w:val="13"/>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pStyle w:val="BodyText"/>
        <w:tabs>
          <w:tab w:pos="2380" w:val="left" w:leader="none"/>
        </w:tabs>
        <w:spacing w:line="237" w:lineRule="auto" w:before="125"/>
        <w:ind w:left="2582" w:right="129" w:hanging="2441"/>
        <w:jc w:val="both"/>
      </w:pPr>
      <w:r>
        <w:rPr>
          <w:rFonts w:ascii="Times New Roman" w:eastAsia="Times New Roman"/>
          <w:spacing w:val="-3"/>
          <w:position w:val="14"/>
        </w:rPr>
        <w:t>11</w:t>
      </w:r>
      <w:r>
        <w:rPr>
          <w:position w:val="14"/>
        </w:rPr>
        <w:t>、双目失明</w:t>
        <w:tab/>
        <w:t>：</w:t>
      </w:r>
      <w:r>
        <w:rPr>
          <w:spacing w:val="-70"/>
          <w:position w:val="14"/>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7"/>
        <w:ind w:left="2582" w:right="13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1"/>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spacing w:after="0" w:line="246" w:lineRule="exact"/>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189" w:lineRule="exact" w:before="50"/>
      </w:pPr>
      <w:r>
        <w:rPr>
          <w:rFonts w:ascii="Times New Roman" w:eastAsia="Times New Roman"/>
        </w:rPr>
        <w:t>12</w:t>
      </w:r>
      <w:r>
        <w:rPr/>
        <w:t>、瘫痪</w:t>
        <w:tab/>
        <w:t>：</w:t>
      </w:r>
    </w:p>
    <w:p>
      <w:pPr>
        <w:pStyle w:val="BodyText"/>
        <w:spacing w:line="174" w:lineRule="exact"/>
        <w:ind w:left="2582"/>
      </w:pPr>
      <w:r>
        <w:rPr/>
        <w:t>指因疾病或意外伤害导致两肢或两肢以上肢体机能永久完全丧失。肢体机能永</w:t>
      </w:r>
    </w:p>
    <w:p>
      <w:pPr>
        <w:pStyle w:val="BodyText"/>
        <w:spacing w:line="225" w:lineRule="auto" w:before="14"/>
        <w:ind w:left="2582" w:right="149"/>
      </w:pPr>
      <w:r>
        <w:rPr/>
        <w:t>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25" w:lineRule="auto"/>
        <w:sectPr>
          <w:footerReference w:type="default" r:id="rId8"/>
          <w:pgSz w:w="11960" w:h="16850"/>
          <w:pgMar w:footer="1001" w:header="897" w:top="1080" w:bottom="1200" w:left="1560" w:right="1580"/>
          <w:pgNumType w:start="10"/>
        </w:sectPr>
      </w:pPr>
    </w:p>
    <w:p>
      <w:pPr>
        <w:pStyle w:val="BodyText"/>
        <w:tabs>
          <w:tab w:pos="2380" w:val="left" w:leader="none"/>
        </w:tabs>
        <w:spacing w:before="126"/>
      </w:pPr>
      <w:r>
        <w:rPr>
          <w:rFonts w:ascii="Times New Roman" w:eastAsia="Times New Roman"/>
        </w:rPr>
        <w:t>13</w:t>
      </w:r>
      <w:r>
        <w:rPr/>
        <w:t>、心脏瓣膜手术</w:t>
        <w:tab/>
        <w:t>：</w:t>
      </w:r>
    </w:p>
    <w:p>
      <w:pPr>
        <w:pStyle w:val="BodyText"/>
        <w:ind w:left="0"/>
      </w:pPr>
      <w:r>
        <w:rPr/>
        <w:br w:type="column"/>
      </w:r>
      <w:r>
        <w:rPr/>
      </w:r>
    </w:p>
    <w:p>
      <w:pPr>
        <w:pStyle w:val="BodyText"/>
        <w:spacing w:before="133"/>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spacing w:before="8"/>
        <w:ind w:left="0"/>
        <w:rPr>
          <w:sz w:val="14"/>
        </w:rPr>
      </w:pPr>
    </w:p>
    <w:p>
      <w:pPr>
        <w:pStyle w:val="BodyText"/>
        <w:tabs>
          <w:tab w:pos="2380" w:val="left" w:leader="none"/>
        </w:tabs>
        <w:spacing w:line="225" w:lineRule="auto" w:before="65"/>
        <w:ind w:left="2582" w:right="146" w:hanging="2441"/>
        <w:jc w:val="both"/>
      </w:pPr>
      <w:r>
        <w:rPr>
          <w:rFonts w:ascii="Times New Roman" w:eastAsia="Times New Roman"/>
        </w:rPr>
        <w:t>14</w:t>
      </w:r>
      <w:r>
        <w:rPr/>
        <w:t>、严重脑损伤</w:t>
        <w:tab/>
        <w:t>：</w:t>
      </w:r>
      <w:r>
        <w:rPr>
          <w:spacing w:val="-71"/>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w w:val="100"/>
        </w:rPr>
        <w:t>须</w:t>
      </w:r>
      <w:r>
        <w:rPr>
          <w:spacing w:val="1"/>
          <w:w w:val="100"/>
        </w:rPr>
        <w:t>由</w:t>
      </w:r>
      <w:r>
        <w:rPr>
          <w:w w:val="100"/>
        </w:rPr>
        <w:t>头颅断层扫</w:t>
      </w:r>
      <w:r>
        <w:rPr>
          <w:spacing w:val="1"/>
          <w:w w:val="100"/>
        </w:rPr>
        <w:t>描</w:t>
      </w:r>
      <w:r>
        <w:rPr>
          <w:spacing w:val="-1"/>
          <w:w w:val="100"/>
        </w:rPr>
        <w:t>（</w:t>
      </w:r>
      <w:r>
        <w:rPr>
          <w:rFonts w:ascii="Times New Roman" w:eastAsia="Times New Roman"/>
          <w:spacing w:val="1"/>
          <w:w w:val="100"/>
        </w:rPr>
        <w:t>C</w:t>
      </w:r>
      <w:r>
        <w:rPr>
          <w:rFonts w:ascii="Times New Roman" w:eastAsia="Times New Roman"/>
          <w:w w:val="100"/>
        </w:rPr>
        <w:t>T</w:t>
      </w:r>
      <w:r>
        <w:rPr>
          <w:spacing w:val="-89"/>
          <w:w w:val="100"/>
        </w:rPr>
        <w:t>）</w:t>
      </w:r>
      <w:r>
        <w:rPr>
          <w:spacing w:val="-1"/>
          <w:w w:val="100"/>
        </w:rPr>
        <w:t>、</w:t>
      </w:r>
      <w:r>
        <w:rPr>
          <w:w w:val="100"/>
        </w:rPr>
        <w:t>核磁共振</w:t>
      </w:r>
      <w:r>
        <w:rPr>
          <w:spacing w:val="1"/>
          <w:w w:val="100"/>
        </w:rPr>
        <w:t>检</w:t>
      </w:r>
      <w:r>
        <w:rPr>
          <w:spacing w:val="-1"/>
          <w:w w:val="100"/>
        </w:rPr>
        <w:t>查（</w:t>
      </w:r>
      <w:r>
        <w:rPr>
          <w:rFonts w:ascii="Times New Roman" w:eastAsia="Times New Roman"/>
          <w:w w:val="100"/>
        </w:rPr>
        <w:t>MRI</w:t>
      </w:r>
      <w:r>
        <w:rPr>
          <w:spacing w:val="-1"/>
          <w:w w:val="100"/>
        </w:rPr>
        <w:t>）</w:t>
      </w:r>
      <w:r>
        <w:rPr>
          <w:spacing w:val="1"/>
          <w:w w:val="100"/>
        </w:rPr>
        <w:t>或正</w:t>
      </w:r>
      <w:r>
        <w:rPr>
          <w:w w:val="100"/>
        </w:rPr>
        <w:t>电子发射</w:t>
      </w:r>
      <w:r>
        <w:rPr>
          <w:spacing w:val="1"/>
          <w:w w:val="100"/>
        </w:rPr>
        <w:t>断</w:t>
      </w:r>
      <w:r>
        <w:rPr>
          <w:w w:val="100"/>
        </w:rPr>
        <w:t>层扫</w:t>
      </w:r>
      <w:r>
        <w:rPr>
          <w:spacing w:val="-13"/>
        </w:rPr>
        <w:t>描</w:t>
      </w:r>
      <w:r>
        <w:rPr>
          <w:spacing w:val="-3"/>
        </w:rPr>
        <w:t>（</w:t>
      </w:r>
      <w:r>
        <w:rPr>
          <w:rFonts w:ascii="Times New Roman" w:eastAsia="Times New Roman"/>
          <w:spacing w:val="-3"/>
        </w:rPr>
        <w:t>PET</w:t>
      </w:r>
      <w:r>
        <w:rPr>
          <w:spacing w:val="-3"/>
        </w:rPr>
        <w:t>）</w:t>
      </w:r>
      <w:r>
        <w:rPr/>
        <w:t>等影像学检查证实</w:t>
      </w:r>
      <w:r>
        <w:rPr>
          <w:spacing w:val="-13"/>
        </w:rPr>
        <w:t>。</w:t>
      </w:r>
      <w:r>
        <w:rPr/>
        <w:t>神经系统永久性的功能障碍</w:t>
      </w:r>
      <w:r>
        <w:rPr>
          <w:spacing w:val="-13"/>
        </w:rPr>
        <w:t>，</w:t>
      </w:r>
      <w:r>
        <w:rPr/>
        <w:t>指脑损伤</w:t>
      </w:r>
      <w:r>
        <w:rPr>
          <w:spacing w:val="-46"/>
        </w:rPr>
        <w:t> </w:t>
      </w:r>
      <w:r>
        <w:rPr>
          <w:rFonts w:ascii="Times New Roman" w:eastAsia="Times New Roman"/>
        </w:rPr>
        <w:t>180</w:t>
      </w:r>
      <w:r>
        <w:rPr>
          <w:rFonts w:ascii="Times New Roman" w:eastAsia="Times New Roman"/>
          <w:spacing w:val="0"/>
        </w:rPr>
        <w:t> </w:t>
      </w:r>
      <w:r>
        <w:rPr/>
        <w:t>天</w:t>
      </w:r>
      <w:r>
        <w:rPr>
          <w:spacing w:val="-1"/>
        </w:rPr>
        <w:t>后，仍</w:t>
      </w:r>
      <w:r>
        <w:rPr/>
        <w:t>遗留下列一种或一种以上障碍：</w:t>
      </w:r>
    </w:p>
    <w:p>
      <w:pPr>
        <w:pStyle w:val="BodyText"/>
        <w:spacing w:line="241"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3" w:lineRule="auto" w:before="10"/>
        <w:ind w:left="2582" w:right="147"/>
      </w:pPr>
      <w:r>
        <w:rPr/>
        <w:t>（</w:t>
      </w:r>
      <w:r>
        <w:rPr>
          <w:rFonts w:ascii="Times New Roman" w:eastAsia="Times New Roman"/>
        </w:rPr>
        <w:t>3</w:t>
      </w:r>
      <w:r>
        <w:rPr/>
        <w:t>）自主生活能力完全丧失，无法独立完成六项基本日常生活活动中的三项或三项以上。</w:t>
      </w:r>
    </w:p>
    <w:p>
      <w:pPr>
        <w:pStyle w:val="BodyText"/>
        <w:spacing w:before="8"/>
        <w:ind w:left="0"/>
        <w:rPr>
          <w:sz w:val="23"/>
        </w:rPr>
      </w:pPr>
    </w:p>
    <w:p>
      <w:pPr>
        <w:pStyle w:val="BodyText"/>
        <w:spacing w:line="223" w:lineRule="auto" w:before="1"/>
        <w:ind w:left="2582" w:right="235" w:hanging="2441"/>
        <w:jc w:val="both"/>
      </w:pPr>
      <w:r>
        <w:rPr>
          <w:rFonts w:ascii="Times New Roman" w:hAnsi="Times New Roman" w:eastAsia="Times New Roman"/>
          <w:position w:val="12"/>
        </w:rPr>
        <w:t>15</w:t>
      </w:r>
      <w:r>
        <w:rPr>
          <w:spacing w:val="-1"/>
          <w:position w:val="12"/>
        </w:rPr>
        <w:t>、严重Ⅲ度烧伤       ： </w:t>
      </w:r>
      <w:r>
        <w:rPr>
          <w:spacing w:val="-7"/>
        </w:rPr>
        <w:t>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spacing w:after="0" w:line="223" w:lineRule="auto"/>
        <w:jc w:val="both"/>
        <w:sectPr>
          <w:type w:val="continuous"/>
          <w:pgSz w:w="11960" w:h="16850"/>
          <w:pgMar w:top="280" w:bottom="1200" w:left="1560" w:right="1580"/>
        </w:sectPr>
      </w:pPr>
    </w:p>
    <w:p>
      <w:pPr>
        <w:pStyle w:val="BodyText"/>
        <w:tabs>
          <w:tab w:pos="2380" w:val="left" w:leader="none"/>
        </w:tabs>
        <w:spacing w:before="127"/>
      </w:pPr>
      <w:r>
        <w:rPr>
          <w:rFonts w:ascii="Times New Roman" w:eastAsia="Times New Roman"/>
        </w:rPr>
        <w:t>16</w:t>
      </w:r>
      <w:r>
        <w:rPr/>
        <w:t>、重型再生障碍性贫血</w:t>
        <w:tab/>
        <w:t>：</w:t>
      </w:r>
    </w:p>
    <w:p>
      <w:pPr>
        <w:pStyle w:val="BodyText"/>
        <w:spacing w:before="11"/>
        <w:ind w:left="0"/>
        <w:rPr>
          <w:sz w:val="25"/>
        </w:rPr>
      </w:pPr>
      <w:r>
        <w:rPr/>
        <w:br w:type="column"/>
      </w:r>
      <w:r>
        <w:rPr>
          <w:sz w:val="25"/>
        </w:rPr>
      </w:r>
    </w:p>
    <w:p>
      <w:pPr>
        <w:pStyle w:val="BodyText"/>
        <w:spacing w:line="237" w:lineRule="auto"/>
        <w:ind w:left="-19" w:right="154"/>
      </w:pPr>
      <w:r>
        <w:rPr/>
        <w:t>指因骨髓造血功能慢性持续性衰竭导致的贫血、中性粒细胞减少及血小板减少。须满足下列全部条件：</w:t>
      </w:r>
    </w:p>
    <w:p>
      <w:pPr>
        <w:pStyle w:val="BodyText"/>
        <w:spacing w:line="241"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2"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2" w:lineRule="exact"/>
        <w:sectPr>
          <w:type w:val="continuous"/>
          <w:pgSz w:w="11960" w:h="16850"/>
          <w:pgMar w:top="280" w:bottom="1200" w:left="1560" w:right="1580"/>
          <w:cols w:num="2" w:equalWidth="0">
            <w:col w:w="2561" w:space="40"/>
            <w:col w:w="6219"/>
          </w:cols>
        </w:sectPr>
      </w:pPr>
    </w:p>
    <w:p>
      <w:pPr>
        <w:pStyle w:val="BodyText"/>
        <w:spacing w:before="11"/>
        <w:ind w:left="0"/>
        <w:rPr>
          <w:sz w:val="10"/>
        </w:rPr>
      </w:pPr>
    </w:p>
    <w:p>
      <w:pPr>
        <w:pStyle w:val="BodyText"/>
        <w:tabs>
          <w:tab w:pos="2380" w:val="left" w:leader="none"/>
        </w:tabs>
        <w:spacing w:line="191" w:lineRule="exact" w:before="50"/>
      </w:pPr>
      <w:r>
        <w:rPr>
          <w:rFonts w:ascii="Times New Roman" w:eastAsia="Times New Roman"/>
        </w:rPr>
        <w:t>17</w:t>
      </w:r>
      <w:r>
        <w:rPr/>
        <w:t>、主动脉手术</w:t>
        <w:tab/>
        <w:t>：</w:t>
      </w:r>
    </w:p>
    <w:p>
      <w:pPr>
        <w:pStyle w:val="BodyText"/>
        <w:spacing w:line="177" w:lineRule="exact"/>
        <w:ind w:left="2582"/>
      </w:pPr>
      <w:r>
        <w:rPr/>
        <w:t>指为治疗主动脉疾病，实际实施了开胸或开腹进行的切除、置换、修补病损主</w:t>
      </w:r>
    </w:p>
    <w:p>
      <w:pPr>
        <w:pStyle w:val="BodyText"/>
        <w:spacing w:line="237" w:lineRule="auto" w:before="2"/>
        <w:ind w:left="2582" w:right="95"/>
      </w:pPr>
      <w:r>
        <w:rPr/>
        <w:t>动脉血管的手术。主动脉指胸主动脉和腹主动脉，不包括胸主动脉和腹主动脉的分支血管。</w:t>
      </w:r>
    </w:p>
    <w:p>
      <w:pPr>
        <w:pStyle w:val="BodyText"/>
        <w:spacing w:line="235" w:lineRule="exact"/>
        <w:ind w:left="2582"/>
      </w:pPr>
      <w:r>
        <w:rPr/>
        <w:t>动脉内血管成形术不在保障范围内。</w:t>
      </w:r>
    </w:p>
    <w:p>
      <w:pPr>
        <w:pStyle w:val="BodyText"/>
        <w:ind w:left="0"/>
      </w:pPr>
    </w:p>
    <w:p>
      <w:pPr>
        <w:pStyle w:val="BodyText"/>
        <w:spacing w:before="9"/>
        <w:ind w:left="0"/>
      </w:pPr>
    </w:p>
    <w:p>
      <w:pPr>
        <w:pStyle w:val="BodyText"/>
        <w:spacing w:line="316" w:lineRule="auto"/>
        <w:ind w:right="1468"/>
      </w:pPr>
      <w:r>
        <w:rPr/>
        <w:t>以上重大疾病使用的定义为由中国保险行业协会所制定的统一的疾病定义，而以下疾病定义是我们参考再保险公司提供的疾病定义所制定的。</w:t>
      </w:r>
    </w:p>
    <w:p>
      <w:pPr>
        <w:pStyle w:val="BodyText"/>
        <w:spacing w:before="6"/>
        <w:ind w:left="0"/>
      </w:pPr>
    </w:p>
    <w:p>
      <w:pPr>
        <w:spacing w:after="0"/>
        <w:sectPr>
          <w:type w:val="continuous"/>
          <w:pgSz w:w="11960" w:h="16850"/>
          <w:pgMar w:top="280" w:bottom="1200" w:left="1560" w:right="1580"/>
        </w:sectPr>
      </w:pPr>
    </w:p>
    <w:p>
      <w:pPr>
        <w:pStyle w:val="BodyText"/>
        <w:spacing w:line="223" w:lineRule="auto" w:before="68"/>
      </w:pPr>
      <w:r>
        <w:rPr>
          <w:rFonts w:ascii="Times New Roman" w:eastAsia="Times New Roman"/>
        </w:rPr>
        <w:t>18</w:t>
      </w:r>
      <w:r>
        <w:rPr/>
        <w:t>、</w:t>
      </w:r>
      <w:r>
        <w:rPr>
          <w:rFonts w:ascii="Times New Roman" w:eastAsia="Times New Roman"/>
        </w:rPr>
        <w:t>1 </w:t>
      </w:r>
      <w:r>
        <w:rPr/>
        <w:t>型糖尿病（胰岛素依赖型糖尿病）</w:t>
      </w:r>
    </w:p>
    <w:p>
      <w:pPr>
        <w:pStyle w:val="BodyText"/>
        <w:spacing w:line="237" w:lineRule="auto" w:before="53"/>
        <w:ind w:right="93"/>
      </w:pPr>
      <w:r>
        <w:rPr/>
        <w:br w:type="column"/>
      </w:r>
      <w:r>
        <w:rPr/>
        <w:t>是指由于胰岛素分泌绝对不足引起的慢性糖、脂肪、蛋白质代谢异常，须由本公司认可的儿科专科医生作出诊断，并持续性的胰岛素治疗６个月以上。</w:t>
      </w:r>
    </w:p>
    <w:p>
      <w:pPr>
        <w:spacing w:after="0" w:line="237" w:lineRule="auto"/>
        <w:sectPr>
          <w:type w:val="continuous"/>
          <w:pgSz w:w="11960" w:h="16850"/>
          <w:pgMar w:top="280" w:bottom="1200" w:left="1560" w:right="1580"/>
          <w:cols w:num="2" w:equalWidth="0">
            <w:col w:w="2376" w:space="65"/>
            <w:col w:w="6379"/>
          </w:cols>
        </w:sectPr>
      </w:pPr>
    </w:p>
    <w:p>
      <w:pPr>
        <w:pStyle w:val="BodyText"/>
        <w:spacing w:before="5"/>
        <w:ind w:left="0"/>
        <w:rPr>
          <w:sz w:val="15"/>
        </w:rPr>
      </w:pPr>
    </w:p>
    <w:p>
      <w:pPr>
        <w:pStyle w:val="BodyText"/>
        <w:tabs>
          <w:tab w:pos="2581" w:val="left" w:leader="none"/>
        </w:tabs>
        <w:spacing w:line="235" w:lineRule="auto" w:before="55"/>
        <w:ind w:left="2582" w:right="146" w:hanging="2441"/>
        <w:jc w:val="both"/>
      </w:pPr>
      <w:r>
        <w:rPr>
          <w:rFonts w:ascii="Times New Roman" w:eastAsia="Times New Roman"/>
        </w:rPr>
        <w:t>19</w:t>
      </w:r>
      <w:r>
        <w:rPr/>
        <w:t>、川崎病</w:t>
        <w:tab/>
      </w:r>
      <w:r>
        <w:rPr>
          <w:spacing w:val="-1"/>
        </w:rPr>
        <w:t>是</w:t>
      </w:r>
      <w:r>
        <w:rPr/>
        <w:t>指一种以损伤冠状动脉血管为主</w:t>
      </w:r>
      <w:r>
        <w:rPr>
          <w:spacing w:val="-41"/>
        </w:rPr>
        <w:t>，</w:t>
      </w:r>
      <w:r>
        <w:rPr/>
        <w:t>可同时合并其他大血管损害的系统性血管炎</w:t>
      </w:r>
      <w:r>
        <w:rPr>
          <w:spacing w:val="-8"/>
        </w:rPr>
        <w:t>。</w:t>
      </w:r>
      <w:r>
        <w:rPr/>
        <w:t>本病必须由儿科专科医生确诊</w:t>
      </w:r>
      <w:r>
        <w:rPr>
          <w:spacing w:val="-8"/>
        </w:rPr>
        <w:t>，</w:t>
      </w:r>
      <w:r>
        <w:rPr/>
        <w:t>并表现有临床症</w:t>
      </w:r>
      <w:r>
        <w:rPr>
          <w:spacing w:val="-8"/>
        </w:rPr>
        <w:t>状</w:t>
      </w:r>
      <w:r>
        <w:rPr/>
        <w:t>（</w:t>
      </w:r>
      <w:r>
        <w:rPr>
          <w:spacing w:val="-3"/>
        </w:rPr>
        <w:t>发</w:t>
      </w:r>
      <w:r>
        <w:rPr/>
        <w:t>热</w:t>
      </w:r>
      <w:r>
        <w:rPr>
          <w:spacing w:val="-8"/>
        </w:rPr>
        <w:t>，</w:t>
      </w:r>
      <w:r>
        <w:rPr/>
        <w:t>结膜炎</w:t>
      </w:r>
      <w:r>
        <w:rPr>
          <w:spacing w:val="-8"/>
        </w:rPr>
        <w:t>，</w:t>
      </w:r>
      <w:r>
        <w:rPr/>
        <w:t>皮肤损伤</w:t>
      </w:r>
      <w:r>
        <w:rPr>
          <w:spacing w:val="-10"/>
        </w:rPr>
        <w:t>，</w:t>
      </w:r>
      <w:r>
        <w:rPr/>
        <w:t>淋巴结病变</w:t>
      </w:r>
      <w:r>
        <w:rPr>
          <w:spacing w:val="-10"/>
        </w:rPr>
        <w:t>，</w:t>
      </w:r>
      <w:r>
        <w:rPr/>
        <w:t>关节炎或精神易激惹症状</w:t>
      </w:r>
      <w:r>
        <w:rPr>
          <w:spacing w:val="-10"/>
        </w:rPr>
        <w:t>）</w:t>
      </w:r>
      <w:r>
        <w:rPr/>
        <w:t>和一个可能发生的并发</w:t>
      </w:r>
      <w:r>
        <w:rPr>
          <w:spacing w:val="-10"/>
        </w:rPr>
        <w:t>症</w:t>
      </w:r>
      <w:r>
        <w:rPr/>
        <w:t>（心肌炎</w:t>
      </w:r>
      <w:r>
        <w:rPr>
          <w:spacing w:val="-8"/>
        </w:rPr>
        <w:t>，</w:t>
      </w:r>
      <w:r>
        <w:rPr/>
        <w:t>心包炎</w:t>
      </w:r>
      <w:r>
        <w:rPr>
          <w:spacing w:val="-8"/>
        </w:rPr>
        <w:t>，</w:t>
      </w:r>
      <w:r>
        <w:rPr/>
        <w:t>缺血性心脏病</w:t>
      </w:r>
      <w:r>
        <w:rPr>
          <w:spacing w:val="-8"/>
        </w:rPr>
        <w:t>，</w:t>
      </w:r>
      <w:r>
        <w:rPr/>
        <w:t>二尖瓣关闭不全</w:t>
      </w:r>
      <w:r>
        <w:rPr>
          <w:spacing w:val="-8"/>
        </w:rPr>
        <w:t>，</w:t>
      </w:r>
      <w:r>
        <w:rPr/>
        <w:t>冠状动脉瘤</w:t>
      </w:r>
      <w:r>
        <w:rPr>
          <w:spacing w:val="-8"/>
        </w:rPr>
        <w:t>，</w:t>
      </w:r>
      <w:r>
        <w:rPr/>
        <w:t>心脏衰竭</w:t>
      </w:r>
      <w:r>
        <w:rPr>
          <w:spacing w:val="-8"/>
        </w:rPr>
        <w:t>，</w:t>
      </w:r>
      <w:r>
        <w:rPr/>
        <w:t>胆</w:t>
      </w:r>
      <w:r>
        <w:rPr>
          <w:spacing w:val="-1"/>
        </w:rPr>
        <w:t>囊积液，血小板</w:t>
      </w:r>
      <w:r>
        <w:rPr/>
        <w:t>增多症，脑膜炎）的医疗记录。</w:t>
      </w:r>
    </w:p>
    <w:p>
      <w:pPr>
        <w:pStyle w:val="BodyText"/>
        <w:spacing w:before="8"/>
        <w:ind w:left="0"/>
        <w:rPr>
          <w:sz w:val="16"/>
        </w:rPr>
      </w:pPr>
    </w:p>
    <w:p>
      <w:pPr>
        <w:spacing w:after="0"/>
        <w:rPr>
          <w:sz w:val="16"/>
        </w:rPr>
        <w:sectPr>
          <w:type w:val="continuous"/>
          <w:pgSz w:w="11960" w:h="16850"/>
          <w:pgMar w:top="280" w:bottom="1200" w:left="1560" w:right="1580"/>
        </w:sectPr>
      </w:pPr>
    </w:p>
    <w:p>
      <w:pPr>
        <w:pStyle w:val="BodyText"/>
        <w:spacing w:line="223" w:lineRule="auto" w:before="68"/>
      </w:pPr>
      <w:r>
        <w:rPr>
          <w:rFonts w:ascii="Times New Roman" w:eastAsia="Times New Roman"/>
        </w:rPr>
        <w:t>20</w:t>
      </w:r>
      <w:r>
        <w:rPr/>
        <w:t>、全身型幼年类风湿性关节炎（斯蒂尔病）</w:t>
      </w:r>
    </w:p>
    <w:p>
      <w:pPr>
        <w:pStyle w:val="BodyText"/>
        <w:spacing w:line="235" w:lineRule="auto" w:before="55"/>
        <w:ind w:right="145"/>
        <w:jc w:val="both"/>
      </w:pPr>
      <w:r>
        <w:rPr/>
        <w:br w:type="column"/>
      </w:r>
      <w:r>
        <w:rPr>
          <w:spacing w:val="-3"/>
        </w:rPr>
        <w:t>是指小儿及青少年时期的一种全身结缔组织病。可表现为驰张热、皮疹、关节</w:t>
      </w:r>
      <w:r>
        <w:rPr>
          <w:spacing w:val="-8"/>
        </w:rPr>
        <w:t>炎、脾肿大、淋巴结肿大、浆膜炎、体重减轻、中性粒细胞增多等，全身症状</w:t>
      </w:r>
      <w:r>
        <w:rPr>
          <w:spacing w:val="-11"/>
        </w:rPr>
        <w:t>可以先于关节炎出现。本病须经本公司认可的儿科类风湿病专家出具医学诊断</w:t>
      </w:r>
      <w:r>
        <w:rPr>
          <w:spacing w:val="-10"/>
        </w:rPr>
        <w:t>证明，保障仅限于症状持续 </w:t>
      </w:r>
      <w:r>
        <w:rPr>
          <w:rFonts w:ascii="Times New Roman" w:eastAsia="Times New Roman"/>
        </w:rPr>
        <w:t>6 </w:t>
      </w:r>
      <w:r>
        <w:rPr>
          <w:spacing w:val="-4"/>
        </w:rPr>
        <w:t>个月以上，并因病情严重在医生的建议下已接受</w:t>
      </w:r>
      <w:r>
        <w:rPr/>
        <w:t>以治疗为目的的膝或髋关节的置换手术。其他类型的儿童类风湿性关节炎除</w:t>
      </w:r>
      <w:r>
        <w:rPr>
          <w:spacing w:val="-1"/>
        </w:rPr>
        <w:t>外。</w:t>
      </w:r>
    </w:p>
    <w:p>
      <w:pPr>
        <w:spacing w:after="0" w:line="235" w:lineRule="auto"/>
        <w:jc w:val="both"/>
        <w:sectPr>
          <w:type w:val="continuous"/>
          <w:pgSz w:w="11960" w:h="16850"/>
          <w:pgMar w:top="280" w:bottom="1200" w:left="1560" w:right="1580"/>
          <w:cols w:num="2" w:equalWidth="0">
            <w:col w:w="2382" w:space="59"/>
            <w:col w:w="6379"/>
          </w:cols>
        </w:sectPr>
      </w:pPr>
    </w:p>
    <w:p>
      <w:pPr>
        <w:pStyle w:val="BodyText"/>
        <w:ind w:left="0"/>
        <w:rPr>
          <w:sz w:val="20"/>
        </w:rPr>
      </w:pPr>
    </w:p>
    <w:p>
      <w:pPr>
        <w:pStyle w:val="BodyText"/>
        <w:spacing w:before="10"/>
        <w:ind w:left="0"/>
        <w:rPr>
          <w:sz w:val="20"/>
        </w:rPr>
      </w:pPr>
    </w:p>
    <w:p>
      <w:pPr>
        <w:pStyle w:val="BodyText"/>
        <w:tabs>
          <w:tab w:pos="2581" w:val="left" w:leader="none"/>
        </w:tabs>
        <w:spacing w:line="241" w:lineRule="exact" w:before="50"/>
      </w:pPr>
      <w:r>
        <w:rPr>
          <w:rFonts w:ascii="Times New Roman" w:eastAsia="Times New Roman"/>
        </w:rPr>
        <w:t>21</w:t>
      </w:r>
      <w:r>
        <w:rPr/>
        <w:t>、严重心肌炎</w:t>
        <w:tab/>
        <w:t>心肌的严重感染而导致至少持续</w:t>
      </w:r>
      <w:r>
        <w:rPr>
          <w:rFonts w:ascii="Times New Roman" w:eastAsia="Times New Roman"/>
        </w:rPr>
        <w:t>6</w:t>
      </w:r>
      <w:r>
        <w:rPr>
          <w:rFonts w:ascii="Times New Roman" w:eastAsia="Times New Roman"/>
          <w:spacing w:val="43"/>
        </w:rPr>
        <w:t> </w:t>
      </w:r>
      <w:r>
        <w:rPr/>
        <w:t>个月的心功能损害。严</w:t>
      </w:r>
      <w:r>
        <w:rPr>
          <w:spacing w:val="-3"/>
        </w:rPr>
        <w:t>重</w:t>
      </w:r>
      <w:r>
        <w:rPr/>
        <w:t>的心功</w:t>
      </w:r>
    </w:p>
    <w:p>
      <w:pPr>
        <w:pStyle w:val="BodyText"/>
        <w:spacing w:line="227" w:lineRule="exact"/>
        <w:ind w:left="2582"/>
      </w:pPr>
      <w:r>
        <w:rPr/>
        <w:t>能损害必须具备如下条件：</w:t>
      </w:r>
    </w:p>
    <w:p>
      <w:pPr>
        <w:pStyle w:val="BodyText"/>
        <w:spacing w:line="241" w:lineRule="exact"/>
        <w:ind w:left="2582"/>
      </w:pPr>
      <w:r>
        <w:rPr/>
        <w:t>（</w:t>
      </w:r>
      <w:r>
        <w:rPr>
          <w:rFonts w:ascii="Times New Roman" w:eastAsia="Times New Roman"/>
        </w:rPr>
        <w:t>1</w:t>
      </w:r>
      <w:r>
        <w:rPr/>
        <w:t>）左室腔扩大至少达到正常值上限的</w:t>
      </w:r>
      <w:r>
        <w:rPr>
          <w:rFonts w:ascii="Times New Roman" w:eastAsia="Times New Roman"/>
        </w:rPr>
        <w:t>120%</w:t>
      </w:r>
      <w:r>
        <w:rPr/>
        <w:t>；</w:t>
      </w:r>
    </w:p>
    <w:p>
      <w:pPr>
        <w:pStyle w:val="BodyText"/>
        <w:spacing w:line="234" w:lineRule="exact"/>
        <w:ind w:left="2582"/>
      </w:pPr>
      <w:r>
        <w:rPr/>
        <w:t>（</w:t>
      </w:r>
      <w:r>
        <w:rPr>
          <w:rFonts w:ascii="Times New Roman" w:eastAsia="Times New Roman"/>
        </w:rPr>
        <w:t>2</w:t>
      </w:r>
      <w:r>
        <w:rPr/>
        <w:t>）左室射血分数持续性低于 </w:t>
      </w:r>
      <w:r>
        <w:rPr>
          <w:rFonts w:ascii="Times New Roman" w:eastAsia="Times New Roman"/>
        </w:rPr>
        <w:t>40%</w:t>
      </w:r>
      <w:r>
        <w:rPr/>
        <w:t>。</w:t>
      </w:r>
    </w:p>
    <w:p>
      <w:pPr>
        <w:pStyle w:val="BodyText"/>
        <w:spacing w:line="232" w:lineRule="auto" w:before="1"/>
        <w:ind w:left="2582" w:right="126" w:hanging="2441"/>
        <w:jc w:val="both"/>
      </w:pPr>
      <w:r>
        <w:rPr>
          <w:rFonts w:ascii="Times New Roman" w:eastAsia="Times New Roman"/>
        </w:rPr>
        <w:t>22</w:t>
      </w:r>
      <w:r>
        <w:rPr>
          <w:spacing w:val="-2"/>
        </w:rPr>
        <w:t>、严重原发性肺动脉高压  指不明原因的肺动脉压力持续性增高，进行性发展而导致的慢性疾病，已经造</w:t>
      </w:r>
      <w:r>
        <w:rPr>
          <w:spacing w:val="-5"/>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2" w:lineRule="auto"/>
        <w:jc w:val="both"/>
        <w:sectPr>
          <w:pgSz w:w="11960" w:h="16850"/>
          <w:pgMar w:header="897" w:footer="1001" w:top="1080" w:bottom="1200" w:left="1560" w:right="1600"/>
        </w:sectPr>
      </w:pPr>
    </w:p>
    <w:p>
      <w:pPr>
        <w:pStyle w:val="BodyText"/>
        <w:spacing w:line="223" w:lineRule="auto" w:before="34"/>
      </w:pPr>
      <w:r>
        <w:rPr>
          <w:rFonts w:ascii="Times New Roman" w:eastAsia="Times New Roman"/>
        </w:rPr>
        <w:t>23</w:t>
      </w:r>
      <w:r>
        <w:rPr/>
        <w:t>、经输血导致的人类免疫缺陷病毒感染</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
        <w:ind w:left="0"/>
        <w:rPr>
          <w:sz w:val="17"/>
        </w:rPr>
      </w:pPr>
    </w:p>
    <w:p>
      <w:pPr>
        <w:pStyle w:val="BodyText"/>
        <w:spacing w:line="225" w:lineRule="auto" w:before="1"/>
        <w:ind w:right="178"/>
      </w:pPr>
      <w:r>
        <w:rPr>
          <w:rFonts w:ascii="Times New Roman" w:eastAsia="Times New Roman"/>
        </w:rPr>
        <w:t>24</w:t>
      </w:r>
      <w:r>
        <w:rPr/>
        <w:t>、永久丧失日常生活能力</w:t>
      </w:r>
    </w:p>
    <w:p>
      <w:pPr>
        <w:pStyle w:val="BodyText"/>
        <w:spacing w:line="241" w:lineRule="exact" w:before="17"/>
      </w:pPr>
      <w:r>
        <w:rPr/>
        <w:br w:type="column"/>
      </w:r>
      <w:r>
        <w:rPr/>
        <w:t>被保险人感染上人类免疫缺陷病毒（</w:t>
      </w:r>
      <w:r>
        <w:rPr>
          <w:rFonts w:ascii="Times New Roman" w:eastAsia="Times New Roman"/>
        </w:rPr>
        <w:t>HIV</w:t>
      </w:r>
      <w:r>
        <w:rPr/>
        <w:t>）并且符合下列所有条件：</w:t>
      </w:r>
    </w:p>
    <w:p>
      <w:pPr>
        <w:pStyle w:val="ListParagraph"/>
        <w:numPr>
          <w:ilvl w:val="0"/>
          <w:numId w:val="2"/>
        </w:numPr>
        <w:tabs>
          <w:tab w:pos="370" w:val="left" w:leader="none"/>
        </w:tabs>
        <w:spacing w:line="225" w:lineRule="auto" w:before="6" w:after="0"/>
        <w:ind w:left="141" w:right="762" w:firstLine="0"/>
        <w:jc w:val="left"/>
        <w:rPr>
          <w:sz w:val="18"/>
        </w:rPr>
      </w:pPr>
      <w:r>
        <w:rPr>
          <w:spacing w:val="-1"/>
          <w:sz w:val="18"/>
        </w:rPr>
        <w:t>在保障起始日或复效日之后，被保险人因治疗必需而接受输血，并且因输血而感染</w:t>
      </w:r>
      <w:r>
        <w:rPr>
          <w:rFonts w:ascii="Times New Roman" w:eastAsia="Times New Roman"/>
          <w:spacing w:val="-1"/>
          <w:sz w:val="18"/>
        </w:rPr>
        <w:t>HIV</w:t>
      </w:r>
      <w:r>
        <w:rPr>
          <w:spacing w:val="-1"/>
          <w:sz w:val="18"/>
        </w:rPr>
        <w:t>；</w:t>
      </w:r>
    </w:p>
    <w:p>
      <w:pPr>
        <w:pStyle w:val="ListParagraph"/>
        <w:numPr>
          <w:ilvl w:val="0"/>
          <w:numId w:val="2"/>
        </w:numPr>
        <w:tabs>
          <w:tab w:pos="370" w:val="left" w:leader="none"/>
        </w:tabs>
        <w:spacing w:line="225" w:lineRule="auto" w:before="0" w:after="0"/>
        <w:ind w:left="141" w:right="762" w:firstLine="0"/>
        <w:jc w:val="left"/>
        <w:rPr>
          <w:sz w:val="18"/>
        </w:rPr>
      </w:pPr>
      <w:r>
        <w:rPr>
          <w:spacing w:val="-1"/>
          <w:sz w:val="18"/>
        </w:rPr>
        <w:t>提供输血治疗的输血中心或医院出具该项输血感染属医疗责任事故的报告，或者法院终审裁定为医疗责任；</w:t>
      </w:r>
    </w:p>
    <w:p>
      <w:pPr>
        <w:pStyle w:val="ListParagraph"/>
        <w:numPr>
          <w:ilvl w:val="0"/>
          <w:numId w:val="2"/>
        </w:numPr>
        <w:tabs>
          <w:tab w:pos="370" w:val="left" w:leader="none"/>
        </w:tabs>
        <w:spacing w:line="239" w:lineRule="exact" w:before="2" w:after="0"/>
        <w:ind w:left="141" w:right="0" w:firstLine="0"/>
        <w:jc w:val="left"/>
        <w:rPr>
          <w:sz w:val="18"/>
        </w:rPr>
      </w:pPr>
      <w:r>
        <w:rPr>
          <w:spacing w:val="-2"/>
          <w:sz w:val="18"/>
        </w:rPr>
        <w:t>提供输血治疗的输血中心或医院必须拥有合法经营执照；</w:t>
      </w:r>
    </w:p>
    <w:p>
      <w:pPr>
        <w:pStyle w:val="ListParagraph"/>
        <w:numPr>
          <w:ilvl w:val="0"/>
          <w:numId w:val="2"/>
        </w:numPr>
        <w:tabs>
          <w:tab w:pos="370" w:val="left" w:leader="none"/>
        </w:tabs>
        <w:spacing w:line="234" w:lineRule="exact" w:before="0" w:after="0"/>
        <w:ind w:left="141" w:right="0" w:firstLine="0"/>
        <w:jc w:val="left"/>
        <w:rPr>
          <w:sz w:val="18"/>
        </w:rPr>
      </w:pPr>
      <w:r>
        <w:rPr>
          <w:spacing w:val="-2"/>
          <w:sz w:val="18"/>
        </w:rPr>
        <w:t>受感染的被保险人不是血友病患者；</w:t>
      </w:r>
    </w:p>
    <w:p>
      <w:pPr>
        <w:pStyle w:val="BodyText"/>
        <w:spacing w:line="234" w:lineRule="exact"/>
      </w:pPr>
      <w:r>
        <w:rPr/>
        <w:t>在任何治愈爱滋病（</w:t>
      </w:r>
      <w:r>
        <w:rPr>
          <w:rFonts w:ascii="Times New Roman" w:eastAsia="Times New Roman"/>
        </w:rPr>
        <w:t>AIDS</w:t>
      </w:r>
      <w:r>
        <w:rPr/>
        <w:t>）或阻止</w:t>
      </w:r>
      <w:r>
        <w:rPr>
          <w:rFonts w:ascii="Times New Roman" w:eastAsia="Times New Roman"/>
        </w:rPr>
        <w:t>HIV </w:t>
      </w:r>
      <w:r>
        <w:rPr/>
        <w:t>病毒作用的疗法被发现以</w:t>
      </w:r>
    </w:p>
    <w:p>
      <w:pPr>
        <w:pStyle w:val="BodyText"/>
        <w:spacing w:line="223" w:lineRule="auto" w:before="10"/>
        <w:ind w:right="154"/>
      </w:pPr>
      <w:r>
        <w:rPr/>
        <w:t>后，或能防止</w:t>
      </w:r>
      <w:r>
        <w:rPr>
          <w:rFonts w:ascii="Times New Roman" w:eastAsia="Times New Roman"/>
        </w:rPr>
        <w:t>AIDS </w:t>
      </w:r>
      <w:r>
        <w:rPr/>
        <w:t>发生的医疗方法被研究出来以后，本保障将不再予以赔付任何因其他传播方式（包括：性传播或静脉注射毒品）导致的</w:t>
      </w:r>
      <w:r>
        <w:rPr>
          <w:rFonts w:ascii="Times New Roman" w:eastAsia="Times New Roman"/>
        </w:rPr>
        <w:t>HIV </w:t>
      </w:r>
      <w:r>
        <w:rPr/>
        <w:t>感</w:t>
      </w:r>
    </w:p>
    <w:p>
      <w:pPr>
        <w:pStyle w:val="BodyText"/>
        <w:spacing w:line="220" w:lineRule="exact"/>
      </w:pPr>
      <w:r>
        <w:rPr/>
        <w:t>染不在本保单保障范围内。</w:t>
      </w:r>
    </w:p>
    <w:p>
      <w:pPr>
        <w:pStyle w:val="BodyText"/>
        <w:ind w:right="808"/>
      </w:pPr>
      <w:r>
        <w:rPr/>
        <w:t>保险公司必须拥有获得使用被保险人的血液样本的权利和能够对这些样本进行独立检验的权利。</w:t>
      </w:r>
    </w:p>
    <w:p>
      <w:pPr>
        <w:pStyle w:val="BodyText"/>
        <w:ind w:right="807"/>
        <w:jc w:val="both"/>
      </w:pPr>
      <w:r>
        <w:rPr/>
        <w:t>是指由保险公司认可的医院的专科医师确认被保险人已经永久完全地丧失了独立生活能力，在无他人协助下无法独立进行以下六项日常生活活动中的其中三项或三项以上或者被保险人患有认知功能障碍，并且因此需要他人永久的实质性监护。</w:t>
      </w:r>
    </w:p>
    <w:p>
      <w:pPr>
        <w:pStyle w:val="BodyText"/>
        <w:ind w:right="988"/>
      </w:pPr>
      <w:r>
        <w:rPr/>
        <w:t>如因认知功能障碍申请理赔，必须提供相关的认知功能状态测试结果。</w:t>
      </w:r>
    </w:p>
    <w:p>
      <w:pPr>
        <w:spacing w:after="0"/>
        <w:sectPr>
          <w:type w:val="continuous"/>
          <w:pgSz w:w="11960" w:h="16850"/>
          <w:pgMar w:top="280" w:bottom="1200" w:left="1560" w:right="1600"/>
          <w:cols w:num="2" w:equalWidth="0">
            <w:col w:w="2124" w:space="316"/>
            <w:col w:w="6360"/>
          </w:cols>
        </w:sectPr>
      </w:pPr>
    </w:p>
    <w:p>
      <w:pPr>
        <w:pStyle w:val="BodyText"/>
        <w:tabs>
          <w:tab w:pos="2581" w:val="left" w:leader="none"/>
        </w:tabs>
        <w:spacing w:line="241" w:lineRule="exact"/>
      </w:pPr>
      <w:r>
        <w:rPr>
          <w:rFonts w:ascii="Times New Roman" w:eastAsia="Times New Roman"/>
        </w:rPr>
        <w:t>25</w:t>
      </w:r>
      <w:r>
        <w:rPr/>
        <w:t>、严重肠胃炎</w:t>
        <w:tab/>
      </w:r>
      <w:r>
        <w:rPr>
          <w:spacing w:val="-1"/>
        </w:rPr>
        <w:t>以严重的</w:t>
      </w:r>
      <w:r>
        <w:rPr/>
        <w:t>腹泻、便血和肠段坏死为特征的胃肠道严重感染。大肠或</w:t>
      </w:r>
    </w:p>
    <w:p>
      <w:pPr>
        <w:pStyle w:val="BodyText"/>
        <w:spacing w:line="237" w:lineRule="auto"/>
        <w:ind w:left="2582" w:right="988"/>
      </w:pPr>
      <w:r>
        <w:rPr/>
        <w:t>小肠的一处或多处需手术切除，且经病理检查证实存在严重感染和坏死。</w:t>
      </w:r>
    </w:p>
    <w:p>
      <w:pPr>
        <w:pStyle w:val="BodyText"/>
        <w:tabs>
          <w:tab w:pos="2581" w:val="left" w:leader="none"/>
        </w:tabs>
        <w:spacing w:line="242" w:lineRule="exact" w:before="124"/>
      </w:pPr>
      <w:r>
        <w:rPr>
          <w:rFonts w:ascii="Times New Roman" w:eastAsia="Times New Roman"/>
        </w:rPr>
        <w:t>26</w:t>
      </w:r>
      <w:r>
        <w:rPr/>
        <w:t>、急性脊髓灰质炎</w:t>
        <w:tab/>
        <w:t>是指由于急性脊髓灰质炎病毒感染所导致的运动功能障碍或呼吸功能</w:t>
      </w:r>
    </w:p>
    <w:p>
      <w:pPr>
        <w:pStyle w:val="BodyText"/>
        <w:spacing w:line="237" w:lineRule="auto"/>
        <w:ind w:left="2582" w:right="808"/>
        <w:jc w:val="both"/>
      </w:pPr>
      <w:r>
        <w:rPr/>
        <w:t>减弱的瘫痪性疾病。诊断必须由本公司认可的神经科专科医生确诊并提供相关的脊髓灰质炎病毒感染的证据（例如：脑脊液检查或血清学抗体检查报告）。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w:t>
      </w:r>
    </w:p>
    <w:p>
      <w:pPr>
        <w:pStyle w:val="BodyText"/>
        <w:ind w:left="0"/>
        <w:rPr>
          <w:sz w:val="20"/>
        </w:rPr>
      </w:pPr>
    </w:p>
    <w:p>
      <w:pPr>
        <w:pStyle w:val="BodyText"/>
        <w:spacing w:before="151"/>
      </w:pPr>
      <w:r>
        <w:rPr/>
        <w:t>重大疾病定义的释义：</w:t>
      </w:r>
    </w:p>
    <w:p>
      <w:pPr>
        <w:pStyle w:val="BodyText"/>
        <w:spacing w:before="10"/>
        <w:ind w:left="0"/>
        <w:rPr>
          <w:sz w:val="26"/>
        </w:rPr>
      </w:pPr>
    </w:p>
    <w:p>
      <w:pPr>
        <w:pStyle w:val="BodyText"/>
        <w:tabs>
          <w:tab w:pos="2380" w:val="left" w:leader="none"/>
        </w:tabs>
        <w:spacing w:line="255" w:lineRule="exact" w:before="1"/>
      </w:pPr>
      <w:r>
        <w:rPr>
          <w:rFonts w:ascii="Times New Roman" w:eastAsia="Times New Roman"/>
          <w:position w:val="2"/>
        </w:rPr>
        <w:t>1</w:t>
      </w:r>
      <w:r>
        <w:rPr>
          <w:position w:val="2"/>
        </w:rPr>
        <w:t>、专科医生</w:t>
        <w:tab/>
        <w:t>：</w:t>
      </w:r>
      <w:r>
        <w:rPr>
          <w:spacing w:val="-70"/>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5" w:lineRule="auto" w:before="6"/>
        <w:ind w:left="2582" w:right="12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5" w:lineRule="auto" w:before="11"/>
        <w:ind w:left="2582" w:right="126"/>
      </w:pPr>
      <w:r>
        <w:rPr/>
        <w:t>（</w:t>
      </w:r>
      <w:r>
        <w:rPr>
          <w:rFonts w:ascii="Times New Roman" w:eastAsia="Times New Roman"/>
        </w:rPr>
        <w:t>3</w:t>
      </w:r>
      <w:r>
        <w:rPr/>
        <w:t>）具有有效的中华人民共和国主治医师或主治医师以上职称的《医师职称证书》；</w:t>
      </w:r>
    </w:p>
    <w:p>
      <w:pPr>
        <w:pStyle w:val="BodyText"/>
        <w:spacing w:line="246" w:lineRule="exact"/>
        <w:ind w:left="2582"/>
        <w:jc w:val="both"/>
      </w:pPr>
      <w:r>
        <w:rPr/>
        <w:t>（</w:t>
      </w:r>
      <w:r>
        <w:rPr>
          <w:rFonts w:ascii="Times New Roman" w:eastAsia="Times New Roman"/>
        </w:rPr>
        <w:t>4</w:t>
      </w:r>
      <w:r>
        <w:rPr/>
        <w:t>）在二级或二级以上医院的相应科室从事临床工作三年以上。</w:t>
      </w:r>
    </w:p>
    <w:p>
      <w:pPr>
        <w:pStyle w:val="BodyText"/>
        <w:spacing w:before="6"/>
      </w:pPr>
      <w:r>
        <w:rPr>
          <w:rFonts w:ascii="Times New Roman" w:eastAsia="Times New Roman"/>
        </w:rPr>
        <w:t>2</w:t>
      </w:r>
      <w:r>
        <w:rPr/>
        <w:t>、六项基本日常生活活动 ： </w:t>
      </w:r>
      <w:r>
        <w:rPr>
          <w:position w:val="-1"/>
        </w:rPr>
        <w:t>六项基本日常生活活动是指：</w:t>
      </w:r>
    </w:p>
    <w:p>
      <w:pPr>
        <w:pStyle w:val="BodyText"/>
        <w:spacing w:line="241" w:lineRule="exact" w:before="1"/>
        <w:ind w:left="2582"/>
        <w:jc w:val="both"/>
      </w:pPr>
      <w:r>
        <w:rPr/>
        <w:t>（</w:t>
      </w:r>
      <w:r>
        <w:rPr>
          <w:rFonts w:ascii="Times New Roman" w:eastAsia="Times New Roman"/>
        </w:rPr>
        <w:t>1</w:t>
      </w:r>
      <w:r>
        <w:rPr/>
        <w:t>）穿衣：自己能够穿衣及脱衣；</w:t>
      </w:r>
    </w:p>
    <w:p>
      <w:pPr>
        <w:pStyle w:val="BodyText"/>
        <w:spacing w:line="234" w:lineRule="exact"/>
        <w:ind w:left="2582"/>
        <w:jc w:val="both"/>
      </w:pPr>
      <w:r>
        <w:rPr/>
        <w:t>（</w:t>
      </w:r>
      <w:r>
        <w:rPr>
          <w:rFonts w:ascii="Times New Roman" w:eastAsia="Times New Roman"/>
        </w:rPr>
        <w:t>2</w:t>
      </w:r>
      <w:r>
        <w:rPr/>
        <w:t>）移动：自己从一个房间到另一个房间；</w:t>
      </w:r>
    </w:p>
    <w:p>
      <w:pPr>
        <w:pStyle w:val="BodyText"/>
        <w:spacing w:line="234" w:lineRule="exact"/>
        <w:ind w:left="2582"/>
        <w:jc w:val="both"/>
      </w:pPr>
      <w:r>
        <w:rPr/>
        <w:t>（</w:t>
      </w:r>
      <w:r>
        <w:rPr>
          <w:rFonts w:ascii="Times New Roman" w:eastAsia="Times New Roman"/>
        </w:rPr>
        <w:t>3</w:t>
      </w:r>
      <w:r>
        <w:rPr/>
        <w:t>）行动：自己上下床或上下轮椅；</w:t>
      </w:r>
    </w:p>
    <w:p>
      <w:pPr>
        <w:pStyle w:val="BodyText"/>
        <w:spacing w:line="234" w:lineRule="exact"/>
        <w:ind w:left="2582"/>
        <w:jc w:val="both"/>
      </w:pPr>
      <w:r>
        <w:rPr/>
        <w:t>（</w:t>
      </w:r>
      <w:r>
        <w:rPr>
          <w:rFonts w:ascii="Times New Roman" w:eastAsia="Times New Roman"/>
        </w:rPr>
        <w:t>4</w:t>
      </w:r>
      <w:r>
        <w:rPr/>
        <w:t>）如厕：自己控制进行大小便；</w:t>
      </w:r>
    </w:p>
    <w:p>
      <w:pPr>
        <w:pStyle w:val="BodyText"/>
        <w:spacing w:line="234" w:lineRule="exact"/>
        <w:ind w:left="2582"/>
        <w:jc w:val="both"/>
      </w:pPr>
      <w:r>
        <w:rPr/>
        <w:t>（</w:t>
      </w:r>
      <w:r>
        <w:rPr>
          <w:rFonts w:ascii="Times New Roman" w:eastAsia="Times New Roman"/>
        </w:rPr>
        <w:t>5</w:t>
      </w:r>
      <w:r>
        <w:rPr/>
        <w:t>）进食：自己从已准备好的碗或碟中取食物放入口中；</w:t>
      </w:r>
    </w:p>
    <w:p>
      <w:pPr>
        <w:pStyle w:val="BodyText"/>
        <w:spacing w:line="241" w:lineRule="exact"/>
        <w:ind w:left="2582"/>
        <w:jc w:val="both"/>
      </w:pPr>
      <w:r>
        <w:rPr/>
        <w:t>（</w:t>
      </w:r>
      <w:r>
        <w:rPr>
          <w:rFonts w:ascii="Times New Roman" w:eastAsia="Times New Roman"/>
        </w:rPr>
        <w:t>6</w:t>
      </w:r>
      <w:r>
        <w:rPr/>
        <w:t>）洗澡：自己进行淋浴或盆浴。</w:t>
      </w:r>
    </w:p>
    <w:p>
      <w:pPr>
        <w:pStyle w:val="BodyText"/>
        <w:tabs>
          <w:tab w:pos="2380" w:val="left" w:leader="none"/>
        </w:tabs>
        <w:spacing w:line="225" w:lineRule="auto" w:before="25"/>
        <w:ind w:left="2582" w:right="129" w:hanging="2441"/>
      </w:pPr>
      <w:r>
        <w:rPr>
          <w:rFonts w:ascii="Times New Roman" w:eastAsia="Times New Roman"/>
        </w:rPr>
        <w:t>3</w:t>
      </w:r>
      <w:r>
        <w:rPr/>
        <w:t>、肢体机能完全丧失</w:t>
        <w:tab/>
        <w:t>：</w:t>
      </w:r>
      <w:r>
        <w:rPr>
          <w:spacing w:val="-72"/>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line="225" w:lineRule="auto"/>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spacing w:after="0"/>
        <w:rPr>
          <w:sz w:val="20"/>
        </w:rPr>
        <w:sectPr>
          <w:pgSz w:w="11960" w:h="16850"/>
          <w:pgMar w:header="897" w:footer="1001" w:top="1080" w:bottom="1200" w:left="1560" w:right="1600"/>
        </w:sectPr>
      </w:pPr>
    </w:p>
    <w:p>
      <w:pPr>
        <w:pStyle w:val="BodyText"/>
        <w:spacing w:line="223" w:lineRule="auto" w:before="68"/>
      </w:pPr>
      <w:r>
        <w:rPr>
          <w:rFonts w:ascii="Times New Roman" w:eastAsia="Times New Roman"/>
        </w:rPr>
        <w:t>4</w:t>
      </w:r>
      <w:r>
        <w:rPr>
          <w:spacing w:val="-3"/>
        </w:rPr>
        <w:t>、语言能力或咀嚼吞咽能力： 完全丧失</w:t>
      </w:r>
    </w:p>
    <w:p>
      <w:pPr>
        <w:pStyle w:val="BodyText"/>
        <w:spacing w:before="4"/>
        <w:ind w:left="0"/>
        <w:rPr>
          <w:sz w:val="23"/>
        </w:rPr>
      </w:pPr>
      <w:r>
        <w:rPr/>
        <w:br w:type="column"/>
      </w:r>
      <w:r>
        <w:rPr>
          <w:sz w:val="23"/>
        </w:rPr>
      </w:r>
    </w:p>
    <w:p>
      <w:pPr>
        <w:pStyle w:val="BodyText"/>
        <w:spacing w:line="237" w:lineRule="auto"/>
        <w:ind w:left="-19" w:right="12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600"/>
          <w:cols w:num="2" w:equalWidth="0">
            <w:col w:w="2561" w:space="40"/>
            <w:col w:w="6199"/>
          </w:cols>
        </w:sectPr>
      </w:pPr>
    </w:p>
    <w:p>
      <w:pPr>
        <w:pStyle w:val="BodyText"/>
        <w:spacing w:before="5"/>
        <w:ind w:left="0"/>
        <w:rPr>
          <w:sz w:val="15"/>
        </w:rPr>
      </w:pPr>
    </w:p>
    <w:p>
      <w:pPr>
        <w:pStyle w:val="BodyText"/>
        <w:tabs>
          <w:tab w:pos="2380" w:val="left" w:leader="none"/>
        </w:tabs>
        <w:spacing w:line="223" w:lineRule="auto" w:before="72"/>
        <w:ind w:left="2582" w:right="129" w:hanging="2441"/>
      </w:pPr>
      <w:r>
        <w:rPr>
          <w:rFonts w:ascii="Times New Roman" w:eastAsia="Times New Roman"/>
        </w:rPr>
        <w:t>5</w:t>
      </w: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616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612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6144"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1" w:hanging="228"/>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761" w:hanging="228"/>
      </w:pPr>
      <w:rPr>
        <w:rFonts w:hint="default"/>
      </w:rPr>
    </w:lvl>
    <w:lvl w:ilvl="2">
      <w:start w:val="0"/>
      <w:numFmt w:val="bullet"/>
      <w:lvlText w:val="•"/>
      <w:lvlJc w:val="left"/>
      <w:pPr>
        <w:ind w:left="1382" w:hanging="228"/>
      </w:pPr>
      <w:rPr>
        <w:rFonts w:hint="default"/>
      </w:rPr>
    </w:lvl>
    <w:lvl w:ilvl="3">
      <w:start w:val="0"/>
      <w:numFmt w:val="bullet"/>
      <w:lvlText w:val="•"/>
      <w:lvlJc w:val="left"/>
      <w:pPr>
        <w:ind w:left="2003" w:hanging="228"/>
      </w:pPr>
      <w:rPr>
        <w:rFonts w:hint="default"/>
      </w:rPr>
    </w:lvl>
    <w:lvl w:ilvl="4">
      <w:start w:val="0"/>
      <w:numFmt w:val="bullet"/>
      <w:lvlText w:val="•"/>
      <w:lvlJc w:val="left"/>
      <w:pPr>
        <w:ind w:left="2624" w:hanging="228"/>
      </w:pPr>
      <w:rPr>
        <w:rFonts w:hint="default"/>
      </w:rPr>
    </w:lvl>
    <w:lvl w:ilvl="5">
      <w:start w:val="0"/>
      <w:numFmt w:val="bullet"/>
      <w:lvlText w:val="•"/>
      <w:lvlJc w:val="left"/>
      <w:pPr>
        <w:ind w:left="3245" w:hanging="228"/>
      </w:pPr>
      <w:rPr>
        <w:rFonts w:hint="default"/>
      </w:rPr>
    </w:lvl>
    <w:lvl w:ilvl="6">
      <w:start w:val="0"/>
      <w:numFmt w:val="bullet"/>
      <w:lvlText w:val="•"/>
      <w:lvlJc w:val="left"/>
      <w:pPr>
        <w:ind w:left="3866" w:hanging="228"/>
      </w:pPr>
      <w:rPr>
        <w:rFonts w:hint="default"/>
      </w:rPr>
    </w:lvl>
    <w:lvl w:ilvl="7">
      <w:start w:val="0"/>
      <w:numFmt w:val="bullet"/>
      <w:lvlText w:val="•"/>
      <w:lvlJc w:val="left"/>
      <w:pPr>
        <w:ind w:left="4487" w:hanging="228"/>
      </w:pPr>
      <w:rPr>
        <w:rFonts w:hint="default"/>
      </w:rPr>
    </w:lvl>
    <w:lvl w:ilvl="8">
      <w:start w:val="0"/>
      <w:numFmt w:val="bullet"/>
      <w:lvlText w:val="•"/>
      <w:lvlJc w:val="left"/>
      <w:pPr>
        <w:ind w:left="5109" w:hanging="228"/>
      </w:pPr>
      <w:rPr>
        <w:rFonts w:hint="default"/>
      </w:rPr>
    </w:lvl>
  </w:abstractNum>
  <w:abstractNum w:abstractNumId="0">
    <w:multiLevelType w:val="hybridMultilevel"/>
    <w:lvl w:ilvl="0">
      <w:start w:val="5"/>
      <w:numFmt w:val="decimal"/>
      <w:lvlText w:val="（%1）"/>
      <w:lvlJc w:val="left"/>
      <w:pPr>
        <w:ind w:left="3034" w:hanging="453"/>
        <w:jc w:val="left"/>
      </w:pPr>
      <w:rPr>
        <w:rFonts w:hint="default" w:ascii="宋体" w:hAnsi="宋体" w:eastAsia="宋体" w:cs="宋体"/>
        <w:spacing w:val="-1"/>
        <w:w w:val="100"/>
        <w:sz w:val="16"/>
        <w:szCs w:val="16"/>
      </w:rPr>
    </w:lvl>
    <w:lvl w:ilvl="1">
      <w:start w:val="0"/>
      <w:numFmt w:val="bullet"/>
      <w:lvlText w:val="•"/>
      <w:lvlJc w:val="left"/>
      <w:pPr>
        <w:ind w:left="3615" w:hanging="453"/>
      </w:pPr>
      <w:rPr>
        <w:rFonts w:hint="default"/>
      </w:rPr>
    </w:lvl>
    <w:lvl w:ilvl="2">
      <w:start w:val="0"/>
      <w:numFmt w:val="bullet"/>
      <w:lvlText w:val="•"/>
      <w:lvlJc w:val="left"/>
      <w:pPr>
        <w:ind w:left="4190" w:hanging="453"/>
      </w:pPr>
      <w:rPr>
        <w:rFonts w:hint="default"/>
      </w:rPr>
    </w:lvl>
    <w:lvl w:ilvl="3">
      <w:start w:val="0"/>
      <w:numFmt w:val="bullet"/>
      <w:lvlText w:val="•"/>
      <w:lvlJc w:val="left"/>
      <w:pPr>
        <w:ind w:left="4765" w:hanging="453"/>
      </w:pPr>
      <w:rPr>
        <w:rFonts w:hint="default"/>
      </w:rPr>
    </w:lvl>
    <w:lvl w:ilvl="4">
      <w:start w:val="0"/>
      <w:numFmt w:val="bullet"/>
      <w:lvlText w:val="•"/>
      <w:lvlJc w:val="left"/>
      <w:pPr>
        <w:ind w:left="5340" w:hanging="453"/>
      </w:pPr>
      <w:rPr>
        <w:rFonts w:hint="default"/>
      </w:rPr>
    </w:lvl>
    <w:lvl w:ilvl="5">
      <w:start w:val="0"/>
      <w:numFmt w:val="bullet"/>
      <w:lvlText w:val="•"/>
      <w:lvlJc w:val="left"/>
      <w:pPr>
        <w:ind w:left="5916" w:hanging="453"/>
      </w:pPr>
      <w:rPr>
        <w:rFonts w:hint="default"/>
      </w:rPr>
    </w:lvl>
    <w:lvl w:ilvl="6">
      <w:start w:val="0"/>
      <w:numFmt w:val="bullet"/>
      <w:lvlText w:val="•"/>
      <w:lvlJc w:val="left"/>
      <w:pPr>
        <w:ind w:left="6491" w:hanging="453"/>
      </w:pPr>
      <w:rPr>
        <w:rFonts w:hint="default"/>
      </w:rPr>
    </w:lvl>
    <w:lvl w:ilvl="7">
      <w:start w:val="0"/>
      <w:numFmt w:val="bullet"/>
      <w:lvlText w:val="•"/>
      <w:lvlJc w:val="left"/>
      <w:pPr>
        <w:ind w:left="7066" w:hanging="453"/>
      </w:pPr>
      <w:rPr>
        <w:rFonts w:hint="default"/>
      </w:rPr>
    </w:lvl>
    <w:lvl w:ilvl="8">
      <w:start w:val="0"/>
      <w:numFmt w:val="bullet"/>
      <w:lvlText w:val="•"/>
      <w:lvlJc w:val="left"/>
      <w:pPr>
        <w:ind w:left="7641" w:hanging="45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5"/>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61"/>
      <w:jc w:val="both"/>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141"/>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2018-10-20T05:05:29Z</dcterms:created>
  <dcterms:modified xsi:type="dcterms:W3CDTF">2018-10-20T05:05:29Z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