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rPr>
          <w:rFonts w:ascii="Times New Roman"/>
          <w:sz w:val="32"/>
        </w:rPr>
      </w:pPr>
    </w:p>
    <w:p>
      <w:pPr>
        <w:spacing w:before="223"/>
        <w:ind w:left="2002" w:right="26" w:firstLine="0"/>
        <w:jc w:val="center"/>
        <w:rPr>
          <w:sz w:val="32"/>
        </w:rPr>
      </w:pPr>
      <w:r>
        <w:rPr>
          <w:sz w:val="32"/>
        </w:rPr>
        <w:t>阅 读 指 引</w:t>
      </w:r>
    </w:p>
    <w:p>
      <w:pPr>
        <w:pStyle w:val="BodyText"/>
        <w:spacing w:before="0"/>
        <w:rPr>
          <w:sz w:val="22"/>
        </w:rPr>
      </w:pPr>
    </w:p>
    <w:p>
      <w:pPr>
        <w:pStyle w:val="BodyText"/>
        <w:spacing w:before="0"/>
        <w:ind w:left="2007" w:right="26"/>
        <w:jc w:val="center"/>
      </w:pPr>
      <w:r>
        <w:rPr>
          <w:spacing w:val="-149"/>
        </w:rPr>
        <w:t>本</w:t>
      </w:r>
      <w:r>
        <w:rPr>
          <w:spacing w:val="-63"/>
          <w:position w:val="-7"/>
        </w:rPr>
        <w:t>．</w:t>
      </w:r>
      <w:r>
        <w:rPr>
          <w:spacing w:val="-149"/>
        </w:rPr>
        <w:t>阅</w:t>
      </w:r>
      <w:r>
        <w:rPr>
          <w:spacing w:val="-63"/>
          <w:position w:val="-7"/>
        </w:rPr>
        <w:t>．</w:t>
      </w:r>
      <w:r>
        <w:rPr>
          <w:spacing w:val="-149"/>
        </w:rPr>
        <w:t>读</w:t>
      </w:r>
      <w:r>
        <w:rPr>
          <w:spacing w:val="-63"/>
          <w:position w:val="-7"/>
        </w:rPr>
        <w:t>．</w:t>
      </w:r>
      <w:r>
        <w:rPr>
          <w:spacing w:val="-149"/>
        </w:rPr>
        <w:t>指</w:t>
      </w:r>
      <w:r>
        <w:rPr>
          <w:spacing w:val="-63"/>
          <w:position w:val="-7"/>
        </w:rPr>
        <w:t>．</w:t>
      </w:r>
      <w:r>
        <w:rPr>
          <w:spacing w:val="-149"/>
        </w:rPr>
        <w:t>引</w:t>
      </w:r>
      <w:r>
        <w:rPr>
          <w:spacing w:val="-63"/>
          <w:position w:val="-7"/>
        </w:rPr>
        <w:t>．</w:t>
      </w:r>
      <w:r>
        <w:rPr>
          <w:spacing w:val="-149"/>
        </w:rPr>
        <w:t>有</w:t>
      </w:r>
      <w:r>
        <w:rPr>
          <w:spacing w:val="-63"/>
          <w:position w:val="-7"/>
        </w:rPr>
        <w:t>．</w:t>
      </w:r>
      <w:r>
        <w:rPr>
          <w:spacing w:val="-149"/>
        </w:rPr>
        <w:t>助</w:t>
      </w:r>
      <w:r>
        <w:rPr>
          <w:spacing w:val="-63"/>
          <w:position w:val="-7"/>
        </w:rPr>
        <w:t>．</w:t>
      </w:r>
      <w:r>
        <w:rPr>
          <w:spacing w:val="-149"/>
        </w:rPr>
        <w:t>于</w:t>
      </w:r>
      <w:r>
        <w:rPr>
          <w:spacing w:val="-63"/>
          <w:position w:val="-7"/>
        </w:rPr>
        <w:t>．</w:t>
      </w:r>
      <w:r>
        <w:rPr>
          <w:spacing w:val="-152"/>
        </w:rPr>
        <w:t>您</w:t>
      </w:r>
      <w:r>
        <w:rPr>
          <w:spacing w:val="-63"/>
          <w:position w:val="-7"/>
        </w:rPr>
        <w:t>．</w:t>
      </w:r>
      <w:r>
        <w:rPr>
          <w:spacing w:val="-149"/>
        </w:rPr>
        <w:t>理</w:t>
      </w:r>
      <w:r>
        <w:rPr>
          <w:spacing w:val="-63"/>
          <w:position w:val="-7"/>
        </w:rPr>
        <w:t>．</w:t>
      </w:r>
      <w:r>
        <w:rPr>
          <w:spacing w:val="-152"/>
        </w:rPr>
        <w:t>解</w:t>
      </w:r>
      <w:r>
        <w:rPr>
          <w:spacing w:val="-63"/>
          <w:position w:val="-7"/>
        </w:rPr>
        <w:t>．</w:t>
      </w:r>
      <w:r>
        <w:rPr>
          <w:spacing w:val="-149"/>
        </w:rPr>
        <w:t>条</w:t>
      </w:r>
      <w:r>
        <w:rPr>
          <w:spacing w:val="-63"/>
          <w:position w:val="-7"/>
        </w:rPr>
        <w:t>．</w:t>
      </w:r>
      <w:r>
        <w:rPr>
          <w:spacing w:val="-149"/>
        </w:rPr>
        <w:t>款</w:t>
      </w:r>
      <w:r>
        <w:rPr>
          <w:spacing w:val="-32"/>
          <w:position w:val="-7"/>
        </w:rPr>
        <w:t>．</w:t>
      </w:r>
      <w:r>
        <w:rPr>
          <w:spacing w:val="-91"/>
        </w:rPr>
        <w:t>，对</w:t>
      </w:r>
      <w:r>
        <w:rPr>
          <w:spacing w:val="-63"/>
          <w:position w:val="-7"/>
        </w:rPr>
        <w:t>．</w:t>
      </w:r>
      <w:r>
        <w:rPr>
          <w:spacing w:val="-149"/>
        </w:rPr>
        <w:t>本</w:t>
      </w:r>
      <w:r>
        <w:rPr>
          <w:spacing w:val="-63"/>
          <w:position w:val="-7"/>
        </w:rPr>
        <w:t>．</w:t>
      </w:r>
      <w:r>
        <w:rPr>
          <w:spacing w:val="-149"/>
        </w:rPr>
        <w:t>合</w:t>
      </w:r>
      <w:r>
        <w:rPr>
          <w:spacing w:val="-63"/>
          <w:position w:val="-7"/>
        </w:rPr>
        <w:t>．</w:t>
      </w:r>
      <w:r>
        <w:rPr>
          <w:spacing w:val="-149"/>
        </w:rPr>
        <w:t>同</w:t>
      </w:r>
      <w:r>
        <w:rPr>
          <w:spacing w:val="-63"/>
          <w:position w:val="-7"/>
        </w:rPr>
        <w:t>．</w:t>
      </w:r>
      <w:r>
        <w:rPr>
          <w:spacing w:val="-149"/>
        </w:rPr>
        <w:t>内</w:t>
      </w:r>
      <w:r>
        <w:rPr>
          <w:spacing w:val="-63"/>
          <w:position w:val="-7"/>
        </w:rPr>
        <w:t>．</w:t>
      </w:r>
      <w:r>
        <w:rPr>
          <w:spacing w:val="-152"/>
        </w:rPr>
        <w:t>容</w:t>
      </w:r>
      <w:r>
        <w:rPr>
          <w:spacing w:val="-63"/>
          <w:position w:val="-7"/>
        </w:rPr>
        <w:t>．</w:t>
      </w:r>
      <w:r>
        <w:rPr>
          <w:spacing w:val="-149"/>
        </w:rPr>
        <w:t>的</w:t>
      </w:r>
      <w:r>
        <w:rPr>
          <w:spacing w:val="-63"/>
          <w:position w:val="-7"/>
        </w:rPr>
        <w:t>．</w:t>
      </w:r>
      <w:r>
        <w:rPr>
          <w:spacing w:val="-152"/>
        </w:rPr>
        <w:t>解</w:t>
      </w:r>
      <w:r>
        <w:rPr>
          <w:spacing w:val="-63"/>
          <w:position w:val="-7"/>
        </w:rPr>
        <w:t>．</w:t>
      </w:r>
      <w:r>
        <w:rPr>
          <w:spacing w:val="-149"/>
        </w:rPr>
        <w:t>释</w:t>
      </w:r>
      <w:r>
        <w:rPr>
          <w:spacing w:val="-63"/>
          <w:position w:val="-7"/>
        </w:rPr>
        <w:t>．</w:t>
      </w:r>
      <w:r>
        <w:rPr>
          <w:spacing w:val="-149"/>
        </w:rPr>
        <w:t>以</w:t>
      </w:r>
      <w:r>
        <w:rPr>
          <w:spacing w:val="-63"/>
          <w:position w:val="-7"/>
        </w:rPr>
        <w:t>．</w:t>
      </w:r>
      <w:r>
        <w:rPr>
          <w:spacing w:val="-149"/>
        </w:rPr>
        <w:t>条</w:t>
      </w:r>
      <w:r>
        <w:rPr>
          <w:spacing w:val="-63"/>
          <w:position w:val="-7"/>
        </w:rPr>
        <w:t>．</w:t>
      </w:r>
      <w:r>
        <w:rPr>
          <w:spacing w:val="-149"/>
        </w:rPr>
        <w:t>款</w:t>
      </w:r>
      <w:r>
        <w:rPr>
          <w:spacing w:val="-63"/>
          <w:position w:val="-7"/>
        </w:rPr>
        <w:t>．</w:t>
      </w:r>
      <w:r>
        <w:rPr>
          <w:spacing w:val="-149"/>
        </w:rPr>
        <w:t>为</w:t>
      </w:r>
      <w:r>
        <w:rPr>
          <w:spacing w:val="-63"/>
          <w:position w:val="-7"/>
        </w:rPr>
        <w:t>．</w:t>
      </w:r>
      <w:r>
        <w:rPr>
          <w:spacing w:val="-149"/>
        </w:rPr>
        <w:t>准</w:t>
      </w:r>
      <w:r>
        <w:rPr>
          <w:spacing w:val="-63"/>
          <w:position w:val="-7"/>
        </w:rPr>
        <w:t>．</w:t>
      </w:r>
      <w:r>
        <w:rPr/>
        <w:t>。</w:t>
      </w:r>
    </w:p>
    <w:p>
      <w:pPr>
        <w:spacing w:before="60"/>
        <w:ind w:left="260" w:right="57" w:firstLine="0"/>
        <w:jc w:val="center"/>
        <w:rPr>
          <w:sz w:val="15"/>
        </w:rPr>
      </w:pPr>
      <w:r>
        <w:rPr/>
        <w:br w:type="column"/>
      </w:r>
      <w:r>
        <w:rPr>
          <w:sz w:val="15"/>
        </w:rPr>
        <w:t>新华保险[2014]疾病保险 029 号</w:t>
      </w:r>
    </w:p>
    <w:p>
      <w:pPr>
        <w:pStyle w:val="BodyText"/>
        <w:spacing w:before="2"/>
        <w:rPr>
          <w:sz w:val="7"/>
        </w:rPr>
      </w:pPr>
    </w:p>
    <w:p>
      <w:pPr>
        <w:pStyle w:val="BodyText"/>
        <w:spacing w:before="0"/>
        <w:ind w:left="833"/>
        <w:rPr>
          <w:sz w:val="20"/>
        </w:rPr>
      </w:pPr>
      <w:r>
        <w:rPr>
          <w:sz w:val="20"/>
        </w:rPr>
        <w:drawing>
          <wp:inline distT="0" distB="0" distL="0" distR="0">
            <wp:extent cx="72389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3899" cy="723900"/>
                    </a:xfrm>
                    <a:prstGeom prst="rect">
                      <a:avLst/>
                    </a:prstGeom>
                  </pic:spPr>
                </pic:pic>
              </a:graphicData>
            </a:graphic>
          </wp:inline>
        </w:drawing>
      </w:r>
      <w:r>
        <w:rPr>
          <w:sz w:val="20"/>
        </w:rPr>
      </w:r>
    </w:p>
    <w:p>
      <w:pPr>
        <w:spacing w:before="3"/>
        <w:ind w:left="385" w:right="57" w:firstLine="0"/>
        <w:jc w:val="center"/>
        <w:rPr>
          <w:sz w:val="15"/>
        </w:rPr>
      </w:pPr>
      <w:r>
        <w:rPr>
          <w:sz w:val="15"/>
        </w:rPr>
        <w:t>请扫描以查询验证条款</w:t>
      </w:r>
    </w:p>
    <w:p>
      <w:pPr>
        <w:spacing w:after="0"/>
        <w:jc w:val="center"/>
        <w:rPr>
          <w:sz w:val="15"/>
        </w:rPr>
        <w:sectPr>
          <w:headerReference w:type="default" r:id="rId5"/>
          <w:footerReference w:type="default" r:id="rId6"/>
          <w:type w:val="continuous"/>
          <w:pgSz w:w="11910" w:h="16840"/>
          <w:pgMar w:header="879" w:footer="999" w:top="1120" w:bottom="1180" w:left="920" w:right="320"/>
          <w:cols w:num="2" w:equalWidth="0">
            <w:col w:w="8097" w:space="40"/>
            <w:col w:w="2533"/>
          </w:cols>
        </w:sectPr>
      </w:pPr>
    </w:p>
    <w:p>
      <w:pPr>
        <w:pStyle w:val="BodyText"/>
        <w:spacing w:before="7"/>
        <w:ind w:left="923" w:right="1516"/>
        <w:jc w:val="center"/>
      </w:pPr>
      <w:r>
        <w:rPr/>
        <w:t>在本条款中，“您”指投保人，“我们”、“本公司”均指新华人寿保险股份有限公司。</w:t>
      </w:r>
    </w:p>
    <w:p>
      <w:pPr>
        <w:pStyle w:val="BodyText"/>
        <w:tabs>
          <w:tab w:pos="1261" w:val="left" w:leader="none"/>
        </w:tabs>
        <w:spacing w:before="101"/>
        <w:ind w:left="250"/>
      </w:pPr>
      <w:r>
        <w:rPr/>
        <w:drawing>
          <wp:anchor distT="0" distB="0" distL="0" distR="0" allowOverlap="1" layoutInCell="1" locked="0" behindDoc="1" simplePos="0" relativeHeight="268409183">
            <wp:simplePos x="0" y="0"/>
            <wp:positionH relativeFrom="page">
              <wp:posOffset>655043</wp:posOffset>
            </wp:positionH>
            <wp:positionV relativeFrom="paragraph">
              <wp:posOffset>32555</wp:posOffset>
            </wp:positionV>
            <wp:extent cx="6251448" cy="754380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251448" cy="7543800"/>
                    </a:xfrm>
                    <a:prstGeom prst="rect">
                      <a:avLst/>
                    </a:prstGeom>
                  </pic:spPr>
                </pic:pic>
              </a:graphicData>
            </a:graphic>
          </wp:anchor>
        </w:drawing>
      </w:r>
      <w:r>
        <w:rPr>
          <w:rFonts w:ascii="Times New Roman" w:eastAsia="Times New Roman"/>
          <w:w w:val="125"/>
          <w:position w:val="-11"/>
          <w:sz w:val="52"/>
        </w:rPr>
        <w:t>C</w:t>
        <w:tab/>
      </w:r>
      <w:r>
        <w:rPr>
          <w:spacing w:val="-1"/>
        </w:rPr>
        <w:t>您拥有的重要权益</w:t>
      </w:r>
    </w:p>
    <w:p>
      <w:pPr>
        <w:pStyle w:val="BodyText"/>
        <w:spacing w:before="23"/>
        <w:ind w:left="1222"/>
      </w:pPr>
      <w:r>
        <w:rPr>
          <w:rFonts w:ascii="Times New Roman" w:hAnsi="Times New Roman" w:eastAsia="Times New Roman"/>
        </w:rPr>
        <w:t>v    </w:t>
      </w:r>
      <w:r>
        <w:rPr/>
        <w:t>被保险人享受本保险合同提供的保障………………………………………第2.3条</w:t>
      </w:r>
    </w:p>
    <w:p>
      <w:pPr>
        <w:pStyle w:val="BodyText"/>
        <w:spacing w:before="21"/>
        <w:ind w:left="1222"/>
      </w:pPr>
      <w:r>
        <w:rPr>
          <w:rFonts w:ascii="Times New Roman" w:hAnsi="Times New Roman" w:eastAsia="Times New Roman"/>
        </w:rPr>
        <w:t>v    </w:t>
      </w:r>
      <w:r>
        <w:rPr/>
        <w:t>您有减保的权利………………………………………………………………第3.2条</w:t>
      </w:r>
    </w:p>
    <w:p>
      <w:pPr>
        <w:pStyle w:val="BodyText"/>
        <w:tabs>
          <w:tab w:pos="1261" w:val="left" w:leader="none"/>
        </w:tabs>
        <w:spacing w:before="23"/>
        <w:ind w:left="250"/>
      </w:pPr>
      <w:r>
        <w:rPr>
          <w:rFonts w:ascii="Times New Roman" w:eastAsia="Times New Roman"/>
          <w:w w:val="125"/>
          <w:position w:val="-11"/>
          <w:sz w:val="52"/>
        </w:rPr>
        <w:t>C</w:t>
        <w:tab/>
      </w:r>
      <w:r>
        <w:rPr>
          <w:spacing w:val="-1"/>
        </w:rPr>
        <w:t>您应当特别注意的事项</w:t>
      </w:r>
    </w:p>
    <w:p>
      <w:pPr>
        <w:pStyle w:val="BodyText"/>
        <w:spacing w:before="78"/>
        <w:ind w:left="1222"/>
      </w:pPr>
      <w:r>
        <w:rPr>
          <w:rFonts w:ascii="Times New Roman" w:hAnsi="Times New Roman" w:eastAsia="Times New Roman"/>
        </w:rPr>
        <w:t>v    </w:t>
      </w:r>
      <w:r>
        <w:rPr/>
        <w:t>您解除合同会有一定的损失，请慎重决策…………………………………第1.6条</w:t>
      </w:r>
    </w:p>
    <w:p>
      <w:pPr>
        <w:pStyle w:val="BodyText"/>
        <w:spacing w:before="13"/>
        <w:ind w:left="1222"/>
      </w:pPr>
      <w:r>
        <w:rPr>
          <w:rFonts w:ascii="Times New Roman" w:hAnsi="Times New Roman" w:eastAsia="Times New Roman"/>
          <w:w w:val="155"/>
        </w:rPr>
        <w:t>v  </w:t>
      </w:r>
      <w:r>
        <w:rPr/>
        <w:t>本保险合同有责任免除条款，在某些情况下，本公司不承担保险责任…第2.4条</w:t>
      </w:r>
    </w:p>
    <w:p>
      <w:pPr>
        <w:pStyle w:val="BodyText"/>
        <w:spacing w:before="20"/>
        <w:ind w:left="1222"/>
      </w:pPr>
      <w:r>
        <w:rPr>
          <w:rFonts w:ascii="Times New Roman" w:hAnsi="Times New Roman" w:eastAsia="Times New Roman"/>
        </w:rPr>
        <w:t>v    </w:t>
      </w:r>
      <w:r>
        <w:rPr/>
        <w:t>申请保险金给付时，应当提供的证明和资料………………………………第4.2条</w:t>
      </w:r>
    </w:p>
    <w:p>
      <w:pPr>
        <w:pStyle w:val="BodyText"/>
        <w:spacing w:before="20"/>
        <w:ind w:left="1222"/>
      </w:pPr>
      <w:r>
        <w:rPr>
          <w:rFonts w:ascii="Times New Roman" w:hAnsi="Times New Roman" w:eastAsia="Times New Roman"/>
        </w:rPr>
        <w:t>v   </w:t>
      </w:r>
      <w:r>
        <w:rPr/>
        <w:t>我们对一些重要术语进行了解释，请您注意………………………………第 6 条</w:t>
      </w:r>
    </w:p>
    <w:p>
      <w:pPr>
        <w:pStyle w:val="BodyText"/>
        <w:spacing w:line="256" w:lineRule="auto" w:before="20"/>
        <w:ind w:left="1532" w:right="1729" w:hanging="310"/>
      </w:pPr>
      <w:r>
        <w:rPr>
          <w:rFonts w:ascii="Times New Roman" w:eastAsia="Times New Roman"/>
          <w:w w:val="160"/>
        </w:rPr>
        <w:t>v </w:t>
      </w:r>
      <w:r>
        <w:rPr/>
        <w:t>我们对可能影响被保险人享受本保险合同保障的重要内容进行了显著标识，请您仔细阅读正文加粗的部分。</w:t>
      </w:r>
    </w:p>
    <w:p>
      <w:pPr>
        <w:pStyle w:val="BodyText"/>
        <w:tabs>
          <w:tab w:pos="1261" w:val="left" w:leader="none"/>
        </w:tabs>
        <w:spacing w:before="24"/>
        <w:ind w:left="250"/>
      </w:pPr>
      <w:r>
        <w:rPr>
          <w:rFonts w:ascii="Times New Roman" w:eastAsia="Times New Roman"/>
          <w:w w:val="125"/>
          <w:position w:val="-11"/>
          <w:sz w:val="52"/>
        </w:rPr>
        <w:t>C</w:t>
        <w:tab/>
      </w:r>
      <w:r>
        <w:rPr>
          <w:spacing w:val="-3"/>
        </w:rPr>
        <w:t>条款是保险合同的重要内容，为充分保障您的权益，请您仔细阅读本条款。</w:t>
      </w:r>
    </w:p>
    <w:p>
      <w:pPr>
        <w:tabs>
          <w:tab w:pos="1261" w:val="left" w:leader="none"/>
        </w:tabs>
        <w:spacing w:before="26"/>
        <w:ind w:left="250" w:right="0" w:firstLine="0"/>
        <w:jc w:val="left"/>
        <w:rPr>
          <w:sz w:val="21"/>
        </w:rPr>
      </w:pPr>
      <w:r>
        <w:rPr>
          <w:rFonts w:ascii="Times New Roman" w:eastAsia="Times New Roman"/>
          <w:w w:val="125"/>
          <w:position w:val="-11"/>
          <w:sz w:val="52"/>
        </w:rPr>
        <w:t>C</w:t>
        <w:tab/>
      </w:r>
      <w:r>
        <w:rPr>
          <w:sz w:val="21"/>
        </w:rPr>
        <w:t>条款目录</w:t>
      </w:r>
    </w:p>
    <w:p>
      <w:pPr>
        <w:pStyle w:val="BodyText"/>
        <w:spacing w:before="11"/>
        <w:rPr>
          <w:sz w:val="11"/>
        </w:rPr>
      </w:pPr>
    </w:p>
    <w:p>
      <w:pPr>
        <w:spacing w:after="0"/>
        <w:rPr>
          <w:sz w:val="11"/>
        </w:rPr>
        <w:sectPr>
          <w:type w:val="continuous"/>
          <w:pgSz w:w="11910" w:h="16840"/>
          <w:pgMar w:top="1120" w:bottom="1180" w:left="920" w:right="320"/>
        </w:sectPr>
      </w:pPr>
    </w:p>
    <w:p>
      <w:pPr>
        <w:pStyle w:val="BodyText"/>
        <w:ind w:left="841"/>
      </w:pPr>
      <w:r>
        <w:rPr/>
        <w:t>1.您与我们的合同</w:t>
      </w:r>
    </w:p>
    <w:p>
      <w:pPr>
        <w:pStyle w:val="ListParagraph"/>
        <w:numPr>
          <w:ilvl w:val="1"/>
          <w:numId w:val="1"/>
        </w:numPr>
        <w:tabs>
          <w:tab w:pos="1577" w:val="left" w:leader="none"/>
          <w:tab w:pos="1578" w:val="left" w:leader="none"/>
        </w:tabs>
        <w:spacing w:line="240" w:lineRule="auto" w:before="37" w:after="0"/>
        <w:ind w:left="1573" w:right="0" w:hanging="521"/>
        <w:jc w:val="left"/>
        <w:rPr>
          <w:sz w:val="21"/>
        </w:rPr>
      </w:pPr>
      <w:r>
        <w:rPr>
          <w:spacing w:val="-2"/>
          <w:sz w:val="21"/>
        </w:rPr>
        <w:t>合同构成</w:t>
      </w:r>
    </w:p>
    <w:p>
      <w:pPr>
        <w:pStyle w:val="ListParagraph"/>
        <w:numPr>
          <w:ilvl w:val="1"/>
          <w:numId w:val="1"/>
        </w:numPr>
        <w:tabs>
          <w:tab w:pos="1577" w:val="left" w:leader="none"/>
          <w:tab w:pos="1578" w:val="left" w:leader="none"/>
        </w:tabs>
        <w:spacing w:line="240" w:lineRule="auto" w:before="37" w:after="0"/>
        <w:ind w:left="1573" w:right="0" w:hanging="521"/>
        <w:jc w:val="left"/>
        <w:rPr>
          <w:sz w:val="21"/>
        </w:rPr>
      </w:pPr>
      <w:r>
        <w:rPr>
          <w:spacing w:val="-2"/>
          <w:sz w:val="21"/>
        </w:rPr>
        <w:t>投保范围</w:t>
      </w:r>
    </w:p>
    <w:p>
      <w:pPr>
        <w:pStyle w:val="ListParagraph"/>
        <w:numPr>
          <w:ilvl w:val="1"/>
          <w:numId w:val="1"/>
        </w:numPr>
        <w:tabs>
          <w:tab w:pos="1577" w:val="left" w:leader="none"/>
          <w:tab w:pos="1578" w:val="left" w:leader="none"/>
        </w:tabs>
        <w:spacing w:line="240" w:lineRule="auto" w:before="37" w:after="0"/>
        <w:ind w:left="1573" w:right="0" w:hanging="521"/>
        <w:jc w:val="left"/>
        <w:rPr>
          <w:sz w:val="21"/>
        </w:rPr>
      </w:pPr>
      <w:r>
        <w:rPr>
          <w:spacing w:val="-3"/>
          <w:sz w:val="21"/>
        </w:rPr>
        <w:t>合同成立与生效</w:t>
      </w:r>
    </w:p>
    <w:p>
      <w:pPr>
        <w:pStyle w:val="ListParagraph"/>
        <w:numPr>
          <w:ilvl w:val="1"/>
          <w:numId w:val="1"/>
        </w:numPr>
        <w:tabs>
          <w:tab w:pos="1577" w:val="left" w:leader="none"/>
          <w:tab w:pos="1578" w:val="left" w:leader="none"/>
        </w:tabs>
        <w:spacing w:line="240" w:lineRule="auto" w:before="37" w:after="0"/>
        <w:ind w:left="1573" w:right="0" w:hanging="521"/>
        <w:jc w:val="left"/>
        <w:rPr>
          <w:sz w:val="21"/>
        </w:rPr>
      </w:pPr>
      <w:r>
        <w:rPr>
          <w:spacing w:val="-2"/>
          <w:sz w:val="21"/>
        </w:rPr>
        <w:t>合同效力</w:t>
      </w:r>
    </w:p>
    <w:p>
      <w:pPr>
        <w:pStyle w:val="ListParagraph"/>
        <w:numPr>
          <w:ilvl w:val="1"/>
          <w:numId w:val="1"/>
        </w:numPr>
        <w:tabs>
          <w:tab w:pos="1577" w:val="left" w:leader="none"/>
          <w:tab w:pos="1578" w:val="left" w:leader="none"/>
        </w:tabs>
        <w:spacing w:line="240" w:lineRule="auto" w:before="37" w:after="0"/>
        <w:ind w:left="1573" w:right="0" w:hanging="521"/>
        <w:jc w:val="left"/>
        <w:rPr>
          <w:sz w:val="21"/>
        </w:rPr>
      </w:pPr>
      <w:r>
        <w:rPr>
          <w:spacing w:val="-3"/>
          <w:sz w:val="21"/>
        </w:rPr>
        <w:t>合同内容变更</w:t>
      </w:r>
    </w:p>
    <w:p>
      <w:pPr>
        <w:pStyle w:val="ListParagraph"/>
        <w:numPr>
          <w:ilvl w:val="1"/>
          <w:numId w:val="1"/>
        </w:numPr>
        <w:tabs>
          <w:tab w:pos="1577" w:val="left" w:leader="none"/>
          <w:tab w:pos="1578" w:val="left" w:leader="none"/>
        </w:tabs>
        <w:spacing w:line="273" w:lineRule="auto" w:before="37" w:after="0"/>
        <w:ind w:left="1573" w:right="0" w:hanging="521"/>
        <w:jc w:val="left"/>
        <w:rPr>
          <w:sz w:val="21"/>
        </w:rPr>
      </w:pPr>
      <w:r>
        <w:rPr>
          <w:spacing w:val="-3"/>
          <w:sz w:val="21"/>
        </w:rPr>
        <w:t>投保人解除合同的手续及风险</w:t>
      </w:r>
    </w:p>
    <w:p>
      <w:pPr>
        <w:pStyle w:val="ListParagraph"/>
        <w:numPr>
          <w:ilvl w:val="1"/>
          <w:numId w:val="1"/>
        </w:numPr>
        <w:tabs>
          <w:tab w:pos="1577" w:val="left" w:leader="none"/>
          <w:tab w:pos="1578" w:val="left" w:leader="none"/>
        </w:tabs>
        <w:spacing w:line="240" w:lineRule="auto" w:before="8" w:after="0"/>
        <w:ind w:left="1573" w:right="0" w:hanging="521"/>
        <w:jc w:val="left"/>
        <w:rPr>
          <w:sz w:val="21"/>
        </w:rPr>
      </w:pPr>
      <w:r>
        <w:rPr>
          <w:spacing w:val="-2"/>
          <w:sz w:val="21"/>
        </w:rPr>
        <w:t>合同终止</w:t>
      </w:r>
    </w:p>
    <w:p>
      <w:pPr>
        <w:pStyle w:val="BodyText"/>
        <w:ind w:left="841"/>
      </w:pPr>
      <w:r>
        <w:rPr/>
        <w:t>2.我们提供的保障</w:t>
      </w:r>
    </w:p>
    <w:p>
      <w:pPr>
        <w:pStyle w:val="ListParagraph"/>
        <w:numPr>
          <w:ilvl w:val="1"/>
          <w:numId w:val="2"/>
        </w:numPr>
        <w:tabs>
          <w:tab w:pos="1577" w:val="left" w:leader="none"/>
          <w:tab w:pos="1578" w:val="left" w:leader="none"/>
        </w:tabs>
        <w:spacing w:line="240" w:lineRule="auto" w:before="37" w:after="0"/>
        <w:ind w:left="1577" w:right="0" w:hanging="525"/>
        <w:jc w:val="left"/>
        <w:rPr>
          <w:sz w:val="21"/>
        </w:rPr>
      </w:pPr>
      <w:r>
        <w:rPr>
          <w:spacing w:val="-2"/>
          <w:sz w:val="21"/>
        </w:rPr>
        <w:t>保险金额</w:t>
      </w:r>
    </w:p>
    <w:p>
      <w:pPr>
        <w:pStyle w:val="ListParagraph"/>
        <w:numPr>
          <w:ilvl w:val="1"/>
          <w:numId w:val="2"/>
        </w:numPr>
        <w:tabs>
          <w:tab w:pos="1577" w:val="left" w:leader="none"/>
          <w:tab w:pos="1578" w:val="left" w:leader="none"/>
        </w:tabs>
        <w:spacing w:line="240" w:lineRule="auto" w:before="37" w:after="0"/>
        <w:ind w:left="1577" w:right="0" w:hanging="525"/>
        <w:jc w:val="left"/>
        <w:rPr>
          <w:sz w:val="21"/>
        </w:rPr>
      </w:pPr>
      <w:r>
        <w:rPr>
          <w:spacing w:val="-2"/>
          <w:sz w:val="21"/>
        </w:rPr>
        <w:t>保险期间</w:t>
      </w:r>
    </w:p>
    <w:p>
      <w:pPr>
        <w:pStyle w:val="ListParagraph"/>
        <w:numPr>
          <w:ilvl w:val="1"/>
          <w:numId w:val="2"/>
        </w:numPr>
        <w:tabs>
          <w:tab w:pos="1577" w:val="left" w:leader="none"/>
          <w:tab w:pos="1578" w:val="left" w:leader="none"/>
        </w:tabs>
        <w:spacing w:line="240" w:lineRule="auto" w:before="37" w:after="0"/>
        <w:ind w:left="1577" w:right="0" w:hanging="525"/>
        <w:jc w:val="left"/>
        <w:rPr>
          <w:sz w:val="21"/>
        </w:rPr>
      </w:pPr>
      <w:r>
        <w:rPr>
          <w:spacing w:val="-2"/>
          <w:sz w:val="21"/>
        </w:rPr>
        <w:t>保险责任</w:t>
      </w:r>
    </w:p>
    <w:p>
      <w:pPr>
        <w:pStyle w:val="ListParagraph"/>
        <w:numPr>
          <w:ilvl w:val="1"/>
          <w:numId w:val="2"/>
        </w:numPr>
        <w:tabs>
          <w:tab w:pos="1577" w:val="left" w:leader="none"/>
          <w:tab w:pos="1578" w:val="left" w:leader="none"/>
        </w:tabs>
        <w:spacing w:line="240" w:lineRule="auto" w:before="37" w:after="0"/>
        <w:ind w:left="1577" w:right="0" w:hanging="525"/>
        <w:jc w:val="left"/>
        <w:rPr>
          <w:sz w:val="21"/>
        </w:rPr>
      </w:pPr>
      <w:r>
        <w:rPr>
          <w:spacing w:val="-2"/>
          <w:sz w:val="21"/>
        </w:rPr>
        <w:t>责任免除</w:t>
      </w:r>
    </w:p>
    <w:p>
      <w:pPr>
        <w:pStyle w:val="BodyText"/>
        <w:ind w:left="841"/>
      </w:pPr>
      <w:r>
        <w:rPr/>
        <w:t>3.您的权利和义务</w:t>
      </w:r>
    </w:p>
    <w:p>
      <w:pPr>
        <w:pStyle w:val="ListParagraph"/>
        <w:numPr>
          <w:ilvl w:val="1"/>
          <w:numId w:val="3"/>
        </w:numPr>
        <w:tabs>
          <w:tab w:pos="1577" w:val="left" w:leader="none"/>
          <w:tab w:pos="1578" w:val="left" w:leader="none"/>
        </w:tabs>
        <w:spacing w:line="240" w:lineRule="auto" w:before="37" w:after="0"/>
        <w:ind w:left="1577" w:right="0" w:hanging="525"/>
        <w:jc w:val="left"/>
        <w:rPr>
          <w:sz w:val="21"/>
        </w:rPr>
      </w:pPr>
      <w:r>
        <w:rPr>
          <w:spacing w:val="-3"/>
          <w:sz w:val="21"/>
        </w:rPr>
        <w:t>保险费的交纳</w:t>
      </w:r>
    </w:p>
    <w:p>
      <w:pPr>
        <w:pStyle w:val="ListParagraph"/>
        <w:numPr>
          <w:ilvl w:val="1"/>
          <w:numId w:val="3"/>
        </w:numPr>
        <w:tabs>
          <w:tab w:pos="1577" w:val="left" w:leader="none"/>
          <w:tab w:pos="1578" w:val="left" w:leader="none"/>
        </w:tabs>
        <w:spacing w:line="240" w:lineRule="auto" w:before="37" w:after="0"/>
        <w:ind w:left="1577" w:right="0" w:hanging="525"/>
        <w:jc w:val="left"/>
        <w:rPr>
          <w:sz w:val="21"/>
        </w:rPr>
      </w:pPr>
      <w:r>
        <w:rPr>
          <w:sz w:val="21"/>
        </w:rPr>
        <w:t>减保</w:t>
      </w:r>
    </w:p>
    <w:p>
      <w:pPr>
        <w:pStyle w:val="BodyText"/>
        <w:spacing w:before="51"/>
        <w:ind w:left="841"/>
      </w:pPr>
      <w:r>
        <w:rPr/>
        <w:br w:type="column"/>
      </w:r>
      <w:r>
        <w:rPr/>
        <w:t>4.如何申请领取保险金</w:t>
      </w:r>
    </w:p>
    <w:p>
      <w:pPr>
        <w:pStyle w:val="ListParagraph"/>
        <w:numPr>
          <w:ilvl w:val="1"/>
          <w:numId w:val="4"/>
        </w:numPr>
        <w:tabs>
          <w:tab w:pos="1577" w:val="left" w:leader="none"/>
          <w:tab w:pos="1578" w:val="left" w:leader="none"/>
        </w:tabs>
        <w:spacing w:line="240" w:lineRule="auto" w:before="37" w:after="0"/>
        <w:ind w:left="1577" w:right="0" w:hanging="525"/>
        <w:jc w:val="left"/>
        <w:rPr>
          <w:sz w:val="21"/>
        </w:rPr>
      </w:pPr>
      <w:r>
        <w:rPr>
          <w:spacing w:val="-3"/>
          <w:sz w:val="21"/>
        </w:rPr>
        <w:t>保险金受益人的指定和变更</w:t>
      </w:r>
    </w:p>
    <w:p>
      <w:pPr>
        <w:pStyle w:val="ListParagraph"/>
        <w:numPr>
          <w:ilvl w:val="1"/>
          <w:numId w:val="4"/>
        </w:numPr>
        <w:tabs>
          <w:tab w:pos="1577" w:val="left" w:leader="none"/>
          <w:tab w:pos="1578" w:val="left" w:leader="none"/>
        </w:tabs>
        <w:spacing w:line="240" w:lineRule="auto" w:before="37" w:after="0"/>
        <w:ind w:left="1577" w:right="0" w:hanging="525"/>
        <w:jc w:val="left"/>
        <w:rPr>
          <w:sz w:val="21"/>
        </w:rPr>
      </w:pPr>
      <w:r>
        <w:rPr>
          <w:spacing w:val="-3"/>
          <w:sz w:val="21"/>
        </w:rPr>
        <w:t>保险金的申请</w:t>
      </w:r>
    </w:p>
    <w:p>
      <w:pPr>
        <w:pStyle w:val="BodyText"/>
        <w:ind w:left="841"/>
      </w:pPr>
      <w:r>
        <w:rPr/>
        <w:t>5.基本条款</w:t>
      </w:r>
    </w:p>
    <w:p>
      <w:pPr>
        <w:pStyle w:val="BodyText"/>
        <w:ind w:left="1052"/>
      </w:pPr>
      <w:r>
        <w:rPr/>
        <w:t>5.1 年龄确定与错误处理</w:t>
      </w:r>
    </w:p>
    <w:p>
      <w:pPr>
        <w:pStyle w:val="BodyText"/>
        <w:ind w:left="841"/>
      </w:pPr>
      <w:r>
        <w:rPr/>
        <w:t>6.释义</w:t>
      </w:r>
    </w:p>
    <w:p>
      <w:pPr>
        <w:pStyle w:val="ListParagraph"/>
        <w:numPr>
          <w:ilvl w:val="1"/>
          <w:numId w:val="5"/>
        </w:numPr>
        <w:tabs>
          <w:tab w:pos="1577" w:val="left" w:leader="none"/>
          <w:tab w:pos="1578" w:val="left" w:leader="none"/>
        </w:tabs>
        <w:spacing w:line="240" w:lineRule="auto" w:before="37" w:after="0"/>
        <w:ind w:left="1577" w:right="0" w:hanging="525"/>
        <w:jc w:val="left"/>
        <w:rPr>
          <w:sz w:val="21"/>
        </w:rPr>
      </w:pPr>
      <w:r>
        <w:rPr>
          <w:spacing w:val="-2"/>
          <w:sz w:val="21"/>
        </w:rPr>
        <w:t>现金价值</w:t>
      </w:r>
    </w:p>
    <w:p>
      <w:pPr>
        <w:pStyle w:val="ListParagraph"/>
        <w:numPr>
          <w:ilvl w:val="1"/>
          <w:numId w:val="5"/>
        </w:numPr>
        <w:tabs>
          <w:tab w:pos="1577" w:val="left" w:leader="none"/>
          <w:tab w:pos="1578" w:val="left" w:leader="none"/>
        </w:tabs>
        <w:spacing w:line="240" w:lineRule="auto" w:before="37" w:after="0"/>
        <w:ind w:left="1577" w:right="0" w:hanging="525"/>
        <w:jc w:val="left"/>
        <w:rPr>
          <w:sz w:val="21"/>
        </w:rPr>
      </w:pPr>
      <w:r>
        <w:rPr>
          <w:spacing w:val="-2"/>
          <w:sz w:val="21"/>
        </w:rPr>
        <w:t>认可医院</w:t>
      </w:r>
    </w:p>
    <w:p>
      <w:pPr>
        <w:pStyle w:val="ListParagraph"/>
        <w:numPr>
          <w:ilvl w:val="1"/>
          <w:numId w:val="5"/>
        </w:numPr>
        <w:tabs>
          <w:tab w:pos="1577" w:val="left" w:leader="none"/>
          <w:tab w:pos="1578" w:val="left" w:leader="none"/>
        </w:tabs>
        <w:spacing w:line="240" w:lineRule="auto" w:before="37" w:after="0"/>
        <w:ind w:left="1577" w:right="0" w:hanging="525"/>
        <w:jc w:val="left"/>
        <w:rPr>
          <w:sz w:val="21"/>
        </w:rPr>
      </w:pPr>
      <w:r>
        <w:rPr>
          <w:spacing w:val="-2"/>
          <w:sz w:val="21"/>
        </w:rPr>
        <w:t>专科医生</w:t>
      </w:r>
    </w:p>
    <w:p>
      <w:pPr>
        <w:pStyle w:val="ListParagraph"/>
        <w:numPr>
          <w:ilvl w:val="1"/>
          <w:numId w:val="5"/>
        </w:numPr>
        <w:tabs>
          <w:tab w:pos="1577" w:val="left" w:leader="none"/>
          <w:tab w:pos="1578" w:val="left" w:leader="none"/>
        </w:tabs>
        <w:spacing w:line="240" w:lineRule="auto" w:before="37" w:after="0"/>
        <w:ind w:left="1577" w:right="0" w:hanging="525"/>
        <w:jc w:val="left"/>
        <w:rPr>
          <w:sz w:val="21"/>
        </w:rPr>
      </w:pPr>
      <w:r>
        <w:rPr>
          <w:spacing w:val="-3"/>
          <w:sz w:val="21"/>
        </w:rPr>
        <w:t>本合同所指的特定疾病</w:t>
      </w:r>
    </w:p>
    <w:p>
      <w:pPr>
        <w:pStyle w:val="ListParagraph"/>
        <w:numPr>
          <w:ilvl w:val="1"/>
          <w:numId w:val="5"/>
        </w:numPr>
        <w:tabs>
          <w:tab w:pos="1577" w:val="left" w:leader="none"/>
          <w:tab w:pos="1578" w:val="left" w:leader="none"/>
        </w:tabs>
        <w:spacing w:line="240" w:lineRule="auto" w:before="37" w:after="0"/>
        <w:ind w:left="1577" w:right="0" w:hanging="525"/>
        <w:jc w:val="left"/>
        <w:rPr>
          <w:sz w:val="21"/>
        </w:rPr>
      </w:pPr>
      <w:r>
        <w:rPr>
          <w:spacing w:val="-3"/>
          <w:sz w:val="21"/>
        </w:rPr>
        <w:t>本合同所指的重大疾病</w:t>
      </w:r>
    </w:p>
    <w:p>
      <w:pPr>
        <w:pStyle w:val="ListParagraph"/>
        <w:numPr>
          <w:ilvl w:val="1"/>
          <w:numId w:val="5"/>
        </w:numPr>
        <w:tabs>
          <w:tab w:pos="1577" w:val="left" w:leader="none"/>
          <w:tab w:pos="1578" w:val="left" w:leader="none"/>
        </w:tabs>
        <w:spacing w:line="240" w:lineRule="auto" w:before="37" w:after="0"/>
        <w:ind w:left="1577" w:right="0" w:hanging="525"/>
        <w:jc w:val="left"/>
        <w:rPr>
          <w:sz w:val="21"/>
        </w:rPr>
      </w:pPr>
      <w:r>
        <w:rPr>
          <w:spacing w:val="-2"/>
          <w:sz w:val="21"/>
        </w:rPr>
        <w:t>意外伤害</w:t>
      </w:r>
    </w:p>
    <w:p>
      <w:pPr>
        <w:pStyle w:val="ListParagraph"/>
        <w:numPr>
          <w:ilvl w:val="1"/>
          <w:numId w:val="5"/>
        </w:numPr>
        <w:tabs>
          <w:tab w:pos="1577" w:val="left" w:leader="none"/>
          <w:tab w:pos="1578" w:val="left" w:leader="none"/>
        </w:tabs>
        <w:spacing w:line="240" w:lineRule="auto" w:before="37" w:after="0"/>
        <w:ind w:left="1577" w:right="0" w:hanging="525"/>
        <w:jc w:val="left"/>
        <w:rPr>
          <w:sz w:val="21"/>
        </w:rPr>
      </w:pPr>
      <w:r>
        <w:rPr>
          <w:spacing w:val="-3"/>
          <w:sz w:val="21"/>
        </w:rPr>
        <w:t>遗传性疾病</w:t>
      </w:r>
    </w:p>
    <w:p>
      <w:pPr>
        <w:pStyle w:val="ListParagraph"/>
        <w:numPr>
          <w:ilvl w:val="1"/>
          <w:numId w:val="5"/>
        </w:numPr>
        <w:tabs>
          <w:tab w:pos="1577" w:val="left" w:leader="none"/>
          <w:tab w:pos="1578" w:val="left" w:leader="none"/>
        </w:tabs>
        <w:spacing w:line="240" w:lineRule="auto" w:before="37" w:after="0"/>
        <w:ind w:left="1577" w:right="0" w:hanging="525"/>
        <w:jc w:val="left"/>
        <w:rPr>
          <w:sz w:val="21"/>
        </w:rPr>
      </w:pPr>
      <w:r>
        <w:rPr>
          <w:spacing w:val="-10"/>
          <w:sz w:val="21"/>
        </w:rPr>
        <w:t>先天性畸形、变形或染色体异常</w:t>
      </w:r>
    </w:p>
    <w:p>
      <w:pPr>
        <w:pStyle w:val="ListParagraph"/>
        <w:numPr>
          <w:ilvl w:val="1"/>
          <w:numId w:val="5"/>
        </w:numPr>
        <w:tabs>
          <w:tab w:pos="1577" w:val="left" w:leader="none"/>
          <w:tab w:pos="1578" w:val="left" w:leader="none"/>
        </w:tabs>
        <w:spacing w:line="240" w:lineRule="auto" w:before="37" w:after="0"/>
        <w:ind w:left="1577" w:right="0" w:hanging="525"/>
        <w:jc w:val="left"/>
        <w:rPr>
          <w:sz w:val="21"/>
        </w:rPr>
      </w:pPr>
      <w:r>
        <w:rPr>
          <w:spacing w:val="-3"/>
          <w:sz w:val="21"/>
        </w:rPr>
        <w:t>感染艾滋病病毒或患艾滋病</w:t>
      </w:r>
    </w:p>
    <w:p>
      <w:pPr>
        <w:spacing w:after="0" w:line="240" w:lineRule="auto"/>
        <w:jc w:val="left"/>
        <w:rPr>
          <w:sz w:val="21"/>
        </w:rPr>
        <w:sectPr>
          <w:type w:val="continuous"/>
          <w:pgSz w:w="11910" w:h="16840"/>
          <w:pgMar w:top="1120" w:bottom="1180" w:left="920" w:right="320"/>
          <w:cols w:num="2" w:equalWidth="0">
            <w:col w:w="3050" w:space="1664"/>
            <w:col w:w="5956"/>
          </w:cols>
        </w:sectPr>
      </w:pPr>
    </w:p>
    <w:p>
      <w:pPr>
        <w:pStyle w:val="BodyText"/>
        <w:spacing w:before="5"/>
        <w:rPr>
          <w:sz w:val="28"/>
        </w:rPr>
      </w:pPr>
    </w:p>
    <w:p>
      <w:pPr>
        <w:spacing w:line="408" w:lineRule="auto" w:before="14"/>
        <w:ind w:left="3109" w:right="3119" w:firstLine="0"/>
        <w:jc w:val="left"/>
        <w:rPr>
          <w:sz w:val="28"/>
        </w:rPr>
      </w:pPr>
      <w:r>
        <w:rPr>
          <w:sz w:val="28"/>
        </w:rPr>
        <w:t>新华人寿保险股份有限公司附加鑫康重大疾病保险条款</w:t>
      </w:r>
    </w:p>
    <w:p>
      <w:pPr>
        <w:pStyle w:val="BodyText"/>
        <w:spacing w:before="11"/>
        <w:rPr>
          <w:sz w:val="16"/>
        </w:rPr>
      </w:pPr>
    </w:p>
    <w:p>
      <w:pPr>
        <w:pStyle w:val="Heading1"/>
        <w:numPr>
          <w:ilvl w:val="0"/>
          <w:numId w:val="6"/>
        </w:numPr>
        <w:tabs>
          <w:tab w:pos="903" w:val="left" w:leader="none"/>
          <w:tab w:pos="904" w:val="left" w:leader="none"/>
        </w:tabs>
        <w:spacing w:line="240" w:lineRule="auto" w:before="26" w:after="0"/>
        <w:ind w:left="903" w:right="0" w:hanging="694"/>
        <w:jc w:val="left"/>
      </w:pPr>
      <w:r>
        <w:rPr/>
        <w:pict>
          <v:group style="position:absolute;margin-left:63.098259pt;margin-top:18.915594pt;width:469.45pt;height:1pt;mso-position-horizontal-relative:page;mso-position-vertical-relative:paragraph;z-index:1048;mso-wrap-distance-left:0;mso-wrap-distance-right:0" coordorigin="1262,378" coordsize="9389,20">
            <v:line style="position:absolute" from="1262,388" to="1956,388" stroked="true" strokeweight=".95999pt" strokecolor="#000000">
              <v:stroke dashstyle="solid"/>
            </v:line>
            <v:rect style="position:absolute;left:1955;top:378;width:20;height:20" filled="true" fillcolor="#000000" stroked="false">
              <v:fill type="solid"/>
            </v:rect>
            <v:line style="position:absolute" from="1975,388" to="3235,388" stroked="true" strokeweight=".95999pt" strokecolor="#000000">
              <v:stroke dashstyle="solid"/>
            </v:line>
            <v:rect style="position:absolute;left:3234;top:378;width:20;height:20" filled="true" fillcolor="#000000" stroked="false">
              <v:fill type="solid"/>
            </v:rect>
            <v:line style="position:absolute" from="3254,388" to="10651,388" stroked="true" strokeweight=".95999pt" strokecolor="#000000">
              <v:stroke dashstyle="solid"/>
            </v:line>
            <w10:wrap type="topAndBottom"/>
          </v:group>
        </w:pict>
      </w:r>
      <w:r>
        <w:rPr/>
        <w:t>您与我们的合同</w:t>
      </w:r>
    </w:p>
    <w:p>
      <w:pPr>
        <w:pStyle w:val="BodyText"/>
        <w:spacing w:before="11"/>
        <w:rPr>
          <w:sz w:val="17"/>
        </w:rPr>
      </w:pPr>
    </w:p>
    <w:p>
      <w:pPr>
        <w:pStyle w:val="ListParagraph"/>
        <w:numPr>
          <w:ilvl w:val="1"/>
          <w:numId w:val="6"/>
        </w:numPr>
        <w:tabs>
          <w:tab w:pos="904" w:val="left" w:leader="none"/>
        </w:tabs>
        <w:spacing w:line="273" w:lineRule="auto" w:before="36" w:after="0"/>
        <w:ind w:left="2182" w:right="218" w:hanging="1973"/>
        <w:jc w:val="both"/>
        <w:rPr>
          <w:sz w:val="21"/>
        </w:rPr>
      </w:pPr>
      <w:r>
        <w:rPr>
          <w:w w:val="100"/>
          <w:sz w:val="21"/>
        </w:rPr>
        <w:t>合同构成</w:t>
      </w:r>
      <w:r>
        <w:rPr>
          <w:sz w:val="21"/>
        </w:rPr>
        <w:t>        </w:t>
      </w:r>
      <w:r>
        <w:rPr>
          <w:spacing w:val="-4"/>
          <w:w w:val="100"/>
          <w:sz w:val="21"/>
        </w:rPr>
        <w:t>附加鑫康重大疾病保险合同</w:t>
      </w:r>
      <w:r>
        <w:rPr>
          <w:w w:val="100"/>
          <w:sz w:val="21"/>
        </w:rPr>
        <w:t>（</w:t>
      </w:r>
      <w:r>
        <w:rPr>
          <w:spacing w:val="-17"/>
          <w:w w:val="100"/>
          <w:sz w:val="21"/>
        </w:rPr>
        <w:t>以下简称“本合同”</w:t>
      </w:r>
      <w:r>
        <w:rPr>
          <w:spacing w:val="-15"/>
          <w:w w:val="100"/>
          <w:sz w:val="21"/>
        </w:rPr>
        <w:t>）</w:t>
      </w:r>
      <w:r>
        <w:rPr>
          <w:spacing w:val="-4"/>
          <w:w w:val="100"/>
          <w:sz w:val="21"/>
        </w:rPr>
        <w:t>是主保险合同</w:t>
      </w:r>
      <w:r>
        <w:rPr>
          <w:spacing w:val="-3"/>
          <w:w w:val="100"/>
          <w:sz w:val="21"/>
        </w:rPr>
        <w:t>（</w:t>
      </w:r>
      <w:r>
        <w:rPr>
          <w:spacing w:val="-2"/>
          <w:w w:val="100"/>
          <w:sz w:val="21"/>
        </w:rPr>
        <w:t>以下简</w:t>
      </w:r>
      <w:r>
        <w:rPr>
          <w:spacing w:val="-20"/>
          <w:w w:val="100"/>
          <w:sz w:val="21"/>
        </w:rPr>
        <w:t>称“主险合同”</w:t>
      </w:r>
      <w:r>
        <w:rPr>
          <w:spacing w:val="-17"/>
          <w:w w:val="100"/>
          <w:sz w:val="21"/>
        </w:rPr>
        <w:t>）</w:t>
      </w:r>
      <w:r>
        <w:rPr>
          <w:spacing w:val="-6"/>
          <w:w w:val="100"/>
          <w:sz w:val="21"/>
        </w:rPr>
        <w:t>的附加合同。本合同由保险单及所附附加鑫康重大疾病保险条</w:t>
      </w:r>
      <w:r>
        <w:rPr>
          <w:spacing w:val="-6"/>
          <w:sz w:val="21"/>
        </w:rPr>
        <w:t>款（</w:t>
      </w:r>
      <w:r>
        <w:rPr>
          <w:spacing w:val="-15"/>
          <w:sz w:val="21"/>
        </w:rPr>
        <w:t>以下简称“本条款”</w:t>
      </w:r>
      <w:r>
        <w:rPr>
          <w:spacing w:val="-107"/>
          <w:sz w:val="21"/>
        </w:rPr>
        <w:t>）</w:t>
      </w:r>
      <w:r>
        <w:rPr>
          <w:spacing w:val="-3"/>
          <w:sz w:val="21"/>
        </w:rPr>
        <w:t>、投保单、与本合同有关的其他投保文件、健康告知书、变更申请书、复效申请书、声明、批注、附贴批单及其他书面协议构成。</w:t>
      </w:r>
    </w:p>
    <w:p>
      <w:pPr>
        <w:pStyle w:val="BodyText"/>
        <w:spacing w:before="5"/>
        <w:rPr>
          <w:sz w:val="24"/>
        </w:rPr>
      </w:pPr>
    </w:p>
    <w:p>
      <w:pPr>
        <w:pStyle w:val="ListParagraph"/>
        <w:numPr>
          <w:ilvl w:val="1"/>
          <w:numId w:val="6"/>
        </w:numPr>
        <w:tabs>
          <w:tab w:pos="903" w:val="left" w:leader="none"/>
          <w:tab w:pos="904" w:val="left" w:leader="none"/>
          <w:tab w:pos="2602" w:val="left" w:leader="none"/>
        </w:tabs>
        <w:spacing w:line="240" w:lineRule="auto" w:before="0" w:after="0"/>
        <w:ind w:left="2182" w:right="0" w:hanging="1973"/>
        <w:jc w:val="left"/>
        <w:rPr>
          <w:sz w:val="21"/>
        </w:rPr>
      </w:pPr>
      <w:r>
        <w:rPr>
          <w:sz w:val="21"/>
        </w:rPr>
        <w:t>投保范围</w:t>
        <w:tab/>
        <w:t>本合</w:t>
      </w:r>
      <w:r>
        <w:rPr>
          <w:spacing w:val="-3"/>
          <w:sz w:val="21"/>
        </w:rPr>
        <w:t>同</w:t>
      </w:r>
      <w:r>
        <w:rPr>
          <w:sz w:val="21"/>
        </w:rPr>
        <w:t>的</w:t>
      </w:r>
      <w:r>
        <w:rPr>
          <w:spacing w:val="-3"/>
          <w:sz w:val="21"/>
        </w:rPr>
        <w:t>投</w:t>
      </w:r>
      <w:r>
        <w:rPr>
          <w:sz w:val="21"/>
        </w:rPr>
        <w:t>保</w:t>
      </w:r>
      <w:r>
        <w:rPr>
          <w:spacing w:val="-3"/>
          <w:sz w:val="21"/>
        </w:rPr>
        <w:t>人</w:t>
      </w:r>
      <w:r>
        <w:rPr>
          <w:sz w:val="21"/>
        </w:rPr>
        <w:t>、</w:t>
      </w:r>
      <w:r>
        <w:rPr>
          <w:spacing w:val="-3"/>
          <w:sz w:val="21"/>
        </w:rPr>
        <w:t>被</w:t>
      </w:r>
      <w:r>
        <w:rPr>
          <w:sz w:val="21"/>
        </w:rPr>
        <w:t>保</w:t>
      </w:r>
      <w:r>
        <w:rPr>
          <w:spacing w:val="-3"/>
          <w:sz w:val="21"/>
        </w:rPr>
        <w:t>险</w:t>
      </w:r>
      <w:r>
        <w:rPr>
          <w:sz w:val="21"/>
        </w:rPr>
        <w:t>人与</w:t>
      </w:r>
      <w:r>
        <w:rPr>
          <w:spacing w:val="-3"/>
          <w:sz w:val="21"/>
        </w:rPr>
        <w:t>主</w:t>
      </w:r>
      <w:r>
        <w:rPr>
          <w:sz w:val="21"/>
        </w:rPr>
        <w:t>险</w:t>
      </w:r>
      <w:r>
        <w:rPr>
          <w:spacing w:val="-3"/>
          <w:sz w:val="21"/>
        </w:rPr>
        <w:t>合</w:t>
      </w:r>
      <w:r>
        <w:rPr>
          <w:sz w:val="21"/>
        </w:rPr>
        <w:t>同</w:t>
      </w:r>
      <w:r>
        <w:rPr>
          <w:spacing w:val="-3"/>
          <w:sz w:val="21"/>
        </w:rPr>
        <w:t>相</w:t>
      </w:r>
      <w:r>
        <w:rPr>
          <w:sz w:val="21"/>
        </w:rPr>
        <w:t>同。</w:t>
      </w:r>
    </w:p>
    <w:p>
      <w:pPr>
        <w:pStyle w:val="BodyText"/>
        <w:spacing w:before="11"/>
        <w:rPr>
          <w:sz w:val="23"/>
        </w:rPr>
      </w:pPr>
    </w:p>
    <w:p>
      <w:pPr>
        <w:spacing w:after="0"/>
        <w:rPr>
          <w:sz w:val="23"/>
        </w:rPr>
        <w:sectPr>
          <w:pgSz w:w="11910" w:h="16840"/>
          <w:pgMar w:header="879" w:footer="999" w:top="1120" w:bottom="1180" w:left="1160" w:right="1140"/>
        </w:sectPr>
      </w:pPr>
    </w:p>
    <w:p>
      <w:pPr>
        <w:pStyle w:val="ListParagraph"/>
        <w:numPr>
          <w:ilvl w:val="1"/>
          <w:numId w:val="6"/>
        </w:numPr>
        <w:tabs>
          <w:tab w:pos="903" w:val="left" w:leader="none"/>
          <w:tab w:pos="904" w:val="left" w:leader="none"/>
        </w:tabs>
        <w:spacing w:line="273" w:lineRule="auto" w:before="37" w:after="0"/>
        <w:ind w:left="903" w:right="0" w:hanging="694"/>
        <w:jc w:val="left"/>
        <w:rPr>
          <w:sz w:val="21"/>
        </w:rPr>
      </w:pPr>
      <w:r>
        <w:rPr>
          <w:sz w:val="21"/>
        </w:rPr>
        <w:t>合同成立与生效</w:t>
      </w:r>
    </w:p>
    <w:p>
      <w:pPr>
        <w:pStyle w:val="BodyText"/>
        <w:spacing w:line="273" w:lineRule="auto"/>
        <w:ind w:left="173" w:right="275" w:firstLine="420"/>
        <w:jc w:val="both"/>
      </w:pPr>
      <w:r>
        <w:rPr/>
        <w:br w:type="column"/>
      </w:r>
      <w:r>
        <w:rPr/>
        <w:t>您提出保险申请、本公司同意承保，本合同成立，合同成立日期在保险单上载明。</w:t>
      </w:r>
    </w:p>
    <w:p>
      <w:pPr>
        <w:pStyle w:val="BodyText"/>
        <w:spacing w:line="273" w:lineRule="auto" w:before="7"/>
        <w:ind w:left="173" w:right="251" w:firstLine="422"/>
        <w:jc w:val="both"/>
      </w:pPr>
      <w:r>
        <w:rPr/>
        <w:t>除另有约定外，自本合同成立、本公司收取首期保险费并签发保险单的次日零时起本合同生效，本公司开始承担保险责任，合同生效日期在保险单上载明。本合同生效日即为保单生效日。</w:t>
      </w:r>
    </w:p>
    <w:p>
      <w:pPr>
        <w:spacing w:after="0" w:line="273" w:lineRule="auto"/>
        <w:jc w:val="both"/>
        <w:sectPr>
          <w:type w:val="continuous"/>
          <w:pgSz w:w="11910" w:h="16840"/>
          <w:pgMar w:top="1120" w:bottom="1180" w:left="1160" w:right="1140"/>
          <w:cols w:num="2" w:equalWidth="0">
            <w:col w:w="1970" w:space="40"/>
            <w:col w:w="7600"/>
          </w:cols>
        </w:sectPr>
      </w:pPr>
    </w:p>
    <w:p>
      <w:pPr>
        <w:pStyle w:val="BodyText"/>
        <w:spacing w:before="8"/>
      </w:pPr>
    </w:p>
    <w:p>
      <w:pPr>
        <w:pStyle w:val="ListParagraph"/>
        <w:numPr>
          <w:ilvl w:val="1"/>
          <w:numId w:val="6"/>
        </w:numPr>
        <w:tabs>
          <w:tab w:pos="903" w:val="left" w:leader="none"/>
          <w:tab w:pos="904" w:val="left" w:leader="none"/>
          <w:tab w:pos="2602" w:val="left" w:leader="none"/>
        </w:tabs>
        <w:spacing w:line="273" w:lineRule="auto" w:before="36" w:after="0"/>
        <w:ind w:left="2182" w:right="112" w:hanging="1973"/>
        <w:jc w:val="left"/>
        <w:rPr>
          <w:sz w:val="21"/>
        </w:rPr>
      </w:pPr>
      <w:r>
        <w:rPr>
          <w:sz w:val="21"/>
        </w:rPr>
        <w:t>合同效力</w:t>
        <w:tab/>
        <w:tab/>
      </w:r>
      <w:r>
        <w:rPr>
          <w:spacing w:val="-1"/>
          <w:sz w:val="21"/>
        </w:rPr>
        <w:t>主</w:t>
      </w:r>
      <w:r>
        <w:rPr>
          <w:sz w:val="21"/>
        </w:rPr>
        <w:t>险</w:t>
      </w:r>
      <w:r>
        <w:rPr>
          <w:spacing w:val="-3"/>
          <w:sz w:val="21"/>
        </w:rPr>
        <w:t>合</w:t>
      </w:r>
      <w:r>
        <w:rPr>
          <w:sz w:val="21"/>
        </w:rPr>
        <w:t>同</w:t>
      </w:r>
      <w:r>
        <w:rPr>
          <w:spacing w:val="-3"/>
          <w:sz w:val="21"/>
        </w:rPr>
        <w:t>中</w:t>
      </w:r>
      <w:r>
        <w:rPr>
          <w:sz w:val="21"/>
        </w:rPr>
        <w:t>的</w:t>
      </w:r>
      <w:r>
        <w:rPr>
          <w:spacing w:val="-3"/>
          <w:sz w:val="21"/>
        </w:rPr>
        <w:t>续</w:t>
      </w:r>
      <w:r>
        <w:rPr>
          <w:sz w:val="21"/>
        </w:rPr>
        <w:t>期</w:t>
      </w:r>
      <w:r>
        <w:rPr>
          <w:spacing w:val="-3"/>
          <w:sz w:val="21"/>
        </w:rPr>
        <w:t>保</w:t>
      </w:r>
      <w:r>
        <w:rPr>
          <w:sz w:val="21"/>
        </w:rPr>
        <w:t>险</w:t>
      </w:r>
      <w:r>
        <w:rPr>
          <w:spacing w:val="-3"/>
          <w:sz w:val="21"/>
        </w:rPr>
        <w:t>费</w:t>
      </w:r>
      <w:r>
        <w:rPr>
          <w:sz w:val="21"/>
        </w:rPr>
        <w:t>的交</w:t>
      </w:r>
      <w:r>
        <w:rPr>
          <w:spacing w:val="-3"/>
          <w:sz w:val="21"/>
        </w:rPr>
        <w:t>纳</w:t>
      </w:r>
      <w:r>
        <w:rPr>
          <w:spacing w:val="-17"/>
          <w:sz w:val="21"/>
        </w:rPr>
        <w:t>、</w:t>
      </w:r>
      <w:r>
        <w:rPr>
          <w:sz w:val="21"/>
        </w:rPr>
        <w:t>宽</w:t>
      </w:r>
      <w:r>
        <w:rPr>
          <w:spacing w:val="-3"/>
          <w:sz w:val="21"/>
        </w:rPr>
        <w:t>限期</w:t>
      </w:r>
      <w:r>
        <w:rPr>
          <w:spacing w:val="-15"/>
          <w:sz w:val="21"/>
        </w:rPr>
        <w:t>、</w:t>
      </w:r>
      <w:r>
        <w:rPr>
          <w:spacing w:val="-3"/>
          <w:sz w:val="21"/>
        </w:rPr>
        <w:t>合</w:t>
      </w:r>
      <w:r>
        <w:rPr>
          <w:sz w:val="21"/>
        </w:rPr>
        <w:t>同</w:t>
      </w:r>
      <w:r>
        <w:rPr>
          <w:spacing w:val="-3"/>
          <w:sz w:val="21"/>
        </w:rPr>
        <w:t>效</w:t>
      </w:r>
      <w:r>
        <w:rPr>
          <w:sz w:val="21"/>
        </w:rPr>
        <w:t>力中</w:t>
      </w:r>
      <w:r>
        <w:rPr>
          <w:spacing w:val="-3"/>
          <w:sz w:val="21"/>
        </w:rPr>
        <w:t>止</w:t>
      </w:r>
      <w:r>
        <w:rPr>
          <w:spacing w:val="-17"/>
          <w:sz w:val="21"/>
        </w:rPr>
        <w:t>、</w:t>
      </w:r>
      <w:r>
        <w:rPr>
          <w:sz w:val="21"/>
        </w:rPr>
        <w:t>合</w:t>
      </w:r>
      <w:r>
        <w:rPr>
          <w:spacing w:val="-3"/>
          <w:sz w:val="21"/>
        </w:rPr>
        <w:t>同</w:t>
      </w:r>
      <w:r>
        <w:rPr>
          <w:sz w:val="21"/>
        </w:rPr>
        <w:t>效</w:t>
      </w:r>
      <w:r>
        <w:rPr>
          <w:spacing w:val="-3"/>
          <w:sz w:val="21"/>
        </w:rPr>
        <w:t>力</w:t>
      </w:r>
      <w:r>
        <w:rPr>
          <w:sz w:val="21"/>
        </w:rPr>
        <w:t>恢</w:t>
      </w:r>
      <w:r>
        <w:rPr>
          <w:spacing w:val="-3"/>
          <w:sz w:val="21"/>
        </w:rPr>
        <w:t>复</w:t>
      </w:r>
      <w:r>
        <w:rPr>
          <w:sz w:val="21"/>
        </w:rPr>
        <w:t>、 保单贷款、保险事故通知、保险金的给付、欠交保险费及未还款项的扣除、明确说明与如实告知、本公司合同解除权的限制、联系方式变更、失踪处理、争议处理事项以及释义适用于本合同。本合同内容与主险合同相抵触的，以本合同为</w:t>
      </w:r>
      <w:r>
        <w:rPr>
          <w:spacing w:val="-3"/>
          <w:sz w:val="21"/>
        </w:rPr>
        <w:t>准</w:t>
      </w:r>
      <w:r>
        <w:rPr>
          <w:sz w:val="21"/>
        </w:rPr>
        <w:t>。</w:t>
      </w:r>
    </w:p>
    <w:p>
      <w:pPr>
        <w:pStyle w:val="BodyText"/>
        <w:spacing w:line="273" w:lineRule="auto" w:before="7"/>
        <w:ind w:left="2602" w:right="4055"/>
      </w:pPr>
      <w:r>
        <w:rPr/>
        <w:t>主险合同无效，本合同亦无效。主险合同中止，本合同中止。</w:t>
      </w:r>
    </w:p>
    <w:p>
      <w:pPr>
        <w:pStyle w:val="BodyText"/>
        <w:spacing w:before="7"/>
        <w:ind w:left="2602"/>
      </w:pPr>
      <w:r>
        <w:rPr/>
        <w:t>主险合同终止，本合同终止。</w:t>
      </w:r>
    </w:p>
    <w:p>
      <w:pPr>
        <w:pStyle w:val="BodyText"/>
        <w:spacing w:line="273" w:lineRule="auto"/>
        <w:ind w:left="2182" w:right="220" w:firstLine="420"/>
      </w:pPr>
      <w:r>
        <w:rPr/>
        <w:t>主险合同因责任免除条款所列事项而终止的，本公司退还本合同的现金价</w:t>
      </w:r>
      <w:r>
        <w:rPr>
          <w:spacing w:val="-1"/>
        </w:rPr>
        <w:t>值（</w:t>
      </w:r>
      <w:r>
        <w:rPr>
          <w:spacing w:val="-3"/>
        </w:rPr>
        <w:t>详见释义</w:t>
      </w:r>
      <w:r>
        <w:rPr>
          <w:spacing w:val="-108"/>
        </w:rPr>
        <w:t>）</w:t>
      </w:r>
      <w:r>
        <w:rPr/>
        <w:t>。</w:t>
      </w:r>
    </w:p>
    <w:p>
      <w:pPr>
        <w:pStyle w:val="BodyText"/>
        <w:spacing w:before="8"/>
      </w:pPr>
    </w:p>
    <w:p>
      <w:pPr>
        <w:spacing w:after="0"/>
        <w:sectPr>
          <w:type w:val="continuous"/>
          <w:pgSz w:w="11910" w:h="16840"/>
          <w:pgMar w:top="1120" w:bottom="1180" w:left="1160" w:right="1140"/>
        </w:sectPr>
      </w:pPr>
    </w:p>
    <w:p>
      <w:pPr>
        <w:pStyle w:val="ListParagraph"/>
        <w:numPr>
          <w:ilvl w:val="1"/>
          <w:numId w:val="6"/>
        </w:numPr>
        <w:tabs>
          <w:tab w:pos="903" w:val="left" w:leader="none"/>
          <w:tab w:pos="904" w:val="left" w:leader="none"/>
        </w:tabs>
        <w:spacing w:line="273" w:lineRule="auto" w:before="37" w:after="0"/>
        <w:ind w:left="903" w:right="0" w:hanging="694"/>
        <w:jc w:val="left"/>
        <w:rPr>
          <w:sz w:val="21"/>
        </w:rPr>
      </w:pPr>
      <w:r>
        <w:rPr>
          <w:sz w:val="21"/>
        </w:rPr>
        <w:t>合同内容变更</w:t>
      </w:r>
    </w:p>
    <w:p>
      <w:pPr>
        <w:pStyle w:val="BodyText"/>
        <w:spacing w:line="273" w:lineRule="auto"/>
        <w:ind w:left="173" w:right="275" w:firstLine="420"/>
      </w:pPr>
      <w:r>
        <w:rPr/>
        <w:br w:type="column"/>
      </w:r>
      <w:r>
        <w:rPr/>
        <w:t>您和本公司可以协商变更本合同的有关内容。变更本合同的，由本公司在保险单上批注或附贴批单，或由您和本公司订立变更的书面协议。</w:t>
      </w:r>
    </w:p>
    <w:p>
      <w:pPr>
        <w:spacing w:after="0" w:line="273" w:lineRule="auto"/>
        <w:sectPr>
          <w:type w:val="continuous"/>
          <w:pgSz w:w="11910" w:h="16840"/>
          <w:pgMar w:top="1120" w:bottom="1180" w:left="1160" w:right="1140"/>
          <w:cols w:num="2" w:equalWidth="0">
            <w:col w:w="1970" w:space="40"/>
            <w:col w:w="7600"/>
          </w:cols>
        </w:sectPr>
      </w:pPr>
    </w:p>
    <w:p>
      <w:pPr>
        <w:pStyle w:val="BodyText"/>
        <w:spacing w:before="8"/>
      </w:pPr>
    </w:p>
    <w:p>
      <w:pPr>
        <w:spacing w:after="0"/>
        <w:sectPr>
          <w:type w:val="continuous"/>
          <w:pgSz w:w="11910" w:h="16840"/>
          <w:pgMar w:top="1120" w:bottom="1180" w:left="1160" w:right="1140"/>
        </w:sectPr>
      </w:pPr>
    </w:p>
    <w:p>
      <w:pPr>
        <w:pStyle w:val="ListParagraph"/>
        <w:numPr>
          <w:ilvl w:val="1"/>
          <w:numId w:val="6"/>
        </w:numPr>
        <w:tabs>
          <w:tab w:pos="904" w:val="left" w:leader="none"/>
        </w:tabs>
        <w:spacing w:line="273" w:lineRule="auto" w:before="37" w:after="0"/>
        <w:ind w:left="903" w:right="0" w:hanging="694"/>
        <w:jc w:val="both"/>
        <w:rPr>
          <w:sz w:val="21"/>
        </w:rPr>
      </w:pPr>
      <w:r>
        <w:rPr>
          <w:sz w:val="21"/>
        </w:rPr>
        <w:t>投保人解除合同的手续及风险</w:t>
      </w:r>
    </w:p>
    <w:p>
      <w:pPr>
        <w:pStyle w:val="BodyText"/>
        <w:ind w:left="603"/>
      </w:pPr>
      <w:r>
        <w:rPr/>
        <w:br w:type="column"/>
      </w:r>
      <w:r>
        <w:rPr/>
        <w:t>1.本合同生效后，本公司为您提供 15 日的犹豫期，犹豫期指您收到保险单</w:t>
      </w:r>
    </w:p>
    <w:p>
      <w:pPr>
        <w:pStyle w:val="BodyText"/>
        <w:ind w:left="183"/>
      </w:pPr>
      <w:r>
        <w:rPr/>
        <w:t>并书面签收之日起 15 日的期间，您在上述期间内要求解除本合同的，本公司自</w:t>
      </w:r>
    </w:p>
    <w:p>
      <w:pPr>
        <w:pStyle w:val="BodyText"/>
        <w:ind w:left="183"/>
      </w:pPr>
      <w:r>
        <w:rPr/>
        <w:t>本合同解除之日起 10 日内在扣除工本费后退还本保险实际交纳的保险费。</w:t>
      </w:r>
    </w:p>
    <w:p>
      <w:pPr>
        <w:pStyle w:val="BodyText"/>
        <w:spacing w:line="273" w:lineRule="auto"/>
        <w:ind w:left="183" w:right="218" w:firstLine="420"/>
      </w:pPr>
      <w:r>
        <w:rPr/>
        <w:t>2.</w:t>
      </w:r>
      <w:r>
        <w:rPr>
          <w:spacing w:val="-8"/>
        </w:rPr>
        <w:t>您在犹豫期后要求解除本合同的，本公司自本合同解除之日起 </w:t>
      </w:r>
      <w:r>
        <w:rPr/>
        <w:t>10</w:t>
      </w:r>
      <w:r>
        <w:rPr>
          <w:spacing w:val="-11"/>
        </w:rPr>
        <w:t> 日内向</w:t>
      </w:r>
      <w:r>
        <w:rPr>
          <w:spacing w:val="-3"/>
        </w:rPr>
        <w:t>您退还保险单的现金价值。您犹豫期后解除合同可能会遭受一定损失。</w:t>
      </w:r>
    </w:p>
    <w:p>
      <w:pPr>
        <w:pStyle w:val="BodyText"/>
        <w:spacing w:before="7"/>
        <w:ind w:left="603"/>
      </w:pPr>
      <w:r>
        <w:rPr/>
        <w:t>3.您要求解除本合同时，应填写合同解除申请书，并提供下列证明和资料：</w:t>
      </w:r>
    </w:p>
    <w:p>
      <w:pPr>
        <w:pStyle w:val="BodyText"/>
        <w:spacing w:before="36"/>
        <w:ind w:left="603"/>
      </w:pPr>
      <w:r>
        <w:rPr/>
        <w:t>（1）保险合同；</w:t>
      </w:r>
    </w:p>
    <w:p>
      <w:pPr>
        <w:pStyle w:val="BodyText"/>
        <w:spacing w:before="36"/>
        <w:ind w:left="603"/>
      </w:pPr>
      <w:r>
        <w:rPr/>
        <w:t>（2）您的有效身份证件。</w:t>
      </w:r>
    </w:p>
    <w:p>
      <w:pPr>
        <w:pStyle w:val="BodyText"/>
        <w:spacing w:before="36"/>
        <w:ind w:left="603"/>
      </w:pPr>
      <w:r>
        <w:rPr/>
        <w:t>自本公司收到合同解除申请书及上述证明和资料之日起，本合同终止。</w:t>
      </w:r>
    </w:p>
    <w:p>
      <w:pPr>
        <w:pStyle w:val="BodyText"/>
        <w:spacing w:before="36"/>
        <w:ind w:left="603"/>
      </w:pPr>
      <w:r>
        <w:rPr/>
        <w:t>4.如您解除主险合同，本合同须同时解除。</w:t>
      </w:r>
    </w:p>
    <w:p>
      <w:pPr>
        <w:spacing w:after="0"/>
        <w:sectPr>
          <w:type w:val="continuous"/>
          <w:pgSz w:w="11910" w:h="16840"/>
          <w:pgMar w:top="1120" w:bottom="1180" w:left="1160" w:right="1140"/>
          <w:cols w:num="2" w:equalWidth="0">
            <w:col w:w="1960" w:space="40"/>
            <w:col w:w="7610"/>
          </w:cols>
        </w:sectPr>
      </w:pPr>
    </w:p>
    <w:p>
      <w:pPr>
        <w:pStyle w:val="BodyText"/>
        <w:spacing w:before="0"/>
        <w:rPr>
          <w:sz w:val="20"/>
        </w:rPr>
      </w:pPr>
    </w:p>
    <w:p>
      <w:pPr>
        <w:pStyle w:val="BodyText"/>
        <w:spacing w:before="0"/>
        <w:rPr>
          <w:sz w:val="20"/>
        </w:rPr>
      </w:pPr>
    </w:p>
    <w:p>
      <w:pPr>
        <w:pStyle w:val="BodyText"/>
        <w:spacing w:before="9"/>
        <w:rPr>
          <w:sz w:val="10"/>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3"/>
        <w:gridCol w:w="1881"/>
        <w:gridCol w:w="6893"/>
      </w:tblGrid>
      <w:tr>
        <w:trPr>
          <w:trHeight w:val="261" w:hRule="atLeast"/>
        </w:trPr>
        <w:tc>
          <w:tcPr>
            <w:tcW w:w="613" w:type="dxa"/>
          </w:tcPr>
          <w:p>
            <w:pPr>
              <w:pStyle w:val="TableParagraph"/>
              <w:spacing w:line="211" w:lineRule="exact"/>
              <w:ind w:left="107"/>
              <w:rPr>
                <w:sz w:val="21"/>
              </w:rPr>
            </w:pPr>
            <w:r>
              <w:rPr>
                <w:sz w:val="21"/>
              </w:rPr>
              <w:t>1.7</w:t>
            </w:r>
          </w:p>
        </w:tc>
        <w:tc>
          <w:tcPr>
            <w:tcW w:w="1881" w:type="dxa"/>
          </w:tcPr>
          <w:p>
            <w:pPr>
              <w:pStyle w:val="TableParagraph"/>
              <w:spacing w:line="211" w:lineRule="exact"/>
              <w:ind w:left="188"/>
              <w:rPr>
                <w:sz w:val="21"/>
              </w:rPr>
            </w:pPr>
            <w:r>
              <w:rPr>
                <w:sz w:val="21"/>
              </w:rPr>
              <w:t>合同终止</w:t>
            </w:r>
          </w:p>
        </w:tc>
        <w:tc>
          <w:tcPr>
            <w:tcW w:w="6893" w:type="dxa"/>
          </w:tcPr>
          <w:p>
            <w:pPr>
              <w:pStyle w:val="TableParagraph"/>
              <w:spacing w:line="211" w:lineRule="exact"/>
              <w:ind w:left="6"/>
              <w:rPr>
                <w:sz w:val="21"/>
              </w:rPr>
            </w:pPr>
            <w:r>
              <w:rPr>
                <w:sz w:val="21"/>
              </w:rPr>
              <w:t>以下任何一种情况发生时，本合同终止：</w:t>
            </w:r>
          </w:p>
        </w:tc>
      </w:tr>
      <w:tr>
        <w:trPr>
          <w:trHeight w:val="312" w:hRule="atLeast"/>
        </w:trPr>
        <w:tc>
          <w:tcPr>
            <w:tcW w:w="613" w:type="dxa"/>
          </w:tcPr>
          <w:p>
            <w:pPr>
              <w:pStyle w:val="TableParagraph"/>
              <w:rPr>
                <w:rFonts w:ascii="Times New Roman"/>
                <w:sz w:val="20"/>
              </w:rPr>
            </w:pPr>
          </w:p>
        </w:tc>
        <w:tc>
          <w:tcPr>
            <w:tcW w:w="1881" w:type="dxa"/>
          </w:tcPr>
          <w:p>
            <w:pPr>
              <w:pStyle w:val="TableParagraph"/>
              <w:rPr>
                <w:rFonts w:ascii="Times New Roman"/>
                <w:sz w:val="20"/>
              </w:rPr>
            </w:pPr>
          </w:p>
        </w:tc>
        <w:tc>
          <w:tcPr>
            <w:tcW w:w="6893" w:type="dxa"/>
          </w:tcPr>
          <w:p>
            <w:pPr>
              <w:pStyle w:val="TableParagraph"/>
              <w:spacing w:line="261" w:lineRule="exact"/>
              <w:ind w:left="6"/>
              <w:rPr>
                <w:sz w:val="21"/>
              </w:rPr>
            </w:pPr>
            <w:r>
              <w:rPr>
                <w:sz w:val="21"/>
              </w:rPr>
              <w:t>1.在本合同有效期内解除本合同的；</w:t>
            </w:r>
          </w:p>
        </w:tc>
      </w:tr>
      <w:tr>
        <w:trPr>
          <w:trHeight w:val="312" w:hRule="atLeast"/>
        </w:trPr>
        <w:tc>
          <w:tcPr>
            <w:tcW w:w="613" w:type="dxa"/>
          </w:tcPr>
          <w:p>
            <w:pPr>
              <w:pStyle w:val="TableParagraph"/>
              <w:rPr>
                <w:rFonts w:ascii="Times New Roman"/>
                <w:sz w:val="20"/>
              </w:rPr>
            </w:pPr>
          </w:p>
        </w:tc>
        <w:tc>
          <w:tcPr>
            <w:tcW w:w="1881" w:type="dxa"/>
          </w:tcPr>
          <w:p>
            <w:pPr>
              <w:pStyle w:val="TableParagraph"/>
              <w:rPr>
                <w:rFonts w:ascii="Times New Roman"/>
                <w:sz w:val="20"/>
              </w:rPr>
            </w:pPr>
          </w:p>
        </w:tc>
        <w:tc>
          <w:tcPr>
            <w:tcW w:w="6893" w:type="dxa"/>
          </w:tcPr>
          <w:p>
            <w:pPr>
              <w:pStyle w:val="TableParagraph"/>
              <w:spacing w:line="261" w:lineRule="exact"/>
              <w:ind w:left="6"/>
              <w:rPr>
                <w:sz w:val="21"/>
              </w:rPr>
            </w:pPr>
            <w:r>
              <w:rPr>
                <w:sz w:val="21"/>
              </w:rPr>
              <w:t>2.本公司已经履行完毕保险责任的；</w:t>
            </w:r>
          </w:p>
        </w:tc>
      </w:tr>
      <w:tr>
        <w:trPr>
          <w:trHeight w:val="934" w:hRule="atLeast"/>
        </w:trPr>
        <w:tc>
          <w:tcPr>
            <w:tcW w:w="613" w:type="dxa"/>
            <w:tcBorders>
              <w:bottom w:val="single" w:sz="8" w:space="0" w:color="000000"/>
            </w:tcBorders>
          </w:tcPr>
          <w:p>
            <w:pPr>
              <w:pStyle w:val="TableParagraph"/>
              <w:rPr>
                <w:sz w:val="24"/>
              </w:rPr>
            </w:pPr>
          </w:p>
          <w:p>
            <w:pPr>
              <w:pStyle w:val="TableParagraph"/>
              <w:spacing w:before="7"/>
              <w:rPr>
                <w:sz w:val="20"/>
              </w:rPr>
            </w:pPr>
          </w:p>
          <w:p>
            <w:pPr>
              <w:pStyle w:val="TableParagraph"/>
              <w:ind w:left="107"/>
              <w:rPr>
                <w:sz w:val="24"/>
              </w:rPr>
            </w:pPr>
            <w:r>
              <w:rPr>
                <w:sz w:val="24"/>
              </w:rPr>
              <w:t>2.</w:t>
            </w:r>
          </w:p>
        </w:tc>
        <w:tc>
          <w:tcPr>
            <w:tcW w:w="1881" w:type="dxa"/>
            <w:tcBorders>
              <w:bottom w:val="single" w:sz="8" w:space="0" w:color="000000"/>
            </w:tcBorders>
          </w:tcPr>
          <w:p>
            <w:pPr>
              <w:pStyle w:val="TableParagraph"/>
              <w:rPr>
                <w:sz w:val="24"/>
              </w:rPr>
            </w:pPr>
          </w:p>
          <w:p>
            <w:pPr>
              <w:pStyle w:val="TableParagraph"/>
              <w:spacing w:before="7"/>
              <w:rPr>
                <w:sz w:val="20"/>
              </w:rPr>
            </w:pPr>
          </w:p>
          <w:p>
            <w:pPr>
              <w:pStyle w:val="TableParagraph"/>
              <w:ind w:left="188"/>
              <w:rPr>
                <w:sz w:val="24"/>
              </w:rPr>
            </w:pPr>
            <w:r>
              <w:rPr>
                <w:sz w:val="24"/>
              </w:rPr>
              <w:t>我们提供的保障</w:t>
            </w:r>
          </w:p>
        </w:tc>
        <w:tc>
          <w:tcPr>
            <w:tcW w:w="6893" w:type="dxa"/>
            <w:tcBorders>
              <w:bottom w:val="single" w:sz="8" w:space="0" w:color="000000"/>
            </w:tcBorders>
          </w:tcPr>
          <w:p>
            <w:pPr>
              <w:pStyle w:val="TableParagraph"/>
              <w:spacing w:line="261" w:lineRule="exact"/>
              <w:ind w:left="6"/>
              <w:rPr>
                <w:sz w:val="21"/>
              </w:rPr>
            </w:pPr>
            <w:r>
              <w:rPr>
                <w:sz w:val="21"/>
              </w:rPr>
              <w:t>3.本合同因条款所列其他情况而终止的。</w:t>
            </w:r>
          </w:p>
        </w:tc>
      </w:tr>
      <w:tr>
        <w:trPr>
          <w:trHeight w:val="574" w:hRule="atLeast"/>
        </w:trPr>
        <w:tc>
          <w:tcPr>
            <w:tcW w:w="613" w:type="dxa"/>
            <w:tcBorders>
              <w:top w:val="single" w:sz="8" w:space="0" w:color="000000"/>
            </w:tcBorders>
          </w:tcPr>
          <w:p>
            <w:pPr>
              <w:pStyle w:val="TableParagraph"/>
              <w:spacing w:before="11"/>
              <w:rPr>
                <w:sz w:val="22"/>
              </w:rPr>
            </w:pPr>
          </w:p>
          <w:p>
            <w:pPr>
              <w:pStyle w:val="TableParagraph"/>
              <w:spacing w:line="255" w:lineRule="exact"/>
              <w:ind w:left="107"/>
              <w:rPr>
                <w:sz w:val="21"/>
              </w:rPr>
            </w:pPr>
            <w:r>
              <w:rPr>
                <w:sz w:val="21"/>
              </w:rPr>
              <w:t>2.1</w:t>
            </w:r>
          </w:p>
        </w:tc>
        <w:tc>
          <w:tcPr>
            <w:tcW w:w="1881" w:type="dxa"/>
            <w:tcBorders>
              <w:top w:val="single" w:sz="8" w:space="0" w:color="000000"/>
            </w:tcBorders>
          </w:tcPr>
          <w:p>
            <w:pPr>
              <w:pStyle w:val="TableParagraph"/>
              <w:spacing w:before="11"/>
              <w:rPr>
                <w:sz w:val="22"/>
              </w:rPr>
            </w:pPr>
          </w:p>
          <w:p>
            <w:pPr>
              <w:pStyle w:val="TableParagraph"/>
              <w:spacing w:line="255" w:lineRule="exact"/>
              <w:ind w:left="188"/>
              <w:rPr>
                <w:sz w:val="21"/>
              </w:rPr>
            </w:pPr>
            <w:r>
              <w:rPr>
                <w:sz w:val="21"/>
              </w:rPr>
              <w:t>保险金额</w:t>
            </w:r>
          </w:p>
        </w:tc>
        <w:tc>
          <w:tcPr>
            <w:tcW w:w="6893" w:type="dxa"/>
            <w:tcBorders>
              <w:top w:val="single" w:sz="8" w:space="0" w:color="000000"/>
            </w:tcBorders>
          </w:tcPr>
          <w:p>
            <w:pPr>
              <w:pStyle w:val="TableParagraph"/>
              <w:spacing w:before="11"/>
              <w:rPr>
                <w:sz w:val="22"/>
              </w:rPr>
            </w:pPr>
          </w:p>
          <w:p>
            <w:pPr>
              <w:pStyle w:val="TableParagraph"/>
              <w:spacing w:line="255" w:lineRule="exact"/>
              <w:ind w:left="6" w:right="-15"/>
              <w:rPr>
                <w:sz w:val="21"/>
              </w:rPr>
            </w:pPr>
            <w:r>
              <w:rPr>
                <w:spacing w:val="-6"/>
                <w:sz w:val="21"/>
              </w:rPr>
              <w:t>本合同保险金额按本条款第 </w:t>
            </w:r>
            <w:r>
              <w:rPr>
                <w:sz w:val="21"/>
              </w:rPr>
              <w:t>2.3</w:t>
            </w:r>
            <w:r>
              <w:rPr>
                <w:spacing w:val="-11"/>
                <w:sz w:val="21"/>
              </w:rPr>
              <w:t> 条规定、根据基本保险金额进行计算确定。</w:t>
            </w:r>
          </w:p>
        </w:tc>
      </w:tr>
    </w:tbl>
    <w:p>
      <w:pPr>
        <w:pStyle w:val="BodyText"/>
        <w:spacing w:line="273" w:lineRule="auto"/>
        <w:ind w:left="2182" w:right="218"/>
      </w:pPr>
      <w:r>
        <w:rPr/>
        <w:t>本合同基本保险金额由您和本公司在投保时约定，但须符合本公司当时的投保规定，约定的基本保险金额将在保险单上载明。</w:t>
      </w:r>
    </w:p>
    <w:p>
      <w:pPr>
        <w:pStyle w:val="BodyText"/>
        <w:spacing w:line="273" w:lineRule="auto" w:before="7"/>
        <w:ind w:left="2182" w:right="218" w:firstLine="420"/>
        <w:jc w:val="both"/>
      </w:pPr>
      <w:r>
        <w:rPr/>
        <w:t>为未成年子女投保的，因被保险人身故给付的保险金总和不得超过国务院保险监督管理机构规定的限额，身故给付的保险金额总和约定也不得超过前述限额。</w:t>
      </w:r>
    </w:p>
    <w:p>
      <w:pPr>
        <w:pStyle w:val="BodyText"/>
        <w:spacing w:before="4"/>
        <w:rPr>
          <w:sz w:val="24"/>
        </w:rPr>
      </w:pPr>
    </w:p>
    <w:p>
      <w:pPr>
        <w:pStyle w:val="ListParagraph"/>
        <w:numPr>
          <w:ilvl w:val="1"/>
          <w:numId w:val="7"/>
        </w:numPr>
        <w:tabs>
          <w:tab w:pos="903" w:val="left" w:leader="none"/>
          <w:tab w:pos="904" w:val="left" w:leader="none"/>
          <w:tab w:pos="2602" w:val="left" w:leader="none"/>
        </w:tabs>
        <w:spacing w:line="240" w:lineRule="auto" w:before="1" w:after="0"/>
        <w:ind w:left="903" w:right="0" w:hanging="694"/>
        <w:jc w:val="left"/>
        <w:rPr>
          <w:sz w:val="21"/>
        </w:rPr>
      </w:pPr>
      <w:r>
        <w:rPr>
          <w:sz w:val="21"/>
        </w:rPr>
        <w:t>保险期间</w:t>
        <w:tab/>
      </w:r>
      <w:r>
        <w:rPr>
          <w:spacing w:val="-1"/>
          <w:sz w:val="21"/>
        </w:rPr>
        <w:t>除</w:t>
      </w:r>
      <w:r>
        <w:rPr>
          <w:sz w:val="21"/>
        </w:rPr>
        <w:t>另</w:t>
      </w:r>
      <w:r>
        <w:rPr>
          <w:spacing w:val="-3"/>
          <w:sz w:val="21"/>
        </w:rPr>
        <w:t>有</w:t>
      </w:r>
      <w:r>
        <w:rPr>
          <w:sz w:val="21"/>
        </w:rPr>
        <w:t>约</w:t>
      </w:r>
      <w:r>
        <w:rPr>
          <w:spacing w:val="-3"/>
          <w:sz w:val="21"/>
        </w:rPr>
        <w:t>定</w:t>
      </w:r>
      <w:r>
        <w:rPr>
          <w:sz w:val="21"/>
        </w:rPr>
        <w:t>外</w:t>
      </w:r>
      <w:r>
        <w:rPr>
          <w:spacing w:val="-3"/>
          <w:sz w:val="21"/>
        </w:rPr>
        <w:t>，</w:t>
      </w:r>
      <w:r>
        <w:rPr>
          <w:sz w:val="21"/>
        </w:rPr>
        <w:t>本</w:t>
      </w:r>
      <w:r>
        <w:rPr>
          <w:spacing w:val="-3"/>
          <w:sz w:val="21"/>
        </w:rPr>
        <w:t>合</w:t>
      </w:r>
      <w:r>
        <w:rPr>
          <w:sz w:val="21"/>
        </w:rPr>
        <w:t>同</w:t>
      </w:r>
      <w:r>
        <w:rPr>
          <w:spacing w:val="-3"/>
          <w:sz w:val="21"/>
        </w:rPr>
        <w:t>的</w:t>
      </w:r>
      <w:r>
        <w:rPr>
          <w:sz w:val="21"/>
        </w:rPr>
        <w:t>保险</w:t>
      </w:r>
      <w:r>
        <w:rPr>
          <w:spacing w:val="-3"/>
          <w:sz w:val="21"/>
        </w:rPr>
        <w:t>期</w:t>
      </w:r>
      <w:r>
        <w:rPr>
          <w:sz w:val="21"/>
        </w:rPr>
        <w:t>间</w:t>
      </w:r>
      <w:r>
        <w:rPr>
          <w:spacing w:val="-3"/>
          <w:sz w:val="21"/>
        </w:rPr>
        <w:t>与</w:t>
      </w:r>
      <w:r>
        <w:rPr>
          <w:sz w:val="21"/>
        </w:rPr>
        <w:t>主</w:t>
      </w:r>
      <w:r>
        <w:rPr>
          <w:spacing w:val="-3"/>
          <w:sz w:val="21"/>
        </w:rPr>
        <w:t>险</w:t>
      </w:r>
      <w:r>
        <w:rPr>
          <w:sz w:val="21"/>
        </w:rPr>
        <w:t>合</w:t>
      </w:r>
      <w:r>
        <w:rPr>
          <w:spacing w:val="-3"/>
          <w:sz w:val="21"/>
        </w:rPr>
        <w:t>同</w:t>
      </w:r>
      <w:r>
        <w:rPr>
          <w:sz w:val="21"/>
        </w:rPr>
        <w:t>一</w:t>
      </w:r>
      <w:r>
        <w:rPr>
          <w:spacing w:val="-3"/>
          <w:sz w:val="21"/>
        </w:rPr>
        <w:t>致</w:t>
      </w:r>
      <w:r>
        <w:rPr>
          <w:sz w:val="21"/>
        </w:rPr>
        <w:t>。</w:t>
      </w:r>
    </w:p>
    <w:p>
      <w:pPr>
        <w:pStyle w:val="BodyText"/>
        <w:spacing w:before="8"/>
        <w:rPr>
          <w:sz w:val="26"/>
        </w:rPr>
      </w:pPr>
    </w:p>
    <w:p>
      <w:pPr>
        <w:pStyle w:val="ListParagraph"/>
        <w:numPr>
          <w:ilvl w:val="1"/>
          <w:numId w:val="7"/>
        </w:numPr>
        <w:tabs>
          <w:tab w:pos="903" w:val="left" w:leader="none"/>
          <w:tab w:pos="904" w:val="left" w:leader="none"/>
          <w:tab w:pos="2602" w:val="left" w:leader="none"/>
        </w:tabs>
        <w:spacing w:line="240" w:lineRule="auto" w:before="1" w:after="0"/>
        <w:ind w:left="903" w:right="0" w:hanging="694"/>
        <w:jc w:val="left"/>
        <w:rPr>
          <w:sz w:val="21"/>
        </w:rPr>
      </w:pPr>
      <w:r>
        <w:rPr>
          <w:sz w:val="21"/>
        </w:rPr>
        <w:t>保险责任</w:t>
        <w:tab/>
      </w:r>
      <w:r>
        <w:rPr>
          <w:spacing w:val="-1"/>
          <w:sz w:val="21"/>
        </w:rPr>
        <w:t>在</w:t>
      </w:r>
      <w:r>
        <w:rPr>
          <w:sz w:val="21"/>
        </w:rPr>
        <w:t>本</w:t>
      </w:r>
      <w:r>
        <w:rPr>
          <w:spacing w:val="-3"/>
          <w:sz w:val="21"/>
        </w:rPr>
        <w:t>合</w:t>
      </w:r>
      <w:r>
        <w:rPr>
          <w:sz w:val="21"/>
        </w:rPr>
        <w:t>同</w:t>
      </w:r>
      <w:r>
        <w:rPr>
          <w:spacing w:val="-3"/>
          <w:sz w:val="21"/>
        </w:rPr>
        <w:t>保</w:t>
      </w:r>
      <w:r>
        <w:rPr>
          <w:sz w:val="21"/>
        </w:rPr>
        <w:t>险</w:t>
      </w:r>
      <w:r>
        <w:rPr>
          <w:spacing w:val="-3"/>
          <w:sz w:val="21"/>
        </w:rPr>
        <w:t>期</w:t>
      </w:r>
      <w:r>
        <w:rPr>
          <w:sz w:val="21"/>
        </w:rPr>
        <w:t>间</w:t>
      </w:r>
      <w:r>
        <w:rPr>
          <w:spacing w:val="-3"/>
          <w:sz w:val="21"/>
        </w:rPr>
        <w:t>内</w:t>
      </w:r>
      <w:r>
        <w:rPr>
          <w:sz w:val="21"/>
        </w:rPr>
        <w:t>，</w:t>
      </w:r>
      <w:r>
        <w:rPr>
          <w:spacing w:val="-3"/>
          <w:sz w:val="21"/>
        </w:rPr>
        <w:t>本</w:t>
      </w:r>
      <w:r>
        <w:rPr>
          <w:sz w:val="21"/>
        </w:rPr>
        <w:t>公司</w:t>
      </w:r>
      <w:r>
        <w:rPr>
          <w:spacing w:val="-3"/>
          <w:sz w:val="21"/>
        </w:rPr>
        <w:t>承</w:t>
      </w:r>
      <w:r>
        <w:rPr>
          <w:sz w:val="21"/>
        </w:rPr>
        <w:t>担</w:t>
      </w:r>
      <w:r>
        <w:rPr>
          <w:spacing w:val="-3"/>
          <w:sz w:val="21"/>
        </w:rPr>
        <w:t>下</w:t>
      </w:r>
      <w:r>
        <w:rPr>
          <w:sz w:val="21"/>
        </w:rPr>
        <w:t>列</w:t>
      </w:r>
      <w:r>
        <w:rPr>
          <w:spacing w:val="-3"/>
          <w:sz w:val="21"/>
        </w:rPr>
        <w:t>保</w:t>
      </w:r>
      <w:r>
        <w:rPr>
          <w:sz w:val="21"/>
        </w:rPr>
        <w:t>险</w:t>
      </w:r>
      <w:r>
        <w:rPr>
          <w:spacing w:val="-3"/>
          <w:sz w:val="21"/>
        </w:rPr>
        <w:t>责</w:t>
      </w:r>
      <w:r>
        <w:rPr>
          <w:sz w:val="21"/>
        </w:rPr>
        <w:t>任：</w:t>
      </w:r>
    </w:p>
    <w:p>
      <w:pPr>
        <w:pStyle w:val="BodyText"/>
        <w:spacing w:before="11"/>
        <w:rPr>
          <w:sz w:val="23"/>
        </w:rPr>
      </w:pPr>
    </w:p>
    <w:p>
      <w:pPr>
        <w:spacing w:after="0"/>
        <w:rPr>
          <w:sz w:val="23"/>
        </w:rPr>
        <w:sectPr>
          <w:pgSz w:w="11910" w:h="16840"/>
          <w:pgMar w:header="879" w:footer="999" w:top="1120" w:bottom="1180" w:left="1160" w:right="1140"/>
        </w:sectPr>
      </w:pPr>
    </w:p>
    <w:p>
      <w:pPr>
        <w:pStyle w:val="ListParagraph"/>
        <w:numPr>
          <w:ilvl w:val="2"/>
          <w:numId w:val="7"/>
        </w:numPr>
        <w:tabs>
          <w:tab w:pos="1485" w:val="left" w:leader="none"/>
        </w:tabs>
        <w:spacing w:line="273" w:lineRule="auto" w:before="37" w:after="0"/>
        <w:ind w:left="903" w:right="0" w:firstLine="0"/>
        <w:jc w:val="left"/>
        <w:rPr>
          <w:sz w:val="21"/>
        </w:rPr>
      </w:pPr>
      <w:r>
        <w:rPr>
          <w:sz w:val="21"/>
        </w:rPr>
        <w:t>特定疾病保险金</w:t>
      </w:r>
    </w:p>
    <w:p>
      <w:pPr>
        <w:pStyle w:val="BodyText"/>
        <w:spacing w:line="273" w:lineRule="auto"/>
        <w:ind w:left="183" w:right="218" w:firstLine="420"/>
        <w:jc w:val="both"/>
      </w:pPr>
      <w:r>
        <w:rPr/>
        <w:br w:type="column"/>
      </w:r>
      <w:r>
        <w:rPr>
          <w:spacing w:val="-5"/>
        </w:rPr>
        <w:t>被保险人于本合同生效</w:t>
      </w:r>
      <w:r>
        <w:rPr>
          <w:spacing w:val="-3"/>
        </w:rPr>
        <w:t>（或合同效力恢复</w:t>
      </w:r>
      <w:r>
        <w:rPr>
          <w:spacing w:val="-17"/>
        </w:rPr>
        <w:t>）</w:t>
      </w:r>
      <w:r>
        <w:rPr>
          <w:spacing w:val="-2"/>
        </w:rPr>
        <w:t>之日起</w:t>
      </w:r>
      <w:r>
        <w:rPr/>
        <w:t>180</w:t>
      </w:r>
      <w:r>
        <w:rPr>
          <w:spacing w:val="-5"/>
        </w:rPr>
        <w:t>日后，由本公司认可医院</w:t>
      </w:r>
      <w:r>
        <w:rPr>
          <w:spacing w:val="-3"/>
        </w:rPr>
        <w:t>（详见释义</w:t>
      </w:r>
      <w:r>
        <w:rPr/>
        <w:t>）</w:t>
      </w:r>
      <w:r>
        <w:rPr>
          <w:spacing w:val="-3"/>
        </w:rPr>
        <w:t>的专科医生（详见释义</w:t>
      </w:r>
      <w:r>
        <w:rPr/>
        <w:t>）</w:t>
      </w:r>
      <w:r>
        <w:rPr>
          <w:spacing w:val="-3"/>
        </w:rPr>
        <w:t>确诊初次发生本合同所指的特定疾</w:t>
      </w:r>
      <w:r>
        <w:rPr>
          <w:spacing w:val="-3"/>
          <w:w w:val="100"/>
        </w:rPr>
        <w:t>病（详见释义</w:t>
      </w:r>
      <w:r>
        <w:rPr>
          <w:spacing w:val="-108"/>
          <w:w w:val="100"/>
        </w:rPr>
        <w:t>）</w:t>
      </w:r>
      <w:r>
        <w:rPr>
          <w:spacing w:val="-3"/>
          <w:w w:val="100"/>
        </w:rPr>
        <w:t>，本公司按本合同基本保险金额的</w:t>
      </w:r>
      <w:r>
        <w:rPr>
          <w:w w:val="100"/>
        </w:rPr>
        <w:t>1</w:t>
      </w:r>
      <w:r>
        <w:rPr>
          <w:spacing w:val="-3"/>
          <w:w w:val="100"/>
        </w:rPr>
        <w:t>0%给付特定疾病保险金，本</w:t>
      </w:r>
      <w:r>
        <w:rPr>
          <w:spacing w:val="-3"/>
        </w:rPr>
        <w:t>项保险责任终止，本合同继续有效。</w:t>
      </w:r>
    </w:p>
    <w:p>
      <w:pPr>
        <w:spacing w:after="0" w:line="273" w:lineRule="auto"/>
        <w:jc w:val="both"/>
        <w:sectPr>
          <w:type w:val="continuous"/>
          <w:pgSz w:w="11910" w:h="16840"/>
          <w:pgMar w:top="1120" w:bottom="1180" w:left="1160" w:right="1140"/>
          <w:cols w:num="2" w:equalWidth="0">
            <w:col w:w="1960" w:space="40"/>
            <w:col w:w="7610"/>
          </w:cols>
        </w:sectPr>
      </w:pPr>
    </w:p>
    <w:p>
      <w:pPr>
        <w:pStyle w:val="BodyText"/>
        <w:spacing w:before="8"/>
      </w:pPr>
    </w:p>
    <w:p>
      <w:pPr>
        <w:spacing w:after="0"/>
        <w:sectPr>
          <w:type w:val="continuous"/>
          <w:pgSz w:w="11910" w:h="16840"/>
          <w:pgMar w:top="1120" w:bottom="1180" w:left="1160" w:right="1140"/>
        </w:sectPr>
      </w:pPr>
    </w:p>
    <w:p>
      <w:pPr>
        <w:pStyle w:val="ListParagraph"/>
        <w:numPr>
          <w:ilvl w:val="2"/>
          <w:numId w:val="7"/>
        </w:numPr>
        <w:tabs>
          <w:tab w:pos="1485" w:val="left" w:leader="none"/>
        </w:tabs>
        <w:spacing w:line="273" w:lineRule="auto" w:before="36" w:after="0"/>
        <w:ind w:left="903" w:right="0" w:firstLine="0"/>
        <w:jc w:val="left"/>
        <w:rPr>
          <w:sz w:val="21"/>
        </w:rPr>
      </w:pPr>
      <w:r>
        <w:rPr>
          <w:sz w:val="21"/>
        </w:rPr>
        <w:t>重大疾病保险金</w:t>
      </w:r>
    </w:p>
    <w:p>
      <w:pPr>
        <w:pStyle w:val="BodyText"/>
        <w:spacing w:line="273" w:lineRule="auto" w:before="36"/>
        <w:ind w:left="183" w:right="218" w:firstLine="420"/>
        <w:jc w:val="right"/>
      </w:pPr>
      <w:r>
        <w:rPr/>
        <w:br w:type="column"/>
      </w:r>
      <w:r>
        <w:rPr>
          <w:spacing w:val="-3"/>
        </w:rPr>
        <w:t>被保险人于本合同生效（或合同效力恢复</w:t>
      </w:r>
      <w:r>
        <w:rPr/>
        <w:t>）</w:t>
      </w:r>
      <w:r>
        <w:rPr>
          <w:spacing w:val="-4"/>
        </w:rPr>
        <w:t>之日起 </w:t>
      </w:r>
      <w:r>
        <w:rPr/>
        <w:t>180</w:t>
      </w:r>
      <w:r>
        <w:rPr>
          <w:spacing w:val="-4"/>
        </w:rPr>
        <w:t> 日内因疾病，由本公司认可医院的专科医生确诊初次发生本合同所指的重大疾病</w:t>
      </w:r>
      <w:r>
        <w:rPr/>
        <w:t>（</w:t>
      </w:r>
      <w:r>
        <w:rPr>
          <w:spacing w:val="-3"/>
        </w:rPr>
        <w:t>详见释义</w:t>
      </w:r>
      <w:r>
        <w:rPr>
          <w:spacing w:val="-68"/>
        </w:rPr>
        <w:t>）</w:t>
      </w:r>
      <w:r>
        <w:rPr>
          <w:spacing w:val="-34"/>
        </w:rPr>
        <w:t>，本</w:t>
      </w:r>
      <w:r>
        <w:rPr>
          <w:spacing w:val="-12"/>
        </w:rPr>
        <w:t>公司按本保险实际交纳的保险费的 </w:t>
      </w:r>
      <w:r>
        <w:rPr/>
        <w:t>1.1</w:t>
      </w:r>
      <w:r>
        <w:rPr>
          <w:spacing w:val="-7"/>
        </w:rPr>
        <w:t> 倍给付重大疾病保险金，本合同终止。被保险人因意外伤害（详见释义）或于本合同生效（或合同效力恢复）之</w:t>
      </w:r>
    </w:p>
    <w:p>
      <w:pPr>
        <w:pStyle w:val="BodyText"/>
        <w:spacing w:line="273" w:lineRule="auto" w:before="7"/>
        <w:ind w:left="183" w:right="112"/>
      </w:pPr>
      <w:r>
        <w:rPr>
          <w:spacing w:val="-5"/>
        </w:rPr>
        <w:t>日起 </w:t>
      </w:r>
      <w:r>
        <w:rPr/>
        <w:t>180</w:t>
      </w:r>
      <w:r>
        <w:rPr>
          <w:spacing w:val="-5"/>
        </w:rPr>
        <w:t> 日后因疾病，由本公司认可医院的专科医生确诊初次发生本合同所指</w:t>
      </w:r>
      <w:r>
        <w:rPr>
          <w:spacing w:val="-8"/>
        </w:rPr>
        <w:t>的重大疾病，本公司按本合同基本保险金额给付重大疾病保险金，本合同终止。</w:t>
      </w:r>
    </w:p>
    <w:p>
      <w:pPr>
        <w:spacing w:after="0" w:line="273" w:lineRule="auto"/>
        <w:sectPr>
          <w:type w:val="continuous"/>
          <w:pgSz w:w="11910" w:h="16840"/>
          <w:pgMar w:top="1120" w:bottom="1180" w:left="1160" w:right="1140"/>
          <w:cols w:num="2" w:equalWidth="0">
            <w:col w:w="1960" w:space="40"/>
            <w:col w:w="7610"/>
          </w:cols>
        </w:sectPr>
      </w:pPr>
    </w:p>
    <w:p>
      <w:pPr>
        <w:pStyle w:val="BodyText"/>
        <w:spacing w:before="8"/>
      </w:pPr>
    </w:p>
    <w:p>
      <w:pPr>
        <w:spacing w:after="0"/>
        <w:sectPr>
          <w:type w:val="continuous"/>
          <w:pgSz w:w="11910" w:h="16840"/>
          <w:pgMar w:top="1120" w:bottom="1180" w:left="1160" w:right="1140"/>
        </w:sectPr>
      </w:pPr>
    </w:p>
    <w:p>
      <w:pPr>
        <w:pStyle w:val="ListParagraph"/>
        <w:numPr>
          <w:ilvl w:val="2"/>
          <w:numId w:val="7"/>
        </w:numPr>
        <w:tabs>
          <w:tab w:pos="1485" w:val="left" w:leader="none"/>
        </w:tabs>
        <w:spacing w:line="273" w:lineRule="auto" w:before="37" w:after="0"/>
        <w:ind w:left="903" w:right="0" w:firstLine="0"/>
        <w:jc w:val="left"/>
        <w:rPr>
          <w:sz w:val="21"/>
        </w:rPr>
      </w:pPr>
      <w:r>
        <w:rPr>
          <w:sz w:val="21"/>
        </w:rPr>
        <w:t>身故保险金</w:t>
      </w:r>
    </w:p>
    <w:p>
      <w:pPr>
        <w:pStyle w:val="BodyText"/>
        <w:ind w:left="655"/>
      </w:pPr>
      <w:r>
        <w:rPr/>
        <w:br w:type="column"/>
      </w:r>
      <w:r>
        <w:rPr/>
        <w:t>被保险人于本合同生效（或合同效力恢复）之日起 180 日内因疾病身故，</w:t>
      </w:r>
    </w:p>
    <w:p>
      <w:pPr>
        <w:pStyle w:val="BodyText"/>
        <w:ind w:left="235"/>
      </w:pPr>
      <w:r>
        <w:rPr/>
        <w:t>本公司按本保险实际交纳的保险费的 1.1 倍给付身故保险金，本合同终止。</w:t>
      </w:r>
    </w:p>
    <w:p>
      <w:pPr>
        <w:pStyle w:val="BodyText"/>
        <w:spacing w:line="273" w:lineRule="auto"/>
        <w:ind w:left="235" w:right="160" w:firstLine="420"/>
      </w:pPr>
      <w:r>
        <w:rPr/>
        <w:t>被保险人因意外伤害或于本合同生效（或合同效力恢复）之日起180日后因疾病身故，本公司按本合同基本保险金额给付身故保险金，本合同终止。</w:t>
      </w:r>
    </w:p>
    <w:p>
      <w:pPr>
        <w:spacing w:after="0" w:line="273" w:lineRule="auto"/>
        <w:sectPr>
          <w:type w:val="continuous"/>
          <w:pgSz w:w="11910" w:h="16840"/>
          <w:pgMar w:top="1120" w:bottom="1180" w:left="1160" w:right="1140"/>
          <w:cols w:num="2" w:equalWidth="0">
            <w:col w:w="1907" w:space="40"/>
            <w:col w:w="7663"/>
          </w:cols>
        </w:sectPr>
      </w:pPr>
    </w:p>
    <w:p>
      <w:pPr>
        <w:pStyle w:val="BodyText"/>
        <w:spacing w:before="8"/>
      </w:pPr>
    </w:p>
    <w:p>
      <w:pPr>
        <w:pStyle w:val="ListParagraph"/>
        <w:numPr>
          <w:ilvl w:val="1"/>
          <w:numId w:val="7"/>
        </w:numPr>
        <w:tabs>
          <w:tab w:pos="903" w:val="left" w:leader="none"/>
          <w:tab w:pos="904" w:val="left" w:leader="none"/>
        </w:tabs>
        <w:spacing w:line="240" w:lineRule="auto" w:before="37" w:after="0"/>
        <w:ind w:left="903" w:right="0" w:hanging="694"/>
        <w:jc w:val="left"/>
        <w:rPr>
          <w:sz w:val="21"/>
        </w:rPr>
      </w:pPr>
      <w:r>
        <w:rPr>
          <w:sz w:val="21"/>
        </w:rPr>
        <w:t>责任免除</w:t>
      </w:r>
    </w:p>
    <w:p>
      <w:pPr>
        <w:pStyle w:val="BodyText"/>
        <w:spacing w:before="11"/>
        <w:rPr>
          <w:sz w:val="23"/>
        </w:rPr>
      </w:pPr>
    </w:p>
    <w:p>
      <w:pPr>
        <w:spacing w:after="0"/>
        <w:rPr>
          <w:sz w:val="23"/>
        </w:rPr>
        <w:sectPr>
          <w:type w:val="continuous"/>
          <w:pgSz w:w="11910" w:h="16840"/>
          <w:pgMar w:top="1120" w:bottom="1180" w:left="1160" w:right="1140"/>
        </w:sectPr>
      </w:pPr>
    </w:p>
    <w:p>
      <w:pPr>
        <w:pStyle w:val="ListParagraph"/>
        <w:numPr>
          <w:ilvl w:val="2"/>
          <w:numId w:val="7"/>
        </w:numPr>
        <w:tabs>
          <w:tab w:pos="1485" w:val="left" w:leader="none"/>
        </w:tabs>
        <w:spacing w:line="273" w:lineRule="auto" w:before="37" w:after="0"/>
        <w:ind w:left="903" w:right="0" w:firstLine="0"/>
        <w:jc w:val="both"/>
        <w:rPr>
          <w:sz w:val="21"/>
        </w:rPr>
      </w:pPr>
      <w:r>
        <w:rPr>
          <w:sz w:val="21"/>
        </w:rPr>
        <w:t>特定疾病、重大疾病保险责任免除</w:t>
      </w:r>
    </w:p>
    <w:p>
      <w:pPr>
        <w:pStyle w:val="BodyText"/>
        <w:spacing w:line="273" w:lineRule="auto"/>
        <w:ind w:left="180" w:right="218" w:firstLine="422"/>
      </w:pPr>
      <w:r>
        <w:rPr/>
        <w:br w:type="column"/>
      </w:r>
      <w:r>
        <w:rPr/>
        <w:t>被保险人因下列 1-8 项情形之一发生本合同所指的特定疾病或重大疾病的，本公司不承担保险责任：</w:t>
      </w:r>
    </w:p>
    <w:p>
      <w:pPr>
        <w:pStyle w:val="BodyText"/>
        <w:spacing w:before="7"/>
        <w:ind w:left="605"/>
      </w:pPr>
      <w:r>
        <w:rPr/>
        <w:t>1.投保人对被保险人的故意杀害、故意伤害；</w:t>
      </w:r>
    </w:p>
    <w:p>
      <w:pPr>
        <w:pStyle w:val="BodyText"/>
        <w:spacing w:before="36"/>
        <w:ind w:left="605"/>
      </w:pPr>
      <w:r>
        <w:rPr/>
        <w:t>2.被保险人故意自伤，但自伤时为无民事行为能力人的除外；</w:t>
      </w:r>
    </w:p>
    <w:p>
      <w:pPr>
        <w:pStyle w:val="BodyText"/>
        <w:spacing w:before="36"/>
        <w:ind w:left="605"/>
      </w:pPr>
      <w:r>
        <w:rPr/>
        <w:t>3.被保险人故意犯罪或抗拒依法采取的刑事强制措施；</w:t>
      </w:r>
    </w:p>
    <w:p>
      <w:pPr>
        <w:pStyle w:val="BodyText"/>
        <w:spacing w:before="36"/>
        <w:ind w:left="605"/>
      </w:pPr>
      <w:r>
        <w:rPr/>
        <w:t>4.被保险人主动吸食或注射毒品；</w:t>
      </w:r>
    </w:p>
    <w:p>
      <w:pPr>
        <w:spacing w:after="0"/>
        <w:sectPr>
          <w:type w:val="continuous"/>
          <w:pgSz w:w="11910" w:h="16840"/>
          <w:pgMar w:top="1120" w:bottom="1180" w:left="1160" w:right="1140"/>
          <w:cols w:num="2" w:equalWidth="0">
            <w:col w:w="1960" w:space="40"/>
            <w:col w:w="7610"/>
          </w:cols>
        </w:sectPr>
      </w:pPr>
    </w:p>
    <w:p>
      <w:pPr>
        <w:pStyle w:val="BodyText"/>
        <w:spacing w:before="2"/>
        <w:rPr>
          <w:sz w:val="19"/>
        </w:rPr>
      </w:pPr>
    </w:p>
    <w:p>
      <w:pPr>
        <w:pStyle w:val="BodyText"/>
        <w:ind w:left="2605"/>
      </w:pPr>
      <w:r>
        <w:rPr/>
        <w:t>5.战争、军事冲突、暴乱或武装叛乱；</w:t>
      </w:r>
    </w:p>
    <w:p>
      <w:pPr>
        <w:pStyle w:val="BodyText"/>
        <w:ind w:left="2605"/>
      </w:pPr>
      <w:r>
        <w:rPr/>
        <w:t>6.核爆炸、核辐射或核污染；</w:t>
      </w:r>
    </w:p>
    <w:p>
      <w:pPr>
        <w:pStyle w:val="BodyText"/>
        <w:ind w:left="2605"/>
      </w:pPr>
      <w:r>
        <w:rPr>
          <w:w w:val="100"/>
        </w:rPr>
        <w:t>7.</w:t>
      </w:r>
      <w:r>
        <w:rPr>
          <w:spacing w:val="-4"/>
          <w:w w:val="100"/>
        </w:rPr>
        <w:t>遗传性疾病</w:t>
      </w:r>
      <w:r>
        <w:rPr>
          <w:w w:val="100"/>
        </w:rPr>
        <w:t>（详见释义</w:t>
      </w:r>
      <w:r>
        <w:rPr>
          <w:spacing w:val="-108"/>
          <w:w w:val="100"/>
        </w:rPr>
        <w:t>）</w:t>
      </w:r>
      <w:r>
        <w:rPr>
          <w:spacing w:val="-8"/>
          <w:w w:val="100"/>
        </w:rPr>
        <w:t>，先天性畸形、变形或染色体异常</w:t>
      </w:r>
      <w:r>
        <w:rPr>
          <w:w w:val="100"/>
        </w:rPr>
        <w:t>（详见释义</w:t>
      </w:r>
      <w:r>
        <w:rPr>
          <w:spacing w:val="-106"/>
          <w:w w:val="100"/>
        </w:rPr>
        <w:t>）</w:t>
      </w:r>
      <w:r>
        <w:rPr>
          <w:w w:val="100"/>
        </w:rPr>
        <w:t>；</w:t>
      </w:r>
    </w:p>
    <w:p>
      <w:pPr>
        <w:pStyle w:val="BodyText"/>
        <w:ind w:left="2605"/>
      </w:pPr>
      <w:r>
        <w:rPr/>
        <w:t>8.被保险人感染艾滋病病毒或患艾滋病(详见释义)。</w:t>
      </w:r>
    </w:p>
    <w:p>
      <w:pPr>
        <w:pStyle w:val="BodyText"/>
        <w:spacing w:line="273" w:lineRule="auto"/>
        <w:ind w:left="2182" w:right="220" w:firstLine="422"/>
      </w:pPr>
      <w:r>
        <w:rPr/>
        <w:t>被保险人在下列期间遭受意外伤害导致本合同所指的特定疾病或重大疾病，本公司不承担保险责任：</w:t>
      </w:r>
    </w:p>
    <w:p>
      <w:pPr>
        <w:pStyle w:val="BodyText"/>
        <w:spacing w:line="273" w:lineRule="auto" w:before="8"/>
        <w:ind w:left="2182" w:right="220" w:firstLine="422"/>
      </w:pPr>
      <w:r>
        <w:rPr/>
        <w:t>9.被保险人酒后驾驶、无合法有效驾驶证驾驶或驾驶无有效行驶证的机动车期间。</w:t>
      </w:r>
    </w:p>
    <w:p>
      <w:pPr>
        <w:pStyle w:val="BodyText"/>
        <w:spacing w:before="8"/>
      </w:pPr>
    </w:p>
    <w:p>
      <w:pPr>
        <w:spacing w:after="0"/>
        <w:sectPr>
          <w:pgSz w:w="11910" w:h="16840"/>
          <w:pgMar w:header="879" w:footer="999" w:top="1120" w:bottom="1180" w:left="1160" w:right="1140"/>
        </w:sectPr>
      </w:pPr>
    </w:p>
    <w:p>
      <w:pPr>
        <w:pStyle w:val="ListParagraph"/>
        <w:numPr>
          <w:ilvl w:val="2"/>
          <w:numId w:val="7"/>
        </w:numPr>
        <w:tabs>
          <w:tab w:pos="1542" w:val="left" w:leader="none"/>
        </w:tabs>
        <w:spacing w:line="273" w:lineRule="auto" w:before="37" w:after="0"/>
        <w:ind w:left="903" w:right="0" w:firstLine="0"/>
        <w:jc w:val="both"/>
        <w:rPr>
          <w:sz w:val="21"/>
        </w:rPr>
      </w:pPr>
      <w:r>
        <w:rPr>
          <w:sz w:val="21"/>
        </w:rPr>
        <w:t>身故保险责任免除</w:t>
      </w:r>
    </w:p>
    <w:p>
      <w:pPr>
        <w:pStyle w:val="BodyText"/>
        <w:ind w:left="596"/>
      </w:pPr>
      <w:r>
        <w:rPr/>
        <w:br w:type="column"/>
      </w:r>
      <w:r>
        <w:rPr/>
        <w:t>被保险人因下列 1-7 项情形之一身故的，本公司不承担保险责任：</w:t>
      </w:r>
    </w:p>
    <w:p>
      <w:pPr>
        <w:pStyle w:val="BodyText"/>
        <w:ind w:left="596"/>
      </w:pPr>
      <w:r>
        <w:rPr/>
        <w:t>1.投保人对被保险人的故意杀害、故意伤害；</w:t>
      </w:r>
    </w:p>
    <w:p>
      <w:pPr>
        <w:pStyle w:val="BodyText"/>
        <w:ind w:left="596"/>
      </w:pPr>
      <w:r>
        <w:rPr/>
        <w:t>2.被保险人故意自伤，但自伤时为无民事行为能力人的除外；</w:t>
      </w:r>
    </w:p>
    <w:p>
      <w:pPr>
        <w:pStyle w:val="BodyText"/>
        <w:ind w:left="596"/>
      </w:pPr>
      <w:r>
        <w:rPr/>
        <w:t>3.被保险人故意犯罪或抗拒依法采取的刑事强制措施；</w:t>
      </w:r>
    </w:p>
    <w:p>
      <w:pPr>
        <w:pStyle w:val="BodyText"/>
        <w:spacing w:line="273" w:lineRule="auto"/>
        <w:ind w:left="173" w:right="220" w:firstLine="422"/>
      </w:pPr>
      <w:r>
        <w:rPr/>
        <w:t>4.被保险人自本合同成立或合同效力恢复之日起二年内自杀，但自杀时为无民事行为能力人的除外；</w:t>
      </w:r>
    </w:p>
    <w:p>
      <w:pPr>
        <w:pStyle w:val="BodyText"/>
        <w:spacing w:before="7"/>
        <w:ind w:left="596"/>
      </w:pPr>
      <w:r>
        <w:rPr/>
        <w:t>5.被保险人主动吸食或注射毒品；</w:t>
      </w:r>
    </w:p>
    <w:p>
      <w:pPr>
        <w:pStyle w:val="BodyText"/>
        <w:spacing w:before="36"/>
        <w:ind w:left="596"/>
      </w:pPr>
      <w:r>
        <w:rPr/>
        <w:t>6.战争、军事冲突、暴乱或武装叛乱；</w:t>
      </w:r>
    </w:p>
    <w:p>
      <w:pPr>
        <w:pStyle w:val="BodyText"/>
        <w:spacing w:before="36"/>
        <w:ind w:left="596"/>
      </w:pPr>
      <w:r>
        <w:rPr/>
        <w:t>7.核爆炸、核辐射或核污染。</w:t>
      </w:r>
    </w:p>
    <w:p>
      <w:pPr>
        <w:pStyle w:val="BodyText"/>
        <w:spacing w:before="36"/>
        <w:ind w:left="596"/>
      </w:pPr>
      <w:r>
        <w:rPr/>
        <w:t>被保险人在下列期间遭受意外伤害导致身故的，本公司不承担保险责任：</w:t>
      </w:r>
    </w:p>
    <w:p>
      <w:pPr>
        <w:pStyle w:val="BodyText"/>
        <w:spacing w:line="273" w:lineRule="auto" w:before="36"/>
        <w:ind w:left="173" w:right="220" w:firstLine="422"/>
      </w:pPr>
      <w:r>
        <w:rPr/>
        <w:t>8.被保险人酒后驾驶、无合法有效驾驶证驾驶或驾驶无有效行驶证的机动车期间。</w:t>
      </w:r>
    </w:p>
    <w:p>
      <w:pPr>
        <w:pStyle w:val="BodyText"/>
        <w:spacing w:line="273" w:lineRule="auto" w:before="7"/>
        <w:ind w:left="173" w:right="159" w:firstLine="422"/>
      </w:pPr>
      <w:r>
        <w:rPr/>
        <w:t>发生上述第 1 项情形导致被保险人身故的，本合同终止，本公司向身故保险金受益人退还保险单的现金价值。</w:t>
      </w:r>
    </w:p>
    <w:p>
      <w:pPr>
        <w:pStyle w:val="BodyText"/>
        <w:spacing w:line="273" w:lineRule="auto" w:before="7"/>
        <w:ind w:left="173" w:right="218" w:firstLine="422"/>
      </w:pPr>
      <w:r>
        <w:rPr>
          <w:spacing w:val="-8"/>
        </w:rPr>
        <w:t>因上述第 </w:t>
      </w:r>
      <w:r>
        <w:rPr/>
        <w:t>2-7</w:t>
      </w:r>
      <w:r>
        <w:rPr>
          <w:spacing w:val="-11"/>
        </w:rPr>
        <w:t> 项情形或在第 </w:t>
      </w:r>
      <w:r>
        <w:rPr/>
        <w:t>8</w:t>
      </w:r>
      <w:r>
        <w:rPr>
          <w:spacing w:val="-6"/>
        </w:rPr>
        <w:t> 项期间被保险人身故的，本合同终止，本公</w:t>
      </w:r>
      <w:r>
        <w:rPr>
          <w:spacing w:val="-3"/>
        </w:rPr>
        <w:t>司向您退还保险单的现金价值。</w:t>
      </w:r>
    </w:p>
    <w:p>
      <w:pPr>
        <w:spacing w:after="0" w:line="273" w:lineRule="auto"/>
        <w:sectPr>
          <w:type w:val="continuous"/>
          <w:pgSz w:w="11910" w:h="16840"/>
          <w:pgMar w:top="1120" w:bottom="1180" w:left="1160" w:right="1140"/>
          <w:cols w:num="2" w:equalWidth="0">
            <w:col w:w="1970" w:space="40"/>
            <w:col w:w="7600"/>
          </w:cols>
        </w:sectPr>
      </w:pPr>
    </w:p>
    <w:p>
      <w:pPr>
        <w:pStyle w:val="BodyText"/>
        <w:spacing w:before="3"/>
        <w:rPr>
          <w:sz w:val="20"/>
        </w:rPr>
      </w:pPr>
    </w:p>
    <w:p>
      <w:pPr>
        <w:pStyle w:val="Heading1"/>
        <w:numPr>
          <w:ilvl w:val="0"/>
          <w:numId w:val="8"/>
        </w:numPr>
        <w:tabs>
          <w:tab w:pos="903" w:val="left" w:leader="none"/>
          <w:tab w:pos="904" w:val="left" w:leader="none"/>
        </w:tabs>
        <w:spacing w:line="240" w:lineRule="auto" w:before="26" w:after="0"/>
        <w:ind w:left="903" w:right="0" w:hanging="694"/>
        <w:jc w:val="left"/>
      </w:pPr>
      <w:r>
        <w:rPr/>
        <w:pict>
          <v:group style="position:absolute;margin-left:63.098259pt;margin-top:18.915619pt;width:469.45pt;height:1pt;mso-position-horizontal-relative:page;mso-position-vertical-relative:paragraph;z-index:1072;mso-wrap-distance-left:0;mso-wrap-distance-right:0" coordorigin="1262,378" coordsize="9389,20">
            <v:line style="position:absolute" from="1262,388" to="1956,388" stroked="true" strokeweight=".95999pt" strokecolor="#000000">
              <v:stroke dashstyle="solid"/>
            </v:line>
            <v:rect style="position:absolute;left:1955;top:378;width:20;height:20" filled="true" fillcolor="#000000" stroked="false">
              <v:fill type="solid"/>
            </v:rect>
            <v:line style="position:absolute" from="1975,388" to="3235,388" stroked="true" strokeweight=".95999pt" strokecolor="#000000">
              <v:stroke dashstyle="solid"/>
            </v:line>
            <v:rect style="position:absolute;left:3234;top:378;width:20;height:20" filled="true" fillcolor="#000000" stroked="false">
              <v:fill type="solid"/>
            </v:rect>
            <v:line style="position:absolute" from="3254,388" to="10651,388" stroked="true" strokeweight=".95999pt" strokecolor="#000000">
              <v:stroke dashstyle="solid"/>
            </v:line>
            <w10:wrap type="topAndBottom"/>
          </v:group>
        </w:pict>
      </w:r>
      <w:r>
        <w:rPr/>
        <w:t>您的权利和义务</w:t>
      </w:r>
    </w:p>
    <w:p>
      <w:pPr>
        <w:pStyle w:val="BodyText"/>
        <w:spacing w:before="11"/>
        <w:rPr>
          <w:sz w:val="17"/>
        </w:rPr>
      </w:pPr>
    </w:p>
    <w:p>
      <w:pPr>
        <w:spacing w:after="0"/>
        <w:rPr>
          <w:sz w:val="17"/>
        </w:rPr>
        <w:sectPr>
          <w:type w:val="continuous"/>
          <w:pgSz w:w="11910" w:h="16840"/>
          <w:pgMar w:top="1120" w:bottom="1180" w:left="1160" w:right="1140"/>
        </w:sectPr>
      </w:pPr>
    </w:p>
    <w:p>
      <w:pPr>
        <w:pStyle w:val="ListParagraph"/>
        <w:numPr>
          <w:ilvl w:val="1"/>
          <w:numId w:val="8"/>
        </w:numPr>
        <w:tabs>
          <w:tab w:pos="903" w:val="left" w:leader="none"/>
          <w:tab w:pos="904" w:val="left" w:leader="none"/>
        </w:tabs>
        <w:spacing w:line="273" w:lineRule="auto" w:before="36" w:after="0"/>
        <w:ind w:left="903" w:right="0" w:hanging="694"/>
        <w:jc w:val="left"/>
        <w:rPr>
          <w:sz w:val="21"/>
        </w:rPr>
      </w:pPr>
      <w:r>
        <w:rPr>
          <w:sz w:val="21"/>
        </w:rPr>
        <w:t>保险费的交纳</w:t>
      </w:r>
    </w:p>
    <w:p>
      <w:pPr>
        <w:pStyle w:val="BodyText"/>
        <w:spacing w:line="273" w:lineRule="auto" w:before="36"/>
        <w:ind w:left="173" w:right="275" w:firstLine="420"/>
      </w:pPr>
      <w:r>
        <w:rPr/>
        <w:br w:type="column"/>
      </w:r>
      <w:r>
        <w:rPr/>
        <w:t>除另有约定外，本合同的交费方式和交费期间须与主险合同一致，且须与主险合同同时交纳保险费。</w:t>
      </w:r>
    </w:p>
    <w:p>
      <w:pPr>
        <w:spacing w:after="0" w:line="273" w:lineRule="auto"/>
        <w:sectPr>
          <w:type w:val="continuous"/>
          <w:pgSz w:w="11910" w:h="16840"/>
          <w:pgMar w:top="1120" w:bottom="1180" w:left="1160" w:right="1140"/>
          <w:cols w:num="2" w:equalWidth="0">
            <w:col w:w="1970" w:space="40"/>
            <w:col w:w="7600"/>
          </w:cols>
        </w:sectPr>
      </w:pPr>
    </w:p>
    <w:p>
      <w:pPr>
        <w:pStyle w:val="BodyText"/>
        <w:spacing w:before="8"/>
      </w:pPr>
    </w:p>
    <w:p>
      <w:pPr>
        <w:pStyle w:val="ListParagraph"/>
        <w:numPr>
          <w:ilvl w:val="1"/>
          <w:numId w:val="8"/>
        </w:numPr>
        <w:tabs>
          <w:tab w:pos="903" w:val="left" w:leader="none"/>
          <w:tab w:pos="904" w:val="left" w:leader="none"/>
          <w:tab w:pos="2602" w:val="left" w:leader="none"/>
        </w:tabs>
        <w:spacing w:line="273" w:lineRule="auto" w:before="36" w:after="0"/>
        <w:ind w:left="2182" w:right="112" w:hanging="1973"/>
        <w:jc w:val="left"/>
        <w:rPr>
          <w:sz w:val="21"/>
        </w:rPr>
      </w:pPr>
      <w:r>
        <w:rPr>
          <w:sz w:val="21"/>
        </w:rPr>
        <w:t>减保</w:t>
        <w:tab/>
        <w:tab/>
      </w:r>
      <w:r>
        <w:rPr>
          <w:spacing w:val="-1"/>
          <w:sz w:val="21"/>
        </w:rPr>
        <w:t>1.</w:t>
      </w:r>
      <w:r>
        <w:rPr>
          <w:sz w:val="21"/>
        </w:rPr>
        <w:t>在</w:t>
      </w:r>
      <w:r>
        <w:rPr>
          <w:spacing w:val="-3"/>
          <w:sz w:val="21"/>
        </w:rPr>
        <w:t>本</w:t>
      </w:r>
      <w:r>
        <w:rPr>
          <w:sz w:val="21"/>
        </w:rPr>
        <w:t>合</w:t>
      </w:r>
      <w:r>
        <w:rPr>
          <w:spacing w:val="-3"/>
          <w:sz w:val="21"/>
        </w:rPr>
        <w:t>同</w:t>
      </w:r>
      <w:r>
        <w:rPr>
          <w:sz w:val="21"/>
        </w:rPr>
        <w:t>有</w:t>
      </w:r>
      <w:r>
        <w:rPr>
          <w:spacing w:val="-3"/>
          <w:sz w:val="21"/>
        </w:rPr>
        <w:t>效</w:t>
      </w:r>
      <w:r>
        <w:rPr>
          <w:sz w:val="21"/>
        </w:rPr>
        <w:t>期</w:t>
      </w:r>
      <w:r>
        <w:rPr>
          <w:spacing w:val="-3"/>
          <w:sz w:val="21"/>
        </w:rPr>
        <w:t>内</w:t>
      </w:r>
      <w:r>
        <w:rPr>
          <w:sz w:val="21"/>
        </w:rPr>
        <w:t>，</w:t>
      </w:r>
      <w:r>
        <w:rPr>
          <w:spacing w:val="-3"/>
          <w:sz w:val="21"/>
        </w:rPr>
        <w:t>如</w:t>
      </w:r>
      <w:r>
        <w:rPr>
          <w:sz w:val="21"/>
        </w:rPr>
        <w:t>本合</w:t>
      </w:r>
      <w:r>
        <w:rPr>
          <w:spacing w:val="-3"/>
          <w:sz w:val="21"/>
        </w:rPr>
        <w:t>同</w:t>
      </w:r>
      <w:r>
        <w:rPr>
          <w:sz w:val="21"/>
        </w:rPr>
        <w:t>未</w:t>
      </w:r>
      <w:r>
        <w:rPr>
          <w:spacing w:val="-3"/>
          <w:sz w:val="21"/>
        </w:rPr>
        <w:t>发</w:t>
      </w:r>
      <w:r>
        <w:rPr>
          <w:sz w:val="21"/>
        </w:rPr>
        <w:t>生</w:t>
      </w:r>
      <w:r>
        <w:rPr>
          <w:spacing w:val="-3"/>
          <w:sz w:val="21"/>
        </w:rPr>
        <w:t>保</w:t>
      </w:r>
      <w:r>
        <w:rPr>
          <w:sz w:val="21"/>
        </w:rPr>
        <w:t>险</w:t>
      </w:r>
      <w:r>
        <w:rPr>
          <w:spacing w:val="-3"/>
          <w:sz w:val="21"/>
        </w:rPr>
        <w:t>金</w:t>
      </w:r>
      <w:r>
        <w:rPr>
          <w:sz w:val="21"/>
        </w:rPr>
        <w:t>给</w:t>
      </w:r>
      <w:r>
        <w:rPr>
          <w:spacing w:val="-3"/>
          <w:sz w:val="21"/>
        </w:rPr>
        <w:t>付</w:t>
      </w:r>
      <w:r>
        <w:rPr>
          <w:sz w:val="21"/>
        </w:rPr>
        <w:t>，您</w:t>
      </w:r>
      <w:r>
        <w:rPr>
          <w:spacing w:val="-3"/>
          <w:sz w:val="21"/>
        </w:rPr>
        <w:t>可</w:t>
      </w:r>
      <w:r>
        <w:rPr>
          <w:sz w:val="21"/>
        </w:rPr>
        <w:t>以</w:t>
      </w:r>
      <w:r>
        <w:rPr>
          <w:spacing w:val="-3"/>
          <w:sz w:val="21"/>
        </w:rPr>
        <w:t>申</w:t>
      </w:r>
      <w:r>
        <w:rPr>
          <w:sz w:val="21"/>
        </w:rPr>
        <w:t>请</w:t>
      </w:r>
      <w:r>
        <w:rPr>
          <w:spacing w:val="-3"/>
          <w:sz w:val="21"/>
        </w:rPr>
        <w:t>减</w:t>
      </w:r>
      <w:r>
        <w:rPr>
          <w:sz w:val="21"/>
        </w:rPr>
        <w:t>保</w:t>
      </w:r>
      <w:r>
        <w:rPr>
          <w:spacing w:val="-3"/>
          <w:sz w:val="21"/>
        </w:rPr>
        <w:t>，</w:t>
      </w:r>
      <w:r>
        <w:rPr>
          <w:sz w:val="21"/>
        </w:rPr>
        <w:t>基 本保</w:t>
      </w:r>
      <w:r>
        <w:rPr>
          <w:spacing w:val="-3"/>
          <w:sz w:val="21"/>
        </w:rPr>
        <w:t>险</w:t>
      </w:r>
      <w:r>
        <w:rPr>
          <w:sz w:val="21"/>
        </w:rPr>
        <w:t>金</w:t>
      </w:r>
      <w:r>
        <w:rPr>
          <w:spacing w:val="-3"/>
          <w:sz w:val="21"/>
        </w:rPr>
        <w:t>额</w:t>
      </w:r>
      <w:r>
        <w:rPr>
          <w:sz w:val="21"/>
        </w:rPr>
        <w:t>同</w:t>
      </w:r>
      <w:r>
        <w:rPr>
          <w:spacing w:val="-3"/>
          <w:sz w:val="21"/>
        </w:rPr>
        <w:t>比</w:t>
      </w:r>
      <w:r>
        <w:rPr>
          <w:sz w:val="21"/>
        </w:rPr>
        <w:t>例</w:t>
      </w:r>
      <w:r>
        <w:rPr>
          <w:spacing w:val="-3"/>
          <w:sz w:val="21"/>
        </w:rPr>
        <w:t>减</w:t>
      </w:r>
      <w:r>
        <w:rPr>
          <w:sz w:val="21"/>
        </w:rPr>
        <w:t>少</w:t>
      </w:r>
      <w:r>
        <w:rPr>
          <w:spacing w:val="-3"/>
          <w:sz w:val="21"/>
        </w:rPr>
        <w:t>，</w:t>
      </w:r>
      <w:r>
        <w:rPr>
          <w:sz w:val="21"/>
        </w:rPr>
        <w:t>并领</w:t>
      </w:r>
      <w:r>
        <w:rPr>
          <w:spacing w:val="-3"/>
          <w:sz w:val="21"/>
        </w:rPr>
        <w:t>取</w:t>
      </w:r>
      <w:r>
        <w:rPr>
          <w:sz w:val="21"/>
        </w:rPr>
        <w:t>减</w:t>
      </w:r>
      <w:r>
        <w:rPr>
          <w:spacing w:val="-3"/>
          <w:sz w:val="21"/>
        </w:rPr>
        <w:t>少</w:t>
      </w:r>
      <w:r>
        <w:rPr>
          <w:sz w:val="21"/>
        </w:rPr>
        <w:t>部</w:t>
      </w:r>
      <w:r>
        <w:rPr>
          <w:spacing w:val="-3"/>
          <w:sz w:val="21"/>
        </w:rPr>
        <w:t>分</w:t>
      </w:r>
      <w:r>
        <w:rPr>
          <w:sz w:val="21"/>
        </w:rPr>
        <w:t>对</w:t>
      </w:r>
      <w:r>
        <w:rPr>
          <w:spacing w:val="-3"/>
          <w:sz w:val="21"/>
        </w:rPr>
        <w:t>应</w:t>
      </w:r>
      <w:r>
        <w:rPr>
          <w:sz w:val="21"/>
        </w:rPr>
        <w:t>的</w:t>
      </w:r>
      <w:r>
        <w:rPr>
          <w:spacing w:val="-3"/>
          <w:sz w:val="21"/>
        </w:rPr>
        <w:t>现</w:t>
      </w:r>
      <w:r>
        <w:rPr>
          <w:sz w:val="21"/>
        </w:rPr>
        <w:t>金价</w:t>
      </w:r>
      <w:r>
        <w:rPr>
          <w:spacing w:val="-3"/>
          <w:sz w:val="21"/>
        </w:rPr>
        <w:t>值</w:t>
      </w:r>
      <w:r>
        <w:rPr>
          <w:sz w:val="21"/>
        </w:rPr>
        <w:t>。</w:t>
      </w:r>
      <w:r>
        <w:rPr>
          <w:spacing w:val="-3"/>
          <w:sz w:val="21"/>
        </w:rPr>
        <w:t>主</w:t>
      </w:r>
      <w:r>
        <w:rPr>
          <w:sz w:val="21"/>
        </w:rPr>
        <w:t>险</w:t>
      </w:r>
      <w:r>
        <w:rPr>
          <w:spacing w:val="-3"/>
          <w:sz w:val="21"/>
        </w:rPr>
        <w:t>合</w:t>
      </w:r>
      <w:r>
        <w:rPr>
          <w:sz w:val="21"/>
        </w:rPr>
        <w:t>同</w:t>
      </w:r>
      <w:r>
        <w:rPr>
          <w:spacing w:val="-3"/>
          <w:sz w:val="21"/>
        </w:rPr>
        <w:t>减</w:t>
      </w:r>
      <w:r>
        <w:rPr>
          <w:sz w:val="21"/>
        </w:rPr>
        <w:t>保</w:t>
      </w:r>
      <w:r>
        <w:rPr>
          <w:spacing w:val="-3"/>
          <w:sz w:val="21"/>
        </w:rPr>
        <w:t>，</w:t>
      </w:r>
      <w:r>
        <w:rPr>
          <w:sz w:val="21"/>
        </w:rPr>
        <w:t>如 本合</w:t>
      </w:r>
      <w:r>
        <w:rPr>
          <w:spacing w:val="-3"/>
          <w:sz w:val="21"/>
        </w:rPr>
        <w:t>同</w:t>
      </w:r>
      <w:r>
        <w:rPr>
          <w:sz w:val="21"/>
        </w:rPr>
        <w:t>未</w:t>
      </w:r>
      <w:r>
        <w:rPr>
          <w:spacing w:val="-3"/>
          <w:sz w:val="21"/>
        </w:rPr>
        <w:t>发</w:t>
      </w:r>
      <w:r>
        <w:rPr>
          <w:sz w:val="21"/>
        </w:rPr>
        <w:t>生</w:t>
      </w:r>
      <w:r>
        <w:rPr>
          <w:spacing w:val="-3"/>
          <w:sz w:val="21"/>
        </w:rPr>
        <w:t>保</w:t>
      </w:r>
      <w:r>
        <w:rPr>
          <w:sz w:val="21"/>
        </w:rPr>
        <w:t>险</w:t>
      </w:r>
      <w:r>
        <w:rPr>
          <w:spacing w:val="-3"/>
          <w:sz w:val="21"/>
        </w:rPr>
        <w:t>金</w:t>
      </w:r>
      <w:r>
        <w:rPr>
          <w:sz w:val="21"/>
        </w:rPr>
        <w:t>给</w:t>
      </w:r>
      <w:r>
        <w:rPr>
          <w:spacing w:val="-3"/>
          <w:sz w:val="21"/>
        </w:rPr>
        <w:t>付</w:t>
      </w:r>
      <w:r>
        <w:rPr>
          <w:spacing w:val="-24"/>
          <w:sz w:val="21"/>
        </w:rPr>
        <w:t>，</w:t>
      </w:r>
      <w:r>
        <w:rPr>
          <w:sz w:val="21"/>
        </w:rPr>
        <w:t>本</w:t>
      </w:r>
      <w:r>
        <w:rPr>
          <w:spacing w:val="-3"/>
          <w:sz w:val="21"/>
        </w:rPr>
        <w:t>合</w:t>
      </w:r>
      <w:r>
        <w:rPr>
          <w:sz w:val="21"/>
        </w:rPr>
        <w:t>同</w:t>
      </w:r>
      <w:r>
        <w:rPr>
          <w:spacing w:val="-3"/>
          <w:sz w:val="21"/>
        </w:rPr>
        <w:t>应</w:t>
      </w:r>
      <w:r>
        <w:rPr>
          <w:sz w:val="21"/>
        </w:rPr>
        <w:t>同</w:t>
      </w:r>
      <w:r>
        <w:rPr>
          <w:spacing w:val="-3"/>
          <w:sz w:val="21"/>
        </w:rPr>
        <w:t>时</w:t>
      </w:r>
      <w:r>
        <w:rPr>
          <w:sz w:val="21"/>
        </w:rPr>
        <w:t>办</w:t>
      </w:r>
      <w:r>
        <w:rPr>
          <w:spacing w:val="-3"/>
          <w:sz w:val="21"/>
        </w:rPr>
        <w:t>理</w:t>
      </w:r>
      <w:r>
        <w:rPr>
          <w:sz w:val="21"/>
        </w:rPr>
        <w:t>减</w:t>
      </w:r>
      <w:r>
        <w:rPr>
          <w:spacing w:val="-3"/>
          <w:sz w:val="21"/>
        </w:rPr>
        <w:t>保</w:t>
      </w:r>
      <w:r>
        <w:rPr>
          <w:spacing w:val="-24"/>
          <w:sz w:val="21"/>
        </w:rPr>
        <w:t>，</w:t>
      </w:r>
      <w:r>
        <w:rPr>
          <w:sz w:val="21"/>
        </w:rPr>
        <w:t>减</w:t>
      </w:r>
      <w:r>
        <w:rPr>
          <w:spacing w:val="-3"/>
          <w:sz w:val="21"/>
        </w:rPr>
        <w:t>保</w:t>
      </w:r>
      <w:r>
        <w:rPr>
          <w:sz w:val="21"/>
        </w:rPr>
        <w:t>比</w:t>
      </w:r>
      <w:r>
        <w:rPr>
          <w:spacing w:val="-3"/>
          <w:sz w:val="21"/>
        </w:rPr>
        <w:t>例</w:t>
      </w:r>
      <w:r>
        <w:rPr>
          <w:sz w:val="21"/>
        </w:rPr>
        <w:t>与</w:t>
      </w:r>
      <w:r>
        <w:rPr>
          <w:spacing w:val="-3"/>
          <w:sz w:val="21"/>
        </w:rPr>
        <w:t>主</w:t>
      </w:r>
      <w:r>
        <w:rPr>
          <w:sz w:val="21"/>
        </w:rPr>
        <w:t>险</w:t>
      </w:r>
      <w:r>
        <w:rPr>
          <w:spacing w:val="-3"/>
          <w:sz w:val="21"/>
        </w:rPr>
        <w:t>合</w:t>
      </w:r>
      <w:r>
        <w:rPr>
          <w:sz w:val="21"/>
        </w:rPr>
        <w:t>同</w:t>
      </w:r>
      <w:r>
        <w:rPr>
          <w:spacing w:val="-3"/>
          <w:sz w:val="21"/>
        </w:rPr>
        <w:t>相</w:t>
      </w:r>
      <w:r>
        <w:rPr>
          <w:sz w:val="21"/>
        </w:rPr>
        <w:t>同。本公</w:t>
      </w:r>
      <w:r>
        <w:rPr>
          <w:spacing w:val="-3"/>
          <w:sz w:val="21"/>
        </w:rPr>
        <w:t>司</w:t>
      </w:r>
      <w:r>
        <w:rPr>
          <w:sz w:val="21"/>
        </w:rPr>
        <w:t>退</w:t>
      </w:r>
      <w:r>
        <w:rPr>
          <w:spacing w:val="-3"/>
          <w:sz w:val="21"/>
        </w:rPr>
        <w:t>还</w:t>
      </w:r>
      <w:r>
        <w:rPr>
          <w:sz w:val="21"/>
        </w:rPr>
        <w:t>减</w:t>
      </w:r>
      <w:r>
        <w:rPr>
          <w:spacing w:val="-3"/>
          <w:sz w:val="21"/>
        </w:rPr>
        <w:t>少</w:t>
      </w:r>
      <w:r>
        <w:rPr>
          <w:sz w:val="21"/>
        </w:rPr>
        <w:t>部</w:t>
      </w:r>
      <w:r>
        <w:rPr>
          <w:spacing w:val="-3"/>
          <w:sz w:val="21"/>
        </w:rPr>
        <w:t>分</w:t>
      </w:r>
      <w:r>
        <w:rPr>
          <w:sz w:val="21"/>
        </w:rPr>
        <w:t>对</w:t>
      </w:r>
      <w:r>
        <w:rPr>
          <w:spacing w:val="-3"/>
          <w:sz w:val="21"/>
        </w:rPr>
        <w:t>应</w:t>
      </w:r>
      <w:r>
        <w:rPr>
          <w:sz w:val="21"/>
        </w:rPr>
        <w:t>的现</w:t>
      </w:r>
      <w:r>
        <w:rPr>
          <w:spacing w:val="-3"/>
          <w:sz w:val="21"/>
        </w:rPr>
        <w:t>金</w:t>
      </w:r>
      <w:r>
        <w:rPr>
          <w:sz w:val="21"/>
        </w:rPr>
        <w:t>价</w:t>
      </w:r>
      <w:r>
        <w:rPr>
          <w:spacing w:val="-3"/>
          <w:sz w:val="21"/>
        </w:rPr>
        <w:t>值</w:t>
      </w:r>
      <w:r>
        <w:rPr>
          <w:sz w:val="21"/>
        </w:rPr>
        <w:t>。</w:t>
      </w:r>
      <w:r>
        <w:rPr>
          <w:spacing w:val="-3"/>
          <w:sz w:val="21"/>
        </w:rPr>
        <w:t>减</w:t>
      </w:r>
      <w:r>
        <w:rPr>
          <w:sz w:val="21"/>
        </w:rPr>
        <w:t>保</w:t>
      </w:r>
      <w:r>
        <w:rPr>
          <w:spacing w:val="-3"/>
          <w:sz w:val="21"/>
        </w:rPr>
        <w:t>后</w:t>
      </w:r>
      <w:r>
        <w:rPr>
          <w:sz w:val="21"/>
        </w:rPr>
        <w:t>的</w:t>
      </w:r>
      <w:r>
        <w:rPr>
          <w:spacing w:val="-3"/>
          <w:sz w:val="21"/>
        </w:rPr>
        <w:t>保</w:t>
      </w:r>
      <w:r>
        <w:rPr>
          <w:sz w:val="21"/>
        </w:rPr>
        <w:t>险费</w:t>
      </w:r>
      <w:r>
        <w:rPr>
          <w:spacing w:val="-3"/>
          <w:sz w:val="21"/>
        </w:rPr>
        <w:t>按</w:t>
      </w:r>
      <w:r>
        <w:rPr>
          <w:sz w:val="21"/>
        </w:rPr>
        <w:t>下</w:t>
      </w:r>
      <w:r>
        <w:rPr>
          <w:spacing w:val="-3"/>
          <w:sz w:val="21"/>
        </w:rPr>
        <w:t>列</w:t>
      </w:r>
      <w:r>
        <w:rPr>
          <w:sz w:val="21"/>
        </w:rPr>
        <w:t>公</w:t>
      </w:r>
      <w:r>
        <w:rPr>
          <w:spacing w:val="-3"/>
          <w:sz w:val="21"/>
        </w:rPr>
        <w:t>式</w:t>
      </w:r>
      <w:r>
        <w:rPr>
          <w:sz w:val="21"/>
        </w:rPr>
        <w:t>计</w:t>
      </w:r>
      <w:r>
        <w:rPr>
          <w:spacing w:val="-3"/>
          <w:sz w:val="21"/>
        </w:rPr>
        <w:t>算</w:t>
      </w:r>
      <w:r>
        <w:rPr>
          <w:sz w:val="21"/>
        </w:rPr>
        <w:t>。</w:t>
      </w:r>
    </w:p>
    <w:p>
      <w:pPr>
        <w:pStyle w:val="BodyText"/>
        <w:spacing w:line="273" w:lineRule="auto" w:before="7"/>
        <w:ind w:left="2602" w:right="1641"/>
      </w:pPr>
      <w:r>
        <w:rPr/>
        <w:t>减保后的保险费＝本次减保前的保险费×（1－减保比例） 本公司按减保后的基本保险金额承担保险责任。</w:t>
      </w:r>
    </w:p>
    <w:p>
      <w:pPr>
        <w:pStyle w:val="BodyText"/>
        <w:spacing w:line="273" w:lineRule="auto" w:before="7"/>
        <w:ind w:left="2182" w:right="275" w:firstLine="420"/>
        <w:jc w:val="both"/>
      </w:pPr>
      <w:r>
        <w:rPr/>
        <w:t>2.在本合同有效期内，主险合同减保，如本合同已发生保险金给付，本公司仅对主险合同减保，本公司按此次减保前的基本保险金额继续承担本合同保险责任。</w:t>
      </w:r>
    </w:p>
    <w:p>
      <w:pPr>
        <w:pStyle w:val="BodyText"/>
        <w:spacing w:before="3"/>
        <w:rPr>
          <w:sz w:val="22"/>
        </w:rPr>
      </w:pPr>
    </w:p>
    <w:p>
      <w:pPr>
        <w:pStyle w:val="Heading1"/>
        <w:numPr>
          <w:ilvl w:val="0"/>
          <w:numId w:val="8"/>
        </w:numPr>
        <w:tabs>
          <w:tab w:pos="903" w:val="left" w:leader="none"/>
          <w:tab w:pos="904" w:val="left" w:leader="none"/>
        </w:tabs>
        <w:spacing w:line="240" w:lineRule="auto" w:before="0" w:after="0"/>
        <w:ind w:left="903" w:right="0" w:hanging="694"/>
        <w:jc w:val="left"/>
      </w:pPr>
      <w:r>
        <w:rPr/>
        <w:pict>
          <v:group style="position:absolute;margin-left:63.098259pt;margin-top:17.615627pt;width:469.45pt;height:1pt;mso-position-horizontal-relative:page;mso-position-vertical-relative:paragraph;z-index:1096;mso-wrap-distance-left:0;mso-wrap-distance-right:0" coordorigin="1262,352" coordsize="9389,20">
            <v:line style="position:absolute" from="1262,362" to="1956,362" stroked="true" strokeweight=".95999pt" strokecolor="#000000">
              <v:stroke dashstyle="solid"/>
            </v:line>
            <v:rect style="position:absolute;left:1955;top:352;width:20;height:20" filled="true" fillcolor="#000000" stroked="false">
              <v:fill type="solid"/>
            </v:rect>
            <v:line style="position:absolute" from="1975,362" to="3235,362" stroked="true" strokeweight=".95999pt" strokecolor="#000000">
              <v:stroke dashstyle="solid"/>
            </v:line>
            <v:rect style="position:absolute;left:3234;top:352;width:20;height:20" filled="true" fillcolor="#000000" stroked="false">
              <v:fill type="solid"/>
            </v:rect>
            <v:line style="position:absolute" from="3254,362" to="10651,362" stroked="true" strokeweight=".95999pt" strokecolor="#000000">
              <v:stroke dashstyle="solid"/>
            </v:line>
            <w10:wrap type="topAndBottom"/>
          </v:group>
        </w:pict>
      </w:r>
      <w:r>
        <w:rPr/>
        <w:t>如何申请领取保险金</w:t>
      </w:r>
    </w:p>
    <w:p>
      <w:pPr>
        <w:pStyle w:val="BodyText"/>
        <w:spacing w:before="11"/>
        <w:rPr>
          <w:sz w:val="17"/>
        </w:rPr>
      </w:pPr>
    </w:p>
    <w:p>
      <w:pPr>
        <w:pStyle w:val="ListParagraph"/>
        <w:numPr>
          <w:ilvl w:val="1"/>
          <w:numId w:val="8"/>
        </w:numPr>
        <w:tabs>
          <w:tab w:pos="903" w:val="left" w:leader="none"/>
          <w:tab w:pos="904" w:val="left" w:leader="none"/>
          <w:tab w:pos="2602" w:val="left" w:leader="none"/>
        </w:tabs>
        <w:spacing w:line="240" w:lineRule="auto" w:before="36" w:after="0"/>
        <w:ind w:left="903" w:right="0" w:hanging="694"/>
        <w:jc w:val="left"/>
        <w:rPr>
          <w:sz w:val="21"/>
        </w:rPr>
      </w:pPr>
      <w:r>
        <w:rPr>
          <w:sz w:val="21"/>
        </w:rPr>
        <w:t>保险金受益</w:t>
        <w:tab/>
      </w:r>
      <w:r>
        <w:rPr>
          <w:spacing w:val="-1"/>
          <w:sz w:val="21"/>
        </w:rPr>
        <w:t>特</w:t>
      </w:r>
      <w:r>
        <w:rPr>
          <w:sz w:val="21"/>
        </w:rPr>
        <w:t>定</w:t>
      </w:r>
      <w:r>
        <w:rPr>
          <w:spacing w:val="-3"/>
          <w:sz w:val="21"/>
        </w:rPr>
        <w:t>疾</w:t>
      </w:r>
      <w:r>
        <w:rPr>
          <w:sz w:val="21"/>
        </w:rPr>
        <w:t>病</w:t>
      </w:r>
      <w:r>
        <w:rPr>
          <w:spacing w:val="-3"/>
          <w:sz w:val="21"/>
        </w:rPr>
        <w:t>保</w:t>
      </w:r>
      <w:r>
        <w:rPr>
          <w:sz w:val="21"/>
        </w:rPr>
        <w:t>险</w:t>
      </w:r>
      <w:r>
        <w:rPr>
          <w:spacing w:val="-3"/>
          <w:sz w:val="21"/>
        </w:rPr>
        <w:t>金</w:t>
      </w:r>
      <w:r>
        <w:rPr>
          <w:sz w:val="21"/>
        </w:rPr>
        <w:t>、</w:t>
      </w:r>
      <w:r>
        <w:rPr>
          <w:spacing w:val="-3"/>
          <w:sz w:val="21"/>
        </w:rPr>
        <w:t>重</w:t>
      </w:r>
      <w:r>
        <w:rPr>
          <w:sz w:val="21"/>
        </w:rPr>
        <w:t>大</w:t>
      </w:r>
      <w:r>
        <w:rPr>
          <w:spacing w:val="-3"/>
          <w:sz w:val="21"/>
        </w:rPr>
        <w:t>疾</w:t>
      </w:r>
      <w:r>
        <w:rPr>
          <w:sz w:val="21"/>
        </w:rPr>
        <w:t>病保</w:t>
      </w:r>
      <w:r>
        <w:rPr>
          <w:spacing w:val="-3"/>
          <w:sz w:val="21"/>
        </w:rPr>
        <w:t>险</w:t>
      </w:r>
      <w:r>
        <w:rPr>
          <w:sz w:val="21"/>
        </w:rPr>
        <w:t>金</w:t>
      </w:r>
      <w:r>
        <w:rPr>
          <w:spacing w:val="-3"/>
          <w:sz w:val="21"/>
        </w:rPr>
        <w:t>的</w:t>
      </w:r>
      <w:r>
        <w:rPr>
          <w:sz w:val="21"/>
        </w:rPr>
        <w:t>受</w:t>
      </w:r>
      <w:r>
        <w:rPr>
          <w:spacing w:val="-3"/>
          <w:sz w:val="21"/>
        </w:rPr>
        <w:t>益</w:t>
      </w:r>
      <w:r>
        <w:rPr>
          <w:sz w:val="21"/>
        </w:rPr>
        <w:t>人</w:t>
      </w:r>
      <w:r>
        <w:rPr>
          <w:spacing w:val="-3"/>
          <w:sz w:val="21"/>
        </w:rPr>
        <w:t>为</w:t>
      </w:r>
      <w:r>
        <w:rPr>
          <w:sz w:val="21"/>
        </w:rPr>
        <w:t>被</w:t>
      </w:r>
      <w:r>
        <w:rPr>
          <w:spacing w:val="-3"/>
          <w:sz w:val="21"/>
        </w:rPr>
        <w:t>保</w:t>
      </w:r>
      <w:r>
        <w:rPr>
          <w:sz w:val="21"/>
        </w:rPr>
        <w:t>险人</w:t>
      </w:r>
      <w:r>
        <w:rPr>
          <w:spacing w:val="-3"/>
          <w:sz w:val="21"/>
        </w:rPr>
        <w:t>本</w:t>
      </w:r>
      <w:r>
        <w:rPr>
          <w:sz w:val="21"/>
        </w:rPr>
        <w:t>人。</w:t>
      </w:r>
    </w:p>
    <w:p>
      <w:pPr>
        <w:spacing w:after="0" w:line="240" w:lineRule="auto"/>
        <w:jc w:val="left"/>
        <w:rPr>
          <w:sz w:val="21"/>
        </w:rPr>
        <w:sectPr>
          <w:type w:val="continuous"/>
          <w:pgSz w:w="11910" w:h="16840"/>
          <w:pgMar w:top="1120" w:bottom="1180" w:left="1160" w:right="1140"/>
        </w:sectPr>
      </w:pPr>
    </w:p>
    <w:p>
      <w:pPr>
        <w:pStyle w:val="BodyText"/>
        <w:spacing w:before="2"/>
        <w:rPr>
          <w:sz w:val="19"/>
        </w:rPr>
      </w:pPr>
    </w:p>
    <w:p>
      <w:pPr>
        <w:spacing w:after="0"/>
        <w:rPr>
          <w:sz w:val="19"/>
        </w:rPr>
        <w:sectPr>
          <w:pgSz w:w="11910" w:h="16840"/>
          <w:pgMar w:header="879" w:footer="999" w:top="1120" w:bottom="1180" w:left="1160" w:right="1140"/>
        </w:sectPr>
      </w:pPr>
    </w:p>
    <w:p>
      <w:pPr>
        <w:pStyle w:val="BodyText"/>
        <w:spacing w:line="273" w:lineRule="auto"/>
        <w:ind w:left="903"/>
      </w:pPr>
      <w:r>
        <w:rPr/>
        <w:t>人的指定和变更</w:t>
      </w:r>
    </w:p>
    <w:p>
      <w:pPr>
        <w:pStyle w:val="BodyText"/>
        <w:spacing w:line="273" w:lineRule="auto"/>
        <w:ind w:left="173" w:right="218" w:firstLine="420"/>
        <w:jc w:val="both"/>
      </w:pPr>
      <w:r>
        <w:rPr/>
        <w:br w:type="column"/>
      </w:r>
      <w:r>
        <w:rPr/>
        <w:t>您或被保险人可指定一人或数人为身故保险金受益人，受益人为数人时， 应确定受益顺序和受益份额，未确定受益份额的，各受益人按相等份额享有受益权。</w:t>
      </w:r>
    </w:p>
    <w:p>
      <w:pPr>
        <w:pStyle w:val="BodyText"/>
        <w:spacing w:line="273" w:lineRule="auto" w:before="8"/>
        <w:ind w:left="173" w:right="220" w:firstLine="420"/>
      </w:pPr>
      <w:r>
        <w:rPr/>
        <w:t>您或被保险人可以变更身故保险金受益人，但须书面通知本公司，由本公司在保险单上批注或附贴批单。</w:t>
      </w:r>
    </w:p>
    <w:p>
      <w:pPr>
        <w:pStyle w:val="BodyText"/>
        <w:spacing w:line="273" w:lineRule="auto" w:before="8"/>
        <w:ind w:left="173" w:right="220" w:firstLine="420"/>
      </w:pPr>
      <w:r>
        <w:rPr/>
        <w:t>被保险人为无民事行为能力人或限制民事行为能力人的，可以由其监护人指定或变更受益人。</w:t>
      </w:r>
    </w:p>
    <w:p>
      <w:pPr>
        <w:pStyle w:val="BodyText"/>
        <w:spacing w:line="273" w:lineRule="auto" w:before="8"/>
        <w:ind w:left="173" w:right="220" w:firstLine="420"/>
      </w:pPr>
      <w:r>
        <w:rPr/>
        <w:t>您在指定和变更身故保险金受益人时，须经被保险人书面同意。为与您有劳动关系的劳动者投保，不得指定被保险人及其近亲属以外的人为受益人。</w:t>
      </w:r>
    </w:p>
    <w:p>
      <w:pPr>
        <w:pStyle w:val="BodyText"/>
        <w:spacing w:line="273" w:lineRule="auto" w:before="8"/>
        <w:ind w:left="173" w:right="220" w:firstLine="420"/>
      </w:pPr>
      <w:r>
        <w:rPr/>
        <w:t>被保险人身故后，有下列情形之一的，身故保险金作为被保险人的遗产， 由本公司依照《中华人民共和国继承法》的规定履行给付保险金的义务：</w:t>
      </w:r>
    </w:p>
    <w:p>
      <w:pPr>
        <w:pStyle w:val="BodyText"/>
        <w:spacing w:before="8"/>
        <w:ind w:left="593"/>
      </w:pPr>
      <w:r>
        <w:rPr/>
        <w:t>1.没有指定受益人或受益人指定不明无法确定的；</w:t>
      </w:r>
    </w:p>
    <w:p>
      <w:pPr>
        <w:pStyle w:val="BodyText"/>
        <w:ind w:left="593"/>
      </w:pPr>
      <w:r>
        <w:rPr/>
        <w:t>2.受益人先于被保险人身故，没有其他受益人的；</w:t>
      </w:r>
    </w:p>
    <w:p>
      <w:pPr>
        <w:pStyle w:val="BodyText"/>
        <w:ind w:left="593"/>
      </w:pPr>
      <w:r>
        <w:rPr/>
        <w:t>3.受益人依法丧失受益权或放弃受益权，没有其他受益人的。</w:t>
      </w:r>
    </w:p>
    <w:p>
      <w:pPr>
        <w:pStyle w:val="BodyText"/>
        <w:spacing w:line="273" w:lineRule="auto"/>
        <w:ind w:left="173" w:right="220" w:firstLine="420"/>
      </w:pPr>
      <w:r>
        <w:rPr/>
        <w:t>被保险人和受益人在同一事件中身故，无法确定两者身故先后顺序的，推定受益人先于被保险人身故。</w:t>
      </w:r>
    </w:p>
    <w:p>
      <w:pPr>
        <w:pStyle w:val="BodyText"/>
        <w:spacing w:line="273" w:lineRule="auto" w:before="7"/>
        <w:ind w:left="173" w:right="220" w:firstLine="420"/>
      </w:pPr>
      <w:r>
        <w:rPr/>
        <w:t>受益人故意造成被保险人身故、伤残、疾病的，或故意杀害被保险人未遂的，该受益人丧失受益权。</w:t>
      </w:r>
    </w:p>
    <w:p>
      <w:pPr>
        <w:spacing w:after="0" w:line="273" w:lineRule="auto"/>
        <w:sectPr>
          <w:type w:val="continuous"/>
          <w:pgSz w:w="11910" w:h="16840"/>
          <w:pgMar w:top="1120" w:bottom="1180" w:left="1160" w:right="1140"/>
          <w:cols w:num="2" w:equalWidth="0">
            <w:col w:w="1970" w:space="40"/>
            <w:col w:w="7600"/>
          </w:cols>
        </w:sectPr>
      </w:pPr>
    </w:p>
    <w:p>
      <w:pPr>
        <w:pStyle w:val="BodyText"/>
        <w:spacing w:before="8"/>
      </w:pPr>
    </w:p>
    <w:p>
      <w:pPr>
        <w:spacing w:after="0"/>
        <w:sectPr>
          <w:type w:val="continuous"/>
          <w:pgSz w:w="11910" w:h="16840"/>
          <w:pgMar w:top="1120" w:bottom="1180" w:left="1160" w:right="1140"/>
        </w:sectPr>
      </w:pPr>
    </w:p>
    <w:p>
      <w:pPr>
        <w:pStyle w:val="ListParagraph"/>
        <w:numPr>
          <w:ilvl w:val="1"/>
          <w:numId w:val="8"/>
        </w:numPr>
        <w:tabs>
          <w:tab w:pos="903" w:val="left" w:leader="none"/>
          <w:tab w:pos="904" w:val="left" w:leader="none"/>
        </w:tabs>
        <w:spacing w:line="273" w:lineRule="auto" w:before="36" w:after="0"/>
        <w:ind w:left="903" w:right="0" w:hanging="694"/>
        <w:jc w:val="left"/>
        <w:rPr>
          <w:sz w:val="21"/>
        </w:rPr>
      </w:pPr>
      <w:r>
        <w:rPr>
          <w:sz w:val="21"/>
        </w:rPr>
        <w:t>保险金的申请</w:t>
      </w:r>
    </w:p>
    <w:p>
      <w:pPr>
        <w:pStyle w:val="BodyText"/>
        <w:spacing w:line="273" w:lineRule="auto" w:before="36"/>
        <w:ind w:left="173" w:right="275" w:firstLine="420"/>
      </w:pPr>
      <w:r>
        <w:rPr/>
        <w:br w:type="column"/>
      </w:r>
      <w:r>
        <w:rPr/>
        <w:t>1.申请特定疾病保险金或重大疾病保险金时，由被保险人作为申请人填写保险金给付申请书，并提供下列证明和资料：</w:t>
      </w:r>
    </w:p>
    <w:p>
      <w:pPr>
        <w:pStyle w:val="BodyText"/>
        <w:spacing w:before="7"/>
        <w:ind w:left="593"/>
      </w:pPr>
      <w:r>
        <w:rPr/>
        <w:t>（1）保险合同；</w:t>
      </w:r>
    </w:p>
    <w:p>
      <w:pPr>
        <w:pStyle w:val="BodyText"/>
        <w:ind w:left="593"/>
      </w:pPr>
      <w:r>
        <w:rPr/>
        <w:t>（2）被保险人的有效身份证件；</w:t>
      </w:r>
    </w:p>
    <w:p>
      <w:pPr>
        <w:pStyle w:val="BodyText"/>
        <w:spacing w:line="273" w:lineRule="auto"/>
        <w:ind w:left="173" w:right="161" w:firstLine="420"/>
      </w:pPr>
      <w:r>
        <w:rPr/>
        <w:t>（3）本公司认可医院出具的附有病历、必要病理检验、血液检验及其他科学方法检验报告的疾病诊断书；</w:t>
      </w:r>
    </w:p>
    <w:p>
      <w:pPr>
        <w:pStyle w:val="BodyText"/>
        <w:spacing w:line="273" w:lineRule="auto" w:before="7"/>
        <w:ind w:left="173" w:right="161" w:firstLine="420"/>
      </w:pPr>
      <w:r>
        <w:rPr/>
        <w:t>（4）所能提供的与确认保险事故的性质、原因、伤害程度等有关的其他证明和资料。</w:t>
      </w:r>
    </w:p>
    <w:p>
      <w:pPr>
        <w:pStyle w:val="BodyText"/>
        <w:spacing w:line="273" w:lineRule="auto" w:before="7"/>
        <w:ind w:left="173" w:right="220" w:firstLine="420"/>
      </w:pPr>
      <w:r>
        <w:rPr/>
        <w:t>2.申请身故保险金时，由受益人或其他有权领取保险金的人作为申请人填写保险金给付申请书，并提供下列证明和资料：</w:t>
      </w:r>
    </w:p>
    <w:p>
      <w:pPr>
        <w:pStyle w:val="BodyText"/>
        <w:spacing w:before="7"/>
        <w:ind w:left="593"/>
      </w:pPr>
      <w:r>
        <w:rPr/>
        <w:t>（1）保险合同；</w:t>
      </w:r>
    </w:p>
    <w:p>
      <w:pPr>
        <w:pStyle w:val="BodyText"/>
        <w:spacing w:before="36"/>
        <w:ind w:left="593"/>
      </w:pPr>
      <w:r>
        <w:rPr/>
        <w:t>（2）申请人的有效身份证件；</w:t>
      </w:r>
    </w:p>
    <w:p>
      <w:pPr>
        <w:pStyle w:val="BodyText"/>
        <w:spacing w:line="273" w:lineRule="auto" w:before="36"/>
        <w:ind w:left="173" w:right="165" w:firstLine="420"/>
      </w:pPr>
      <w:r>
        <w:rPr/>
        <w:t>（3）国家卫生行政部门认定的医疗机构、公安部门或其他相关机构出具的被保险人的死亡证明；</w:t>
      </w:r>
    </w:p>
    <w:p>
      <w:pPr>
        <w:pStyle w:val="BodyText"/>
        <w:spacing w:line="273" w:lineRule="auto" w:before="7"/>
        <w:ind w:left="173" w:right="161" w:firstLine="420"/>
      </w:pPr>
      <w:r>
        <w:rPr/>
        <w:t>（4）所能提供的与确认保险事故的性质、原因、伤害程度等有关的其他证明和资料。</w:t>
      </w:r>
    </w:p>
    <w:p>
      <w:pPr>
        <w:pStyle w:val="BodyText"/>
        <w:spacing w:before="7"/>
        <w:ind w:left="596"/>
      </w:pPr>
      <w:r>
        <w:rPr/>
        <w:t>保险金作为被保险人遗产时，须提供可证明合法继承权的相关权利文件。</w:t>
      </w:r>
    </w:p>
    <w:p>
      <w:pPr>
        <w:pStyle w:val="BodyText"/>
        <w:spacing w:line="273" w:lineRule="auto" w:before="36"/>
        <w:ind w:left="173" w:right="220" w:firstLine="420"/>
      </w:pPr>
      <w:r>
        <w:rPr/>
        <w:t>3.如申请人为无民事行为能力人或限制民事行为能力人，由其法定代理人代为办理保险金申请。</w:t>
      </w:r>
    </w:p>
    <w:p>
      <w:pPr>
        <w:pStyle w:val="BodyText"/>
        <w:spacing w:before="7"/>
        <w:ind w:left="593"/>
      </w:pPr>
      <w:r>
        <w:rPr/>
        <w:t>4.如委托他人代为申请，应提供授权委托书及受托人的有效身份证件。</w:t>
      </w:r>
    </w:p>
    <w:p>
      <w:pPr>
        <w:pStyle w:val="BodyText"/>
        <w:spacing w:line="273" w:lineRule="auto"/>
        <w:ind w:left="173" w:right="220" w:firstLine="420"/>
      </w:pPr>
      <w:r>
        <w:rPr/>
        <w:t>5.本公司认为有关证明和资料不完整的，将及时一次性通知申请人补充提供。</w:t>
      </w:r>
    </w:p>
    <w:p>
      <w:pPr>
        <w:spacing w:after="0" w:line="273" w:lineRule="auto"/>
        <w:sectPr>
          <w:type w:val="continuous"/>
          <w:pgSz w:w="11910" w:h="16840"/>
          <w:pgMar w:top="1120" w:bottom="1180" w:left="1160" w:right="1140"/>
          <w:cols w:num="2" w:equalWidth="0">
            <w:col w:w="1970" w:space="40"/>
            <w:col w:w="7600"/>
          </w:cols>
        </w:sectPr>
      </w:pPr>
    </w:p>
    <w:p>
      <w:pPr>
        <w:pStyle w:val="BodyText"/>
        <w:spacing w:before="4"/>
        <w:rPr>
          <w:sz w:val="20"/>
        </w:rPr>
      </w:pPr>
    </w:p>
    <w:p>
      <w:pPr>
        <w:pStyle w:val="Heading1"/>
        <w:numPr>
          <w:ilvl w:val="0"/>
          <w:numId w:val="8"/>
        </w:numPr>
        <w:tabs>
          <w:tab w:pos="903" w:val="left" w:leader="none"/>
          <w:tab w:pos="904" w:val="left" w:leader="none"/>
        </w:tabs>
        <w:spacing w:line="240" w:lineRule="auto" w:before="26" w:after="0"/>
        <w:ind w:left="903" w:right="0" w:hanging="694"/>
        <w:jc w:val="left"/>
      </w:pPr>
      <w:r>
        <w:rPr/>
        <w:pict>
          <v:group style="position:absolute;margin-left:63.098259pt;margin-top:18.915628pt;width:469.45pt;height:1pt;mso-position-horizontal-relative:page;mso-position-vertical-relative:paragraph;z-index:1120;mso-wrap-distance-left:0;mso-wrap-distance-right:0" coordorigin="1262,378" coordsize="9389,20">
            <v:line style="position:absolute" from="1262,388" to="1956,388" stroked="true" strokeweight=".95999pt" strokecolor="#000000">
              <v:stroke dashstyle="solid"/>
            </v:line>
            <v:rect style="position:absolute;left:1955;top:378;width:20;height:20" filled="true" fillcolor="#000000" stroked="false">
              <v:fill type="solid"/>
            </v:rect>
            <v:line style="position:absolute" from="1975,388" to="3235,388" stroked="true" strokeweight=".95999pt" strokecolor="#000000">
              <v:stroke dashstyle="solid"/>
            </v:line>
            <v:rect style="position:absolute;left:3234;top:378;width:20;height:20" filled="true" fillcolor="#000000" stroked="false">
              <v:fill type="solid"/>
            </v:rect>
            <v:line style="position:absolute" from="3254,388" to="10651,388" stroked="true" strokeweight=".95999pt" strokecolor="#000000">
              <v:stroke dashstyle="solid"/>
            </v:line>
            <w10:wrap type="topAndBottom"/>
          </v:group>
        </w:pict>
      </w:r>
      <w:r>
        <w:rPr/>
        <w:t>基本条款</w:t>
      </w:r>
    </w:p>
    <w:p>
      <w:pPr>
        <w:spacing w:after="0" w:line="240" w:lineRule="auto"/>
        <w:jc w:val="left"/>
        <w:sectPr>
          <w:type w:val="continuous"/>
          <w:pgSz w:w="11910" w:h="16840"/>
          <w:pgMar w:top="1120" w:bottom="1180" w:left="1160" w:right="1140"/>
        </w:sectPr>
      </w:pPr>
    </w:p>
    <w:p>
      <w:pPr>
        <w:pStyle w:val="BodyText"/>
        <w:spacing w:before="2"/>
        <w:rPr>
          <w:sz w:val="19"/>
        </w:rPr>
      </w:pPr>
    </w:p>
    <w:p>
      <w:pPr>
        <w:spacing w:after="0"/>
        <w:rPr>
          <w:sz w:val="19"/>
        </w:rPr>
        <w:sectPr>
          <w:pgSz w:w="11910" w:h="16840"/>
          <w:pgMar w:header="879" w:footer="999" w:top="1120" w:bottom="1180" w:left="1160" w:right="1140"/>
        </w:sectPr>
      </w:pPr>
    </w:p>
    <w:p>
      <w:pPr>
        <w:pStyle w:val="ListParagraph"/>
        <w:numPr>
          <w:ilvl w:val="1"/>
          <w:numId w:val="8"/>
        </w:numPr>
        <w:tabs>
          <w:tab w:pos="903" w:val="left" w:leader="none"/>
          <w:tab w:pos="904" w:val="left" w:leader="none"/>
        </w:tabs>
        <w:spacing w:line="273" w:lineRule="auto" w:before="37" w:after="0"/>
        <w:ind w:left="903" w:right="0" w:hanging="694"/>
        <w:jc w:val="left"/>
        <w:rPr>
          <w:sz w:val="21"/>
        </w:rPr>
      </w:pPr>
      <w:r>
        <w:rPr>
          <w:sz w:val="21"/>
        </w:rPr>
        <w:t>年龄确定与错误处理</w:t>
      </w:r>
    </w:p>
    <w:p>
      <w:pPr>
        <w:pStyle w:val="BodyText"/>
        <w:ind w:left="593"/>
      </w:pPr>
      <w:r>
        <w:rPr/>
        <w:br w:type="column"/>
      </w:r>
      <w:r>
        <w:rPr/>
        <w:t>1.被保险人的年龄以周岁计算。</w:t>
      </w:r>
    </w:p>
    <w:p>
      <w:pPr>
        <w:pStyle w:val="BodyText"/>
        <w:spacing w:line="273" w:lineRule="auto"/>
        <w:ind w:left="173" w:right="220" w:firstLine="420"/>
      </w:pPr>
      <w:r>
        <w:rPr/>
        <w:t>2.您在申请投保时，应将与有效身份证件相符的被保险人的出生日期在投保单上填明，如发生错误按下列方式办理：</w:t>
      </w:r>
    </w:p>
    <w:p>
      <w:pPr>
        <w:pStyle w:val="BodyText"/>
        <w:spacing w:line="273" w:lineRule="auto" w:before="7"/>
        <w:ind w:left="173" w:right="218" w:firstLine="422"/>
        <w:jc w:val="both"/>
      </w:pPr>
      <w:r>
        <w:rPr>
          <w:spacing w:val="-13"/>
        </w:rPr>
        <w:t>（1）</w:t>
      </w:r>
      <w:r>
        <w:rPr>
          <w:spacing w:val="-4"/>
        </w:rPr>
        <w:t>您申报的被保险人年龄不真实，并且其真实年龄不符合本合同约定投保年龄限制的，本公司有权解除合同，并向您退还保险单的现金价值。本公司</w:t>
      </w:r>
      <w:r>
        <w:rPr>
          <w:spacing w:val="-3"/>
        </w:rPr>
        <w:t>行使合同解除权适用主险合同“本公司合同解除权的限制”的规定。</w:t>
      </w:r>
    </w:p>
    <w:p>
      <w:pPr>
        <w:pStyle w:val="BodyText"/>
        <w:spacing w:line="273" w:lineRule="auto" w:before="7"/>
        <w:ind w:left="173" w:right="110" w:firstLine="422"/>
      </w:pPr>
      <w:r>
        <w:rPr>
          <w:w w:val="100"/>
        </w:rPr>
        <w:t>（2</w:t>
      </w:r>
      <w:r>
        <w:rPr>
          <w:spacing w:val="-92"/>
          <w:w w:val="100"/>
        </w:rPr>
        <w:t>）</w:t>
      </w:r>
      <w:r>
        <w:rPr>
          <w:spacing w:val="-8"/>
          <w:w w:val="100"/>
        </w:rPr>
        <w:t>您申报的被保险人年龄不真实，致使您实付保险费少于应付保险费的，</w:t>
      </w:r>
      <w:r>
        <w:rPr>
          <w:spacing w:val="-8"/>
        </w:rPr>
        <w:t>本公司有权更正并要求您补交保险费；如已发生保险事故，在给付保险金时按</w:t>
      </w:r>
      <w:r>
        <w:rPr>
          <w:spacing w:val="-3"/>
        </w:rPr>
        <w:t>实付保险费和应付保险费的比例支付。</w:t>
      </w:r>
    </w:p>
    <w:p>
      <w:pPr>
        <w:pStyle w:val="BodyText"/>
        <w:spacing w:line="273" w:lineRule="auto" w:before="7"/>
        <w:ind w:left="173" w:right="112" w:firstLine="420"/>
      </w:pPr>
      <w:r>
        <w:rPr>
          <w:spacing w:val="-26"/>
        </w:rPr>
        <w:t>（3）</w:t>
      </w:r>
      <w:r>
        <w:rPr>
          <w:spacing w:val="-9"/>
        </w:rPr>
        <w:t>您申报的被保险人年龄不真实，致使您实付保险费多于应付保险费的， </w:t>
      </w:r>
      <w:r>
        <w:rPr>
          <w:spacing w:val="-3"/>
        </w:rPr>
        <w:t>本公司会将多收的保险费退还给您。</w:t>
      </w:r>
    </w:p>
    <w:p>
      <w:pPr>
        <w:spacing w:after="0" w:line="273" w:lineRule="auto"/>
        <w:sectPr>
          <w:type w:val="continuous"/>
          <w:pgSz w:w="11910" w:h="16840"/>
          <w:pgMar w:top="1120" w:bottom="1180" w:left="1160" w:right="1140"/>
          <w:cols w:num="2" w:equalWidth="0">
            <w:col w:w="1970" w:space="40"/>
            <w:col w:w="7600"/>
          </w:cols>
        </w:sectPr>
      </w:pPr>
    </w:p>
    <w:p>
      <w:pPr>
        <w:pStyle w:val="BodyText"/>
        <w:spacing w:before="3"/>
        <w:rPr>
          <w:sz w:val="20"/>
        </w:rPr>
      </w:pPr>
    </w:p>
    <w:p>
      <w:pPr>
        <w:pStyle w:val="Heading1"/>
        <w:numPr>
          <w:ilvl w:val="0"/>
          <w:numId w:val="8"/>
        </w:numPr>
        <w:tabs>
          <w:tab w:pos="903" w:val="left" w:leader="none"/>
          <w:tab w:pos="904" w:val="left" w:leader="none"/>
        </w:tabs>
        <w:spacing w:line="240" w:lineRule="auto" w:before="26" w:after="0"/>
        <w:ind w:left="903" w:right="0" w:hanging="694"/>
        <w:jc w:val="left"/>
      </w:pPr>
      <w:r>
        <w:rPr/>
        <w:pict>
          <v:group style="position:absolute;margin-left:63.098259pt;margin-top:18.915644pt;width:469.45pt;height:1pt;mso-position-horizontal-relative:page;mso-position-vertical-relative:paragraph;z-index:1144;mso-wrap-distance-left:0;mso-wrap-distance-right:0" coordorigin="1262,378" coordsize="9389,20">
            <v:line style="position:absolute" from="1262,388" to="1956,388" stroked="true" strokeweight=".95999pt" strokecolor="#000000">
              <v:stroke dashstyle="solid"/>
            </v:line>
            <v:rect style="position:absolute;left:1955;top:378;width:20;height:20" filled="true" fillcolor="#000000" stroked="false">
              <v:fill type="solid"/>
            </v:rect>
            <v:line style="position:absolute" from="1975,388" to="3235,388" stroked="true" strokeweight=".95999pt" strokecolor="#000000">
              <v:stroke dashstyle="solid"/>
            </v:line>
            <v:rect style="position:absolute;left:3234;top:378;width:20;height:20" filled="true" fillcolor="#000000" stroked="false">
              <v:fill type="solid"/>
            </v:rect>
            <v:line style="position:absolute" from="3254,388" to="10651,388" stroked="true" strokeweight=".95999pt" strokecolor="#000000">
              <v:stroke dashstyle="solid"/>
            </v:line>
            <w10:wrap type="topAndBottom"/>
          </v:group>
        </w:pict>
      </w:r>
      <w:r>
        <w:rPr/>
        <w:t>释义</w:t>
      </w:r>
    </w:p>
    <w:p>
      <w:pPr>
        <w:pStyle w:val="BodyText"/>
        <w:spacing w:before="11"/>
        <w:rPr>
          <w:sz w:val="17"/>
        </w:rPr>
      </w:pPr>
    </w:p>
    <w:p>
      <w:pPr>
        <w:pStyle w:val="ListParagraph"/>
        <w:numPr>
          <w:ilvl w:val="1"/>
          <w:numId w:val="8"/>
        </w:numPr>
        <w:tabs>
          <w:tab w:pos="903" w:val="left" w:leader="none"/>
          <w:tab w:pos="904" w:val="left" w:leader="none"/>
          <w:tab w:pos="2602" w:val="left" w:leader="none"/>
        </w:tabs>
        <w:spacing w:line="273" w:lineRule="auto" w:before="36" w:after="0"/>
        <w:ind w:left="2182" w:right="112" w:hanging="1973"/>
        <w:jc w:val="left"/>
        <w:rPr>
          <w:sz w:val="21"/>
        </w:rPr>
      </w:pPr>
      <w:r>
        <w:rPr>
          <w:sz w:val="21"/>
        </w:rPr>
        <w:t>现金价值</w:t>
        <w:tab/>
        <w:tab/>
        <w:t>指保险单所具有的价值。通常体现为解除合同时，根据精算原理计算的， 由本</w:t>
      </w:r>
      <w:r>
        <w:rPr>
          <w:spacing w:val="-3"/>
          <w:sz w:val="21"/>
        </w:rPr>
        <w:t>公</w:t>
      </w:r>
      <w:r>
        <w:rPr>
          <w:sz w:val="21"/>
        </w:rPr>
        <w:t>司</w:t>
      </w:r>
      <w:r>
        <w:rPr>
          <w:spacing w:val="-3"/>
          <w:sz w:val="21"/>
        </w:rPr>
        <w:t>退</w:t>
      </w:r>
      <w:r>
        <w:rPr>
          <w:sz w:val="21"/>
        </w:rPr>
        <w:t>还</w:t>
      </w:r>
      <w:r>
        <w:rPr>
          <w:spacing w:val="-3"/>
          <w:sz w:val="21"/>
        </w:rPr>
        <w:t>的</w:t>
      </w:r>
      <w:r>
        <w:rPr>
          <w:sz w:val="21"/>
        </w:rPr>
        <w:t>那</w:t>
      </w:r>
      <w:r>
        <w:rPr>
          <w:spacing w:val="-3"/>
          <w:sz w:val="21"/>
        </w:rPr>
        <w:t>部</w:t>
      </w:r>
      <w:r>
        <w:rPr>
          <w:sz w:val="21"/>
        </w:rPr>
        <w:t>分</w:t>
      </w:r>
      <w:r>
        <w:rPr>
          <w:spacing w:val="-3"/>
          <w:sz w:val="21"/>
        </w:rPr>
        <w:t>金</w:t>
      </w:r>
      <w:r>
        <w:rPr>
          <w:sz w:val="21"/>
        </w:rPr>
        <w:t>额</w:t>
      </w:r>
      <w:r>
        <w:rPr>
          <w:spacing w:val="-48"/>
          <w:sz w:val="21"/>
        </w:rPr>
        <w:t>。</w:t>
      </w:r>
      <w:r>
        <w:rPr>
          <w:sz w:val="21"/>
        </w:rPr>
        <w:t>保</w:t>
      </w:r>
      <w:r>
        <w:rPr>
          <w:spacing w:val="-3"/>
          <w:sz w:val="21"/>
        </w:rPr>
        <w:t>单</w:t>
      </w:r>
      <w:r>
        <w:rPr>
          <w:sz w:val="21"/>
        </w:rPr>
        <w:t>年</w:t>
      </w:r>
      <w:r>
        <w:rPr>
          <w:spacing w:val="-3"/>
          <w:sz w:val="21"/>
        </w:rPr>
        <w:t>度</w:t>
      </w:r>
      <w:r>
        <w:rPr>
          <w:sz w:val="21"/>
        </w:rPr>
        <w:t>末</w:t>
      </w:r>
      <w:r>
        <w:rPr>
          <w:spacing w:val="-3"/>
          <w:sz w:val="21"/>
        </w:rPr>
        <w:t>的</w:t>
      </w:r>
      <w:r>
        <w:rPr>
          <w:sz w:val="21"/>
        </w:rPr>
        <w:t>现</w:t>
      </w:r>
      <w:r>
        <w:rPr>
          <w:spacing w:val="-3"/>
          <w:sz w:val="21"/>
        </w:rPr>
        <w:t>金价</w:t>
      </w:r>
      <w:r>
        <w:rPr>
          <w:sz w:val="21"/>
        </w:rPr>
        <w:t>值金</w:t>
      </w:r>
      <w:r>
        <w:rPr>
          <w:spacing w:val="-3"/>
          <w:sz w:val="21"/>
        </w:rPr>
        <w:t>额</w:t>
      </w:r>
      <w:r>
        <w:rPr>
          <w:sz w:val="21"/>
        </w:rPr>
        <w:t>在</w:t>
      </w:r>
      <w:r>
        <w:rPr>
          <w:spacing w:val="-3"/>
          <w:sz w:val="21"/>
        </w:rPr>
        <w:t>现</w:t>
      </w:r>
      <w:r>
        <w:rPr>
          <w:sz w:val="21"/>
        </w:rPr>
        <w:t>金</w:t>
      </w:r>
      <w:r>
        <w:rPr>
          <w:spacing w:val="-3"/>
          <w:sz w:val="21"/>
        </w:rPr>
        <w:t>价</w:t>
      </w:r>
      <w:r>
        <w:rPr>
          <w:sz w:val="21"/>
        </w:rPr>
        <w:t>值</w:t>
      </w:r>
      <w:r>
        <w:rPr>
          <w:spacing w:val="-3"/>
          <w:sz w:val="21"/>
        </w:rPr>
        <w:t>表</w:t>
      </w:r>
      <w:r>
        <w:rPr>
          <w:sz w:val="21"/>
        </w:rPr>
        <w:t>上</w:t>
      </w:r>
      <w:r>
        <w:rPr>
          <w:spacing w:val="-3"/>
          <w:sz w:val="21"/>
        </w:rPr>
        <w:t>载</w:t>
      </w:r>
      <w:r>
        <w:rPr>
          <w:sz w:val="21"/>
        </w:rPr>
        <w:t>明， </w:t>
      </w:r>
      <w:r>
        <w:rPr>
          <w:spacing w:val="-1"/>
          <w:sz w:val="21"/>
        </w:rPr>
        <w:t>保</w:t>
      </w:r>
      <w:r>
        <w:rPr>
          <w:sz w:val="21"/>
        </w:rPr>
        <w:t>单</w:t>
      </w:r>
      <w:r>
        <w:rPr>
          <w:spacing w:val="-3"/>
          <w:sz w:val="21"/>
        </w:rPr>
        <w:t>年</w:t>
      </w:r>
      <w:r>
        <w:rPr>
          <w:sz w:val="21"/>
        </w:rPr>
        <w:t>度</w:t>
      </w:r>
      <w:r>
        <w:rPr>
          <w:spacing w:val="-3"/>
          <w:sz w:val="21"/>
        </w:rPr>
        <w:t>之</w:t>
      </w:r>
      <w:r>
        <w:rPr>
          <w:sz w:val="21"/>
        </w:rPr>
        <w:t>内</w:t>
      </w:r>
      <w:r>
        <w:rPr>
          <w:spacing w:val="-3"/>
          <w:sz w:val="21"/>
        </w:rPr>
        <w:t>的</w:t>
      </w:r>
      <w:r>
        <w:rPr>
          <w:sz w:val="21"/>
        </w:rPr>
        <w:t>现</w:t>
      </w:r>
      <w:r>
        <w:rPr>
          <w:spacing w:val="-3"/>
          <w:sz w:val="21"/>
        </w:rPr>
        <w:t>金</w:t>
      </w:r>
      <w:r>
        <w:rPr>
          <w:sz w:val="21"/>
        </w:rPr>
        <w:t>价</w:t>
      </w:r>
      <w:r>
        <w:rPr>
          <w:spacing w:val="-3"/>
          <w:sz w:val="21"/>
        </w:rPr>
        <w:t>值</w:t>
      </w:r>
      <w:r>
        <w:rPr>
          <w:sz w:val="21"/>
        </w:rPr>
        <w:t>金额</w:t>
      </w:r>
      <w:r>
        <w:rPr>
          <w:spacing w:val="-3"/>
          <w:sz w:val="21"/>
        </w:rPr>
        <w:t>您</w:t>
      </w:r>
      <w:r>
        <w:rPr>
          <w:sz w:val="21"/>
        </w:rPr>
        <w:t>可</w:t>
      </w:r>
      <w:r>
        <w:rPr>
          <w:spacing w:val="-3"/>
          <w:sz w:val="21"/>
        </w:rPr>
        <w:t>以</w:t>
      </w:r>
      <w:r>
        <w:rPr>
          <w:sz w:val="21"/>
        </w:rPr>
        <w:t>向</w:t>
      </w:r>
      <w:r>
        <w:rPr>
          <w:spacing w:val="-3"/>
          <w:sz w:val="21"/>
        </w:rPr>
        <w:t>我</w:t>
      </w:r>
      <w:r>
        <w:rPr>
          <w:sz w:val="21"/>
        </w:rPr>
        <w:t>们</w:t>
      </w:r>
      <w:r>
        <w:rPr>
          <w:spacing w:val="-3"/>
          <w:sz w:val="21"/>
        </w:rPr>
        <w:t>查</w:t>
      </w:r>
      <w:r>
        <w:rPr>
          <w:sz w:val="21"/>
        </w:rPr>
        <w:t>询。</w:t>
      </w:r>
    </w:p>
    <w:p>
      <w:pPr>
        <w:pStyle w:val="BodyText"/>
        <w:spacing w:line="273" w:lineRule="auto" w:before="7"/>
        <w:ind w:left="2182" w:right="220" w:firstLine="420"/>
      </w:pPr>
      <w:r>
        <w:rPr/>
        <w:t>保单年度：从保单生效日或保单生效对应日零时起至下一年度保单生效对应日零时止为一个保单年度。</w:t>
      </w:r>
    </w:p>
    <w:p>
      <w:pPr>
        <w:pStyle w:val="BodyText"/>
        <w:spacing w:before="5"/>
        <w:rPr>
          <w:sz w:val="24"/>
        </w:rPr>
      </w:pPr>
    </w:p>
    <w:p>
      <w:pPr>
        <w:pStyle w:val="ListParagraph"/>
        <w:numPr>
          <w:ilvl w:val="1"/>
          <w:numId w:val="8"/>
        </w:numPr>
        <w:tabs>
          <w:tab w:pos="904" w:val="left" w:leader="none"/>
        </w:tabs>
        <w:spacing w:line="273" w:lineRule="auto" w:before="0" w:after="0"/>
        <w:ind w:left="2182" w:right="218" w:hanging="1973"/>
        <w:jc w:val="both"/>
        <w:rPr>
          <w:sz w:val="21"/>
        </w:rPr>
      </w:pPr>
      <w:r>
        <w:rPr>
          <w:sz w:val="21"/>
        </w:rPr>
        <w:t>认可医院       指二级及以上非盈利性医院、二级及以上社保定点医院或本公司认可的其他医院。具体可登陆本公司主页（</w:t>
      </w:r>
      <w:hyperlink r:id="rId9">
        <w:r>
          <w:rPr>
            <w:sz w:val="21"/>
          </w:rPr>
          <w:t>www.newchinalife.com</w:t>
        </w:r>
      </w:hyperlink>
      <w:r>
        <w:rPr>
          <w:sz w:val="21"/>
        </w:rPr>
        <w:t>）查询或咨询本公司</w:t>
      </w:r>
      <w:r>
        <w:rPr>
          <w:spacing w:val="-8"/>
          <w:sz w:val="21"/>
        </w:rPr>
        <w:t>全国客户服务电话 </w:t>
      </w:r>
      <w:r>
        <w:rPr>
          <w:sz w:val="21"/>
        </w:rPr>
        <w:t>95567。</w:t>
      </w:r>
    </w:p>
    <w:p>
      <w:pPr>
        <w:pStyle w:val="BodyText"/>
        <w:spacing w:before="5"/>
        <w:rPr>
          <w:sz w:val="24"/>
        </w:rPr>
      </w:pPr>
    </w:p>
    <w:p>
      <w:pPr>
        <w:pStyle w:val="ListParagraph"/>
        <w:numPr>
          <w:ilvl w:val="1"/>
          <w:numId w:val="8"/>
        </w:numPr>
        <w:tabs>
          <w:tab w:pos="903" w:val="left" w:leader="none"/>
          <w:tab w:pos="904" w:val="left" w:leader="none"/>
          <w:tab w:pos="2602" w:val="left" w:leader="none"/>
        </w:tabs>
        <w:spacing w:line="240" w:lineRule="auto" w:before="0" w:after="0"/>
        <w:ind w:left="2182" w:right="0" w:hanging="1973"/>
        <w:jc w:val="left"/>
        <w:rPr>
          <w:sz w:val="21"/>
        </w:rPr>
      </w:pPr>
      <w:r>
        <w:rPr>
          <w:sz w:val="21"/>
        </w:rPr>
        <w:t>专科医生</w:t>
        <w:tab/>
        <w:t>专科</w:t>
      </w:r>
      <w:r>
        <w:rPr>
          <w:spacing w:val="-3"/>
          <w:sz w:val="21"/>
        </w:rPr>
        <w:t>医</w:t>
      </w:r>
      <w:r>
        <w:rPr>
          <w:sz w:val="21"/>
        </w:rPr>
        <w:t>生</w:t>
      </w:r>
      <w:r>
        <w:rPr>
          <w:spacing w:val="-3"/>
          <w:sz w:val="21"/>
        </w:rPr>
        <w:t>应</w:t>
      </w:r>
      <w:r>
        <w:rPr>
          <w:sz w:val="21"/>
        </w:rPr>
        <w:t>当</w:t>
      </w:r>
      <w:r>
        <w:rPr>
          <w:spacing w:val="-3"/>
          <w:sz w:val="21"/>
        </w:rPr>
        <w:t>同</w:t>
      </w:r>
      <w:r>
        <w:rPr>
          <w:sz w:val="21"/>
        </w:rPr>
        <w:t>时</w:t>
      </w:r>
      <w:r>
        <w:rPr>
          <w:spacing w:val="-3"/>
          <w:sz w:val="21"/>
        </w:rPr>
        <w:t>满</w:t>
      </w:r>
      <w:r>
        <w:rPr>
          <w:sz w:val="21"/>
        </w:rPr>
        <w:t>足</w:t>
      </w:r>
      <w:r>
        <w:rPr>
          <w:spacing w:val="-3"/>
          <w:sz w:val="21"/>
        </w:rPr>
        <w:t>以</w:t>
      </w:r>
      <w:r>
        <w:rPr>
          <w:sz w:val="21"/>
        </w:rPr>
        <w:t>下四</w:t>
      </w:r>
      <w:r>
        <w:rPr>
          <w:spacing w:val="-3"/>
          <w:sz w:val="21"/>
        </w:rPr>
        <w:t>项</w:t>
      </w:r>
      <w:r>
        <w:rPr>
          <w:sz w:val="21"/>
        </w:rPr>
        <w:t>资</w:t>
      </w:r>
      <w:r>
        <w:rPr>
          <w:spacing w:val="-3"/>
          <w:sz w:val="21"/>
        </w:rPr>
        <w:t>格</w:t>
      </w:r>
      <w:r>
        <w:rPr>
          <w:sz w:val="21"/>
        </w:rPr>
        <w:t>条</w:t>
      </w:r>
      <w:r>
        <w:rPr>
          <w:spacing w:val="-3"/>
          <w:sz w:val="21"/>
        </w:rPr>
        <w:t>件</w:t>
      </w:r>
      <w:r>
        <w:rPr>
          <w:sz w:val="21"/>
        </w:rPr>
        <w:t>：</w:t>
      </w:r>
    </w:p>
    <w:p>
      <w:pPr>
        <w:pStyle w:val="BodyText"/>
        <w:ind w:left="2602"/>
      </w:pPr>
      <w:r>
        <w:rPr/>
        <w:t>1.具有有效的中华人民共和国《医师资格证书》；</w:t>
      </w:r>
    </w:p>
    <w:p>
      <w:pPr>
        <w:pStyle w:val="BodyText"/>
        <w:spacing w:line="273" w:lineRule="auto"/>
        <w:ind w:left="2182" w:right="218" w:firstLine="420"/>
      </w:pPr>
      <w:r>
        <w:rPr/>
        <w:t>2.</w:t>
      </w:r>
      <w:r>
        <w:rPr>
          <w:spacing w:val="-12"/>
        </w:rPr>
        <w:t>具有有效的中华人民共和国《医师执业证书》，并按期到相关部门登记注册；</w:t>
      </w:r>
    </w:p>
    <w:p>
      <w:pPr>
        <w:pStyle w:val="BodyText"/>
        <w:spacing w:line="273" w:lineRule="auto" w:before="7"/>
        <w:ind w:left="2182" w:right="220" w:firstLine="420"/>
      </w:pPr>
      <w:r>
        <w:rPr/>
        <w:t>3.具有有效的中华人民共和国主治医师或主治医师以上职称的《医师职称证书》；</w:t>
      </w:r>
    </w:p>
    <w:p>
      <w:pPr>
        <w:pStyle w:val="BodyText"/>
        <w:spacing w:before="7"/>
        <w:ind w:left="2602"/>
      </w:pPr>
      <w:r>
        <w:rPr/>
        <w:t>4.在二级或二级以上医院的相应科室从事临床工作三年以上。</w:t>
      </w:r>
    </w:p>
    <w:p>
      <w:pPr>
        <w:pStyle w:val="BodyText"/>
        <w:spacing w:before="11"/>
        <w:rPr>
          <w:sz w:val="23"/>
        </w:rPr>
      </w:pPr>
    </w:p>
    <w:p>
      <w:pPr>
        <w:spacing w:after="0"/>
        <w:rPr>
          <w:sz w:val="23"/>
        </w:rPr>
        <w:sectPr>
          <w:type w:val="continuous"/>
          <w:pgSz w:w="11910" w:h="16840"/>
          <w:pgMar w:top="1120" w:bottom="1180" w:left="1160" w:right="1140"/>
        </w:sectPr>
      </w:pPr>
    </w:p>
    <w:p>
      <w:pPr>
        <w:pStyle w:val="ListParagraph"/>
        <w:numPr>
          <w:ilvl w:val="1"/>
          <w:numId w:val="8"/>
        </w:numPr>
        <w:tabs>
          <w:tab w:pos="903" w:val="left" w:leader="none"/>
          <w:tab w:pos="904" w:val="left" w:leader="none"/>
        </w:tabs>
        <w:spacing w:line="273" w:lineRule="auto" w:before="37" w:after="0"/>
        <w:ind w:left="903" w:right="0" w:hanging="694"/>
        <w:jc w:val="left"/>
        <w:rPr>
          <w:sz w:val="21"/>
        </w:rPr>
      </w:pPr>
      <w:r>
        <w:rPr>
          <w:sz w:val="21"/>
        </w:rPr>
        <w:t>本合同所指的特定疾病</w:t>
      </w:r>
    </w:p>
    <w:p>
      <w:pPr>
        <w:pStyle w:val="BodyText"/>
        <w:ind w:left="209"/>
      </w:pPr>
      <w:r>
        <w:rPr/>
        <w:br w:type="column"/>
      </w:r>
      <w:r>
        <w:rPr/>
        <w:t>本合同所指的特定疾病，是指下列疾病、疾病状态或手术：</w:t>
      </w:r>
    </w:p>
    <w:p>
      <w:pPr>
        <w:spacing w:after="0"/>
        <w:sectPr>
          <w:type w:val="continuous"/>
          <w:pgSz w:w="11910" w:h="16840"/>
          <w:pgMar w:top="1120" w:bottom="1180" w:left="1160" w:right="1140"/>
          <w:cols w:num="2" w:equalWidth="0">
            <w:col w:w="1970" w:space="318"/>
            <w:col w:w="7322"/>
          </w:cols>
        </w:sectPr>
      </w:pPr>
    </w:p>
    <w:p>
      <w:pPr>
        <w:pStyle w:val="BodyText"/>
        <w:spacing w:before="8"/>
      </w:pPr>
    </w:p>
    <w:p>
      <w:pPr>
        <w:spacing w:after="0"/>
        <w:sectPr>
          <w:type w:val="continuous"/>
          <w:pgSz w:w="11910" w:h="16840"/>
          <w:pgMar w:top="1120" w:bottom="1180" w:left="1160" w:right="1140"/>
        </w:sectPr>
      </w:pPr>
    </w:p>
    <w:p>
      <w:pPr>
        <w:pStyle w:val="BodyText"/>
        <w:spacing w:line="273" w:lineRule="auto"/>
        <w:ind w:left="903"/>
        <w:jc w:val="both"/>
      </w:pPr>
      <w:r>
        <w:rPr/>
        <w:t>6.4.1 极早期恶性肿瘤或恶性病变</w:t>
      </w:r>
    </w:p>
    <w:p>
      <w:pPr>
        <w:pStyle w:val="BodyText"/>
        <w:spacing w:line="273" w:lineRule="auto"/>
        <w:ind w:left="173" w:right="220" w:firstLine="420"/>
      </w:pPr>
      <w:r>
        <w:rPr/>
        <w:br w:type="column"/>
      </w:r>
      <w:r>
        <w:rPr/>
        <w:t>指经组织病理学检查被明确诊断为下列恶性病变，但未达到本合同所指重大疾病“恶性肿瘤”的标准：</w:t>
      </w:r>
    </w:p>
    <w:p>
      <w:pPr>
        <w:pStyle w:val="BodyText"/>
        <w:spacing w:before="8"/>
        <w:ind w:left="593"/>
      </w:pPr>
      <w:r>
        <w:rPr>
          <w:w w:val="100"/>
        </w:rPr>
        <w:t>（1</w:t>
      </w:r>
      <w:r>
        <w:rPr>
          <w:spacing w:val="-3"/>
          <w:w w:val="100"/>
        </w:rPr>
        <w:t>）</w:t>
      </w:r>
      <w:r>
        <w:rPr>
          <w:spacing w:val="-2"/>
          <w:w w:val="100"/>
        </w:rPr>
        <w:t>原位癌</w:t>
      </w:r>
      <w:r>
        <w:rPr>
          <w:spacing w:val="-3"/>
          <w:w w:val="100"/>
        </w:rPr>
        <w:t>（</w:t>
      </w:r>
      <w:r>
        <w:rPr>
          <w:w w:val="100"/>
        </w:rPr>
        <w:t>注</w:t>
      </w:r>
      <w:r>
        <w:rPr>
          <w:spacing w:val="-106"/>
          <w:w w:val="100"/>
        </w:rPr>
        <w:t>）</w:t>
      </w:r>
      <w:r>
        <w:rPr>
          <w:w w:val="100"/>
        </w:rPr>
        <w:t>；</w:t>
      </w:r>
    </w:p>
    <w:p>
      <w:pPr>
        <w:pStyle w:val="BodyText"/>
        <w:ind w:left="593"/>
      </w:pPr>
      <w:r>
        <w:rPr/>
        <w:t>（2）相当于 Binet 分期方案 A 期程度的慢性淋巴细胞白血病；</w:t>
      </w:r>
    </w:p>
    <w:p>
      <w:pPr>
        <w:pStyle w:val="BodyText"/>
        <w:ind w:left="593"/>
      </w:pPr>
      <w:r>
        <w:rPr/>
        <w:t>（3）相当于 Ann Arbor 分期方案 I 期程度的何杰金氏病；</w:t>
      </w:r>
    </w:p>
    <w:p>
      <w:pPr>
        <w:pStyle w:val="BodyText"/>
        <w:ind w:left="593"/>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line="273" w:lineRule="auto" w:before="36"/>
        <w:ind w:left="173" w:right="218" w:firstLine="420"/>
      </w:pPr>
      <w:r>
        <w:rPr>
          <w:position w:val="1"/>
        </w:rPr>
        <w:t>（5）TNM</w:t>
      </w:r>
      <w:r>
        <w:rPr>
          <w:spacing w:val="-5"/>
          <w:position w:val="1"/>
        </w:rPr>
        <w:t> 分期为 </w:t>
      </w:r>
      <w:r>
        <w:rPr>
          <w:position w:val="1"/>
        </w:rPr>
        <w:t>T</w:t>
      </w:r>
      <w:r>
        <w:rPr>
          <w:sz w:val="11"/>
        </w:rPr>
        <w:t>1</w:t>
      </w:r>
      <w:r>
        <w:rPr>
          <w:position w:val="1"/>
        </w:rPr>
        <w:t>N</w:t>
      </w:r>
      <w:r>
        <w:rPr>
          <w:sz w:val="11"/>
        </w:rPr>
        <w:t>0</w:t>
      </w:r>
      <w:r>
        <w:rPr>
          <w:position w:val="1"/>
        </w:rPr>
        <w:t>M</w:t>
      </w:r>
      <w:r>
        <w:rPr>
          <w:sz w:val="11"/>
        </w:rPr>
        <w:t>0 </w:t>
      </w:r>
      <w:r>
        <w:rPr>
          <w:spacing w:val="-3"/>
          <w:position w:val="1"/>
        </w:rPr>
        <w:t>期或更轻分期的前列腺癌（如为女性被保险人，则</w:t>
      </w:r>
      <w:r>
        <w:rPr>
          <w:spacing w:val="-3"/>
        </w:rPr>
        <w:t>不包括此项</w:t>
      </w:r>
      <w:r>
        <w:rPr>
          <w:spacing w:val="-106"/>
        </w:rPr>
        <w:t>）</w:t>
      </w:r>
      <w:r>
        <w:rPr/>
        <w:t>。</w:t>
      </w:r>
    </w:p>
    <w:p>
      <w:pPr>
        <w:pStyle w:val="BodyText"/>
        <w:spacing w:before="7"/>
        <w:ind w:left="593"/>
      </w:pPr>
      <w:r>
        <w:rPr/>
        <w:t>注：原位癌指恶性细胞局限于上皮内尚未穿破基底膜浸润周围正常组织的</w:t>
      </w:r>
    </w:p>
    <w:p>
      <w:pPr>
        <w:spacing w:after="0"/>
        <w:sectPr>
          <w:type w:val="continuous"/>
          <w:pgSz w:w="11910" w:h="16840"/>
          <w:pgMar w:top="1120" w:bottom="1180" w:left="1160" w:right="1140"/>
          <w:cols w:num="2" w:equalWidth="0">
            <w:col w:w="1970" w:space="40"/>
            <w:col w:w="7600"/>
          </w:cols>
        </w:sectPr>
      </w:pPr>
    </w:p>
    <w:p>
      <w:pPr>
        <w:pStyle w:val="BodyText"/>
        <w:spacing w:before="2"/>
        <w:rPr>
          <w:sz w:val="19"/>
        </w:rPr>
      </w:pPr>
    </w:p>
    <w:p>
      <w:pPr>
        <w:pStyle w:val="BodyText"/>
        <w:spacing w:line="273" w:lineRule="auto"/>
        <w:ind w:left="2062" w:right="218"/>
      </w:pPr>
      <w:r>
        <w:rPr/>
        <w:t>癌细胞新生物。被保险人必须经对固定活组织的组织病理学检查明确诊断为原位癌，且己经接受了针对原位癌病灶的积极治疗。</w:t>
      </w:r>
    </w:p>
    <w:p>
      <w:pPr>
        <w:pStyle w:val="BodyText"/>
        <w:spacing w:before="8"/>
      </w:pPr>
    </w:p>
    <w:p>
      <w:pPr>
        <w:spacing w:after="0"/>
        <w:sectPr>
          <w:pgSz w:w="11910" w:h="16840"/>
          <w:pgMar w:header="879" w:footer="999" w:top="1120" w:bottom="1180" w:left="1280" w:right="1140"/>
        </w:sectPr>
      </w:pPr>
    </w:p>
    <w:p>
      <w:pPr>
        <w:pStyle w:val="ListParagraph"/>
        <w:numPr>
          <w:ilvl w:val="2"/>
          <w:numId w:val="8"/>
        </w:numPr>
        <w:tabs>
          <w:tab w:pos="1422" w:val="left" w:leader="none"/>
        </w:tabs>
        <w:spacing w:line="273" w:lineRule="auto" w:before="37" w:after="0"/>
        <w:ind w:left="783" w:right="0" w:firstLine="0"/>
        <w:jc w:val="both"/>
        <w:rPr>
          <w:sz w:val="21"/>
        </w:rPr>
      </w:pPr>
      <w:r>
        <w:rPr>
          <w:sz w:val="21"/>
        </w:rPr>
        <w:t>不典型的急性心肌梗塞</w:t>
      </w:r>
    </w:p>
    <w:p>
      <w:pPr>
        <w:pStyle w:val="BodyText"/>
        <w:spacing w:line="273" w:lineRule="auto"/>
        <w:ind w:left="173" w:right="220" w:firstLine="420"/>
      </w:pPr>
      <w:r>
        <w:rPr/>
        <w:br w:type="column"/>
      </w:r>
      <w:r>
        <w:rPr/>
        <w:t>指被临床诊断为急性心肌梗塞并接受了急性心肌梗塞治疗，且满足下列全部条件，但未达到本合同所指重大疾病“急性心肌梗塞”的标准：</w:t>
      </w:r>
    </w:p>
    <w:p>
      <w:pPr>
        <w:pStyle w:val="BodyText"/>
        <w:spacing w:before="7"/>
        <w:ind w:left="593"/>
      </w:pPr>
      <w:r>
        <w:rPr/>
        <w:t>（1）心肌酶或肌钙蛋白有诊断意义的升高；</w:t>
      </w:r>
    </w:p>
    <w:p>
      <w:pPr>
        <w:pStyle w:val="BodyText"/>
        <w:spacing w:before="36"/>
        <w:ind w:left="593"/>
      </w:pPr>
      <w:r>
        <w:rPr/>
        <w:t>（2）心电图有损伤性的ST 段改变但未出现病理 Q 波。</w:t>
      </w:r>
    </w:p>
    <w:p>
      <w:pPr>
        <w:spacing w:after="0"/>
        <w:sectPr>
          <w:type w:val="continuous"/>
          <w:pgSz w:w="11910" w:h="16840"/>
          <w:pgMar w:top="1120" w:bottom="1180" w:left="1280" w:right="1140"/>
          <w:cols w:num="2" w:equalWidth="0">
            <w:col w:w="1850" w:space="40"/>
            <w:col w:w="7600"/>
          </w:cols>
        </w:sectPr>
      </w:pPr>
    </w:p>
    <w:p>
      <w:pPr>
        <w:pStyle w:val="BodyText"/>
        <w:spacing w:before="11"/>
        <w:rPr>
          <w:sz w:val="23"/>
        </w:rPr>
      </w:pPr>
    </w:p>
    <w:p>
      <w:pPr>
        <w:spacing w:after="0"/>
        <w:rPr>
          <w:sz w:val="23"/>
        </w:rPr>
        <w:sectPr>
          <w:type w:val="continuous"/>
          <w:pgSz w:w="11910" w:h="16840"/>
          <w:pgMar w:top="1120" w:bottom="1180" w:left="1280" w:right="1140"/>
        </w:sectPr>
      </w:pPr>
    </w:p>
    <w:p>
      <w:pPr>
        <w:pStyle w:val="ListParagraph"/>
        <w:numPr>
          <w:ilvl w:val="2"/>
          <w:numId w:val="8"/>
        </w:numPr>
        <w:tabs>
          <w:tab w:pos="1422" w:val="left" w:leader="none"/>
        </w:tabs>
        <w:spacing w:line="273" w:lineRule="auto" w:before="36" w:after="0"/>
        <w:ind w:left="783" w:right="0" w:firstLine="0"/>
        <w:jc w:val="left"/>
        <w:rPr>
          <w:sz w:val="21"/>
        </w:rPr>
      </w:pPr>
      <w:r>
        <w:rPr>
          <w:sz w:val="21"/>
        </w:rPr>
        <w:t>轻度脑中风</w:t>
      </w:r>
    </w:p>
    <w:p>
      <w:pPr>
        <w:pStyle w:val="BodyText"/>
        <w:spacing w:line="273" w:lineRule="auto" w:before="36"/>
        <w:ind w:left="176" w:right="218" w:firstLine="420"/>
        <w:jc w:val="both"/>
      </w:pPr>
      <w:r>
        <w:rPr/>
        <w:br w:type="column"/>
      </w:r>
      <w:r>
        <w:rPr/>
        <w:t>指实际发生了脑血管的突发病变，出现神经系统功能障碍表现，头颅断层</w:t>
      </w:r>
      <w:r>
        <w:rPr>
          <w:spacing w:val="-5"/>
          <w:w w:val="100"/>
        </w:rPr>
        <w:t>扫描</w:t>
      </w:r>
      <w:r>
        <w:rPr>
          <w:w w:val="100"/>
        </w:rPr>
        <w:t>（CT</w:t>
      </w:r>
      <w:r>
        <w:rPr>
          <w:spacing w:val="-108"/>
          <w:w w:val="100"/>
        </w:rPr>
        <w:t>）</w:t>
      </w:r>
      <w:r>
        <w:rPr>
          <w:spacing w:val="-5"/>
          <w:w w:val="100"/>
        </w:rPr>
        <w:t>、核磁共振检查</w:t>
      </w:r>
      <w:r>
        <w:rPr>
          <w:w w:val="100"/>
        </w:rPr>
        <w:t>（MR</w:t>
      </w:r>
      <w:r>
        <w:rPr>
          <w:spacing w:val="-3"/>
          <w:w w:val="100"/>
        </w:rPr>
        <w:t>I</w:t>
      </w:r>
      <w:r>
        <w:rPr>
          <w:spacing w:val="-10"/>
          <w:w w:val="100"/>
        </w:rPr>
        <w:t>）</w:t>
      </w:r>
      <w:r>
        <w:rPr>
          <w:spacing w:val="-4"/>
          <w:w w:val="100"/>
        </w:rPr>
        <w:t>或正电子发射断层扫描</w:t>
      </w:r>
      <w:r>
        <w:rPr>
          <w:w w:val="100"/>
        </w:rPr>
        <w:t>（PE</w:t>
      </w:r>
      <w:r>
        <w:rPr>
          <w:spacing w:val="-3"/>
          <w:w w:val="100"/>
        </w:rPr>
        <w:t>T</w:t>
      </w:r>
      <w:r>
        <w:rPr>
          <w:spacing w:val="-10"/>
          <w:w w:val="100"/>
        </w:rPr>
        <w:t>）</w:t>
      </w:r>
      <w:r>
        <w:rPr>
          <w:spacing w:val="-3"/>
          <w:w w:val="100"/>
        </w:rPr>
        <w:t>等影像学检查</w:t>
      </w:r>
      <w:r>
        <w:rPr>
          <w:spacing w:val="-4"/>
        </w:rPr>
        <w:t>证实存在对应病灶，确诊为脑出血、脑栓塞或脑梗塞，且在确诊 </w:t>
      </w:r>
      <w:r>
        <w:rPr/>
        <w:t>180</w:t>
      </w:r>
      <w:r>
        <w:rPr>
          <w:spacing w:val="-4"/>
        </w:rPr>
        <w:t> 天后，被保险人仍遗留下列障碍，但未达到本合同所指重大疾病“脑中风后遗症”的标准：</w:t>
      </w:r>
    </w:p>
    <w:p>
      <w:pPr>
        <w:pStyle w:val="BodyText"/>
        <w:spacing w:line="273" w:lineRule="auto" w:before="7"/>
        <w:ind w:left="176" w:right="220" w:firstLine="420"/>
        <w:jc w:val="both"/>
      </w:pPr>
      <w:r>
        <w:rPr/>
        <w:t>一肢或一肢以上肢体机能部分丧失，其肢体肌力为Ⅲ级，或小于Ⅲ级但尚未达到脑中风后遗症的给付标准。</w:t>
      </w:r>
    </w:p>
    <w:p>
      <w:pPr>
        <w:spacing w:after="0" w:line="273" w:lineRule="auto"/>
        <w:jc w:val="both"/>
        <w:sectPr>
          <w:type w:val="continuous"/>
          <w:pgSz w:w="11910" w:h="16840"/>
          <w:pgMar w:top="1120" w:bottom="1180" w:left="1280" w:right="1140"/>
          <w:cols w:num="2" w:equalWidth="0">
            <w:col w:w="1847" w:space="40"/>
            <w:col w:w="7603"/>
          </w:cols>
        </w:sectPr>
      </w:pPr>
    </w:p>
    <w:p>
      <w:pPr>
        <w:pStyle w:val="BodyText"/>
        <w:spacing w:before="8"/>
      </w:pPr>
    </w:p>
    <w:p>
      <w:pPr>
        <w:spacing w:after="0"/>
        <w:sectPr>
          <w:type w:val="continuous"/>
          <w:pgSz w:w="11910" w:h="16840"/>
          <w:pgMar w:top="1120" w:bottom="1180" w:left="1280" w:right="1140"/>
        </w:sectPr>
      </w:pPr>
    </w:p>
    <w:p>
      <w:pPr>
        <w:pStyle w:val="ListParagraph"/>
        <w:numPr>
          <w:ilvl w:val="2"/>
          <w:numId w:val="8"/>
        </w:numPr>
        <w:tabs>
          <w:tab w:pos="1422" w:val="left" w:leader="none"/>
        </w:tabs>
        <w:spacing w:line="273" w:lineRule="auto" w:before="37" w:after="0"/>
        <w:ind w:left="783" w:right="0" w:firstLine="0"/>
        <w:jc w:val="both"/>
        <w:rPr>
          <w:sz w:val="21"/>
        </w:rPr>
      </w:pPr>
      <w:r>
        <w:rPr>
          <w:sz w:val="21"/>
        </w:rPr>
        <w:t>冠状动脉介入手术</w:t>
      </w:r>
    </w:p>
    <w:p>
      <w:pPr>
        <w:pStyle w:val="BodyText"/>
        <w:spacing w:line="273" w:lineRule="auto"/>
        <w:ind w:left="173" w:right="218" w:firstLine="420"/>
        <w:jc w:val="both"/>
      </w:pPr>
      <w:r>
        <w:rPr/>
        <w:br w:type="column"/>
      </w:r>
      <w:r>
        <w:rPr/>
        <w:t>指为了治疗明显的冠状动脉狭窄性疾病，首次实际实施了冠状动脉球囊扩张成形术、冠状动脉支架植入术、冠状动脉粥肿斑块切除术或激光冠状动脉成形术。</w:t>
      </w:r>
    </w:p>
    <w:p>
      <w:pPr>
        <w:pStyle w:val="BodyText"/>
        <w:spacing w:line="273" w:lineRule="auto" w:before="8"/>
        <w:ind w:left="173" w:right="220" w:firstLine="422"/>
        <w:jc w:val="both"/>
      </w:pPr>
      <w:r>
        <w:rPr/>
        <w:t>被保险人已达到本合同所指重大疾病“急性心肌梗塞”或“严重冠心病” 标准的，本公司不承担本项手术保险责任。</w:t>
      </w:r>
    </w:p>
    <w:p>
      <w:pPr>
        <w:spacing w:after="0" w:line="273" w:lineRule="auto"/>
        <w:jc w:val="both"/>
        <w:sectPr>
          <w:type w:val="continuous"/>
          <w:pgSz w:w="11910" w:h="16840"/>
          <w:pgMar w:top="1120" w:bottom="1180" w:left="1280" w:right="1140"/>
          <w:cols w:num="2" w:equalWidth="0">
            <w:col w:w="1850" w:space="40"/>
            <w:col w:w="7600"/>
          </w:cols>
        </w:sectPr>
      </w:pPr>
    </w:p>
    <w:p>
      <w:pPr>
        <w:pStyle w:val="BodyText"/>
        <w:spacing w:before="8"/>
      </w:pPr>
    </w:p>
    <w:p>
      <w:pPr>
        <w:spacing w:after="0"/>
        <w:sectPr>
          <w:type w:val="continuous"/>
          <w:pgSz w:w="11910" w:h="16840"/>
          <w:pgMar w:top="1120" w:bottom="1180" w:left="1280" w:right="1140"/>
        </w:sectPr>
      </w:pPr>
    </w:p>
    <w:p>
      <w:pPr>
        <w:pStyle w:val="ListParagraph"/>
        <w:numPr>
          <w:ilvl w:val="2"/>
          <w:numId w:val="8"/>
        </w:numPr>
        <w:tabs>
          <w:tab w:pos="1422" w:val="left" w:leader="none"/>
        </w:tabs>
        <w:spacing w:line="273" w:lineRule="auto" w:before="37" w:after="0"/>
        <w:ind w:left="783" w:right="0" w:firstLine="0"/>
        <w:jc w:val="both"/>
        <w:rPr>
          <w:sz w:val="21"/>
        </w:rPr>
      </w:pPr>
      <w:r>
        <w:rPr>
          <w:sz w:val="21"/>
        </w:rPr>
        <w:t>心脏瓣膜介入手术</w:t>
      </w:r>
    </w:p>
    <w:p>
      <w:pPr>
        <w:pStyle w:val="BodyText"/>
        <w:spacing w:line="273" w:lineRule="auto"/>
        <w:ind w:left="173" w:right="220" w:firstLine="420"/>
      </w:pPr>
      <w:r>
        <w:rPr/>
        <w:br w:type="column"/>
      </w:r>
      <w:r>
        <w:rPr/>
        <w:t>指为了治疗心脏瓣膜疾病，实际实施了非开胸的经胸壁打孔内镜手术或经皮经导管介入手术进行的心脏瓣膜置换或修复手术。</w:t>
      </w:r>
    </w:p>
    <w:p>
      <w:pPr>
        <w:pStyle w:val="BodyText"/>
        <w:spacing w:before="7"/>
        <w:ind w:left="596"/>
      </w:pPr>
      <w:r>
        <w:rPr/>
        <w:t>实施开胸心脏瓣膜置换或修复手术的，本公司不承担本项手术保险责任。</w:t>
      </w:r>
    </w:p>
    <w:p>
      <w:pPr>
        <w:spacing w:after="0"/>
        <w:sectPr>
          <w:type w:val="continuous"/>
          <w:pgSz w:w="11910" w:h="16840"/>
          <w:pgMar w:top="1120" w:bottom="1180" w:left="1280" w:right="1140"/>
          <w:cols w:num="2" w:equalWidth="0">
            <w:col w:w="1850" w:space="40"/>
            <w:col w:w="7600"/>
          </w:cols>
        </w:sectPr>
      </w:pPr>
    </w:p>
    <w:p>
      <w:pPr>
        <w:pStyle w:val="BodyText"/>
        <w:spacing w:before="8"/>
      </w:pPr>
    </w:p>
    <w:p>
      <w:pPr>
        <w:spacing w:after="0"/>
        <w:sectPr>
          <w:type w:val="continuous"/>
          <w:pgSz w:w="11910" w:h="16840"/>
          <w:pgMar w:top="1120" w:bottom="1180" w:left="1280" w:right="1140"/>
        </w:sectPr>
      </w:pPr>
    </w:p>
    <w:p>
      <w:pPr>
        <w:pStyle w:val="ListParagraph"/>
        <w:numPr>
          <w:ilvl w:val="2"/>
          <w:numId w:val="8"/>
        </w:numPr>
        <w:tabs>
          <w:tab w:pos="1422" w:val="left" w:leader="none"/>
        </w:tabs>
        <w:spacing w:line="273" w:lineRule="auto" w:before="37" w:after="0"/>
        <w:ind w:left="783" w:right="0" w:firstLine="0"/>
        <w:jc w:val="left"/>
        <w:rPr>
          <w:sz w:val="21"/>
        </w:rPr>
      </w:pPr>
      <w:r>
        <w:rPr>
          <w:sz w:val="21"/>
        </w:rPr>
        <w:t>主动脉内手术</w:t>
      </w:r>
    </w:p>
    <w:p>
      <w:pPr>
        <w:pStyle w:val="BodyText"/>
        <w:spacing w:line="273" w:lineRule="auto"/>
        <w:ind w:left="176" w:right="220" w:firstLine="420"/>
      </w:pPr>
      <w:r>
        <w:rPr/>
        <w:br w:type="column"/>
      </w:r>
      <w:r>
        <w:rPr/>
        <w:t>指为了治疗主动脉疾病实际实施了经皮经导管进行的动脉内手术。主动脉指胸主动脉和腹主动脉，不包括胸主动脉和腹主动脉的分支血管。</w:t>
      </w:r>
    </w:p>
    <w:p>
      <w:pPr>
        <w:pStyle w:val="BodyText"/>
        <w:spacing w:before="8"/>
        <w:ind w:left="598"/>
      </w:pPr>
      <w:r>
        <w:rPr/>
        <w:t>实施开胸或开腹主动脉手术的，本公司不承担本项手术保险责任。</w:t>
      </w:r>
    </w:p>
    <w:p>
      <w:pPr>
        <w:spacing w:after="0"/>
        <w:sectPr>
          <w:type w:val="continuous"/>
          <w:pgSz w:w="11910" w:h="16840"/>
          <w:pgMar w:top="1120" w:bottom="1180" w:left="1280" w:right="1140"/>
          <w:cols w:num="2" w:equalWidth="0">
            <w:col w:w="1847" w:space="40"/>
            <w:col w:w="7603"/>
          </w:cols>
        </w:sectPr>
      </w:pPr>
    </w:p>
    <w:p>
      <w:pPr>
        <w:pStyle w:val="BodyText"/>
        <w:spacing w:before="12"/>
        <w:rPr>
          <w:sz w:val="23"/>
        </w:rPr>
      </w:pPr>
    </w:p>
    <w:p>
      <w:pPr>
        <w:spacing w:after="0"/>
        <w:rPr>
          <w:sz w:val="23"/>
        </w:rPr>
        <w:sectPr>
          <w:type w:val="continuous"/>
          <w:pgSz w:w="11910" w:h="16840"/>
          <w:pgMar w:top="1120" w:bottom="1180" w:left="1280" w:right="1140"/>
        </w:sectPr>
      </w:pPr>
    </w:p>
    <w:p>
      <w:pPr>
        <w:pStyle w:val="ListParagraph"/>
        <w:numPr>
          <w:ilvl w:val="2"/>
          <w:numId w:val="8"/>
        </w:numPr>
        <w:tabs>
          <w:tab w:pos="1422" w:val="left" w:leader="none"/>
        </w:tabs>
        <w:spacing w:line="273" w:lineRule="auto" w:before="36" w:after="0"/>
        <w:ind w:left="783" w:right="0" w:firstLine="0"/>
        <w:jc w:val="both"/>
        <w:rPr>
          <w:sz w:val="21"/>
        </w:rPr>
      </w:pPr>
      <w:r>
        <w:rPr>
          <w:sz w:val="21"/>
        </w:rPr>
        <w:t>脑垂体瘤、脑囊肿和脑血管瘤</w:t>
      </w:r>
    </w:p>
    <w:p>
      <w:pPr>
        <w:pStyle w:val="BodyText"/>
        <w:spacing w:line="273" w:lineRule="auto" w:before="36"/>
        <w:ind w:left="173" w:right="115" w:firstLine="420"/>
      </w:pPr>
      <w:r>
        <w:rPr/>
        <w:br w:type="column"/>
      </w:r>
      <w:r>
        <w:rPr>
          <w:spacing w:val="-12"/>
          <w:w w:val="100"/>
        </w:rPr>
        <w:t>指经头颅断层扫描</w:t>
      </w:r>
      <w:r>
        <w:rPr>
          <w:w w:val="100"/>
        </w:rPr>
        <w:t>（CT</w:t>
      </w:r>
      <w:r>
        <w:rPr>
          <w:spacing w:val="-108"/>
          <w:w w:val="100"/>
        </w:rPr>
        <w:t>）</w:t>
      </w:r>
      <w:r>
        <w:rPr>
          <w:spacing w:val="-24"/>
          <w:w w:val="100"/>
        </w:rPr>
        <w:t>、核磁共振检查</w:t>
      </w:r>
      <w:r>
        <w:rPr>
          <w:w w:val="100"/>
        </w:rPr>
        <w:t>（MR</w:t>
      </w:r>
      <w:r>
        <w:rPr>
          <w:spacing w:val="-3"/>
          <w:w w:val="100"/>
        </w:rPr>
        <w:t>I</w:t>
      </w:r>
      <w:r>
        <w:rPr>
          <w:spacing w:val="-72"/>
          <w:w w:val="100"/>
        </w:rPr>
        <w:t>）</w:t>
      </w:r>
      <w:r>
        <w:rPr>
          <w:spacing w:val="-11"/>
          <w:w w:val="100"/>
        </w:rPr>
        <w:t>或正电子发射断层扫描</w:t>
      </w:r>
      <w:r>
        <w:rPr>
          <w:w w:val="100"/>
        </w:rPr>
        <w:t>（PE</w:t>
      </w:r>
      <w:r>
        <w:rPr>
          <w:spacing w:val="-3"/>
          <w:w w:val="100"/>
        </w:rPr>
        <w:t>T</w:t>
      </w:r>
      <w:r>
        <w:rPr>
          <w:w w:val="100"/>
        </w:rPr>
        <w:t>）</w:t>
      </w:r>
      <w:r>
        <w:rPr>
          <w:spacing w:val="-3"/>
        </w:rPr>
        <w:t>等影像学检查被确诊为下列病变，并实际接受了手术或放射治疗：</w:t>
      </w:r>
    </w:p>
    <w:p>
      <w:pPr>
        <w:pStyle w:val="BodyText"/>
        <w:spacing w:before="7"/>
        <w:ind w:left="593"/>
      </w:pPr>
      <w:r>
        <w:rPr/>
        <w:t>（1）脑垂体瘤；</w:t>
      </w:r>
    </w:p>
    <w:p>
      <w:pPr>
        <w:pStyle w:val="BodyText"/>
        <w:spacing w:before="36"/>
        <w:ind w:left="593"/>
      </w:pPr>
      <w:r>
        <w:rPr/>
        <w:t>（2）脑囊肿；</w:t>
      </w:r>
    </w:p>
    <w:p>
      <w:pPr>
        <w:pStyle w:val="BodyText"/>
        <w:spacing w:before="36"/>
        <w:ind w:left="593"/>
      </w:pPr>
      <w:r>
        <w:rPr/>
        <w:t>（3）脑动脉瘤、脑血管瘤。</w:t>
      </w:r>
    </w:p>
    <w:p>
      <w:pPr>
        <w:spacing w:after="0"/>
        <w:sectPr>
          <w:type w:val="continuous"/>
          <w:pgSz w:w="11910" w:h="16840"/>
          <w:pgMar w:top="1120" w:bottom="1180" w:left="1280" w:right="1140"/>
          <w:cols w:num="2" w:equalWidth="0">
            <w:col w:w="1850" w:space="40"/>
            <w:col w:w="7600"/>
          </w:cols>
        </w:sectPr>
      </w:pPr>
    </w:p>
    <w:p>
      <w:pPr>
        <w:pStyle w:val="BodyText"/>
        <w:spacing w:before="11"/>
        <w:rPr>
          <w:sz w:val="23"/>
        </w:rPr>
      </w:pPr>
    </w:p>
    <w:p>
      <w:pPr>
        <w:spacing w:after="0"/>
        <w:rPr>
          <w:sz w:val="23"/>
        </w:rPr>
        <w:sectPr>
          <w:type w:val="continuous"/>
          <w:pgSz w:w="11910" w:h="16840"/>
          <w:pgMar w:top="1120" w:bottom="1180" w:left="1280" w:right="1140"/>
        </w:sectPr>
      </w:pPr>
    </w:p>
    <w:p>
      <w:pPr>
        <w:pStyle w:val="ListParagraph"/>
        <w:numPr>
          <w:ilvl w:val="2"/>
          <w:numId w:val="8"/>
        </w:numPr>
        <w:tabs>
          <w:tab w:pos="1422" w:val="left" w:leader="none"/>
        </w:tabs>
        <w:spacing w:line="273" w:lineRule="auto" w:before="36" w:after="0"/>
        <w:ind w:left="783" w:right="0" w:firstLine="0"/>
        <w:jc w:val="both"/>
        <w:rPr>
          <w:sz w:val="21"/>
        </w:rPr>
      </w:pPr>
      <w:r>
        <w:rPr>
          <w:sz w:val="21"/>
        </w:rPr>
        <w:t>较小</w:t>
      </w:r>
      <w:r>
        <w:rPr>
          <w:spacing w:val="-16"/>
          <w:sz w:val="21"/>
        </w:rPr>
        <w:t>面积 </w:t>
      </w:r>
      <w:r>
        <w:rPr>
          <w:sz w:val="21"/>
        </w:rPr>
        <w:t>III</w:t>
      </w:r>
      <w:r>
        <w:rPr>
          <w:spacing w:val="-23"/>
          <w:sz w:val="21"/>
        </w:rPr>
        <w:t> 度烧伤</w:t>
      </w:r>
    </w:p>
    <w:p>
      <w:pPr>
        <w:pStyle w:val="BodyText"/>
        <w:spacing w:line="273" w:lineRule="auto" w:before="36"/>
        <w:ind w:left="173" w:right="112" w:firstLine="420"/>
      </w:pPr>
      <w:r>
        <w:rPr/>
        <w:br w:type="column"/>
      </w:r>
      <w:r>
        <w:rPr>
          <w:spacing w:val="-11"/>
        </w:rPr>
        <w:t>指烧伤程度为Ⅲ度，且Ⅲ度烧伤的面积大于全身体表面积的</w:t>
      </w:r>
      <w:r>
        <w:rPr/>
        <w:t>10</w:t>
      </w:r>
      <w:r>
        <w:rPr>
          <w:spacing w:val="5"/>
        </w:rPr>
        <w:t>%但小于</w:t>
      </w:r>
      <w:r>
        <w:rPr/>
        <w:t>20%。</w:t>
      </w:r>
      <w:r>
        <w:rPr>
          <w:spacing w:val="-3"/>
        </w:rPr>
        <w:t>体表面积根据《中国新九分法》计算。</w:t>
      </w:r>
    </w:p>
    <w:p>
      <w:pPr>
        <w:spacing w:after="0" w:line="273" w:lineRule="auto"/>
        <w:sectPr>
          <w:type w:val="continuous"/>
          <w:pgSz w:w="11910" w:h="16840"/>
          <w:pgMar w:top="1120" w:bottom="1180" w:left="1280" w:right="1140"/>
          <w:cols w:num="2" w:equalWidth="0">
            <w:col w:w="1850" w:space="40"/>
            <w:col w:w="7600"/>
          </w:cols>
        </w:sectPr>
      </w:pPr>
    </w:p>
    <w:p>
      <w:pPr>
        <w:pStyle w:val="BodyText"/>
        <w:spacing w:before="8"/>
      </w:pPr>
    </w:p>
    <w:p>
      <w:pPr>
        <w:spacing w:after="0"/>
        <w:sectPr>
          <w:type w:val="continuous"/>
          <w:pgSz w:w="11910" w:h="16840"/>
          <w:pgMar w:top="1120" w:bottom="1180" w:left="1280" w:right="1140"/>
        </w:sectPr>
      </w:pPr>
    </w:p>
    <w:p>
      <w:pPr>
        <w:pStyle w:val="ListParagraph"/>
        <w:numPr>
          <w:ilvl w:val="2"/>
          <w:numId w:val="8"/>
        </w:numPr>
        <w:tabs>
          <w:tab w:pos="1422" w:val="left" w:leader="none"/>
        </w:tabs>
        <w:spacing w:line="273" w:lineRule="auto" w:before="36" w:after="0"/>
        <w:ind w:left="783" w:right="0" w:firstLine="0"/>
        <w:jc w:val="left"/>
        <w:rPr>
          <w:sz w:val="21"/>
        </w:rPr>
      </w:pPr>
      <w:r>
        <w:rPr>
          <w:sz w:val="21"/>
        </w:rPr>
        <w:t>严重头部外伤</w:t>
      </w:r>
    </w:p>
    <w:p>
      <w:pPr>
        <w:pStyle w:val="BodyText"/>
        <w:spacing w:line="273" w:lineRule="auto" w:before="36"/>
        <w:ind w:left="176" w:right="218" w:firstLine="420"/>
        <w:jc w:val="both"/>
      </w:pPr>
      <w:r>
        <w:rPr/>
        <w:br w:type="column"/>
      </w:r>
      <w:r>
        <w:rPr/>
        <w:t>指因头部遭受机械性外力伤害，引起脑重要部位损伤，并且由头颅断层扫</w:t>
      </w:r>
      <w:r>
        <w:rPr>
          <w:spacing w:val="-8"/>
          <w:w w:val="100"/>
        </w:rPr>
        <w:t>描</w:t>
      </w:r>
      <w:r>
        <w:rPr>
          <w:w w:val="100"/>
        </w:rPr>
        <w:t>（</w:t>
      </w:r>
      <w:r>
        <w:rPr>
          <w:spacing w:val="-3"/>
          <w:w w:val="100"/>
        </w:rPr>
        <w:t>C</w:t>
      </w:r>
      <w:r>
        <w:rPr>
          <w:spacing w:val="-1"/>
          <w:w w:val="100"/>
        </w:rPr>
        <w:t>T</w:t>
      </w:r>
      <w:r>
        <w:rPr>
          <w:spacing w:val="-108"/>
          <w:w w:val="100"/>
        </w:rPr>
        <w:t>）</w:t>
      </w:r>
      <w:r>
        <w:rPr>
          <w:spacing w:val="-5"/>
          <w:w w:val="100"/>
        </w:rPr>
        <w:t>、核磁共振检查</w:t>
      </w:r>
      <w:r>
        <w:rPr>
          <w:spacing w:val="-3"/>
          <w:w w:val="100"/>
        </w:rPr>
        <w:t>（</w:t>
      </w:r>
      <w:r>
        <w:rPr>
          <w:w w:val="100"/>
        </w:rPr>
        <w:t>MRI</w:t>
      </w:r>
      <w:r>
        <w:rPr>
          <w:spacing w:val="-10"/>
          <w:w w:val="100"/>
        </w:rPr>
        <w:t>）</w:t>
      </w:r>
      <w:r>
        <w:rPr>
          <w:spacing w:val="-4"/>
          <w:w w:val="100"/>
        </w:rPr>
        <w:t>或正电子发射断层扫描</w:t>
      </w:r>
      <w:r>
        <w:rPr>
          <w:w w:val="100"/>
        </w:rPr>
        <w:t>（</w:t>
      </w:r>
      <w:r>
        <w:rPr>
          <w:spacing w:val="-3"/>
          <w:w w:val="100"/>
        </w:rPr>
        <w:t>P</w:t>
      </w:r>
      <w:r>
        <w:rPr>
          <w:w w:val="100"/>
        </w:rPr>
        <w:t>E</w:t>
      </w:r>
      <w:r>
        <w:rPr>
          <w:spacing w:val="-3"/>
          <w:w w:val="100"/>
        </w:rPr>
        <w:t>T</w:t>
      </w:r>
      <w:r>
        <w:rPr>
          <w:spacing w:val="-8"/>
          <w:w w:val="100"/>
        </w:rPr>
        <w:t>）</w:t>
      </w:r>
      <w:r>
        <w:rPr>
          <w:spacing w:val="-3"/>
          <w:w w:val="100"/>
        </w:rPr>
        <w:t>等影像学检查证</w:t>
      </w:r>
      <w:r>
        <w:rPr>
          <w:spacing w:val="-3"/>
        </w:rPr>
        <w:t>实。头部外伤导致神经系统功能障碍，且须满足下列条件之一，但未达到本合同所指重大疾病“严重脑损伤”的标准：</w:t>
      </w:r>
    </w:p>
    <w:p>
      <w:pPr>
        <w:spacing w:after="0" w:line="273" w:lineRule="auto"/>
        <w:jc w:val="both"/>
        <w:sectPr>
          <w:type w:val="continuous"/>
          <w:pgSz w:w="11910" w:h="16840"/>
          <w:pgMar w:top="1120" w:bottom="1180" w:left="1280" w:right="1140"/>
          <w:cols w:num="2" w:equalWidth="0">
            <w:col w:w="1847" w:space="40"/>
            <w:col w:w="7603"/>
          </w:cols>
        </w:sectPr>
      </w:pPr>
    </w:p>
    <w:p>
      <w:pPr>
        <w:pStyle w:val="BodyText"/>
        <w:spacing w:before="2"/>
        <w:rPr>
          <w:sz w:val="19"/>
        </w:rPr>
      </w:pPr>
    </w:p>
    <w:p>
      <w:pPr>
        <w:pStyle w:val="BodyText"/>
        <w:ind w:left="2502"/>
      </w:pPr>
      <w:r>
        <w:rPr>
          <w:w w:val="100"/>
        </w:rPr>
        <w:t>1.</w:t>
      </w:r>
      <w:r>
        <w:rPr>
          <w:spacing w:val="-3"/>
          <w:w w:val="100"/>
        </w:rPr>
        <w:t>已接受全麻下颅骨切开颅内血肿清除术</w:t>
      </w:r>
      <w:r>
        <w:rPr>
          <w:w w:val="100"/>
        </w:rPr>
        <w:t>（</w:t>
      </w:r>
      <w:r>
        <w:rPr>
          <w:spacing w:val="-3"/>
          <w:w w:val="100"/>
        </w:rPr>
        <w:t>颅骨钻孔术除外</w:t>
      </w:r>
      <w:r>
        <w:rPr>
          <w:spacing w:val="-108"/>
          <w:w w:val="100"/>
        </w:rPr>
        <w:t>）</w:t>
      </w:r>
      <w:r>
        <w:rPr>
          <w:w w:val="100"/>
        </w:rPr>
        <w:t>；</w:t>
      </w:r>
    </w:p>
    <w:p>
      <w:pPr>
        <w:pStyle w:val="BodyText"/>
        <w:ind w:left="2502"/>
      </w:pPr>
      <w:r>
        <w:rPr/>
        <w:t>2.在遭受外伤 180 天后一肢或一肢以上肢体机能部分丧失，其肢体肌力为</w:t>
      </w:r>
    </w:p>
    <w:p>
      <w:pPr>
        <w:pStyle w:val="BodyText"/>
        <w:ind w:left="2082"/>
      </w:pPr>
      <w:r>
        <w:rPr/>
        <w:t>Ⅲ级,或小于Ⅲ级。</w:t>
      </w:r>
    </w:p>
    <w:p>
      <w:pPr>
        <w:pStyle w:val="BodyText"/>
        <w:spacing w:before="12"/>
        <w:rPr>
          <w:sz w:val="23"/>
        </w:rPr>
      </w:pPr>
    </w:p>
    <w:p>
      <w:pPr>
        <w:spacing w:after="0"/>
        <w:rPr>
          <w:sz w:val="23"/>
        </w:rPr>
        <w:sectPr>
          <w:pgSz w:w="11910" w:h="16840"/>
          <w:pgMar w:header="879" w:footer="999" w:top="1120" w:bottom="1180" w:left="1260" w:right="1140"/>
        </w:sectPr>
      </w:pPr>
    </w:p>
    <w:p>
      <w:pPr>
        <w:pStyle w:val="ListParagraph"/>
        <w:numPr>
          <w:ilvl w:val="2"/>
          <w:numId w:val="8"/>
        </w:numPr>
        <w:tabs>
          <w:tab w:pos="1656" w:val="left" w:leader="none"/>
        </w:tabs>
        <w:spacing w:line="273" w:lineRule="auto" w:before="36" w:after="0"/>
        <w:ind w:left="803" w:right="0" w:firstLine="0"/>
        <w:jc w:val="both"/>
        <w:rPr>
          <w:sz w:val="21"/>
        </w:rPr>
      </w:pPr>
      <w:r>
        <w:rPr>
          <w:sz w:val="21"/>
        </w:rPr>
        <w:t>轻度原发性肺动脉高压</w:t>
      </w:r>
    </w:p>
    <w:p>
      <w:pPr>
        <w:pStyle w:val="BodyText"/>
        <w:spacing w:line="273" w:lineRule="auto" w:before="36"/>
        <w:ind w:left="173" w:right="112" w:firstLine="420"/>
      </w:pPr>
      <w:r>
        <w:rPr/>
        <w:br w:type="column"/>
      </w:r>
      <w:r>
        <w:rPr/>
        <w:t>指由于原发性肺动脉高压进行性发展而导致右心室肥厚，已经造成永久不</w:t>
      </w:r>
      <w:r>
        <w:rPr>
          <w:spacing w:val="-8"/>
        </w:rPr>
        <w:t>可逆性的体力活动能力受限，达到美国纽约心脏病学会心功能状态分级 </w:t>
      </w:r>
      <w:r>
        <w:rPr/>
        <w:t>III</w:t>
      </w:r>
      <w:r>
        <w:rPr>
          <w:spacing w:val="-14"/>
        </w:rPr>
        <w:t> 级， </w:t>
      </w:r>
      <w:r>
        <w:rPr>
          <w:spacing w:val="-9"/>
        </w:rPr>
        <w:t>且静息状态下肺动脉平均压超过 </w:t>
      </w:r>
      <w:r>
        <w:rPr/>
        <w:t>25mmHg</w:t>
      </w:r>
      <w:r>
        <w:rPr>
          <w:spacing w:val="-3"/>
        </w:rPr>
        <w:t>，但未达到本合同所指重大疾病“严重原发性肺动脉高压”的标准。</w:t>
      </w:r>
    </w:p>
    <w:p>
      <w:pPr>
        <w:pStyle w:val="BodyText"/>
        <w:spacing w:before="5"/>
        <w:rPr>
          <w:sz w:val="24"/>
        </w:rPr>
      </w:pPr>
    </w:p>
    <w:p>
      <w:pPr>
        <w:pStyle w:val="BodyText"/>
        <w:spacing w:line="273" w:lineRule="auto" w:before="0"/>
        <w:ind w:left="173" w:right="71" w:firstLine="420"/>
      </w:pPr>
      <w:r>
        <w:rPr/>
        <w:t>上述特定疾病中所指的永久不可逆，指自疾病确诊或意外伤害发生之日起， 经过积极治疗 180 天后，仍无法通过现有医疗手段恢复。</w:t>
      </w:r>
    </w:p>
    <w:p>
      <w:pPr>
        <w:spacing w:after="0" w:line="273" w:lineRule="auto"/>
        <w:sectPr>
          <w:type w:val="continuous"/>
          <w:pgSz w:w="11910" w:h="16840"/>
          <w:pgMar w:top="1120" w:bottom="1180" w:left="1260" w:right="1140"/>
          <w:cols w:num="2" w:equalWidth="0">
            <w:col w:w="1870" w:space="40"/>
            <w:col w:w="7600"/>
          </w:cols>
        </w:sectPr>
      </w:pPr>
    </w:p>
    <w:p>
      <w:pPr>
        <w:pStyle w:val="BodyText"/>
        <w:spacing w:before="8"/>
      </w:pPr>
    </w:p>
    <w:p>
      <w:pPr>
        <w:spacing w:after="0"/>
        <w:sectPr>
          <w:type w:val="continuous"/>
          <w:pgSz w:w="11910" w:h="16840"/>
          <w:pgMar w:top="1120" w:bottom="1180" w:left="1260" w:right="1140"/>
        </w:sectPr>
      </w:pPr>
    </w:p>
    <w:p>
      <w:pPr>
        <w:pStyle w:val="ListParagraph"/>
        <w:numPr>
          <w:ilvl w:val="1"/>
          <w:numId w:val="8"/>
        </w:numPr>
        <w:tabs>
          <w:tab w:pos="803" w:val="left" w:leader="none"/>
          <w:tab w:pos="804" w:val="left" w:leader="none"/>
        </w:tabs>
        <w:spacing w:line="273" w:lineRule="auto" w:before="36" w:after="0"/>
        <w:ind w:left="803" w:right="0" w:hanging="694"/>
        <w:jc w:val="left"/>
        <w:rPr>
          <w:sz w:val="21"/>
        </w:rPr>
      </w:pPr>
      <w:r>
        <w:rPr>
          <w:sz w:val="21"/>
        </w:rPr>
        <w:t>本合同所指的重大疾病</w:t>
      </w:r>
    </w:p>
    <w:p>
      <w:pPr>
        <w:pStyle w:val="BodyText"/>
        <w:spacing w:before="36"/>
        <w:ind w:left="109"/>
      </w:pPr>
      <w:r>
        <w:rPr/>
        <w:br w:type="column"/>
      </w:r>
      <w:r>
        <w:rPr/>
        <w:t>本合同所指的重大疾病，是指下列疾病、疾病状态或手术：</w:t>
      </w:r>
    </w:p>
    <w:p>
      <w:pPr>
        <w:spacing w:after="0"/>
        <w:sectPr>
          <w:type w:val="continuous"/>
          <w:pgSz w:w="11910" w:h="16840"/>
          <w:pgMar w:top="1120" w:bottom="1180" w:left="1260" w:right="1140"/>
          <w:cols w:num="2" w:equalWidth="0">
            <w:col w:w="1870" w:space="523"/>
            <w:col w:w="7117"/>
          </w:cols>
        </w:sectPr>
      </w:pPr>
    </w:p>
    <w:p>
      <w:pPr>
        <w:pStyle w:val="BodyText"/>
        <w:spacing w:before="8"/>
      </w:pPr>
    </w:p>
    <w:p>
      <w:pPr>
        <w:spacing w:after="0"/>
        <w:sectPr>
          <w:type w:val="continuous"/>
          <w:pgSz w:w="11910" w:h="16840"/>
          <w:pgMar w:top="1120" w:bottom="1180" w:left="1260" w:right="1140"/>
        </w:sectPr>
      </w:pPr>
    </w:p>
    <w:p>
      <w:pPr>
        <w:pStyle w:val="ListParagraph"/>
        <w:numPr>
          <w:ilvl w:val="2"/>
          <w:numId w:val="9"/>
        </w:numPr>
        <w:tabs>
          <w:tab w:pos="1442" w:val="left" w:leader="none"/>
        </w:tabs>
        <w:spacing w:line="273" w:lineRule="auto" w:before="36" w:after="0"/>
        <w:ind w:left="803" w:right="0" w:firstLine="0"/>
        <w:jc w:val="left"/>
        <w:rPr>
          <w:sz w:val="21"/>
        </w:rPr>
      </w:pPr>
      <w:r>
        <w:rPr>
          <w:sz w:val="21"/>
        </w:rPr>
        <w:t>恶性肿瘤</w:t>
      </w:r>
    </w:p>
    <w:p>
      <w:pPr>
        <w:pStyle w:val="BodyText"/>
        <w:spacing w:line="273" w:lineRule="auto" w:before="36"/>
        <w:ind w:left="176" w:right="112" w:firstLine="420"/>
        <w:jc w:val="both"/>
      </w:pPr>
      <w:r>
        <w:rPr/>
        <w:br w:type="column"/>
      </w:r>
      <w:r>
        <w:rPr/>
        <w:t>指恶性细胞不受控制的进行性增长和扩散，浸润和破坏周围正常组织，可以经血管、淋巴管和体腔扩散转移到身体其他部位的疾病。经病理学检查结果</w:t>
      </w:r>
      <w:r>
        <w:rPr>
          <w:spacing w:val="-8"/>
        </w:rPr>
        <w:t>明确诊断，临床诊断属于世界卫生组织《疾病和有关健康问题的国际统计分类》</w:t>
      </w:r>
    </w:p>
    <w:p>
      <w:pPr>
        <w:pStyle w:val="BodyText"/>
        <w:spacing w:before="7"/>
        <w:ind w:left="176"/>
      </w:pPr>
      <w:r>
        <w:rPr/>
        <w:t>（ICD-10）的恶性肿瘤范畴。</w:t>
      </w:r>
    </w:p>
    <w:p>
      <w:pPr>
        <w:pStyle w:val="BodyText"/>
        <w:ind w:left="598"/>
      </w:pPr>
      <w:r>
        <w:rPr/>
        <w:t>下列疾病不在本项保障范围内：</w:t>
      </w:r>
    </w:p>
    <w:p>
      <w:pPr>
        <w:pStyle w:val="BodyText"/>
        <w:ind w:left="598"/>
      </w:pPr>
      <w:r>
        <w:rPr/>
        <w:t>（1）原位癌；</w:t>
      </w:r>
    </w:p>
    <w:p>
      <w:pPr>
        <w:pStyle w:val="BodyText"/>
        <w:ind w:left="598"/>
      </w:pPr>
      <w:r>
        <w:rPr/>
        <w:t>（2）相当于 Binet 分期方案 A 期程度的慢性淋巴细胞白血病；</w:t>
      </w:r>
    </w:p>
    <w:p>
      <w:pPr>
        <w:pStyle w:val="BodyText"/>
        <w:ind w:left="598"/>
      </w:pPr>
      <w:r>
        <w:rPr/>
        <w:t>（3）相当于 Ann Arbor 分期方案 I 期程度的何杰金氏病；</w:t>
      </w:r>
    </w:p>
    <w:p>
      <w:pPr>
        <w:pStyle w:val="BodyText"/>
        <w:ind w:left="598"/>
      </w:pPr>
      <w:r>
        <w:rPr>
          <w:w w:val="100"/>
        </w:rPr>
        <w:t>（4）皮肤癌（</w:t>
      </w:r>
      <w:r>
        <w:rPr>
          <w:spacing w:val="-3"/>
          <w:w w:val="100"/>
        </w:rPr>
        <w:t>不包括恶性黑色素瘤及已发生转移的皮肤癌</w:t>
      </w:r>
      <w:r>
        <w:rPr>
          <w:spacing w:val="-106"/>
          <w:w w:val="100"/>
        </w:rPr>
        <w:t>）</w:t>
      </w:r>
      <w:r>
        <w:rPr>
          <w:w w:val="100"/>
        </w:rPr>
        <w:t>；</w:t>
      </w:r>
    </w:p>
    <w:p>
      <w:pPr>
        <w:pStyle w:val="BodyText"/>
        <w:spacing w:line="273" w:lineRule="auto"/>
        <w:ind w:left="176" w:right="218" w:firstLine="422"/>
      </w:pPr>
      <w:r>
        <w:rPr>
          <w:position w:val="1"/>
        </w:rPr>
        <w:t>（5）TNM</w:t>
      </w:r>
      <w:r>
        <w:rPr>
          <w:spacing w:val="-7"/>
          <w:position w:val="1"/>
        </w:rPr>
        <w:t> 分期为 </w:t>
      </w:r>
      <w:r>
        <w:rPr>
          <w:position w:val="1"/>
        </w:rPr>
        <w:t>T</w:t>
      </w:r>
      <w:r>
        <w:rPr>
          <w:sz w:val="11"/>
        </w:rPr>
        <w:t>1</w:t>
      </w:r>
      <w:r>
        <w:rPr>
          <w:position w:val="1"/>
        </w:rPr>
        <w:t>N</w:t>
      </w:r>
      <w:r>
        <w:rPr>
          <w:sz w:val="11"/>
        </w:rPr>
        <w:t>0</w:t>
      </w:r>
      <w:r>
        <w:rPr>
          <w:position w:val="1"/>
        </w:rPr>
        <w:t>M</w:t>
      </w:r>
      <w:r>
        <w:rPr>
          <w:sz w:val="11"/>
        </w:rPr>
        <w:t>0 </w:t>
      </w:r>
      <w:r>
        <w:rPr>
          <w:spacing w:val="-3"/>
          <w:position w:val="1"/>
        </w:rPr>
        <w:t>期或更轻分期的前列腺癌（</w:t>
      </w:r>
      <w:r>
        <w:rPr>
          <w:spacing w:val="-1"/>
          <w:position w:val="1"/>
        </w:rPr>
        <w:t>如为女性被保险人，则</w:t>
      </w:r>
      <w:r>
        <w:rPr>
          <w:spacing w:val="-1"/>
          <w:w w:val="100"/>
        </w:rPr>
        <w:t>不包括此项</w:t>
      </w:r>
      <w:r>
        <w:rPr>
          <w:spacing w:val="-106"/>
          <w:w w:val="100"/>
        </w:rPr>
        <w:t>）</w:t>
      </w:r>
      <w:r>
        <w:rPr>
          <w:w w:val="100"/>
        </w:rPr>
        <w:t>；</w:t>
      </w:r>
    </w:p>
    <w:p>
      <w:pPr>
        <w:pStyle w:val="BodyText"/>
        <w:spacing w:line="261" w:lineRule="exact" w:before="0"/>
        <w:ind w:left="588"/>
      </w:pPr>
      <w:r>
        <w:rPr/>
        <w:t>（6）感染艾滋病病毒或患艾滋病期间所患恶性肿瘤。</w:t>
      </w:r>
    </w:p>
    <w:p>
      <w:pPr>
        <w:spacing w:after="0" w:line="261" w:lineRule="exact"/>
        <w:sectPr>
          <w:type w:val="continuous"/>
          <w:pgSz w:w="11910" w:h="16840"/>
          <w:pgMar w:top="1120" w:bottom="1180" w:left="1260" w:right="1140"/>
          <w:cols w:num="2" w:equalWidth="0">
            <w:col w:w="1867" w:space="40"/>
            <w:col w:w="7603"/>
          </w:cols>
        </w:sectPr>
      </w:pPr>
    </w:p>
    <w:p>
      <w:pPr>
        <w:pStyle w:val="BodyText"/>
        <w:spacing w:before="4"/>
        <w:rPr>
          <w:sz w:val="12"/>
        </w:rPr>
      </w:pPr>
    </w:p>
    <w:p>
      <w:pPr>
        <w:spacing w:after="0"/>
        <w:rPr>
          <w:sz w:val="12"/>
        </w:rPr>
        <w:sectPr>
          <w:type w:val="continuous"/>
          <w:pgSz w:w="11910" w:h="16840"/>
          <w:pgMar w:top="1120" w:bottom="1180" w:left="1260" w:right="1140"/>
        </w:sectPr>
      </w:pPr>
    </w:p>
    <w:p>
      <w:pPr>
        <w:pStyle w:val="ListParagraph"/>
        <w:numPr>
          <w:ilvl w:val="2"/>
          <w:numId w:val="9"/>
        </w:numPr>
        <w:tabs>
          <w:tab w:pos="1442" w:val="left" w:leader="none"/>
        </w:tabs>
        <w:spacing w:line="273" w:lineRule="auto" w:before="58" w:after="0"/>
        <w:ind w:left="803" w:right="0" w:firstLine="0"/>
        <w:jc w:val="left"/>
        <w:rPr>
          <w:sz w:val="21"/>
        </w:rPr>
      </w:pPr>
      <w:r>
        <w:rPr>
          <w:sz w:val="21"/>
        </w:rPr>
        <w:t>急性心肌梗塞</w:t>
      </w:r>
    </w:p>
    <w:p>
      <w:pPr>
        <w:pStyle w:val="BodyText"/>
        <w:spacing w:line="237" w:lineRule="auto" w:before="39"/>
        <w:ind w:left="176" w:right="220" w:firstLine="420"/>
      </w:pPr>
      <w:r>
        <w:rPr/>
        <w:br w:type="column"/>
      </w:r>
      <w:r>
        <w:rPr/>
        <w:t>指因冠状动脉阻塞导致的相应区域供血不足造成部分心肌坏死。须满足下列至少三项条件：</w:t>
      </w:r>
    </w:p>
    <w:p>
      <w:pPr>
        <w:pStyle w:val="BodyText"/>
        <w:spacing w:line="272" w:lineRule="exact" w:before="0"/>
        <w:ind w:left="598"/>
      </w:pPr>
      <w:r>
        <w:rPr/>
        <w:t>（1）典型临床表现，例如急性胸痛等；</w:t>
      </w:r>
    </w:p>
    <w:p>
      <w:pPr>
        <w:pStyle w:val="BodyText"/>
        <w:spacing w:line="272" w:lineRule="exact" w:before="0"/>
        <w:ind w:left="596"/>
      </w:pPr>
      <w:r>
        <w:rPr/>
        <w:t>（2）新近的心电图改变提示急性心肌梗塞；</w:t>
      </w:r>
    </w:p>
    <w:p>
      <w:pPr>
        <w:pStyle w:val="BodyText"/>
        <w:spacing w:line="237" w:lineRule="auto" w:before="1"/>
        <w:ind w:left="176" w:right="165" w:firstLine="420"/>
      </w:pPr>
      <w:r>
        <w:rPr/>
        <w:t>（3）心肌酶或肌钙蛋白有诊断意义的升高，或呈符合急性心肌梗塞的动态性变化；</w:t>
      </w:r>
    </w:p>
    <w:p>
      <w:pPr>
        <w:pStyle w:val="BodyText"/>
        <w:spacing w:line="271" w:lineRule="exact" w:before="0"/>
        <w:ind w:left="596"/>
      </w:pPr>
      <w:r>
        <w:rPr/>
        <w:t>（4）发病 90 天后，经检查证实左心室功能降低，如左心室射血分数低于</w:t>
      </w:r>
    </w:p>
    <w:p>
      <w:pPr>
        <w:pStyle w:val="BodyText"/>
        <w:spacing w:line="274" w:lineRule="exact" w:before="0"/>
        <w:ind w:left="176"/>
      </w:pPr>
      <w:r>
        <w:rPr/>
        <w:t>50%。</w:t>
      </w:r>
    </w:p>
    <w:p>
      <w:pPr>
        <w:spacing w:after="0" w:line="274" w:lineRule="exact"/>
        <w:sectPr>
          <w:type w:val="continuous"/>
          <w:pgSz w:w="11910" w:h="16840"/>
          <w:pgMar w:top="1120" w:bottom="1180" w:left="1260" w:right="1140"/>
          <w:cols w:num="2" w:equalWidth="0">
            <w:col w:w="1867" w:space="40"/>
            <w:col w:w="7603"/>
          </w:cols>
        </w:sectPr>
      </w:pPr>
    </w:p>
    <w:p>
      <w:pPr>
        <w:pStyle w:val="BodyText"/>
        <w:spacing w:before="12"/>
        <w:rPr>
          <w:sz w:val="13"/>
        </w:rPr>
      </w:pPr>
    </w:p>
    <w:p>
      <w:pPr>
        <w:spacing w:after="0"/>
        <w:rPr>
          <w:sz w:val="13"/>
        </w:rPr>
        <w:sectPr>
          <w:type w:val="continuous"/>
          <w:pgSz w:w="11910" w:h="16840"/>
          <w:pgMar w:top="1120" w:bottom="1180" w:left="1260" w:right="1140"/>
        </w:sectPr>
      </w:pPr>
    </w:p>
    <w:p>
      <w:pPr>
        <w:pStyle w:val="ListParagraph"/>
        <w:numPr>
          <w:ilvl w:val="2"/>
          <w:numId w:val="9"/>
        </w:numPr>
        <w:tabs>
          <w:tab w:pos="1442" w:val="left" w:leader="none"/>
        </w:tabs>
        <w:spacing w:line="273" w:lineRule="auto" w:before="37" w:after="0"/>
        <w:ind w:left="803" w:right="0" w:firstLine="0"/>
        <w:jc w:val="left"/>
        <w:rPr>
          <w:sz w:val="21"/>
        </w:rPr>
      </w:pPr>
      <w:r>
        <w:rPr>
          <w:sz w:val="21"/>
        </w:rPr>
        <w:t>脑中风后遗症</w:t>
      </w:r>
    </w:p>
    <w:p>
      <w:pPr>
        <w:pStyle w:val="BodyText"/>
        <w:spacing w:line="273" w:lineRule="auto"/>
        <w:ind w:left="176" w:right="220" w:firstLine="420"/>
      </w:pPr>
      <w:r>
        <w:rPr/>
        <w:br w:type="column"/>
      </w:r>
      <w:r>
        <w:rPr/>
        <w:t>指因脑血管的突发病变引起脑血管出血、栓塞或梗塞，并导致神经系统永久性的功能障碍。</w:t>
      </w:r>
    </w:p>
    <w:p>
      <w:pPr>
        <w:pStyle w:val="BodyText"/>
        <w:spacing w:line="273" w:lineRule="auto" w:before="7"/>
        <w:ind w:left="176" w:right="159" w:firstLine="420"/>
      </w:pPr>
      <w:r>
        <w:rPr/>
        <w:t>神经系统永久性的功能障碍，指疾病确诊 180 天后，仍遗留下列一种或一种以上障碍：</w:t>
      </w:r>
    </w:p>
    <w:p>
      <w:pPr>
        <w:pStyle w:val="BodyText"/>
        <w:spacing w:before="7"/>
        <w:ind w:left="596"/>
      </w:pPr>
      <w:r>
        <w:rPr/>
        <w:t>（1）一肢或一肢以上肢体机能完全丧失；</w:t>
      </w:r>
    </w:p>
    <w:p>
      <w:pPr>
        <w:pStyle w:val="BodyText"/>
        <w:ind w:left="596"/>
      </w:pPr>
      <w:r>
        <w:rPr/>
        <w:t>（2）语言能力或咀嚼吞咽能力完全丧失；</w:t>
      </w:r>
    </w:p>
    <w:p>
      <w:pPr>
        <w:pStyle w:val="BodyText"/>
        <w:spacing w:line="273" w:lineRule="auto"/>
        <w:ind w:left="176" w:right="164" w:firstLine="420"/>
      </w:pPr>
      <w:r>
        <w:rPr/>
        <w:t>（3）自主生活能力完全丧失，无法独立完成六项基本日常生活活动中的三项或三项以上。</w:t>
      </w:r>
    </w:p>
    <w:p>
      <w:pPr>
        <w:pStyle w:val="BodyText"/>
        <w:spacing w:before="7"/>
        <w:ind w:left="596"/>
      </w:pPr>
      <w:r>
        <w:rPr/>
        <w:t>肢体机能完全丧失，指肢体的三大关节中的两大关节僵硬，或不能随意识</w:t>
      </w:r>
    </w:p>
    <w:p>
      <w:pPr>
        <w:spacing w:after="0"/>
        <w:sectPr>
          <w:type w:val="continuous"/>
          <w:pgSz w:w="11910" w:h="16840"/>
          <w:pgMar w:top="1120" w:bottom="1180" w:left="1260" w:right="1140"/>
          <w:cols w:num="2" w:equalWidth="0">
            <w:col w:w="1867" w:space="40"/>
            <w:col w:w="7603"/>
          </w:cols>
        </w:sectPr>
      </w:pPr>
    </w:p>
    <w:p>
      <w:pPr>
        <w:pStyle w:val="BodyText"/>
        <w:spacing w:before="2"/>
        <w:rPr>
          <w:sz w:val="19"/>
        </w:rPr>
      </w:pPr>
    </w:p>
    <w:p>
      <w:pPr>
        <w:pStyle w:val="BodyText"/>
        <w:ind w:left="2062"/>
      </w:pPr>
      <w:r>
        <w:rPr/>
        <w:t>活动。肢体是指包括肩关节的整个上肢或包括髋关节的整个下肢。</w:t>
      </w:r>
    </w:p>
    <w:p>
      <w:pPr>
        <w:pStyle w:val="BodyText"/>
        <w:spacing w:line="273" w:lineRule="auto"/>
        <w:ind w:left="2062" w:right="98" w:firstLine="420"/>
        <w:jc w:val="both"/>
      </w:pPr>
      <w:r>
        <w:rPr/>
        <w:t>语言能力完全丧失，指无法发出四种语音（包括口唇音、齿舌音、口盖音和喉头音）中的任何三种、或声带全部切除，或因大脑语言中枢受伤害而患失语症。</w:t>
      </w:r>
    </w:p>
    <w:p>
      <w:pPr>
        <w:pStyle w:val="BodyText"/>
        <w:spacing w:line="273" w:lineRule="auto" w:before="7"/>
        <w:ind w:left="2062" w:right="100" w:firstLine="420"/>
        <w:jc w:val="both"/>
      </w:pPr>
      <w:r>
        <w:rPr/>
        <w:t>咀嚼吞咽能力完全丧失，指因牙齿以外的原因导致器质障碍或机能障碍， 以致不能作咀嚼吞咽运动，除流质食物外不能摄取或吞咽的状态。</w:t>
      </w:r>
    </w:p>
    <w:p>
      <w:pPr>
        <w:pStyle w:val="BodyText"/>
        <w:spacing w:before="0"/>
        <w:rPr>
          <w:sz w:val="13"/>
        </w:rPr>
      </w:pPr>
    </w:p>
    <w:p>
      <w:pPr>
        <w:spacing w:after="0"/>
        <w:rPr>
          <w:sz w:val="13"/>
        </w:rPr>
        <w:sectPr>
          <w:pgSz w:w="11910" w:h="16840"/>
          <w:pgMar w:header="879" w:footer="999" w:top="1120" w:bottom="1180" w:left="1280" w:right="1260"/>
        </w:sectPr>
      </w:pPr>
    </w:p>
    <w:p>
      <w:pPr>
        <w:pStyle w:val="ListParagraph"/>
        <w:numPr>
          <w:ilvl w:val="2"/>
          <w:numId w:val="9"/>
        </w:numPr>
        <w:tabs>
          <w:tab w:pos="1422" w:val="left" w:leader="none"/>
        </w:tabs>
        <w:spacing w:line="273" w:lineRule="auto" w:before="36" w:after="0"/>
        <w:ind w:left="783" w:right="0" w:firstLine="0"/>
        <w:jc w:val="both"/>
        <w:rPr>
          <w:sz w:val="21"/>
        </w:rPr>
      </w:pPr>
      <w:r>
        <w:rPr>
          <w:sz w:val="21"/>
        </w:rPr>
        <w:t>重大器官移植术或造血干细胞移植术</w:t>
      </w:r>
    </w:p>
    <w:p>
      <w:pPr>
        <w:pStyle w:val="BodyText"/>
        <w:spacing w:line="273" w:lineRule="auto" w:before="36"/>
        <w:ind w:left="173" w:right="100" w:firstLine="420"/>
        <w:jc w:val="both"/>
      </w:pPr>
      <w:r>
        <w:rPr/>
        <w:br w:type="column"/>
      </w:r>
      <w:r>
        <w:rPr/>
        <w:t>重大器官移植术，指因相应器官功能衰竭，已经实施了肾脏、肝脏、心脏或肺脏的异体移植手术。</w:t>
      </w:r>
    </w:p>
    <w:p>
      <w:pPr>
        <w:pStyle w:val="BodyText"/>
        <w:spacing w:line="273" w:lineRule="auto" w:before="7"/>
        <w:ind w:left="173" w:right="98" w:firstLine="420"/>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1120" w:bottom="1180" w:left="1280" w:right="1260"/>
          <w:cols w:num="2" w:equalWidth="0">
            <w:col w:w="1850" w:space="40"/>
            <w:col w:w="7480"/>
          </w:cols>
        </w:sectPr>
      </w:pPr>
    </w:p>
    <w:p>
      <w:pPr>
        <w:pStyle w:val="BodyText"/>
        <w:spacing w:before="0"/>
        <w:rPr>
          <w:sz w:val="13"/>
        </w:rPr>
      </w:pPr>
    </w:p>
    <w:p>
      <w:pPr>
        <w:spacing w:after="0"/>
        <w:rPr>
          <w:sz w:val="13"/>
        </w:rPr>
        <w:sectPr>
          <w:type w:val="continuous"/>
          <w:pgSz w:w="11910" w:h="16840"/>
          <w:pgMar w:top="1120" w:bottom="1180" w:left="1280" w:right="1260"/>
        </w:sectPr>
      </w:pPr>
    </w:p>
    <w:p>
      <w:pPr>
        <w:pStyle w:val="ListParagraph"/>
        <w:numPr>
          <w:ilvl w:val="2"/>
          <w:numId w:val="9"/>
        </w:numPr>
        <w:tabs>
          <w:tab w:pos="1422" w:val="left" w:leader="none"/>
        </w:tabs>
        <w:spacing w:line="273" w:lineRule="auto" w:before="36" w:after="0"/>
        <w:ind w:left="783" w:right="0" w:firstLine="0"/>
        <w:jc w:val="both"/>
        <w:rPr>
          <w:sz w:val="21"/>
        </w:rPr>
      </w:pPr>
      <w:r>
        <w:rPr>
          <w:sz w:val="21"/>
        </w:rPr>
        <w:t>冠状动脉搭桥术</w:t>
      </w:r>
    </w:p>
    <w:p>
      <w:pPr>
        <w:pStyle w:val="BodyText"/>
        <w:spacing w:line="273" w:lineRule="auto" w:before="7"/>
        <w:ind w:left="783"/>
        <w:jc w:val="both"/>
      </w:pPr>
      <w:r>
        <w:rPr/>
        <w:t>（或称冠状动脉旁路移植术）</w:t>
      </w:r>
    </w:p>
    <w:p>
      <w:pPr>
        <w:pStyle w:val="BodyText"/>
        <w:spacing w:line="273" w:lineRule="auto" w:before="36"/>
        <w:ind w:left="173" w:right="100" w:firstLine="420"/>
      </w:pPr>
      <w:r>
        <w:rPr/>
        <w:br w:type="column"/>
      </w:r>
      <w:r>
        <w:rPr/>
        <w:t>指为治疗严重的冠心病，实际实施了开胸进行的冠状动脉血管旁路移植的手术。</w:t>
      </w:r>
    </w:p>
    <w:p>
      <w:pPr>
        <w:pStyle w:val="BodyText"/>
        <w:spacing w:line="273" w:lineRule="auto" w:before="7"/>
        <w:ind w:left="173" w:right="100" w:firstLine="422"/>
      </w:pPr>
      <w:r>
        <w:rPr/>
        <w:t>冠状动脉支架植入术、心导管球囊扩张术、激光射频技术及其他非开胸的介入手术、腔镜手术不在保障范围内。</w:t>
      </w:r>
    </w:p>
    <w:p>
      <w:pPr>
        <w:spacing w:after="0" w:line="273" w:lineRule="auto"/>
        <w:sectPr>
          <w:type w:val="continuous"/>
          <w:pgSz w:w="11910" w:h="16840"/>
          <w:pgMar w:top="1120" w:bottom="1180" w:left="1280" w:right="1260"/>
          <w:cols w:num="2" w:equalWidth="0">
            <w:col w:w="1850" w:space="40"/>
            <w:col w:w="7480"/>
          </w:cols>
        </w:sectPr>
      </w:pPr>
    </w:p>
    <w:p>
      <w:pPr>
        <w:pStyle w:val="BodyText"/>
        <w:spacing w:before="2"/>
        <w:rPr>
          <w:sz w:val="13"/>
        </w:rPr>
      </w:pPr>
    </w:p>
    <w:p>
      <w:pPr>
        <w:spacing w:after="0"/>
        <w:rPr>
          <w:sz w:val="13"/>
        </w:rPr>
        <w:sectPr>
          <w:type w:val="continuous"/>
          <w:pgSz w:w="11910" w:h="16840"/>
          <w:pgMar w:top="1120" w:bottom="1180" w:left="1280" w:right="1260"/>
        </w:sectPr>
      </w:pPr>
    </w:p>
    <w:p>
      <w:pPr>
        <w:pStyle w:val="ListParagraph"/>
        <w:numPr>
          <w:ilvl w:val="2"/>
          <w:numId w:val="9"/>
        </w:numPr>
        <w:tabs>
          <w:tab w:pos="1422" w:val="left" w:leader="none"/>
        </w:tabs>
        <w:spacing w:line="273" w:lineRule="auto" w:before="37" w:after="0"/>
        <w:ind w:left="783" w:right="0" w:firstLine="0"/>
        <w:jc w:val="both"/>
        <w:rPr>
          <w:sz w:val="21"/>
        </w:rPr>
      </w:pPr>
      <w:r>
        <w:rPr>
          <w:sz w:val="21"/>
        </w:rPr>
        <w:t>终末期肾病（或称慢性肾功能衰竭尿毒症期）</w:t>
      </w:r>
    </w:p>
    <w:p>
      <w:pPr>
        <w:pStyle w:val="BodyText"/>
        <w:ind w:left="593"/>
      </w:pPr>
      <w:r>
        <w:rPr/>
        <w:br w:type="column"/>
      </w:r>
      <w:r>
        <w:rPr/>
        <w:t>指双肾功能慢性不可逆性衰竭，达到尿毒症期，经诊断后已经进行了至少</w:t>
      </w:r>
    </w:p>
    <w:p>
      <w:pPr>
        <w:pStyle w:val="BodyText"/>
        <w:ind w:left="173"/>
      </w:pPr>
      <w:r>
        <w:rPr/>
        <w:t>90 天的规律性透析治疗或实施了肾脏移植手术。</w:t>
      </w:r>
    </w:p>
    <w:p>
      <w:pPr>
        <w:spacing w:after="0"/>
        <w:sectPr>
          <w:type w:val="continuous"/>
          <w:pgSz w:w="11910" w:h="16840"/>
          <w:pgMar w:top="1120" w:bottom="1180" w:left="1280" w:right="1260"/>
          <w:cols w:num="2" w:equalWidth="0">
            <w:col w:w="1850" w:space="40"/>
            <w:col w:w="7480"/>
          </w:cols>
        </w:sectPr>
      </w:pPr>
    </w:p>
    <w:p>
      <w:pPr>
        <w:pStyle w:val="BodyText"/>
        <w:spacing w:before="0"/>
        <w:rPr>
          <w:sz w:val="13"/>
        </w:rPr>
      </w:pPr>
    </w:p>
    <w:p>
      <w:pPr>
        <w:spacing w:after="0"/>
        <w:rPr>
          <w:sz w:val="13"/>
        </w:rPr>
        <w:sectPr>
          <w:type w:val="continuous"/>
          <w:pgSz w:w="11910" w:h="16840"/>
          <w:pgMar w:top="1120" w:bottom="1180" w:left="1280" w:right="1260"/>
        </w:sectPr>
      </w:pPr>
    </w:p>
    <w:p>
      <w:pPr>
        <w:pStyle w:val="ListParagraph"/>
        <w:numPr>
          <w:ilvl w:val="2"/>
          <w:numId w:val="9"/>
        </w:numPr>
        <w:tabs>
          <w:tab w:pos="1422" w:val="left" w:leader="none"/>
        </w:tabs>
        <w:spacing w:line="273" w:lineRule="auto" w:before="37" w:after="0"/>
        <w:ind w:left="783" w:right="0" w:firstLine="0"/>
        <w:jc w:val="left"/>
        <w:rPr>
          <w:sz w:val="21"/>
        </w:rPr>
      </w:pPr>
      <w:r>
        <w:rPr>
          <w:sz w:val="21"/>
        </w:rPr>
        <w:t>多个肢体缺失</w:t>
      </w:r>
    </w:p>
    <w:p>
      <w:pPr>
        <w:pStyle w:val="BodyText"/>
        <w:spacing w:line="273" w:lineRule="auto"/>
        <w:ind w:left="176" w:right="100" w:firstLine="420"/>
      </w:pPr>
      <w:r>
        <w:rPr/>
        <w:br w:type="column"/>
      </w:r>
      <w:r>
        <w:rPr/>
        <w:t>指因疾病或意外伤害导致两个或两个以上肢体自腕关节或踝关节近端（靠近躯干端）以上完全性断离。</w:t>
      </w:r>
    </w:p>
    <w:p>
      <w:pPr>
        <w:spacing w:after="0" w:line="273" w:lineRule="auto"/>
        <w:sectPr>
          <w:type w:val="continuous"/>
          <w:pgSz w:w="11910" w:h="16840"/>
          <w:pgMar w:top="1120" w:bottom="1180" w:left="1280" w:right="1260"/>
          <w:cols w:num="2" w:equalWidth="0">
            <w:col w:w="1847" w:space="40"/>
            <w:col w:w="7483"/>
          </w:cols>
        </w:sectPr>
      </w:pPr>
    </w:p>
    <w:p>
      <w:pPr>
        <w:pStyle w:val="BodyText"/>
        <w:spacing w:before="0"/>
        <w:rPr>
          <w:sz w:val="13"/>
        </w:rPr>
      </w:pPr>
    </w:p>
    <w:p>
      <w:pPr>
        <w:spacing w:after="0"/>
        <w:rPr>
          <w:sz w:val="13"/>
        </w:rPr>
        <w:sectPr>
          <w:type w:val="continuous"/>
          <w:pgSz w:w="11910" w:h="16840"/>
          <w:pgMar w:top="1120" w:bottom="1180" w:left="1280" w:right="1260"/>
        </w:sectPr>
      </w:pPr>
    </w:p>
    <w:p>
      <w:pPr>
        <w:pStyle w:val="ListParagraph"/>
        <w:numPr>
          <w:ilvl w:val="2"/>
          <w:numId w:val="9"/>
        </w:numPr>
        <w:tabs>
          <w:tab w:pos="1422" w:val="left" w:leader="none"/>
        </w:tabs>
        <w:spacing w:line="273" w:lineRule="auto" w:before="37" w:after="0"/>
        <w:ind w:left="783" w:right="0" w:firstLine="0"/>
        <w:jc w:val="both"/>
        <w:rPr>
          <w:sz w:val="21"/>
        </w:rPr>
      </w:pPr>
      <w:r>
        <w:rPr>
          <w:sz w:val="21"/>
        </w:rPr>
        <w:t>急性或亚急性重症肝炎</w:t>
      </w:r>
    </w:p>
    <w:p>
      <w:pPr>
        <w:pStyle w:val="BodyText"/>
        <w:spacing w:line="273" w:lineRule="auto"/>
        <w:ind w:left="173" w:right="100" w:firstLine="420"/>
      </w:pPr>
      <w:r>
        <w:rPr/>
        <w:br w:type="column"/>
      </w:r>
      <w:r>
        <w:rPr/>
        <w:t>指因肝炎病毒感染引起肝脏组织弥漫性坏死，导致急性肝功能衰竭，且经血清学或病毒学检查证实，并须满足下列全部条件：</w:t>
      </w:r>
    </w:p>
    <w:p>
      <w:pPr>
        <w:pStyle w:val="BodyText"/>
        <w:spacing w:before="8"/>
        <w:ind w:left="593"/>
      </w:pPr>
      <w:r>
        <w:rPr/>
        <w:t>（1）重度黄疸或黄疸迅速加重；</w:t>
      </w:r>
    </w:p>
    <w:p>
      <w:pPr>
        <w:pStyle w:val="BodyText"/>
        <w:ind w:left="593"/>
      </w:pPr>
      <w:r>
        <w:rPr/>
        <w:t>（2）肝性脑病；</w:t>
      </w:r>
    </w:p>
    <w:p>
      <w:pPr>
        <w:pStyle w:val="BodyText"/>
        <w:ind w:left="593"/>
      </w:pPr>
      <w:r>
        <w:rPr/>
        <w:t>（3）B 超或其他影像学检查显示肝脏体积急速萎缩；</w:t>
      </w:r>
    </w:p>
    <w:p>
      <w:pPr>
        <w:pStyle w:val="BodyText"/>
        <w:ind w:left="593"/>
      </w:pPr>
      <w:r>
        <w:rPr/>
        <w:t>（4）肝功能指标进行性恶化。</w:t>
      </w:r>
    </w:p>
    <w:p>
      <w:pPr>
        <w:spacing w:after="0"/>
        <w:sectPr>
          <w:type w:val="continuous"/>
          <w:pgSz w:w="11910" w:h="16840"/>
          <w:pgMar w:top="1120" w:bottom="1180" w:left="1280" w:right="1260"/>
          <w:cols w:num="2" w:equalWidth="0">
            <w:col w:w="1850" w:space="40"/>
            <w:col w:w="7480"/>
          </w:cols>
        </w:sectPr>
      </w:pPr>
    </w:p>
    <w:p>
      <w:pPr>
        <w:pStyle w:val="BodyText"/>
        <w:spacing w:before="5"/>
        <w:rPr>
          <w:sz w:val="15"/>
        </w:rPr>
      </w:pPr>
    </w:p>
    <w:p>
      <w:pPr>
        <w:spacing w:after="0"/>
        <w:rPr>
          <w:sz w:val="15"/>
        </w:rPr>
        <w:sectPr>
          <w:type w:val="continuous"/>
          <w:pgSz w:w="11910" w:h="16840"/>
          <w:pgMar w:top="1120" w:bottom="1180" w:left="1280" w:right="1260"/>
        </w:sectPr>
      </w:pPr>
    </w:p>
    <w:p>
      <w:pPr>
        <w:pStyle w:val="ListParagraph"/>
        <w:numPr>
          <w:ilvl w:val="2"/>
          <w:numId w:val="9"/>
        </w:numPr>
        <w:tabs>
          <w:tab w:pos="1422" w:val="left" w:leader="none"/>
        </w:tabs>
        <w:spacing w:line="273" w:lineRule="auto" w:before="37" w:after="0"/>
        <w:ind w:left="783" w:right="0" w:firstLine="0"/>
        <w:jc w:val="left"/>
        <w:rPr>
          <w:sz w:val="21"/>
        </w:rPr>
      </w:pPr>
      <w:r>
        <w:rPr>
          <w:sz w:val="21"/>
        </w:rPr>
        <w:t>良性脑肿瘤</w:t>
      </w:r>
    </w:p>
    <w:p>
      <w:pPr>
        <w:pStyle w:val="BodyText"/>
        <w:spacing w:line="273" w:lineRule="auto"/>
        <w:ind w:left="176" w:right="98" w:firstLine="420"/>
        <w:jc w:val="both"/>
      </w:pPr>
      <w:r>
        <w:rPr/>
        <w:br w:type="column"/>
      </w:r>
      <w:r>
        <w:rPr/>
        <w:t>指脑的良性肿瘤，已经引起颅内压增高，临床表现为视神经乳头水肿、精</w:t>
      </w:r>
      <w:r>
        <w:rPr>
          <w:spacing w:val="-7"/>
          <w:w w:val="100"/>
        </w:rPr>
        <w:t>神症状、癫痫及运动感觉障碍等，并危及生命。须由头颅断层扫描</w:t>
      </w:r>
      <w:r>
        <w:rPr>
          <w:w w:val="100"/>
        </w:rPr>
        <w:t>（C</w:t>
      </w:r>
      <w:r>
        <w:rPr>
          <w:spacing w:val="-3"/>
          <w:w w:val="100"/>
        </w:rPr>
        <w:t>T</w:t>
      </w:r>
      <w:r>
        <w:rPr>
          <w:spacing w:val="-106"/>
          <w:w w:val="100"/>
        </w:rPr>
        <w:t>）</w:t>
      </w:r>
      <w:r>
        <w:rPr>
          <w:spacing w:val="-5"/>
          <w:w w:val="100"/>
        </w:rPr>
        <w:t>、核磁</w:t>
      </w:r>
      <w:r>
        <w:rPr>
          <w:spacing w:val="-5"/>
        </w:rPr>
        <w:t>共振检查（MRI）或正电子发射断层扫描（PET）等影像学检查证实，并须满足</w:t>
      </w:r>
      <w:r>
        <w:rPr>
          <w:spacing w:val="-3"/>
        </w:rPr>
        <w:t>下列至少一项条件：</w:t>
      </w:r>
    </w:p>
    <w:p>
      <w:pPr>
        <w:pStyle w:val="BodyText"/>
        <w:spacing w:before="7"/>
        <w:ind w:left="596"/>
      </w:pPr>
      <w:r>
        <w:rPr/>
        <w:t>（1）实际实施了开颅进行的脑肿瘤完全切除或部分切除的手术；</w:t>
      </w:r>
    </w:p>
    <w:p>
      <w:pPr>
        <w:pStyle w:val="BodyText"/>
        <w:spacing w:before="36"/>
        <w:ind w:left="596"/>
      </w:pPr>
      <w:r>
        <w:rPr/>
        <w:t>（2）实际实施了对脑肿瘤进行的放射治疗。</w:t>
      </w:r>
    </w:p>
    <w:p>
      <w:pPr>
        <w:pStyle w:val="BodyText"/>
        <w:spacing w:before="36"/>
        <w:ind w:left="598"/>
      </w:pPr>
      <w:r>
        <w:rPr/>
        <w:t>脑垂体瘤、脑囊肿、脑血管性疾病不在保障范围内。</w:t>
      </w:r>
    </w:p>
    <w:p>
      <w:pPr>
        <w:spacing w:after="0"/>
        <w:sectPr>
          <w:type w:val="continuous"/>
          <w:pgSz w:w="11910" w:h="16840"/>
          <w:pgMar w:top="1120" w:bottom="1180" w:left="1280" w:right="1260"/>
          <w:cols w:num="2" w:equalWidth="0">
            <w:col w:w="1847" w:space="40"/>
            <w:col w:w="7483"/>
          </w:cols>
        </w:sectPr>
      </w:pPr>
    </w:p>
    <w:p>
      <w:pPr>
        <w:pStyle w:val="BodyText"/>
        <w:spacing w:before="3"/>
        <w:rPr>
          <w:sz w:val="15"/>
        </w:rPr>
      </w:pPr>
    </w:p>
    <w:p>
      <w:pPr>
        <w:spacing w:after="0"/>
        <w:rPr>
          <w:sz w:val="15"/>
        </w:rPr>
        <w:sectPr>
          <w:type w:val="continuous"/>
          <w:pgSz w:w="11910" w:h="16840"/>
          <w:pgMar w:top="1120" w:bottom="1180" w:left="1280" w:right="1260"/>
        </w:sectPr>
      </w:pPr>
    </w:p>
    <w:p>
      <w:pPr>
        <w:pStyle w:val="ListParagraph"/>
        <w:numPr>
          <w:ilvl w:val="2"/>
          <w:numId w:val="9"/>
        </w:numPr>
        <w:tabs>
          <w:tab w:pos="1636" w:val="left" w:leader="none"/>
        </w:tabs>
        <w:spacing w:line="273" w:lineRule="auto" w:before="36" w:after="0"/>
        <w:ind w:left="783" w:right="0" w:firstLine="0"/>
        <w:jc w:val="both"/>
        <w:rPr>
          <w:sz w:val="21"/>
        </w:rPr>
      </w:pPr>
      <w:r>
        <w:rPr>
          <w:sz w:val="21"/>
        </w:rPr>
        <w:t>慢性肝功能衰竭失代偿期</w:t>
      </w:r>
    </w:p>
    <w:p>
      <w:pPr>
        <w:pStyle w:val="BodyText"/>
        <w:spacing w:before="36"/>
        <w:ind w:left="593"/>
      </w:pPr>
      <w:r>
        <w:rPr/>
        <w:br w:type="column"/>
      </w:r>
      <w:r>
        <w:rPr/>
        <w:t>指因慢性肝脏疾病导致肝功能衰竭。须满足下列全部条件：</w:t>
      </w:r>
    </w:p>
    <w:p>
      <w:pPr>
        <w:pStyle w:val="BodyText"/>
        <w:spacing w:before="36"/>
        <w:ind w:left="593"/>
      </w:pPr>
      <w:r>
        <w:rPr/>
        <w:t>（1）持续性黄疸；</w:t>
      </w:r>
    </w:p>
    <w:p>
      <w:pPr>
        <w:pStyle w:val="BodyText"/>
        <w:spacing w:before="36"/>
        <w:ind w:left="593"/>
      </w:pPr>
      <w:r>
        <w:rPr/>
        <w:t>（2）腹水；</w:t>
      </w:r>
    </w:p>
    <w:p>
      <w:pPr>
        <w:pStyle w:val="BodyText"/>
        <w:spacing w:before="36"/>
        <w:ind w:left="593"/>
      </w:pPr>
      <w:r>
        <w:rPr/>
        <w:t>（3）肝性脑病；</w:t>
      </w:r>
    </w:p>
    <w:p>
      <w:pPr>
        <w:spacing w:after="0"/>
        <w:sectPr>
          <w:type w:val="continuous"/>
          <w:pgSz w:w="11910" w:h="16840"/>
          <w:pgMar w:top="1120" w:bottom="1180" w:left="1280" w:right="1260"/>
          <w:cols w:num="2" w:equalWidth="0">
            <w:col w:w="1850" w:space="40"/>
            <w:col w:w="7480"/>
          </w:cols>
        </w:sectPr>
      </w:pPr>
    </w:p>
    <w:p>
      <w:pPr>
        <w:pStyle w:val="BodyText"/>
        <w:spacing w:before="2"/>
        <w:rPr>
          <w:sz w:val="19"/>
        </w:rPr>
      </w:pPr>
    </w:p>
    <w:p>
      <w:pPr>
        <w:pStyle w:val="BodyText"/>
        <w:spacing w:line="273" w:lineRule="auto"/>
        <w:ind w:left="2485" w:right="1852" w:hanging="3"/>
      </w:pPr>
      <w:r>
        <w:rPr/>
        <w:t>（4）充血性脾肿大伴脾功能亢进或食管胃底静脉曲张。因酗酒或药物滥用导致的肝功能衰竭不在保障范围内。</w:t>
      </w:r>
    </w:p>
    <w:p>
      <w:pPr>
        <w:pStyle w:val="BodyText"/>
        <w:spacing w:before="0"/>
        <w:rPr>
          <w:sz w:val="13"/>
        </w:rPr>
      </w:pPr>
    </w:p>
    <w:p>
      <w:pPr>
        <w:spacing w:after="0"/>
        <w:rPr>
          <w:sz w:val="13"/>
        </w:rPr>
        <w:sectPr>
          <w:pgSz w:w="11910" w:h="16840"/>
          <w:pgMar w:header="879" w:footer="999" w:top="1120" w:bottom="1180" w:left="1280" w:right="1140"/>
        </w:sectPr>
      </w:pPr>
    </w:p>
    <w:p>
      <w:pPr>
        <w:pStyle w:val="ListParagraph"/>
        <w:numPr>
          <w:ilvl w:val="2"/>
          <w:numId w:val="9"/>
        </w:numPr>
        <w:tabs>
          <w:tab w:pos="1636" w:val="left" w:leader="none"/>
        </w:tabs>
        <w:spacing w:line="273" w:lineRule="auto" w:before="37" w:after="0"/>
        <w:ind w:left="783" w:right="0" w:firstLine="0"/>
        <w:jc w:val="both"/>
        <w:rPr>
          <w:sz w:val="21"/>
        </w:rPr>
      </w:pPr>
      <w:r>
        <w:rPr>
          <w:sz w:val="21"/>
        </w:rPr>
        <w:t>脑炎后遗症或脑膜炎后遗症</w:t>
      </w:r>
    </w:p>
    <w:p>
      <w:pPr>
        <w:pStyle w:val="BodyText"/>
        <w:spacing w:line="273" w:lineRule="auto"/>
        <w:ind w:left="173" w:right="220" w:firstLine="420"/>
      </w:pPr>
      <w:r>
        <w:rPr/>
        <w:br w:type="column"/>
      </w:r>
      <w:r>
        <w:rPr/>
        <w:t>指因患脑炎或脑膜炎导致的神经系统永久性的功能障碍。神经系统永久性的功能障碍，指疾病确诊 180 天后，仍遗留下列一种或一种以上障碍：</w:t>
      </w:r>
    </w:p>
    <w:p>
      <w:pPr>
        <w:pStyle w:val="BodyText"/>
        <w:spacing w:before="8"/>
        <w:ind w:left="593"/>
      </w:pPr>
      <w:r>
        <w:rPr/>
        <w:t>（1）一肢或一肢以上肢体机能完全丧失；</w:t>
      </w:r>
    </w:p>
    <w:p>
      <w:pPr>
        <w:pStyle w:val="BodyText"/>
        <w:ind w:left="593"/>
      </w:pPr>
      <w:r>
        <w:rPr/>
        <w:t>（2）语言能力或咀嚼吞咽能力完全丧失；</w:t>
      </w:r>
    </w:p>
    <w:p>
      <w:pPr>
        <w:pStyle w:val="BodyText"/>
        <w:spacing w:line="273" w:lineRule="auto"/>
        <w:ind w:left="173" w:right="164" w:firstLine="420"/>
      </w:pPr>
      <w:r>
        <w:rPr/>
        <w:t>（3）自主生活能力完全丧失，无法独立完成六项基本日常生活活动中的三项或三项以上。</w:t>
      </w:r>
    </w:p>
    <w:p>
      <w:pPr>
        <w:spacing w:after="0" w:line="273" w:lineRule="auto"/>
        <w:sectPr>
          <w:type w:val="continuous"/>
          <w:pgSz w:w="11910" w:h="16840"/>
          <w:pgMar w:top="1120" w:bottom="1180" w:left="1280" w:right="1140"/>
          <w:cols w:num="2" w:equalWidth="0">
            <w:col w:w="1850" w:space="40"/>
            <w:col w:w="7600"/>
          </w:cols>
        </w:sectPr>
      </w:pPr>
    </w:p>
    <w:p>
      <w:pPr>
        <w:pStyle w:val="BodyText"/>
        <w:spacing w:before="0"/>
        <w:rPr>
          <w:sz w:val="13"/>
        </w:rPr>
      </w:pPr>
    </w:p>
    <w:p>
      <w:pPr>
        <w:spacing w:after="0"/>
        <w:rPr>
          <w:sz w:val="13"/>
        </w:rPr>
        <w:sectPr>
          <w:type w:val="continuous"/>
          <w:pgSz w:w="11910" w:h="16840"/>
          <w:pgMar w:top="1120" w:bottom="1180" w:left="1280" w:right="1140"/>
        </w:sectPr>
      </w:pPr>
    </w:p>
    <w:p>
      <w:pPr>
        <w:pStyle w:val="ListParagraph"/>
        <w:numPr>
          <w:ilvl w:val="2"/>
          <w:numId w:val="9"/>
        </w:numPr>
        <w:tabs>
          <w:tab w:pos="1635" w:val="left" w:leader="none"/>
          <w:tab w:pos="1636" w:val="left" w:leader="none"/>
        </w:tabs>
        <w:spacing w:line="273" w:lineRule="auto" w:before="37" w:after="0"/>
        <w:ind w:left="783" w:right="0" w:firstLine="0"/>
        <w:jc w:val="left"/>
        <w:rPr>
          <w:sz w:val="21"/>
        </w:rPr>
      </w:pPr>
      <w:r>
        <w:rPr>
          <w:sz w:val="21"/>
        </w:rPr>
        <w:t>深度昏迷</w:t>
      </w:r>
    </w:p>
    <w:p>
      <w:pPr>
        <w:pStyle w:val="BodyText"/>
        <w:tabs>
          <w:tab w:pos="3831" w:val="left" w:leader="none"/>
          <w:tab w:pos="4459" w:val="left" w:leader="none"/>
        </w:tabs>
        <w:spacing w:line="273" w:lineRule="auto"/>
        <w:ind w:left="175" w:right="112" w:firstLine="420"/>
      </w:pPr>
      <w:r>
        <w:rPr/>
        <w:br w:type="column"/>
      </w:r>
      <w:r>
        <w:rPr/>
        <w:t>指因疾病或意外伤害导致意识丧失,对外界刺激和体内需求均无反应,昏迷程度</w:t>
      </w:r>
      <w:r>
        <w:rPr>
          <w:spacing w:val="-3"/>
        </w:rPr>
        <w:t>按</w:t>
      </w:r>
      <w:r>
        <w:rPr/>
        <w:t>照</w:t>
      </w:r>
      <w:r>
        <w:rPr>
          <w:spacing w:val="-3"/>
        </w:rPr>
        <w:t>格</w:t>
      </w:r>
      <w:r>
        <w:rPr/>
        <w:t>拉</w:t>
      </w:r>
      <w:r>
        <w:rPr>
          <w:spacing w:val="-3"/>
        </w:rPr>
        <w:t>斯</w:t>
      </w:r>
      <w:r>
        <w:rPr/>
        <w:t>哥</w:t>
      </w:r>
      <w:r>
        <w:rPr>
          <w:spacing w:val="-3"/>
        </w:rPr>
        <w:t>昏</w:t>
      </w:r>
      <w:r>
        <w:rPr/>
        <w:t>迷</w:t>
      </w:r>
      <w:r>
        <w:rPr>
          <w:spacing w:val="-3"/>
        </w:rPr>
        <w:t>分</w:t>
      </w:r>
      <w:r>
        <w:rPr>
          <w:spacing w:val="-25"/>
        </w:rPr>
        <w:t>级</w:t>
      </w:r>
      <w:r>
        <w:rPr/>
        <w:t>（Glasgow</w:t>
        <w:tab/>
        <w:t>coma</w:t>
        <w:tab/>
      </w:r>
      <w:r>
        <w:rPr>
          <w:spacing w:val="-5"/>
        </w:rPr>
        <w:t>scale）</w:t>
      </w:r>
      <w:r>
        <w:rPr/>
        <w:t>结</w:t>
      </w:r>
      <w:r>
        <w:rPr>
          <w:spacing w:val="-3"/>
        </w:rPr>
        <w:t>果</w:t>
      </w:r>
      <w:r>
        <w:rPr/>
        <w:t>为</w:t>
      </w:r>
      <w:r>
        <w:rPr>
          <w:spacing w:val="-49"/>
        </w:rPr>
        <w:t> </w:t>
      </w:r>
      <w:r>
        <w:rPr/>
        <w:t>5</w:t>
      </w:r>
      <w:r>
        <w:rPr>
          <w:spacing w:val="-51"/>
        </w:rPr>
        <w:t> </w:t>
      </w:r>
      <w:r>
        <w:rPr/>
        <w:t>分或</w:t>
      </w:r>
      <w:r>
        <w:rPr>
          <w:spacing w:val="-51"/>
        </w:rPr>
        <w:t> </w:t>
      </w:r>
      <w:r>
        <w:rPr/>
        <w:t>5</w:t>
      </w:r>
      <w:r>
        <w:rPr>
          <w:spacing w:val="-49"/>
        </w:rPr>
        <w:t> </w:t>
      </w:r>
      <w:r>
        <w:rPr>
          <w:spacing w:val="-3"/>
        </w:rPr>
        <w:t>分</w:t>
      </w:r>
      <w:r>
        <w:rPr/>
        <w:t>以</w:t>
      </w:r>
      <w:r>
        <w:rPr>
          <w:spacing w:val="-3"/>
        </w:rPr>
        <w:t>下</w:t>
      </w:r>
      <w:r>
        <w:rPr/>
        <w:t>，且已</w:t>
      </w:r>
      <w:r>
        <w:rPr>
          <w:spacing w:val="-3"/>
        </w:rPr>
        <w:t>经</w:t>
      </w:r>
      <w:r>
        <w:rPr/>
        <w:t>持</w:t>
      </w:r>
      <w:r>
        <w:rPr>
          <w:spacing w:val="-3"/>
        </w:rPr>
        <w:t>续</w:t>
      </w:r>
      <w:r>
        <w:rPr/>
        <w:t>使</w:t>
      </w:r>
      <w:r>
        <w:rPr>
          <w:spacing w:val="-3"/>
        </w:rPr>
        <w:t>用</w:t>
      </w:r>
      <w:r>
        <w:rPr/>
        <w:t>呼</w:t>
      </w:r>
      <w:r>
        <w:rPr>
          <w:spacing w:val="-3"/>
        </w:rPr>
        <w:t>吸</w:t>
      </w:r>
      <w:r>
        <w:rPr/>
        <w:t>机</w:t>
      </w:r>
      <w:r>
        <w:rPr>
          <w:spacing w:val="-3"/>
        </w:rPr>
        <w:t>及</w:t>
      </w:r>
      <w:r>
        <w:rPr/>
        <w:t>其他</w:t>
      </w:r>
      <w:r>
        <w:rPr>
          <w:spacing w:val="-3"/>
        </w:rPr>
        <w:t>生</w:t>
      </w:r>
      <w:r>
        <w:rPr/>
        <w:t>命</w:t>
      </w:r>
      <w:r>
        <w:rPr>
          <w:spacing w:val="-3"/>
        </w:rPr>
        <w:t>维</w:t>
      </w:r>
      <w:r>
        <w:rPr/>
        <w:t>持</w:t>
      </w:r>
      <w:r>
        <w:rPr>
          <w:spacing w:val="-3"/>
        </w:rPr>
        <w:t>系</w:t>
      </w:r>
      <w:r>
        <w:rPr/>
        <w:t>统</w:t>
      </w:r>
      <w:r>
        <w:rPr>
          <w:spacing w:val="12"/>
        </w:rPr>
        <w:t> </w:t>
      </w:r>
      <w:r>
        <w:rPr/>
        <w:t>96</w:t>
      </w:r>
      <w:r>
        <w:rPr>
          <w:spacing w:val="12"/>
        </w:rPr>
        <w:t> </w:t>
      </w:r>
      <w:r>
        <w:rPr>
          <w:spacing w:val="-3"/>
        </w:rPr>
        <w:t>小</w:t>
      </w:r>
      <w:r>
        <w:rPr/>
        <w:t>时以</w:t>
      </w:r>
      <w:r>
        <w:rPr>
          <w:spacing w:val="-3"/>
        </w:rPr>
        <w:t>上</w:t>
      </w:r>
      <w:r>
        <w:rPr/>
        <w:t>。</w:t>
      </w:r>
    </w:p>
    <w:p>
      <w:pPr>
        <w:pStyle w:val="BodyText"/>
        <w:spacing w:before="7"/>
        <w:ind w:left="598"/>
      </w:pPr>
      <w:r>
        <w:rPr/>
        <w:t>因酗酒或药物滥用导致的深度昏迷不在保障范围内。</w:t>
      </w:r>
    </w:p>
    <w:p>
      <w:pPr>
        <w:spacing w:after="0"/>
        <w:sectPr>
          <w:type w:val="continuous"/>
          <w:pgSz w:w="11910" w:h="16840"/>
          <w:pgMar w:top="1120" w:bottom="1180" w:left="1280" w:right="1140"/>
          <w:cols w:num="2" w:equalWidth="0">
            <w:col w:w="1847" w:space="40"/>
            <w:col w:w="7603"/>
          </w:cols>
        </w:sectPr>
      </w:pPr>
    </w:p>
    <w:p>
      <w:pPr>
        <w:pStyle w:val="BodyText"/>
        <w:spacing w:before="5"/>
        <w:rPr>
          <w:sz w:val="15"/>
        </w:rPr>
      </w:pPr>
    </w:p>
    <w:p>
      <w:pPr>
        <w:spacing w:after="0"/>
        <w:rPr>
          <w:sz w:val="15"/>
        </w:rPr>
        <w:sectPr>
          <w:type w:val="continuous"/>
          <w:pgSz w:w="11910" w:h="16840"/>
          <w:pgMar w:top="1120" w:bottom="1180" w:left="1280" w:right="1140"/>
        </w:sectPr>
      </w:pPr>
    </w:p>
    <w:p>
      <w:pPr>
        <w:pStyle w:val="ListParagraph"/>
        <w:numPr>
          <w:ilvl w:val="2"/>
          <w:numId w:val="9"/>
        </w:numPr>
        <w:tabs>
          <w:tab w:pos="1635" w:val="left" w:leader="none"/>
          <w:tab w:pos="1636" w:val="left" w:leader="none"/>
        </w:tabs>
        <w:spacing w:line="273" w:lineRule="auto" w:before="36" w:after="0"/>
        <w:ind w:left="783" w:right="0" w:firstLine="0"/>
        <w:jc w:val="left"/>
        <w:rPr>
          <w:sz w:val="21"/>
        </w:rPr>
      </w:pPr>
      <w:r>
        <w:rPr>
          <w:sz w:val="21"/>
        </w:rPr>
        <w:t>双耳失聪</w:t>
      </w:r>
    </w:p>
    <w:p>
      <w:pPr>
        <w:pStyle w:val="BodyText"/>
        <w:spacing w:before="36"/>
        <w:ind w:left="595"/>
      </w:pPr>
      <w:r>
        <w:rPr/>
        <w:br w:type="column"/>
      </w:r>
      <w:r>
        <w:rPr/>
        <w:t>指因疾病或意外伤害导致双耳听力永久不可逆性丧失，在 500 赫兹、1000</w:t>
      </w:r>
    </w:p>
    <w:p>
      <w:pPr>
        <w:pStyle w:val="BodyText"/>
        <w:spacing w:line="273" w:lineRule="auto" w:before="36"/>
        <w:ind w:left="175" w:right="218"/>
      </w:pPr>
      <w:r>
        <w:rPr>
          <w:spacing w:val="0"/>
        </w:rPr>
        <w:t>赫兹和 </w:t>
      </w:r>
      <w:r>
        <w:rPr/>
        <w:t>2000</w:t>
      </w:r>
      <w:r>
        <w:rPr>
          <w:spacing w:val="-7"/>
        </w:rPr>
        <w:t> 赫兹语音频率下，平均听阈大于 </w:t>
      </w:r>
      <w:r>
        <w:rPr/>
        <w:t>90</w:t>
      </w:r>
      <w:r>
        <w:rPr>
          <w:spacing w:val="-11"/>
        </w:rPr>
        <w:t> 分贝，且经纯音听力测试、声</w:t>
      </w:r>
      <w:r>
        <w:rPr>
          <w:spacing w:val="-6"/>
        </w:rPr>
        <w:t>导抗检测或听觉诱发电位检测等证实。</w:t>
      </w:r>
    </w:p>
    <w:p>
      <w:pPr>
        <w:pStyle w:val="BodyText"/>
        <w:spacing w:line="273" w:lineRule="auto" w:before="7"/>
        <w:ind w:left="175" w:right="220" w:firstLine="422"/>
      </w:pPr>
      <w:r>
        <w:rPr/>
        <w:t>除内耳结构损伤等情形外，被保险人申请理赔时年龄必须在三周岁以上， 并且提供理赔当时的听力丧失诊断及检查证据。</w:t>
      </w:r>
    </w:p>
    <w:p>
      <w:pPr>
        <w:spacing w:after="0" w:line="273" w:lineRule="auto"/>
        <w:sectPr>
          <w:type w:val="continuous"/>
          <w:pgSz w:w="11910" w:h="16840"/>
          <w:pgMar w:top="1120" w:bottom="1180" w:left="1280" w:right="1140"/>
          <w:cols w:num="2" w:equalWidth="0">
            <w:col w:w="1847" w:space="40"/>
            <w:col w:w="7603"/>
          </w:cols>
        </w:sectPr>
      </w:pPr>
    </w:p>
    <w:p>
      <w:pPr>
        <w:pStyle w:val="BodyText"/>
        <w:spacing w:before="0"/>
        <w:rPr>
          <w:sz w:val="13"/>
        </w:rPr>
      </w:pPr>
    </w:p>
    <w:p>
      <w:pPr>
        <w:spacing w:after="0"/>
        <w:rPr>
          <w:sz w:val="13"/>
        </w:rPr>
        <w:sectPr>
          <w:type w:val="continuous"/>
          <w:pgSz w:w="11910" w:h="16840"/>
          <w:pgMar w:top="1120" w:bottom="1180" w:left="1280" w:right="1140"/>
        </w:sectPr>
      </w:pPr>
    </w:p>
    <w:p>
      <w:pPr>
        <w:pStyle w:val="ListParagraph"/>
        <w:numPr>
          <w:ilvl w:val="2"/>
          <w:numId w:val="9"/>
        </w:numPr>
        <w:tabs>
          <w:tab w:pos="1635" w:val="left" w:leader="none"/>
          <w:tab w:pos="1636" w:val="left" w:leader="none"/>
        </w:tabs>
        <w:spacing w:line="273" w:lineRule="auto" w:before="36" w:after="0"/>
        <w:ind w:left="783" w:right="0" w:firstLine="0"/>
        <w:jc w:val="left"/>
        <w:rPr>
          <w:sz w:val="21"/>
        </w:rPr>
      </w:pPr>
      <w:r>
        <w:rPr>
          <w:sz w:val="21"/>
        </w:rPr>
        <w:t>双目失明</w:t>
      </w:r>
    </w:p>
    <w:p>
      <w:pPr>
        <w:pStyle w:val="BodyText"/>
        <w:spacing w:line="273" w:lineRule="auto" w:before="36"/>
        <w:ind w:left="175" w:right="220" w:firstLine="420"/>
      </w:pPr>
      <w:r>
        <w:rPr/>
        <w:br w:type="column"/>
      </w:r>
      <w:r>
        <w:rPr/>
        <w:t>指因疾病或意外伤害导致双眼视力永久不可逆性丧失，双眼中较好眼须满足下列至少一项条件：</w:t>
      </w:r>
    </w:p>
    <w:p>
      <w:pPr>
        <w:pStyle w:val="BodyText"/>
        <w:spacing w:before="7"/>
        <w:ind w:left="595"/>
      </w:pPr>
      <w:r>
        <w:rPr/>
        <w:t>（1）眼球缺失或摘除；</w:t>
      </w:r>
    </w:p>
    <w:p>
      <w:pPr>
        <w:pStyle w:val="BodyText"/>
        <w:spacing w:line="273" w:lineRule="auto"/>
        <w:ind w:left="175" w:right="220" w:firstLine="420"/>
      </w:pPr>
      <w:r>
        <w:rPr/>
        <w:t>（2）</w:t>
      </w:r>
      <w:r>
        <w:rPr>
          <w:spacing w:val="5"/>
        </w:rPr>
        <w:t>矫正视力低于 </w:t>
      </w:r>
      <w:r>
        <w:rPr/>
        <w:t>0.02（采用国际标准视力表，如使用其他视力表应进</w:t>
      </w:r>
      <w:r>
        <w:rPr>
          <w:spacing w:val="-1"/>
          <w:w w:val="100"/>
        </w:rPr>
        <w:t>行换算</w:t>
      </w:r>
      <w:r>
        <w:rPr>
          <w:spacing w:val="-106"/>
          <w:w w:val="100"/>
        </w:rPr>
        <w:t>）</w:t>
      </w:r>
      <w:r>
        <w:rPr>
          <w:w w:val="100"/>
        </w:rPr>
        <w:t>；</w:t>
      </w:r>
    </w:p>
    <w:p>
      <w:pPr>
        <w:pStyle w:val="BodyText"/>
        <w:spacing w:before="8"/>
        <w:ind w:left="595"/>
      </w:pPr>
      <w:r>
        <w:rPr/>
        <w:t>（3）视野半径小于 5 度。</w:t>
      </w:r>
    </w:p>
    <w:p>
      <w:pPr>
        <w:pStyle w:val="BodyText"/>
        <w:spacing w:line="273" w:lineRule="auto"/>
        <w:ind w:left="175" w:right="112" w:firstLine="422"/>
      </w:pPr>
      <w:r>
        <w:rPr>
          <w:spacing w:val="-8"/>
        </w:rPr>
        <w:t>除眼球缺失或摘除等情形外，被保险人申请理赔时年龄必须在三周岁以上， 并且提供理赔当时的视力丧失诊断及检查证据。</w:t>
      </w:r>
    </w:p>
    <w:p>
      <w:pPr>
        <w:spacing w:after="0" w:line="273" w:lineRule="auto"/>
        <w:sectPr>
          <w:type w:val="continuous"/>
          <w:pgSz w:w="11910" w:h="16840"/>
          <w:pgMar w:top="1120" w:bottom="1180" w:left="1280" w:right="1140"/>
          <w:cols w:num="2" w:equalWidth="0">
            <w:col w:w="1847" w:space="40"/>
            <w:col w:w="7603"/>
          </w:cols>
        </w:sectPr>
      </w:pPr>
    </w:p>
    <w:p>
      <w:pPr>
        <w:pStyle w:val="BodyText"/>
        <w:spacing w:before="0"/>
        <w:rPr>
          <w:sz w:val="13"/>
        </w:rPr>
      </w:pPr>
    </w:p>
    <w:p>
      <w:pPr>
        <w:spacing w:after="0"/>
        <w:rPr>
          <w:sz w:val="13"/>
        </w:rPr>
        <w:sectPr>
          <w:type w:val="continuous"/>
          <w:pgSz w:w="11910" w:h="16840"/>
          <w:pgMar w:top="1120" w:bottom="1180" w:left="1280" w:right="1140"/>
        </w:sectPr>
      </w:pPr>
    </w:p>
    <w:p>
      <w:pPr>
        <w:pStyle w:val="ListParagraph"/>
        <w:numPr>
          <w:ilvl w:val="2"/>
          <w:numId w:val="9"/>
        </w:numPr>
        <w:tabs>
          <w:tab w:pos="1635" w:val="left" w:leader="none"/>
          <w:tab w:pos="1636" w:val="left" w:leader="none"/>
        </w:tabs>
        <w:spacing w:line="273" w:lineRule="auto" w:before="36" w:after="0"/>
        <w:ind w:left="783" w:right="0" w:firstLine="0"/>
        <w:jc w:val="left"/>
        <w:rPr>
          <w:sz w:val="21"/>
        </w:rPr>
      </w:pPr>
      <w:r>
        <w:rPr>
          <w:sz w:val="21"/>
        </w:rPr>
        <w:t>瘫痪</w:t>
      </w:r>
    </w:p>
    <w:p>
      <w:pPr>
        <w:pStyle w:val="BodyText"/>
        <w:spacing w:before="36"/>
        <w:ind w:left="595"/>
      </w:pPr>
      <w:r>
        <w:rPr/>
        <w:br w:type="column"/>
      </w:r>
      <w:r>
        <w:rPr/>
        <w:t>指因疾病或意外伤害导致两肢或两肢以上肢体机能永久完全丧失。</w:t>
      </w:r>
    </w:p>
    <w:p>
      <w:pPr>
        <w:pStyle w:val="BodyText"/>
        <w:spacing w:line="273" w:lineRule="auto" w:before="36"/>
        <w:ind w:left="175" w:right="218" w:firstLine="420"/>
      </w:pPr>
      <w:r>
        <w:rPr>
          <w:spacing w:val="-5"/>
        </w:rPr>
        <w:t>肢体机能永久完全丧失，指疾病确诊 </w:t>
      </w:r>
      <w:r>
        <w:rPr/>
        <w:t>180</w:t>
      </w:r>
      <w:r>
        <w:rPr>
          <w:spacing w:val="-10"/>
        </w:rPr>
        <w:t> 天后或意外伤害发生 </w:t>
      </w:r>
      <w:r>
        <w:rPr/>
        <w:t>180</w:t>
      </w:r>
      <w:r>
        <w:rPr>
          <w:spacing w:val="-10"/>
        </w:rPr>
        <w:t> 天后， </w:t>
      </w:r>
      <w:r>
        <w:rPr>
          <w:spacing w:val="-5"/>
        </w:rPr>
        <w:t>每肢三大关节中的两大关节仍然完全僵硬，或不能随意识活动。</w:t>
      </w:r>
    </w:p>
    <w:p>
      <w:pPr>
        <w:spacing w:after="0" w:line="273" w:lineRule="auto"/>
        <w:sectPr>
          <w:type w:val="continuous"/>
          <w:pgSz w:w="11910" w:h="16840"/>
          <w:pgMar w:top="1120" w:bottom="1180" w:left="1280" w:right="1140"/>
          <w:cols w:num="2" w:equalWidth="0">
            <w:col w:w="1847" w:space="40"/>
            <w:col w:w="7603"/>
          </w:cols>
        </w:sectPr>
      </w:pPr>
    </w:p>
    <w:p>
      <w:pPr>
        <w:pStyle w:val="BodyText"/>
        <w:spacing w:before="7"/>
        <w:rPr>
          <w:sz w:val="11"/>
        </w:rPr>
      </w:pPr>
    </w:p>
    <w:p>
      <w:pPr>
        <w:spacing w:after="0"/>
        <w:rPr>
          <w:sz w:val="11"/>
        </w:rPr>
        <w:sectPr>
          <w:type w:val="continuous"/>
          <w:pgSz w:w="11910" w:h="16840"/>
          <w:pgMar w:top="1120" w:bottom="1180" w:left="1280" w:right="1140"/>
        </w:sectPr>
      </w:pPr>
    </w:p>
    <w:p>
      <w:pPr>
        <w:pStyle w:val="ListParagraph"/>
        <w:numPr>
          <w:ilvl w:val="2"/>
          <w:numId w:val="9"/>
        </w:numPr>
        <w:tabs>
          <w:tab w:pos="1635" w:val="left" w:leader="none"/>
          <w:tab w:pos="1636" w:val="left" w:leader="none"/>
        </w:tabs>
        <w:spacing w:line="273" w:lineRule="auto" w:before="58" w:after="0"/>
        <w:ind w:left="783" w:right="0" w:firstLine="0"/>
        <w:jc w:val="left"/>
        <w:rPr>
          <w:sz w:val="21"/>
        </w:rPr>
      </w:pPr>
      <w:r>
        <w:rPr>
          <w:sz w:val="21"/>
        </w:rPr>
        <w:t>心脏瓣膜手术</w:t>
      </w:r>
    </w:p>
    <w:p>
      <w:pPr>
        <w:pStyle w:val="BodyText"/>
        <w:spacing w:line="237" w:lineRule="auto" w:before="39"/>
        <w:ind w:left="175" w:right="220" w:firstLine="420"/>
      </w:pPr>
      <w:r>
        <w:rPr/>
        <w:br w:type="column"/>
      </w:r>
      <w:r>
        <w:rPr/>
        <w:t>指为治疗心脏瓣膜疾病，实际实施了开胸进行的心脏瓣膜置换或修复的手术。</w:t>
      </w:r>
    </w:p>
    <w:p>
      <w:pPr>
        <w:spacing w:after="0" w:line="237" w:lineRule="auto"/>
        <w:sectPr>
          <w:type w:val="continuous"/>
          <w:pgSz w:w="11910" w:h="16840"/>
          <w:pgMar w:top="1120" w:bottom="1180" w:left="1280" w:right="1140"/>
          <w:cols w:num="2" w:equalWidth="0">
            <w:col w:w="1847" w:space="40"/>
            <w:col w:w="7603"/>
          </w:cols>
        </w:sectPr>
      </w:pPr>
    </w:p>
    <w:p>
      <w:pPr>
        <w:pStyle w:val="BodyText"/>
        <w:spacing w:before="0"/>
        <w:rPr>
          <w:sz w:val="13"/>
        </w:rPr>
      </w:pPr>
    </w:p>
    <w:p>
      <w:pPr>
        <w:spacing w:after="0"/>
        <w:rPr>
          <w:sz w:val="13"/>
        </w:rPr>
        <w:sectPr>
          <w:type w:val="continuous"/>
          <w:pgSz w:w="11910" w:h="16840"/>
          <w:pgMar w:top="1120" w:bottom="1180" w:left="1280" w:right="1140"/>
        </w:sectPr>
      </w:pPr>
    </w:p>
    <w:p>
      <w:pPr>
        <w:pStyle w:val="ListParagraph"/>
        <w:numPr>
          <w:ilvl w:val="2"/>
          <w:numId w:val="9"/>
        </w:numPr>
        <w:tabs>
          <w:tab w:pos="1636" w:val="left" w:leader="none"/>
        </w:tabs>
        <w:spacing w:line="273" w:lineRule="auto" w:before="37" w:after="0"/>
        <w:ind w:left="783" w:right="0" w:firstLine="0"/>
        <w:jc w:val="both"/>
        <w:rPr>
          <w:sz w:val="21"/>
        </w:rPr>
      </w:pPr>
      <w:r>
        <w:rPr>
          <w:sz w:val="21"/>
        </w:rPr>
        <w:t>严重阿尔茨海默病</w:t>
      </w:r>
    </w:p>
    <w:p>
      <w:pPr>
        <w:pStyle w:val="BodyText"/>
        <w:spacing w:line="273" w:lineRule="auto"/>
        <w:ind w:left="173" w:right="215" w:firstLine="420"/>
        <w:jc w:val="both"/>
      </w:pPr>
      <w:r>
        <w:rPr/>
        <w:br w:type="column"/>
      </w:r>
      <w:r>
        <w:rPr/>
        <w:t>指因大脑进行性、不可逆性改变导致智能严重衰退或丧失，临床表现为明显的认知能力障碍、行为异常和社交能力减退，其日常生活必须持续受到他人</w:t>
      </w:r>
      <w:r>
        <w:rPr>
          <w:w w:val="100"/>
        </w:rPr>
        <w:t>监护。须由头颅断层扫描</w:t>
      </w:r>
      <w:r>
        <w:rPr>
          <w:spacing w:val="1"/>
          <w:w w:val="100"/>
        </w:rPr>
        <w:t>（</w:t>
      </w:r>
      <w:r>
        <w:rPr>
          <w:w w:val="100"/>
        </w:rPr>
        <w:t>CT</w:t>
      </w:r>
      <w:r>
        <w:rPr>
          <w:spacing w:val="-106"/>
          <w:w w:val="100"/>
        </w:rPr>
        <w:t>）</w:t>
      </w:r>
      <w:r>
        <w:rPr>
          <w:w w:val="100"/>
        </w:rPr>
        <w:t>、核磁共振检查</w:t>
      </w:r>
      <w:r>
        <w:rPr>
          <w:spacing w:val="1"/>
          <w:w w:val="100"/>
        </w:rPr>
        <w:t>（</w:t>
      </w:r>
      <w:r>
        <w:rPr>
          <w:w w:val="100"/>
        </w:rPr>
        <w:t>M</w:t>
      </w:r>
      <w:r>
        <w:rPr>
          <w:spacing w:val="-3"/>
          <w:w w:val="100"/>
        </w:rPr>
        <w:t>R</w:t>
      </w:r>
      <w:r>
        <w:rPr>
          <w:spacing w:val="1"/>
          <w:w w:val="100"/>
        </w:rPr>
        <w:t>I</w:t>
      </w:r>
      <w:r>
        <w:rPr>
          <w:w w:val="100"/>
        </w:rPr>
        <w:t>）或正电子发射断层扫描</w:t>
      </w:r>
    </w:p>
    <w:p>
      <w:pPr>
        <w:pStyle w:val="BodyText"/>
        <w:spacing w:line="273" w:lineRule="auto" w:before="7"/>
        <w:ind w:left="173" w:right="180"/>
      </w:pPr>
      <w:r>
        <w:rPr/>
        <w:t>（PET）等影像学检查证实，且自主生活能力完全丧失，无法独立完成六项基本日常生活活动中的三项或三项以上。</w:t>
      </w:r>
    </w:p>
    <w:p>
      <w:pPr>
        <w:pStyle w:val="BodyText"/>
        <w:spacing w:line="261" w:lineRule="exact" w:before="0"/>
        <w:ind w:left="596"/>
      </w:pPr>
      <w:r>
        <w:rPr/>
        <w:t>神经官能症和精神疾病不在保障范围内。</w:t>
      </w:r>
    </w:p>
    <w:p>
      <w:pPr>
        <w:spacing w:after="0" w:line="261" w:lineRule="exact"/>
        <w:sectPr>
          <w:type w:val="continuous"/>
          <w:pgSz w:w="11910" w:h="16840"/>
          <w:pgMar w:top="1120" w:bottom="1180" w:left="1280" w:right="1140"/>
          <w:cols w:num="2" w:equalWidth="0">
            <w:col w:w="1850" w:space="40"/>
            <w:col w:w="7600"/>
          </w:cols>
        </w:sectPr>
      </w:pPr>
    </w:p>
    <w:p>
      <w:pPr>
        <w:pStyle w:val="BodyText"/>
        <w:spacing w:before="0"/>
        <w:rPr>
          <w:sz w:val="14"/>
        </w:rPr>
      </w:pPr>
    </w:p>
    <w:p>
      <w:pPr>
        <w:spacing w:after="0"/>
        <w:rPr>
          <w:sz w:val="14"/>
        </w:rPr>
        <w:sectPr>
          <w:type w:val="continuous"/>
          <w:pgSz w:w="11910" w:h="16840"/>
          <w:pgMar w:top="1120" w:bottom="1180" w:left="1280" w:right="1140"/>
        </w:sectPr>
      </w:pPr>
    </w:p>
    <w:p>
      <w:pPr>
        <w:pStyle w:val="ListParagraph"/>
        <w:numPr>
          <w:ilvl w:val="2"/>
          <w:numId w:val="9"/>
        </w:numPr>
        <w:tabs>
          <w:tab w:pos="1635" w:val="left" w:leader="none"/>
          <w:tab w:pos="1636" w:val="left" w:leader="none"/>
        </w:tabs>
        <w:spacing w:line="273" w:lineRule="auto" w:before="37" w:after="0"/>
        <w:ind w:left="783" w:right="0" w:firstLine="0"/>
        <w:jc w:val="left"/>
        <w:rPr>
          <w:sz w:val="21"/>
        </w:rPr>
      </w:pPr>
      <w:r>
        <w:rPr>
          <w:sz w:val="21"/>
        </w:rPr>
        <w:t>严重脑损伤</w:t>
      </w:r>
    </w:p>
    <w:p>
      <w:pPr>
        <w:pStyle w:val="BodyText"/>
        <w:spacing w:line="273" w:lineRule="auto"/>
        <w:ind w:left="175" w:right="218" w:firstLine="420"/>
        <w:jc w:val="both"/>
      </w:pPr>
      <w:r>
        <w:rPr/>
        <w:br w:type="column"/>
      </w:r>
      <w:r>
        <w:rPr/>
        <w:t>指因头部遭受机械性外力，引起脑重要部位损伤，导致神经系统永久性的</w:t>
      </w:r>
      <w:r>
        <w:rPr>
          <w:w w:val="100"/>
        </w:rPr>
        <w:t>功能障碍。须由头颅断层扫描</w:t>
      </w:r>
      <w:r>
        <w:rPr>
          <w:spacing w:val="1"/>
          <w:w w:val="100"/>
        </w:rPr>
        <w:t>（</w:t>
      </w:r>
      <w:r>
        <w:rPr>
          <w:spacing w:val="-3"/>
          <w:w w:val="100"/>
        </w:rPr>
        <w:t>C</w:t>
      </w:r>
      <w:r>
        <w:rPr>
          <w:spacing w:val="1"/>
          <w:w w:val="100"/>
        </w:rPr>
        <w:t>T</w:t>
      </w:r>
      <w:r>
        <w:rPr>
          <w:spacing w:val="-106"/>
          <w:w w:val="100"/>
        </w:rPr>
        <w:t>）</w:t>
      </w:r>
      <w:r>
        <w:rPr>
          <w:w w:val="100"/>
        </w:rPr>
        <w:t>、核磁共振检查</w:t>
      </w:r>
      <w:r>
        <w:rPr>
          <w:spacing w:val="1"/>
          <w:w w:val="100"/>
        </w:rPr>
        <w:t>（</w:t>
      </w:r>
      <w:r>
        <w:rPr>
          <w:w w:val="100"/>
        </w:rPr>
        <w:t>M</w:t>
      </w:r>
      <w:r>
        <w:rPr>
          <w:spacing w:val="-3"/>
          <w:w w:val="100"/>
        </w:rPr>
        <w:t>R</w:t>
      </w:r>
      <w:r>
        <w:rPr>
          <w:spacing w:val="1"/>
          <w:w w:val="100"/>
        </w:rPr>
        <w:t>I</w:t>
      </w:r>
      <w:r>
        <w:rPr>
          <w:w w:val="100"/>
        </w:rPr>
        <w:t>）或正电子发射断层</w:t>
      </w:r>
      <w:r>
        <w:rPr>
          <w:spacing w:val="-6"/>
        </w:rPr>
        <w:t>扫描</w:t>
      </w:r>
      <w:r>
        <w:rPr>
          <w:spacing w:val="-4"/>
        </w:rPr>
        <w:t>（PET）</w:t>
      </w:r>
      <w:r>
        <w:rPr>
          <w:spacing w:val="-8"/>
        </w:rPr>
        <w:t>等影像学检查证实。神经系统永久性的功能障碍，指脑损伤 </w:t>
      </w:r>
      <w:r>
        <w:rPr/>
        <w:t>180</w:t>
      </w:r>
      <w:r>
        <w:rPr>
          <w:spacing w:val="-18"/>
        </w:rPr>
        <w:t> 天</w:t>
      </w:r>
    </w:p>
    <w:p>
      <w:pPr>
        <w:spacing w:after="0" w:line="273" w:lineRule="auto"/>
        <w:jc w:val="both"/>
        <w:sectPr>
          <w:type w:val="continuous"/>
          <w:pgSz w:w="11910" w:h="16840"/>
          <w:pgMar w:top="1120" w:bottom="1180" w:left="1280" w:right="1140"/>
          <w:cols w:num="2" w:equalWidth="0">
            <w:col w:w="1847" w:space="40"/>
            <w:col w:w="7603"/>
          </w:cols>
        </w:sectPr>
      </w:pPr>
    </w:p>
    <w:p>
      <w:pPr>
        <w:pStyle w:val="BodyText"/>
        <w:spacing w:before="2"/>
        <w:rPr>
          <w:sz w:val="19"/>
        </w:rPr>
      </w:pPr>
    </w:p>
    <w:p>
      <w:pPr>
        <w:pStyle w:val="BodyText"/>
        <w:ind w:left="2062"/>
      </w:pPr>
      <w:r>
        <w:rPr/>
        <w:t>后，仍遗留下列一种或一种以上障碍：</w:t>
      </w:r>
    </w:p>
    <w:p>
      <w:pPr>
        <w:pStyle w:val="BodyText"/>
        <w:ind w:left="2482"/>
      </w:pPr>
      <w:r>
        <w:rPr/>
        <w:t>（1）一肢或一肢以上肢体机能完全丧失；</w:t>
      </w:r>
    </w:p>
    <w:p>
      <w:pPr>
        <w:pStyle w:val="BodyText"/>
        <w:ind w:left="2482"/>
      </w:pPr>
      <w:r>
        <w:rPr/>
        <w:t>（2）语言能力或咀嚼吞咽能力完全丧失；</w:t>
      </w:r>
    </w:p>
    <w:p>
      <w:pPr>
        <w:pStyle w:val="BodyText"/>
        <w:spacing w:line="237" w:lineRule="auto" w:before="18"/>
        <w:ind w:left="2062" w:right="165" w:firstLine="420"/>
      </w:pPr>
      <w:r>
        <w:rPr/>
        <w:t>（3）自主生活能力完全丧失，无法独立完成六项基本日常生活活动中的三项或三项以上。</w:t>
      </w:r>
    </w:p>
    <w:p>
      <w:pPr>
        <w:pStyle w:val="BodyText"/>
        <w:spacing w:before="12"/>
        <w:rPr>
          <w:sz w:val="13"/>
        </w:rPr>
      </w:pPr>
    </w:p>
    <w:p>
      <w:pPr>
        <w:spacing w:after="0"/>
        <w:rPr>
          <w:sz w:val="13"/>
        </w:rPr>
        <w:sectPr>
          <w:pgSz w:w="11910" w:h="16840"/>
          <w:pgMar w:header="879" w:footer="999" w:top="1120" w:bottom="1180" w:left="1280" w:right="1140"/>
        </w:sectPr>
      </w:pPr>
    </w:p>
    <w:p>
      <w:pPr>
        <w:pStyle w:val="ListParagraph"/>
        <w:numPr>
          <w:ilvl w:val="2"/>
          <w:numId w:val="9"/>
        </w:numPr>
        <w:tabs>
          <w:tab w:pos="1635" w:val="left" w:leader="none"/>
          <w:tab w:pos="1636" w:val="left" w:leader="none"/>
        </w:tabs>
        <w:spacing w:line="273" w:lineRule="auto" w:before="37" w:after="0"/>
        <w:ind w:left="783" w:right="0" w:firstLine="0"/>
        <w:jc w:val="left"/>
        <w:rPr>
          <w:sz w:val="21"/>
        </w:rPr>
      </w:pPr>
      <w:r>
        <w:rPr>
          <w:sz w:val="21"/>
        </w:rPr>
        <w:t>严重帕金森病</w:t>
      </w:r>
    </w:p>
    <w:p>
      <w:pPr>
        <w:pStyle w:val="BodyText"/>
        <w:spacing w:line="273" w:lineRule="auto"/>
        <w:ind w:left="175" w:right="220" w:firstLine="420"/>
      </w:pPr>
      <w:r>
        <w:rPr/>
        <w:br w:type="column"/>
      </w:r>
      <w:r>
        <w:rPr/>
        <w:t>是一种中枢神经系统的退行性疾病，临床表现为震颤麻痹、共济失调等。须满足下列全部条件：</w:t>
      </w:r>
    </w:p>
    <w:p>
      <w:pPr>
        <w:pStyle w:val="BodyText"/>
        <w:spacing w:before="7"/>
        <w:ind w:left="595"/>
      </w:pPr>
      <w:r>
        <w:rPr/>
        <w:t>（1）药物治疗无法控制病情；</w:t>
      </w:r>
    </w:p>
    <w:p>
      <w:pPr>
        <w:pStyle w:val="BodyText"/>
        <w:spacing w:line="273" w:lineRule="auto" w:before="36"/>
        <w:ind w:left="175" w:right="165" w:firstLine="420"/>
      </w:pPr>
      <w:r>
        <w:rPr/>
        <w:t>（2）自主生活能力完全丧失，无法独立完成六项基本日常生活活动中的三项或三项以上。</w:t>
      </w:r>
    </w:p>
    <w:p>
      <w:pPr>
        <w:pStyle w:val="BodyText"/>
        <w:spacing w:line="261" w:lineRule="exact" w:before="0"/>
        <w:ind w:left="598"/>
      </w:pPr>
      <w:r>
        <w:rPr/>
        <w:t>继发性帕金森综合征不在保障范围内。</w:t>
      </w:r>
    </w:p>
    <w:p>
      <w:pPr>
        <w:spacing w:after="0" w:line="261" w:lineRule="exact"/>
        <w:sectPr>
          <w:type w:val="continuous"/>
          <w:pgSz w:w="11910" w:h="16840"/>
          <w:pgMar w:top="1120" w:bottom="1180" w:left="1280" w:right="1140"/>
          <w:cols w:num="2" w:equalWidth="0">
            <w:col w:w="1847" w:space="40"/>
            <w:col w:w="7603"/>
          </w:cols>
        </w:sectPr>
      </w:pPr>
    </w:p>
    <w:p>
      <w:pPr>
        <w:pStyle w:val="BodyText"/>
        <w:spacing w:before="0"/>
        <w:rPr>
          <w:sz w:val="14"/>
        </w:rPr>
      </w:pPr>
    </w:p>
    <w:p>
      <w:pPr>
        <w:spacing w:after="0"/>
        <w:rPr>
          <w:sz w:val="14"/>
        </w:rPr>
        <w:sectPr>
          <w:type w:val="continuous"/>
          <w:pgSz w:w="11910" w:h="16840"/>
          <w:pgMar w:top="1120" w:bottom="1180" w:left="1280" w:right="1140"/>
        </w:sectPr>
      </w:pPr>
    </w:p>
    <w:p>
      <w:pPr>
        <w:pStyle w:val="ListParagraph"/>
        <w:numPr>
          <w:ilvl w:val="2"/>
          <w:numId w:val="9"/>
        </w:numPr>
        <w:tabs>
          <w:tab w:pos="1635" w:val="left" w:leader="none"/>
          <w:tab w:pos="1636" w:val="left" w:leader="none"/>
        </w:tabs>
        <w:spacing w:line="273" w:lineRule="auto" w:before="37" w:after="0"/>
        <w:ind w:left="783" w:right="0" w:firstLine="0"/>
        <w:jc w:val="left"/>
        <w:rPr>
          <w:sz w:val="21"/>
        </w:rPr>
      </w:pPr>
      <w:r>
        <w:rPr>
          <w:sz w:val="21"/>
        </w:rPr>
        <w:t>严重Ⅲ度烧伤</w:t>
      </w:r>
    </w:p>
    <w:p>
      <w:pPr>
        <w:pStyle w:val="BodyText"/>
        <w:spacing w:line="273" w:lineRule="auto"/>
        <w:ind w:left="175" w:right="112" w:firstLine="420"/>
      </w:pPr>
      <w:r>
        <w:rPr/>
        <w:br w:type="column"/>
      </w:r>
      <w:r>
        <w:rPr>
          <w:spacing w:val="-11"/>
        </w:rPr>
        <w:t>指烧伤程度为Ⅲ度，且Ⅲ度烧伤的面积达到全身体表面积的</w:t>
      </w:r>
      <w:r>
        <w:rPr/>
        <w:t>20</w:t>
      </w:r>
      <w:r>
        <w:rPr>
          <w:spacing w:val="12"/>
        </w:rPr>
        <w:t>%或</w:t>
      </w:r>
      <w:r>
        <w:rPr/>
        <w:t>20</w:t>
      </w:r>
      <w:r>
        <w:rPr>
          <w:spacing w:val="-2"/>
        </w:rPr>
        <w:t>%以上。</w:t>
      </w:r>
      <w:r>
        <w:rPr>
          <w:spacing w:val="-3"/>
        </w:rPr>
        <w:t>体表面积根据《中国新九分法》计算。</w:t>
      </w:r>
    </w:p>
    <w:p>
      <w:pPr>
        <w:spacing w:after="0" w:line="273" w:lineRule="auto"/>
        <w:sectPr>
          <w:type w:val="continuous"/>
          <w:pgSz w:w="11910" w:h="16840"/>
          <w:pgMar w:top="1120" w:bottom="1180" w:left="1280" w:right="1140"/>
          <w:cols w:num="2" w:equalWidth="0">
            <w:col w:w="1847" w:space="40"/>
            <w:col w:w="7603"/>
          </w:cols>
        </w:sectPr>
      </w:pPr>
    </w:p>
    <w:p>
      <w:pPr>
        <w:pStyle w:val="BodyText"/>
        <w:spacing w:before="0"/>
        <w:rPr>
          <w:sz w:val="13"/>
        </w:rPr>
      </w:pPr>
    </w:p>
    <w:p>
      <w:pPr>
        <w:spacing w:after="0"/>
        <w:rPr>
          <w:sz w:val="13"/>
        </w:rPr>
        <w:sectPr>
          <w:type w:val="continuous"/>
          <w:pgSz w:w="11910" w:h="16840"/>
          <w:pgMar w:top="1120" w:bottom="1180" w:left="1280" w:right="1140"/>
        </w:sectPr>
      </w:pPr>
    </w:p>
    <w:p>
      <w:pPr>
        <w:pStyle w:val="ListParagraph"/>
        <w:numPr>
          <w:ilvl w:val="2"/>
          <w:numId w:val="9"/>
        </w:numPr>
        <w:tabs>
          <w:tab w:pos="1636" w:val="left" w:leader="none"/>
        </w:tabs>
        <w:spacing w:line="273" w:lineRule="auto" w:before="37" w:after="0"/>
        <w:ind w:left="783" w:right="0" w:firstLine="0"/>
        <w:jc w:val="both"/>
        <w:rPr>
          <w:sz w:val="21"/>
        </w:rPr>
      </w:pPr>
      <w:r>
        <w:rPr>
          <w:sz w:val="21"/>
        </w:rPr>
        <w:t>严重原发性肺动脉高压</w:t>
      </w:r>
    </w:p>
    <w:p>
      <w:pPr>
        <w:pStyle w:val="BodyText"/>
        <w:spacing w:line="273" w:lineRule="auto"/>
        <w:ind w:left="173" w:right="218" w:firstLine="420"/>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spacing w:after="0" w:line="273" w:lineRule="auto"/>
        <w:jc w:val="both"/>
        <w:sectPr>
          <w:type w:val="continuous"/>
          <w:pgSz w:w="11910" w:h="16840"/>
          <w:pgMar w:top="1120" w:bottom="1180" w:left="1280" w:right="1140"/>
          <w:cols w:num="2" w:equalWidth="0">
            <w:col w:w="1850" w:space="40"/>
            <w:col w:w="7600"/>
          </w:cols>
        </w:sectPr>
      </w:pPr>
    </w:p>
    <w:p>
      <w:pPr>
        <w:pStyle w:val="BodyText"/>
        <w:spacing w:before="2"/>
        <w:rPr>
          <w:sz w:val="13"/>
        </w:rPr>
      </w:pPr>
    </w:p>
    <w:p>
      <w:pPr>
        <w:spacing w:after="0"/>
        <w:rPr>
          <w:sz w:val="13"/>
        </w:rPr>
        <w:sectPr>
          <w:type w:val="continuous"/>
          <w:pgSz w:w="11910" w:h="16840"/>
          <w:pgMar w:top="1120" w:bottom="1180" w:left="1280" w:right="1140"/>
        </w:sectPr>
      </w:pPr>
    </w:p>
    <w:p>
      <w:pPr>
        <w:pStyle w:val="ListParagraph"/>
        <w:numPr>
          <w:ilvl w:val="2"/>
          <w:numId w:val="9"/>
        </w:numPr>
        <w:tabs>
          <w:tab w:pos="1636" w:val="left" w:leader="none"/>
        </w:tabs>
        <w:spacing w:line="273" w:lineRule="auto" w:before="37" w:after="0"/>
        <w:ind w:left="783" w:right="0" w:firstLine="0"/>
        <w:jc w:val="both"/>
        <w:rPr>
          <w:sz w:val="21"/>
        </w:rPr>
      </w:pPr>
      <w:r>
        <w:rPr>
          <w:sz w:val="21"/>
        </w:rPr>
        <w:t>严重运动神经元病</w:t>
      </w:r>
    </w:p>
    <w:p>
      <w:pPr>
        <w:pStyle w:val="BodyText"/>
        <w:spacing w:line="273" w:lineRule="auto"/>
        <w:ind w:left="173" w:right="218" w:firstLine="420"/>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3" w:lineRule="auto"/>
        <w:jc w:val="both"/>
        <w:sectPr>
          <w:type w:val="continuous"/>
          <w:pgSz w:w="11910" w:h="16840"/>
          <w:pgMar w:top="1120" w:bottom="1180" w:left="1280" w:right="1140"/>
          <w:cols w:num="2" w:equalWidth="0">
            <w:col w:w="1850" w:space="40"/>
            <w:col w:w="7600"/>
          </w:cols>
        </w:sectPr>
      </w:pPr>
    </w:p>
    <w:p>
      <w:pPr>
        <w:pStyle w:val="BodyText"/>
        <w:spacing w:before="0"/>
        <w:rPr>
          <w:sz w:val="13"/>
        </w:rPr>
      </w:pPr>
    </w:p>
    <w:p>
      <w:pPr>
        <w:spacing w:after="0"/>
        <w:rPr>
          <w:sz w:val="13"/>
        </w:rPr>
        <w:sectPr>
          <w:type w:val="continuous"/>
          <w:pgSz w:w="11910" w:h="16840"/>
          <w:pgMar w:top="1120" w:bottom="1180" w:left="1280" w:right="1140"/>
        </w:sectPr>
      </w:pPr>
    </w:p>
    <w:p>
      <w:pPr>
        <w:pStyle w:val="ListParagraph"/>
        <w:numPr>
          <w:ilvl w:val="2"/>
          <w:numId w:val="9"/>
        </w:numPr>
        <w:tabs>
          <w:tab w:pos="1635" w:val="left" w:leader="none"/>
          <w:tab w:pos="1636" w:val="left" w:leader="none"/>
        </w:tabs>
        <w:spacing w:line="273" w:lineRule="auto" w:before="36" w:after="0"/>
        <w:ind w:left="783" w:right="0" w:firstLine="0"/>
        <w:jc w:val="left"/>
        <w:rPr>
          <w:sz w:val="21"/>
        </w:rPr>
      </w:pPr>
      <w:r>
        <w:rPr>
          <w:sz w:val="21"/>
        </w:rPr>
        <w:t>语言能力丧失</w:t>
      </w:r>
    </w:p>
    <w:p>
      <w:pPr>
        <w:pStyle w:val="BodyText"/>
        <w:spacing w:before="36"/>
        <w:ind w:left="595"/>
      </w:pPr>
      <w:r>
        <w:rPr/>
        <w:br w:type="column"/>
      </w:r>
      <w:r>
        <w:rPr/>
        <w:t>指因疾病或意外伤害导致完全丧失语言能力，经过积极治疗至少 12 个月</w:t>
      </w:r>
    </w:p>
    <w:p>
      <w:pPr>
        <w:pStyle w:val="BodyText"/>
        <w:spacing w:before="36"/>
        <w:ind w:left="175"/>
      </w:pPr>
      <w:r>
        <w:rPr>
          <w:w w:val="100"/>
        </w:rPr>
        <w:t>（</w:t>
      </w:r>
      <w:r>
        <w:rPr>
          <w:spacing w:val="-3"/>
          <w:w w:val="100"/>
        </w:rPr>
        <w:t>声带完全切除不受此时间限制</w:t>
      </w:r>
      <w:r>
        <w:rPr>
          <w:spacing w:val="-106"/>
          <w:w w:val="100"/>
        </w:rPr>
        <w:t>）</w:t>
      </w:r>
      <w:r>
        <w:rPr>
          <w:spacing w:val="-3"/>
          <w:w w:val="100"/>
        </w:rPr>
        <w:t>，仍无法通过现有医疗手段恢复。</w:t>
      </w:r>
    </w:p>
    <w:p>
      <w:pPr>
        <w:pStyle w:val="BodyText"/>
        <w:spacing w:line="273" w:lineRule="auto" w:before="36"/>
        <w:ind w:left="175" w:right="218" w:firstLine="422"/>
        <w:jc w:val="both"/>
      </w:pPr>
      <w:r>
        <w:rPr/>
        <w:t>除声带完全切除等情形外，被保险人申请理赔时年龄必须在三周岁以上， 并且提供理赔当时的语言能力丧失诊断及检查证据。精神心理因素所致的语言能力丧失不在保障范围内。</w:t>
      </w:r>
    </w:p>
    <w:p>
      <w:pPr>
        <w:spacing w:after="0" w:line="273" w:lineRule="auto"/>
        <w:jc w:val="both"/>
        <w:sectPr>
          <w:type w:val="continuous"/>
          <w:pgSz w:w="11910" w:h="16840"/>
          <w:pgMar w:top="1120" w:bottom="1180" w:left="1280" w:right="1140"/>
          <w:cols w:num="2" w:equalWidth="0">
            <w:col w:w="1847" w:space="40"/>
            <w:col w:w="7603"/>
          </w:cols>
        </w:sectPr>
      </w:pPr>
    </w:p>
    <w:p>
      <w:pPr>
        <w:pStyle w:val="BodyText"/>
        <w:spacing w:before="13"/>
        <w:rPr>
          <w:sz w:val="12"/>
        </w:rPr>
      </w:pPr>
    </w:p>
    <w:p>
      <w:pPr>
        <w:spacing w:after="0"/>
        <w:rPr>
          <w:sz w:val="12"/>
        </w:rPr>
        <w:sectPr>
          <w:type w:val="continuous"/>
          <w:pgSz w:w="11910" w:h="16840"/>
          <w:pgMar w:top="1120" w:bottom="1180" w:left="1280" w:right="1140"/>
        </w:sectPr>
      </w:pPr>
    </w:p>
    <w:p>
      <w:pPr>
        <w:pStyle w:val="ListParagraph"/>
        <w:numPr>
          <w:ilvl w:val="2"/>
          <w:numId w:val="9"/>
        </w:numPr>
        <w:tabs>
          <w:tab w:pos="1636" w:val="left" w:leader="none"/>
        </w:tabs>
        <w:spacing w:line="273" w:lineRule="auto" w:before="36" w:after="0"/>
        <w:ind w:left="783" w:right="0" w:firstLine="0"/>
        <w:jc w:val="both"/>
        <w:rPr>
          <w:sz w:val="21"/>
        </w:rPr>
      </w:pPr>
      <w:r>
        <w:rPr>
          <w:sz w:val="21"/>
        </w:rPr>
        <w:t>重型再生障碍性贫血</w:t>
      </w:r>
    </w:p>
    <w:p>
      <w:pPr>
        <w:pStyle w:val="BodyText"/>
        <w:spacing w:line="273" w:lineRule="auto" w:before="36"/>
        <w:ind w:left="173" w:right="220" w:firstLine="420"/>
      </w:pPr>
      <w:r>
        <w:rPr/>
        <w:br w:type="column"/>
      </w:r>
      <w:r>
        <w:rPr/>
        <w:t>指因骨髓造血功能慢性持续性衰竭导致的贫血、中性粒细胞减少及血小板减少。须满足下列全部条件：</w:t>
      </w:r>
    </w:p>
    <w:p>
      <w:pPr>
        <w:pStyle w:val="BodyText"/>
        <w:spacing w:before="7"/>
        <w:ind w:left="593"/>
      </w:pPr>
      <w:r>
        <w:rPr/>
        <w:t>（1）骨髓穿刺检查或骨髓活检结果支持诊断；</w:t>
      </w:r>
    </w:p>
    <w:p>
      <w:pPr>
        <w:pStyle w:val="BodyText"/>
        <w:spacing w:before="36"/>
        <w:ind w:left="593"/>
      </w:pPr>
      <w:r>
        <w:rPr/>
        <w:t>（2）外周血象须具备以下三项条件：</w:t>
      </w:r>
    </w:p>
    <w:p>
      <w:pPr>
        <w:pStyle w:val="BodyText"/>
        <w:spacing w:before="36"/>
        <w:ind w:left="1052"/>
      </w:pPr>
      <w:r>
        <w:rPr/>
        <w:t>① 中性粒细胞绝对值≤0.5×10</w:t>
      </w:r>
      <w:r>
        <w:rPr>
          <w:position w:val="11"/>
          <w:sz w:val="11"/>
        </w:rPr>
        <w:t>9</w:t>
      </w:r>
      <w:r>
        <w:rPr/>
        <w:t>/L；</w:t>
      </w:r>
    </w:p>
    <w:p>
      <w:pPr>
        <w:pStyle w:val="BodyText"/>
        <w:spacing w:before="36"/>
        <w:ind w:left="1052"/>
      </w:pPr>
      <w:r>
        <w:rPr/>
        <w:t>② 网织红细胞＜1%；</w:t>
      </w:r>
    </w:p>
    <w:p>
      <w:pPr>
        <w:pStyle w:val="BodyText"/>
        <w:spacing w:before="36"/>
        <w:ind w:left="1052"/>
      </w:pPr>
      <w:r>
        <w:rPr/>
        <w:t>③ 血小板绝对值≤20×10</w:t>
      </w:r>
      <w:r>
        <w:rPr>
          <w:position w:val="11"/>
          <w:sz w:val="11"/>
        </w:rPr>
        <w:t>9</w:t>
      </w:r>
      <w:r>
        <w:rPr/>
        <w:t>/L。</w:t>
      </w:r>
    </w:p>
    <w:p>
      <w:pPr>
        <w:spacing w:after="0"/>
        <w:sectPr>
          <w:type w:val="continuous"/>
          <w:pgSz w:w="11910" w:h="16840"/>
          <w:pgMar w:top="1120" w:bottom="1180" w:left="1280" w:right="1140"/>
          <w:cols w:num="2" w:equalWidth="0">
            <w:col w:w="1850" w:space="40"/>
            <w:col w:w="7600"/>
          </w:cols>
        </w:sectPr>
      </w:pPr>
    </w:p>
    <w:p>
      <w:pPr>
        <w:pStyle w:val="BodyText"/>
        <w:spacing w:before="5"/>
        <w:rPr>
          <w:sz w:val="15"/>
        </w:rPr>
      </w:pPr>
    </w:p>
    <w:p>
      <w:pPr>
        <w:spacing w:after="0"/>
        <w:rPr>
          <w:sz w:val="15"/>
        </w:rPr>
        <w:sectPr>
          <w:type w:val="continuous"/>
          <w:pgSz w:w="11910" w:h="16840"/>
          <w:pgMar w:top="1120" w:bottom="1180" w:left="1280" w:right="1140"/>
        </w:sectPr>
      </w:pPr>
    </w:p>
    <w:p>
      <w:pPr>
        <w:pStyle w:val="ListParagraph"/>
        <w:numPr>
          <w:ilvl w:val="2"/>
          <w:numId w:val="9"/>
        </w:numPr>
        <w:tabs>
          <w:tab w:pos="1635" w:val="left" w:leader="none"/>
          <w:tab w:pos="1636" w:val="left" w:leader="none"/>
        </w:tabs>
        <w:spacing w:line="273" w:lineRule="auto" w:before="37" w:after="0"/>
        <w:ind w:left="783" w:right="0" w:firstLine="0"/>
        <w:jc w:val="left"/>
        <w:rPr>
          <w:sz w:val="21"/>
        </w:rPr>
      </w:pPr>
      <w:r>
        <w:rPr>
          <w:sz w:val="21"/>
        </w:rPr>
        <w:t>主动脉手术</w:t>
      </w:r>
    </w:p>
    <w:p>
      <w:pPr>
        <w:pStyle w:val="BodyText"/>
        <w:spacing w:line="273" w:lineRule="auto"/>
        <w:ind w:left="175" w:right="218" w:firstLine="420"/>
        <w:jc w:val="both"/>
      </w:pPr>
      <w:r>
        <w:rPr/>
        <w:br w:type="column"/>
      </w:r>
      <w:r>
        <w:rPr/>
        <w:t>指为治疗主动脉疾病，实际实施了开胸或开腹进行的切除、置换、修补病损主动脉血管的手术。主动脉指胸主动脉和腹主动脉，不包括胸主动脉和腹主动脉的分支血管。</w:t>
      </w:r>
    </w:p>
    <w:p>
      <w:pPr>
        <w:pStyle w:val="BodyText"/>
        <w:spacing w:line="261" w:lineRule="exact" w:before="0"/>
        <w:ind w:left="598"/>
      </w:pPr>
      <w:r>
        <w:rPr/>
        <w:t>动脉内血管成形术不在保障范围内。</w:t>
      </w:r>
    </w:p>
    <w:p>
      <w:pPr>
        <w:spacing w:after="0" w:line="261" w:lineRule="exact"/>
        <w:sectPr>
          <w:type w:val="continuous"/>
          <w:pgSz w:w="11910" w:h="16840"/>
          <w:pgMar w:top="1120" w:bottom="1180" w:left="1280" w:right="1140"/>
          <w:cols w:num="2" w:equalWidth="0">
            <w:col w:w="1847" w:space="40"/>
            <w:col w:w="7603"/>
          </w:cols>
        </w:sectPr>
      </w:pPr>
    </w:p>
    <w:p>
      <w:pPr>
        <w:pStyle w:val="BodyText"/>
        <w:spacing w:before="10"/>
        <w:rPr>
          <w:sz w:val="13"/>
        </w:rPr>
      </w:pPr>
    </w:p>
    <w:p>
      <w:pPr>
        <w:spacing w:after="0"/>
        <w:rPr>
          <w:sz w:val="13"/>
        </w:rPr>
        <w:sectPr>
          <w:type w:val="continuous"/>
          <w:pgSz w:w="11910" w:h="16840"/>
          <w:pgMar w:top="1120" w:bottom="1180" w:left="1280" w:right="1140"/>
        </w:sectPr>
      </w:pPr>
    </w:p>
    <w:p>
      <w:pPr>
        <w:pStyle w:val="ListParagraph"/>
        <w:numPr>
          <w:ilvl w:val="2"/>
          <w:numId w:val="9"/>
        </w:numPr>
        <w:tabs>
          <w:tab w:pos="1636" w:val="left" w:leader="none"/>
        </w:tabs>
        <w:spacing w:line="273" w:lineRule="auto" w:before="37" w:after="0"/>
        <w:ind w:left="783" w:right="0" w:firstLine="0"/>
        <w:jc w:val="both"/>
        <w:rPr>
          <w:sz w:val="21"/>
        </w:rPr>
      </w:pPr>
      <w:r>
        <w:rPr>
          <w:sz w:val="21"/>
        </w:rPr>
        <w:t>严重多发性硬化</w:t>
      </w:r>
    </w:p>
    <w:p>
      <w:pPr>
        <w:pStyle w:val="BodyText"/>
        <w:spacing w:line="273" w:lineRule="auto"/>
        <w:ind w:left="173" w:right="172" w:firstLine="420"/>
        <w:jc w:val="both"/>
      </w:pPr>
      <w:r>
        <w:rPr/>
        <w:br w:type="column"/>
      </w:r>
      <w:r>
        <w:rPr/>
        <w:t>指中枢神经系统白质多灶性脱髓鞘病变，病变有时累及灰质。多发性硬化必须明确诊断并由断层扫描（CT）或核磁共振检查（MRI）等影像学检查证实， 而且已经造成永久不可逆的神经系统功能损害。</w:t>
      </w:r>
    </w:p>
    <w:p>
      <w:pPr>
        <w:pStyle w:val="BodyText"/>
        <w:spacing w:before="7"/>
        <w:ind w:left="593"/>
      </w:pPr>
      <w:r>
        <w:rPr/>
        <w:t>永久不可逆的神经系统损害，指被保险人持续 180 天无法独立完成下列基</w:t>
      </w:r>
    </w:p>
    <w:p>
      <w:pPr>
        <w:spacing w:after="0"/>
        <w:sectPr>
          <w:type w:val="continuous"/>
          <w:pgSz w:w="11910" w:h="16840"/>
          <w:pgMar w:top="1120" w:bottom="1180" w:left="1280" w:right="1140"/>
          <w:cols w:num="2" w:equalWidth="0">
            <w:col w:w="1850" w:space="40"/>
            <w:col w:w="7600"/>
          </w:cols>
        </w:sectPr>
      </w:pPr>
    </w:p>
    <w:p>
      <w:pPr>
        <w:pStyle w:val="BodyText"/>
        <w:spacing w:before="2"/>
        <w:rPr>
          <w:sz w:val="19"/>
        </w:rPr>
      </w:pPr>
    </w:p>
    <w:p>
      <w:pPr>
        <w:pStyle w:val="BodyText"/>
        <w:ind w:left="2062"/>
      </w:pPr>
      <w:r>
        <w:rPr/>
        <w:t>本日常生活活动：</w:t>
      </w:r>
    </w:p>
    <w:p>
      <w:pPr>
        <w:pStyle w:val="BodyText"/>
        <w:ind w:left="2482"/>
      </w:pPr>
      <w:r>
        <w:rPr/>
        <w:t>（1）移动：自己从一个房间到另一个房间；或者</w:t>
      </w:r>
    </w:p>
    <w:p>
      <w:pPr>
        <w:pStyle w:val="BodyText"/>
        <w:ind w:left="2482"/>
      </w:pPr>
      <w:r>
        <w:rPr/>
        <w:t>（2）进食：自己从已准备好的碗或碟中取食物放入口中。</w:t>
      </w:r>
    </w:p>
    <w:p>
      <w:pPr>
        <w:pStyle w:val="BodyText"/>
        <w:spacing w:before="3"/>
        <w:rPr>
          <w:sz w:val="15"/>
        </w:rPr>
      </w:pPr>
    </w:p>
    <w:p>
      <w:pPr>
        <w:spacing w:after="0"/>
        <w:rPr>
          <w:sz w:val="15"/>
        </w:rPr>
        <w:sectPr>
          <w:pgSz w:w="11910" w:h="16840"/>
          <w:pgMar w:header="879" w:footer="999" w:top="1120" w:bottom="1180" w:left="1280" w:right="1260"/>
        </w:sectPr>
      </w:pPr>
    </w:p>
    <w:p>
      <w:pPr>
        <w:pStyle w:val="ListParagraph"/>
        <w:numPr>
          <w:ilvl w:val="2"/>
          <w:numId w:val="9"/>
        </w:numPr>
        <w:tabs>
          <w:tab w:pos="1636" w:val="left" w:leader="none"/>
        </w:tabs>
        <w:spacing w:line="273" w:lineRule="auto" w:before="37" w:after="0"/>
        <w:ind w:left="783" w:right="0" w:firstLine="0"/>
        <w:jc w:val="both"/>
        <w:rPr>
          <w:sz w:val="21"/>
        </w:rPr>
      </w:pPr>
      <w:r>
        <w:rPr>
          <w:sz w:val="21"/>
        </w:rPr>
        <w:t>因职业关系导致的人类免疫缺陷病毒</w:t>
      </w:r>
    </w:p>
    <w:p>
      <w:pPr>
        <w:pStyle w:val="BodyText"/>
        <w:spacing w:before="7"/>
        <w:ind w:left="783"/>
        <w:jc w:val="both"/>
      </w:pPr>
      <w:r>
        <w:rPr>
          <w:w w:val="100"/>
        </w:rPr>
        <w:t>（HIV</w:t>
      </w:r>
      <w:r>
        <w:rPr>
          <w:spacing w:val="-99"/>
          <w:w w:val="100"/>
        </w:rPr>
        <w:t>）</w:t>
      </w:r>
      <w:r>
        <w:rPr>
          <w:w w:val="100"/>
        </w:rPr>
        <w:t>感染</w:t>
      </w:r>
    </w:p>
    <w:p>
      <w:pPr>
        <w:pStyle w:val="BodyText"/>
        <w:spacing w:line="273" w:lineRule="auto"/>
        <w:ind w:left="173" w:right="100" w:firstLine="420"/>
      </w:pPr>
      <w:r>
        <w:rPr/>
        <w:br w:type="column"/>
      </w:r>
      <w:r>
        <w:rPr/>
        <w:t>被保险人在其常规职业工作过程中遭遇外伤，或者职业需要处理血液或者</w:t>
      </w:r>
      <w:r>
        <w:rPr>
          <w:spacing w:val="-3"/>
          <w:w w:val="100"/>
        </w:rPr>
        <w:t>其他体液时感染上人类免疫缺陷病毒</w:t>
      </w:r>
      <w:r>
        <w:rPr>
          <w:w w:val="100"/>
        </w:rPr>
        <w:t>（H</w:t>
      </w:r>
      <w:r>
        <w:rPr>
          <w:spacing w:val="-3"/>
          <w:w w:val="100"/>
        </w:rPr>
        <w:t>I</w:t>
      </w:r>
      <w:r>
        <w:rPr>
          <w:spacing w:val="-1"/>
          <w:w w:val="100"/>
        </w:rPr>
        <w:t>V</w:t>
      </w:r>
      <w:r>
        <w:rPr>
          <w:spacing w:val="-106"/>
          <w:w w:val="100"/>
        </w:rPr>
        <w:t>）</w:t>
      </w:r>
      <w:r>
        <w:rPr>
          <w:spacing w:val="-3"/>
          <w:w w:val="100"/>
        </w:rPr>
        <w:t>。必须满足下列全部条件：</w:t>
      </w:r>
    </w:p>
    <w:p>
      <w:pPr>
        <w:pStyle w:val="BodyText"/>
        <w:spacing w:line="273" w:lineRule="auto" w:before="7"/>
        <w:ind w:left="173" w:right="44" w:firstLine="420"/>
      </w:pPr>
      <w:r>
        <w:rPr/>
        <w:t>（1）感染必须是在被保险人正在从事其职业工作中发生，该职业必须属于以下列表内的职业；</w:t>
      </w:r>
    </w:p>
    <w:p>
      <w:pPr>
        <w:pStyle w:val="BodyText"/>
        <w:spacing w:line="273" w:lineRule="auto" w:before="7"/>
        <w:ind w:left="173" w:right="98" w:firstLine="420"/>
      </w:pPr>
      <w:r>
        <w:rPr>
          <w:spacing w:val="-8"/>
        </w:rPr>
        <w:t>（2）</w:t>
      </w:r>
      <w:r>
        <w:rPr>
          <w:spacing w:val="-5"/>
        </w:rPr>
        <w:t>必须提供被保险人在所报事故发生后的 </w:t>
      </w:r>
      <w:r>
        <w:rPr/>
        <w:t>5</w:t>
      </w:r>
      <w:r>
        <w:rPr>
          <w:spacing w:val="-10"/>
        </w:rPr>
        <w:t> 天以内进行的检查报告，该</w:t>
      </w:r>
      <w:r>
        <w:rPr>
          <w:spacing w:val="-9"/>
        </w:rPr>
        <w:t>报告必须显示被保险人血液 </w:t>
      </w:r>
      <w:r>
        <w:rPr/>
        <w:t>HIV</w:t>
      </w:r>
      <w:r>
        <w:rPr>
          <w:spacing w:val="-10"/>
        </w:rPr>
        <w:t> 病毒阴性和</w:t>
      </w:r>
      <w:r>
        <w:rPr>
          <w:spacing w:val="-3"/>
        </w:rPr>
        <w:t>/</w:t>
      </w:r>
      <w:r>
        <w:rPr>
          <w:spacing w:val="-24"/>
        </w:rPr>
        <w:t>或 </w:t>
      </w:r>
      <w:r>
        <w:rPr/>
        <w:t>HIV</w:t>
      </w:r>
      <w:r>
        <w:rPr>
          <w:spacing w:val="-10"/>
        </w:rPr>
        <w:t> 抗体阴性；</w:t>
      </w:r>
    </w:p>
    <w:p>
      <w:pPr>
        <w:pStyle w:val="BodyText"/>
        <w:spacing w:line="273" w:lineRule="auto" w:before="7"/>
        <w:ind w:left="173" w:right="98" w:firstLine="420"/>
      </w:pPr>
      <w:r>
        <w:rPr>
          <w:w w:val="100"/>
        </w:rPr>
        <w:t>（3</w:t>
      </w:r>
      <w:r>
        <w:rPr>
          <w:spacing w:val="-106"/>
          <w:w w:val="100"/>
        </w:rPr>
        <w:t>）</w:t>
      </w:r>
      <w:r>
        <w:rPr>
          <w:w w:val="100"/>
        </w:rPr>
        <w:t>必须在事故发生后的6</w:t>
      </w:r>
      <w:r>
        <w:rPr>
          <w:spacing w:val="-72"/>
        </w:rPr>
        <w:t> </w:t>
      </w:r>
      <w:r>
        <w:rPr>
          <w:spacing w:val="-1"/>
          <w:w w:val="100"/>
        </w:rPr>
        <w:t>个月内证实被保险人体内存在</w:t>
      </w:r>
      <w:r>
        <w:rPr>
          <w:w w:val="100"/>
        </w:rPr>
        <w:t>HIV</w:t>
      </w:r>
      <w:r>
        <w:rPr>
          <w:spacing w:val="-74"/>
        </w:rPr>
        <w:t> </w:t>
      </w:r>
      <w:r>
        <w:rPr>
          <w:spacing w:val="5"/>
          <w:w w:val="100"/>
        </w:rPr>
        <w:t>病毒或者</w:t>
      </w:r>
      <w:r>
        <w:rPr>
          <w:w w:val="100"/>
        </w:rPr>
        <w:t>HIV</w:t>
      </w:r>
      <w:r>
        <w:rPr/>
        <w:t>抗体。</w:t>
      </w:r>
    </w:p>
    <w:p>
      <w:pPr>
        <w:pStyle w:val="BodyText"/>
        <w:spacing w:before="7"/>
        <w:ind w:left="593"/>
      </w:pPr>
      <w:r>
        <w:rPr/>
        <w:t>职业限制如下所示:</w:t>
      </w:r>
    </w:p>
    <w:p>
      <w:pPr>
        <w:pStyle w:val="BodyText"/>
        <w:spacing w:before="4"/>
        <w:rPr>
          <w:sz w:val="5"/>
        </w:rPr>
      </w:pPr>
    </w:p>
    <w:tbl>
      <w:tblPr>
        <w:tblW w:w="0" w:type="auto"/>
        <w:jc w:val="left"/>
        <w:tblInd w:w="206"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2789"/>
        <w:gridCol w:w="2110"/>
      </w:tblGrid>
      <w:tr>
        <w:trPr>
          <w:trHeight w:val="362" w:hRule="atLeast"/>
        </w:trPr>
        <w:tc>
          <w:tcPr>
            <w:tcW w:w="2789" w:type="dxa"/>
          </w:tcPr>
          <w:p>
            <w:pPr>
              <w:pStyle w:val="TableParagraph"/>
              <w:spacing w:before="12"/>
              <w:ind w:left="446"/>
              <w:rPr>
                <w:sz w:val="21"/>
              </w:rPr>
            </w:pPr>
            <w:r>
              <w:rPr>
                <w:sz w:val="21"/>
              </w:rPr>
              <w:t>医生和牙科医生</w:t>
            </w:r>
          </w:p>
        </w:tc>
        <w:tc>
          <w:tcPr>
            <w:tcW w:w="2110" w:type="dxa"/>
          </w:tcPr>
          <w:p>
            <w:pPr>
              <w:pStyle w:val="TableParagraph"/>
              <w:spacing w:before="12"/>
              <w:ind w:left="449"/>
              <w:rPr>
                <w:sz w:val="21"/>
              </w:rPr>
            </w:pPr>
            <w:r>
              <w:rPr>
                <w:sz w:val="21"/>
              </w:rPr>
              <w:t>护士</w:t>
            </w:r>
          </w:p>
        </w:tc>
      </w:tr>
      <w:tr>
        <w:trPr>
          <w:trHeight w:val="361" w:hRule="atLeast"/>
        </w:trPr>
        <w:tc>
          <w:tcPr>
            <w:tcW w:w="2789" w:type="dxa"/>
          </w:tcPr>
          <w:p>
            <w:pPr>
              <w:pStyle w:val="TableParagraph"/>
              <w:spacing w:before="13"/>
              <w:ind w:left="446"/>
              <w:rPr>
                <w:sz w:val="21"/>
              </w:rPr>
            </w:pPr>
            <w:r>
              <w:rPr>
                <w:sz w:val="21"/>
              </w:rPr>
              <w:t>医院化验室工作人员</w:t>
            </w:r>
          </w:p>
        </w:tc>
        <w:tc>
          <w:tcPr>
            <w:tcW w:w="2110" w:type="dxa"/>
          </w:tcPr>
          <w:p>
            <w:pPr>
              <w:pStyle w:val="TableParagraph"/>
              <w:spacing w:before="13"/>
              <w:ind w:left="449"/>
              <w:rPr>
                <w:sz w:val="21"/>
              </w:rPr>
            </w:pPr>
            <w:r>
              <w:rPr>
                <w:sz w:val="21"/>
              </w:rPr>
              <w:t>医院护工</w:t>
            </w:r>
          </w:p>
        </w:tc>
      </w:tr>
      <w:tr>
        <w:trPr>
          <w:trHeight w:val="363" w:hRule="atLeast"/>
        </w:trPr>
        <w:tc>
          <w:tcPr>
            <w:tcW w:w="2789" w:type="dxa"/>
          </w:tcPr>
          <w:p>
            <w:pPr>
              <w:pStyle w:val="TableParagraph"/>
              <w:spacing w:before="13"/>
              <w:ind w:left="446"/>
              <w:rPr>
                <w:sz w:val="21"/>
              </w:rPr>
            </w:pPr>
            <w:r>
              <w:rPr>
                <w:sz w:val="21"/>
              </w:rPr>
              <w:t>医生助理和牙医助理</w:t>
            </w:r>
          </w:p>
        </w:tc>
        <w:tc>
          <w:tcPr>
            <w:tcW w:w="2110" w:type="dxa"/>
          </w:tcPr>
          <w:p>
            <w:pPr>
              <w:pStyle w:val="TableParagraph"/>
              <w:spacing w:before="13"/>
              <w:ind w:left="449"/>
              <w:rPr>
                <w:sz w:val="21"/>
              </w:rPr>
            </w:pPr>
            <w:r>
              <w:rPr>
                <w:sz w:val="21"/>
              </w:rPr>
              <w:t>救护车工作人员</w:t>
            </w:r>
          </w:p>
        </w:tc>
      </w:tr>
      <w:tr>
        <w:trPr>
          <w:trHeight w:val="359" w:hRule="atLeast"/>
        </w:trPr>
        <w:tc>
          <w:tcPr>
            <w:tcW w:w="2789" w:type="dxa"/>
          </w:tcPr>
          <w:p>
            <w:pPr>
              <w:pStyle w:val="TableParagraph"/>
              <w:spacing w:before="11"/>
              <w:ind w:left="446"/>
              <w:rPr>
                <w:sz w:val="21"/>
              </w:rPr>
            </w:pPr>
            <w:r>
              <w:rPr>
                <w:sz w:val="21"/>
              </w:rPr>
              <w:t>助产士</w:t>
            </w:r>
          </w:p>
        </w:tc>
        <w:tc>
          <w:tcPr>
            <w:tcW w:w="2110" w:type="dxa"/>
          </w:tcPr>
          <w:p>
            <w:pPr>
              <w:pStyle w:val="TableParagraph"/>
              <w:rPr>
                <w:rFonts w:ascii="Times New Roman"/>
                <w:sz w:val="20"/>
              </w:rPr>
            </w:pPr>
          </w:p>
        </w:tc>
      </w:tr>
    </w:tbl>
    <w:p>
      <w:pPr>
        <w:pStyle w:val="BodyText"/>
        <w:spacing w:line="273" w:lineRule="auto" w:before="8"/>
        <w:ind w:left="173" w:right="39" w:firstLine="420"/>
      </w:pPr>
      <w:r>
        <w:rPr/>
        <w:t>本公司承担本项疾病保险责任不受本条款第 2.4 条责任免除中“被保险人感染艾滋病病毒或患艾滋病”的限制。</w:t>
      </w:r>
    </w:p>
    <w:p>
      <w:pPr>
        <w:spacing w:after="0" w:line="273" w:lineRule="auto"/>
        <w:sectPr>
          <w:type w:val="continuous"/>
          <w:pgSz w:w="11910" w:h="16840"/>
          <w:pgMar w:top="1120" w:bottom="1180" w:left="1280" w:right="1260"/>
          <w:cols w:num="2" w:equalWidth="0">
            <w:col w:w="1850" w:space="40"/>
            <w:col w:w="7480"/>
          </w:cols>
        </w:sectPr>
      </w:pPr>
    </w:p>
    <w:p>
      <w:pPr>
        <w:pStyle w:val="BodyText"/>
        <w:spacing w:before="2"/>
        <w:rPr>
          <w:sz w:val="13"/>
        </w:rPr>
      </w:pPr>
    </w:p>
    <w:p>
      <w:pPr>
        <w:spacing w:after="0"/>
        <w:rPr>
          <w:sz w:val="13"/>
        </w:rPr>
        <w:sectPr>
          <w:type w:val="continuous"/>
          <w:pgSz w:w="11910" w:h="16840"/>
          <w:pgMar w:top="1120" w:bottom="1180" w:left="1280" w:right="1260"/>
        </w:sectPr>
      </w:pPr>
    </w:p>
    <w:p>
      <w:pPr>
        <w:pStyle w:val="ListParagraph"/>
        <w:numPr>
          <w:ilvl w:val="2"/>
          <w:numId w:val="9"/>
        </w:numPr>
        <w:tabs>
          <w:tab w:pos="1636" w:val="left" w:leader="none"/>
        </w:tabs>
        <w:spacing w:line="273" w:lineRule="auto" w:before="37" w:after="0"/>
        <w:ind w:left="783" w:right="0" w:firstLine="0"/>
        <w:jc w:val="both"/>
        <w:rPr>
          <w:sz w:val="21"/>
        </w:rPr>
      </w:pPr>
      <w:r>
        <w:rPr>
          <w:sz w:val="21"/>
        </w:rPr>
        <w:t>重症急性胰腺炎</w:t>
      </w:r>
    </w:p>
    <w:p>
      <w:pPr>
        <w:pStyle w:val="BodyText"/>
        <w:spacing w:line="273" w:lineRule="auto"/>
        <w:ind w:left="173" w:right="98" w:firstLine="420"/>
        <w:jc w:val="both"/>
      </w:pPr>
      <w:r>
        <w:rPr/>
        <w:br w:type="column"/>
      </w:r>
      <w:r>
        <w:rPr/>
        <w:t>指急性胰腺炎伴有脏器功能障碍。被保险人所患的重症急性胰腺炎必须明</w:t>
      </w:r>
      <w:r>
        <w:rPr>
          <w:spacing w:val="-10"/>
        </w:rPr>
        <w:t>确诊断，按 </w:t>
      </w:r>
      <w:r>
        <w:rPr/>
        <w:t>APACHE</w:t>
      </w:r>
      <w:r>
        <w:rPr>
          <w:spacing w:val="-10"/>
        </w:rPr>
        <w:t>Ⅱ评分达到 </w:t>
      </w:r>
      <w:r>
        <w:rPr/>
        <w:t>8</w:t>
      </w:r>
      <w:r>
        <w:rPr>
          <w:spacing w:val="-26"/>
        </w:rPr>
        <w:t> 分或 </w:t>
      </w:r>
      <w:r>
        <w:rPr/>
        <w:t>8</w:t>
      </w:r>
      <w:r>
        <w:rPr>
          <w:spacing w:val="-19"/>
        </w:rPr>
        <w:t> 分以上和 </w:t>
      </w:r>
      <w:r>
        <w:rPr/>
        <w:t>Balthazar</w:t>
      </w:r>
      <w:r>
        <w:rPr>
          <w:spacing w:val="-9"/>
        </w:rPr>
        <w:t> 分级系统达到Ⅱ级或Ⅱ级以上，并且接受了外科剖腹手术治疗，以进行坏死组织清除、坏死病灶</w:t>
      </w:r>
      <w:r>
        <w:rPr>
          <w:spacing w:val="-5"/>
        </w:rPr>
        <w:t>切除或胰腺切除。</w:t>
      </w:r>
    </w:p>
    <w:p>
      <w:pPr>
        <w:pStyle w:val="BodyText"/>
        <w:spacing w:before="8"/>
        <w:ind w:left="596"/>
      </w:pPr>
      <w:r>
        <w:rPr/>
        <w:t>因酗酒或饮酒过量所致的胰腺炎以及腹腔镜手术不在本合同保障范围内。</w:t>
      </w:r>
    </w:p>
    <w:p>
      <w:pPr>
        <w:spacing w:after="0"/>
        <w:sectPr>
          <w:type w:val="continuous"/>
          <w:pgSz w:w="11910" w:h="16840"/>
          <w:pgMar w:top="1120" w:bottom="1180" w:left="1280" w:right="1260"/>
          <w:cols w:num="2" w:equalWidth="0">
            <w:col w:w="1850" w:space="40"/>
            <w:col w:w="7480"/>
          </w:cols>
        </w:sectPr>
      </w:pPr>
    </w:p>
    <w:p>
      <w:pPr>
        <w:pStyle w:val="BodyText"/>
        <w:spacing w:before="4"/>
        <w:rPr>
          <w:sz w:val="15"/>
        </w:rPr>
      </w:pPr>
    </w:p>
    <w:p>
      <w:pPr>
        <w:spacing w:after="0"/>
        <w:rPr>
          <w:sz w:val="15"/>
        </w:rPr>
        <w:sectPr>
          <w:type w:val="continuous"/>
          <w:pgSz w:w="11910" w:h="16840"/>
          <w:pgMar w:top="1120" w:bottom="1180" w:left="1280" w:right="1260"/>
        </w:sectPr>
      </w:pPr>
    </w:p>
    <w:p>
      <w:pPr>
        <w:pStyle w:val="ListParagraph"/>
        <w:numPr>
          <w:ilvl w:val="2"/>
          <w:numId w:val="9"/>
        </w:numPr>
        <w:tabs>
          <w:tab w:pos="1635" w:val="left" w:leader="none"/>
          <w:tab w:pos="1636" w:val="left" w:leader="none"/>
        </w:tabs>
        <w:spacing w:line="273" w:lineRule="auto" w:before="36" w:after="0"/>
        <w:ind w:left="783" w:right="0" w:firstLine="0"/>
        <w:jc w:val="left"/>
        <w:rPr>
          <w:sz w:val="21"/>
        </w:rPr>
      </w:pPr>
      <w:r>
        <w:rPr>
          <w:sz w:val="21"/>
        </w:rPr>
        <w:t>肌营养不良症</w:t>
      </w:r>
    </w:p>
    <w:p>
      <w:pPr>
        <w:pStyle w:val="BodyText"/>
        <w:spacing w:line="273" w:lineRule="auto" w:before="36"/>
        <w:ind w:left="175" w:right="98" w:firstLine="420"/>
        <w:jc w:val="both"/>
      </w:pPr>
      <w:r>
        <w:rPr/>
        <w:br w:type="column"/>
      </w:r>
      <w:r>
        <w:rPr/>
        <w:t>指一组遗传性肌肉变性性病变，临床特征为与神经系统无关的肌肉无力和肌肉萎缩。须满足自主生活能力完全丧失，无法独立完成六项基本日常生活活动中的三项或三项以上。</w:t>
      </w:r>
    </w:p>
    <w:p>
      <w:pPr>
        <w:pStyle w:val="BodyText"/>
        <w:spacing w:line="273" w:lineRule="auto" w:before="7"/>
        <w:ind w:left="175" w:right="98" w:firstLine="420"/>
        <w:jc w:val="both"/>
      </w:pPr>
      <w:r>
        <w:rPr>
          <w:spacing w:val="-4"/>
        </w:rPr>
        <w:t>本公司承担本项疾病保险责任不受本条款第 </w:t>
      </w:r>
      <w:r>
        <w:rPr/>
        <w:t>2.4</w:t>
      </w:r>
      <w:r>
        <w:rPr>
          <w:spacing w:val="-3"/>
        </w:rPr>
        <w:t> 条责任免除中“遗传性疾病”的限制。</w:t>
      </w:r>
    </w:p>
    <w:p>
      <w:pPr>
        <w:spacing w:after="0" w:line="273" w:lineRule="auto"/>
        <w:jc w:val="both"/>
        <w:sectPr>
          <w:type w:val="continuous"/>
          <w:pgSz w:w="11910" w:h="16840"/>
          <w:pgMar w:top="1120" w:bottom="1180" w:left="1280" w:right="1260"/>
          <w:cols w:num="2" w:equalWidth="0">
            <w:col w:w="1847" w:space="40"/>
            <w:col w:w="7483"/>
          </w:cols>
        </w:sectPr>
      </w:pPr>
    </w:p>
    <w:p>
      <w:pPr>
        <w:pStyle w:val="BodyText"/>
        <w:spacing w:before="0"/>
        <w:rPr>
          <w:sz w:val="13"/>
        </w:rPr>
      </w:pPr>
    </w:p>
    <w:p>
      <w:pPr>
        <w:spacing w:after="0"/>
        <w:rPr>
          <w:sz w:val="13"/>
        </w:rPr>
        <w:sectPr>
          <w:type w:val="continuous"/>
          <w:pgSz w:w="11910" w:h="16840"/>
          <w:pgMar w:top="1120" w:bottom="1180" w:left="1280" w:right="1260"/>
        </w:sectPr>
      </w:pPr>
    </w:p>
    <w:p>
      <w:pPr>
        <w:pStyle w:val="ListParagraph"/>
        <w:numPr>
          <w:ilvl w:val="2"/>
          <w:numId w:val="9"/>
        </w:numPr>
        <w:tabs>
          <w:tab w:pos="1636" w:val="left" w:leader="none"/>
        </w:tabs>
        <w:spacing w:line="273" w:lineRule="auto" w:before="36" w:after="0"/>
        <w:ind w:left="783" w:right="0" w:firstLine="0"/>
        <w:jc w:val="both"/>
        <w:rPr>
          <w:sz w:val="21"/>
        </w:rPr>
      </w:pPr>
      <w:r>
        <w:rPr>
          <w:sz w:val="21"/>
        </w:rPr>
        <w:t>系统性红斑狼疮－III</w:t>
      </w:r>
      <w:r>
        <w:rPr>
          <w:spacing w:val="5"/>
          <w:sz w:val="21"/>
        </w:rPr>
        <w:t> 型或以上狼疮性肾炎</w:t>
      </w:r>
    </w:p>
    <w:p>
      <w:pPr>
        <w:pStyle w:val="BodyText"/>
        <w:spacing w:line="273" w:lineRule="auto" w:before="36"/>
        <w:ind w:left="173" w:right="100" w:firstLine="420"/>
      </w:pPr>
      <w:r>
        <w:rPr/>
        <w:br w:type="column"/>
      </w:r>
      <w:r>
        <w:rPr/>
        <w:t>系统性红斑狼疮是一种表现有多系统损害的慢性系统性自身免疫病，其特点是血清具有以抗核抗体为代表的多种自身抗体。</w:t>
      </w:r>
    </w:p>
    <w:p>
      <w:pPr>
        <w:pStyle w:val="BodyText"/>
        <w:spacing w:before="7"/>
        <w:ind w:left="593"/>
      </w:pPr>
      <w:r>
        <w:rPr/>
        <w:t>本合同所指的系统性红斑狼疮仅限于累及肾脏（经肾脏活检确认的，符合</w:t>
      </w:r>
    </w:p>
    <w:p>
      <w:pPr>
        <w:pStyle w:val="BodyText"/>
        <w:spacing w:line="273" w:lineRule="auto" w:before="36"/>
        <w:ind w:left="173" w:right="98"/>
        <w:jc w:val="both"/>
      </w:pPr>
      <w:r>
        <w:rPr/>
        <w:t>WHO</w:t>
      </w:r>
      <w:r>
        <w:rPr>
          <w:spacing w:val="-15"/>
        </w:rPr>
        <w:t> 诊断标准定义 </w:t>
      </w:r>
      <w:r>
        <w:rPr/>
        <w:t>III</w:t>
      </w:r>
      <w:r>
        <w:rPr>
          <w:spacing w:val="-25"/>
        </w:rPr>
        <w:t> 型或 </w:t>
      </w:r>
      <w:r>
        <w:rPr/>
        <w:t>III</w:t>
      </w:r>
      <w:r>
        <w:rPr>
          <w:spacing w:val="-8"/>
        </w:rPr>
        <w:t> 型以上狼疮性肾炎</w:t>
      </w:r>
      <w:r>
        <w:rPr>
          <w:spacing w:val="-51"/>
        </w:rPr>
        <w:t>）</w:t>
      </w:r>
      <w:r>
        <w:rPr>
          <w:spacing w:val="-9"/>
        </w:rPr>
        <w:t>的系统性红斑狼疮。其他类型的红斑性狼疮，如盘状狼疮、仅累及血液及关节的狼疮不在本合同保障范围內。</w:t>
      </w:r>
    </w:p>
    <w:p>
      <w:pPr>
        <w:pStyle w:val="BodyText"/>
        <w:spacing w:before="7"/>
        <w:ind w:left="173"/>
        <w:jc w:val="both"/>
      </w:pPr>
      <w:r>
        <w:rPr/>
        <w:t>世界卫生组织（WHO）狼疮性肾炎分型：</w:t>
      </w:r>
    </w:p>
    <w:p>
      <w:pPr>
        <w:spacing w:after="0"/>
        <w:jc w:val="both"/>
        <w:sectPr>
          <w:type w:val="continuous"/>
          <w:pgSz w:w="11910" w:h="16840"/>
          <w:pgMar w:top="1120" w:bottom="1180" w:left="1280" w:right="1260"/>
          <w:cols w:num="2" w:equalWidth="0">
            <w:col w:w="1850" w:space="40"/>
            <w:col w:w="7480"/>
          </w:cols>
        </w:sectPr>
      </w:pPr>
    </w:p>
    <w:p>
      <w:pPr>
        <w:pStyle w:val="BodyText"/>
        <w:spacing w:before="4"/>
        <w:rPr>
          <w:sz w:val="5"/>
        </w:rPr>
      </w:pPr>
    </w:p>
    <w:tbl>
      <w:tblPr>
        <w:tblW w:w="0" w:type="auto"/>
        <w:jc w:val="left"/>
        <w:tblInd w:w="209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655"/>
        <w:gridCol w:w="1757"/>
      </w:tblGrid>
      <w:tr>
        <w:trPr>
          <w:trHeight w:val="362" w:hRule="atLeast"/>
        </w:trPr>
        <w:tc>
          <w:tcPr>
            <w:tcW w:w="655" w:type="dxa"/>
          </w:tcPr>
          <w:p>
            <w:pPr>
              <w:pStyle w:val="TableParagraph"/>
              <w:spacing w:before="12"/>
              <w:ind w:left="26"/>
              <w:rPr>
                <w:sz w:val="21"/>
              </w:rPr>
            </w:pPr>
            <w:r>
              <w:rPr>
                <w:sz w:val="21"/>
              </w:rPr>
              <w:t>I 型</w:t>
            </w:r>
          </w:p>
        </w:tc>
        <w:tc>
          <w:tcPr>
            <w:tcW w:w="1757" w:type="dxa"/>
          </w:tcPr>
          <w:p>
            <w:pPr>
              <w:pStyle w:val="TableParagraph"/>
              <w:spacing w:before="12"/>
              <w:ind w:left="29"/>
              <w:rPr>
                <w:sz w:val="21"/>
              </w:rPr>
            </w:pPr>
            <w:r>
              <w:rPr>
                <w:sz w:val="21"/>
              </w:rPr>
              <w:t>微小病变型</w:t>
            </w:r>
          </w:p>
        </w:tc>
      </w:tr>
      <w:tr>
        <w:trPr>
          <w:trHeight w:val="361" w:hRule="atLeast"/>
        </w:trPr>
        <w:tc>
          <w:tcPr>
            <w:tcW w:w="655" w:type="dxa"/>
          </w:tcPr>
          <w:p>
            <w:pPr>
              <w:pStyle w:val="TableParagraph"/>
              <w:spacing w:before="13"/>
              <w:ind w:left="26"/>
              <w:rPr>
                <w:sz w:val="21"/>
              </w:rPr>
            </w:pPr>
            <w:r>
              <w:rPr>
                <w:sz w:val="21"/>
              </w:rPr>
              <w:t>II 型</w:t>
            </w:r>
          </w:p>
        </w:tc>
        <w:tc>
          <w:tcPr>
            <w:tcW w:w="1757" w:type="dxa"/>
          </w:tcPr>
          <w:p>
            <w:pPr>
              <w:pStyle w:val="TableParagraph"/>
              <w:spacing w:before="13"/>
              <w:ind w:left="29"/>
              <w:rPr>
                <w:sz w:val="21"/>
              </w:rPr>
            </w:pPr>
            <w:r>
              <w:rPr>
                <w:sz w:val="21"/>
              </w:rPr>
              <w:t>系膜病变型</w:t>
            </w:r>
          </w:p>
        </w:tc>
      </w:tr>
      <w:tr>
        <w:trPr>
          <w:trHeight w:val="363" w:hRule="atLeast"/>
        </w:trPr>
        <w:tc>
          <w:tcPr>
            <w:tcW w:w="655" w:type="dxa"/>
          </w:tcPr>
          <w:p>
            <w:pPr>
              <w:pStyle w:val="TableParagraph"/>
              <w:spacing w:before="13"/>
              <w:ind w:left="26"/>
              <w:rPr>
                <w:sz w:val="21"/>
              </w:rPr>
            </w:pPr>
            <w:r>
              <w:rPr>
                <w:sz w:val="21"/>
              </w:rPr>
              <w:t>III</w:t>
            </w:r>
            <w:r>
              <w:rPr>
                <w:spacing w:val="-25"/>
                <w:sz w:val="21"/>
              </w:rPr>
              <w:t> 型</w:t>
            </w:r>
          </w:p>
        </w:tc>
        <w:tc>
          <w:tcPr>
            <w:tcW w:w="1757" w:type="dxa"/>
          </w:tcPr>
          <w:p>
            <w:pPr>
              <w:pStyle w:val="TableParagraph"/>
              <w:spacing w:before="13"/>
              <w:ind w:left="29"/>
              <w:rPr>
                <w:sz w:val="21"/>
              </w:rPr>
            </w:pPr>
            <w:r>
              <w:rPr>
                <w:sz w:val="21"/>
              </w:rPr>
              <w:t>局灶及节段增生型</w:t>
            </w:r>
          </w:p>
        </w:tc>
      </w:tr>
      <w:tr>
        <w:trPr>
          <w:trHeight w:val="352" w:hRule="atLeast"/>
        </w:trPr>
        <w:tc>
          <w:tcPr>
            <w:tcW w:w="655" w:type="dxa"/>
          </w:tcPr>
          <w:p>
            <w:pPr>
              <w:pStyle w:val="TableParagraph"/>
              <w:spacing w:before="11"/>
              <w:ind w:left="26"/>
              <w:rPr>
                <w:sz w:val="21"/>
              </w:rPr>
            </w:pPr>
            <w:r>
              <w:rPr>
                <w:sz w:val="21"/>
              </w:rPr>
              <w:t>IV 型</w:t>
            </w:r>
          </w:p>
        </w:tc>
        <w:tc>
          <w:tcPr>
            <w:tcW w:w="1757" w:type="dxa"/>
          </w:tcPr>
          <w:p>
            <w:pPr>
              <w:pStyle w:val="TableParagraph"/>
              <w:spacing w:before="11"/>
              <w:ind w:left="29"/>
              <w:rPr>
                <w:sz w:val="21"/>
              </w:rPr>
            </w:pPr>
            <w:r>
              <w:rPr>
                <w:sz w:val="21"/>
              </w:rPr>
              <w:t>弥漫增生型</w:t>
            </w:r>
          </w:p>
        </w:tc>
      </w:tr>
    </w:tbl>
    <w:p>
      <w:pPr>
        <w:spacing w:after="0"/>
        <w:rPr>
          <w:sz w:val="21"/>
        </w:rPr>
        <w:sectPr>
          <w:type w:val="continuous"/>
          <w:pgSz w:w="11910" w:h="16840"/>
          <w:pgMar w:top="1120" w:bottom="1180" w:left="1280" w:right="1260"/>
        </w:sectPr>
      </w:pPr>
    </w:p>
    <w:p>
      <w:pPr>
        <w:pStyle w:val="BodyText"/>
        <w:spacing w:before="12"/>
        <w:rPr>
          <w:sz w:val="23"/>
        </w:rPr>
      </w:pPr>
    </w:p>
    <w:tbl>
      <w:tblPr>
        <w:tblW w:w="0" w:type="auto"/>
        <w:jc w:val="left"/>
        <w:tblInd w:w="209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655"/>
        <w:gridCol w:w="1757"/>
      </w:tblGrid>
      <w:tr>
        <w:trPr>
          <w:trHeight w:val="352" w:hRule="atLeast"/>
        </w:trPr>
        <w:tc>
          <w:tcPr>
            <w:tcW w:w="655" w:type="dxa"/>
          </w:tcPr>
          <w:p>
            <w:pPr>
              <w:pStyle w:val="TableParagraph"/>
              <w:spacing w:before="5"/>
              <w:ind w:left="26"/>
              <w:rPr>
                <w:sz w:val="21"/>
              </w:rPr>
            </w:pPr>
            <w:r>
              <w:rPr>
                <w:sz w:val="21"/>
              </w:rPr>
              <w:t>V 型</w:t>
            </w:r>
          </w:p>
        </w:tc>
        <w:tc>
          <w:tcPr>
            <w:tcW w:w="1757" w:type="dxa"/>
          </w:tcPr>
          <w:p>
            <w:pPr>
              <w:pStyle w:val="TableParagraph"/>
              <w:spacing w:before="5"/>
              <w:ind w:left="29"/>
              <w:rPr>
                <w:sz w:val="21"/>
              </w:rPr>
            </w:pPr>
            <w:r>
              <w:rPr>
                <w:sz w:val="21"/>
              </w:rPr>
              <w:t>膜型</w:t>
            </w:r>
          </w:p>
        </w:tc>
      </w:tr>
      <w:tr>
        <w:trPr>
          <w:trHeight w:val="362" w:hRule="atLeast"/>
        </w:trPr>
        <w:tc>
          <w:tcPr>
            <w:tcW w:w="655" w:type="dxa"/>
          </w:tcPr>
          <w:p>
            <w:pPr>
              <w:pStyle w:val="TableParagraph"/>
              <w:spacing w:before="13"/>
              <w:ind w:left="26"/>
              <w:rPr>
                <w:sz w:val="21"/>
              </w:rPr>
            </w:pPr>
            <w:r>
              <w:rPr>
                <w:sz w:val="21"/>
              </w:rPr>
              <w:t>VI 型</w:t>
            </w:r>
          </w:p>
        </w:tc>
        <w:tc>
          <w:tcPr>
            <w:tcW w:w="1757" w:type="dxa"/>
          </w:tcPr>
          <w:p>
            <w:pPr>
              <w:pStyle w:val="TableParagraph"/>
              <w:spacing w:before="13"/>
              <w:ind w:left="29"/>
              <w:rPr>
                <w:sz w:val="21"/>
              </w:rPr>
            </w:pPr>
            <w:r>
              <w:rPr>
                <w:sz w:val="21"/>
              </w:rPr>
              <w:t>肾小球硬化型</w:t>
            </w:r>
          </w:p>
        </w:tc>
      </w:tr>
    </w:tbl>
    <w:p>
      <w:pPr>
        <w:pStyle w:val="BodyText"/>
        <w:spacing w:before="0"/>
        <w:rPr>
          <w:sz w:val="13"/>
        </w:rPr>
      </w:pPr>
    </w:p>
    <w:p>
      <w:pPr>
        <w:spacing w:after="0"/>
        <w:rPr>
          <w:sz w:val="13"/>
        </w:rPr>
        <w:sectPr>
          <w:pgSz w:w="11910" w:h="16840"/>
          <w:pgMar w:header="879" w:footer="999" w:top="1120" w:bottom="1180" w:left="1280" w:right="1140"/>
        </w:sectPr>
      </w:pPr>
    </w:p>
    <w:p>
      <w:pPr>
        <w:pStyle w:val="ListParagraph"/>
        <w:numPr>
          <w:ilvl w:val="2"/>
          <w:numId w:val="9"/>
        </w:numPr>
        <w:tabs>
          <w:tab w:pos="1636" w:val="left" w:leader="none"/>
        </w:tabs>
        <w:spacing w:line="273" w:lineRule="auto" w:before="37" w:after="0"/>
        <w:ind w:left="783" w:right="0" w:firstLine="0"/>
        <w:jc w:val="both"/>
        <w:rPr>
          <w:sz w:val="21"/>
        </w:rPr>
      </w:pPr>
      <w:r>
        <w:rPr>
          <w:sz w:val="21"/>
        </w:rPr>
        <w:t>慢性呼吸功能衰竭</w:t>
      </w:r>
    </w:p>
    <w:p>
      <w:pPr>
        <w:pStyle w:val="BodyText"/>
        <w:spacing w:line="273" w:lineRule="auto"/>
        <w:ind w:left="173" w:right="220" w:firstLine="420"/>
      </w:pPr>
      <w:r>
        <w:rPr/>
        <w:br w:type="column"/>
      </w:r>
      <w:r>
        <w:rPr/>
        <w:t>指慢性肺部疾病导致永久不可逆性的慢性呼吸功能衰竭。慢性呼吸功能衰竭必须明确诊断并满足下列全部条件：</w:t>
      </w:r>
    </w:p>
    <w:p>
      <w:pPr>
        <w:pStyle w:val="BodyText"/>
        <w:spacing w:before="7"/>
        <w:ind w:left="593"/>
      </w:pPr>
      <w:r>
        <w:rPr/>
        <w:t>（1）休息时出现呼吸困难；</w:t>
      </w:r>
    </w:p>
    <w:p>
      <w:pPr>
        <w:pStyle w:val="BodyText"/>
        <w:spacing w:before="36"/>
        <w:ind w:left="593"/>
      </w:pPr>
      <w:r>
        <w:rPr/>
        <w:t>（2）动脉血氧分压（PaO</w:t>
      </w:r>
      <w:r>
        <w:rPr>
          <w:vertAlign w:val="subscript"/>
        </w:rPr>
        <w:t>2</w:t>
      </w:r>
      <w:r>
        <w:rPr>
          <w:vertAlign w:val="baseline"/>
        </w:rPr>
        <w:t>）&lt;</w:t>
      </w:r>
      <w:r>
        <w:rPr>
          <w:vertAlign w:val="baseline"/>
        </w:rPr>
        <w:t> 50mmHg；</w:t>
      </w:r>
    </w:p>
    <w:p>
      <w:pPr>
        <w:pStyle w:val="BodyText"/>
        <w:spacing w:before="36"/>
        <w:ind w:left="593"/>
      </w:pPr>
      <w:r>
        <w:rPr/>
        <w:t>（3）动脉血氧饱和度（SaO</w:t>
      </w:r>
      <w:r>
        <w:rPr>
          <w:vertAlign w:val="subscript"/>
        </w:rPr>
        <w:t>2</w:t>
      </w:r>
      <w:r>
        <w:rPr>
          <w:vertAlign w:val="baseline"/>
        </w:rPr>
        <w:t>）&lt;</w:t>
      </w:r>
      <w:r>
        <w:rPr>
          <w:vertAlign w:val="baseline"/>
        </w:rPr>
        <w:t> 80%；</w:t>
      </w:r>
    </w:p>
    <w:p>
      <w:pPr>
        <w:pStyle w:val="BodyText"/>
        <w:spacing w:before="36"/>
        <w:ind w:left="593"/>
      </w:pPr>
      <w:r>
        <w:rPr/>
        <w:t>（4）因缺氧必须接受输氧治疗。</w:t>
      </w:r>
    </w:p>
    <w:p>
      <w:pPr>
        <w:spacing w:after="0"/>
        <w:sectPr>
          <w:type w:val="continuous"/>
          <w:pgSz w:w="11910" w:h="16840"/>
          <w:pgMar w:top="1120" w:bottom="1180" w:left="1280" w:right="1140"/>
          <w:cols w:num="2" w:equalWidth="0">
            <w:col w:w="1850" w:space="40"/>
            <w:col w:w="7600"/>
          </w:cols>
        </w:sectPr>
      </w:pPr>
    </w:p>
    <w:p>
      <w:pPr>
        <w:pStyle w:val="BodyText"/>
        <w:spacing w:before="5"/>
        <w:rPr>
          <w:sz w:val="15"/>
        </w:rPr>
      </w:pPr>
    </w:p>
    <w:p>
      <w:pPr>
        <w:spacing w:after="0"/>
        <w:rPr>
          <w:sz w:val="15"/>
        </w:rPr>
        <w:sectPr>
          <w:type w:val="continuous"/>
          <w:pgSz w:w="11910" w:h="16840"/>
          <w:pgMar w:top="1120" w:bottom="1180" w:left="1280" w:right="1140"/>
        </w:sectPr>
      </w:pPr>
    </w:p>
    <w:p>
      <w:pPr>
        <w:pStyle w:val="ListParagraph"/>
        <w:numPr>
          <w:ilvl w:val="2"/>
          <w:numId w:val="9"/>
        </w:numPr>
        <w:tabs>
          <w:tab w:pos="1478" w:val="left" w:leader="none"/>
        </w:tabs>
        <w:spacing w:line="273" w:lineRule="auto" w:before="37" w:after="0"/>
        <w:ind w:left="783" w:right="0" w:firstLine="0"/>
        <w:jc w:val="left"/>
        <w:rPr>
          <w:sz w:val="21"/>
        </w:rPr>
      </w:pPr>
      <w:r>
        <w:rPr>
          <w:sz w:val="21"/>
        </w:rPr>
        <w:t>1</w:t>
      </w:r>
      <w:r>
        <w:rPr>
          <w:spacing w:val="-26"/>
          <w:sz w:val="21"/>
        </w:rPr>
        <w:t> 型糖尿病</w:t>
      </w:r>
    </w:p>
    <w:p>
      <w:pPr>
        <w:pStyle w:val="BodyText"/>
        <w:spacing w:line="273" w:lineRule="auto"/>
        <w:ind w:left="175" w:right="218" w:firstLine="420"/>
        <w:jc w:val="both"/>
      </w:pPr>
      <w:r>
        <w:rPr/>
        <w:br w:type="column"/>
      </w:r>
      <w:r>
        <w:rPr/>
        <w:t>1 型糖尿病的特征为由于胰岛素分泌绝对不足引起严重胰岛素缺乏导致慢性血糖升高，需要依赖外源性胰岛素进行机体的葡萄糖代谢和维持生命。被保</w:t>
      </w:r>
      <w:r>
        <w:rPr>
          <w:spacing w:val="-11"/>
        </w:rPr>
        <w:t>险人的 </w:t>
      </w:r>
      <w:r>
        <w:rPr/>
        <w:t>1</w:t>
      </w:r>
      <w:r>
        <w:rPr>
          <w:spacing w:val="-10"/>
        </w:rPr>
        <w:t> 型糖尿病必须明确诊断，而且有血胰岛素测定及血 </w:t>
      </w:r>
      <w:r>
        <w:rPr/>
        <w:t>C</w:t>
      </w:r>
      <w:r>
        <w:rPr>
          <w:spacing w:val="-17"/>
        </w:rPr>
        <w:t> 肽或尿 </w:t>
      </w:r>
      <w:r>
        <w:rPr/>
        <w:t>C</w:t>
      </w:r>
      <w:r>
        <w:rPr>
          <w:spacing w:val="-12"/>
        </w:rPr>
        <w:t> 肽测定</w:t>
      </w:r>
      <w:r>
        <w:rPr>
          <w:spacing w:val="-3"/>
        </w:rPr>
        <w:t>结果支持诊断，并且满足下列全部条件：</w:t>
      </w:r>
    </w:p>
    <w:p>
      <w:pPr>
        <w:pStyle w:val="BodyText"/>
        <w:spacing w:before="7"/>
        <w:ind w:left="595"/>
      </w:pPr>
      <w:r>
        <w:rPr/>
        <w:t>（1）已经持续性地接受外源性胰岛素注射治疗连续 180 天以上；</w:t>
      </w:r>
    </w:p>
    <w:p>
      <w:pPr>
        <w:pStyle w:val="BodyText"/>
        <w:spacing w:before="36"/>
        <w:ind w:left="595"/>
      </w:pPr>
      <w:r>
        <w:rPr/>
        <w:t>（2）因需要已经接受了下列治疗：</w:t>
      </w:r>
    </w:p>
    <w:p>
      <w:pPr>
        <w:pStyle w:val="BodyText"/>
        <w:spacing w:line="273" w:lineRule="auto" w:before="36"/>
        <w:ind w:left="175" w:right="220" w:firstLine="420"/>
      </w:pPr>
      <w:r>
        <w:rPr/>
        <w:t>因严重心律失常植入了心脏起搏器，或因坏疽自跖趾关节或以上切除了一趾或多趾。</w:t>
      </w:r>
    </w:p>
    <w:p>
      <w:pPr>
        <w:spacing w:after="0" w:line="273" w:lineRule="auto"/>
        <w:sectPr>
          <w:type w:val="continuous"/>
          <w:pgSz w:w="11910" w:h="16840"/>
          <w:pgMar w:top="1120" w:bottom="1180" w:left="1280" w:right="1140"/>
          <w:cols w:num="2" w:equalWidth="0">
            <w:col w:w="1847" w:space="40"/>
            <w:col w:w="7603"/>
          </w:cols>
        </w:sectPr>
      </w:pPr>
    </w:p>
    <w:p>
      <w:pPr>
        <w:pStyle w:val="BodyText"/>
        <w:spacing w:before="13"/>
        <w:rPr>
          <w:sz w:val="12"/>
        </w:rPr>
      </w:pPr>
    </w:p>
    <w:p>
      <w:pPr>
        <w:spacing w:after="0"/>
        <w:rPr>
          <w:sz w:val="12"/>
        </w:rPr>
        <w:sectPr>
          <w:type w:val="continuous"/>
          <w:pgSz w:w="11910" w:h="16840"/>
          <w:pgMar w:top="1120" w:bottom="1180" w:left="1280" w:right="1140"/>
        </w:sectPr>
      </w:pPr>
    </w:p>
    <w:p>
      <w:pPr>
        <w:pStyle w:val="ListParagraph"/>
        <w:numPr>
          <w:ilvl w:val="2"/>
          <w:numId w:val="9"/>
        </w:numPr>
        <w:tabs>
          <w:tab w:pos="1636" w:val="left" w:leader="none"/>
        </w:tabs>
        <w:spacing w:line="273" w:lineRule="auto" w:before="36" w:after="0"/>
        <w:ind w:left="783" w:right="0" w:firstLine="0"/>
        <w:jc w:val="both"/>
        <w:rPr>
          <w:sz w:val="21"/>
        </w:rPr>
      </w:pPr>
      <w:r>
        <w:rPr>
          <w:sz w:val="21"/>
        </w:rPr>
        <w:t>严重类风湿性关节炎</w:t>
      </w:r>
    </w:p>
    <w:p>
      <w:pPr>
        <w:pStyle w:val="BodyText"/>
        <w:spacing w:line="273" w:lineRule="auto" w:before="36"/>
        <w:ind w:left="173" w:right="218" w:firstLine="420"/>
        <w:jc w:val="both"/>
      </w:pPr>
      <w:r>
        <w:rPr/>
        <w:br w:type="column"/>
      </w:r>
      <w:r>
        <w:rPr/>
        <w:t>指广泛分布的慢性进行性多关节病变，表现为关节严重变形，侵犯至少三个主要四肢关节或关节组。类风湿性关节炎必须明确诊断并且已经达到类风湿</w:t>
      </w:r>
      <w:r>
        <w:rPr>
          <w:spacing w:val="-7"/>
        </w:rPr>
        <w:t>性关节炎功能分类 </w:t>
      </w:r>
      <w:r>
        <w:rPr/>
        <w:t>IV</w:t>
      </w:r>
      <w:r>
        <w:rPr>
          <w:spacing w:val="-10"/>
        </w:rPr>
        <w:t> 级的永久不可逆性关节功能障碍</w:t>
      </w:r>
      <w:r>
        <w:rPr/>
        <w:t>（</w:t>
      </w:r>
      <w:r>
        <w:rPr>
          <w:spacing w:val="-6"/>
        </w:rPr>
        <w:t>生活不能自理，且丧失</w:t>
      </w:r>
      <w:r>
        <w:rPr>
          <w:spacing w:val="-4"/>
          <w:w w:val="100"/>
        </w:rPr>
        <w:t>工作能力</w:t>
      </w:r>
      <w:r>
        <w:rPr>
          <w:spacing w:val="-108"/>
          <w:w w:val="100"/>
        </w:rPr>
        <w:t>）</w:t>
      </w:r>
      <w:r>
        <w:rPr>
          <w:spacing w:val="-3"/>
          <w:w w:val="100"/>
        </w:rPr>
        <w:t>，并且满足下列全部条件：</w:t>
      </w:r>
    </w:p>
    <w:p>
      <w:pPr>
        <w:pStyle w:val="BodyText"/>
        <w:spacing w:before="7"/>
        <w:ind w:left="593"/>
      </w:pPr>
      <w:r>
        <w:rPr/>
        <w:t>（1）晨僵；</w:t>
      </w:r>
    </w:p>
    <w:p>
      <w:pPr>
        <w:pStyle w:val="BodyText"/>
        <w:spacing w:before="36"/>
        <w:ind w:left="593"/>
      </w:pPr>
      <w:r>
        <w:rPr/>
        <w:t>（2）对称性关节炎；</w:t>
      </w:r>
    </w:p>
    <w:p>
      <w:pPr>
        <w:pStyle w:val="BodyText"/>
        <w:spacing w:before="36"/>
        <w:ind w:left="593"/>
      </w:pPr>
      <w:r>
        <w:rPr/>
        <w:t>（3）类风湿性皮下结节；</w:t>
      </w:r>
    </w:p>
    <w:p>
      <w:pPr>
        <w:pStyle w:val="BodyText"/>
        <w:spacing w:before="36"/>
        <w:ind w:left="593"/>
      </w:pPr>
      <w:r>
        <w:rPr/>
        <w:t>（4）类风湿因子滴度升高；</w:t>
      </w:r>
    </w:p>
    <w:p>
      <w:pPr>
        <w:pStyle w:val="BodyText"/>
        <w:spacing w:before="36"/>
        <w:ind w:left="593"/>
      </w:pPr>
      <w:r>
        <w:rPr/>
        <w:t>（5）X 线显示严重的关节（软骨和骨）破坏和关节畸形。</w:t>
      </w:r>
    </w:p>
    <w:p>
      <w:pPr>
        <w:pStyle w:val="BodyText"/>
        <w:spacing w:line="273" w:lineRule="auto" w:before="36"/>
        <w:ind w:left="173" w:right="220" w:firstLine="420"/>
      </w:pPr>
      <w:r>
        <w:rPr/>
        <w:t>主要四肢关节或关节组，指双手（多手指）关节、双腕关节、双肘关节、双肩关节、双足（多足趾）关节、双踝关节、双膝关节和双髋关节。</w:t>
      </w:r>
    </w:p>
    <w:p>
      <w:pPr>
        <w:spacing w:after="0" w:line="273" w:lineRule="auto"/>
        <w:sectPr>
          <w:type w:val="continuous"/>
          <w:pgSz w:w="11910" w:h="16840"/>
          <w:pgMar w:top="1120" w:bottom="1180" w:left="1280" w:right="1140"/>
          <w:cols w:num="2" w:equalWidth="0">
            <w:col w:w="1850" w:space="40"/>
            <w:col w:w="7600"/>
          </w:cols>
        </w:sectPr>
      </w:pPr>
    </w:p>
    <w:p>
      <w:pPr>
        <w:pStyle w:val="BodyText"/>
        <w:spacing w:before="13"/>
        <w:rPr>
          <w:sz w:val="12"/>
        </w:rPr>
      </w:pPr>
    </w:p>
    <w:p>
      <w:pPr>
        <w:spacing w:after="0"/>
        <w:rPr>
          <w:sz w:val="12"/>
        </w:rPr>
        <w:sectPr>
          <w:type w:val="continuous"/>
          <w:pgSz w:w="11910" w:h="16840"/>
          <w:pgMar w:top="1120" w:bottom="1180" w:left="1280" w:right="1140"/>
        </w:sectPr>
      </w:pPr>
    </w:p>
    <w:p>
      <w:pPr>
        <w:pStyle w:val="ListParagraph"/>
        <w:numPr>
          <w:ilvl w:val="2"/>
          <w:numId w:val="9"/>
        </w:numPr>
        <w:tabs>
          <w:tab w:pos="1635" w:val="left" w:leader="none"/>
          <w:tab w:pos="1636" w:val="left" w:leader="none"/>
        </w:tabs>
        <w:spacing w:line="273" w:lineRule="auto" w:before="36" w:after="0"/>
        <w:ind w:left="783" w:right="0" w:firstLine="0"/>
        <w:jc w:val="left"/>
        <w:rPr>
          <w:sz w:val="21"/>
        </w:rPr>
      </w:pPr>
      <w:r>
        <w:rPr>
          <w:sz w:val="21"/>
        </w:rPr>
        <w:t>严重克隆病</w:t>
      </w:r>
    </w:p>
    <w:p>
      <w:pPr>
        <w:pStyle w:val="BodyText"/>
        <w:spacing w:line="273" w:lineRule="auto" w:before="36"/>
        <w:ind w:left="175" w:right="218" w:firstLine="420"/>
        <w:jc w:val="both"/>
      </w:pPr>
      <w:r>
        <w:rPr/>
        <w:br w:type="column"/>
      </w:r>
      <w:r>
        <w:rPr/>
        <w:t>指一种慢性肉芽肿性肠炎，具有特征性的克隆病病理组织学变化。诊断必须由病理检查结果证实。被保险人所患的克隆病必须已经造成瘘管形成并伴有肠梗阻或肠穿孔。</w:t>
      </w:r>
    </w:p>
    <w:p>
      <w:pPr>
        <w:spacing w:after="0" w:line="273" w:lineRule="auto"/>
        <w:jc w:val="both"/>
        <w:sectPr>
          <w:type w:val="continuous"/>
          <w:pgSz w:w="11910" w:h="16840"/>
          <w:pgMar w:top="1120" w:bottom="1180" w:left="1280" w:right="1140"/>
          <w:cols w:num="2" w:equalWidth="0">
            <w:col w:w="1847" w:space="40"/>
            <w:col w:w="7603"/>
          </w:cols>
        </w:sectPr>
      </w:pPr>
    </w:p>
    <w:p>
      <w:pPr>
        <w:pStyle w:val="BodyText"/>
        <w:spacing w:before="2"/>
        <w:rPr>
          <w:sz w:val="13"/>
        </w:rPr>
      </w:pPr>
    </w:p>
    <w:p>
      <w:pPr>
        <w:spacing w:after="0"/>
        <w:rPr>
          <w:sz w:val="13"/>
        </w:rPr>
        <w:sectPr>
          <w:type w:val="continuous"/>
          <w:pgSz w:w="11910" w:h="16840"/>
          <w:pgMar w:top="1120" w:bottom="1180" w:left="1280" w:right="1140"/>
        </w:sectPr>
      </w:pPr>
    </w:p>
    <w:p>
      <w:pPr>
        <w:pStyle w:val="ListParagraph"/>
        <w:numPr>
          <w:ilvl w:val="2"/>
          <w:numId w:val="9"/>
        </w:numPr>
        <w:tabs>
          <w:tab w:pos="1636" w:val="left" w:leader="none"/>
        </w:tabs>
        <w:spacing w:line="273" w:lineRule="auto" w:before="37" w:after="0"/>
        <w:ind w:left="783" w:right="0" w:firstLine="0"/>
        <w:jc w:val="both"/>
        <w:rPr>
          <w:sz w:val="21"/>
        </w:rPr>
      </w:pPr>
      <w:r>
        <w:rPr>
          <w:sz w:val="21"/>
        </w:rPr>
        <w:t>因输血导致的人类免疫缺</w:t>
      </w:r>
      <w:r>
        <w:rPr>
          <w:spacing w:val="0"/>
          <w:sz w:val="21"/>
        </w:rPr>
        <w:t>陷  病  毒</w:t>
      </w:r>
    </w:p>
    <w:p>
      <w:pPr>
        <w:pStyle w:val="BodyText"/>
        <w:spacing w:before="8"/>
        <w:ind w:left="783"/>
        <w:jc w:val="both"/>
      </w:pPr>
      <w:r>
        <w:rPr>
          <w:w w:val="100"/>
        </w:rPr>
        <w:t>（HIV</w:t>
      </w:r>
      <w:r>
        <w:rPr>
          <w:spacing w:val="-99"/>
          <w:w w:val="100"/>
        </w:rPr>
        <w:t>）</w:t>
      </w:r>
      <w:r>
        <w:rPr>
          <w:w w:val="100"/>
        </w:rPr>
        <w:t>感染</w:t>
      </w:r>
    </w:p>
    <w:p>
      <w:pPr>
        <w:pStyle w:val="BodyText"/>
        <w:ind w:left="593"/>
      </w:pPr>
      <w:r>
        <w:rPr/>
        <w:br w:type="column"/>
      </w:r>
      <w:r>
        <w:rPr/>
        <w:t>指被保险人感染上人类免疫缺陷病毒（HIV）并且满足下列全部条件：</w:t>
      </w:r>
    </w:p>
    <w:p>
      <w:pPr>
        <w:pStyle w:val="BodyText"/>
        <w:ind w:left="593"/>
      </w:pPr>
      <w:r>
        <w:rPr/>
        <w:t>（1）被保险人因治疗必须接受输血，并因此而感染HIV；</w:t>
      </w:r>
    </w:p>
    <w:p>
      <w:pPr>
        <w:pStyle w:val="BodyText"/>
        <w:spacing w:line="273" w:lineRule="auto"/>
        <w:ind w:left="173" w:right="112" w:firstLine="420"/>
      </w:pPr>
      <w:r>
        <w:rPr>
          <w:spacing w:val="-8"/>
        </w:rPr>
        <w:t>（2）</w:t>
      </w:r>
      <w:r>
        <w:rPr>
          <w:spacing w:val="-4"/>
        </w:rPr>
        <w:t>提供输血治疗的输血中心或医院必须为正规医疗机构，并出具该项输</w:t>
      </w:r>
      <w:r>
        <w:rPr>
          <w:spacing w:val="-7"/>
        </w:rPr>
        <w:t>血感染属医疗责任事故的报告，或由已生效的法院判决或裁定认定为医疗责任；</w:t>
      </w:r>
    </w:p>
    <w:p>
      <w:pPr>
        <w:pStyle w:val="BodyText"/>
        <w:spacing w:before="8"/>
        <w:ind w:left="593"/>
      </w:pPr>
      <w:r>
        <w:rPr/>
        <w:t>（3）受感染的被保险人不是血友病患者。</w:t>
      </w:r>
    </w:p>
    <w:p>
      <w:pPr>
        <w:pStyle w:val="BodyText"/>
        <w:spacing w:line="273" w:lineRule="auto"/>
        <w:ind w:left="173" w:right="220" w:firstLine="422"/>
        <w:jc w:val="both"/>
      </w:pPr>
      <w:r>
        <w:rPr>
          <w:spacing w:val="-1"/>
        </w:rPr>
        <w:t>任何因其他传播方式</w:t>
      </w:r>
      <w:r>
        <w:rPr/>
        <w:t>（</w:t>
      </w:r>
      <w:r>
        <w:rPr>
          <w:spacing w:val="-3"/>
        </w:rPr>
        <w:t>包括：性传播或静脉注射毒品</w:t>
      </w:r>
      <w:r>
        <w:rPr/>
        <w:t>）</w:t>
      </w:r>
      <w:r>
        <w:rPr>
          <w:spacing w:val="-6"/>
        </w:rPr>
        <w:t>导致的 </w:t>
      </w:r>
      <w:r>
        <w:rPr/>
        <w:t>HIV</w:t>
      </w:r>
      <w:r>
        <w:rPr>
          <w:spacing w:val="-6"/>
        </w:rPr>
        <w:t> 感染不在保障范围内。本公司拥有获得使用被保险人的所有血液样本的权利和能够对</w:t>
      </w:r>
      <w:r>
        <w:rPr>
          <w:spacing w:val="-3"/>
        </w:rPr>
        <w:t>这些样本进行独立检验的权利。</w:t>
      </w:r>
    </w:p>
    <w:p>
      <w:pPr>
        <w:pStyle w:val="BodyText"/>
        <w:spacing w:line="273" w:lineRule="auto" w:before="7"/>
        <w:ind w:left="173" w:right="159" w:firstLine="420"/>
      </w:pPr>
      <w:r>
        <w:rPr/>
        <w:t>本公司承担本项疾病保险责任不受本条款第 2.4 条责任免除中“被保险人感染艾滋病病毒或患艾滋病”的限制。</w:t>
      </w:r>
    </w:p>
    <w:p>
      <w:pPr>
        <w:spacing w:after="0" w:line="273" w:lineRule="auto"/>
        <w:sectPr>
          <w:type w:val="continuous"/>
          <w:pgSz w:w="11910" w:h="16840"/>
          <w:pgMar w:top="1120" w:bottom="1180" w:left="1280" w:right="1140"/>
          <w:cols w:num="2" w:equalWidth="0">
            <w:col w:w="1850" w:space="40"/>
            <w:col w:w="7600"/>
          </w:cols>
        </w:sectPr>
      </w:pPr>
    </w:p>
    <w:p>
      <w:pPr>
        <w:pStyle w:val="BodyText"/>
        <w:spacing w:before="7"/>
        <w:rPr>
          <w:sz w:val="17"/>
        </w:rPr>
      </w:pPr>
    </w:p>
    <w:p>
      <w:pPr>
        <w:spacing w:after="0"/>
        <w:rPr>
          <w:sz w:val="17"/>
        </w:rPr>
        <w:sectPr>
          <w:pgSz w:w="11910" w:h="16840"/>
          <w:pgMar w:header="879" w:footer="999" w:top="1120" w:bottom="1180" w:left="1280" w:right="1140"/>
        </w:sectPr>
      </w:pPr>
    </w:p>
    <w:p>
      <w:pPr>
        <w:pStyle w:val="ListParagraph"/>
        <w:numPr>
          <w:ilvl w:val="2"/>
          <w:numId w:val="9"/>
        </w:numPr>
        <w:tabs>
          <w:tab w:pos="1635" w:val="left" w:leader="none"/>
          <w:tab w:pos="1636" w:val="left" w:leader="none"/>
        </w:tabs>
        <w:spacing w:line="273" w:lineRule="auto" w:before="58" w:after="0"/>
        <w:ind w:left="783" w:right="0" w:firstLine="0"/>
        <w:jc w:val="left"/>
        <w:rPr>
          <w:sz w:val="21"/>
        </w:rPr>
      </w:pPr>
      <w:r>
        <w:rPr>
          <w:sz w:val="21"/>
        </w:rPr>
        <w:t>严重冠心病</w:t>
      </w:r>
    </w:p>
    <w:p>
      <w:pPr>
        <w:pStyle w:val="BodyText"/>
        <w:spacing w:line="237" w:lineRule="auto" w:before="39"/>
        <w:ind w:left="175" w:right="220" w:firstLine="420"/>
      </w:pPr>
      <w:r>
        <w:rPr/>
        <w:br w:type="column"/>
      </w:r>
      <w:r>
        <w:rPr/>
        <w:t>指经冠状动脉造影检查明确诊断为主要血管严重狭窄性病变，须满足下列至少一项条件：</w:t>
      </w:r>
    </w:p>
    <w:p>
      <w:pPr>
        <w:pStyle w:val="BodyText"/>
        <w:spacing w:line="237" w:lineRule="auto" w:before="1"/>
        <w:ind w:left="175" w:right="160" w:firstLine="420"/>
      </w:pPr>
      <w:r>
        <w:rPr/>
        <w:t>（1）左冠状动脉主干和右冠状动脉中，一支血管管腔堵塞 75%以上，另一支血管管腔堵塞 60%以上；</w:t>
      </w:r>
    </w:p>
    <w:p>
      <w:pPr>
        <w:pStyle w:val="BodyText"/>
        <w:spacing w:line="237" w:lineRule="auto" w:before="1"/>
        <w:ind w:left="175" w:right="112" w:firstLine="420"/>
      </w:pPr>
      <w:r>
        <w:rPr>
          <w:spacing w:val="-12"/>
        </w:rPr>
        <w:t>（2）</w:t>
      </w:r>
      <w:r>
        <w:rPr>
          <w:spacing w:val="-11"/>
        </w:rPr>
        <w:t>左前降支、左旋支和右冠状动脉中，至少一支血管管腔堵塞 </w:t>
      </w:r>
      <w:r>
        <w:rPr/>
        <w:t>75</w:t>
      </w:r>
      <w:r>
        <w:rPr>
          <w:spacing w:val="-2"/>
        </w:rPr>
        <w:t>%以上， </w:t>
      </w:r>
      <w:r>
        <w:rPr>
          <w:spacing w:val="-6"/>
        </w:rPr>
        <w:t>其他两支血管管腔堵塞 </w:t>
      </w:r>
      <w:r>
        <w:rPr>
          <w:spacing w:val="-3"/>
        </w:rPr>
        <w:t>60%以上。</w:t>
      </w:r>
    </w:p>
    <w:p>
      <w:pPr>
        <w:pStyle w:val="BodyText"/>
        <w:spacing w:line="273" w:lineRule="auto" w:before="20"/>
        <w:ind w:left="175" w:right="220" w:firstLine="422"/>
      </w:pPr>
      <w:r>
        <w:rPr/>
        <w:t>左前降支的分支血管、左旋支的分支血管及右冠状动脉的分支血管的狭窄不作为本保障的衡量指标。</w:t>
      </w:r>
    </w:p>
    <w:p>
      <w:pPr>
        <w:spacing w:after="0" w:line="273" w:lineRule="auto"/>
        <w:sectPr>
          <w:type w:val="continuous"/>
          <w:pgSz w:w="11910" w:h="16840"/>
          <w:pgMar w:top="1120" w:bottom="1180" w:left="1280" w:right="1140"/>
          <w:cols w:num="2" w:equalWidth="0">
            <w:col w:w="1847" w:space="40"/>
            <w:col w:w="7603"/>
          </w:cols>
        </w:sectPr>
      </w:pPr>
    </w:p>
    <w:p>
      <w:pPr>
        <w:pStyle w:val="BodyText"/>
        <w:spacing w:before="0"/>
        <w:rPr>
          <w:sz w:val="13"/>
        </w:rPr>
      </w:pPr>
    </w:p>
    <w:p>
      <w:pPr>
        <w:spacing w:after="0"/>
        <w:rPr>
          <w:sz w:val="13"/>
        </w:rPr>
        <w:sectPr>
          <w:type w:val="continuous"/>
          <w:pgSz w:w="11910" w:h="16840"/>
          <w:pgMar w:top="1120" w:bottom="1180" w:left="1280" w:right="1140"/>
        </w:sectPr>
      </w:pPr>
    </w:p>
    <w:p>
      <w:pPr>
        <w:pStyle w:val="ListParagraph"/>
        <w:numPr>
          <w:ilvl w:val="2"/>
          <w:numId w:val="9"/>
        </w:numPr>
        <w:tabs>
          <w:tab w:pos="1636" w:val="left" w:leader="none"/>
        </w:tabs>
        <w:spacing w:line="273" w:lineRule="auto" w:before="36" w:after="0"/>
        <w:ind w:left="783" w:right="0" w:firstLine="0"/>
        <w:jc w:val="both"/>
        <w:rPr>
          <w:sz w:val="21"/>
        </w:rPr>
      </w:pPr>
      <w:r>
        <w:rPr>
          <w:sz w:val="21"/>
        </w:rPr>
        <w:t>严重原发性心肌病</w:t>
      </w:r>
    </w:p>
    <w:p>
      <w:pPr>
        <w:pStyle w:val="BodyText"/>
        <w:spacing w:line="273" w:lineRule="auto" w:before="36"/>
        <w:ind w:left="173" w:right="218" w:firstLine="420"/>
        <w:jc w:val="both"/>
      </w:pPr>
      <w:r>
        <w:rPr/>
        <w:br w:type="column"/>
      </w:r>
      <w:r>
        <w:rPr/>
        <w:t>指经本公司认可医院的心脏专科医师确诊被保险人因原发性心肌病而出现的心室功能障碍而使其出现明显的心功能衰竭（美国纽约心脏病学会分类标准</w:t>
      </w:r>
      <w:r>
        <w:rPr>
          <w:spacing w:val="-5"/>
        </w:rPr>
        <w:t>心功能至少达Ⅳ级</w:t>
      </w:r>
      <w:r>
        <w:rPr>
          <w:spacing w:val="-3"/>
        </w:rPr>
        <w:t>（</w:t>
      </w:r>
      <w:r>
        <w:rPr/>
        <w:t>注</w:t>
      </w:r>
      <w:r>
        <w:rPr>
          <w:spacing w:val="-8"/>
        </w:rPr>
        <w:t>）</w:t>
      </w:r>
      <w:r>
        <w:rPr>
          <w:spacing w:val="-6"/>
        </w:rPr>
        <w:t>)。本保障范围内的心肌病包括扩张型心肌病、肥厚型</w:t>
      </w:r>
      <w:r>
        <w:rPr>
          <w:spacing w:val="-3"/>
        </w:rPr>
        <w:t>心肌病及限制型心肌病。</w:t>
      </w:r>
    </w:p>
    <w:p>
      <w:pPr>
        <w:pStyle w:val="BodyText"/>
        <w:spacing w:before="7"/>
        <w:ind w:left="596"/>
      </w:pPr>
      <w:r>
        <w:rPr/>
        <w:t>继发于酒精滥用性的心肌病不在保障范围内。</w:t>
      </w:r>
    </w:p>
    <w:p>
      <w:pPr>
        <w:pStyle w:val="BodyText"/>
        <w:spacing w:line="273" w:lineRule="auto"/>
        <w:ind w:left="173" w:right="112" w:firstLine="420"/>
      </w:pPr>
      <w:r>
        <w:rPr>
          <w:spacing w:val="-8"/>
        </w:rPr>
        <w:t>注：美国纽约心脏病学会分类标准心功能Ⅳ级是指不能从事任何体力活动， </w:t>
      </w:r>
      <w:r>
        <w:rPr>
          <w:spacing w:val="-5"/>
        </w:rPr>
        <w:t>休息时亦有症状。</w:t>
      </w:r>
    </w:p>
    <w:p>
      <w:pPr>
        <w:spacing w:after="0" w:line="273" w:lineRule="auto"/>
        <w:sectPr>
          <w:type w:val="continuous"/>
          <w:pgSz w:w="11910" w:h="16840"/>
          <w:pgMar w:top="1120" w:bottom="1180" w:left="1280" w:right="1140"/>
          <w:cols w:num="2" w:equalWidth="0">
            <w:col w:w="1850" w:space="40"/>
            <w:col w:w="7600"/>
          </w:cols>
        </w:sectPr>
      </w:pPr>
    </w:p>
    <w:p>
      <w:pPr>
        <w:pStyle w:val="BodyText"/>
        <w:spacing w:before="0"/>
        <w:rPr>
          <w:sz w:val="13"/>
        </w:rPr>
      </w:pPr>
    </w:p>
    <w:p>
      <w:pPr>
        <w:spacing w:after="0"/>
        <w:rPr>
          <w:sz w:val="13"/>
        </w:rPr>
        <w:sectPr>
          <w:type w:val="continuous"/>
          <w:pgSz w:w="11910" w:h="16840"/>
          <w:pgMar w:top="1120" w:bottom="1180" w:left="1280" w:right="1140"/>
        </w:sectPr>
      </w:pPr>
    </w:p>
    <w:p>
      <w:pPr>
        <w:pStyle w:val="ListParagraph"/>
        <w:numPr>
          <w:ilvl w:val="2"/>
          <w:numId w:val="9"/>
        </w:numPr>
        <w:tabs>
          <w:tab w:pos="1636" w:val="left" w:leader="none"/>
        </w:tabs>
        <w:spacing w:line="273" w:lineRule="auto" w:before="36" w:after="0"/>
        <w:ind w:left="783" w:right="0" w:firstLine="0"/>
        <w:jc w:val="both"/>
        <w:rPr>
          <w:sz w:val="21"/>
        </w:rPr>
      </w:pPr>
      <w:r>
        <w:rPr>
          <w:sz w:val="21"/>
        </w:rPr>
        <w:t>非阿尔茨海默病所致严重痴呆</w:t>
      </w:r>
    </w:p>
    <w:p>
      <w:pPr>
        <w:pStyle w:val="BodyText"/>
        <w:spacing w:line="273" w:lineRule="auto" w:before="36"/>
        <w:ind w:left="173" w:right="218" w:firstLine="420"/>
        <w:jc w:val="both"/>
      </w:pPr>
      <w:r>
        <w:rPr/>
        <w:br w:type="column"/>
      </w: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BodyText"/>
        <w:spacing w:before="7"/>
        <w:ind w:left="596"/>
      </w:pPr>
      <w:r>
        <w:rPr/>
        <w:t>神经官能症、精神疾病及酒精中毒所致脑损害不在保障范围内。</w:t>
      </w:r>
    </w:p>
    <w:p>
      <w:pPr>
        <w:pStyle w:val="BodyText"/>
        <w:spacing w:line="273" w:lineRule="auto"/>
        <w:ind w:left="173" w:right="220" w:firstLine="422"/>
        <w:jc w:val="both"/>
      </w:pPr>
      <w:r>
        <w:rPr/>
        <w:t>本项疾病需由本公司认可医院中三级及以上非盈利性医院或三级及以上社保定点医院的专科医生确诊。</w:t>
      </w:r>
    </w:p>
    <w:p>
      <w:pPr>
        <w:spacing w:after="0" w:line="273" w:lineRule="auto"/>
        <w:jc w:val="both"/>
        <w:sectPr>
          <w:type w:val="continuous"/>
          <w:pgSz w:w="11910" w:h="16840"/>
          <w:pgMar w:top="1120" w:bottom="1180" w:left="1280" w:right="1140"/>
          <w:cols w:num="2" w:equalWidth="0">
            <w:col w:w="1850" w:space="40"/>
            <w:col w:w="7600"/>
          </w:cols>
        </w:sectPr>
      </w:pPr>
    </w:p>
    <w:p>
      <w:pPr>
        <w:pStyle w:val="BodyText"/>
        <w:spacing w:before="2"/>
        <w:rPr>
          <w:sz w:val="13"/>
        </w:rPr>
      </w:pPr>
    </w:p>
    <w:p>
      <w:pPr>
        <w:spacing w:after="0"/>
        <w:rPr>
          <w:sz w:val="13"/>
        </w:rPr>
        <w:sectPr>
          <w:type w:val="continuous"/>
          <w:pgSz w:w="11910" w:h="16840"/>
          <w:pgMar w:top="1120" w:bottom="1180" w:left="1280" w:right="1140"/>
        </w:sectPr>
      </w:pPr>
    </w:p>
    <w:p>
      <w:pPr>
        <w:pStyle w:val="ListParagraph"/>
        <w:numPr>
          <w:ilvl w:val="2"/>
          <w:numId w:val="9"/>
        </w:numPr>
        <w:tabs>
          <w:tab w:pos="1635" w:val="left" w:leader="none"/>
          <w:tab w:pos="1636" w:val="left" w:leader="none"/>
        </w:tabs>
        <w:spacing w:line="273" w:lineRule="auto" w:before="37" w:after="0"/>
        <w:ind w:left="783" w:right="0" w:firstLine="0"/>
        <w:jc w:val="left"/>
        <w:rPr>
          <w:sz w:val="21"/>
        </w:rPr>
      </w:pPr>
      <w:r>
        <w:rPr>
          <w:sz w:val="21"/>
        </w:rPr>
        <w:t>脊髓灰质炎</w:t>
      </w:r>
    </w:p>
    <w:p>
      <w:pPr>
        <w:pStyle w:val="BodyText"/>
        <w:spacing w:line="273" w:lineRule="auto"/>
        <w:ind w:left="175" w:right="218" w:firstLine="420"/>
        <w:jc w:val="both"/>
      </w:pPr>
      <w:r>
        <w:rPr/>
        <w:br w:type="column"/>
      </w:r>
      <w:r>
        <w:rPr/>
        <w:t>是由于脊髓灰质炎病毒感染所致的瘫痪性疾病，必须明确诊断为脊髓灰质炎，且因脊髓灰质炎造成的神经系统功能损害导致被保险人一肢或一肢以上肢体机能永久完全丧失。</w:t>
      </w:r>
    </w:p>
    <w:p>
      <w:pPr>
        <w:pStyle w:val="BodyText"/>
        <w:spacing w:line="273" w:lineRule="auto" w:before="7"/>
        <w:ind w:left="175" w:right="218" w:firstLine="420"/>
        <w:jc w:val="both"/>
      </w:pPr>
      <w:r>
        <w:rPr>
          <w:spacing w:val="-4"/>
        </w:rPr>
        <w:t>肢体机能永久完全丧失，指疾病确诊 </w:t>
      </w:r>
      <w:r>
        <w:rPr/>
        <w:t>180</w:t>
      </w:r>
      <w:r>
        <w:rPr>
          <w:spacing w:val="-4"/>
        </w:rPr>
        <w:t> 天后，每肢三大关节中的两大关</w:t>
      </w:r>
      <w:r>
        <w:rPr>
          <w:spacing w:val="-3"/>
        </w:rPr>
        <w:t>节仍然完全僵硬，或不能随意识活动。</w:t>
      </w:r>
    </w:p>
    <w:p>
      <w:pPr>
        <w:spacing w:after="0" w:line="273" w:lineRule="auto"/>
        <w:jc w:val="both"/>
        <w:sectPr>
          <w:type w:val="continuous"/>
          <w:pgSz w:w="11910" w:h="16840"/>
          <w:pgMar w:top="1120" w:bottom="1180" w:left="1280" w:right="1140"/>
          <w:cols w:num="2" w:equalWidth="0">
            <w:col w:w="1847" w:space="40"/>
            <w:col w:w="7603"/>
          </w:cols>
        </w:sectPr>
      </w:pPr>
    </w:p>
    <w:p>
      <w:pPr>
        <w:pStyle w:val="BodyText"/>
        <w:spacing w:before="13"/>
        <w:rPr>
          <w:sz w:val="12"/>
        </w:rPr>
      </w:pPr>
    </w:p>
    <w:p>
      <w:pPr>
        <w:spacing w:after="0"/>
        <w:rPr>
          <w:sz w:val="12"/>
        </w:rPr>
        <w:sectPr>
          <w:type w:val="continuous"/>
          <w:pgSz w:w="11910" w:h="16840"/>
          <w:pgMar w:top="1120" w:bottom="1180" w:left="1280" w:right="1140"/>
        </w:sectPr>
      </w:pPr>
    </w:p>
    <w:p>
      <w:pPr>
        <w:pStyle w:val="ListParagraph"/>
        <w:numPr>
          <w:ilvl w:val="2"/>
          <w:numId w:val="9"/>
        </w:numPr>
        <w:tabs>
          <w:tab w:pos="1635" w:val="left" w:leader="none"/>
          <w:tab w:pos="1636" w:val="left" w:leader="none"/>
        </w:tabs>
        <w:spacing w:line="273" w:lineRule="auto" w:before="36" w:after="0"/>
        <w:ind w:left="783" w:right="0" w:firstLine="0"/>
        <w:jc w:val="left"/>
        <w:rPr>
          <w:sz w:val="21"/>
        </w:rPr>
      </w:pPr>
      <w:r>
        <w:rPr>
          <w:sz w:val="21"/>
        </w:rPr>
        <w:t>植物人状态</w:t>
      </w:r>
    </w:p>
    <w:p>
      <w:pPr>
        <w:pStyle w:val="BodyText"/>
        <w:spacing w:line="273" w:lineRule="auto" w:before="36"/>
        <w:ind w:left="175" w:right="112" w:firstLine="420"/>
        <w:jc w:val="both"/>
      </w:pPr>
      <w:r>
        <w:rPr/>
        <w:br w:type="column"/>
      </w:r>
      <w:r>
        <w:rPr/>
        <w:t>指被保险人已丧失大脑皮层功能，对外界刺激或体内需求皆无反应，人呈</w:t>
      </w:r>
      <w:r>
        <w:rPr>
          <w:spacing w:val="-10"/>
        </w:rPr>
        <w:t>无意识状态，但脑干功能仍然保留，并持续依赖外界生命支持系统至少 </w:t>
      </w:r>
      <w:r>
        <w:rPr/>
        <w:t>30</w:t>
      </w:r>
      <w:r>
        <w:rPr>
          <w:spacing w:val="-17"/>
        </w:rPr>
        <w:t> 天以</w:t>
      </w:r>
      <w:r>
        <w:rPr>
          <w:spacing w:val="-9"/>
        </w:rPr>
        <w:t>上，该病须由本公司认可医院的神经科专家确诊并证明有永久性神经系统损害。</w:t>
      </w:r>
    </w:p>
    <w:p>
      <w:pPr>
        <w:pStyle w:val="BodyText"/>
        <w:spacing w:line="273" w:lineRule="auto" w:before="7"/>
        <w:ind w:left="175" w:right="220" w:firstLine="422"/>
      </w:pPr>
      <w:r>
        <w:rPr/>
        <w:t>本项疾病需由本公司认可医院中三级及以上非盈利性医院或三级及以上社保定点医院的专科医生确诊。</w:t>
      </w:r>
    </w:p>
    <w:p>
      <w:pPr>
        <w:spacing w:after="0" w:line="273" w:lineRule="auto"/>
        <w:sectPr>
          <w:type w:val="continuous"/>
          <w:pgSz w:w="11910" w:h="16840"/>
          <w:pgMar w:top="1120" w:bottom="1180" w:left="1280" w:right="1140"/>
          <w:cols w:num="2" w:equalWidth="0">
            <w:col w:w="1847" w:space="40"/>
            <w:col w:w="7603"/>
          </w:cols>
        </w:sectPr>
      </w:pPr>
    </w:p>
    <w:p>
      <w:pPr>
        <w:pStyle w:val="BodyText"/>
        <w:spacing w:before="0"/>
        <w:rPr>
          <w:sz w:val="13"/>
        </w:rPr>
      </w:pPr>
    </w:p>
    <w:p>
      <w:pPr>
        <w:spacing w:after="0"/>
        <w:rPr>
          <w:sz w:val="13"/>
        </w:rPr>
        <w:sectPr>
          <w:type w:val="continuous"/>
          <w:pgSz w:w="11910" w:h="16840"/>
          <w:pgMar w:top="1120" w:bottom="1180" w:left="1280" w:right="1140"/>
        </w:sectPr>
      </w:pPr>
    </w:p>
    <w:p>
      <w:pPr>
        <w:pStyle w:val="ListParagraph"/>
        <w:numPr>
          <w:ilvl w:val="2"/>
          <w:numId w:val="9"/>
        </w:numPr>
        <w:tabs>
          <w:tab w:pos="1635" w:val="left" w:leader="none"/>
          <w:tab w:pos="1636" w:val="left" w:leader="none"/>
        </w:tabs>
        <w:spacing w:line="273" w:lineRule="auto" w:before="36" w:after="0"/>
        <w:ind w:left="783" w:right="0" w:firstLine="0"/>
        <w:jc w:val="left"/>
        <w:rPr>
          <w:sz w:val="21"/>
        </w:rPr>
      </w:pPr>
      <w:r>
        <w:rPr>
          <w:sz w:val="21"/>
        </w:rPr>
        <w:t>重症肌无力</w:t>
      </w:r>
    </w:p>
    <w:p>
      <w:pPr>
        <w:pStyle w:val="BodyText"/>
        <w:spacing w:line="273" w:lineRule="auto" w:before="36"/>
        <w:ind w:left="175" w:right="218" w:firstLine="420"/>
        <w:jc w:val="both"/>
      </w:pPr>
      <w:r>
        <w:rPr/>
        <w:br w:type="column"/>
      </w:r>
      <w:r>
        <w:rPr/>
        <w:t>是一种神经肌肉接头传递障碍所致的疾病，表现为局部或全身骨骼肌（特别是眼外肌）极易疲劳。疾病可以累及呼吸肌、上肢或下肢的近端肌群或全身肌肉，必须满足下列全部条件：</w:t>
      </w:r>
    </w:p>
    <w:p>
      <w:pPr>
        <w:pStyle w:val="BodyText"/>
        <w:spacing w:before="7"/>
        <w:ind w:left="595"/>
      </w:pPr>
      <w:r>
        <w:rPr/>
        <w:t>（1）经药物治疗和胸腺切除治疗一年以上仍无法控制病情；</w:t>
      </w:r>
    </w:p>
    <w:p>
      <w:pPr>
        <w:pStyle w:val="BodyText"/>
        <w:spacing w:line="273" w:lineRule="auto" w:before="36"/>
        <w:ind w:left="175" w:right="218" w:firstLine="420"/>
        <w:jc w:val="both"/>
      </w:pPr>
      <w:r>
        <w:rPr>
          <w:spacing w:val="-8"/>
        </w:rPr>
        <w:t>（2）</w:t>
      </w:r>
      <w:r>
        <w:rPr>
          <w:spacing w:val="-5"/>
        </w:rPr>
        <w:t>自主生活能力完全丧失，无法独立完成六项基本日常生活活动中的三</w:t>
      </w:r>
      <w:r>
        <w:rPr>
          <w:spacing w:val="-3"/>
        </w:rPr>
        <w:t>项或三项以上。</w:t>
      </w:r>
    </w:p>
    <w:p>
      <w:pPr>
        <w:spacing w:after="0" w:line="273" w:lineRule="auto"/>
        <w:jc w:val="both"/>
        <w:sectPr>
          <w:type w:val="continuous"/>
          <w:pgSz w:w="11910" w:h="16840"/>
          <w:pgMar w:top="1120" w:bottom="1180" w:left="1280" w:right="1140"/>
          <w:cols w:num="2" w:equalWidth="0">
            <w:col w:w="1847" w:space="40"/>
            <w:col w:w="7603"/>
          </w:cols>
        </w:sectPr>
      </w:pPr>
    </w:p>
    <w:p>
      <w:pPr>
        <w:pStyle w:val="BodyText"/>
        <w:spacing w:before="2"/>
        <w:rPr>
          <w:sz w:val="13"/>
        </w:rPr>
      </w:pPr>
    </w:p>
    <w:p>
      <w:pPr>
        <w:spacing w:after="0"/>
        <w:rPr>
          <w:sz w:val="13"/>
        </w:rPr>
        <w:sectPr>
          <w:type w:val="continuous"/>
          <w:pgSz w:w="11910" w:h="16840"/>
          <w:pgMar w:top="1120" w:bottom="1180" w:left="1280" w:right="1140"/>
        </w:sectPr>
      </w:pPr>
    </w:p>
    <w:p>
      <w:pPr>
        <w:pStyle w:val="ListParagraph"/>
        <w:numPr>
          <w:ilvl w:val="2"/>
          <w:numId w:val="9"/>
        </w:numPr>
        <w:tabs>
          <w:tab w:pos="1635" w:val="left" w:leader="none"/>
          <w:tab w:pos="1636" w:val="left" w:leader="none"/>
        </w:tabs>
        <w:spacing w:line="273" w:lineRule="auto" w:before="36" w:after="0"/>
        <w:ind w:left="783" w:right="0" w:firstLine="0"/>
        <w:jc w:val="left"/>
        <w:rPr>
          <w:sz w:val="21"/>
        </w:rPr>
      </w:pPr>
      <w:r>
        <w:rPr>
          <w:sz w:val="21"/>
        </w:rPr>
        <w:t>溃疡性结肠炎</w:t>
      </w:r>
    </w:p>
    <w:p>
      <w:pPr>
        <w:pStyle w:val="BodyText"/>
        <w:spacing w:line="273" w:lineRule="auto" w:before="36"/>
        <w:ind w:left="175" w:right="218" w:firstLine="420"/>
      </w:pPr>
      <w:r>
        <w:rPr/>
        <w:br w:type="column"/>
      </w:r>
      <w:r>
        <w:rPr/>
        <w:t>指伴有致命性电解质紊乱的急性暴发性溃疡性结肠炎，病变累及全结肠， 表现为严重的血便和系统性症状体征。溃疡性结肠炎必须根据组织病理学特点</w:t>
      </w:r>
    </w:p>
    <w:p>
      <w:pPr>
        <w:spacing w:after="0" w:line="273" w:lineRule="auto"/>
        <w:sectPr>
          <w:type w:val="continuous"/>
          <w:pgSz w:w="11910" w:h="16840"/>
          <w:pgMar w:top="1120" w:bottom="1180" w:left="1280" w:right="1140"/>
          <w:cols w:num="2" w:equalWidth="0">
            <w:col w:w="1847" w:space="40"/>
            <w:col w:w="7603"/>
          </w:cols>
        </w:sectPr>
      </w:pPr>
    </w:p>
    <w:p>
      <w:pPr>
        <w:pStyle w:val="BodyText"/>
        <w:spacing w:before="2"/>
        <w:rPr>
          <w:sz w:val="19"/>
        </w:rPr>
      </w:pPr>
    </w:p>
    <w:p>
      <w:pPr>
        <w:pStyle w:val="BodyText"/>
        <w:ind w:left="2082"/>
      </w:pPr>
      <w:r>
        <w:rPr/>
        <w:t>诊断，并且被保险人已经接受了结肠切除和/或回肠造瘘术。</w:t>
      </w:r>
    </w:p>
    <w:p>
      <w:pPr>
        <w:pStyle w:val="BodyText"/>
        <w:spacing w:before="3"/>
        <w:rPr>
          <w:sz w:val="15"/>
        </w:rPr>
      </w:pPr>
    </w:p>
    <w:p>
      <w:pPr>
        <w:spacing w:after="0"/>
        <w:rPr>
          <w:sz w:val="15"/>
        </w:rPr>
        <w:sectPr>
          <w:pgSz w:w="11910" w:h="16840"/>
          <w:pgMar w:header="879" w:footer="999" w:top="1120" w:bottom="1180" w:left="1260" w:right="1140"/>
        </w:sectPr>
      </w:pPr>
    </w:p>
    <w:p>
      <w:pPr>
        <w:pStyle w:val="ListParagraph"/>
        <w:numPr>
          <w:ilvl w:val="2"/>
          <w:numId w:val="9"/>
        </w:numPr>
        <w:tabs>
          <w:tab w:pos="1655" w:val="left" w:leader="none"/>
          <w:tab w:pos="1656" w:val="left" w:leader="none"/>
        </w:tabs>
        <w:spacing w:line="273" w:lineRule="auto" w:before="37" w:after="0"/>
        <w:ind w:left="803" w:right="0" w:firstLine="0"/>
        <w:jc w:val="left"/>
        <w:rPr>
          <w:sz w:val="21"/>
        </w:rPr>
      </w:pPr>
      <w:r>
        <w:rPr>
          <w:sz w:val="21"/>
        </w:rPr>
        <w:t>肾髓质囊性病</w:t>
      </w:r>
    </w:p>
    <w:p>
      <w:pPr>
        <w:pStyle w:val="BodyText"/>
        <w:ind w:left="595"/>
      </w:pPr>
      <w:r>
        <w:rPr/>
        <w:br w:type="column"/>
      </w:r>
      <w:r>
        <w:rPr/>
        <w:t>肾髓质囊性病的诊断须同时符合下列要求：</w:t>
      </w:r>
    </w:p>
    <w:p>
      <w:pPr>
        <w:pStyle w:val="BodyText"/>
        <w:ind w:left="595"/>
      </w:pPr>
      <w:r>
        <w:rPr/>
        <w:t>（1）肾髓质有囊肿、肾小管萎缩及间质纤维化等病理改变；</w:t>
      </w:r>
    </w:p>
    <w:p>
      <w:pPr>
        <w:pStyle w:val="BodyText"/>
        <w:ind w:left="595"/>
      </w:pPr>
      <w:r>
        <w:rPr/>
        <w:t>（2）诊断须由肾组织活检确定；</w:t>
      </w:r>
    </w:p>
    <w:p>
      <w:pPr>
        <w:pStyle w:val="BodyText"/>
        <w:ind w:left="595"/>
      </w:pPr>
      <w:r>
        <w:rPr/>
        <w:t>（3）已诊断为肾功能衰竭。</w:t>
      </w:r>
    </w:p>
    <w:p>
      <w:pPr>
        <w:pStyle w:val="BodyText"/>
        <w:spacing w:line="273" w:lineRule="auto"/>
        <w:ind w:left="175" w:right="160" w:firstLine="420"/>
      </w:pPr>
      <w:r>
        <w:rPr/>
        <w:t>本公司承担本项疾病保险责任不受本条款第 2.4 条责任免除中“遗传性疾病，先天性畸形、变形或染色体异常”的限制。</w:t>
      </w:r>
    </w:p>
    <w:p>
      <w:pPr>
        <w:spacing w:after="0" w:line="273" w:lineRule="auto"/>
        <w:sectPr>
          <w:type w:val="continuous"/>
          <w:pgSz w:w="11910" w:h="16840"/>
          <w:pgMar w:top="1120" w:bottom="1180" w:left="1260" w:right="1140"/>
          <w:cols w:num="2" w:equalWidth="0">
            <w:col w:w="1867" w:space="40"/>
            <w:col w:w="7603"/>
          </w:cols>
        </w:sectPr>
      </w:pPr>
    </w:p>
    <w:p>
      <w:pPr>
        <w:pStyle w:val="BodyText"/>
        <w:spacing w:before="0"/>
        <w:rPr>
          <w:sz w:val="13"/>
        </w:rPr>
      </w:pPr>
    </w:p>
    <w:p>
      <w:pPr>
        <w:spacing w:after="0"/>
        <w:rPr>
          <w:sz w:val="13"/>
        </w:rPr>
        <w:sectPr>
          <w:type w:val="continuous"/>
          <w:pgSz w:w="11910" w:h="16840"/>
          <w:pgMar w:top="1120" w:bottom="1180" w:left="1260" w:right="1140"/>
        </w:sectPr>
      </w:pPr>
    </w:p>
    <w:p>
      <w:pPr>
        <w:pStyle w:val="ListParagraph"/>
        <w:numPr>
          <w:ilvl w:val="2"/>
          <w:numId w:val="9"/>
        </w:numPr>
        <w:tabs>
          <w:tab w:pos="1655" w:val="left" w:leader="none"/>
          <w:tab w:pos="1656" w:val="left" w:leader="none"/>
        </w:tabs>
        <w:spacing w:line="273" w:lineRule="auto" w:before="36" w:after="0"/>
        <w:ind w:left="803" w:right="0" w:firstLine="0"/>
        <w:jc w:val="left"/>
        <w:rPr>
          <w:sz w:val="21"/>
        </w:rPr>
      </w:pPr>
      <w:r>
        <w:rPr>
          <w:sz w:val="21"/>
        </w:rPr>
        <w:t>全身性硬皮病</w:t>
      </w:r>
    </w:p>
    <w:p>
      <w:pPr>
        <w:pStyle w:val="BodyText"/>
        <w:spacing w:line="273" w:lineRule="auto" w:before="36"/>
        <w:ind w:left="175" w:right="218" w:firstLine="420"/>
        <w:jc w:val="both"/>
      </w:pPr>
      <w:r>
        <w:rPr/>
        <w:br w:type="column"/>
      </w:r>
      <w:r>
        <w:rPr/>
        <w:t>指一种全身性的胶原血管性疾病，可以导致皮肤、血管及内脏器官进行性弥漫性纤维化。诊断必须经活检及血清学检查证实，疾病必须是全身性的并累及心脏、肺或肾脏。</w:t>
      </w:r>
    </w:p>
    <w:p>
      <w:pPr>
        <w:pStyle w:val="BodyText"/>
        <w:spacing w:before="7"/>
        <w:ind w:left="598"/>
      </w:pPr>
      <w:r>
        <w:rPr/>
        <w:t>以下情况不在保障范围内：</w:t>
      </w:r>
    </w:p>
    <w:p>
      <w:pPr>
        <w:pStyle w:val="BodyText"/>
        <w:ind w:left="598"/>
      </w:pPr>
      <w:r>
        <w:rPr/>
        <w:t>（1）局限性硬皮病（带状硬皮病或斑状损害）</w:t>
      </w:r>
    </w:p>
    <w:p>
      <w:pPr>
        <w:pStyle w:val="BodyText"/>
        <w:ind w:left="598"/>
      </w:pPr>
      <w:r>
        <w:rPr/>
        <w:t>（2）嗜酸性筋膜炎</w:t>
      </w:r>
    </w:p>
    <w:p>
      <w:pPr>
        <w:pStyle w:val="BodyText"/>
        <w:ind w:left="598"/>
      </w:pPr>
      <w:r>
        <w:rPr/>
        <w:t>（3）CREST 综合征</w:t>
      </w:r>
    </w:p>
    <w:p>
      <w:pPr>
        <w:spacing w:after="0"/>
        <w:sectPr>
          <w:type w:val="continuous"/>
          <w:pgSz w:w="11910" w:h="16840"/>
          <w:pgMar w:top="1120" w:bottom="1180" w:left="1260" w:right="1140"/>
          <w:cols w:num="2" w:equalWidth="0">
            <w:col w:w="1867" w:space="40"/>
            <w:col w:w="7603"/>
          </w:cols>
        </w:sectPr>
      </w:pPr>
    </w:p>
    <w:p>
      <w:pPr>
        <w:pStyle w:val="BodyText"/>
        <w:spacing w:before="6"/>
        <w:rPr>
          <w:sz w:val="15"/>
        </w:rPr>
      </w:pPr>
    </w:p>
    <w:p>
      <w:pPr>
        <w:spacing w:after="0"/>
        <w:rPr>
          <w:sz w:val="15"/>
        </w:rPr>
        <w:sectPr>
          <w:type w:val="continuous"/>
          <w:pgSz w:w="11910" w:h="16840"/>
          <w:pgMar w:top="1120" w:bottom="1180" w:left="1260" w:right="1140"/>
        </w:sectPr>
      </w:pPr>
    </w:p>
    <w:p>
      <w:pPr>
        <w:pStyle w:val="ListParagraph"/>
        <w:numPr>
          <w:ilvl w:val="2"/>
          <w:numId w:val="9"/>
        </w:numPr>
        <w:tabs>
          <w:tab w:pos="1655" w:val="left" w:leader="none"/>
          <w:tab w:pos="1656" w:val="left" w:leader="none"/>
        </w:tabs>
        <w:spacing w:line="273" w:lineRule="auto" w:before="36" w:after="0"/>
        <w:ind w:left="803" w:right="0" w:firstLine="0"/>
        <w:jc w:val="left"/>
        <w:rPr>
          <w:sz w:val="21"/>
        </w:rPr>
      </w:pPr>
      <w:r>
        <w:rPr>
          <w:sz w:val="21"/>
        </w:rPr>
        <w:t>肺源性心脏病</w:t>
      </w:r>
    </w:p>
    <w:p>
      <w:pPr>
        <w:pStyle w:val="BodyText"/>
        <w:spacing w:line="273" w:lineRule="auto" w:before="36"/>
        <w:ind w:left="175" w:right="218" w:firstLine="420"/>
        <w:jc w:val="both"/>
      </w:pPr>
      <w:r>
        <w:rPr/>
        <w:br w:type="column"/>
      </w:r>
      <w:r>
        <w:rPr/>
        <w:t>指被保险人因慢性肺部疾病导致慢性心功能损害造成永久不可逆性的心功能衰竭。心功能衰竭程度至少达到美国纽约心脏病学会的心功能分级标准之心</w:t>
      </w:r>
      <w:r>
        <w:rPr>
          <w:spacing w:val="-2"/>
        </w:rPr>
        <w:t>功能 </w:t>
      </w:r>
      <w:r>
        <w:rPr/>
        <w:t>IV</w:t>
      </w:r>
      <w:r>
        <w:rPr>
          <w:spacing w:val="-4"/>
        </w:rPr>
        <w:t> 级</w:t>
      </w:r>
      <w:r>
        <w:rPr>
          <w:spacing w:val="-3"/>
        </w:rPr>
        <w:t>（</w:t>
      </w:r>
      <w:r>
        <w:rPr/>
        <w:t>注</w:t>
      </w:r>
      <w:r>
        <w:rPr>
          <w:spacing w:val="-106"/>
        </w:rPr>
        <w:t>）</w:t>
      </w:r>
      <w:r>
        <w:rPr>
          <w:spacing w:val="-3"/>
        </w:rPr>
        <w:t>。被保险人永久不可逆性的体力活动能力受限，不能从事任何</w:t>
      </w:r>
      <w:r>
        <w:rPr>
          <w:spacing w:val="-2"/>
        </w:rPr>
        <w:t>体力活动。</w:t>
      </w:r>
    </w:p>
    <w:p>
      <w:pPr>
        <w:pStyle w:val="BodyText"/>
        <w:spacing w:line="273" w:lineRule="auto" w:before="7"/>
        <w:ind w:left="175" w:right="112" w:firstLine="420"/>
      </w:pPr>
      <w:r>
        <w:rPr>
          <w:spacing w:val="-8"/>
        </w:rPr>
        <w:t>注：美国纽约心脏病学会分类标准心功能Ⅳ级是指不能从事任何体力活动， </w:t>
      </w:r>
      <w:r>
        <w:rPr>
          <w:spacing w:val="-5"/>
        </w:rPr>
        <w:t>休息时亦有症状。</w:t>
      </w:r>
    </w:p>
    <w:p>
      <w:pPr>
        <w:pStyle w:val="BodyText"/>
        <w:spacing w:before="10"/>
        <w:rPr>
          <w:sz w:val="15"/>
        </w:rPr>
      </w:pPr>
    </w:p>
    <w:p>
      <w:pPr>
        <w:pStyle w:val="BodyText"/>
        <w:spacing w:before="0"/>
        <w:ind w:left="595"/>
      </w:pPr>
      <w:r>
        <w:rPr>
          <w:spacing w:val="-13"/>
        </w:rPr>
        <w:t>以上第 </w:t>
      </w:r>
      <w:r>
        <w:rPr/>
        <w:t>1</w:t>
      </w:r>
      <w:r>
        <w:rPr>
          <w:spacing w:val="-30"/>
        </w:rPr>
        <w:t> 至 </w:t>
      </w:r>
      <w:r>
        <w:rPr/>
        <w:t>25</w:t>
      </w:r>
      <w:r>
        <w:rPr>
          <w:spacing w:val="-10"/>
        </w:rPr>
        <w:t> 种疾病的名称和释义为中国保险行业协会制定的《重大疾病</w:t>
      </w:r>
    </w:p>
    <w:p>
      <w:pPr>
        <w:pStyle w:val="BodyText"/>
        <w:spacing w:line="273" w:lineRule="auto"/>
        <w:ind w:left="175" w:right="218"/>
      </w:pPr>
      <w:r>
        <w:rPr>
          <w:spacing w:val="-5"/>
        </w:rPr>
        <w:t>保险的疾病定义使用规范》中的疾病名称和释义。第 </w:t>
      </w:r>
      <w:r>
        <w:rPr/>
        <w:t>26</w:t>
      </w:r>
      <w:r>
        <w:rPr>
          <w:spacing w:val="-16"/>
        </w:rPr>
        <w:t> 种至 </w:t>
      </w:r>
      <w:r>
        <w:rPr/>
        <w:t>45</w:t>
      </w:r>
      <w:r>
        <w:rPr>
          <w:spacing w:val="-7"/>
        </w:rPr>
        <w:t> 种疾病为本公</w:t>
      </w:r>
      <w:r>
        <w:rPr>
          <w:spacing w:val="-3"/>
        </w:rPr>
        <w:t>司增加的疾病类型。</w:t>
      </w:r>
    </w:p>
    <w:p>
      <w:pPr>
        <w:pStyle w:val="BodyText"/>
        <w:spacing w:before="10"/>
        <w:rPr>
          <w:sz w:val="15"/>
        </w:rPr>
      </w:pPr>
    </w:p>
    <w:p>
      <w:pPr>
        <w:pStyle w:val="BodyText"/>
        <w:spacing w:line="273" w:lineRule="auto" w:before="1"/>
        <w:ind w:left="175" w:right="72" w:firstLine="420"/>
      </w:pPr>
      <w:r>
        <w:rPr/>
        <w:t>上述重大疾病中所指的永久不可逆，指自疾病确诊或意外伤害发生之日起， 经过积极治疗 180 天后，仍无法通过现有医疗手段恢复。</w:t>
      </w:r>
    </w:p>
    <w:p>
      <w:pPr>
        <w:pStyle w:val="BodyText"/>
        <w:spacing w:before="8"/>
        <w:ind w:left="595"/>
      </w:pPr>
      <w:r>
        <w:rPr/>
        <w:t>上述重大疾病中所指的六项基本日常生活活动是指：</w:t>
      </w:r>
    </w:p>
    <w:p>
      <w:pPr>
        <w:pStyle w:val="BodyText"/>
        <w:ind w:left="595"/>
      </w:pPr>
      <w:r>
        <w:rPr/>
        <w:t>（1）穿衣：自己能够穿衣及脱衣；</w:t>
      </w:r>
    </w:p>
    <w:p>
      <w:pPr>
        <w:pStyle w:val="BodyText"/>
        <w:ind w:left="595"/>
      </w:pPr>
      <w:r>
        <w:rPr/>
        <w:t>（2）移动：自己从一个房间到另一个房间；</w:t>
      </w:r>
    </w:p>
    <w:p>
      <w:pPr>
        <w:pStyle w:val="BodyText"/>
        <w:ind w:left="595"/>
      </w:pPr>
      <w:r>
        <w:rPr/>
        <w:t>（3）行动：自己上下床或上下轮椅；</w:t>
      </w:r>
    </w:p>
    <w:p>
      <w:pPr>
        <w:pStyle w:val="BodyText"/>
        <w:ind w:left="595"/>
      </w:pPr>
      <w:r>
        <w:rPr/>
        <w:t>（4）如厕：自己控制进行大小便；</w:t>
      </w:r>
    </w:p>
    <w:p>
      <w:pPr>
        <w:pStyle w:val="BodyText"/>
        <w:ind w:left="595"/>
      </w:pPr>
      <w:r>
        <w:rPr/>
        <w:t>（5）进食：自己从已准备好的碗或碟中取食物放入口中；</w:t>
      </w:r>
    </w:p>
    <w:p>
      <w:pPr>
        <w:pStyle w:val="BodyText"/>
        <w:ind w:left="595"/>
      </w:pPr>
      <w:r>
        <w:rPr/>
        <w:t>（6）洗澡：自己进行淋浴或盆浴。</w:t>
      </w:r>
    </w:p>
    <w:p>
      <w:pPr>
        <w:spacing w:after="0"/>
        <w:sectPr>
          <w:type w:val="continuous"/>
          <w:pgSz w:w="11910" w:h="16840"/>
          <w:pgMar w:top="1120" w:bottom="1180" w:left="1260" w:right="1140"/>
          <w:cols w:num="2" w:equalWidth="0">
            <w:col w:w="1867" w:space="40"/>
            <w:col w:w="7603"/>
          </w:cols>
        </w:sectPr>
      </w:pPr>
    </w:p>
    <w:p>
      <w:pPr>
        <w:pStyle w:val="BodyText"/>
        <w:spacing w:before="12"/>
        <w:rPr>
          <w:sz w:val="23"/>
        </w:rPr>
      </w:pPr>
    </w:p>
    <w:p>
      <w:pPr>
        <w:pStyle w:val="ListParagraph"/>
        <w:numPr>
          <w:ilvl w:val="1"/>
          <w:numId w:val="9"/>
        </w:numPr>
        <w:tabs>
          <w:tab w:pos="837" w:val="left" w:leader="none"/>
          <w:tab w:pos="838" w:val="left" w:leader="none"/>
          <w:tab w:pos="2536" w:val="left" w:leader="none"/>
        </w:tabs>
        <w:spacing w:line="273" w:lineRule="auto" w:before="36" w:after="0"/>
        <w:ind w:left="2116" w:right="254" w:hanging="1973"/>
        <w:jc w:val="left"/>
        <w:rPr>
          <w:sz w:val="21"/>
        </w:rPr>
      </w:pPr>
      <w:r>
        <w:rPr>
          <w:sz w:val="21"/>
        </w:rPr>
        <w:t>意外伤害</w:t>
        <w:tab/>
        <w:tab/>
      </w:r>
      <w:r>
        <w:rPr>
          <w:spacing w:val="-1"/>
          <w:sz w:val="21"/>
        </w:rPr>
        <w:t>指以</w:t>
      </w:r>
      <w:r>
        <w:rPr>
          <w:spacing w:val="-3"/>
          <w:sz w:val="21"/>
        </w:rPr>
        <w:t>外</w:t>
      </w:r>
      <w:r>
        <w:rPr>
          <w:sz w:val="21"/>
        </w:rPr>
        <w:t>来</w:t>
      </w:r>
      <w:r>
        <w:rPr>
          <w:spacing w:val="-3"/>
          <w:sz w:val="21"/>
        </w:rPr>
        <w:t>的</w:t>
      </w:r>
      <w:r>
        <w:rPr>
          <w:spacing w:val="-5"/>
          <w:sz w:val="21"/>
        </w:rPr>
        <w:t>、</w:t>
      </w:r>
      <w:r>
        <w:rPr>
          <w:sz w:val="21"/>
        </w:rPr>
        <w:t>突</w:t>
      </w:r>
      <w:r>
        <w:rPr>
          <w:spacing w:val="-3"/>
          <w:sz w:val="21"/>
        </w:rPr>
        <w:t>发</w:t>
      </w:r>
      <w:r>
        <w:rPr>
          <w:sz w:val="21"/>
        </w:rPr>
        <w:t>的</w:t>
      </w:r>
      <w:r>
        <w:rPr>
          <w:spacing w:val="-5"/>
          <w:sz w:val="21"/>
        </w:rPr>
        <w:t>、</w:t>
      </w:r>
      <w:r>
        <w:rPr>
          <w:spacing w:val="-3"/>
          <w:sz w:val="21"/>
        </w:rPr>
        <w:t>非</w:t>
      </w:r>
      <w:r>
        <w:rPr>
          <w:sz w:val="21"/>
        </w:rPr>
        <w:t>本意</w:t>
      </w:r>
      <w:r>
        <w:rPr>
          <w:spacing w:val="-3"/>
          <w:sz w:val="21"/>
        </w:rPr>
        <w:t>的</w:t>
      </w:r>
      <w:r>
        <w:rPr>
          <w:spacing w:val="-5"/>
          <w:sz w:val="21"/>
        </w:rPr>
        <w:t>、</w:t>
      </w:r>
      <w:r>
        <w:rPr>
          <w:sz w:val="21"/>
        </w:rPr>
        <w:t>非</w:t>
      </w:r>
      <w:r>
        <w:rPr>
          <w:spacing w:val="-3"/>
          <w:sz w:val="21"/>
        </w:rPr>
        <w:t>疾</w:t>
      </w:r>
      <w:r>
        <w:rPr>
          <w:sz w:val="21"/>
        </w:rPr>
        <w:t>病</w:t>
      </w:r>
      <w:r>
        <w:rPr>
          <w:spacing w:val="-3"/>
          <w:sz w:val="21"/>
        </w:rPr>
        <w:t>的</w:t>
      </w:r>
      <w:r>
        <w:rPr>
          <w:sz w:val="21"/>
        </w:rPr>
        <w:t>客</w:t>
      </w:r>
      <w:r>
        <w:rPr>
          <w:spacing w:val="-3"/>
          <w:sz w:val="21"/>
        </w:rPr>
        <w:t>观事</w:t>
      </w:r>
      <w:r>
        <w:rPr>
          <w:sz w:val="21"/>
        </w:rPr>
        <w:t>件为</w:t>
      </w:r>
      <w:r>
        <w:rPr>
          <w:spacing w:val="-3"/>
          <w:sz w:val="21"/>
        </w:rPr>
        <w:t>直</w:t>
      </w:r>
      <w:r>
        <w:rPr>
          <w:sz w:val="21"/>
        </w:rPr>
        <w:t>接</w:t>
      </w:r>
      <w:r>
        <w:rPr>
          <w:spacing w:val="-3"/>
          <w:sz w:val="21"/>
        </w:rPr>
        <w:t>且</w:t>
      </w:r>
      <w:r>
        <w:rPr>
          <w:sz w:val="21"/>
        </w:rPr>
        <w:t>主</w:t>
      </w:r>
      <w:r>
        <w:rPr>
          <w:spacing w:val="-3"/>
          <w:sz w:val="21"/>
        </w:rPr>
        <w:t>要</w:t>
      </w:r>
      <w:r>
        <w:rPr>
          <w:sz w:val="21"/>
        </w:rPr>
        <w:t>原</w:t>
      </w:r>
      <w:r>
        <w:rPr>
          <w:spacing w:val="-3"/>
          <w:sz w:val="21"/>
        </w:rPr>
        <w:t>因</w:t>
      </w:r>
      <w:r>
        <w:rPr>
          <w:sz w:val="21"/>
        </w:rPr>
        <w:t>导 </w:t>
      </w:r>
      <w:r>
        <w:rPr>
          <w:spacing w:val="-1"/>
          <w:sz w:val="21"/>
        </w:rPr>
        <w:t>致</w:t>
      </w:r>
      <w:r>
        <w:rPr>
          <w:sz w:val="21"/>
        </w:rPr>
        <w:t>的</w:t>
      </w:r>
      <w:r>
        <w:rPr>
          <w:spacing w:val="-3"/>
          <w:sz w:val="21"/>
        </w:rPr>
        <w:t>身</w:t>
      </w:r>
      <w:r>
        <w:rPr>
          <w:sz w:val="21"/>
        </w:rPr>
        <w:t>体</w:t>
      </w:r>
      <w:r>
        <w:rPr>
          <w:spacing w:val="-3"/>
          <w:sz w:val="21"/>
        </w:rPr>
        <w:t>伤</w:t>
      </w:r>
      <w:r>
        <w:rPr>
          <w:sz w:val="21"/>
        </w:rPr>
        <w:t>害</w:t>
      </w:r>
      <w:r>
        <w:rPr>
          <w:spacing w:val="-3"/>
          <w:sz w:val="21"/>
        </w:rPr>
        <w:t>，</w:t>
      </w:r>
      <w:r>
        <w:rPr>
          <w:sz w:val="21"/>
        </w:rPr>
        <w:t>猝</w:t>
      </w:r>
      <w:r>
        <w:rPr>
          <w:spacing w:val="-3"/>
          <w:sz w:val="21"/>
        </w:rPr>
        <w:t>死</w:t>
      </w:r>
      <w:r>
        <w:rPr>
          <w:sz w:val="21"/>
        </w:rPr>
        <w:t>不</w:t>
      </w:r>
      <w:r>
        <w:rPr>
          <w:spacing w:val="-3"/>
          <w:sz w:val="21"/>
        </w:rPr>
        <w:t>属</w:t>
      </w:r>
      <w:r>
        <w:rPr>
          <w:sz w:val="21"/>
        </w:rPr>
        <w:t>于意</w:t>
      </w:r>
      <w:r>
        <w:rPr>
          <w:spacing w:val="-3"/>
          <w:sz w:val="21"/>
        </w:rPr>
        <w:t>外</w:t>
      </w:r>
      <w:r>
        <w:rPr>
          <w:sz w:val="21"/>
        </w:rPr>
        <w:t>伤</w:t>
      </w:r>
      <w:r>
        <w:rPr>
          <w:spacing w:val="-3"/>
          <w:sz w:val="21"/>
        </w:rPr>
        <w:t>害</w:t>
      </w:r>
      <w:r>
        <w:rPr>
          <w:sz w:val="21"/>
        </w:rPr>
        <w:t>。</w:t>
      </w:r>
    </w:p>
    <w:p>
      <w:pPr>
        <w:pStyle w:val="BodyText"/>
        <w:spacing w:line="273" w:lineRule="auto" w:before="7"/>
        <w:ind w:left="2116" w:right="148" w:firstLine="420"/>
      </w:pPr>
      <w:r>
        <w:rPr>
          <w:spacing w:val="-9"/>
        </w:rPr>
        <w:t>猝死是指貌似健康的人因潜在疾病、机能障碍或其他原因在出现症状后 </w:t>
      </w:r>
      <w:r>
        <w:rPr/>
        <w:t>24 </w:t>
      </w:r>
      <w:r>
        <w:rPr>
          <w:spacing w:val="-10"/>
        </w:rPr>
        <w:t>小时内发生的非暴力性突然死亡，属于疾病身故。猝死的认定，如有公安机关、</w:t>
      </w:r>
      <w:r>
        <w:rPr>
          <w:spacing w:val="-6"/>
        </w:rPr>
        <w:t>检察院、法院等司法机关的法律文件、医疗机构的诊断书等，则以上述法律文</w:t>
      </w:r>
      <w:r>
        <w:rPr>
          <w:spacing w:val="-3"/>
        </w:rPr>
        <w:t>件、诊断书等为准。</w:t>
      </w:r>
    </w:p>
    <w:p>
      <w:pPr>
        <w:pStyle w:val="BodyText"/>
        <w:spacing w:before="12"/>
        <w:rPr>
          <w:sz w:val="15"/>
        </w:rPr>
      </w:pPr>
    </w:p>
    <w:p>
      <w:pPr>
        <w:pStyle w:val="ListParagraph"/>
        <w:numPr>
          <w:ilvl w:val="1"/>
          <w:numId w:val="9"/>
        </w:numPr>
        <w:tabs>
          <w:tab w:pos="803" w:val="left" w:leader="none"/>
          <w:tab w:pos="804" w:val="left" w:leader="none"/>
          <w:tab w:pos="2502" w:val="left" w:leader="none"/>
        </w:tabs>
        <w:spacing w:line="273" w:lineRule="auto" w:before="0" w:after="0"/>
        <w:ind w:left="2082" w:right="220" w:hanging="1973"/>
        <w:jc w:val="left"/>
        <w:rPr>
          <w:sz w:val="21"/>
        </w:rPr>
      </w:pPr>
      <w:r>
        <w:rPr>
          <w:sz w:val="21"/>
        </w:rPr>
        <w:t>遗传性疾病</w:t>
        <w:tab/>
        <w:tab/>
        <w:t>指生殖细胞或受精卵的遗传物质（染色体和基因）发生突变或畸变所引起 </w:t>
      </w:r>
      <w:r>
        <w:rPr>
          <w:spacing w:val="-1"/>
          <w:sz w:val="21"/>
        </w:rPr>
        <w:t>的</w:t>
      </w:r>
      <w:r>
        <w:rPr>
          <w:sz w:val="21"/>
        </w:rPr>
        <w:t>疾</w:t>
      </w:r>
      <w:r>
        <w:rPr>
          <w:spacing w:val="-3"/>
          <w:sz w:val="21"/>
        </w:rPr>
        <w:t>病</w:t>
      </w:r>
      <w:r>
        <w:rPr>
          <w:sz w:val="21"/>
        </w:rPr>
        <w:t>，</w:t>
      </w:r>
      <w:r>
        <w:rPr>
          <w:spacing w:val="-3"/>
          <w:sz w:val="21"/>
        </w:rPr>
        <w:t>通</w:t>
      </w:r>
      <w:r>
        <w:rPr>
          <w:sz w:val="21"/>
        </w:rPr>
        <w:t>常</w:t>
      </w:r>
      <w:r>
        <w:rPr>
          <w:spacing w:val="-3"/>
          <w:sz w:val="21"/>
        </w:rPr>
        <w:t>具</w:t>
      </w:r>
      <w:r>
        <w:rPr>
          <w:sz w:val="21"/>
        </w:rPr>
        <w:t>有</w:t>
      </w:r>
      <w:r>
        <w:rPr>
          <w:spacing w:val="-3"/>
          <w:sz w:val="21"/>
        </w:rPr>
        <w:t>由</w:t>
      </w:r>
      <w:r>
        <w:rPr>
          <w:sz w:val="21"/>
        </w:rPr>
        <w:t>亲</w:t>
      </w:r>
      <w:r>
        <w:rPr>
          <w:spacing w:val="-3"/>
          <w:sz w:val="21"/>
        </w:rPr>
        <w:t>代</w:t>
      </w:r>
      <w:r>
        <w:rPr>
          <w:sz w:val="21"/>
        </w:rPr>
        <w:t>传至</w:t>
      </w:r>
      <w:r>
        <w:rPr>
          <w:spacing w:val="-3"/>
          <w:sz w:val="21"/>
        </w:rPr>
        <w:t>后</w:t>
      </w:r>
      <w:r>
        <w:rPr>
          <w:sz w:val="21"/>
        </w:rPr>
        <w:t>代</w:t>
      </w:r>
      <w:r>
        <w:rPr>
          <w:spacing w:val="-3"/>
          <w:sz w:val="21"/>
        </w:rPr>
        <w:t>的</w:t>
      </w:r>
      <w:r>
        <w:rPr>
          <w:sz w:val="21"/>
        </w:rPr>
        <w:t>垂</w:t>
      </w:r>
      <w:r>
        <w:rPr>
          <w:spacing w:val="-3"/>
          <w:sz w:val="21"/>
        </w:rPr>
        <w:t>直</w:t>
      </w:r>
      <w:r>
        <w:rPr>
          <w:sz w:val="21"/>
        </w:rPr>
        <w:t>传</w:t>
      </w:r>
      <w:r>
        <w:rPr>
          <w:spacing w:val="-3"/>
          <w:sz w:val="21"/>
        </w:rPr>
        <w:t>递</w:t>
      </w:r>
      <w:r>
        <w:rPr>
          <w:sz w:val="21"/>
        </w:rPr>
        <w:t>的</w:t>
      </w:r>
      <w:r>
        <w:rPr>
          <w:spacing w:val="-3"/>
          <w:sz w:val="21"/>
        </w:rPr>
        <w:t>特</w:t>
      </w:r>
      <w:r>
        <w:rPr>
          <w:sz w:val="21"/>
        </w:rPr>
        <w:t>征。</w:t>
      </w:r>
    </w:p>
    <w:p>
      <w:pPr>
        <w:spacing w:after="0" w:line="273" w:lineRule="auto"/>
        <w:jc w:val="left"/>
        <w:rPr>
          <w:sz w:val="21"/>
        </w:rPr>
        <w:sectPr>
          <w:type w:val="continuous"/>
          <w:pgSz w:w="11910" w:h="16840"/>
          <w:pgMar w:top="1120" w:bottom="1180" w:left="1260" w:right="1140"/>
        </w:sectPr>
      </w:pPr>
    </w:p>
    <w:p>
      <w:pPr>
        <w:pStyle w:val="BodyText"/>
        <w:spacing w:before="0"/>
        <w:rPr>
          <w:sz w:val="20"/>
        </w:rPr>
      </w:pPr>
    </w:p>
    <w:p>
      <w:pPr>
        <w:pStyle w:val="BodyText"/>
        <w:spacing w:before="5"/>
        <w:rPr>
          <w:sz w:val="14"/>
        </w:rPr>
      </w:pPr>
    </w:p>
    <w:p>
      <w:pPr>
        <w:spacing w:after="0"/>
        <w:rPr>
          <w:sz w:val="14"/>
        </w:rPr>
        <w:sectPr>
          <w:pgSz w:w="11910" w:h="16840"/>
          <w:pgMar w:header="879" w:footer="999" w:top="1120" w:bottom="1180" w:left="1260" w:right="1140"/>
        </w:sectPr>
      </w:pPr>
    </w:p>
    <w:p>
      <w:pPr>
        <w:pStyle w:val="ListParagraph"/>
        <w:numPr>
          <w:ilvl w:val="1"/>
          <w:numId w:val="9"/>
        </w:numPr>
        <w:tabs>
          <w:tab w:pos="804" w:val="left" w:leader="none"/>
        </w:tabs>
        <w:spacing w:line="273" w:lineRule="auto" w:before="37" w:after="0"/>
        <w:ind w:left="803" w:right="0" w:hanging="694"/>
        <w:jc w:val="both"/>
        <w:rPr>
          <w:sz w:val="21"/>
        </w:rPr>
      </w:pPr>
      <w:r>
        <w:rPr>
          <w:spacing w:val="-14"/>
          <w:sz w:val="21"/>
        </w:rPr>
        <w:t>先 天 性 畸形、变形或染色体异常</w:t>
      </w:r>
    </w:p>
    <w:p>
      <w:pPr>
        <w:pStyle w:val="BodyText"/>
        <w:spacing w:line="273" w:lineRule="auto"/>
        <w:ind w:left="109" w:right="110" w:firstLine="420"/>
      </w:pPr>
      <w:r>
        <w:rPr/>
        <w:br w:type="column"/>
      </w:r>
      <w:r>
        <w:rPr/>
        <w:t>指被保险人出生时就具有的畸形、变形或染色体异常。先天性畸形、变形和染色体异常依照世界卫生组织《疾病和有关健康问题的国际统计分类》</w:t>
      </w:r>
    </w:p>
    <w:p>
      <w:pPr>
        <w:pStyle w:val="BodyText"/>
        <w:spacing w:before="8"/>
        <w:ind w:left="109"/>
      </w:pPr>
      <w:r>
        <w:rPr/>
        <w:t>（ICD-10）确定。</w:t>
      </w:r>
    </w:p>
    <w:p>
      <w:pPr>
        <w:spacing w:after="0"/>
        <w:sectPr>
          <w:type w:val="continuous"/>
          <w:pgSz w:w="11910" w:h="16840"/>
          <w:pgMar w:top="1120" w:bottom="1180" w:left="1260" w:right="1140"/>
          <w:cols w:num="2" w:equalWidth="0">
            <w:col w:w="1870" w:space="103"/>
            <w:col w:w="7537"/>
          </w:cols>
        </w:sectPr>
      </w:pPr>
    </w:p>
    <w:p>
      <w:pPr>
        <w:pStyle w:val="BodyText"/>
        <w:spacing w:before="0"/>
        <w:rPr>
          <w:sz w:val="13"/>
        </w:rPr>
      </w:pPr>
    </w:p>
    <w:p>
      <w:pPr>
        <w:spacing w:after="0"/>
        <w:rPr>
          <w:sz w:val="13"/>
        </w:rPr>
        <w:sectPr>
          <w:type w:val="continuous"/>
          <w:pgSz w:w="11910" w:h="16840"/>
          <w:pgMar w:top="1120" w:bottom="1180" w:left="1260" w:right="1140"/>
        </w:sectPr>
      </w:pPr>
    </w:p>
    <w:p>
      <w:pPr>
        <w:pStyle w:val="ListParagraph"/>
        <w:numPr>
          <w:ilvl w:val="1"/>
          <w:numId w:val="9"/>
        </w:numPr>
        <w:tabs>
          <w:tab w:pos="804" w:val="left" w:leader="none"/>
        </w:tabs>
        <w:spacing w:line="273" w:lineRule="auto" w:before="37" w:after="0"/>
        <w:ind w:left="803" w:right="0" w:hanging="694"/>
        <w:jc w:val="both"/>
        <w:rPr>
          <w:sz w:val="21"/>
        </w:rPr>
      </w:pPr>
      <w:r>
        <w:rPr>
          <w:sz w:val="21"/>
        </w:rPr>
        <w:t>感染艾滋病病毒或患艾滋病</w:t>
      </w:r>
    </w:p>
    <w:p>
      <w:pPr>
        <w:pStyle w:val="BodyText"/>
        <w:spacing w:line="273" w:lineRule="auto"/>
        <w:ind w:left="109" w:right="218" w:firstLine="420"/>
        <w:jc w:val="both"/>
      </w:pPr>
      <w:r>
        <w:rPr/>
        <w:br w:type="column"/>
      </w:r>
      <w:r>
        <w:rPr>
          <w:spacing w:val="-8"/>
        </w:rPr>
        <w:t>艾滋病病毒指人类免疫缺陷病毒，英文缩写 </w:t>
      </w:r>
      <w:r>
        <w:rPr/>
        <w:t>HIV</w:t>
      </w:r>
      <w:r>
        <w:rPr>
          <w:spacing w:val="-9"/>
        </w:rPr>
        <w:t>。艾滋病指人类免疫缺陷病</w:t>
      </w:r>
      <w:r>
        <w:rPr>
          <w:spacing w:val="-7"/>
        </w:rPr>
        <w:t>毒引起的获得性免疫缺陷综合征，英文缩写 </w:t>
      </w:r>
      <w:r>
        <w:rPr/>
        <w:t>AIDS。</w:t>
      </w:r>
    </w:p>
    <w:p>
      <w:pPr>
        <w:pStyle w:val="BodyText"/>
        <w:spacing w:line="273" w:lineRule="auto" w:before="7"/>
        <w:ind w:left="109" w:right="218" w:firstLine="420"/>
        <w:jc w:val="both"/>
      </w:pPr>
      <w:r>
        <w:rPr/>
        <w:t>在人体血液或其他样本中检测到艾滋病病毒或其抗体呈阳性，没有出现临床症状或体征的，为感染艾滋病病毒；如同时出现了明显临床症状或体征的， 为患艾滋病。</w:t>
      </w:r>
    </w:p>
    <w:sectPr>
      <w:type w:val="continuous"/>
      <w:pgSz w:w="11910" w:h="16840"/>
      <w:pgMar w:top="1120" w:bottom="1180" w:left="1260" w:right="1140"/>
      <w:cols w:num="2" w:equalWidth="0">
        <w:col w:w="1870" w:space="103"/>
        <w:col w:w="7537"/>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70.018257pt;margin-top:780.963928pt;width:38.1pt;height:11pt;mso-position-horizontal-relative:page;mso-position-vertical-relative:page;z-index:-26200" type="#_x0000_t202" filled="false" stroked="false">
          <v:textbox inset="0,0,0,0">
            <w:txbxContent>
              <w:p>
                <w:pPr>
                  <w:spacing w:line="200" w:lineRule="exact" w:before="0"/>
                  <w:ind w:left="20" w:right="0" w:firstLine="0"/>
                  <w:jc w:val="left"/>
                  <w:rPr>
                    <w:sz w:val="18"/>
                  </w:rPr>
                </w:pPr>
                <w:r>
                  <w:rPr>
                    <w:sz w:val="18"/>
                  </w:rPr>
                  <w:t>51520141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26272" from="69.578262pt,55.658276pt" to="525.938262pt,55.658276pt" stroked="true" strokeweight=".71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70.018257pt;margin-top:42.963905pt;width:110pt;height:11pt;mso-position-horizontal-relative:page;mso-position-vertical-relative:page;z-index:-26248" type="#_x0000_t202" filled="false" stroked="false">
          <v:textbox inset="0,0,0,0">
            <w:txbxContent>
              <w:p>
                <w:pPr>
                  <w:spacing w:line="200" w:lineRule="exact" w:before="0"/>
                  <w:ind w:left="20" w:right="0" w:firstLine="0"/>
                  <w:jc w:val="left"/>
                  <w:rPr>
                    <w:sz w:val="18"/>
                  </w:rPr>
                </w:pPr>
                <w:r>
                  <w:rPr>
                    <w:sz w:val="18"/>
                  </w:rPr>
                  <w:t>附加鑫康重大疾病保险条款</w:t>
                </w:r>
              </w:p>
            </w:txbxContent>
          </v:textbox>
          <w10:wrap type="none"/>
        </v:shape>
      </w:pict>
    </w:r>
    <w:r>
      <w:rPr/>
      <w:pict>
        <v:shape style="position:absolute;margin-left:412.25827pt;margin-top:42.963905pt;width:109.9pt;height:11pt;mso-position-horizontal-relative:page;mso-position-vertical-relative:page;z-index:-26224" type="#_x0000_t202" filled="false" stroked="false">
          <v:textbox inset="0,0,0,0">
            <w:txbxContent>
              <w:p>
                <w:pPr>
                  <w:spacing w:line="200" w:lineRule="exact" w:before="0"/>
                  <w:ind w:left="20" w:right="0" w:firstLine="0"/>
                  <w:jc w:val="left"/>
                  <w:rPr>
                    <w:sz w:val="18"/>
                  </w:rPr>
                </w:pPr>
                <w:r>
                  <w:rPr>
                    <w:sz w:val="18"/>
                  </w:rPr>
                  <w:t>新华人寿保险股份有限公司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6"/>
      <w:numFmt w:val="decimal"/>
      <w:lvlText w:val="%1"/>
      <w:lvlJc w:val="left"/>
      <w:pPr>
        <w:ind w:left="803" w:hanging="639"/>
        <w:jc w:val="left"/>
      </w:pPr>
      <w:rPr>
        <w:rFonts w:hint="default"/>
      </w:rPr>
    </w:lvl>
    <w:lvl w:ilvl="1">
      <w:start w:val="5"/>
      <w:numFmt w:val="decimal"/>
      <w:lvlText w:val="%1.%2"/>
      <w:lvlJc w:val="left"/>
      <w:pPr>
        <w:ind w:left="803" w:hanging="639"/>
        <w:jc w:val="right"/>
      </w:pPr>
      <w:rPr>
        <w:rFonts w:hint="default"/>
      </w:rPr>
    </w:lvl>
    <w:lvl w:ilvl="2">
      <w:start w:val="1"/>
      <w:numFmt w:val="decimal"/>
      <w:lvlText w:val="%1.%2.%3"/>
      <w:lvlJc w:val="left"/>
      <w:pPr>
        <w:ind w:left="803" w:hanging="639"/>
        <w:jc w:val="left"/>
      </w:pPr>
      <w:rPr>
        <w:rFonts w:hint="default" w:ascii="宋体" w:hAnsi="宋体" w:eastAsia="宋体" w:cs="宋体"/>
        <w:w w:val="100"/>
        <w:sz w:val="21"/>
        <w:szCs w:val="21"/>
      </w:rPr>
    </w:lvl>
    <w:lvl w:ilvl="3">
      <w:start w:val="0"/>
      <w:numFmt w:val="bullet"/>
      <w:lvlText w:val="•"/>
      <w:lvlJc w:val="left"/>
      <w:pPr>
        <w:ind w:left="1120" w:hanging="639"/>
      </w:pPr>
      <w:rPr>
        <w:rFonts w:hint="default"/>
      </w:rPr>
    </w:lvl>
    <w:lvl w:ilvl="4">
      <w:start w:val="0"/>
      <w:numFmt w:val="bullet"/>
      <w:lvlText w:val="•"/>
      <w:lvlJc w:val="left"/>
      <w:pPr>
        <w:ind w:left="1226" w:hanging="639"/>
      </w:pPr>
      <w:rPr>
        <w:rFonts w:hint="default"/>
      </w:rPr>
    </w:lvl>
    <w:lvl w:ilvl="5">
      <w:start w:val="0"/>
      <w:numFmt w:val="bullet"/>
      <w:lvlText w:val="•"/>
      <w:lvlJc w:val="left"/>
      <w:pPr>
        <w:ind w:left="1333" w:hanging="639"/>
      </w:pPr>
      <w:rPr>
        <w:rFonts w:hint="default"/>
      </w:rPr>
    </w:lvl>
    <w:lvl w:ilvl="6">
      <w:start w:val="0"/>
      <w:numFmt w:val="bullet"/>
      <w:lvlText w:val="•"/>
      <w:lvlJc w:val="left"/>
      <w:pPr>
        <w:ind w:left="1440" w:hanging="639"/>
      </w:pPr>
      <w:rPr>
        <w:rFonts w:hint="default"/>
      </w:rPr>
    </w:lvl>
    <w:lvl w:ilvl="7">
      <w:start w:val="0"/>
      <w:numFmt w:val="bullet"/>
      <w:lvlText w:val="•"/>
      <w:lvlJc w:val="left"/>
      <w:pPr>
        <w:ind w:left="1546" w:hanging="639"/>
      </w:pPr>
      <w:rPr>
        <w:rFonts w:hint="default"/>
      </w:rPr>
    </w:lvl>
    <w:lvl w:ilvl="8">
      <w:start w:val="0"/>
      <w:numFmt w:val="bullet"/>
      <w:lvlText w:val="•"/>
      <w:lvlJc w:val="left"/>
      <w:pPr>
        <w:ind w:left="1653" w:hanging="639"/>
      </w:pPr>
      <w:rPr>
        <w:rFonts w:hint="default"/>
      </w:rPr>
    </w:lvl>
  </w:abstractNum>
  <w:abstractNum w:abstractNumId="7">
    <w:multiLevelType w:val="hybridMultilevel"/>
    <w:lvl w:ilvl="0">
      <w:start w:val="3"/>
      <w:numFmt w:val="decimal"/>
      <w:lvlText w:val="%1."/>
      <w:lvlJc w:val="left"/>
      <w:pPr>
        <w:ind w:left="903" w:hanging="694"/>
        <w:jc w:val="left"/>
      </w:pPr>
      <w:rPr>
        <w:rFonts w:hint="default" w:ascii="宋体" w:hAnsi="宋体" w:eastAsia="宋体" w:cs="宋体"/>
        <w:spacing w:val="0"/>
        <w:w w:val="100"/>
        <w:sz w:val="24"/>
        <w:szCs w:val="24"/>
      </w:rPr>
    </w:lvl>
    <w:lvl w:ilvl="1">
      <w:start w:val="1"/>
      <w:numFmt w:val="decimal"/>
      <w:lvlText w:val="%1.%2"/>
      <w:lvlJc w:val="left"/>
      <w:pPr>
        <w:ind w:left="903" w:hanging="694"/>
        <w:jc w:val="left"/>
      </w:pPr>
      <w:rPr>
        <w:rFonts w:hint="default" w:ascii="宋体" w:hAnsi="宋体" w:eastAsia="宋体" w:cs="宋体"/>
        <w:w w:val="100"/>
        <w:sz w:val="21"/>
        <w:szCs w:val="21"/>
      </w:rPr>
    </w:lvl>
    <w:lvl w:ilvl="2">
      <w:start w:val="2"/>
      <w:numFmt w:val="decimal"/>
      <w:lvlText w:val="%1.%2.%3"/>
      <w:lvlJc w:val="left"/>
      <w:pPr>
        <w:ind w:left="783" w:hanging="639"/>
        <w:jc w:val="left"/>
      </w:pPr>
      <w:rPr>
        <w:rFonts w:hint="default" w:ascii="宋体" w:hAnsi="宋体" w:eastAsia="宋体" w:cs="宋体"/>
        <w:w w:val="100"/>
        <w:sz w:val="21"/>
        <w:szCs w:val="21"/>
      </w:rPr>
    </w:lvl>
    <w:lvl w:ilvl="3">
      <w:start w:val="0"/>
      <w:numFmt w:val="bullet"/>
      <w:lvlText w:val="•"/>
      <w:lvlJc w:val="left"/>
      <w:pPr>
        <w:ind w:left="2180" w:hanging="639"/>
      </w:pPr>
      <w:rPr>
        <w:rFonts w:hint="default"/>
      </w:rPr>
    </w:lvl>
    <w:lvl w:ilvl="4">
      <w:start w:val="0"/>
      <w:numFmt w:val="bullet"/>
      <w:lvlText w:val="•"/>
      <w:lvlJc w:val="left"/>
      <w:pPr>
        <w:ind w:left="1862" w:hanging="639"/>
      </w:pPr>
      <w:rPr>
        <w:rFonts w:hint="default"/>
      </w:rPr>
    </w:lvl>
    <w:lvl w:ilvl="5">
      <w:start w:val="0"/>
      <w:numFmt w:val="bullet"/>
      <w:lvlText w:val="•"/>
      <w:lvlJc w:val="left"/>
      <w:pPr>
        <w:ind w:left="1545" w:hanging="639"/>
      </w:pPr>
      <w:rPr>
        <w:rFonts w:hint="default"/>
      </w:rPr>
    </w:lvl>
    <w:lvl w:ilvl="6">
      <w:start w:val="0"/>
      <w:numFmt w:val="bullet"/>
      <w:lvlText w:val="•"/>
      <w:lvlJc w:val="left"/>
      <w:pPr>
        <w:ind w:left="1228" w:hanging="639"/>
      </w:pPr>
      <w:rPr>
        <w:rFonts w:hint="default"/>
      </w:rPr>
    </w:lvl>
    <w:lvl w:ilvl="7">
      <w:start w:val="0"/>
      <w:numFmt w:val="bullet"/>
      <w:lvlText w:val="•"/>
      <w:lvlJc w:val="left"/>
      <w:pPr>
        <w:ind w:left="911" w:hanging="639"/>
      </w:pPr>
      <w:rPr>
        <w:rFonts w:hint="default"/>
      </w:rPr>
    </w:lvl>
    <w:lvl w:ilvl="8">
      <w:start w:val="0"/>
      <w:numFmt w:val="bullet"/>
      <w:lvlText w:val="•"/>
      <w:lvlJc w:val="left"/>
      <w:pPr>
        <w:ind w:left="594" w:hanging="639"/>
      </w:pPr>
      <w:rPr>
        <w:rFonts w:hint="default"/>
      </w:rPr>
    </w:lvl>
  </w:abstractNum>
  <w:abstractNum w:abstractNumId="6">
    <w:multiLevelType w:val="hybridMultilevel"/>
    <w:lvl w:ilvl="0">
      <w:start w:val="2"/>
      <w:numFmt w:val="decimal"/>
      <w:lvlText w:val="%1"/>
      <w:lvlJc w:val="left"/>
      <w:pPr>
        <w:ind w:left="903" w:hanging="694"/>
        <w:jc w:val="left"/>
      </w:pPr>
      <w:rPr>
        <w:rFonts w:hint="default"/>
      </w:rPr>
    </w:lvl>
    <w:lvl w:ilvl="1">
      <w:start w:val="2"/>
      <w:numFmt w:val="decimal"/>
      <w:lvlText w:val="%1.%2"/>
      <w:lvlJc w:val="left"/>
      <w:pPr>
        <w:ind w:left="903" w:hanging="694"/>
        <w:jc w:val="left"/>
      </w:pPr>
      <w:rPr>
        <w:rFonts w:hint="default" w:ascii="宋体" w:hAnsi="宋体" w:eastAsia="宋体" w:cs="宋体"/>
        <w:w w:val="100"/>
        <w:sz w:val="21"/>
        <w:szCs w:val="21"/>
      </w:rPr>
    </w:lvl>
    <w:lvl w:ilvl="2">
      <w:start w:val="1"/>
      <w:numFmt w:val="decimal"/>
      <w:lvlText w:val="%1.%2.%3"/>
      <w:lvlJc w:val="left"/>
      <w:pPr>
        <w:ind w:left="903" w:hanging="581"/>
        <w:jc w:val="left"/>
      </w:pPr>
      <w:rPr>
        <w:rFonts w:hint="default" w:ascii="宋体" w:hAnsi="宋体" w:eastAsia="宋体" w:cs="宋体"/>
        <w:w w:val="100"/>
        <w:sz w:val="21"/>
        <w:szCs w:val="21"/>
      </w:rPr>
    </w:lvl>
    <w:lvl w:ilvl="3">
      <w:start w:val="0"/>
      <w:numFmt w:val="bullet"/>
      <w:lvlText w:val="•"/>
      <w:lvlJc w:val="left"/>
      <w:pPr>
        <w:ind w:left="1217" w:hanging="581"/>
      </w:pPr>
      <w:rPr>
        <w:rFonts w:hint="default"/>
      </w:rPr>
    </w:lvl>
    <w:lvl w:ilvl="4">
      <w:start w:val="0"/>
      <w:numFmt w:val="bullet"/>
      <w:lvlText w:val="•"/>
      <w:lvlJc w:val="left"/>
      <w:pPr>
        <w:ind w:left="1323" w:hanging="581"/>
      </w:pPr>
      <w:rPr>
        <w:rFonts w:hint="default"/>
      </w:rPr>
    </w:lvl>
    <w:lvl w:ilvl="5">
      <w:start w:val="0"/>
      <w:numFmt w:val="bullet"/>
      <w:lvlText w:val="•"/>
      <w:lvlJc w:val="left"/>
      <w:pPr>
        <w:ind w:left="1429" w:hanging="581"/>
      </w:pPr>
      <w:rPr>
        <w:rFonts w:hint="default"/>
      </w:rPr>
    </w:lvl>
    <w:lvl w:ilvl="6">
      <w:start w:val="0"/>
      <w:numFmt w:val="bullet"/>
      <w:lvlText w:val="•"/>
      <w:lvlJc w:val="left"/>
      <w:pPr>
        <w:ind w:left="1535" w:hanging="581"/>
      </w:pPr>
      <w:rPr>
        <w:rFonts w:hint="default"/>
      </w:rPr>
    </w:lvl>
    <w:lvl w:ilvl="7">
      <w:start w:val="0"/>
      <w:numFmt w:val="bullet"/>
      <w:lvlText w:val="•"/>
      <w:lvlJc w:val="left"/>
      <w:pPr>
        <w:ind w:left="1641" w:hanging="581"/>
      </w:pPr>
      <w:rPr>
        <w:rFonts w:hint="default"/>
      </w:rPr>
    </w:lvl>
    <w:lvl w:ilvl="8">
      <w:start w:val="0"/>
      <w:numFmt w:val="bullet"/>
      <w:lvlText w:val="•"/>
      <w:lvlJc w:val="left"/>
      <w:pPr>
        <w:ind w:left="1747" w:hanging="581"/>
      </w:pPr>
      <w:rPr>
        <w:rFonts w:hint="default"/>
      </w:rPr>
    </w:lvl>
  </w:abstractNum>
  <w:abstractNum w:abstractNumId="5">
    <w:multiLevelType w:val="hybridMultilevel"/>
    <w:lvl w:ilvl="0">
      <w:start w:val="1"/>
      <w:numFmt w:val="decimal"/>
      <w:lvlText w:val="%1."/>
      <w:lvlJc w:val="left"/>
      <w:pPr>
        <w:ind w:left="903" w:hanging="694"/>
        <w:jc w:val="left"/>
      </w:pPr>
      <w:rPr>
        <w:rFonts w:hint="default" w:ascii="宋体" w:hAnsi="宋体" w:eastAsia="宋体" w:cs="宋体"/>
        <w:spacing w:val="0"/>
        <w:w w:val="100"/>
        <w:sz w:val="24"/>
        <w:szCs w:val="24"/>
      </w:rPr>
    </w:lvl>
    <w:lvl w:ilvl="1">
      <w:start w:val="1"/>
      <w:numFmt w:val="decimal"/>
      <w:lvlText w:val="%1.%2"/>
      <w:lvlJc w:val="left"/>
      <w:pPr>
        <w:ind w:left="2182" w:hanging="694"/>
        <w:jc w:val="left"/>
      </w:pPr>
      <w:rPr>
        <w:rFonts w:hint="default" w:ascii="宋体" w:hAnsi="宋体" w:eastAsia="宋体" w:cs="宋体"/>
        <w:w w:val="100"/>
        <w:sz w:val="21"/>
        <w:szCs w:val="21"/>
      </w:rPr>
    </w:lvl>
    <w:lvl w:ilvl="2">
      <w:start w:val="0"/>
      <w:numFmt w:val="bullet"/>
      <w:lvlText w:val="•"/>
      <w:lvlJc w:val="left"/>
      <w:pPr>
        <w:ind w:left="3005" w:hanging="694"/>
      </w:pPr>
      <w:rPr>
        <w:rFonts w:hint="default"/>
      </w:rPr>
    </w:lvl>
    <w:lvl w:ilvl="3">
      <w:start w:val="0"/>
      <w:numFmt w:val="bullet"/>
      <w:lvlText w:val="•"/>
      <w:lvlJc w:val="left"/>
      <w:pPr>
        <w:ind w:left="3830" w:hanging="694"/>
      </w:pPr>
      <w:rPr>
        <w:rFonts w:hint="default"/>
      </w:rPr>
    </w:lvl>
    <w:lvl w:ilvl="4">
      <w:start w:val="0"/>
      <w:numFmt w:val="bullet"/>
      <w:lvlText w:val="•"/>
      <w:lvlJc w:val="left"/>
      <w:pPr>
        <w:ind w:left="4655" w:hanging="694"/>
      </w:pPr>
      <w:rPr>
        <w:rFonts w:hint="default"/>
      </w:rPr>
    </w:lvl>
    <w:lvl w:ilvl="5">
      <w:start w:val="0"/>
      <w:numFmt w:val="bullet"/>
      <w:lvlText w:val="•"/>
      <w:lvlJc w:val="left"/>
      <w:pPr>
        <w:ind w:left="5480" w:hanging="694"/>
      </w:pPr>
      <w:rPr>
        <w:rFonts w:hint="default"/>
      </w:rPr>
    </w:lvl>
    <w:lvl w:ilvl="6">
      <w:start w:val="0"/>
      <w:numFmt w:val="bullet"/>
      <w:lvlText w:val="•"/>
      <w:lvlJc w:val="left"/>
      <w:pPr>
        <w:ind w:left="6305" w:hanging="694"/>
      </w:pPr>
      <w:rPr>
        <w:rFonts w:hint="default"/>
      </w:rPr>
    </w:lvl>
    <w:lvl w:ilvl="7">
      <w:start w:val="0"/>
      <w:numFmt w:val="bullet"/>
      <w:lvlText w:val="•"/>
      <w:lvlJc w:val="left"/>
      <w:pPr>
        <w:ind w:left="7130" w:hanging="694"/>
      </w:pPr>
      <w:rPr>
        <w:rFonts w:hint="default"/>
      </w:rPr>
    </w:lvl>
    <w:lvl w:ilvl="8">
      <w:start w:val="0"/>
      <w:numFmt w:val="bullet"/>
      <w:lvlText w:val="•"/>
      <w:lvlJc w:val="left"/>
      <w:pPr>
        <w:ind w:left="7955" w:hanging="694"/>
      </w:pPr>
      <w:rPr>
        <w:rFonts w:hint="default"/>
      </w:rPr>
    </w:lvl>
  </w:abstractNum>
  <w:abstractNum w:abstractNumId="4">
    <w:multiLevelType w:val="hybridMultilevel"/>
    <w:lvl w:ilvl="0">
      <w:start w:val="6"/>
      <w:numFmt w:val="decimal"/>
      <w:lvlText w:val="%1"/>
      <w:lvlJc w:val="left"/>
      <w:pPr>
        <w:ind w:left="1577" w:hanging="526"/>
        <w:jc w:val="left"/>
      </w:pPr>
      <w:rPr>
        <w:rFonts w:hint="default"/>
      </w:rPr>
    </w:lvl>
    <w:lvl w:ilvl="1">
      <w:start w:val="1"/>
      <w:numFmt w:val="decimal"/>
      <w:lvlText w:val="%1.%2"/>
      <w:lvlJc w:val="left"/>
      <w:pPr>
        <w:ind w:left="1577" w:hanging="526"/>
        <w:jc w:val="left"/>
      </w:pPr>
      <w:rPr>
        <w:rFonts w:hint="default" w:ascii="宋体" w:hAnsi="宋体" w:eastAsia="宋体" w:cs="宋体"/>
        <w:w w:val="100"/>
        <w:sz w:val="21"/>
        <w:szCs w:val="21"/>
      </w:rPr>
    </w:lvl>
    <w:lvl w:ilvl="2">
      <w:start w:val="0"/>
      <w:numFmt w:val="bullet"/>
      <w:lvlText w:val="•"/>
      <w:lvlJc w:val="left"/>
      <w:pPr>
        <w:ind w:left="2454" w:hanging="526"/>
      </w:pPr>
      <w:rPr>
        <w:rFonts w:hint="default"/>
      </w:rPr>
    </w:lvl>
    <w:lvl w:ilvl="3">
      <w:start w:val="0"/>
      <w:numFmt w:val="bullet"/>
      <w:lvlText w:val="•"/>
      <w:lvlJc w:val="left"/>
      <w:pPr>
        <w:ind w:left="2891" w:hanging="526"/>
      </w:pPr>
      <w:rPr>
        <w:rFonts w:hint="default"/>
      </w:rPr>
    </w:lvl>
    <w:lvl w:ilvl="4">
      <w:start w:val="0"/>
      <w:numFmt w:val="bullet"/>
      <w:lvlText w:val="•"/>
      <w:lvlJc w:val="left"/>
      <w:pPr>
        <w:ind w:left="3328" w:hanging="526"/>
      </w:pPr>
      <w:rPr>
        <w:rFonts w:hint="default"/>
      </w:rPr>
    </w:lvl>
    <w:lvl w:ilvl="5">
      <w:start w:val="0"/>
      <w:numFmt w:val="bullet"/>
      <w:lvlText w:val="•"/>
      <w:lvlJc w:val="left"/>
      <w:pPr>
        <w:ind w:left="3765" w:hanging="526"/>
      </w:pPr>
      <w:rPr>
        <w:rFonts w:hint="default"/>
      </w:rPr>
    </w:lvl>
    <w:lvl w:ilvl="6">
      <w:start w:val="0"/>
      <w:numFmt w:val="bullet"/>
      <w:lvlText w:val="•"/>
      <w:lvlJc w:val="left"/>
      <w:pPr>
        <w:ind w:left="4203" w:hanging="526"/>
      </w:pPr>
      <w:rPr>
        <w:rFonts w:hint="default"/>
      </w:rPr>
    </w:lvl>
    <w:lvl w:ilvl="7">
      <w:start w:val="0"/>
      <w:numFmt w:val="bullet"/>
      <w:lvlText w:val="•"/>
      <w:lvlJc w:val="left"/>
      <w:pPr>
        <w:ind w:left="4640" w:hanging="526"/>
      </w:pPr>
      <w:rPr>
        <w:rFonts w:hint="default"/>
      </w:rPr>
    </w:lvl>
    <w:lvl w:ilvl="8">
      <w:start w:val="0"/>
      <w:numFmt w:val="bullet"/>
      <w:lvlText w:val="•"/>
      <w:lvlJc w:val="left"/>
      <w:pPr>
        <w:ind w:left="5077" w:hanging="526"/>
      </w:pPr>
      <w:rPr>
        <w:rFonts w:hint="default"/>
      </w:rPr>
    </w:lvl>
  </w:abstractNum>
  <w:abstractNum w:abstractNumId="3">
    <w:multiLevelType w:val="hybridMultilevel"/>
    <w:lvl w:ilvl="0">
      <w:start w:val="4"/>
      <w:numFmt w:val="decimal"/>
      <w:lvlText w:val="%1"/>
      <w:lvlJc w:val="left"/>
      <w:pPr>
        <w:ind w:left="1577" w:hanging="526"/>
        <w:jc w:val="left"/>
      </w:pPr>
      <w:rPr>
        <w:rFonts w:hint="default"/>
      </w:rPr>
    </w:lvl>
    <w:lvl w:ilvl="1">
      <w:start w:val="1"/>
      <w:numFmt w:val="decimal"/>
      <w:lvlText w:val="%1.%2"/>
      <w:lvlJc w:val="left"/>
      <w:pPr>
        <w:ind w:left="1577" w:hanging="526"/>
        <w:jc w:val="left"/>
      </w:pPr>
      <w:rPr>
        <w:rFonts w:hint="default" w:ascii="宋体" w:hAnsi="宋体" w:eastAsia="宋体" w:cs="宋体"/>
        <w:w w:val="100"/>
        <w:sz w:val="21"/>
        <w:szCs w:val="21"/>
      </w:rPr>
    </w:lvl>
    <w:lvl w:ilvl="2">
      <w:start w:val="0"/>
      <w:numFmt w:val="bullet"/>
      <w:lvlText w:val="•"/>
      <w:lvlJc w:val="left"/>
      <w:pPr>
        <w:ind w:left="2454" w:hanging="526"/>
      </w:pPr>
      <w:rPr>
        <w:rFonts w:hint="default"/>
      </w:rPr>
    </w:lvl>
    <w:lvl w:ilvl="3">
      <w:start w:val="0"/>
      <w:numFmt w:val="bullet"/>
      <w:lvlText w:val="•"/>
      <w:lvlJc w:val="left"/>
      <w:pPr>
        <w:ind w:left="2891" w:hanging="526"/>
      </w:pPr>
      <w:rPr>
        <w:rFonts w:hint="default"/>
      </w:rPr>
    </w:lvl>
    <w:lvl w:ilvl="4">
      <w:start w:val="0"/>
      <w:numFmt w:val="bullet"/>
      <w:lvlText w:val="•"/>
      <w:lvlJc w:val="left"/>
      <w:pPr>
        <w:ind w:left="3328" w:hanging="526"/>
      </w:pPr>
      <w:rPr>
        <w:rFonts w:hint="default"/>
      </w:rPr>
    </w:lvl>
    <w:lvl w:ilvl="5">
      <w:start w:val="0"/>
      <w:numFmt w:val="bullet"/>
      <w:lvlText w:val="•"/>
      <w:lvlJc w:val="left"/>
      <w:pPr>
        <w:ind w:left="3765" w:hanging="526"/>
      </w:pPr>
      <w:rPr>
        <w:rFonts w:hint="default"/>
      </w:rPr>
    </w:lvl>
    <w:lvl w:ilvl="6">
      <w:start w:val="0"/>
      <w:numFmt w:val="bullet"/>
      <w:lvlText w:val="•"/>
      <w:lvlJc w:val="left"/>
      <w:pPr>
        <w:ind w:left="4203" w:hanging="526"/>
      </w:pPr>
      <w:rPr>
        <w:rFonts w:hint="default"/>
      </w:rPr>
    </w:lvl>
    <w:lvl w:ilvl="7">
      <w:start w:val="0"/>
      <w:numFmt w:val="bullet"/>
      <w:lvlText w:val="•"/>
      <w:lvlJc w:val="left"/>
      <w:pPr>
        <w:ind w:left="4640" w:hanging="526"/>
      </w:pPr>
      <w:rPr>
        <w:rFonts w:hint="default"/>
      </w:rPr>
    </w:lvl>
    <w:lvl w:ilvl="8">
      <w:start w:val="0"/>
      <w:numFmt w:val="bullet"/>
      <w:lvlText w:val="•"/>
      <w:lvlJc w:val="left"/>
      <w:pPr>
        <w:ind w:left="5077" w:hanging="526"/>
      </w:pPr>
      <w:rPr>
        <w:rFonts w:hint="default"/>
      </w:rPr>
    </w:lvl>
  </w:abstractNum>
  <w:abstractNum w:abstractNumId="2">
    <w:multiLevelType w:val="hybridMultilevel"/>
    <w:lvl w:ilvl="0">
      <w:start w:val="3"/>
      <w:numFmt w:val="decimal"/>
      <w:lvlText w:val="%1"/>
      <w:lvlJc w:val="left"/>
      <w:pPr>
        <w:ind w:left="1577" w:hanging="526"/>
        <w:jc w:val="left"/>
      </w:pPr>
      <w:rPr>
        <w:rFonts w:hint="default"/>
      </w:rPr>
    </w:lvl>
    <w:lvl w:ilvl="1">
      <w:start w:val="1"/>
      <w:numFmt w:val="decimal"/>
      <w:lvlText w:val="%1.%2"/>
      <w:lvlJc w:val="left"/>
      <w:pPr>
        <w:ind w:left="1577" w:hanging="526"/>
        <w:jc w:val="left"/>
      </w:pPr>
      <w:rPr>
        <w:rFonts w:hint="default" w:ascii="宋体" w:hAnsi="宋体" w:eastAsia="宋体" w:cs="宋体"/>
        <w:w w:val="100"/>
        <w:sz w:val="21"/>
        <w:szCs w:val="21"/>
      </w:rPr>
    </w:lvl>
    <w:lvl w:ilvl="2">
      <w:start w:val="0"/>
      <w:numFmt w:val="bullet"/>
      <w:lvlText w:val="•"/>
      <w:lvlJc w:val="left"/>
      <w:pPr>
        <w:ind w:left="1873" w:hanging="526"/>
      </w:pPr>
      <w:rPr>
        <w:rFonts w:hint="default"/>
      </w:rPr>
    </w:lvl>
    <w:lvl w:ilvl="3">
      <w:start w:val="0"/>
      <w:numFmt w:val="bullet"/>
      <w:lvlText w:val="•"/>
      <w:lvlJc w:val="left"/>
      <w:pPr>
        <w:ind w:left="2020" w:hanging="526"/>
      </w:pPr>
      <w:rPr>
        <w:rFonts w:hint="default"/>
      </w:rPr>
    </w:lvl>
    <w:lvl w:ilvl="4">
      <w:start w:val="0"/>
      <w:numFmt w:val="bullet"/>
      <w:lvlText w:val="•"/>
      <w:lvlJc w:val="left"/>
      <w:pPr>
        <w:ind w:left="2167" w:hanging="526"/>
      </w:pPr>
      <w:rPr>
        <w:rFonts w:hint="default"/>
      </w:rPr>
    </w:lvl>
    <w:lvl w:ilvl="5">
      <w:start w:val="0"/>
      <w:numFmt w:val="bullet"/>
      <w:lvlText w:val="•"/>
      <w:lvlJc w:val="left"/>
      <w:pPr>
        <w:ind w:left="2314" w:hanging="526"/>
      </w:pPr>
      <w:rPr>
        <w:rFonts w:hint="default"/>
      </w:rPr>
    </w:lvl>
    <w:lvl w:ilvl="6">
      <w:start w:val="0"/>
      <w:numFmt w:val="bullet"/>
      <w:lvlText w:val="•"/>
      <w:lvlJc w:val="left"/>
      <w:pPr>
        <w:ind w:left="2461" w:hanging="526"/>
      </w:pPr>
      <w:rPr>
        <w:rFonts w:hint="default"/>
      </w:rPr>
    </w:lvl>
    <w:lvl w:ilvl="7">
      <w:start w:val="0"/>
      <w:numFmt w:val="bullet"/>
      <w:lvlText w:val="•"/>
      <w:lvlJc w:val="left"/>
      <w:pPr>
        <w:ind w:left="2608" w:hanging="526"/>
      </w:pPr>
      <w:rPr>
        <w:rFonts w:hint="default"/>
      </w:rPr>
    </w:lvl>
    <w:lvl w:ilvl="8">
      <w:start w:val="0"/>
      <w:numFmt w:val="bullet"/>
      <w:lvlText w:val="•"/>
      <w:lvlJc w:val="left"/>
      <w:pPr>
        <w:ind w:left="2755" w:hanging="526"/>
      </w:pPr>
      <w:rPr>
        <w:rFonts w:hint="default"/>
      </w:rPr>
    </w:lvl>
  </w:abstractNum>
  <w:abstractNum w:abstractNumId="1">
    <w:multiLevelType w:val="hybridMultilevel"/>
    <w:lvl w:ilvl="0">
      <w:start w:val="2"/>
      <w:numFmt w:val="decimal"/>
      <w:lvlText w:val="%1"/>
      <w:lvlJc w:val="left"/>
      <w:pPr>
        <w:ind w:left="1577" w:hanging="526"/>
        <w:jc w:val="left"/>
      </w:pPr>
      <w:rPr>
        <w:rFonts w:hint="default"/>
      </w:rPr>
    </w:lvl>
    <w:lvl w:ilvl="1">
      <w:start w:val="1"/>
      <w:numFmt w:val="decimal"/>
      <w:lvlText w:val="%1.%2"/>
      <w:lvlJc w:val="left"/>
      <w:pPr>
        <w:ind w:left="1577" w:hanging="526"/>
        <w:jc w:val="left"/>
      </w:pPr>
      <w:rPr>
        <w:rFonts w:hint="default" w:ascii="宋体" w:hAnsi="宋体" w:eastAsia="宋体" w:cs="宋体"/>
        <w:w w:val="100"/>
        <w:sz w:val="21"/>
        <w:szCs w:val="21"/>
      </w:rPr>
    </w:lvl>
    <w:lvl w:ilvl="2">
      <w:start w:val="0"/>
      <w:numFmt w:val="bullet"/>
      <w:lvlText w:val="•"/>
      <w:lvlJc w:val="left"/>
      <w:pPr>
        <w:ind w:left="1873" w:hanging="526"/>
      </w:pPr>
      <w:rPr>
        <w:rFonts w:hint="default"/>
      </w:rPr>
    </w:lvl>
    <w:lvl w:ilvl="3">
      <w:start w:val="0"/>
      <w:numFmt w:val="bullet"/>
      <w:lvlText w:val="•"/>
      <w:lvlJc w:val="left"/>
      <w:pPr>
        <w:ind w:left="2020" w:hanging="526"/>
      </w:pPr>
      <w:rPr>
        <w:rFonts w:hint="default"/>
      </w:rPr>
    </w:lvl>
    <w:lvl w:ilvl="4">
      <w:start w:val="0"/>
      <w:numFmt w:val="bullet"/>
      <w:lvlText w:val="•"/>
      <w:lvlJc w:val="left"/>
      <w:pPr>
        <w:ind w:left="2167" w:hanging="526"/>
      </w:pPr>
      <w:rPr>
        <w:rFonts w:hint="default"/>
      </w:rPr>
    </w:lvl>
    <w:lvl w:ilvl="5">
      <w:start w:val="0"/>
      <w:numFmt w:val="bullet"/>
      <w:lvlText w:val="•"/>
      <w:lvlJc w:val="left"/>
      <w:pPr>
        <w:ind w:left="2314" w:hanging="526"/>
      </w:pPr>
      <w:rPr>
        <w:rFonts w:hint="default"/>
      </w:rPr>
    </w:lvl>
    <w:lvl w:ilvl="6">
      <w:start w:val="0"/>
      <w:numFmt w:val="bullet"/>
      <w:lvlText w:val="•"/>
      <w:lvlJc w:val="left"/>
      <w:pPr>
        <w:ind w:left="2461" w:hanging="526"/>
      </w:pPr>
      <w:rPr>
        <w:rFonts w:hint="default"/>
      </w:rPr>
    </w:lvl>
    <w:lvl w:ilvl="7">
      <w:start w:val="0"/>
      <w:numFmt w:val="bullet"/>
      <w:lvlText w:val="•"/>
      <w:lvlJc w:val="left"/>
      <w:pPr>
        <w:ind w:left="2608" w:hanging="526"/>
      </w:pPr>
      <w:rPr>
        <w:rFonts w:hint="default"/>
      </w:rPr>
    </w:lvl>
    <w:lvl w:ilvl="8">
      <w:start w:val="0"/>
      <w:numFmt w:val="bullet"/>
      <w:lvlText w:val="•"/>
      <w:lvlJc w:val="left"/>
      <w:pPr>
        <w:ind w:left="2755" w:hanging="526"/>
      </w:pPr>
      <w:rPr>
        <w:rFonts w:hint="default"/>
      </w:rPr>
    </w:lvl>
  </w:abstractNum>
  <w:abstractNum w:abstractNumId="0">
    <w:multiLevelType w:val="hybridMultilevel"/>
    <w:lvl w:ilvl="0">
      <w:start w:val="1"/>
      <w:numFmt w:val="decimal"/>
      <w:lvlText w:val="%1"/>
      <w:lvlJc w:val="left"/>
      <w:pPr>
        <w:ind w:left="1577" w:hanging="526"/>
        <w:jc w:val="left"/>
      </w:pPr>
      <w:rPr>
        <w:rFonts w:hint="default"/>
      </w:rPr>
    </w:lvl>
    <w:lvl w:ilvl="1">
      <w:start w:val="1"/>
      <w:numFmt w:val="decimal"/>
      <w:lvlText w:val="%1.%2"/>
      <w:lvlJc w:val="left"/>
      <w:pPr>
        <w:ind w:left="1573" w:hanging="526"/>
        <w:jc w:val="left"/>
      </w:pPr>
      <w:rPr>
        <w:rFonts w:hint="default" w:ascii="宋体" w:hAnsi="宋体" w:eastAsia="宋体" w:cs="宋体"/>
        <w:w w:val="100"/>
        <w:sz w:val="21"/>
        <w:szCs w:val="21"/>
      </w:rPr>
    </w:lvl>
    <w:lvl w:ilvl="2">
      <w:start w:val="0"/>
      <w:numFmt w:val="bullet"/>
      <w:lvlText w:val="•"/>
      <w:lvlJc w:val="left"/>
      <w:pPr>
        <w:ind w:left="1873" w:hanging="526"/>
      </w:pPr>
      <w:rPr>
        <w:rFonts w:hint="default"/>
      </w:rPr>
    </w:lvl>
    <w:lvl w:ilvl="3">
      <w:start w:val="0"/>
      <w:numFmt w:val="bullet"/>
      <w:lvlText w:val="•"/>
      <w:lvlJc w:val="left"/>
      <w:pPr>
        <w:ind w:left="2020" w:hanging="526"/>
      </w:pPr>
      <w:rPr>
        <w:rFonts w:hint="default"/>
      </w:rPr>
    </w:lvl>
    <w:lvl w:ilvl="4">
      <w:start w:val="0"/>
      <w:numFmt w:val="bullet"/>
      <w:lvlText w:val="•"/>
      <w:lvlJc w:val="left"/>
      <w:pPr>
        <w:ind w:left="2167" w:hanging="526"/>
      </w:pPr>
      <w:rPr>
        <w:rFonts w:hint="default"/>
      </w:rPr>
    </w:lvl>
    <w:lvl w:ilvl="5">
      <w:start w:val="0"/>
      <w:numFmt w:val="bullet"/>
      <w:lvlText w:val="•"/>
      <w:lvlJc w:val="left"/>
      <w:pPr>
        <w:ind w:left="2314" w:hanging="526"/>
      </w:pPr>
      <w:rPr>
        <w:rFonts w:hint="default"/>
      </w:rPr>
    </w:lvl>
    <w:lvl w:ilvl="6">
      <w:start w:val="0"/>
      <w:numFmt w:val="bullet"/>
      <w:lvlText w:val="•"/>
      <w:lvlJc w:val="left"/>
      <w:pPr>
        <w:ind w:left="2461" w:hanging="526"/>
      </w:pPr>
      <w:rPr>
        <w:rFonts w:hint="default"/>
      </w:rPr>
    </w:lvl>
    <w:lvl w:ilvl="7">
      <w:start w:val="0"/>
      <w:numFmt w:val="bullet"/>
      <w:lvlText w:val="•"/>
      <w:lvlJc w:val="left"/>
      <w:pPr>
        <w:ind w:left="2608" w:hanging="526"/>
      </w:pPr>
      <w:rPr>
        <w:rFonts w:hint="default"/>
      </w:rPr>
    </w:lvl>
    <w:lvl w:ilvl="8">
      <w:start w:val="0"/>
      <w:numFmt w:val="bullet"/>
      <w:lvlText w:val="•"/>
      <w:lvlJc w:val="left"/>
      <w:pPr>
        <w:ind w:left="2755" w:hanging="526"/>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spacing w:before="26"/>
      <w:ind w:left="903" w:hanging="694"/>
      <w:outlineLvl w:val="1"/>
    </w:pPr>
    <w:rPr>
      <w:rFonts w:ascii="宋体" w:hAnsi="宋体" w:eastAsia="宋体" w:cs="宋体"/>
      <w:sz w:val="24"/>
      <w:szCs w:val="24"/>
    </w:rPr>
  </w:style>
  <w:style w:styleId="ListParagraph" w:type="paragraph">
    <w:name w:val="List Paragraph"/>
    <w:basedOn w:val="Normal"/>
    <w:uiPriority w:val="1"/>
    <w:qFormat/>
    <w:pPr>
      <w:spacing w:before="37"/>
      <w:ind w:left="783"/>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www.newchinalife.com/"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wangzy8</dc:creator>
  <dc:title>Microsoft Word - 02附加鑫康重大疾病保险条款.doc</dc:title>
  <dcterms:created xsi:type="dcterms:W3CDTF">2018-10-20T05:04:20Z</dcterms:created>
  <dcterms:modified xsi:type="dcterms:W3CDTF">2018-10-20T05:04:20Z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2014-11-19T00:00:00Z</vt:filetime>
  </property>
  <property fmtid="{D5CDD505-2E9C-101B-9397-08002B2CF9AE}" pid="3" name="Creator">
    <vt:lpwstr>02附加鑫康重大疾病保险条款.doc (只读) [兼容模式] - Microsoft Word</vt:lpwstr>
  </property>
  <property fmtid="{D5CDD505-2E9C-101B-9397-08002B2CF9AE}" pid="4" name="LastSaved">
    <vt:filetime>2018-10-19T00:00:00Z</vt:filetime>
  </property>
</Properties>
</file>