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5" w:val="left" w:leader="none"/>
        </w:tabs>
        <w:spacing w:before="314"/>
        <w:ind w:left="344" w:right="0" w:firstLine="0"/>
        <w:jc w:val="left"/>
        <w:rPr>
          <w:rFonts w:ascii="微软雅黑" w:eastAsia="微软雅黑" w:hint="eastAsia"/>
          <w:b/>
          <w:sz w:val="32"/>
        </w:rPr>
      </w:pPr>
      <w:r>
        <w:rPr>
          <w:sz w:val="32"/>
        </w:rPr>
        <w:t>附件</w:t>
      </w:r>
      <w:r>
        <w:rPr>
          <w:spacing w:val="-81"/>
          <w:sz w:val="32"/>
        </w:rPr>
        <w:t> </w:t>
      </w:r>
      <w:r>
        <w:rPr>
          <w:sz w:val="32"/>
        </w:rPr>
        <w:t>3-2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65"/>
        <w:ind w:left="344" w:right="0" w:firstLine="0"/>
        <w:jc w:val="left"/>
        <w:rPr>
          <w:sz w:val="16"/>
        </w:rPr>
      </w:pPr>
      <w:r>
        <w:rPr/>
        <w:br w:type="column"/>
      </w:r>
      <w:r>
        <w:rPr>
          <w:w w:val="95"/>
          <w:sz w:val="16"/>
        </w:rPr>
        <w:t>民生保险[2009]疾病保险005号</w:t>
      </w:r>
    </w:p>
    <w:p>
      <w:pPr>
        <w:spacing w:after="0"/>
        <w:jc w:val="left"/>
        <w:rPr>
          <w:sz w:val="16"/>
        </w:rPr>
        <w:sectPr>
          <w:headerReference w:type="default" r:id="rId5"/>
          <w:footerReference w:type="default" r:id="rId6"/>
          <w:type w:val="continuous"/>
          <w:pgSz w:w="11910" w:h="16840"/>
          <w:pgMar w:header="857" w:footer="977" w:top="1040" w:bottom="1160" w:left="960" w:right="920"/>
          <w:pgNumType w:start="1"/>
          <w:cols w:num="2" w:equalWidth="0">
            <w:col w:w="6030" w:space="1401"/>
            <w:col w:w="2599"/>
          </w:cols>
        </w:sectPr>
      </w:pPr>
    </w:p>
    <w:p>
      <w:pPr>
        <w:pStyle w:val="BodyText"/>
        <w:rPr>
          <w:sz w:val="12"/>
        </w:rPr>
      </w:pPr>
    </w:p>
    <w:p>
      <w:pPr>
        <w:spacing w:line="298" w:lineRule="exact"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6268364</wp:posOffset>
            </wp:positionH>
            <wp:positionV relativeFrom="paragraph">
              <wp:posOffset>-448060</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52" w:lineRule="exact" w:before="0"/>
        <w:ind w:left="0" w:right="145" w:firstLine="0"/>
        <w:jc w:val="right"/>
        <w:rPr>
          <w:sz w:val="16"/>
        </w:rPr>
      </w:pPr>
      <w:r>
        <w:rPr>
          <w:sz w:val="16"/>
        </w:rPr>
        <w:t>请扫描以查询验证条款</w:t>
      </w:r>
    </w:p>
    <w:p>
      <w:pPr>
        <w:pStyle w:val="BodyText"/>
        <w:spacing w:before="6"/>
        <w:rPr>
          <w:sz w:val="28"/>
        </w:rPr>
      </w:pPr>
    </w:p>
    <w:p>
      <w:pPr>
        <w:pStyle w:val="Heading1"/>
        <w:tabs>
          <w:tab w:pos="1382" w:val="left" w:leader="none"/>
        </w:tabs>
        <w:spacing w:line="682" w:lineRule="exact"/>
        <w:ind w:left="371"/>
      </w:pPr>
      <w:r>
        <w:rPr/>
        <w:drawing>
          <wp:anchor distT="0" distB="0" distL="0" distR="0" allowOverlap="1" layoutInCell="1" locked="0" behindDoc="1" simplePos="0" relativeHeight="268398623">
            <wp:simplePos x="0" y="0"/>
            <wp:positionH relativeFrom="page">
              <wp:posOffset>684058</wp:posOffset>
            </wp:positionH>
            <wp:positionV relativeFrom="paragraph">
              <wp:posOffset>-72954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签收本附加合同次日起十天内您可以要求退还全部保险费…………………第1.3条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6"/>
        <w:rPr>
          <w:b/>
          <w:sz w:val="12"/>
        </w:rPr>
      </w:pPr>
    </w:p>
    <w:p>
      <w:pPr>
        <w:spacing w:after="0"/>
        <w:rPr>
          <w:sz w:val="12"/>
        </w:rPr>
        <w:sectPr>
          <w:type w:val="continuous"/>
          <w:pgSz w:w="11910" w:h="16840"/>
          <w:pgMar w:top="1040" w:bottom="1160" w:left="960" w:right="920"/>
        </w:sectPr>
      </w:pPr>
    </w:p>
    <w:p>
      <w:pPr>
        <w:pStyle w:val="Heading1"/>
        <w:spacing w:before="35"/>
        <w:ind w:left="692"/>
      </w:pPr>
      <w:r>
        <w:rPr>
          <w:w w:val="95"/>
        </w:rPr>
        <w:t>1.您与我们的合同</w:t>
      </w:r>
    </w:p>
    <w:p>
      <w:pPr>
        <w:spacing w:before="69"/>
        <w:ind w:left="692" w:right="0" w:firstLine="0"/>
        <w:jc w:val="left"/>
        <w:rPr>
          <w:b/>
          <w:sz w:val="21"/>
        </w:rPr>
      </w:pPr>
      <w:r>
        <w:rPr/>
        <w:br w:type="column"/>
      </w:r>
      <w:r>
        <w:rPr>
          <w:b/>
          <w:w w:val="95"/>
          <w:sz w:val="21"/>
        </w:rPr>
        <w:t>4.如何交付保险费</w:t>
      </w:r>
    </w:p>
    <w:p>
      <w:pPr>
        <w:pStyle w:val="BodyText"/>
        <w:spacing w:before="52"/>
        <w:ind w:left="692"/>
      </w:pPr>
      <w:r>
        <w:rPr/>
        <w:br w:type="column"/>
      </w:r>
      <w:r>
        <w:rPr/>
        <w:t>8.2 指定或认可的医疗机构</w:t>
      </w:r>
    </w:p>
    <w:p>
      <w:pPr>
        <w:spacing w:after="0"/>
        <w:sectPr>
          <w:type w:val="continuous"/>
          <w:pgSz w:w="11910" w:h="16840"/>
          <w:pgMar w:top="1040" w:bottom="1160" w:left="960" w:right="920"/>
          <w:cols w:num="3" w:equalWidth="0">
            <w:col w:w="2381" w:space="549"/>
            <w:col w:w="2381" w:space="885"/>
            <w:col w:w="3834"/>
          </w:cols>
        </w:sectPr>
      </w:pPr>
    </w:p>
    <w:p>
      <w:pPr>
        <w:pStyle w:val="BodyText"/>
        <w:spacing w:before="2"/>
        <w:rPr>
          <w:sz w:val="5"/>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622"/>
        <w:gridCol w:w="3308"/>
        <w:gridCol w:w="1056"/>
        <w:gridCol w:w="1992"/>
      </w:tblGrid>
      <w:tr>
        <w:trPr>
          <w:trHeight w:val="277" w:hRule="atLeast"/>
        </w:trPr>
        <w:tc>
          <w:tcPr>
            <w:tcW w:w="418" w:type="dxa"/>
          </w:tcPr>
          <w:p>
            <w:pPr>
              <w:pStyle w:val="TableParagraph"/>
              <w:spacing w:line="210" w:lineRule="exact"/>
              <w:ind w:left="50"/>
              <w:rPr>
                <w:sz w:val="21"/>
              </w:rPr>
            </w:pPr>
            <w:r>
              <w:rPr>
                <w:sz w:val="21"/>
              </w:rPr>
              <w:t>1.1</w:t>
            </w:r>
          </w:p>
        </w:tc>
        <w:tc>
          <w:tcPr>
            <w:tcW w:w="1622" w:type="dxa"/>
          </w:tcPr>
          <w:p>
            <w:pPr>
              <w:pStyle w:val="TableParagraph"/>
              <w:spacing w:line="210" w:lineRule="exact"/>
              <w:ind w:left="52"/>
              <w:rPr>
                <w:sz w:val="21"/>
              </w:rPr>
            </w:pPr>
            <w:r>
              <w:rPr>
                <w:sz w:val="21"/>
              </w:rPr>
              <w:t>合同构成</w:t>
            </w:r>
          </w:p>
        </w:tc>
        <w:tc>
          <w:tcPr>
            <w:tcW w:w="3308" w:type="dxa"/>
          </w:tcPr>
          <w:p>
            <w:pPr>
              <w:pStyle w:val="TableParagraph"/>
              <w:spacing w:line="244" w:lineRule="exact"/>
              <w:ind w:left="940"/>
              <w:rPr>
                <w:sz w:val="21"/>
              </w:rPr>
            </w:pPr>
            <w:r>
              <w:rPr>
                <w:sz w:val="21"/>
              </w:rPr>
              <w:t>4.1 保险费的交付</w:t>
            </w:r>
          </w:p>
        </w:tc>
        <w:tc>
          <w:tcPr>
            <w:tcW w:w="1056" w:type="dxa"/>
          </w:tcPr>
          <w:p>
            <w:pPr>
              <w:pStyle w:val="TableParagraph"/>
              <w:spacing w:line="227" w:lineRule="exact"/>
              <w:ind w:right="50"/>
              <w:jc w:val="right"/>
              <w:rPr>
                <w:sz w:val="21"/>
              </w:rPr>
            </w:pPr>
            <w:r>
              <w:rPr>
                <w:sz w:val="21"/>
              </w:rPr>
              <w:t>8.3</w:t>
            </w:r>
          </w:p>
        </w:tc>
        <w:tc>
          <w:tcPr>
            <w:tcW w:w="1992" w:type="dxa"/>
          </w:tcPr>
          <w:p>
            <w:pPr>
              <w:pStyle w:val="TableParagraph"/>
              <w:spacing w:line="227" w:lineRule="exact"/>
              <w:ind w:left="52"/>
              <w:rPr>
                <w:sz w:val="21"/>
              </w:rPr>
            </w:pPr>
            <w:r>
              <w:rPr>
                <w:sz w:val="21"/>
              </w:rPr>
              <w:t>酒后驾驶</w:t>
            </w:r>
          </w:p>
        </w:tc>
      </w:tr>
      <w:tr>
        <w:trPr>
          <w:trHeight w:val="303" w:hRule="atLeast"/>
        </w:trPr>
        <w:tc>
          <w:tcPr>
            <w:tcW w:w="418" w:type="dxa"/>
          </w:tcPr>
          <w:p>
            <w:pPr>
              <w:pStyle w:val="TableParagraph"/>
              <w:spacing w:line="244" w:lineRule="exact"/>
              <w:ind w:left="50"/>
              <w:rPr>
                <w:sz w:val="21"/>
              </w:rPr>
            </w:pPr>
            <w:r>
              <w:rPr>
                <w:sz w:val="21"/>
              </w:rPr>
              <w:t>1.2</w:t>
            </w:r>
          </w:p>
        </w:tc>
        <w:tc>
          <w:tcPr>
            <w:tcW w:w="1622" w:type="dxa"/>
          </w:tcPr>
          <w:p>
            <w:pPr>
              <w:pStyle w:val="TableParagraph"/>
              <w:spacing w:line="244" w:lineRule="exact"/>
              <w:ind w:left="52"/>
              <w:rPr>
                <w:sz w:val="21"/>
              </w:rPr>
            </w:pPr>
            <w:r>
              <w:rPr>
                <w:sz w:val="21"/>
              </w:rPr>
              <w:t>合同效力</w:t>
            </w:r>
          </w:p>
        </w:tc>
        <w:tc>
          <w:tcPr>
            <w:tcW w:w="3308" w:type="dxa"/>
          </w:tcPr>
          <w:p>
            <w:pPr>
              <w:pStyle w:val="TableParagraph"/>
              <w:rPr>
                <w:rFonts w:ascii="Times New Roman"/>
                <w:sz w:val="20"/>
              </w:rPr>
            </w:pPr>
          </w:p>
        </w:tc>
        <w:tc>
          <w:tcPr>
            <w:tcW w:w="1056" w:type="dxa"/>
          </w:tcPr>
          <w:p>
            <w:pPr>
              <w:pStyle w:val="TableParagraph"/>
              <w:spacing w:line="261" w:lineRule="exact"/>
              <w:ind w:right="50"/>
              <w:jc w:val="right"/>
              <w:rPr>
                <w:sz w:val="21"/>
              </w:rPr>
            </w:pPr>
            <w:r>
              <w:rPr>
                <w:sz w:val="21"/>
              </w:rPr>
              <w:t>8.4</w:t>
            </w:r>
          </w:p>
        </w:tc>
        <w:tc>
          <w:tcPr>
            <w:tcW w:w="1992" w:type="dxa"/>
          </w:tcPr>
          <w:p>
            <w:pPr>
              <w:pStyle w:val="TableParagraph"/>
              <w:spacing w:line="261" w:lineRule="exact"/>
              <w:ind w:left="52"/>
              <w:rPr>
                <w:sz w:val="21"/>
              </w:rPr>
            </w:pPr>
            <w:r>
              <w:rPr>
                <w:sz w:val="21"/>
              </w:rPr>
              <w:t>无有效驾驶证件驾驶</w:t>
            </w:r>
          </w:p>
        </w:tc>
      </w:tr>
      <w:tr>
        <w:trPr>
          <w:trHeight w:val="320" w:hRule="atLeast"/>
        </w:trPr>
        <w:tc>
          <w:tcPr>
            <w:tcW w:w="418" w:type="dxa"/>
          </w:tcPr>
          <w:p>
            <w:pPr>
              <w:pStyle w:val="TableParagraph"/>
              <w:spacing w:line="253" w:lineRule="exact"/>
              <w:ind w:left="50"/>
              <w:rPr>
                <w:sz w:val="21"/>
              </w:rPr>
            </w:pPr>
            <w:r>
              <w:rPr>
                <w:sz w:val="21"/>
              </w:rPr>
              <w:t>1.3</w:t>
            </w:r>
          </w:p>
        </w:tc>
        <w:tc>
          <w:tcPr>
            <w:tcW w:w="1622" w:type="dxa"/>
          </w:tcPr>
          <w:p>
            <w:pPr>
              <w:pStyle w:val="TableParagraph"/>
              <w:spacing w:line="253" w:lineRule="exact"/>
              <w:ind w:left="52"/>
              <w:rPr>
                <w:sz w:val="21"/>
              </w:rPr>
            </w:pPr>
            <w:r>
              <w:rPr>
                <w:sz w:val="21"/>
              </w:rPr>
              <w:t>合同生效</w:t>
            </w:r>
          </w:p>
        </w:tc>
        <w:tc>
          <w:tcPr>
            <w:tcW w:w="3308" w:type="dxa"/>
          </w:tcPr>
          <w:p>
            <w:pPr>
              <w:pStyle w:val="TableParagraph"/>
              <w:spacing w:before="11"/>
              <w:ind w:left="730"/>
              <w:rPr>
                <w:b/>
                <w:sz w:val="21"/>
              </w:rPr>
            </w:pPr>
            <w:r>
              <w:rPr>
                <w:b/>
                <w:w w:val="95"/>
                <w:sz w:val="21"/>
              </w:rPr>
              <w:t>5.现金价值权益</w:t>
            </w:r>
          </w:p>
        </w:tc>
        <w:tc>
          <w:tcPr>
            <w:tcW w:w="1056" w:type="dxa"/>
          </w:tcPr>
          <w:p>
            <w:pPr>
              <w:pStyle w:val="TableParagraph"/>
              <w:spacing w:line="269" w:lineRule="exact"/>
              <w:ind w:right="50"/>
              <w:jc w:val="right"/>
              <w:rPr>
                <w:sz w:val="21"/>
              </w:rPr>
            </w:pPr>
            <w:r>
              <w:rPr>
                <w:sz w:val="21"/>
              </w:rPr>
              <w:t>8.5</w:t>
            </w:r>
          </w:p>
        </w:tc>
        <w:tc>
          <w:tcPr>
            <w:tcW w:w="1992" w:type="dxa"/>
          </w:tcPr>
          <w:p>
            <w:pPr>
              <w:pStyle w:val="TableParagraph"/>
              <w:spacing w:line="269" w:lineRule="exact"/>
              <w:ind w:left="52"/>
              <w:rPr>
                <w:sz w:val="21"/>
              </w:rPr>
            </w:pPr>
            <w:r>
              <w:rPr>
                <w:sz w:val="21"/>
              </w:rPr>
              <w:t>无有效行驶证件</w:t>
            </w:r>
          </w:p>
        </w:tc>
      </w:tr>
      <w:tr>
        <w:trPr>
          <w:trHeight w:val="312" w:hRule="atLeast"/>
        </w:trPr>
        <w:tc>
          <w:tcPr>
            <w:tcW w:w="418" w:type="dxa"/>
          </w:tcPr>
          <w:p>
            <w:pPr>
              <w:pStyle w:val="TableParagraph"/>
              <w:spacing w:line="244" w:lineRule="exact"/>
              <w:ind w:left="50"/>
              <w:rPr>
                <w:sz w:val="21"/>
              </w:rPr>
            </w:pPr>
            <w:r>
              <w:rPr>
                <w:sz w:val="21"/>
              </w:rPr>
              <w:t>1.4</w:t>
            </w:r>
          </w:p>
        </w:tc>
        <w:tc>
          <w:tcPr>
            <w:tcW w:w="1622" w:type="dxa"/>
          </w:tcPr>
          <w:p>
            <w:pPr>
              <w:pStyle w:val="TableParagraph"/>
              <w:spacing w:line="244" w:lineRule="exact"/>
              <w:ind w:left="52"/>
              <w:rPr>
                <w:sz w:val="21"/>
              </w:rPr>
            </w:pPr>
            <w:r>
              <w:rPr>
                <w:sz w:val="21"/>
              </w:rPr>
              <w:t>犹豫期</w:t>
            </w:r>
          </w:p>
        </w:tc>
        <w:tc>
          <w:tcPr>
            <w:tcW w:w="3308" w:type="dxa"/>
          </w:tcPr>
          <w:p>
            <w:pPr>
              <w:pStyle w:val="TableParagraph"/>
              <w:spacing w:before="3"/>
              <w:ind w:left="941"/>
              <w:rPr>
                <w:sz w:val="21"/>
              </w:rPr>
            </w:pPr>
            <w:r>
              <w:rPr>
                <w:sz w:val="21"/>
              </w:rPr>
              <w:t>5.1 现金价值</w:t>
            </w:r>
          </w:p>
        </w:tc>
        <w:tc>
          <w:tcPr>
            <w:tcW w:w="1056" w:type="dxa"/>
          </w:tcPr>
          <w:p>
            <w:pPr>
              <w:pStyle w:val="TableParagraph"/>
              <w:spacing w:line="261" w:lineRule="exact"/>
              <w:ind w:right="51"/>
              <w:jc w:val="right"/>
              <w:rPr>
                <w:sz w:val="21"/>
              </w:rPr>
            </w:pPr>
            <w:r>
              <w:rPr>
                <w:sz w:val="21"/>
              </w:rPr>
              <w:t>8.6</w:t>
            </w:r>
          </w:p>
        </w:tc>
        <w:tc>
          <w:tcPr>
            <w:tcW w:w="1992" w:type="dxa"/>
          </w:tcPr>
          <w:p>
            <w:pPr>
              <w:pStyle w:val="TableParagraph"/>
              <w:spacing w:line="261" w:lineRule="exact"/>
              <w:ind w:left="52"/>
              <w:rPr>
                <w:sz w:val="21"/>
              </w:rPr>
            </w:pPr>
            <w:r>
              <w:rPr>
                <w:sz w:val="21"/>
              </w:rPr>
              <w:t>机动交通工具</w:t>
            </w:r>
          </w:p>
        </w:tc>
      </w:tr>
      <w:tr>
        <w:trPr>
          <w:trHeight w:val="320" w:hRule="atLeast"/>
        </w:trPr>
        <w:tc>
          <w:tcPr>
            <w:tcW w:w="418" w:type="dxa"/>
          </w:tcPr>
          <w:p>
            <w:pPr>
              <w:pStyle w:val="TableParagraph"/>
              <w:spacing w:line="244" w:lineRule="exact"/>
              <w:ind w:left="50"/>
              <w:rPr>
                <w:sz w:val="21"/>
              </w:rPr>
            </w:pPr>
            <w:r>
              <w:rPr>
                <w:sz w:val="21"/>
              </w:rPr>
              <w:t>1.5</w:t>
            </w:r>
          </w:p>
        </w:tc>
        <w:tc>
          <w:tcPr>
            <w:tcW w:w="1622" w:type="dxa"/>
          </w:tcPr>
          <w:p>
            <w:pPr>
              <w:pStyle w:val="TableParagraph"/>
              <w:spacing w:line="244" w:lineRule="exact"/>
              <w:ind w:left="52"/>
              <w:rPr>
                <w:sz w:val="21"/>
              </w:rPr>
            </w:pPr>
            <w:r>
              <w:rPr>
                <w:sz w:val="21"/>
              </w:rPr>
              <w:t>保险期间</w:t>
            </w:r>
          </w:p>
        </w:tc>
        <w:tc>
          <w:tcPr>
            <w:tcW w:w="3308" w:type="dxa"/>
          </w:tcPr>
          <w:p>
            <w:pPr>
              <w:pStyle w:val="TableParagraph"/>
              <w:spacing w:before="3"/>
              <w:ind w:left="940"/>
              <w:rPr>
                <w:sz w:val="21"/>
              </w:rPr>
            </w:pPr>
            <w:r>
              <w:rPr>
                <w:sz w:val="21"/>
              </w:rPr>
              <w:t>5.2 自动垫交</w:t>
            </w:r>
          </w:p>
        </w:tc>
        <w:tc>
          <w:tcPr>
            <w:tcW w:w="1056" w:type="dxa"/>
          </w:tcPr>
          <w:p>
            <w:pPr>
              <w:pStyle w:val="TableParagraph"/>
              <w:spacing w:line="261" w:lineRule="exact"/>
              <w:ind w:right="51"/>
              <w:jc w:val="right"/>
              <w:rPr>
                <w:sz w:val="21"/>
              </w:rPr>
            </w:pPr>
            <w:r>
              <w:rPr>
                <w:sz w:val="21"/>
              </w:rPr>
              <w:t>8.7</w:t>
            </w:r>
          </w:p>
        </w:tc>
        <w:tc>
          <w:tcPr>
            <w:tcW w:w="1992" w:type="dxa"/>
          </w:tcPr>
          <w:p>
            <w:pPr>
              <w:pStyle w:val="TableParagraph"/>
              <w:spacing w:line="261" w:lineRule="exact"/>
              <w:ind w:left="52"/>
              <w:rPr>
                <w:sz w:val="21"/>
              </w:rPr>
            </w:pPr>
            <w:r>
              <w:rPr>
                <w:sz w:val="21"/>
              </w:rPr>
              <w:t>艾滋病</w:t>
            </w:r>
          </w:p>
        </w:tc>
      </w:tr>
      <w:tr>
        <w:trPr>
          <w:trHeight w:val="269" w:hRule="atLeast"/>
        </w:trPr>
        <w:tc>
          <w:tcPr>
            <w:tcW w:w="418" w:type="dxa"/>
          </w:tcPr>
          <w:p>
            <w:pPr>
              <w:pStyle w:val="TableParagraph"/>
              <w:rPr>
                <w:rFonts w:ascii="Times New Roman"/>
                <w:sz w:val="18"/>
              </w:rPr>
            </w:pPr>
          </w:p>
        </w:tc>
        <w:tc>
          <w:tcPr>
            <w:tcW w:w="1622" w:type="dxa"/>
          </w:tcPr>
          <w:p>
            <w:pPr>
              <w:pStyle w:val="TableParagraph"/>
              <w:rPr>
                <w:rFonts w:ascii="Times New Roman"/>
                <w:sz w:val="18"/>
              </w:rPr>
            </w:pPr>
          </w:p>
        </w:tc>
        <w:tc>
          <w:tcPr>
            <w:tcW w:w="3308" w:type="dxa"/>
          </w:tcPr>
          <w:p>
            <w:pPr>
              <w:pStyle w:val="TableParagraph"/>
              <w:spacing w:line="249" w:lineRule="exact"/>
              <w:ind w:left="940"/>
              <w:rPr>
                <w:sz w:val="21"/>
              </w:rPr>
            </w:pPr>
            <w:r>
              <w:rPr>
                <w:sz w:val="21"/>
              </w:rPr>
              <w:t>5.3 保险单借款</w:t>
            </w:r>
          </w:p>
        </w:tc>
        <w:tc>
          <w:tcPr>
            <w:tcW w:w="1056" w:type="dxa"/>
          </w:tcPr>
          <w:p>
            <w:pPr>
              <w:pStyle w:val="TableParagraph"/>
              <w:spacing w:line="249" w:lineRule="exact"/>
              <w:ind w:right="50"/>
              <w:jc w:val="right"/>
              <w:rPr>
                <w:sz w:val="21"/>
              </w:rPr>
            </w:pPr>
            <w:r>
              <w:rPr>
                <w:sz w:val="21"/>
              </w:rPr>
              <w:t>8.8</w:t>
            </w:r>
          </w:p>
        </w:tc>
        <w:tc>
          <w:tcPr>
            <w:tcW w:w="1992" w:type="dxa"/>
          </w:tcPr>
          <w:p>
            <w:pPr>
              <w:pStyle w:val="TableParagraph"/>
              <w:spacing w:line="249" w:lineRule="exact"/>
              <w:ind w:left="52"/>
              <w:rPr>
                <w:sz w:val="21"/>
              </w:rPr>
            </w:pPr>
            <w:r>
              <w:rPr>
                <w:sz w:val="21"/>
              </w:rPr>
              <w:t>艾滋病病毒</w:t>
            </w:r>
          </w:p>
        </w:tc>
      </w:tr>
    </w:tbl>
    <w:p>
      <w:pPr>
        <w:spacing w:after="0" w:line="249" w:lineRule="exact"/>
        <w:rPr>
          <w:sz w:val="21"/>
        </w:rPr>
        <w:sectPr>
          <w:type w:val="continuous"/>
          <w:pgSz w:w="11910" w:h="16840"/>
          <w:pgMar w:top="1040" w:bottom="1160" w:left="960" w:right="920"/>
        </w:sectPr>
      </w:pPr>
    </w:p>
    <w:p>
      <w:pPr>
        <w:pStyle w:val="Heading1"/>
        <w:spacing w:before="4"/>
        <w:ind w:left="692"/>
      </w:pPr>
      <w:r>
        <w:rPr/>
        <w:pict>
          <v:line style="position:absolute;mso-position-horizontal-relative:page;mso-position-vertical-relative:page;z-index:0" from="63.720001pt,55.619999pt" to="543.000001pt,55.619999pt" stroked="true" strokeweight=".72pt" strokecolor="#000000">
            <v:stroke dashstyle="solid"/>
            <w10:wrap type="none"/>
          </v:line>
        </w:pict>
      </w:r>
      <w:r>
        <w:rPr>
          <w:w w:val="95"/>
        </w:rPr>
        <w:t>2.我们提供的保障</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保险金额</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保险责任</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责任免除</w:t>
      </w:r>
    </w:p>
    <w:p>
      <w:pPr>
        <w:pStyle w:val="BodyText"/>
        <w:spacing w:before="8"/>
        <w:rPr>
          <w:sz w:val="26"/>
        </w:rPr>
      </w:pPr>
    </w:p>
    <w:p>
      <w:pPr>
        <w:pStyle w:val="Heading1"/>
        <w:numPr>
          <w:ilvl w:val="0"/>
          <w:numId w:val="3"/>
        </w:numPr>
        <w:tabs>
          <w:tab w:pos="1025" w:val="left" w:leader="none"/>
        </w:tabs>
        <w:spacing w:line="240" w:lineRule="auto" w:before="0" w:after="0"/>
        <w:ind w:left="1024" w:right="0" w:hanging="332"/>
        <w:jc w:val="left"/>
      </w:pPr>
      <w:r>
        <w:rPr>
          <w:w w:val="95"/>
        </w:rPr>
        <w:t>如何申请领取保险金</w:t>
      </w:r>
    </w:p>
    <w:p>
      <w:pPr>
        <w:pStyle w:val="ListParagraph"/>
        <w:numPr>
          <w:ilvl w:val="1"/>
          <w:numId w:val="3"/>
        </w:numPr>
        <w:tabs>
          <w:tab w:pos="1323" w:val="left" w:leader="none"/>
        </w:tabs>
        <w:spacing w:line="240" w:lineRule="auto" w:before="36" w:after="0"/>
        <w:ind w:left="1322" w:right="0" w:hanging="420"/>
        <w:jc w:val="left"/>
        <w:rPr>
          <w:sz w:val="21"/>
        </w:rPr>
      </w:pPr>
      <w:r>
        <w:rPr>
          <w:spacing w:val="-1"/>
          <w:sz w:val="21"/>
        </w:rPr>
        <w:t>受益人的指定</w:t>
      </w:r>
    </w:p>
    <w:p>
      <w:pPr>
        <w:pStyle w:val="ListParagraph"/>
        <w:numPr>
          <w:ilvl w:val="1"/>
          <w:numId w:val="3"/>
        </w:numPr>
        <w:tabs>
          <w:tab w:pos="1323" w:val="left" w:leader="none"/>
        </w:tabs>
        <w:spacing w:line="240" w:lineRule="auto" w:before="36" w:after="0"/>
        <w:ind w:left="1322" w:right="0" w:hanging="420"/>
        <w:jc w:val="left"/>
        <w:rPr>
          <w:sz w:val="21"/>
        </w:rPr>
      </w:pPr>
      <w:r>
        <w:rPr>
          <w:spacing w:val="-1"/>
          <w:sz w:val="21"/>
        </w:rPr>
        <w:t>保险金的申请</w:t>
      </w:r>
    </w:p>
    <w:p>
      <w:pPr>
        <w:pStyle w:val="ListParagraph"/>
        <w:numPr>
          <w:ilvl w:val="1"/>
          <w:numId w:val="3"/>
        </w:numPr>
        <w:tabs>
          <w:tab w:pos="1323" w:val="left" w:leader="none"/>
        </w:tabs>
        <w:spacing w:line="240" w:lineRule="auto" w:before="35" w:after="0"/>
        <w:ind w:left="1322" w:right="0" w:hanging="420"/>
        <w:jc w:val="left"/>
        <w:rPr>
          <w:sz w:val="21"/>
        </w:rPr>
      </w:pPr>
      <w:r>
        <w:rPr>
          <w:spacing w:val="-1"/>
          <w:sz w:val="21"/>
        </w:rPr>
        <w:t>保险金申请时效</w:t>
      </w:r>
    </w:p>
    <w:p>
      <w:pPr>
        <w:pStyle w:val="BodyText"/>
        <w:spacing w:before="9"/>
        <w:rPr>
          <w:sz w:val="26"/>
        </w:rPr>
      </w:pPr>
      <w:r>
        <w:rPr/>
        <w:br w:type="column"/>
      </w:r>
      <w:r>
        <w:rPr>
          <w:sz w:val="26"/>
        </w:rPr>
      </w:r>
    </w:p>
    <w:p>
      <w:pPr>
        <w:pStyle w:val="Heading1"/>
        <w:ind w:left="661"/>
      </w:pPr>
      <w:r>
        <w:rPr>
          <w:w w:val="95"/>
        </w:rPr>
        <w:t>6.如何解除保险合同</w:t>
      </w:r>
    </w:p>
    <w:p>
      <w:pPr>
        <w:pStyle w:val="BodyText"/>
        <w:spacing w:before="36"/>
        <w:ind w:left="872"/>
      </w:pPr>
      <w:r>
        <w:rPr/>
        <w:t>6.1 合同解除</w:t>
      </w:r>
    </w:p>
    <w:p>
      <w:pPr>
        <w:pStyle w:val="BodyText"/>
        <w:spacing w:before="8"/>
        <w:rPr>
          <w:sz w:val="26"/>
        </w:rPr>
      </w:pPr>
    </w:p>
    <w:p>
      <w:pPr>
        <w:pStyle w:val="Heading1"/>
        <w:ind w:left="661"/>
      </w:pPr>
      <w:r>
        <w:rPr>
          <w:w w:val="95"/>
        </w:rPr>
        <w:t>7.其他需要您关注的事项</w:t>
      </w:r>
    </w:p>
    <w:p>
      <w:pPr>
        <w:pStyle w:val="BodyText"/>
        <w:spacing w:before="37"/>
        <w:ind w:left="871"/>
      </w:pPr>
      <w:r>
        <w:rPr/>
        <w:t>7.1 投保范围</w:t>
      </w:r>
    </w:p>
    <w:p>
      <w:pPr>
        <w:pStyle w:val="BodyText"/>
        <w:spacing w:before="8"/>
        <w:rPr>
          <w:sz w:val="26"/>
        </w:rPr>
      </w:pPr>
    </w:p>
    <w:p>
      <w:pPr>
        <w:pStyle w:val="Heading1"/>
        <w:spacing w:before="1"/>
        <w:ind w:left="661"/>
      </w:pPr>
      <w:r>
        <w:rPr/>
        <w:t>8.释义</w:t>
      </w:r>
    </w:p>
    <w:p>
      <w:pPr>
        <w:pStyle w:val="BodyText"/>
        <w:spacing w:before="37"/>
        <w:ind w:left="871"/>
      </w:pPr>
      <w:r>
        <w:rPr/>
        <w:t>8.1 发病</w:t>
      </w:r>
    </w:p>
    <w:p>
      <w:pPr>
        <w:pStyle w:val="ListParagraph"/>
        <w:numPr>
          <w:ilvl w:val="1"/>
          <w:numId w:val="4"/>
        </w:numPr>
        <w:tabs>
          <w:tab w:pos="1114" w:val="left" w:leader="none"/>
        </w:tabs>
        <w:spacing w:line="240" w:lineRule="auto" w:before="21" w:after="0"/>
        <w:ind w:left="1113" w:right="0" w:hanging="421"/>
        <w:jc w:val="left"/>
        <w:rPr>
          <w:sz w:val="21"/>
        </w:rPr>
      </w:pPr>
      <w:r>
        <w:rPr>
          <w:sz w:val="21"/>
        </w:rPr>
        <w:br w:type="column"/>
      </w:r>
      <w:r>
        <w:rPr>
          <w:spacing w:val="-1"/>
          <w:sz w:val="21"/>
        </w:rPr>
        <w:t>手续费</w:t>
      </w:r>
    </w:p>
    <w:p>
      <w:pPr>
        <w:pStyle w:val="ListParagraph"/>
        <w:numPr>
          <w:ilvl w:val="1"/>
          <w:numId w:val="4"/>
        </w:numPr>
        <w:tabs>
          <w:tab w:pos="1218" w:val="left" w:leader="none"/>
        </w:tabs>
        <w:spacing w:line="240" w:lineRule="auto" w:before="36" w:after="0"/>
        <w:ind w:left="1217" w:right="0" w:hanging="525"/>
        <w:jc w:val="left"/>
        <w:rPr>
          <w:sz w:val="21"/>
        </w:rPr>
      </w:pPr>
      <w:r>
        <w:rPr>
          <w:spacing w:val="-1"/>
          <w:sz w:val="21"/>
        </w:rPr>
        <w:t>现金价值净额</w:t>
      </w:r>
    </w:p>
    <w:p>
      <w:pPr>
        <w:spacing w:after="0" w:line="240" w:lineRule="auto"/>
        <w:jc w:val="left"/>
        <w:rPr>
          <w:sz w:val="21"/>
        </w:rPr>
        <w:sectPr>
          <w:type w:val="continuous"/>
          <w:pgSz w:w="11910" w:h="16840"/>
          <w:pgMar w:top="1040" w:bottom="1160" w:left="960" w:right="920"/>
          <w:cols w:num="3" w:equalWidth="0">
            <w:col w:w="2922" w:space="40"/>
            <w:col w:w="2980" w:space="253"/>
            <w:col w:w="3835"/>
          </w:cols>
        </w:sectPr>
      </w:pPr>
    </w:p>
    <w:p>
      <w:pPr>
        <w:pStyle w:val="BodyText"/>
        <w:spacing w:before="7"/>
        <w:rPr>
          <w:sz w:val="3"/>
        </w:rPr>
      </w:pPr>
      <w:r>
        <w:rPr/>
        <w:pict>
          <v:shape style="position:absolute;margin-left:59.82pt;margin-top:110.686241pt;width:493.35pt;height:654.6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605" w:hRule="atLeast"/>
                    </w:trPr>
                    <w:tc>
                      <w:tcPr>
                        <w:tcW w:w="609" w:type="dxa"/>
                      </w:tcPr>
                      <w:p>
                        <w:pPr>
                          <w:pStyle w:val="TableParagraph"/>
                          <w:rPr>
                            <w:rFonts w:ascii="Times New Roman"/>
                            <w:sz w:val="20"/>
                          </w:rPr>
                        </w:pPr>
                      </w:p>
                    </w:tc>
                    <w:tc>
                      <w:tcPr>
                        <w:tcW w:w="9257" w:type="dxa"/>
                      </w:tcPr>
                      <w:p>
                        <w:pPr>
                          <w:pStyle w:val="TableParagraph"/>
                          <w:spacing w:line="280" w:lineRule="exact"/>
                          <w:ind w:left="2012"/>
                          <w:rPr>
                            <w:b/>
                            <w:sz w:val="28"/>
                          </w:rPr>
                        </w:pPr>
                        <w:r>
                          <w:rPr>
                            <w:b/>
                            <w:w w:val="95"/>
                            <w:sz w:val="28"/>
                          </w:rPr>
                          <w:t>附加提前给付女性重大疾病保险条款</w:t>
                        </w:r>
                      </w:p>
                    </w:tc>
                  </w:tr>
                  <w:tr>
                    <w:trPr>
                      <w:trHeight w:val="871" w:hRule="atLeast"/>
                    </w:trPr>
                    <w:tc>
                      <w:tcPr>
                        <w:tcW w:w="9866" w:type="dxa"/>
                        <w:gridSpan w:val="2"/>
                      </w:tcPr>
                      <w:p>
                        <w:pPr>
                          <w:pStyle w:val="TableParagraph"/>
                          <w:spacing w:before="12"/>
                          <w:rPr>
                            <w:sz w:val="19"/>
                          </w:rPr>
                        </w:pPr>
                      </w:p>
                      <w:p>
                        <w:pPr>
                          <w:pStyle w:val="TableParagraph"/>
                          <w:spacing w:before="1"/>
                          <w:ind w:left="107"/>
                          <w:rPr>
                            <w:sz w:val="21"/>
                          </w:rPr>
                        </w:pPr>
                        <w:r>
                          <w:rPr>
                            <w:spacing w:val="-23"/>
                            <w:sz w:val="21"/>
                          </w:rPr>
                          <w:t>在本条款中，“您”指投保人，“我们”、“本公司”均指民生人寿保险股份有限公司</w:t>
                        </w:r>
                      </w:p>
                    </w:tc>
                  </w:tr>
                  <w:tr>
                    <w:trPr>
                      <w:trHeight w:val="767"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2"/>
                          <w:rPr>
                            <w:sz w:val="19"/>
                          </w:rPr>
                        </w:pPr>
                      </w:p>
                      <w:p>
                        <w:pPr>
                          <w:pStyle w:val="TableParagraph"/>
                          <w:ind w:left="181"/>
                          <w:rPr>
                            <w:b/>
                            <w:sz w:val="24"/>
                          </w:rPr>
                        </w:pPr>
                        <w:r>
                          <w:rPr>
                            <w:b/>
                            <w:w w:val="95"/>
                            <w:sz w:val="24"/>
                          </w:rPr>
                          <w:t>您与我们的合同</w:t>
                        </w:r>
                      </w:p>
                    </w:tc>
                  </w:tr>
                  <w:tr>
                    <w:trPr>
                      <w:trHeight w:val="1396" w:hRule="atLeast"/>
                    </w:trPr>
                    <w:tc>
                      <w:tcPr>
                        <w:tcW w:w="9866" w:type="dxa"/>
                        <w:gridSpan w:val="2"/>
                        <w:tcBorders>
                          <w:top w:val="single" w:sz="4" w:space="0" w:color="000000"/>
                        </w:tcBorders>
                      </w:tcPr>
                      <w:p>
                        <w:pPr>
                          <w:pStyle w:val="TableParagraph"/>
                          <w:spacing w:before="8"/>
                          <w:rPr>
                            <w:sz w:val="14"/>
                          </w:rPr>
                        </w:pPr>
                      </w:p>
                      <w:p>
                        <w:pPr>
                          <w:pStyle w:val="TableParagraph"/>
                          <w:spacing w:line="390" w:lineRule="atLeast"/>
                          <w:ind w:left="2498" w:right="96" w:hanging="2391"/>
                          <w:jc w:val="both"/>
                          <w:rPr>
                            <w:sz w:val="21"/>
                          </w:rPr>
                        </w:pPr>
                        <w:r>
                          <w:rPr>
                            <w:b/>
                            <w:sz w:val="21"/>
                          </w:rPr>
                          <w:t>1.1</w:t>
                        </w:r>
                        <w:r>
                          <w:rPr>
                            <w:b/>
                            <w:spacing w:val="7"/>
                            <w:sz w:val="21"/>
                          </w:rPr>
                          <w:t> 合同构成 </w:t>
                        </w:r>
                        <w:r>
                          <w:rPr>
                            <w:spacing w:val="-7"/>
                            <w:sz w:val="21"/>
                          </w:rPr>
                          <w:t>本附加保险合同</w:t>
                        </w:r>
                        <w:r>
                          <w:rPr>
                            <w:sz w:val="21"/>
                          </w:rPr>
                          <w:t>（</w:t>
                        </w:r>
                        <w:r>
                          <w:rPr>
                            <w:spacing w:val="-14"/>
                            <w:sz w:val="21"/>
                          </w:rPr>
                          <w:t>以下简称“本附加合同”</w:t>
                        </w:r>
                        <w:r>
                          <w:rPr>
                            <w:spacing w:val="-76"/>
                            <w:sz w:val="21"/>
                          </w:rPr>
                          <w:t>）</w:t>
                        </w:r>
                        <w:r>
                          <w:rPr>
                            <w:spacing w:val="-4"/>
                            <w:sz w:val="21"/>
                          </w:rPr>
                          <w:t>附加于本公司规定的主保险合同</w:t>
                        </w:r>
                        <w:r>
                          <w:rPr>
                            <w:sz w:val="21"/>
                          </w:rPr>
                          <w:t>（</w:t>
                        </w:r>
                        <w:r>
                          <w:rPr>
                            <w:spacing w:val="-1"/>
                            <w:sz w:val="21"/>
                          </w:rPr>
                          <w:t>以下简称“</w:t>
                        </w:r>
                        <w:r>
                          <w:rPr>
                            <w:spacing w:val="-27"/>
                            <w:sz w:val="21"/>
                          </w:rPr>
                          <w:t>主合同”</w:t>
                        </w:r>
                        <w:r>
                          <w:rPr>
                            <w:spacing w:val="-1"/>
                            <w:sz w:val="21"/>
                          </w:rPr>
                          <w:t>）</w:t>
                        </w:r>
                        <w:r>
                          <w:rPr>
                            <w:spacing w:val="-2"/>
                            <w:sz w:val="21"/>
                          </w:rPr>
                          <w:t>上。主合同所附条款、投保单及与本附加合同有关的其他投保文件、</w:t>
                        </w:r>
                        <w:r>
                          <w:rPr>
                            <w:spacing w:val="-5"/>
                            <w:sz w:val="21"/>
                          </w:rPr>
                          <w:t>合法有效的声明、批注和其他书面协议，凡与本附加合同相关者，均为</w:t>
                        </w:r>
                      </w:p>
                    </w:tc>
                  </w:tr>
                  <w:tr>
                    <w:trPr>
                      <w:trHeight w:val="1699" w:hRule="atLeast"/>
                    </w:trPr>
                    <w:tc>
                      <w:tcPr>
                        <w:tcW w:w="609" w:type="dxa"/>
                      </w:tcPr>
                      <w:p>
                        <w:pPr>
                          <w:pStyle w:val="TableParagraph"/>
                          <w:rPr>
                            <w:rFonts w:ascii="Times New Roman"/>
                            <w:sz w:val="20"/>
                          </w:rPr>
                        </w:pPr>
                      </w:p>
                    </w:tc>
                    <w:tc>
                      <w:tcPr>
                        <w:tcW w:w="9257" w:type="dxa"/>
                      </w:tcPr>
                      <w:p>
                        <w:pPr>
                          <w:pStyle w:val="TableParagraph"/>
                          <w:spacing w:before="81"/>
                          <w:ind w:left="1889"/>
                          <w:rPr>
                            <w:sz w:val="21"/>
                          </w:rPr>
                        </w:pPr>
                        <w:r>
                          <w:rPr>
                            <w:sz w:val="21"/>
                          </w:rPr>
                          <w:t>本附加合同的构成部分。</w:t>
                        </w:r>
                      </w:p>
                      <w:p>
                        <w:pPr>
                          <w:pStyle w:val="TableParagraph"/>
                          <w:rPr>
                            <w:sz w:val="20"/>
                          </w:rPr>
                        </w:pPr>
                      </w:p>
                      <w:p>
                        <w:pPr>
                          <w:pStyle w:val="TableParagraph"/>
                          <w:spacing w:line="340" w:lineRule="auto" w:before="131"/>
                          <w:ind w:left="1889" w:right="99"/>
                          <w:rPr>
                            <w:sz w:val="21"/>
                          </w:rPr>
                        </w:pPr>
                        <w:r>
                          <w:rPr>
                            <w:spacing w:val="-6"/>
                            <w:sz w:val="21"/>
                          </w:rPr>
                          <w:t>除本附加合同另有约定外，其他未尽事宜以主合同条款为准。如果主合同与本附加合同的条款内容互有冲突，则以本附加合同为准。</w:t>
                        </w:r>
                      </w:p>
                    </w:tc>
                  </w:tr>
                  <w:tr>
                    <w:trPr>
                      <w:trHeight w:val="1169" w:hRule="atLeast"/>
                    </w:trPr>
                    <w:tc>
                      <w:tcPr>
                        <w:tcW w:w="9866" w:type="dxa"/>
                        <w:gridSpan w:val="2"/>
                      </w:tcPr>
                      <w:p>
                        <w:pPr>
                          <w:pStyle w:val="TableParagraph"/>
                          <w:spacing w:before="10"/>
                          <w:rPr>
                            <w:sz w:val="16"/>
                          </w:rPr>
                        </w:pPr>
                      </w:p>
                      <w:p>
                        <w:pPr>
                          <w:pStyle w:val="TableParagraph"/>
                          <w:tabs>
                            <w:tab w:pos="790" w:val="left" w:leader="none"/>
                            <w:tab w:pos="2498" w:val="left" w:leader="none"/>
                          </w:tabs>
                          <w:spacing w:before="1"/>
                          <w:ind w:left="107"/>
                          <w:rPr>
                            <w:sz w:val="21"/>
                          </w:rPr>
                        </w:pPr>
                        <w:r>
                          <w:rPr>
                            <w:b/>
                            <w:sz w:val="21"/>
                          </w:rPr>
                          <w:t>1.2</w:t>
                          <w:tab/>
                          <w:t>合同效力</w:t>
                          <w:tab/>
                        </w:r>
                        <w:r>
                          <w:rPr>
                            <w:sz w:val="21"/>
                          </w:rPr>
                          <w:t>本附加合同的效力在发生下列情形之一时自动终止：</w:t>
                        </w:r>
                      </w:p>
                      <w:p>
                        <w:pPr>
                          <w:pStyle w:val="TableParagraph"/>
                          <w:spacing w:before="115"/>
                          <w:ind w:left="2498"/>
                          <w:rPr>
                            <w:sz w:val="21"/>
                          </w:rPr>
                        </w:pPr>
                        <w:r>
                          <w:rPr>
                            <w:sz w:val="21"/>
                          </w:rPr>
                          <w:t>1、 主合同解除、期满或终止；</w:t>
                        </w:r>
                      </w:p>
                    </w:tc>
                  </w:tr>
                  <w:tr>
                    <w:trPr>
                      <w:trHeight w:val="779" w:hRule="atLeast"/>
                    </w:trPr>
                    <w:tc>
                      <w:tcPr>
                        <w:tcW w:w="609" w:type="dxa"/>
                      </w:tcPr>
                      <w:p>
                        <w:pPr>
                          <w:pStyle w:val="TableParagraph"/>
                          <w:rPr>
                            <w:rFonts w:ascii="Times New Roman"/>
                            <w:sz w:val="20"/>
                          </w:rPr>
                        </w:pPr>
                      </w:p>
                    </w:tc>
                    <w:tc>
                      <w:tcPr>
                        <w:tcW w:w="9257" w:type="dxa"/>
                      </w:tcPr>
                      <w:p>
                        <w:pPr>
                          <w:pStyle w:val="TableParagraph"/>
                          <w:spacing w:before="10"/>
                          <w:rPr>
                            <w:sz w:val="16"/>
                          </w:rPr>
                        </w:pPr>
                      </w:p>
                      <w:p>
                        <w:pPr>
                          <w:pStyle w:val="TableParagraph"/>
                          <w:spacing w:before="1"/>
                          <w:ind w:left="1889"/>
                          <w:rPr>
                            <w:sz w:val="21"/>
                          </w:rPr>
                        </w:pPr>
                        <w:r>
                          <w:rPr>
                            <w:sz w:val="21"/>
                          </w:rPr>
                          <w:t>3、 出现主合同或本附加合同内的其它约定终止情况。</w:t>
                        </w:r>
                      </w:p>
                    </w:tc>
                  </w:tr>
                  <w:tr>
                    <w:trPr>
                      <w:trHeight w:val="920" w:hRule="atLeast"/>
                    </w:trPr>
                    <w:tc>
                      <w:tcPr>
                        <w:tcW w:w="609" w:type="dxa"/>
                      </w:tcPr>
                      <w:p>
                        <w:pPr>
                          <w:pStyle w:val="TableParagraph"/>
                          <w:spacing w:before="10"/>
                          <w:rPr>
                            <w:sz w:val="16"/>
                          </w:rPr>
                        </w:pPr>
                      </w:p>
                      <w:p>
                        <w:pPr>
                          <w:pStyle w:val="TableParagraph"/>
                          <w:spacing w:before="1"/>
                          <w:ind w:left="107"/>
                          <w:rPr>
                            <w:b/>
                            <w:sz w:val="21"/>
                          </w:rPr>
                        </w:pPr>
                        <w:r>
                          <w:rPr>
                            <w:b/>
                            <w:sz w:val="21"/>
                          </w:rPr>
                          <w:t>1.3</w:t>
                        </w:r>
                      </w:p>
                    </w:tc>
                    <w:tc>
                      <w:tcPr>
                        <w:tcW w:w="9257" w:type="dxa"/>
                      </w:tcPr>
                      <w:p>
                        <w:pPr>
                          <w:pStyle w:val="TableParagraph"/>
                          <w:tabs>
                            <w:tab w:pos="1889" w:val="left" w:leader="none"/>
                          </w:tabs>
                          <w:spacing w:line="390" w:lineRule="atLeast" w:before="105"/>
                          <w:ind w:left="1889" w:right="98" w:hanging="1708"/>
                          <w:rPr>
                            <w:sz w:val="21"/>
                          </w:rPr>
                        </w:pPr>
                        <w:r>
                          <w:rPr>
                            <w:b/>
                            <w:sz w:val="21"/>
                          </w:rPr>
                          <w:t>合同生效</w:t>
                          <w:tab/>
                        </w:r>
                        <w:r>
                          <w:rPr>
                            <w:sz w:val="21"/>
                          </w:rPr>
                          <w:t>本公司对本附加合同应承担的保险责任</w:t>
                        </w:r>
                        <w:r>
                          <w:rPr>
                            <w:spacing w:val="-83"/>
                            <w:sz w:val="21"/>
                          </w:rPr>
                          <w:t>，</w:t>
                        </w:r>
                        <w:r>
                          <w:rPr>
                            <w:sz w:val="21"/>
                          </w:rPr>
                          <w:t>需经您交付首期保险费且本公司同意承保后开始，本公司应签发保险单作为承保凭证。</w:t>
                        </w:r>
                      </w:p>
                    </w:tc>
                  </w:tr>
                  <w:tr>
                    <w:trPr>
                      <w:trHeight w:val="1310" w:hRule="atLeast"/>
                    </w:trPr>
                    <w:tc>
                      <w:tcPr>
                        <w:tcW w:w="609" w:type="dxa"/>
                      </w:tcPr>
                      <w:p>
                        <w:pPr>
                          <w:pStyle w:val="TableParagraph"/>
                          <w:rPr>
                            <w:rFonts w:ascii="Times New Roman"/>
                            <w:sz w:val="20"/>
                          </w:rPr>
                        </w:pPr>
                      </w:p>
                    </w:tc>
                    <w:tc>
                      <w:tcPr>
                        <w:tcW w:w="9257" w:type="dxa"/>
                      </w:tcPr>
                      <w:p>
                        <w:pPr>
                          <w:pStyle w:val="TableParagraph"/>
                          <w:spacing w:before="7"/>
                          <w:rPr>
                            <w:sz w:val="27"/>
                          </w:rPr>
                        </w:pPr>
                      </w:p>
                      <w:p>
                        <w:pPr>
                          <w:pStyle w:val="TableParagraph"/>
                          <w:spacing w:line="340" w:lineRule="auto"/>
                          <w:ind w:left="1889" w:right="98"/>
                          <w:rPr>
                            <w:sz w:val="21"/>
                          </w:rPr>
                        </w:pPr>
                        <w:r>
                          <w:rPr>
                            <w:spacing w:val="-4"/>
                            <w:sz w:val="21"/>
                          </w:rPr>
                          <w:t>本附加合同的生效日以保险单载明的日期为准。保险单周年日、保险单年度、保险单月份、保险费到期日和保险单满期日均以该日期为基础计算。</w:t>
                        </w:r>
                      </w:p>
                    </w:tc>
                  </w:tr>
                  <w:tr>
                    <w:trPr>
                      <w:trHeight w:val="1949" w:hRule="atLeast"/>
                    </w:trPr>
                    <w:tc>
                      <w:tcPr>
                        <w:tcW w:w="609" w:type="dxa"/>
                      </w:tcPr>
                      <w:p>
                        <w:pPr>
                          <w:pStyle w:val="TableParagraph"/>
                          <w:spacing w:before="10"/>
                          <w:rPr>
                            <w:sz w:val="16"/>
                          </w:rPr>
                        </w:pPr>
                      </w:p>
                      <w:p>
                        <w:pPr>
                          <w:pStyle w:val="TableParagraph"/>
                          <w:spacing w:before="1"/>
                          <w:ind w:left="107"/>
                          <w:rPr>
                            <w:b/>
                            <w:sz w:val="21"/>
                          </w:rPr>
                        </w:pPr>
                        <w:r>
                          <w:rPr>
                            <w:b/>
                            <w:sz w:val="21"/>
                          </w:rPr>
                          <w:t>1.4</w:t>
                        </w:r>
                      </w:p>
                    </w:tc>
                    <w:tc>
                      <w:tcPr>
                        <w:tcW w:w="9257" w:type="dxa"/>
                      </w:tcPr>
                      <w:p>
                        <w:pPr>
                          <w:pStyle w:val="TableParagraph"/>
                          <w:spacing w:before="10"/>
                          <w:rPr>
                            <w:sz w:val="16"/>
                          </w:rPr>
                        </w:pPr>
                      </w:p>
                      <w:p>
                        <w:pPr>
                          <w:pStyle w:val="TableParagraph"/>
                          <w:spacing w:line="340" w:lineRule="auto" w:before="1"/>
                          <w:ind w:left="1889" w:right="98" w:hanging="1708"/>
                          <w:jc w:val="both"/>
                          <w:rPr>
                            <w:sz w:val="21"/>
                          </w:rPr>
                        </w:pPr>
                        <w:r>
                          <w:rPr>
                            <w:b/>
                            <w:spacing w:val="0"/>
                            <w:sz w:val="21"/>
                          </w:rPr>
                          <w:t>犹豫期         </w:t>
                        </w:r>
                        <w:r>
                          <w:rPr>
                            <w:spacing w:val="-6"/>
                            <w:sz w:val="21"/>
                          </w:rPr>
                          <w:t>自您签收本附加合同次日起，有十天的犹豫期，如果您在此期间提出解除本附加</w:t>
                        </w:r>
                        <w:r>
                          <w:rPr>
                            <w:spacing w:val="-10"/>
                            <w:sz w:val="21"/>
                          </w:rPr>
                          <w:t>合同，需要填写书面申请书，并提供您的合同及身份证明，我们会无息退还您所</w:t>
                        </w:r>
                        <w:r>
                          <w:rPr>
                            <w:spacing w:val="-13"/>
                            <w:sz w:val="21"/>
                          </w:rPr>
                          <w:t>交的全部保险费。自您书面申请解除本附加合同之日起，本附加合同效力即行终止，我们自始不承担保险责任。</w:t>
                        </w:r>
                      </w:p>
                    </w:tc>
                  </w:tr>
                  <w:tr>
                    <w:trPr>
                      <w:trHeight w:val="830" w:hRule="atLeast"/>
                    </w:trPr>
                    <w:tc>
                      <w:tcPr>
                        <w:tcW w:w="609" w:type="dxa"/>
                      </w:tcPr>
                      <w:p>
                        <w:pPr>
                          <w:pStyle w:val="TableParagraph"/>
                          <w:spacing w:before="10"/>
                          <w:rPr>
                            <w:sz w:val="16"/>
                          </w:rPr>
                        </w:pPr>
                      </w:p>
                      <w:p>
                        <w:pPr>
                          <w:pStyle w:val="TableParagraph"/>
                          <w:spacing w:before="1"/>
                          <w:ind w:left="107"/>
                          <w:rPr>
                            <w:b/>
                            <w:sz w:val="21"/>
                          </w:rPr>
                        </w:pPr>
                        <w:r>
                          <w:rPr>
                            <w:b/>
                            <w:sz w:val="21"/>
                          </w:rPr>
                          <w:t>1.5</w:t>
                        </w:r>
                      </w:p>
                    </w:tc>
                    <w:tc>
                      <w:tcPr>
                        <w:tcW w:w="9257" w:type="dxa"/>
                      </w:tcPr>
                      <w:p>
                        <w:pPr>
                          <w:pStyle w:val="TableParagraph"/>
                          <w:spacing w:before="10"/>
                          <w:rPr>
                            <w:sz w:val="16"/>
                          </w:rPr>
                        </w:pPr>
                      </w:p>
                      <w:p>
                        <w:pPr>
                          <w:pStyle w:val="TableParagraph"/>
                          <w:tabs>
                            <w:tab w:pos="1889" w:val="left" w:leader="none"/>
                          </w:tabs>
                          <w:spacing w:before="1"/>
                          <w:ind w:left="181"/>
                          <w:rPr>
                            <w:sz w:val="21"/>
                          </w:rPr>
                        </w:pPr>
                        <w:r>
                          <w:rPr>
                            <w:b/>
                            <w:sz w:val="21"/>
                          </w:rPr>
                          <w:t>保险期间</w:t>
                          <w:tab/>
                        </w:r>
                        <w:r>
                          <w:rPr>
                            <w:sz w:val="21"/>
                          </w:rPr>
                          <w:t>本附加合同保险期间与主合同一致，且须与主合同同时投保。</w:t>
                        </w:r>
                      </w:p>
                    </w:tc>
                  </w:tr>
                  <w:tr>
                    <w:trPr>
                      <w:trHeight w:val="768"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4</w:t>
                        </w:r>
                      </w:p>
                    </w:tc>
                    <w:tc>
                      <w:tcPr>
                        <w:tcW w:w="9257" w:type="dxa"/>
                        <w:tcBorders>
                          <w:bottom w:val="single" w:sz="4" w:space="0" w:color="000000"/>
                        </w:tcBorders>
                      </w:tcPr>
                      <w:p>
                        <w:pPr>
                          <w:pStyle w:val="TableParagraph"/>
                          <w:rPr>
                            <w:sz w:val="20"/>
                          </w:rPr>
                        </w:pPr>
                      </w:p>
                      <w:p>
                        <w:pPr>
                          <w:pStyle w:val="TableParagraph"/>
                          <w:ind w:left="181"/>
                          <w:rPr>
                            <w:b/>
                            <w:sz w:val="24"/>
                          </w:rPr>
                        </w:pPr>
                        <w:r>
                          <w:rPr>
                            <w:b/>
                            <w:w w:val="95"/>
                            <w:sz w:val="24"/>
                          </w:rPr>
                          <w:t>我们提供的保障</w:t>
                        </w:r>
                      </w:p>
                    </w:tc>
                  </w:tr>
                </w:tbl>
                <w:p>
                  <w:pPr>
                    <w:pStyle w:val="BodyText"/>
                  </w:pPr>
                </w:p>
              </w:txbxContent>
            </v:textbox>
            <w10:wrap type="none"/>
          </v:shape>
        </w:pict>
      </w:r>
    </w:p>
    <w:p>
      <w:pPr>
        <w:pStyle w:val="BodyText"/>
        <w:spacing w:line="20" w:lineRule="exact"/>
        <w:ind w:left="1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27"/>
        </w:rPr>
      </w:pPr>
    </w:p>
    <w:p>
      <w:pPr>
        <w:spacing w:before="14"/>
        <w:ind w:left="3300" w:right="0" w:firstLine="0"/>
        <w:jc w:val="left"/>
        <w:rPr>
          <w:b/>
          <w:sz w:val="28"/>
        </w:rPr>
      </w:pPr>
      <w:r>
        <w:rPr>
          <w:b/>
          <w:w w:val="95"/>
          <w:sz w:val="28"/>
        </w:rPr>
        <w:t>民生人寿保险股份有限公司</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8"/>
        <w:rPr>
          <w:b/>
          <w:sz w:val="35"/>
        </w:rPr>
      </w:pPr>
    </w:p>
    <w:p>
      <w:pPr>
        <w:pStyle w:val="BodyText"/>
        <w:ind w:left="2614"/>
      </w:pPr>
      <w:r>
        <w:rPr/>
        <w:t>2、 本附加合同期满；</w:t>
      </w:r>
    </w:p>
    <w:p>
      <w:pPr>
        <w:spacing w:after="0"/>
        <w:sectPr>
          <w:pgSz w:w="11910" w:h="16840"/>
          <w:pgMar w:header="857" w:footer="977" w:top="1040" w:bottom="1180" w:left="1080" w:right="740"/>
        </w:sectPr>
      </w:pPr>
    </w:p>
    <w:p>
      <w:pPr>
        <w:pStyle w:val="BodyText"/>
        <w:spacing w:before="10"/>
        <w:rPr>
          <w:sz w:val="26"/>
        </w:rPr>
      </w:pPr>
      <w:r>
        <w:rPr/>
        <w:pict>
          <v:shape style="position:absolute;margin-left:63.720001pt;margin-top:55.259998pt;width:496.75pt;height:704.35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5"/>
                  </w:tblGrid>
                  <w:tr>
                    <w:trPr>
                      <w:trHeight w:val="493" w:hRule="atLeast"/>
                    </w:trPr>
                    <w:tc>
                      <w:tcPr>
                        <w:tcW w:w="9935" w:type="dxa"/>
                        <w:tcBorders>
                          <w:top w:val="single" w:sz="6" w:space="0" w:color="000000"/>
                        </w:tcBorders>
                      </w:tcPr>
                      <w:p>
                        <w:pPr>
                          <w:pStyle w:val="TableParagraph"/>
                          <w:rPr>
                            <w:rFonts w:ascii="Times New Roman"/>
                            <w:sz w:val="20"/>
                          </w:rPr>
                        </w:pPr>
                      </w:p>
                    </w:tc>
                  </w:tr>
                  <w:tr>
                    <w:trPr>
                      <w:trHeight w:val="389" w:hRule="atLeast"/>
                    </w:trPr>
                    <w:tc>
                      <w:tcPr>
                        <w:tcW w:w="9935" w:type="dxa"/>
                      </w:tcPr>
                      <w:p>
                        <w:pPr>
                          <w:pStyle w:val="TableParagraph"/>
                          <w:rPr>
                            <w:rFonts w:ascii="Times New Roman"/>
                            <w:sz w:val="20"/>
                          </w:rPr>
                        </w:pPr>
                      </w:p>
                    </w:tc>
                  </w:tr>
                  <w:tr>
                    <w:trPr>
                      <w:trHeight w:val="389" w:hRule="atLeast"/>
                    </w:trPr>
                    <w:tc>
                      <w:tcPr>
                        <w:tcW w:w="9935" w:type="dxa"/>
                      </w:tcPr>
                      <w:p>
                        <w:pPr>
                          <w:pStyle w:val="TableParagraph"/>
                          <w:rPr>
                            <w:rFonts w:ascii="Times New Roman"/>
                            <w:sz w:val="20"/>
                          </w:rPr>
                        </w:pPr>
                      </w:p>
                    </w:tc>
                  </w:tr>
                  <w:tr>
                    <w:trPr>
                      <w:trHeight w:val="412" w:hRule="atLeast"/>
                    </w:trPr>
                    <w:tc>
                      <w:tcPr>
                        <w:tcW w:w="9935" w:type="dxa"/>
                      </w:tcPr>
                      <w:p>
                        <w:pPr>
                          <w:pStyle w:val="TableParagraph"/>
                          <w:rPr>
                            <w:rFonts w:ascii="Times New Roman"/>
                            <w:sz w:val="20"/>
                          </w:rPr>
                        </w:pPr>
                      </w:p>
                    </w:tc>
                  </w:tr>
                  <w:tr>
                    <w:trPr>
                      <w:trHeight w:val="3235" w:hRule="atLeast"/>
                    </w:trPr>
                    <w:tc>
                      <w:tcPr>
                        <w:tcW w:w="9935" w:type="dxa"/>
                      </w:tcPr>
                      <w:p>
                        <w:pPr>
                          <w:pStyle w:val="TableParagraph"/>
                          <w:spacing w:before="6"/>
                          <w:rPr>
                            <w:sz w:val="18"/>
                          </w:rPr>
                        </w:pPr>
                      </w:p>
                      <w:p>
                        <w:pPr>
                          <w:pStyle w:val="TableParagraph"/>
                          <w:tabs>
                            <w:tab w:pos="2420" w:val="left" w:leader="none"/>
                          </w:tabs>
                          <w:spacing w:line="340" w:lineRule="auto" w:before="1"/>
                          <w:ind w:left="712" w:right="243"/>
                          <w:jc w:val="right"/>
                          <w:rPr>
                            <w:sz w:val="21"/>
                          </w:rPr>
                        </w:pPr>
                        <w:r>
                          <w:rPr>
                            <w:b/>
                            <w:sz w:val="21"/>
                          </w:rPr>
                          <w:t>重大疾病</w:t>
                          <w:tab/>
                        </w:r>
                        <w:r>
                          <w:rPr>
                            <w:w w:val="95"/>
                            <w:sz w:val="21"/>
                          </w:rPr>
                          <w:t>自本附加合同生</w:t>
                        </w:r>
                        <w:r>
                          <w:rPr>
                            <w:spacing w:val="-74"/>
                            <w:w w:val="95"/>
                            <w:sz w:val="21"/>
                          </w:rPr>
                          <w:t>效</w:t>
                        </w:r>
                        <w:r>
                          <w:rPr>
                            <w:w w:val="95"/>
                            <w:sz w:val="21"/>
                          </w:rPr>
                          <w:t>（或复效</w:t>
                        </w:r>
                        <w:r>
                          <w:rPr>
                            <w:spacing w:val="-74"/>
                            <w:w w:val="95"/>
                            <w:sz w:val="21"/>
                          </w:rPr>
                          <w:t>）</w:t>
                        </w:r>
                        <w:r>
                          <w:rPr>
                            <w:w w:val="95"/>
                            <w:sz w:val="21"/>
                          </w:rPr>
                          <w:t>之日起一年后至合同期满</w:t>
                        </w:r>
                        <w:r>
                          <w:rPr>
                            <w:spacing w:val="-74"/>
                            <w:w w:val="95"/>
                            <w:sz w:val="21"/>
                          </w:rPr>
                          <w:t>，</w:t>
                        </w:r>
                        <w:r>
                          <w:rPr>
                            <w:w w:val="95"/>
                            <w:sz w:val="21"/>
                          </w:rPr>
                          <w:t>若被保险人首次</w:t>
                        </w:r>
                        <w:r>
                          <w:rPr>
                            <w:b/>
                            <w:w w:val="95"/>
                            <w:sz w:val="21"/>
                          </w:rPr>
                          <w:t>发</w:t>
                        </w:r>
                        <w:r>
                          <w:rPr>
                            <w:b/>
                            <w:spacing w:val="-72"/>
                            <w:w w:val="95"/>
                            <w:sz w:val="21"/>
                          </w:rPr>
                          <w:t>病</w:t>
                        </w:r>
                        <w:r>
                          <w:rPr>
                            <w:w w:val="95"/>
                            <w:sz w:val="21"/>
                          </w:rPr>
                          <w:t>（见    </w:t>
                        </w:r>
                        <w:r>
                          <w:rPr>
                            <w:b/>
                            <w:sz w:val="21"/>
                          </w:rPr>
                          <w:t>保险金</w:t>
                          <w:tab/>
                        </w:r>
                        <w:r>
                          <w:rPr>
                            <w:sz w:val="21"/>
                          </w:rPr>
                          <w:t>8.1）并经本公司</w:t>
                        </w:r>
                        <w:r>
                          <w:rPr>
                            <w:b/>
                            <w:sz w:val="21"/>
                          </w:rPr>
                          <w:t>指定或认可的医疗机构</w:t>
                        </w:r>
                        <w:r>
                          <w:rPr>
                            <w:sz w:val="21"/>
                          </w:rPr>
                          <w:t>（见</w:t>
                        </w:r>
                        <w:r>
                          <w:rPr>
                            <w:spacing w:val="5"/>
                            <w:sz w:val="21"/>
                          </w:rPr>
                          <w:t> </w:t>
                        </w:r>
                        <w:r>
                          <w:rPr>
                            <w:sz w:val="21"/>
                          </w:rPr>
                          <w:t>8.2）确诊初次患上本附加合同附表一约定的一项或多项重大疾病</w:t>
                        </w:r>
                        <w:r>
                          <w:rPr>
                            <w:spacing w:val="-83"/>
                            <w:sz w:val="21"/>
                          </w:rPr>
                          <w:t>，</w:t>
                        </w:r>
                        <w:r>
                          <w:rPr>
                            <w:sz w:val="21"/>
                          </w:rPr>
                          <w:t>本公司按主合同的保险金额向被保险人给付重</w:t>
                        </w:r>
                      </w:p>
                      <w:p>
                        <w:pPr>
                          <w:pStyle w:val="TableParagraph"/>
                          <w:spacing w:before="27"/>
                          <w:ind w:left="2420"/>
                          <w:rPr>
                            <w:sz w:val="21"/>
                          </w:rPr>
                        </w:pPr>
                        <w:r>
                          <w:rPr>
                            <w:sz w:val="21"/>
                          </w:rPr>
                          <w:t>大疾病保险金，本附加合同终止，同时主合同终止。</w:t>
                        </w:r>
                      </w:p>
                      <w:p>
                        <w:pPr>
                          <w:pStyle w:val="TableParagraph"/>
                          <w:spacing w:before="12"/>
                          <w:rPr>
                            <w:sz w:val="15"/>
                          </w:rPr>
                        </w:pPr>
                      </w:p>
                      <w:p>
                        <w:pPr>
                          <w:pStyle w:val="TableParagraph"/>
                          <w:spacing w:line="340" w:lineRule="auto"/>
                          <w:ind w:left="2420" w:right="243"/>
                          <w:jc w:val="both"/>
                          <w:rPr>
                            <w:sz w:val="21"/>
                          </w:rPr>
                        </w:pPr>
                        <w:r>
                          <w:rPr>
                            <w:spacing w:val="-4"/>
                            <w:sz w:val="21"/>
                          </w:rPr>
                          <w:t>自本附加合同生效</w:t>
                        </w:r>
                        <w:r>
                          <w:rPr>
                            <w:sz w:val="21"/>
                          </w:rPr>
                          <w:t>（或复效</w:t>
                        </w:r>
                        <w:r>
                          <w:rPr>
                            <w:spacing w:val="-28"/>
                            <w:sz w:val="21"/>
                          </w:rPr>
                          <w:t>）</w:t>
                        </w:r>
                        <w:r>
                          <w:rPr>
                            <w:spacing w:val="-3"/>
                            <w:sz w:val="21"/>
                          </w:rPr>
                          <w:t>之日起一年后至合同期满，若被保险人首次发病并</w:t>
                        </w:r>
                        <w:r>
                          <w:rPr>
                            <w:spacing w:val="-6"/>
                            <w:sz w:val="21"/>
                          </w:rPr>
                          <w:t>经本公司指定或认可的医疗机构确诊初次患上本附加合同附表一约定的“系统性</w:t>
                        </w:r>
                        <w:r>
                          <w:rPr>
                            <w:spacing w:val="-20"/>
                            <w:sz w:val="21"/>
                          </w:rPr>
                          <w:t>红斑狼疮”、“严重类风湿性关节炎”、以及符合本附加合同附表一约定的“恶性</w:t>
                        </w:r>
                      </w:p>
                    </w:tc>
                  </w:tr>
                  <w:tr>
                    <w:trPr>
                      <w:trHeight w:val="3259" w:hRule="atLeast"/>
                    </w:trPr>
                    <w:tc>
                      <w:tcPr>
                        <w:tcW w:w="9935" w:type="dxa"/>
                      </w:tcPr>
                      <w:p>
                        <w:pPr>
                          <w:pStyle w:val="TableParagraph"/>
                          <w:spacing w:before="11"/>
                          <w:rPr>
                            <w:sz w:val="16"/>
                          </w:rPr>
                        </w:pPr>
                      </w:p>
                      <w:p>
                        <w:pPr>
                          <w:pStyle w:val="TableParagraph"/>
                          <w:spacing w:line="340" w:lineRule="auto"/>
                          <w:ind w:left="2420" w:right="246"/>
                          <w:jc w:val="both"/>
                          <w:rPr>
                            <w:sz w:val="21"/>
                          </w:rPr>
                        </w:pPr>
                        <w:r>
                          <w:rPr>
                            <w:spacing w:val="-6"/>
                            <w:sz w:val="21"/>
                          </w:rPr>
                          <w:t>外阴癌中的一项或多项时，本公司将在已给付的重大疾病保险金的基础上，再按</w:t>
                        </w:r>
                        <w:r>
                          <w:rPr>
                            <w:spacing w:val="-11"/>
                            <w:sz w:val="21"/>
                          </w:rPr>
                          <w:t>照主合同的保险金额的 </w:t>
                        </w:r>
                        <w:r>
                          <w:rPr>
                            <w:sz w:val="21"/>
                          </w:rPr>
                          <w:t>50%向被保险人给付</w:t>
                        </w:r>
                        <w:r>
                          <w:rPr>
                            <w:b/>
                            <w:sz w:val="21"/>
                          </w:rPr>
                          <w:t>女性重大疾病特别保险金</w:t>
                        </w:r>
                        <w:r>
                          <w:rPr>
                            <w:spacing w:val="-9"/>
                            <w:sz w:val="21"/>
                          </w:rPr>
                          <w:t>，本附加合同终止，同时主合同终止。</w:t>
                        </w:r>
                      </w:p>
                      <w:p>
                        <w:pPr>
                          <w:pStyle w:val="TableParagraph"/>
                          <w:spacing w:line="340" w:lineRule="auto" w:before="119"/>
                          <w:ind w:left="2420" w:right="242"/>
                          <w:jc w:val="both"/>
                          <w:rPr>
                            <w:sz w:val="21"/>
                          </w:rPr>
                        </w:pPr>
                        <w:r>
                          <w:rPr>
                            <w:sz w:val="21"/>
                          </w:rPr>
                          <w:t>若被保险人经本公司指定或认可的医疗机构确诊初次患上本附加合同附表一约</w:t>
                        </w:r>
                        <w:r>
                          <w:rPr>
                            <w:spacing w:val="-4"/>
                            <w:sz w:val="21"/>
                          </w:rPr>
                          <w:t>定的一项或多项重大疾病，并且首次发病时间在本附加合同生效</w:t>
                        </w:r>
                        <w:r>
                          <w:rPr>
                            <w:sz w:val="21"/>
                          </w:rPr>
                          <w:t>（或复效</w:t>
                        </w:r>
                        <w:r>
                          <w:rPr>
                            <w:spacing w:val="-28"/>
                            <w:sz w:val="21"/>
                          </w:rPr>
                          <w:t>）</w:t>
                        </w:r>
                        <w:r>
                          <w:rPr>
                            <w:sz w:val="21"/>
                          </w:rPr>
                          <w:t>之日起一年内</w:t>
                        </w:r>
                        <w:r>
                          <w:rPr>
                            <w:spacing w:val="-1"/>
                            <w:sz w:val="21"/>
                          </w:rPr>
                          <w:t>（包括一年</w:t>
                        </w:r>
                        <w:r>
                          <w:rPr>
                            <w:spacing w:val="-105"/>
                            <w:sz w:val="21"/>
                          </w:rPr>
                          <w:t>）</w:t>
                        </w:r>
                        <w:r>
                          <w:rPr>
                            <w:spacing w:val="-1"/>
                            <w:sz w:val="21"/>
                          </w:rPr>
                          <w:t>，本公司向您无息返还本附加合同保险费，本附加合同终止。</w:t>
                        </w:r>
                      </w:p>
                    </w:tc>
                  </w:tr>
                  <w:tr>
                    <w:trPr>
                      <w:trHeight w:val="5891" w:hRule="atLeast"/>
                    </w:trPr>
                    <w:tc>
                      <w:tcPr>
                        <w:tcW w:w="9935" w:type="dxa"/>
                      </w:tcPr>
                      <w:p>
                        <w:pPr>
                          <w:pStyle w:val="TableParagraph"/>
                          <w:spacing w:before="5"/>
                          <w:rPr>
                            <w:sz w:val="20"/>
                          </w:rPr>
                        </w:pPr>
                      </w:p>
                      <w:p>
                        <w:pPr>
                          <w:pStyle w:val="TableParagraph"/>
                          <w:tabs>
                            <w:tab w:pos="712" w:val="left" w:leader="none"/>
                            <w:tab w:pos="2420" w:val="left" w:leader="none"/>
                          </w:tabs>
                          <w:spacing w:line="340" w:lineRule="auto"/>
                          <w:ind w:left="2420" w:right="245" w:hanging="2391"/>
                          <w:rPr>
                            <w:sz w:val="21"/>
                          </w:rPr>
                        </w:pPr>
                        <w:r>
                          <w:rPr>
                            <w:b/>
                            <w:sz w:val="21"/>
                          </w:rPr>
                          <w:t>2.3</w:t>
                          <w:tab/>
                          <w:t>责任免除</w:t>
                          <w:tab/>
                        </w:r>
                        <w:r>
                          <w:rPr>
                            <w:sz w:val="21"/>
                          </w:rPr>
                          <w:t>被保险人因下列情形之一导致患本附加合同约定的重大疾病的</w:t>
                        </w:r>
                        <w:r>
                          <w:rPr>
                            <w:spacing w:val="-83"/>
                            <w:sz w:val="21"/>
                          </w:rPr>
                          <w:t>，</w:t>
                        </w:r>
                        <w:r>
                          <w:rPr>
                            <w:sz w:val="21"/>
                          </w:rPr>
                          <w:t>本公司不承担保险责任：</w:t>
                        </w:r>
                      </w:p>
                      <w:p>
                        <w:pPr>
                          <w:pStyle w:val="TableParagraph"/>
                          <w:spacing w:before="26"/>
                          <w:ind w:left="2420"/>
                          <w:rPr>
                            <w:b/>
                            <w:sz w:val="21"/>
                          </w:rPr>
                        </w:pPr>
                        <w:r>
                          <w:rPr>
                            <w:b/>
                            <w:sz w:val="21"/>
                          </w:rPr>
                          <w:t>1、 投保人、受益人对被保险人的故意杀害、故意伤害；</w:t>
                        </w:r>
                      </w:p>
                      <w:p>
                        <w:pPr>
                          <w:pStyle w:val="TableParagraph"/>
                          <w:spacing w:before="114"/>
                          <w:ind w:left="2420"/>
                          <w:rPr>
                            <w:b/>
                            <w:sz w:val="21"/>
                          </w:rPr>
                        </w:pPr>
                        <w:r>
                          <w:rPr>
                            <w:b/>
                            <w:sz w:val="21"/>
                          </w:rPr>
                          <w:t>2、 被保险人故意犯罪、拒捕；</w:t>
                        </w:r>
                      </w:p>
                      <w:p>
                        <w:pPr>
                          <w:pStyle w:val="TableParagraph"/>
                          <w:spacing w:before="114"/>
                          <w:ind w:left="2420"/>
                          <w:rPr>
                            <w:b/>
                            <w:sz w:val="21"/>
                          </w:rPr>
                        </w:pPr>
                        <w:r>
                          <w:rPr>
                            <w:b/>
                            <w:sz w:val="21"/>
                          </w:rPr>
                          <w:t>3、 被保险人服用、吸食或注射毒品；</w:t>
                        </w:r>
                      </w:p>
                      <w:p>
                        <w:pPr>
                          <w:pStyle w:val="TableParagraph"/>
                          <w:spacing w:before="114"/>
                          <w:ind w:left="2420"/>
                          <w:rPr>
                            <w:b/>
                            <w:sz w:val="21"/>
                          </w:rPr>
                        </w:pPr>
                        <w:r>
                          <w:rPr>
                            <w:b/>
                            <w:sz w:val="21"/>
                          </w:rPr>
                          <w:t>4、 被保险人在本合同生效日起二年内或最后复效日起二年内自杀或故意自伤；</w:t>
                        </w:r>
                      </w:p>
                      <w:p>
                        <w:pPr>
                          <w:pStyle w:val="TableParagraph"/>
                          <w:spacing w:line="340" w:lineRule="auto" w:before="114"/>
                          <w:ind w:left="2780" w:right="246" w:hanging="361"/>
                          <w:rPr>
                            <w:b/>
                            <w:sz w:val="21"/>
                          </w:rPr>
                        </w:pPr>
                        <w:r>
                          <w:rPr>
                            <w:b/>
                            <w:spacing w:val="0"/>
                            <w:w w:val="99"/>
                            <w:sz w:val="21"/>
                          </w:rPr>
                          <w:t>5</w:t>
                        </w:r>
                        <w:r>
                          <w:rPr>
                            <w:b/>
                            <w:w w:val="99"/>
                            <w:sz w:val="21"/>
                          </w:rPr>
                          <w:t>、</w:t>
                        </w:r>
                        <w:r>
                          <w:rPr>
                            <w:b/>
                            <w:spacing w:val="-63"/>
                            <w:sz w:val="21"/>
                          </w:rPr>
                          <w:t> </w:t>
                        </w:r>
                        <w:r>
                          <w:rPr>
                            <w:b/>
                            <w:spacing w:val="-3"/>
                            <w:w w:val="99"/>
                            <w:sz w:val="21"/>
                          </w:rPr>
                          <w:t>被保险人酒后驾驶</w:t>
                        </w:r>
                        <w:r>
                          <w:rPr>
                            <w:spacing w:val="-1"/>
                            <w:sz w:val="21"/>
                          </w:rPr>
                          <w:t>（</w:t>
                        </w:r>
                        <w:r>
                          <w:rPr>
                            <w:spacing w:val="-27"/>
                            <w:sz w:val="21"/>
                          </w:rPr>
                          <w:t>见 </w:t>
                        </w:r>
                        <w:r>
                          <w:rPr>
                            <w:spacing w:val="-1"/>
                            <w:sz w:val="21"/>
                          </w:rPr>
                          <w:t>8</w:t>
                        </w:r>
                        <w:r>
                          <w:rPr>
                            <w:sz w:val="21"/>
                          </w:rPr>
                          <w:t>.</w:t>
                        </w:r>
                        <w:r>
                          <w:rPr>
                            <w:spacing w:val="-1"/>
                            <w:sz w:val="21"/>
                          </w:rPr>
                          <w:t>3</w:t>
                        </w:r>
                        <w:r>
                          <w:rPr>
                            <w:spacing w:val="-105"/>
                            <w:sz w:val="21"/>
                          </w:rPr>
                          <w:t>）</w:t>
                        </w:r>
                        <w:r>
                          <w:rPr>
                            <w:b/>
                            <w:spacing w:val="-4"/>
                            <w:w w:val="99"/>
                            <w:sz w:val="21"/>
                          </w:rPr>
                          <w:t>、无有效驾驶证件驾驶</w:t>
                        </w:r>
                        <w:r>
                          <w:rPr>
                            <w:sz w:val="21"/>
                          </w:rPr>
                          <w:t>（</w:t>
                        </w:r>
                        <w:r>
                          <w:rPr>
                            <w:spacing w:val="-27"/>
                            <w:sz w:val="21"/>
                          </w:rPr>
                          <w:t>见 </w:t>
                        </w:r>
                        <w:r>
                          <w:rPr>
                            <w:sz w:val="21"/>
                          </w:rPr>
                          <w:t>8</w:t>
                        </w:r>
                        <w:r>
                          <w:rPr>
                            <w:spacing w:val="-1"/>
                            <w:sz w:val="21"/>
                          </w:rPr>
                          <w:t>.</w:t>
                        </w:r>
                        <w:r>
                          <w:rPr>
                            <w:sz w:val="21"/>
                          </w:rPr>
                          <w:t>4</w:t>
                        </w:r>
                        <w:r>
                          <w:rPr>
                            <w:spacing w:val="-12"/>
                            <w:sz w:val="21"/>
                          </w:rPr>
                          <w:t>）</w:t>
                        </w:r>
                        <w:r>
                          <w:rPr>
                            <w:b/>
                            <w:w w:val="99"/>
                            <w:sz w:val="21"/>
                          </w:rPr>
                          <w:t>或驾驶无有效行驶证件</w:t>
                        </w:r>
                        <w:r>
                          <w:rPr>
                            <w:spacing w:val="-2"/>
                            <w:sz w:val="21"/>
                          </w:rPr>
                          <w:t>（</w:t>
                        </w:r>
                        <w:r>
                          <w:rPr>
                            <w:spacing w:val="-27"/>
                            <w:sz w:val="21"/>
                          </w:rPr>
                          <w:t>见 </w:t>
                        </w:r>
                        <w:r>
                          <w:rPr>
                            <w:sz w:val="21"/>
                          </w:rPr>
                          <w:t>8</w:t>
                        </w:r>
                        <w:r>
                          <w:rPr>
                            <w:spacing w:val="-1"/>
                            <w:sz w:val="21"/>
                          </w:rPr>
                          <w:t>.</w:t>
                        </w:r>
                        <w:r>
                          <w:rPr>
                            <w:sz w:val="21"/>
                          </w:rPr>
                          <w:t>5）</w:t>
                        </w:r>
                        <w:r>
                          <w:rPr>
                            <w:b/>
                            <w:spacing w:val="-1"/>
                            <w:w w:val="99"/>
                            <w:sz w:val="21"/>
                          </w:rPr>
                          <w:t>的机动交通工具</w:t>
                        </w:r>
                        <w:r>
                          <w:rPr>
                            <w:sz w:val="21"/>
                          </w:rPr>
                          <w:t>（</w:t>
                        </w:r>
                        <w:r>
                          <w:rPr>
                            <w:spacing w:val="-27"/>
                            <w:sz w:val="21"/>
                          </w:rPr>
                          <w:t>见 </w:t>
                        </w:r>
                        <w:r>
                          <w:rPr>
                            <w:sz w:val="21"/>
                          </w:rPr>
                          <w:t>8</w:t>
                        </w:r>
                        <w:r>
                          <w:rPr>
                            <w:spacing w:val="-1"/>
                            <w:sz w:val="21"/>
                          </w:rPr>
                          <w:t>.</w:t>
                        </w:r>
                        <w:r>
                          <w:rPr>
                            <w:sz w:val="21"/>
                          </w:rPr>
                          <w:t>6</w:t>
                        </w:r>
                        <w:r>
                          <w:rPr>
                            <w:spacing w:val="-106"/>
                            <w:sz w:val="21"/>
                          </w:rPr>
                          <w:t>）</w:t>
                        </w:r>
                        <w:r>
                          <w:rPr>
                            <w:b/>
                            <w:w w:val="99"/>
                            <w:sz w:val="21"/>
                          </w:rPr>
                          <w:t>；</w:t>
                        </w:r>
                      </w:p>
                      <w:p>
                        <w:pPr>
                          <w:pStyle w:val="TableParagraph"/>
                          <w:spacing w:line="340" w:lineRule="auto" w:before="26"/>
                          <w:ind w:left="2780" w:right="246" w:hanging="361"/>
                          <w:rPr>
                            <w:b/>
                            <w:sz w:val="21"/>
                          </w:rPr>
                        </w:pPr>
                        <w:r>
                          <w:rPr>
                            <w:b/>
                            <w:spacing w:val="0"/>
                            <w:w w:val="99"/>
                            <w:sz w:val="21"/>
                          </w:rPr>
                          <w:t>6</w:t>
                        </w:r>
                        <w:r>
                          <w:rPr>
                            <w:b/>
                            <w:w w:val="99"/>
                            <w:sz w:val="21"/>
                          </w:rPr>
                          <w:t>、</w:t>
                        </w:r>
                        <w:r>
                          <w:rPr>
                            <w:b/>
                            <w:spacing w:val="-63"/>
                            <w:sz w:val="21"/>
                          </w:rPr>
                          <w:t> </w:t>
                        </w:r>
                        <w:r>
                          <w:rPr>
                            <w:b/>
                            <w:spacing w:val="-3"/>
                            <w:w w:val="99"/>
                            <w:sz w:val="21"/>
                          </w:rPr>
                          <w:t>被保险人在本合同生效日起二年内患艾滋病</w:t>
                        </w:r>
                        <w:r>
                          <w:rPr>
                            <w:spacing w:val="-2"/>
                            <w:sz w:val="21"/>
                          </w:rPr>
                          <w:t>（</w:t>
                        </w:r>
                        <w:r>
                          <w:rPr>
                            <w:spacing w:val="-27"/>
                            <w:sz w:val="21"/>
                          </w:rPr>
                          <w:t>见 </w:t>
                        </w:r>
                        <w:r>
                          <w:rPr>
                            <w:sz w:val="21"/>
                          </w:rPr>
                          <w:t>8</w:t>
                        </w:r>
                        <w:r>
                          <w:rPr>
                            <w:spacing w:val="-1"/>
                            <w:sz w:val="21"/>
                          </w:rPr>
                          <w:t>.</w:t>
                        </w:r>
                        <w:r>
                          <w:rPr>
                            <w:sz w:val="21"/>
                          </w:rPr>
                          <w:t>7</w:t>
                        </w:r>
                        <w:r>
                          <w:rPr>
                            <w:spacing w:val="-139"/>
                            <w:sz w:val="21"/>
                          </w:rPr>
                          <w:t>）</w:t>
                        </w:r>
                        <w:r>
                          <w:rPr>
                            <w:b/>
                            <w:w w:val="99"/>
                            <w:sz w:val="21"/>
                          </w:rPr>
                          <w:t>（</w:t>
                        </w:r>
                        <w:r>
                          <w:rPr>
                            <w:b/>
                            <w:spacing w:val="0"/>
                            <w:w w:val="99"/>
                            <w:sz w:val="21"/>
                          </w:rPr>
                          <w:t>A</w:t>
                        </w:r>
                        <w:r>
                          <w:rPr>
                            <w:b/>
                            <w:w w:val="99"/>
                            <w:sz w:val="21"/>
                          </w:rPr>
                          <w:t>ID</w:t>
                        </w:r>
                        <w:r>
                          <w:rPr>
                            <w:b/>
                            <w:spacing w:val="0"/>
                            <w:w w:val="99"/>
                            <w:sz w:val="21"/>
                          </w:rPr>
                          <w:t>S</w:t>
                        </w:r>
                        <w:r>
                          <w:rPr>
                            <w:b/>
                            <w:spacing w:val="-34"/>
                            <w:w w:val="99"/>
                            <w:sz w:val="21"/>
                          </w:rPr>
                          <w:t>）</w:t>
                        </w:r>
                        <w:r>
                          <w:rPr>
                            <w:b/>
                            <w:w w:val="99"/>
                            <w:sz w:val="21"/>
                          </w:rPr>
                          <w:t>或感染艾滋病</w:t>
                        </w:r>
                        <w:r>
                          <w:rPr>
                            <w:b/>
                            <w:spacing w:val="0"/>
                            <w:w w:val="99"/>
                            <w:sz w:val="21"/>
                          </w:rPr>
                          <w:t>病毒</w:t>
                        </w:r>
                        <w:r>
                          <w:rPr>
                            <w:spacing w:val="-1"/>
                            <w:sz w:val="21"/>
                          </w:rPr>
                          <w:t>（</w:t>
                        </w:r>
                        <w:r>
                          <w:rPr>
                            <w:spacing w:val="-27"/>
                            <w:sz w:val="21"/>
                          </w:rPr>
                          <w:t>见 </w:t>
                        </w:r>
                        <w:r>
                          <w:rPr>
                            <w:spacing w:val="-1"/>
                            <w:sz w:val="21"/>
                          </w:rPr>
                          <w:t>8</w:t>
                        </w:r>
                        <w:r>
                          <w:rPr>
                            <w:sz w:val="21"/>
                          </w:rPr>
                          <w:t>.</w:t>
                        </w:r>
                        <w:r>
                          <w:rPr>
                            <w:spacing w:val="-1"/>
                            <w:sz w:val="21"/>
                          </w:rPr>
                          <w:t>8</w:t>
                        </w:r>
                        <w:r>
                          <w:rPr>
                            <w:spacing w:val="-105"/>
                            <w:sz w:val="21"/>
                          </w:rPr>
                          <w:t>）</w:t>
                        </w:r>
                        <w:r>
                          <w:rPr>
                            <w:b/>
                            <w:spacing w:val="-1"/>
                            <w:w w:val="99"/>
                            <w:sz w:val="21"/>
                          </w:rPr>
                          <w:t>（</w:t>
                        </w:r>
                        <w:r>
                          <w:rPr>
                            <w:b/>
                            <w:spacing w:val="0"/>
                            <w:w w:val="99"/>
                            <w:sz w:val="21"/>
                          </w:rPr>
                          <w:t>HI</w:t>
                        </w:r>
                        <w:r>
                          <w:rPr>
                            <w:b/>
                            <w:w w:val="99"/>
                            <w:sz w:val="21"/>
                          </w:rPr>
                          <w:t>V</w:t>
                        </w:r>
                        <w:r>
                          <w:rPr>
                            <w:b/>
                            <w:spacing w:val="-53"/>
                            <w:sz w:val="21"/>
                          </w:rPr>
                          <w:t> </w:t>
                        </w:r>
                        <w:r>
                          <w:rPr>
                            <w:b/>
                            <w:w w:val="99"/>
                            <w:sz w:val="21"/>
                          </w:rPr>
                          <w:t>呈阳性</w:t>
                        </w:r>
                        <w:r>
                          <w:rPr>
                            <w:b/>
                            <w:spacing w:val="-105"/>
                            <w:w w:val="99"/>
                            <w:sz w:val="21"/>
                          </w:rPr>
                          <w:t>）</w:t>
                        </w:r>
                        <w:r>
                          <w:rPr>
                            <w:b/>
                            <w:w w:val="99"/>
                            <w:sz w:val="21"/>
                          </w:rPr>
                          <w:t>；</w:t>
                        </w:r>
                      </w:p>
                      <w:p>
                        <w:pPr>
                          <w:pStyle w:val="TableParagraph"/>
                          <w:spacing w:before="26"/>
                          <w:ind w:left="2420"/>
                          <w:rPr>
                            <w:b/>
                            <w:sz w:val="21"/>
                          </w:rPr>
                        </w:pPr>
                        <w:r>
                          <w:rPr>
                            <w:b/>
                            <w:sz w:val="21"/>
                          </w:rPr>
                          <w:t>7、 战争、军事行动、暴乱或武装叛乱；</w:t>
                        </w:r>
                      </w:p>
                      <w:p>
                        <w:pPr>
                          <w:pStyle w:val="TableParagraph"/>
                          <w:spacing w:before="114"/>
                          <w:ind w:left="2420"/>
                          <w:rPr>
                            <w:b/>
                            <w:sz w:val="21"/>
                          </w:rPr>
                        </w:pPr>
                        <w:r>
                          <w:rPr>
                            <w:b/>
                            <w:sz w:val="21"/>
                          </w:rPr>
                          <w:t>8、 核爆炸、核辐射或核污染；</w:t>
                        </w:r>
                      </w:p>
                      <w:p>
                        <w:pPr>
                          <w:pStyle w:val="TableParagraph"/>
                          <w:spacing w:before="114"/>
                          <w:ind w:left="2420"/>
                          <w:rPr>
                            <w:b/>
                            <w:sz w:val="21"/>
                          </w:rPr>
                        </w:pPr>
                        <w:r>
                          <w:rPr>
                            <w:b/>
                            <w:sz w:val="21"/>
                          </w:rPr>
                          <w:t>9、 被保险人在投保之前确诊已患本附加合同约定的各项重大疾病之一。</w:t>
                        </w:r>
                      </w:p>
                      <w:p>
                        <w:pPr>
                          <w:pStyle w:val="TableParagraph"/>
                          <w:rPr>
                            <w:sz w:val="20"/>
                          </w:rPr>
                        </w:pPr>
                      </w:p>
                      <w:p>
                        <w:pPr>
                          <w:pStyle w:val="TableParagraph"/>
                          <w:spacing w:line="255" w:lineRule="exact" w:before="132"/>
                          <w:ind w:left="2420"/>
                          <w:rPr>
                            <w:sz w:val="21"/>
                          </w:rPr>
                        </w:pPr>
                        <w:r>
                          <w:rPr>
                            <w:sz w:val="21"/>
                          </w:rPr>
                          <w:t>因上述情形之一导致被保险人患本附加合同约定的重大疾病时，本附加合同终</w:t>
                        </w:r>
                      </w:p>
                    </w:tc>
                  </w:tr>
                </w:tbl>
                <w:p>
                  <w:pPr>
                    <w:pStyle w:val="BodyText"/>
                  </w:pPr>
                </w:p>
              </w:txbxContent>
            </v:textbox>
            <w10:wrap type="none"/>
          </v:shape>
        </w:pict>
      </w:r>
    </w:p>
    <w:p>
      <w:pPr>
        <w:pStyle w:val="ListParagraph"/>
        <w:numPr>
          <w:ilvl w:val="1"/>
          <w:numId w:val="5"/>
        </w:numPr>
        <w:tabs>
          <w:tab w:pos="826" w:val="left" w:leader="none"/>
          <w:tab w:pos="827" w:val="left" w:leader="none"/>
          <w:tab w:pos="2534" w:val="left" w:leader="none"/>
        </w:tabs>
        <w:spacing w:line="240" w:lineRule="auto" w:before="35" w:after="0"/>
        <w:ind w:left="826" w:right="0" w:hanging="682"/>
        <w:jc w:val="left"/>
        <w:rPr>
          <w:sz w:val="21"/>
        </w:rPr>
      </w:pPr>
      <w:r>
        <w:rPr>
          <w:b/>
          <w:sz w:val="21"/>
        </w:rPr>
        <w:t>保险金额</w:t>
        <w:tab/>
      </w:r>
      <w:r>
        <w:rPr>
          <w:sz w:val="21"/>
        </w:rPr>
        <w:t>本附加合同保险金额是本附加合同所附加主合同的保险金额。</w:t>
      </w:r>
    </w:p>
    <w:p>
      <w:pPr>
        <w:pStyle w:val="BodyText"/>
        <w:rPr>
          <w:sz w:val="20"/>
        </w:rPr>
      </w:pPr>
    </w:p>
    <w:p>
      <w:pPr>
        <w:pStyle w:val="BodyText"/>
        <w:spacing w:before="7"/>
        <w:rPr>
          <w:sz w:val="18"/>
        </w:rPr>
      </w:pPr>
    </w:p>
    <w:p>
      <w:pPr>
        <w:pStyle w:val="ListParagraph"/>
        <w:numPr>
          <w:ilvl w:val="1"/>
          <w:numId w:val="5"/>
        </w:numPr>
        <w:tabs>
          <w:tab w:pos="826" w:val="left" w:leader="none"/>
          <w:tab w:pos="827" w:val="left" w:leader="none"/>
          <w:tab w:pos="2534" w:val="left" w:leader="none"/>
        </w:tabs>
        <w:spacing w:line="240" w:lineRule="auto" w:before="0" w:after="0"/>
        <w:ind w:left="826" w:right="0" w:hanging="682"/>
        <w:jc w:val="left"/>
        <w:rPr>
          <w:sz w:val="21"/>
        </w:rPr>
      </w:pPr>
      <w:r>
        <w:rPr>
          <w:b/>
          <w:sz w:val="21"/>
        </w:rPr>
        <w:t>保险责任</w:t>
        <w:tab/>
      </w:r>
      <w:r>
        <w:rPr>
          <w:sz w:val="21"/>
        </w:rPr>
        <w:t>在本附加合同有效期内，本公司按下列规定承担保险责任：</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pStyle w:val="BodyText"/>
        <w:ind w:left="2534"/>
      </w:pPr>
      <w:r>
        <w:rPr/>
        <w:t>肿瘤”的描述，且被保险人所患恶性肿瘤为子宫癌、宫颈癌、乳腺癌、卵巢癌、</w:t>
      </w:r>
    </w:p>
    <w:p>
      <w:pPr>
        <w:spacing w:after="0"/>
        <w:sectPr>
          <w:pgSz w:w="11910" w:h="16840"/>
          <w:pgMar w:header="857" w:footer="977" w:top="1040" w:bottom="1180" w:left="1160" w:right="580"/>
        </w:sectPr>
      </w:pPr>
    </w:p>
    <w:p>
      <w:pPr>
        <w:pStyle w:val="BodyText"/>
        <w:spacing w:before="7"/>
        <w:rPr>
          <w:sz w:val="3"/>
        </w:rPr>
      </w:pPr>
    </w:p>
    <w:p>
      <w:pPr>
        <w:pStyle w:val="BodyText"/>
        <w:spacing w:line="20" w:lineRule="exact"/>
        <w:ind w:left="1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3"/>
        <w:rPr>
          <w:sz w:val="17"/>
        </w:rPr>
      </w:pPr>
    </w:p>
    <w:p>
      <w:pPr>
        <w:pStyle w:val="BodyText"/>
        <w:spacing w:before="35"/>
        <w:ind w:left="2614"/>
      </w:pPr>
      <w:r>
        <w:rPr/>
        <w:t>止，本公司同时按下列规定办理：</w:t>
      </w:r>
    </w:p>
    <w:p>
      <w:pPr>
        <w:pStyle w:val="BodyText"/>
        <w:spacing w:before="3"/>
        <w:rPr>
          <w:sz w:val="26"/>
        </w:rPr>
      </w:pPr>
    </w:p>
    <w:p>
      <w:pPr>
        <w:pStyle w:val="BodyText"/>
        <w:spacing w:before="1"/>
        <w:ind w:left="2614"/>
      </w:pPr>
      <w:r>
        <w:rPr>
          <w:w w:val="95"/>
        </w:rPr>
        <w:t>您采用分期交付保险费方式的，若未交足二年保险费，本公司在扣除</w:t>
      </w:r>
      <w:r>
        <w:rPr>
          <w:b/>
          <w:w w:val="95"/>
        </w:rPr>
        <w:t>手续费</w:t>
      </w:r>
      <w:r>
        <w:rPr>
          <w:w w:val="95"/>
        </w:rPr>
        <w:t>（见</w:t>
      </w:r>
    </w:p>
    <w:p>
      <w:pPr>
        <w:pStyle w:val="BodyText"/>
        <w:spacing w:line="297" w:lineRule="auto" w:before="65"/>
        <w:ind w:left="2614" w:right="229"/>
      </w:pPr>
      <w:r>
        <w:rPr>
          <w:spacing w:val="-1"/>
        </w:rPr>
        <w:t>8.9）</w:t>
      </w:r>
      <w:r>
        <w:rPr/>
        <w:t>后，返还保险费；若已交足二年以上保险费，本公司返还本附加合同的</w:t>
      </w:r>
      <w:r>
        <w:rPr>
          <w:b/>
        </w:rPr>
        <w:t>现</w:t>
      </w:r>
      <w:r>
        <w:rPr>
          <w:b/>
          <w:w w:val="99"/>
        </w:rPr>
        <w:t>金价值净额</w:t>
      </w:r>
      <w:r>
        <w:rPr/>
        <w:t>（</w:t>
      </w:r>
      <w:r>
        <w:rPr>
          <w:spacing w:val="-27"/>
        </w:rPr>
        <w:t>见 </w:t>
      </w:r>
      <w:r>
        <w:rPr/>
        <w:t>8</w:t>
      </w:r>
      <w:r>
        <w:rPr>
          <w:spacing w:val="-1"/>
        </w:rPr>
        <w:t>.</w:t>
      </w:r>
      <w:r>
        <w:rPr/>
        <w:t>1</w:t>
      </w:r>
      <w:r>
        <w:rPr>
          <w:spacing w:val="-1"/>
        </w:rPr>
        <w:t>0</w:t>
      </w:r>
      <w:r>
        <w:rPr>
          <w:spacing w:val="-105"/>
        </w:rPr>
        <w:t>）</w:t>
      </w:r>
      <w:r>
        <w:rPr/>
        <w:t>。</w:t>
      </w:r>
    </w:p>
    <w:p>
      <w:pPr>
        <w:pStyle w:val="BodyText"/>
        <w:spacing w:before="5"/>
        <w:rPr>
          <w:sz w:val="2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8403"/>
      </w:tblGrid>
      <w:tr>
        <w:trPr>
          <w:trHeight w:val="551" w:hRule="atLeast"/>
        </w:trPr>
        <w:tc>
          <w:tcPr>
            <w:tcW w:w="1462" w:type="dxa"/>
          </w:tcPr>
          <w:p>
            <w:pPr>
              <w:pStyle w:val="TableParagraph"/>
              <w:rPr>
                <w:rFonts w:ascii="Times New Roman"/>
                <w:sz w:val="20"/>
              </w:rPr>
            </w:pPr>
          </w:p>
        </w:tc>
        <w:tc>
          <w:tcPr>
            <w:tcW w:w="8403" w:type="dxa"/>
          </w:tcPr>
          <w:p>
            <w:pPr>
              <w:pStyle w:val="TableParagraph"/>
              <w:spacing w:line="210" w:lineRule="exact"/>
              <w:ind w:left="1036"/>
              <w:rPr>
                <w:sz w:val="21"/>
              </w:rPr>
            </w:pPr>
            <w:r>
              <w:rPr>
                <w:sz w:val="21"/>
              </w:rPr>
              <w:t>您采用一次交清保险费方式的，本公司返还本附加合同的现金价值净额。</w:t>
            </w:r>
          </w:p>
        </w:tc>
      </w:tr>
      <w:tr>
        <w:trPr>
          <w:trHeight w:val="773" w:hRule="atLeast"/>
        </w:trPr>
        <w:tc>
          <w:tcPr>
            <w:tcW w:w="9865" w:type="dxa"/>
            <w:gridSpan w:val="2"/>
            <w:tcBorders>
              <w:bottom w:val="single" w:sz="4" w:space="0" w:color="000000"/>
            </w:tcBorders>
          </w:tcPr>
          <w:p>
            <w:pPr>
              <w:pStyle w:val="TableParagraph"/>
              <w:tabs>
                <w:tab w:pos="790" w:val="left" w:leader="none"/>
              </w:tabs>
              <w:spacing w:before="33"/>
              <w:ind w:left="107"/>
              <w:rPr>
                <w:b/>
                <w:sz w:val="24"/>
              </w:rPr>
            </w:pPr>
            <w:r>
              <w:rPr>
                <w:rFonts w:ascii="Yu Gothic" w:eastAsia="Yu Gothic" w:hint="eastAsia"/>
                <w:b/>
                <w:position w:val="-3"/>
                <w:sz w:val="40"/>
              </w:rPr>
              <w:t>O</w:t>
              <w:tab/>
            </w:r>
            <w:r>
              <w:rPr>
                <w:b/>
                <w:w w:val="95"/>
                <w:sz w:val="24"/>
              </w:rPr>
              <w:t>如何申请领取保险金</w:t>
            </w:r>
          </w:p>
        </w:tc>
      </w:tr>
      <w:tr>
        <w:trPr>
          <w:trHeight w:val="962" w:hRule="atLeast"/>
        </w:trPr>
        <w:tc>
          <w:tcPr>
            <w:tcW w:w="1462" w:type="dxa"/>
            <w:tcBorders>
              <w:top w:val="single" w:sz="4" w:space="0" w:color="000000"/>
            </w:tcBorders>
          </w:tcPr>
          <w:p>
            <w:pPr>
              <w:pStyle w:val="TableParagraph"/>
              <w:spacing w:before="6"/>
              <w:rPr>
                <w:sz w:val="18"/>
              </w:rPr>
            </w:pPr>
          </w:p>
          <w:p>
            <w:pPr>
              <w:pStyle w:val="TableParagraph"/>
              <w:tabs>
                <w:tab w:pos="682" w:val="left" w:leader="none"/>
              </w:tabs>
              <w:ind w:right="37"/>
              <w:jc w:val="right"/>
              <w:rPr>
                <w:b/>
                <w:sz w:val="21"/>
              </w:rPr>
            </w:pPr>
            <w:r>
              <w:rPr>
                <w:b/>
                <w:sz w:val="21"/>
              </w:rPr>
              <w:t>3.1</w:t>
              <w:tab/>
            </w:r>
            <w:r>
              <w:rPr>
                <w:b/>
                <w:w w:val="95"/>
                <w:sz w:val="21"/>
              </w:rPr>
              <w:t>受益人</w:t>
            </w:r>
          </w:p>
        </w:tc>
        <w:tc>
          <w:tcPr>
            <w:tcW w:w="8403" w:type="dxa"/>
            <w:tcBorders>
              <w:top w:val="single" w:sz="4" w:space="0" w:color="000000"/>
            </w:tcBorders>
          </w:tcPr>
          <w:p>
            <w:pPr>
              <w:pStyle w:val="TableParagraph"/>
              <w:spacing w:before="6"/>
              <w:rPr>
                <w:sz w:val="18"/>
              </w:rPr>
            </w:pPr>
          </w:p>
          <w:p>
            <w:pPr>
              <w:pStyle w:val="TableParagraph"/>
              <w:tabs>
                <w:tab w:pos="1035" w:val="left" w:leader="none"/>
              </w:tabs>
              <w:ind w:left="-40"/>
              <w:rPr>
                <w:sz w:val="21"/>
              </w:rPr>
            </w:pPr>
            <w:r>
              <w:rPr>
                <w:b/>
                <w:sz w:val="21"/>
              </w:rPr>
              <w:t>的指定</w:t>
              <w:tab/>
            </w:r>
            <w:r>
              <w:rPr>
                <w:sz w:val="21"/>
              </w:rPr>
              <w:t>本附加合同的受益人为被保险人本人。</w:t>
            </w:r>
          </w:p>
        </w:tc>
      </w:tr>
      <w:tr>
        <w:trPr>
          <w:trHeight w:val="4591" w:hRule="atLeast"/>
        </w:trPr>
        <w:tc>
          <w:tcPr>
            <w:tcW w:w="9865" w:type="dxa"/>
            <w:gridSpan w:val="2"/>
          </w:tcPr>
          <w:p>
            <w:pPr>
              <w:pStyle w:val="TableParagraph"/>
              <w:spacing w:before="2"/>
              <w:rPr>
                <w:sz w:val="29"/>
              </w:rPr>
            </w:pPr>
          </w:p>
          <w:p>
            <w:pPr>
              <w:pStyle w:val="TableParagraph"/>
              <w:tabs>
                <w:tab w:pos="790" w:val="left" w:leader="none"/>
                <w:tab w:pos="2498" w:val="left" w:leader="none"/>
              </w:tabs>
              <w:ind w:left="107"/>
              <w:rPr>
                <w:sz w:val="21"/>
              </w:rPr>
            </w:pPr>
            <w:r>
              <w:rPr>
                <w:b/>
                <w:sz w:val="21"/>
              </w:rPr>
              <w:t>3.2</w:t>
              <w:tab/>
              <w:t>保险金的申请</w:t>
              <w:tab/>
            </w:r>
            <w:r>
              <w:rPr>
                <w:spacing w:val="-1"/>
                <w:sz w:val="21"/>
              </w:rPr>
              <w:t>1、</w:t>
            </w:r>
            <w:r>
              <w:rPr>
                <w:sz w:val="21"/>
              </w:rPr>
              <w:t>重大疾病保险金和女性重大疾病特别保险金</w:t>
            </w:r>
          </w:p>
          <w:p>
            <w:pPr>
              <w:pStyle w:val="TableParagraph"/>
              <w:spacing w:before="10"/>
              <w:rPr>
                <w:sz w:val="21"/>
              </w:rPr>
            </w:pPr>
          </w:p>
          <w:p>
            <w:pPr>
              <w:pStyle w:val="TableParagraph"/>
              <w:spacing w:line="348" w:lineRule="auto"/>
              <w:ind w:left="2498" w:right="97"/>
              <w:rPr>
                <w:sz w:val="21"/>
              </w:rPr>
            </w:pPr>
            <w:r>
              <w:rPr>
                <w:spacing w:val="-3"/>
                <w:sz w:val="21"/>
              </w:rPr>
              <w:t>重大疾病保险金受益人申请重大疾病保险金和女性重大疾病特别保险金时，须填</w:t>
            </w:r>
            <w:r>
              <w:rPr>
                <w:spacing w:val="-1"/>
                <w:sz w:val="21"/>
              </w:rPr>
              <w:t>写保险金给付申请书,并提供下列证明材料：</w:t>
            </w:r>
          </w:p>
          <w:p>
            <w:pPr>
              <w:pStyle w:val="TableParagraph"/>
              <w:spacing w:line="256" w:lineRule="exact"/>
              <w:ind w:left="2498"/>
              <w:rPr>
                <w:sz w:val="21"/>
              </w:rPr>
            </w:pPr>
            <w:r>
              <w:rPr>
                <w:sz w:val="21"/>
              </w:rPr>
              <w:t>（1）保险单及最近一次交费凭证；</w:t>
            </w:r>
          </w:p>
          <w:p>
            <w:pPr>
              <w:pStyle w:val="TableParagraph"/>
              <w:spacing w:before="116"/>
              <w:ind w:left="2498"/>
              <w:rPr>
                <w:sz w:val="21"/>
              </w:rPr>
            </w:pPr>
            <w:r>
              <w:rPr>
                <w:sz w:val="21"/>
              </w:rPr>
              <w:t>（2）被保险人的身份证明及申请权利证明；</w:t>
            </w:r>
          </w:p>
          <w:p>
            <w:pPr>
              <w:pStyle w:val="TableParagraph"/>
              <w:spacing w:line="340" w:lineRule="auto" w:before="115"/>
              <w:ind w:left="3024" w:right="95" w:hanging="526"/>
              <w:rPr>
                <w:sz w:val="21"/>
              </w:rPr>
            </w:pPr>
            <w:r>
              <w:rPr>
                <w:sz w:val="21"/>
              </w:rPr>
              <w:t>（3）本公司指定或认可的医疗机构出具的附有病理检验、血液检验及其它确诊疾病必须的科学方法检验报告的疾病诊断证明书；</w:t>
            </w:r>
          </w:p>
          <w:p>
            <w:pPr>
              <w:pStyle w:val="TableParagraph"/>
              <w:spacing w:line="340" w:lineRule="auto" w:before="26"/>
              <w:ind w:left="3046" w:right="95" w:hanging="549"/>
              <w:rPr>
                <w:sz w:val="21"/>
              </w:rPr>
            </w:pPr>
            <w:r>
              <w:rPr>
                <w:sz w:val="21"/>
              </w:rPr>
              <w:t>（4）投保人、被保险人或受益人所能提供的与确认保险事故的性质、原因等有关的其它证明文件和资料。</w:t>
            </w:r>
          </w:p>
          <w:p>
            <w:pPr>
              <w:pStyle w:val="TableParagraph"/>
              <w:spacing w:before="26"/>
              <w:ind w:left="2498"/>
              <w:rPr>
                <w:sz w:val="21"/>
              </w:rPr>
            </w:pPr>
            <w:r>
              <w:rPr>
                <w:sz w:val="21"/>
              </w:rPr>
              <w:t>本公司如认为必要，可以对被保险人进行检查或鉴定。</w:t>
            </w:r>
          </w:p>
        </w:tc>
      </w:tr>
      <w:tr>
        <w:trPr>
          <w:trHeight w:val="840" w:hRule="atLeast"/>
        </w:trPr>
        <w:tc>
          <w:tcPr>
            <w:tcW w:w="1462" w:type="dxa"/>
          </w:tcPr>
          <w:p>
            <w:pPr>
              <w:pStyle w:val="TableParagraph"/>
              <w:rPr>
                <w:rFonts w:ascii="Times New Roman"/>
                <w:sz w:val="20"/>
              </w:rPr>
            </w:pPr>
          </w:p>
        </w:tc>
        <w:tc>
          <w:tcPr>
            <w:tcW w:w="8403" w:type="dxa"/>
          </w:tcPr>
          <w:p>
            <w:pPr>
              <w:pStyle w:val="TableParagraph"/>
              <w:spacing w:before="10"/>
              <w:rPr>
                <w:sz w:val="16"/>
              </w:rPr>
            </w:pPr>
          </w:p>
          <w:p>
            <w:pPr>
              <w:pStyle w:val="TableParagraph"/>
              <w:spacing w:before="1"/>
              <w:ind w:left="1036"/>
              <w:rPr>
                <w:sz w:val="21"/>
              </w:rPr>
            </w:pPr>
            <w:r>
              <w:rPr>
                <w:sz w:val="21"/>
              </w:rPr>
              <w:t>2、如委托他人代为申领，还应提供授权委托书及受托人身份证明。</w:t>
            </w:r>
          </w:p>
        </w:tc>
      </w:tr>
      <w:tr>
        <w:trPr>
          <w:trHeight w:val="1280" w:hRule="atLeast"/>
        </w:trPr>
        <w:tc>
          <w:tcPr>
            <w:tcW w:w="1462" w:type="dxa"/>
          </w:tcPr>
          <w:p>
            <w:pPr>
              <w:pStyle w:val="TableParagraph"/>
              <w:spacing w:before="5"/>
              <w:rPr>
                <w:sz w:val="21"/>
              </w:rPr>
            </w:pPr>
          </w:p>
          <w:p>
            <w:pPr>
              <w:pStyle w:val="TableParagraph"/>
              <w:tabs>
                <w:tab w:pos="682" w:val="left" w:leader="none"/>
              </w:tabs>
              <w:ind w:right="35"/>
              <w:jc w:val="right"/>
              <w:rPr>
                <w:b/>
                <w:sz w:val="21"/>
              </w:rPr>
            </w:pPr>
            <w:r>
              <w:rPr>
                <w:b/>
                <w:sz w:val="21"/>
              </w:rPr>
              <w:t>3.3</w:t>
              <w:tab/>
              <w:t>保险金</w:t>
            </w:r>
          </w:p>
        </w:tc>
        <w:tc>
          <w:tcPr>
            <w:tcW w:w="8403" w:type="dxa"/>
          </w:tcPr>
          <w:p>
            <w:pPr>
              <w:pStyle w:val="TableParagraph"/>
              <w:spacing w:before="5"/>
              <w:rPr>
                <w:sz w:val="21"/>
              </w:rPr>
            </w:pPr>
          </w:p>
          <w:p>
            <w:pPr>
              <w:pStyle w:val="TableParagraph"/>
              <w:tabs>
                <w:tab w:pos="1036" w:val="left" w:leader="none"/>
              </w:tabs>
              <w:spacing w:line="340" w:lineRule="auto"/>
              <w:ind w:left="1036" w:right="97" w:hanging="1074"/>
              <w:rPr>
                <w:sz w:val="21"/>
              </w:rPr>
            </w:pPr>
            <w:r>
              <w:rPr>
                <w:b/>
                <w:sz w:val="21"/>
              </w:rPr>
              <w:t>申请时效</w:t>
              <w:tab/>
            </w:r>
            <w:r>
              <w:rPr>
                <w:sz w:val="21"/>
              </w:rPr>
              <w:t>本附加合同的被保险人向本公司请求给付保险金的权利</w:t>
            </w:r>
            <w:r>
              <w:rPr>
                <w:spacing w:val="-83"/>
                <w:sz w:val="21"/>
              </w:rPr>
              <w:t>，</w:t>
            </w:r>
            <w:r>
              <w:rPr>
                <w:sz w:val="21"/>
              </w:rPr>
              <w:t>自其知道保险事故发生之日起两年内不行使而消灭。</w:t>
            </w:r>
          </w:p>
        </w:tc>
      </w:tr>
      <w:tr>
        <w:trPr>
          <w:trHeight w:val="768" w:hRule="atLeast"/>
        </w:trPr>
        <w:tc>
          <w:tcPr>
            <w:tcW w:w="9865" w:type="dxa"/>
            <w:gridSpan w:val="2"/>
            <w:tcBorders>
              <w:bottom w:val="single" w:sz="4" w:space="0" w:color="000000"/>
            </w:tcBorders>
          </w:tcPr>
          <w:p>
            <w:pPr>
              <w:pStyle w:val="TableParagraph"/>
              <w:tabs>
                <w:tab w:pos="790" w:val="left" w:leader="none"/>
              </w:tabs>
              <w:spacing w:before="28"/>
              <w:ind w:left="107"/>
              <w:rPr>
                <w:b/>
                <w:sz w:val="24"/>
              </w:rPr>
            </w:pPr>
            <w:r>
              <w:rPr>
                <w:rFonts w:ascii="Yu Gothic" w:hAnsi="Yu Gothic" w:eastAsia="Yu Gothic" w:hint="eastAsia"/>
                <w:b/>
                <w:w w:val="195"/>
                <w:position w:val="-3"/>
                <w:sz w:val="40"/>
              </w:rPr>
              <w:t>º</w:t>
              <w:tab/>
            </w:r>
            <w:r>
              <w:rPr>
                <w:b/>
                <w:sz w:val="24"/>
              </w:rPr>
              <w:t>如何交付保险费</w:t>
            </w:r>
          </w:p>
        </w:tc>
      </w:tr>
      <w:tr>
        <w:trPr>
          <w:trHeight w:val="1415" w:hRule="atLeast"/>
        </w:trPr>
        <w:tc>
          <w:tcPr>
            <w:tcW w:w="1462" w:type="dxa"/>
            <w:tcBorders>
              <w:top w:val="single" w:sz="4" w:space="0" w:color="000000"/>
            </w:tcBorders>
          </w:tcPr>
          <w:p>
            <w:pPr>
              <w:pStyle w:val="TableParagraph"/>
              <w:rPr>
                <w:sz w:val="20"/>
              </w:rPr>
            </w:pPr>
          </w:p>
          <w:p>
            <w:pPr>
              <w:pStyle w:val="TableParagraph"/>
              <w:tabs>
                <w:tab w:pos="682" w:val="left" w:leader="none"/>
              </w:tabs>
              <w:spacing w:before="153"/>
              <w:ind w:right="37"/>
              <w:jc w:val="right"/>
              <w:rPr>
                <w:b/>
                <w:sz w:val="21"/>
              </w:rPr>
            </w:pPr>
            <w:r>
              <w:rPr>
                <w:b/>
                <w:sz w:val="21"/>
              </w:rPr>
              <w:t>4.1</w:t>
              <w:tab/>
            </w:r>
            <w:r>
              <w:rPr>
                <w:b/>
                <w:w w:val="95"/>
                <w:sz w:val="21"/>
              </w:rPr>
              <w:t>保险费</w:t>
            </w:r>
          </w:p>
        </w:tc>
        <w:tc>
          <w:tcPr>
            <w:tcW w:w="8403" w:type="dxa"/>
            <w:tcBorders>
              <w:top w:val="single" w:sz="4" w:space="0" w:color="000000"/>
            </w:tcBorders>
          </w:tcPr>
          <w:p>
            <w:pPr>
              <w:pStyle w:val="TableParagraph"/>
              <w:rPr>
                <w:sz w:val="20"/>
              </w:rPr>
            </w:pPr>
          </w:p>
          <w:p>
            <w:pPr>
              <w:pStyle w:val="TableParagraph"/>
              <w:tabs>
                <w:tab w:pos="1036" w:val="left" w:leader="none"/>
              </w:tabs>
              <w:spacing w:line="340" w:lineRule="auto" w:before="153"/>
              <w:ind w:left="1036" w:right="98" w:hanging="1075"/>
              <w:rPr>
                <w:sz w:val="21"/>
              </w:rPr>
            </w:pPr>
            <w:r>
              <w:rPr>
                <w:b/>
                <w:sz w:val="21"/>
              </w:rPr>
              <w:t>的交付</w:t>
              <w:tab/>
            </w:r>
            <w:r>
              <w:rPr>
                <w:sz w:val="21"/>
              </w:rPr>
              <w:t>本附加合同保险费的交付方式与主合同相同</w:t>
            </w:r>
            <w:r>
              <w:rPr>
                <w:spacing w:val="-42"/>
                <w:sz w:val="21"/>
              </w:rPr>
              <w:t>，</w:t>
            </w:r>
            <w:r>
              <w:rPr>
                <w:sz w:val="21"/>
              </w:rPr>
              <w:t>且须与主合同同时交付保险费</w:t>
            </w:r>
            <w:r>
              <w:rPr>
                <w:spacing w:val="-42"/>
                <w:sz w:val="21"/>
              </w:rPr>
              <w:t>，</w:t>
            </w:r>
            <w:r>
              <w:rPr>
                <w:sz w:val="21"/>
              </w:rPr>
              <w:t>本附加合同保险费不能单独交付。</w:t>
            </w:r>
          </w:p>
        </w:tc>
      </w:tr>
      <w:tr>
        <w:trPr>
          <w:trHeight w:val="768" w:hRule="atLeast"/>
        </w:trPr>
        <w:tc>
          <w:tcPr>
            <w:tcW w:w="9865" w:type="dxa"/>
            <w:gridSpan w:val="2"/>
            <w:tcBorders>
              <w:bottom w:val="single" w:sz="4" w:space="0" w:color="000000"/>
            </w:tcBorders>
          </w:tcPr>
          <w:p>
            <w:pPr>
              <w:pStyle w:val="TableParagraph"/>
              <w:tabs>
                <w:tab w:pos="790" w:val="left" w:leader="none"/>
              </w:tabs>
              <w:spacing w:before="27"/>
              <w:ind w:left="107"/>
              <w:rPr>
                <w:b/>
                <w:sz w:val="24"/>
              </w:rPr>
            </w:pPr>
            <w:r>
              <w:rPr>
                <w:rFonts w:ascii="Yu Gothic" w:eastAsia="Yu Gothic" w:hint="eastAsia"/>
                <w:b/>
                <w:w w:val="135"/>
                <w:position w:val="-3"/>
                <w:sz w:val="40"/>
              </w:rPr>
              <w:t>6</w:t>
              <w:tab/>
            </w:r>
            <w:r>
              <w:rPr>
                <w:b/>
                <w:w w:val="95"/>
                <w:sz w:val="24"/>
              </w:rPr>
              <w:t>现金价值权益</w:t>
            </w:r>
          </w:p>
        </w:tc>
      </w:tr>
    </w:tbl>
    <w:p>
      <w:pPr>
        <w:spacing w:after="0"/>
        <w:rPr>
          <w:sz w:val="24"/>
        </w:rPr>
        <w:sectPr>
          <w:pgSz w:w="11910" w:h="16840"/>
          <w:pgMar w:header="857" w:footer="977" w:top="1040" w:bottom="1180" w:left="1080" w:right="740"/>
        </w:sectPr>
      </w:pPr>
    </w:p>
    <w:p>
      <w:pPr>
        <w:pStyle w:val="BodyText"/>
        <w:spacing w:before="8"/>
        <w:rPr>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69"/>
      </w:tblGrid>
      <w:tr>
        <w:trPr>
          <w:trHeight w:val="1272" w:hRule="atLeast"/>
        </w:trPr>
        <w:tc>
          <w:tcPr>
            <w:tcW w:w="609" w:type="dxa"/>
            <w:tcBorders>
              <w:top w:val="single" w:sz="6" w:space="0" w:color="000000"/>
            </w:tcBorders>
          </w:tcPr>
          <w:p>
            <w:pPr>
              <w:pStyle w:val="TableParagraph"/>
              <w:spacing w:before="9"/>
              <w:rPr>
                <w:sz w:val="24"/>
              </w:rPr>
            </w:pPr>
          </w:p>
          <w:p>
            <w:pPr>
              <w:pStyle w:val="TableParagraph"/>
              <w:ind w:left="107"/>
              <w:rPr>
                <w:b/>
                <w:sz w:val="21"/>
              </w:rPr>
            </w:pPr>
            <w:r>
              <w:rPr>
                <w:b/>
                <w:sz w:val="21"/>
              </w:rPr>
              <w:t>5.1</w:t>
            </w:r>
          </w:p>
        </w:tc>
        <w:tc>
          <w:tcPr>
            <w:tcW w:w="9269" w:type="dxa"/>
            <w:tcBorders>
              <w:top w:val="single" w:sz="6" w:space="0" w:color="000000"/>
            </w:tcBorders>
          </w:tcPr>
          <w:p>
            <w:pPr>
              <w:pStyle w:val="TableParagraph"/>
              <w:spacing w:before="9"/>
              <w:rPr>
                <w:sz w:val="24"/>
              </w:rPr>
            </w:pPr>
          </w:p>
          <w:p>
            <w:pPr>
              <w:pStyle w:val="TableParagraph"/>
              <w:tabs>
                <w:tab w:pos="1889" w:val="left" w:leader="none"/>
              </w:tabs>
              <w:spacing w:line="340" w:lineRule="auto"/>
              <w:ind w:left="1889" w:right="-15" w:hanging="1708"/>
              <w:rPr>
                <w:sz w:val="21"/>
              </w:rPr>
            </w:pPr>
            <w:r>
              <w:rPr>
                <w:b/>
                <w:sz w:val="21"/>
              </w:rPr>
              <w:t>现金价值</w:t>
              <w:tab/>
            </w:r>
            <w:r>
              <w:rPr>
                <w:sz w:val="21"/>
              </w:rPr>
              <w:t>本附加合同保单年度末的现金价值会在保险单上载明，保单年度内的现金价值， 可以以向本公司咨询。</w:t>
            </w:r>
          </w:p>
        </w:tc>
      </w:tr>
      <w:tr>
        <w:trPr>
          <w:trHeight w:val="1169" w:hRule="atLeast"/>
        </w:trPr>
        <w:tc>
          <w:tcPr>
            <w:tcW w:w="609" w:type="dxa"/>
          </w:tcPr>
          <w:p>
            <w:pPr>
              <w:pStyle w:val="TableParagraph"/>
              <w:spacing w:before="10"/>
              <w:rPr>
                <w:sz w:val="16"/>
              </w:rPr>
            </w:pPr>
          </w:p>
          <w:p>
            <w:pPr>
              <w:pStyle w:val="TableParagraph"/>
              <w:spacing w:before="1"/>
              <w:ind w:left="107"/>
              <w:rPr>
                <w:b/>
                <w:sz w:val="21"/>
              </w:rPr>
            </w:pPr>
            <w:r>
              <w:rPr>
                <w:b/>
                <w:sz w:val="21"/>
              </w:rPr>
              <w:t>5.2</w:t>
            </w:r>
          </w:p>
        </w:tc>
        <w:tc>
          <w:tcPr>
            <w:tcW w:w="9269" w:type="dxa"/>
          </w:tcPr>
          <w:p>
            <w:pPr>
              <w:pStyle w:val="TableParagraph"/>
              <w:spacing w:before="10"/>
              <w:rPr>
                <w:sz w:val="16"/>
              </w:rPr>
            </w:pPr>
          </w:p>
          <w:p>
            <w:pPr>
              <w:pStyle w:val="TableParagraph"/>
              <w:tabs>
                <w:tab w:pos="1889" w:val="left" w:leader="none"/>
              </w:tabs>
              <w:spacing w:line="340" w:lineRule="auto" w:before="1"/>
              <w:ind w:left="1889" w:right="111" w:hanging="1710"/>
              <w:rPr>
                <w:sz w:val="21"/>
              </w:rPr>
            </w:pPr>
            <w:r>
              <w:rPr>
                <w:b/>
                <w:sz w:val="21"/>
              </w:rPr>
              <w:t>自动垫交</w:t>
              <w:tab/>
            </w:r>
            <w:r>
              <w:rPr>
                <w:sz w:val="21"/>
              </w:rPr>
              <w:t>主合同进行保费自动垫交时</w:t>
            </w:r>
            <w:r>
              <w:rPr>
                <w:spacing w:val="-42"/>
                <w:sz w:val="21"/>
              </w:rPr>
              <w:t>，</w:t>
            </w:r>
            <w:r>
              <w:rPr>
                <w:sz w:val="21"/>
              </w:rPr>
              <w:t>本附加合同应同时进行保费自动垫交</w:t>
            </w:r>
            <w:r>
              <w:rPr>
                <w:spacing w:val="-42"/>
                <w:sz w:val="21"/>
              </w:rPr>
              <w:t>。</w:t>
            </w:r>
            <w:r>
              <w:rPr>
                <w:sz w:val="21"/>
              </w:rPr>
              <w:t>本附加合同不能单独进行保费自动垫交。</w:t>
            </w:r>
          </w:p>
        </w:tc>
      </w:tr>
      <w:tr>
        <w:trPr>
          <w:trHeight w:val="1220" w:hRule="atLeast"/>
        </w:trPr>
        <w:tc>
          <w:tcPr>
            <w:tcW w:w="609" w:type="dxa"/>
          </w:tcPr>
          <w:p>
            <w:pPr>
              <w:pStyle w:val="TableParagraph"/>
              <w:spacing w:before="10"/>
              <w:rPr>
                <w:sz w:val="16"/>
              </w:rPr>
            </w:pPr>
          </w:p>
          <w:p>
            <w:pPr>
              <w:pStyle w:val="TableParagraph"/>
              <w:spacing w:before="1"/>
              <w:ind w:left="107"/>
              <w:rPr>
                <w:b/>
                <w:sz w:val="21"/>
              </w:rPr>
            </w:pPr>
            <w:r>
              <w:rPr>
                <w:b/>
                <w:sz w:val="21"/>
              </w:rPr>
              <w:t>5.3</w:t>
            </w:r>
          </w:p>
        </w:tc>
        <w:tc>
          <w:tcPr>
            <w:tcW w:w="9269" w:type="dxa"/>
          </w:tcPr>
          <w:p>
            <w:pPr>
              <w:pStyle w:val="TableParagraph"/>
              <w:spacing w:before="10"/>
              <w:rPr>
                <w:sz w:val="16"/>
              </w:rPr>
            </w:pPr>
          </w:p>
          <w:p>
            <w:pPr>
              <w:pStyle w:val="TableParagraph"/>
              <w:tabs>
                <w:tab w:pos="1889" w:val="left" w:leader="none"/>
              </w:tabs>
              <w:spacing w:line="340" w:lineRule="auto" w:before="1"/>
              <w:ind w:left="1889" w:right="111" w:hanging="1709"/>
              <w:rPr>
                <w:sz w:val="21"/>
              </w:rPr>
            </w:pPr>
            <w:r>
              <w:rPr>
                <w:b/>
                <w:sz w:val="21"/>
              </w:rPr>
              <w:t>保险单借款</w:t>
              <w:tab/>
            </w:r>
            <w:r>
              <w:rPr>
                <w:sz w:val="21"/>
              </w:rPr>
              <w:t>您对主合同申请保单借款时</w:t>
            </w:r>
            <w:r>
              <w:rPr>
                <w:spacing w:val="-42"/>
                <w:sz w:val="21"/>
              </w:rPr>
              <w:t>，</w:t>
            </w:r>
            <w:r>
              <w:rPr>
                <w:sz w:val="21"/>
              </w:rPr>
              <w:t>本附加合同应同时进行保单借款</w:t>
            </w:r>
            <w:r>
              <w:rPr>
                <w:spacing w:val="-42"/>
                <w:sz w:val="21"/>
              </w:rPr>
              <w:t>，</w:t>
            </w:r>
            <w:r>
              <w:rPr>
                <w:sz w:val="21"/>
              </w:rPr>
              <w:t>借款比例和利息计算方式与主合同一致。您不能单独对本附加合同进行保单借款。</w:t>
            </w:r>
          </w:p>
        </w:tc>
      </w:tr>
      <w:tr>
        <w:trPr>
          <w:trHeight w:val="768" w:hRule="atLeast"/>
        </w:trPr>
        <w:tc>
          <w:tcPr>
            <w:tcW w:w="609" w:type="dxa"/>
            <w:tcBorders>
              <w:bottom w:val="single" w:sz="4" w:space="0" w:color="000000"/>
            </w:tcBorders>
          </w:tcPr>
          <w:p>
            <w:pPr>
              <w:pStyle w:val="TableParagraph"/>
              <w:spacing w:before="28"/>
              <w:ind w:left="107"/>
              <w:rPr>
                <w:rFonts w:ascii="Yu Gothic" w:hAnsi="Yu Gothic"/>
                <w:b/>
                <w:sz w:val="40"/>
              </w:rPr>
            </w:pPr>
            <w:r>
              <w:rPr>
                <w:rFonts w:ascii="Yu Gothic" w:hAnsi="Yu Gothic"/>
                <w:b/>
                <w:w w:val="89"/>
                <w:sz w:val="40"/>
              </w:rPr>
              <w:t>◉</w:t>
            </w:r>
          </w:p>
        </w:tc>
        <w:tc>
          <w:tcPr>
            <w:tcW w:w="9269" w:type="dxa"/>
            <w:tcBorders>
              <w:bottom w:val="single" w:sz="4" w:space="0" w:color="000000"/>
            </w:tcBorders>
          </w:tcPr>
          <w:p>
            <w:pPr>
              <w:pStyle w:val="TableParagraph"/>
              <w:spacing w:before="13"/>
              <w:rPr>
                <w:sz w:val="19"/>
              </w:rPr>
            </w:pPr>
          </w:p>
          <w:p>
            <w:pPr>
              <w:pStyle w:val="TableParagraph"/>
              <w:ind w:left="181"/>
              <w:rPr>
                <w:b/>
                <w:sz w:val="24"/>
              </w:rPr>
            </w:pPr>
            <w:r>
              <w:rPr>
                <w:b/>
                <w:w w:val="95"/>
                <w:sz w:val="24"/>
              </w:rPr>
              <w:t>如何解除保险合同</w:t>
            </w:r>
          </w:p>
        </w:tc>
      </w:tr>
      <w:tr>
        <w:trPr>
          <w:trHeight w:val="5455"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6.1</w:t>
            </w:r>
          </w:p>
        </w:tc>
        <w:tc>
          <w:tcPr>
            <w:tcW w:w="9269" w:type="dxa"/>
            <w:tcBorders>
              <w:top w:val="single" w:sz="4" w:space="0" w:color="000000"/>
            </w:tcBorders>
          </w:tcPr>
          <w:p>
            <w:pPr>
              <w:pStyle w:val="TableParagraph"/>
              <w:spacing w:before="6"/>
              <w:rPr>
                <w:sz w:val="18"/>
              </w:rPr>
            </w:pPr>
          </w:p>
          <w:p>
            <w:pPr>
              <w:pStyle w:val="TableParagraph"/>
              <w:tabs>
                <w:tab w:pos="1889" w:val="left" w:leader="none"/>
              </w:tabs>
              <w:spacing w:line="340" w:lineRule="auto"/>
              <w:ind w:left="1889" w:right="111" w:hanging="1708"/>
              <w:rPr>
                <w:sz w:val="21"/>
              </w:rPr>
            </w:pPr>
            <w:r>
              <w:rPr>
                <w:b/>
                <w:sz w:val="21"/>
              </w:rPr>
              <w:t>合同解除</w:t>
              <w:tab/>
            </w:r>
            <w:r>
              <w:rPr>
                <w:sz w:val="21"/>
              </w:rPr>
              <w:t>您在犹豫期后</w:t>
            </w:r>
            <w:r>
              <w:rPr>
                <w:spacing w:val="-42"/>
                <w:sz w:val="21"/>
              </w:rPr>
              <w:t>，</w:t>
            </w:r>
            <w:r>
              <w:rPr>
                <w:sz w:val="21"/>
              </w:rPr>
              <w:t>可以书面通知我们要求解除本附加合同</w:t>
            </w:r>
            <w:r>
              <w:rPr>
                <w:spacing w:val="-42"/>
                <w:sz w:val="21"/>
              </w:rPr>
              <w:t>，</w:t>
            </w:r>
            <w:r>
              <w:rPr>
                <w:sz w:val="21"/>
              </w:rPr>
              <w:t>自本公司收到合同解除申请书之日起，本附加合同效力即行终止。</w:t>
            </w:r>
          </w:p>
          <w:p>
            <w:pPr>
              <w:pStyle w:val="TableParagraph"/>
              <w:spacing w:before="4"/>
              <w:rPr>
                <w:sz w:val="23"/>
              </w:rPr>
            </w:pPr>
          </w:p>
          <w:p>
            <w:pPr>
              <w:pStyle w:val="TableParagraph"/>
              <w:ind w:left="1889"/>
              <w:rPr>
                <w:sz w:val="21"/>
              </w:rPr>
            </w:pPr>
            <w:r>
              <w:rPr>
                <w:sz w:val="21"/>
              </w:rPr>
              <w:t>您解除本附加合同时，应填写合同解除申请书，并提供下列证明和资料：</w:t>
            </w:r>
          </w:p>
          <w:p>
            <w:pPr>
              <w:pStyle w:val="TableParagraph"/>
              <w:spacing w:before="12"/>
              <w:rPr>
                <w:sz w:val="15"/>
              </w:rPr>
            </w:pPr>
          </w:p>
          <w:p>
            <w:pPr>
              <w:pStyle w:val="TableParagraph"/>
              <w:ind w:left="1889"/>
              <w:rPr>
                <w:sz w:val="21"/>
              </w:rPr>
            </w:pPr>
            <w:r>
              <w:rPr>
                <w:sz w:val="21"/>
              </w:rPr>
              <w:t>1、 保险单及其他保险凭证；</w:t>
            </w:r>
          </w:p>
          <w:p>
            <w:pPr>
              <w:pStyle w:val="TableParagraph"/>
              <w:spacing w:before="115"/>
              <w:ind w:left="1889"/>
              <w:rPr>
                <w:sz w:val="21"/>
              </w:rPr>
            </w:pPr>
            <w:r>
              <w:rPr>
                <w:sz w:val="21"/>
              </w:rPr>
              <w:t>2、 最近一次交费凭证；</w:t>
            </w:r>
          </w:p>
          <w:p>
            <w:pPr>
              <w:pStyle w:val="TableParagraph"/>
              <w:spacing w:before="115"/>
              <w:ind w:left="1889"/>
              <w:rPr>
                <w:sz w:val="21"/>
              </w:rPr>
            </w:pPr>
            <w:r>
              <w:rPr>
                <w:sz w:val="21"/>
              </w:rPr>
              <w:t>3、 投保人身份证明。</w:t>
            </w:r>
          </w:p>
          <w:p>
            <w:pPr>
              <w:pStyle w:val="TableParagraph"/>
              <w:rPr>
                <w:sz w:val="20"/>
              </w:rPr>
            </w:pPr>
          </w:p>
          <w:p>
            <w:pPr>
              <w:pStyle w:val="TableParagraph"/>
              <w:spacing w:before="8"/>
              <w:rPr>
                <w:sz w:val="18"/>
              </w:rPr>
            </w:pPr>
          </w:p>
          <w:p>
            <w:pPr>
              <w:pStyle w:val="TableParagraph"/>
              <w:spacing w:before="1"/>
              <w:ind w:left="1889"/>
              <w:rPr>
                <w:sz w:val="21"/>
              </w:rPr>
            </w:pPr>
            <w:r>
              <w:rPr>
                <w:sz w:val="21"/>
              </w:rPr>
              <w:t>本公司自收到上述证明和材料之日起三十日内，按照下列规定办理：</w:t>
            </w:r>
          </w:p>
          <w:p>
            <w:pPr>
              <w:pStyle w:val="TableParagraph"/>
              <w:spacing w:before="6"/>
              <w:rPr>
                <w:sz w:val="25"/>
              </w:rPr>
            </w:pPr>
          </w:p>
          <w:p>
            <w:pPr>
              <w:pStyle w:val="TableParagraph"/>
              <w:spacing w:line="297" w:lineRule="auto"/>
              <w:ind w:left="1889" w:right="14"/>
              <w:rPr>
                <w:sz w:val="21"/>
              </w:rPr>
            </w:pPr>
            <w:r>
              <w:rPr>
                <w:sz w:val="21"/>
              </w:rPr>
              <w:t>您采用分期交付保险费方式的，若未交足二年保险费，本公司在扣除手续费后， 返还保险费；若已交足二年以上保险费，本公司返还本附加合同的现金价值净额。</w:t>
            </w:r>
          </w:p>
          <w:p>
            <w:pPr>
              <w:pStyle w:val="TableParagraph"/>
              <w:spacing w:before="6"/>
              <w:rPr>
                <w:sz w:val="22"/>
              </w:rPr>
            </w:pPr>
          </w:p>
          <w:p>
            <w:pPr>
              <w:pStyle w:val="TableParagraph"/>
              <w:spacing w:line="179" w:lineRule="exact"/>
              <w:ind w:left="1889"/>
              <w:rPr>
                <w:sz w:val="21"/>
              </w:rPr>
            </w:pPr>
            <w:r>
              <w:rPr>
                <w:sz w:val="21"/>
              </w:rPr>
              <w:t>您采用一次交清保险费方式的，本公司返还本附加合同的现金价值净额。</w:t>
            </w:r>
          </w:p>
        </w:tc>
      </w:tr>
      <w:tr>
        <w:trPr>
          <w:trHeight w:val="1090" w:hRule="atLeast"/>
        </w:trPr>
        <w:tc>
          <w:tcPr>
            <w:tcW w:w="609" w:type="dxa"/>
          </w:tcPr>
          <w:p>
            <w:pPr>
              <w:pStyle w:val="TableParagraph"/>
              <w:rPr>
                <w:rFonts w:ascii="Times New Roman"/>
                <w:sz w:val="20"/>
              </w:rPr>
            </w:pPr>
          </w:p>
        </w:tc>
        <w:tc>
          <w:tcPr>
            <w:tcW w:w="9269" w:type="dxa"/>
          </w:tcPr>
          <w:p>
            <w:pPr>
              <w:pStyle w:val="TableParagraph"/>
              <w:rPr>
                <w:sz w:val="20"/>
              </w:rPr>
            </w:pPr>
          </w:p>
          <w:p>
            <w:pPr>
              <w:pStyle w:val="TableParagraph"/>
              <w:spacing w:before="8"/>
              <w:rPr>
                <w:sz w:val="16"/>
              </w:rPr>
            </w:pPr>
          </w:p>
          <w:p>
            <w:pPr>
              <w:pStyle w:val="TableParagraph"/>
              <w:spacing w:before="1"/>
              <w:ind w:left="1889"/>
              <w:rPr>
                <w:sz w:val="21"/>
              </w:rPr>
            </w:pPr>
            <w:r>
              <w:rPr>
                <w:sz w:val="21"/>
              </w:rPr>
              <w:t>解除合同后，受益人不能对合同解除前发生的保险事故申请给付保险金。</w:t>
            </w:r>
          </w:p>
        </w:tc>
      </w:tr>
      <w:tr>
        <w:trPr>
          <w:trHeight w:val="768"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0</w:t>
            </w:r>
          </w:p>
        </w:tc>
        <w:tc>
          <w:tcPr>
            <w:tcW w:w="9269" w:type="dxa"/>
            <w:tcBorders>
              <w:bottom w:val="single" w:sz="4" w:space="0" w:color="000000"/>
            </w:tcBorders>
          </w:tcPr>
          <w:p>
            <w:pPr>
              <w:pStyle w:val="TableParagraph"/>
              <w:spacing w:before="13"/>
              <w:rPr>
                <w:sz w:val="19"/>
              </w:rPr>
            </w:pPr>
          </w:p>
          <w:p>
            <w:pPr>
              <w:pStyle w:val="TableParagraph"/>
              <w:ind w:left="181"/>
              <w:rPr>
                <w:b/>
                <w:sz w:val="24"/>
              </w:rPr>
            </w:pPr>
            <w:r>
              <w:rPr>
                <w:b/>
                <w:sz w:val="24"/>
              </w:rPr>
              <w:t>其他需要您关注的事项</w:t>
            </w:r>
          </w:p>
        </w:tc>
      </w:tr>
      <w:tr>
        <w:trPr>
          <w:trHeight w:val="1297" w:hRule="atLeast"/>
        </w:trPr>
        <w:tc>
          <w:tcPr>
            <w:tcW w:w="9878" w:type="dxa"/>
            <w:gridSpan w:val="2"/>
            <w:tcBorders>
              <w:top w:val="single" w:sz="4" w:space="0" w:color="000000"/>
            </w:tcBorders>
          </w:tcPr>
          <w:p>
            <w:pPr>
              <w:pStyle w:val="TableParagraph"/>
              <w:spacing w:before="7"/>
              <w:rPr>
                <w:sz w:val="18"/>
              </w:rPr>
            </w:pPr>
          </w:p>
          <w:p>
            <w:pPr>
              <w:pStyle w:val="TableParagraph"/>
              <w:tabs>
                <w:tab w:pos="790" w:val="left" w:leader="none"/>
                <w:tab w:pos="2498" w:val="left" w:leader="none"/>
              </w:tabs>
              <w:ind w:left="107"/>
              <w:rPr>
                <w:sz w:val="21"/>
              </w:rPr>
            </w:pPr>
            <w:r>
              <w:rPr>
                <w:b/>
                <w:sz w:val="21"/>
              </w:rPr>
              <w:t>7.1</w:t>
              <w:tab/>
              <w:t>投保范围</w:t>
              <w:tab/>
            </w:r>
            <w:r>
              <w:rPr>
                <w:spacing w:val="-1"/>
                <w:sz w:val="21"/>
              </w:rPr>
              <w:t>1、</w:t>
            </w:r>
            <w:r>
              <w:rPr>
                <w:sz w:val="21"/>
              </w:rPr>
              <w:t>被保险人条件：</w:t>
            </w:r>
          </w:p>
          <w:p>
            <w:pPr>
              <w:pStyle w:val="TableParagraph"/>
              <w:spacing w:line="390" w:lineRule="atLeast"/>
              <w:ind w:left="2498" w:right="108"/>
              <w:rPr>
                <w:sz w:val="21"/>
              </w:rPr>
            </w:pPr>
            <w:r>
              <w:rPr>
                <w:spacing w:val="-1"/>
                <w:sz w:val="21"/>
              </w:rPr>
              <w:t>凡投保时出生满二十八天至六十周岁</w:t>
            </w:r>
            <w:r>
              <w:rPr>
                <w:spacing w:val="0"/>
                <w:sz w:val="21"/>
              </w:rPr>
              <w:t>（</w:t>
            </w:r>
            <w:r>
              <w:rPr>
                <w:spacing w:val="-1"/>
                <w:sz w:val="21"/>
              </w:rPr>
              <w:t>含六十周岁</w:t>
            </w:r>
            <w:r>
              <w:rPr>
                <w:spacing w:val="-105"/>
                <w:sz w:val="21"/>
              </w:rPr>
              <w:t>）</w:t>
            </w:r>
            <w:r>
              <w:rPr>
                <w:spacing w:val="-1"/>
                <w:sz w:val="21"/>
              </w:rPr>
              <w:t>，身体健康，能正常工作或学习的女性，均可作为本保险的被保险人。</w:t>
            </w:r>
          </w:p>
        </w:tc>
      </w:tr>
    </w:tbl>
    <w:p>
      <w:pPr>
        <w:pStyle w:val="BodyText"/>
        <w:rPr>
          <w:sz w:val="20"/>
        </w:rPr>
      </w:pPr>
    </w:p>
    <w:p>
      <w:pPr>
        <w:pStyle w:val="BodyText"/>
        <w:spacing w:before="12"/>
        <w:rPr>
          <w:sz w:val="15"/>
        </w:rPr>
      </w:pPr>
    </w:p>
    <w:p>
      <w:pPr>
        <w:pStyle w:val="BodyText"/>
        <w:spacing w:before="36"/>
        <w:ind w:left="2614"/>
      </w:pPr>
      <w:r>
        <w:rPr/>
        <w:t>2、投保人条件：</w:t>
      </w:r>
    </w:p>
    <w:p>
      <w:pPr>
        <w:spacing w:after="0"/>
        <w:sectPr>
          <w:pgSz w:w="11910" w:h="16840"/>
          <w:pgMar w:header="857" w:footer="977" w:top="1040" w:bottom="1180" w:left="1080" w:right="720"/>
        </w:sectPr>
      </w:pPr>
    </w:p>
    <w:p>
      <w:pPr>
        <w:pStyle w:val="BodyText"/>
        <w:rPr>
          <w:sz w:val="20"/>
        </w:rPr>
      </w:pPr>
      <w:r>
        <w:rPr/>
        <w:pict>
          <v:shape style="position:absolute;margin-left:59.82pt;margin-top:55.259998pt;width:493.35pt;height:697.2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668"/>
                    <w:gridCol w:w="7590"/>
                  </w:tblGrid>
                  <w:tr>
                    <w:trPr>
                      <w:trHeight w:val="1323" w:hRule="atLeast"/>
                    </w:trPr>
                    <w:tc>
                      <w:tcPr>
                        <w:tcW w:w="609" w:type="dxa"/>
                        <w:tcBorders>
                          <w:top w:val="single" w:sz="6" w:space="0" w:color="000000"/>
                        </w:tcBorders>
                      </w:tcPr>
                      <w:p>
                        <w:pPr>
                          <w:pStyle w:val="TableParagraph"/>
                          <w:rPr>
                            <w:rFonts w:ascii="Times New Roman"/>
                            <w:sz w:val="20"/>
                          </w:rPr>
                        </w:pPr>
                      </w:p>
                    </w:tc>
                    <w:tc>
                      <w:tcPr>
                        <w:tcW w:w="1668" w:type="dxa"/>
                        <w:tcBorders>
                          <w:top w:val="single" w:sz="6" w:space="0" w:color="000000"/>
                        </w:tcBorders>
                      </w:tcPr>
                      <w:p>
                        <w:pPr>
                          <w:pStyle w:val="TableParagraph"/>
                          <w:rPr>
                            <w:rFonts w:ascii="Times New Roman"/>
                            <w:sz w:val="20"/>
                          </w:rPr>
                        </w:pPr>
                      </w:p>
                    </w:tc>
                    <w:tc>
                      <w:tcPr>
                        <w:tcW w:w="7590" w:type="dxa"/>
                        <w:tcBorders>
                          <w:top w:val="single" w:sz="6" w:space="0" w:color="000000"/>
                        </w:tcBorders>
                      </w:tcPr>
                      <w:p>
                        <w:pPr>
                          <w:pStyle w:val="TableParagraph"/>
                          <w:spacing w:before="9"/>
                          <w:rPr>
                            <w:sz w:val="24"/>
                          </w:rPr>
                        </w:pPr>
                      </w:p>
                      <w:p>
                        <w:pPr>
                          <w:pStyle w:val="TableParagraph"/>
                          <w:spacing w:line="340" w:lineRule="auto"/>
                          <w:ind w:left="221" w:right="100"/>
                          <w:rPr>
                            <w:sz w:val="21"/>
                          </w:rPr>
                        </w:pPr>
                        <w:r>
                          <w:rPr>
                            <w:spacing w:val="-8"/>
                            <w:sz w:val="21"/>
                          </w:rPr>
                          <w:t>凡年满十八周岁，具有完全民事行为能力且对被保险人具有保险利益的人，均可作为本保险的投保人。</w:t>
                        </w:r>
                      </w:p>
                    </w:tc>
                  </w:tr>
                  <w:tr>
                    <w:trPr>
                      <w:trHeight w:val="768" w:hRule="atLeast"/>
                    </w:trPr>
                    <w:tc>
                      <w:tcPr>
                        <w:tcW w:w="609" w:type="dxa"/>
                        <w:tcBorders>
                          <w:bottom w:val="single" w:sz="4" w:space="0" w:color="000000"/>
                        </w:tcBorders>
                      </w:tcPr>
                      <w:p>
                        <w:pPr>
                          <w:pStyle w:val="TableParagraph"/>
                          <w:spacing w:before="28"/>
                          <w:ind w:left="107"/>
                          <w:rPr>
                            <w:rFonts w:ascii="Yu Gothic" w:hAnsi="Yu Gothic"/>
                            <w:b/>
                            <w:sz w:val="40"/>
                          </w:rPr>
                        </w:pPr>
                        <w:r>
                          <w:rPr>
                            <w:rFonts w:ascii="Yu Gothic" w:hAnsi="Yu Gothic"/>
                            <w:b/>
                            <w:w w:val="151"/>
                            <w:sz w:val="40"/>
                          </w:rPr>
                          <w:t>®</w:t>
                        </w:r>
                      </w:p>
                    </w:tc>
                    <w:tc>
                      <w:tcPr>
                        <w:tcW w:w="1668" w:type="dxa"/>
                        <w:tcBorders>
                          <w:bottom w:val="single" w:sz="4" w:space="0" w:color="000000"/>
                        </w:tcBorders>
                      </w:tcPr>
                      <w:p>
                        <w:pPr>
                          <w:pStyle w:val="TableParagraph"/>
                          <w:spacing w:before="13"/>
                          <w:rPr>
                            <w:sz w:val="19"/>
                          </w:rPr>
                        </w:pPr>
                      </w:p>
                      <w:p>
                        <w:pPr>
                          <w:pStyle w:val="TableParagraph"/>
                          <w:ind w:left="181"/>
                          <w:rPr>
                            <w:b/>
                            <w:sz w:val="24"/>
                          </w:rPr>
                        </w:pPr>
                        <w:r>
                          <w:rPr>
                            <w:b/>
                            <w:sz w:val="24"/>
                          </w:rPr>
                          <w:t>释义</w:t>
                        </w:r>
                      </w:p>
                    </w:tc>
                    <w:tc>
                      <w:tcPr>
                        <w:tcW w:w="7590" w:type="dxa"/>
                        <w:tcBorders>
                          <w:bottom w:val="single" w:sz="4" w:space="0" w:color="000000"/>
                        </w:tcBorders>
                      </w:tcPr>
                      <w:p>
                        <w:pPr>
                          <w:pStyle w:val="TableParagraph"/>
                          <w:rPr>
                            <w:rFonts w:ascii="Times New Roman"/>
                            <w:sz w:val="20"/>
                          </w:rPr>
                        </w:pPr>
                      </w:p>
                    </w:tc>
                  </w:tr>
                  <w:tr>
                    <w:trPr>
                      <w:trHeight w:val="1191" w:hRule="atLeast"/>
                    </w:trPr>
                    <w:tc>
                      <w:tcPr>
                        <w:tcW w:w="609" w:type="dxa"/>
                        <w:tcBorders>
                          <w:top w:val="single" w:sz="4" w:space="0" w:color="000000"/>
                        </w:tcBorders>
                      </w:tcPr>
                      <w:p>
                        <w:pPr>
                          <w:pStyle w:val="TableParagraph"/>
                          <w:spacing w:before="6"/>
                          <w:rPr>
                            <w:sz w:val="18"/>
                          </w:rPr>
                        </w:pPr>
                      </w:p>
                      <w:p>
                        <w:pPr>
                          <w:pStyle w:val="TableParagraph"/>
                          <w:ind w:left="107"/>
                          <w:rPr>
                            <w:b/>
                            <w:sz w:val="21"/>
                          </w:rPr>
                        </w:pPr>
                        <w:r>
                          <w:rPr>
                            <w:b/>
                            <w:sz w:val="21"/>
                          </w:rPr>
                          <w:t>8.1</w:t>
                        </w:r>
                      </w:p>
                    </w:tc>
                    <w:tc>
                      <w:tcPr>
                        <w:tcW w:w="1668" w:type="dxa"/>
                        <w:tcBorders>
                          <w:top w:val="single" w:sz="4" w:space="0" w:color="000000"/>
                        </w:tcBorders>
                      </w:tcPr>
                      <w:p>
                        <w:pPr>
                          <w:pStyle w:val="TableParagraph"/>
                          <w:spacing w:before="6"/>
                          <w:rPr>
                            <w:sz w:val="18"/>
                          </w:rPr>
                        </w:pPr>
                      </w:p>
                      <w:p>
                        <w:pPr>
                          <w:pStyle w:val="TableParagraph"/>
                          <w:ind w:left="181"/>
                          <w:rPr>
                            <w:b/>
                            <w:sz w:val="21"/>
                          </w:rPr>
                        </w:pPr>
                        <w:r>
                          <w:rPr>
                            <w:b/>
                            <w:sz w:val="21"/>
                          </w:rPr>
                          <w:t>发病</w:t>
                        </w:r>
                      </w:p>
                    </w:tc>
                    <w:tc>
                      <w:tcPr>
                        <w:tcW w:w="7590" w:type="dxa"/>
                        <w:tcBorders>
                          <w:top w:val="single" w:sz="4" w:space="0" w:color="000000"/>
                        </w:tcBorders>
                      </w:tcPr>
                      <w:p>
                        <w:pPr>
                          <w:pStyle w:val="TableParagraph"/>
                          <w:spacing w:before="6"/>
                          <w:rPr>
                            <w:sz w:val="18"/>
                          </w:rPr>
                        </w:pPr>
                      </w:p>
                      <w:p>
                        <w:pPr>
                          <w:pStyle w:val="TableParagraph"/>
                          <w:spacing w:line="340" w:lineRule="auto"/>
                          <w:ind w:left="221" w:right="16"/>
                          <w:rPr>
                            <w:sz w:val="21"/>
                          </w:rPr>
                        </w:pPr>
                        <w:r>
                          <w:rPr>
                            <w:sz w:val="21"/>
                          </w:rPr>
                          <w:t>指被保险人出现本附加合同附表一所约定的重大疾病的前兆或异常的身体状况， 或已经出现足以使一般人士引起注意并寻求诊断、治疗或护理的病症。</w:t>
                        </w:r>
                      </w:p>
                    </w:tc>
                  </w:tr>
                  <w:tr>
                    <w:trPr>
                      <w:trHeight w:val="1169" w:hRule="atLeast"/>
                    </w:trPr>
                    <w:tc>
                      <w:tcPr>
                        <w:tcW w:w="609" w:type="dxa"/>
                      </w:tcPr>
                      <w:p>
                        <w:pPr>
                          <w:pStyle w:val="TableParagraph"/>
                          <w:spacing w:before="10"/>
                          <w:rPr>
                            <w:sz w:val="16"/>
                          </w:rPr>
                        </w:pPr>
                      </w:p>
                      <w:p>
                        <w:pPr>
                          <w:pStyle w:val="TableParagraph"/>
                          <w:spacing w:before="1"/>
                          <w:ind w:left="107"/>
                          <w:rPr>
                            <w:b/>
                            <w:sz w:val="21"/>
                          </w:rPr>
                        </w:pPr>
                        <w:r>
                          <w:rPr>
                            <w:b/>
                            <w:sz w:val="21"/>
                          </w:rPr>
                          <w:t>8.2</w:t>
                        </w:r>
                      </w:p>
                    </w:tc>
                    <w:tc>
                      <w:tcPr>
                        <w:tcW w:w="1668" w:type="dxa"/>
                      </w:tcPr>
                      <w:p>
                        <w:pPr>
                          <w:pStyle w:val="TableParagraph"/>
                          <w:spacing w:before="10"/>
                          <w:rPr>
                            <w:sz w:val="16"/>
                          </w:rPr>
                        </w:pPr>
                      </w:p>
                      <w:p>
                        <w:pPr>
                          <w:pStyle w:val="TableParagraph"/>
                          <w:spacing w:line="340" w:lineRule="auto" w:before="1"/>
                          <w:ind w:left="181" w:right="220" w:hanging="1"/>
                          <w:rPr>
                            <w:b/>
                            <w:sz w:val="21"/>
                          </w:rPr>
                        </w:pPr>
                        <w:r>
                          <w:rPr>
                            <w:b/>
                            <w:sz w:val="21"/>
                          </w:rPr>
                          <w:t>指定或认可的医疗机构</w:t>
                        </w:r>
                      </w:p>
                    </w:tc>
                    <w:tc>
                      <w:tcPr>
                        <w:tcW w:w="7590" w:type="dxa"/>
                      </w:tcPr>
                      <w:p>
                        <w:pPr>
                          <w:pStyle w:val="TableParagraph"/>
                          <w:spacing w:before="10"/>
                          <w:rPr>
                            <w:sz w:val="16"/>
                          </w:rPr>
                        </w:pPr>
                      </w:p>
                      <w:p>
                        <w:pPr>
                          <w:pStyle w:val="TableParagraph"/>
                          <w:spacing w:line="340" w:lineRule="auto" w:before="1"/>
                          <w:ind w:left="221" w:right="100"/>
                          <w:rPr>
                            <w:sz w:val="21"/>
                          </w:rPr>
                        </w:pPr>
                        <w:r>
                          <w:rPr>
                            <w:spacing w:val="-4"/>
                            <w:sz w:val="21"/>
                          </w:rPr>
                          <w:t>指中华人民共和国境内(港澳台地区除外)，投保地所在省、市、自治区范围内的卫生行政部门认可的二级甲等以上非营利性医疗机构。</w:t>
                        </w:r>
                      </w:p>
                    </w:tc>
                  </w:tr>
                  <w:tr>
                    <w:trPr>
                      <w:trHeight w:val="1559" w:hRule="atLeast"/>
                    </w:trPr>
                    <w:tc>
                      <w:tcPr>
                        <w:tcW w:w="609" w:type="dxa"/>
                      </w:tcPr>
                      <w:p>
                        <w:pPr>
                          <w:pStyle w:val="TableParagraph"/>
                          <w:spacing w:before="10"/>
                          <w:rPr>
                            <w:sz w:val="16"/>
                          </w:rPr>
                        </w:pPr>
                      </w:p>
                      <w:p>
                        <w:pPr>
                          <w:pStyle w:val="TableParagraph"/>
                          <w:spacing w:before="1"/>
                          <w:ind w:left="107"/>
                          <w:rPr>
                            <w:b/>
                            <w:sz w:val="21"/>
                          </w:rPr>
                        </w:pPr>
                        <w:r>
                          <w:rPr>
                            <w:b/>
                            <w:sz w:val="21"/>
                          </w:rPr>
                          <w:t>8.3</w:t>
                        </w:r>
                      </w:p>
                    </w:tc>
                    <w:tc>
                      <w:tcPr>
                        <w:tcW w:w="1668" w:type="dxa"/>
                      </w:tcPr>
                      <w:p>
                        <w:pPr>
                          <w:pStyle w:val="TableParagraph"/>
                          <w:spacing w:before="10"/>
                          <w:rPr>
                            <w:sz w:val="16"/>
                          </w:rPr>
                        </w:pPr>
                      </w:p>
                      <w:p>
                        <w:pPr>
                          <w:pStyle w:val="TableParagraph"/>
                          <w:spacing w:before="1"/>
                          <w:ind w:left="181"/>
                          <w:rPr>
                            <w:b/>
                            <w:sz w:val="21"/>
                          </w:rPr>
                        </w:pPr>
                        <w:r>
                          <w:rPr>
                            <w:b/>
                            <w:sz w:val="21"/>
                          </w:rPr>
                          <w:t>酒后驾驶</w:t>
                        </w:r>
                      </w:p>
                    </w:tc>
                    <w:tc>
                      <w:tcPr>
                        <w:tcW w:w="7590" w:type="dxa"/>
                      </w:tcPr>
                      <w:p>
                        <w:pPr>
                          <w:pStyle w:val="TableParagraph"/>
                          <w:spacing w:before="10"/>
                          <w:rPr>
                            <w:sz w:val="16"/>
                          </w:rPr>
                        </w:pPr>
                      </w:p>
                      <w:p>
                        <w:pPr>
                          <w:pStyle w:val="TableParagraph"/>
                          <w:spacing w:line="340" w:lineRule="auto" w:before="1"/>
                          <w:ind w:left="221" w:right="99"/>
                          <w:jc w:val="both"/>
                          <w:rPr>
                            <w:sz w:val="21"/>
                          </w:rPr>
                        </w:pPr>
                        <w:r>
                          <w:rPr>
                            <w:spacing w:val="-9"/>
                            <w:sz w:val="21"/>
                          </w:rPr>
                          <w:t>指经检测或鉴定，发生事故时车辆驾驶人员每百毫升血液中的酒精含量或呼气酒</w:t>
                        </w:r>
                        <w:r>
                          <w:rPr>
                            <w:spacing w:val="-12"/>
                            <w:sz w:val="21"/>
                          </w:rPr>
                          <w:t>精含量大于或等于《车辆驾驶人员血液、呼气酒精含量阈值与检验》规定的饮酒驾驶标准。</w:t>
                        </w:r>
                      </w:p>
                    </w:tc>
                  </w:tr>
                  <w:tr>
                    <w:trPr>
                      <w:trHeight w:val="2144" w:hRule="atLeast"/>
                    </w:trPr>
                    <w:tc>
                      <w:tcPr>
                        <w:tcW w:w="9867" w:type="dxa"/>
                        <w:gridSpan w:val="3"/>
                      </w:tcPr>
                      <w:p>
                        <w:pPr>
                          <w:pStyle w:val="TableParagraph"/>
                          <w:spacing w:before="10"/>
                          <w:rPr>
                            <w:sz w:val="16"/>
                          </w:rPr>
                        </w:pPr>
                      </w:p>
                      <w:p>
                        <w:pPr>
                          <w:pStyle w:val="TableParagraph"/>
                          <w:numPr>
                            <w:ilvl w:val="1"/>
                            <w:numId w:val="6"/>
                          </w:numPr>
                          <w:tabs>
                            <w:tab w:pos="790" w:val="left" w:leader="none"/>
                            <w:tab w:pos="791" w:val="left" w:leader="none"/>
                            <w:tab w:pos="2498" w:val="left" w:leader="none"/>
                          </w:tabs>
                          <w:spacing w:line="240" w:lineRule="auto" w:before="1" w:after="0"/>
                          <w:ind w:left="790" w:right="0" w:hanging="683"/>
                          <w:jc w:val="left"/>
                          <w:rPr>
                            <w:sz w:val="21"/>
                          </w:rPr>
                        </w:pPr>
                        <w:r>
                          <w:rPr>
                            <w:b/>
                            <w:sz w:val="21"/>
                          </w:rPr>
                          <w:t>无有效驾驶证件</w:t>
                          <w:tab/>
                        </w:r>
                        <w:r>
                          <w:rPr>
                            <w:sz w:val="21"/>
                          </w:rPr>
                          <w:t>指下列情形之一：</w:t>
                        </w:r>
                      </w:p>
                      <w:p>
                        <w:pPr>
                          <w:pStyle w:val="TableParagraph"/>
                          <w:tabs>
                            <w:tab w:pos="2498" w:val="left" w:leader="none"/>
                          </w:tabs>
                          <w:spacing w:before="115"/>
                          <w:ind w:left="790"/>
                          <w:rPr>
                            <w:sz w:val="21"/>
                          </w:rPr>
                        </w:pPr>
                        <w:r>
                          <w:rPr>
                            <w:b/>
                            <w:sz w:val="21"/>
                          </w:rPr>
                          <w:t>驾驶</w:t>
                          <w:tab/>
                        </w:r>
                        <w:r>
                          <w:rPr>
                            <w:sz w:val="21"/>
                          </w:rPr>
                          <w:t>（1）</w:t>
                        </w:r>
                        <w:r>
                          <w:rPr>
                            <w:spacing w:val="88"/>
                            <w:sz w:val="21"/>
                          </w:rPr>
                          <w:t> </w:t>
                        </w:r>
                        <w:r>
                          <w:rPr>
                            <w:sz w:val="21"/>
                          </w:rPr>
                          <w:t>没有驾驶证驾驶；</w:t>
                        </w:r>
                      </w:p>
                      <w:p>
                        <w:pPr>
                          <w:pStyle w:val="TableParagraph"/>
                          <w:numPr>
                            <w:ilvl w:val="2"/>
                            <w:numId w:val="6"/>
                          </w:numPr>
                          <w:tabs>
                            <w:tab w:pos="3218" w:val="left" w:leader="none"/>
                          </w:tabs>
                          <w:spacing w:line="240" w:lineRule="auto" w:before="115" w:after="0"/>
                          <w:ind w:left="3217" w:right="0" w:hanging="719"/>
                          <w:jc w:val="left"/>
                          <w:rPr>
                            <w:sz w:val="21"/>
                          </w:rPr>
                        </w:pPr>
                        <w:r>
                          <w:rPr>
                            <w:sz w:val="21"/>
                          </w:rPr>
                          <w:t>驾驶与驾驶证准驾车型不相符合的车辆；</w:t>
                        </w:r>
                      </w:p>
                      <w:p>
                        <w:pPr>
                          <w:pStyle w:val="TableParagraph"/>
                          <w:numPr>
                            <w:ilvl w:val="2"/>
                            <w:numId w:val="6"/>
                          </w:numPr>
                          <w:tabs>
                            <w:tab w:pos="3218" w:val="left" w:leader="none"/>
                          </w:tabs>
                          <w:spacing w:line="240" w:lineRule="auto" w:before="115" w:after="0"/>
                          <w:ind w:left="3217" w:right="0" w:hanging="719"/>
                          <w:jc w:val="left"/>
                          <w:rPr>
                            <w:sz w:val="21"/>
                          </w:rPr>
                        </w:pPr>
                        <w:r>
                          <w:rPr>
                            <w:sz w:val="21"/>
                          </w:rPr>
                          <w:t>持未审验或审验不合格的驾驶证驾驶；</w:t>
                        </w:r>
                      </w:p>
                      <w:p>
                        <w:pPr>
                          <w:pStyle w:val="TableParagraph"/>
                          <w:numPr>
                            <w:ilvl w:val="2"/>
                            <w:numId w:val="6"/>
                          </w:numPr>
                          <w:tabs>
                            <w:tab w:pos="3219" w:val="left" w:leader="none"/>
                          </w:tabs>
                          <w:spacing w:line="240" w:lineRule="auto" w:before="115" w:after="0"/>
                          <w:ind w:left="3218" w:right="0" w:hanging="720"/>
                          <w:jc w:val="left"/>
                          <w:rPr>
                            <w:sz w:val="21"/>
                          </w:rPr>
                        </w:pPr>
                        <w:r>
                          <w:rPr>
                            <w:sz w:val="21"/>
                          </w:rPr>
                          <w:t>持学习驾驶证学习驾车时，无教练员随车指导，或不按指定时间、路线</w:t>
                        </w:r>
                      </w:p>
                    </w:tc>
                  </w:tr>
                  <w:tr>
                    <w:trPr>
                      <w:trHeight w:val="974" w:hRule="atLeast"/>
                    </w:trPr>
                    <w:tc>
                      <w:tcPr>
                        <w:tcW w:w="609" w:type="dxa"/>
                      </w:tcPr>
                      <w:p>
                        <w:pPr>
                          <w:pStyle w:val="TableParagraph"/>
                          <w:rPr>
                            <w:rFonts w:ascii="Times New Roman"/>
                            <w:sz w:val="20"/>
                          </w:rPr>
                        </w:pPr>
                      </w:p>
                    </w:tc>
                    <w:tc>
                      <w:tcPr>
                        <w:tcW w:w="1668" w:type="dxa"/>
                      </w:tcPr>
                      <w:p>
                        <w:pPr>
                          <w:pStyle w:val="TableParagraph"/>
                          <w:rPr>
                            <w:rFonts w:ascii="Times New Roman"/>
                            <w:sz w:val="20"/>
                          </w:rPr>
                        </w:pPr>
                      </w:p>
                    </w:tc>
                    <w:tc>
                      <w:tcPr>
                        <w:tcW w:w="7590" w:type="dxa"/>
                      </w:tcPr>
                      <w:p>
                        <w:pPr>
                          <w:pStyle w:val="TableParagraph"/>
                          <w:spacing w:before="25"/>
                          <w:ind w:left="941"/>
                          <w:rPr>
                            <w:sz w:val="21"/>
                          </w:rPr>
                        </w:pPr>
                        <w:r>
                          <w:rPr>
                            <w:sz w:val="21"/>
                          </w:rPr>
                          <w:t>学习驾车；</w:t>
                        </w:r>
                      </w:p>
                      <w:p>
                        <w:pPr>
                          <w:pStyle w:val="TableParagraph"/>
                          <w:spacing w:before="115"/>
                          <w:ind w:left="221"/>
                          <w:rPr>
                            <w:sz w:val="21"/>
                          </w:rPr>
                        </w:pPr>
                        <w:r>
                          <w:rPr>
                            <w:sz w:val="21"/>
                          </w:rPr>
                          <w:t>（5） 公安交通管理部门规定的其他无有效证件驾驶的情形。</w:t>
                        </w:r>
                      </w:p>
                    </w:tc>
                  </w:tr>
                  <w:tr>
                    <w:trPr>
                      <w:trHeight w:val="779" w:hRule="atLeast"/>
                    </w:trPr>
                    <w:tc>
                      <w:tcPr>
                        <w:tcW w:w="9867" w:type="dxa"/>
                        <w:gridSpan w:val="3"/>
                      </w:tcPr>
                      <w:p>
                        <w:pPr>
                          <w:pStyle w:val="TableParagraph"/>
                          <w:spacing w:before="10"/>
                          <w:rPr>
                            <w:sz w:val="16"/>
                          </w:rPr>
                        </w:pPr>
                      </w:p>
                      <w:p>
                        <w:pPr>
                          <w:pStyle w:val="TableParagraph"/>
                          <w:tabs>
                            <w:tab w:pos="790" w:val="left" w:leader="none"/>
                            <w:tab w:pos="2498" w:val="left" w:leader="none"/>
                          </w:tabs>
                          <w:spacing w:before="1"/>
                          <w:ind w:left="107"/>
                          <w:rPr>
                            <w:sz w:val="21"/>
                          </w:rPr>
                        </w:pPr>
                        <w:r>
                          <w:rPr>
                            <w:b/>
                            <w:sz w:val="21"/>
                          </w:rPr>
                          <w:t>8.5</w:t>
                          <w:tab/>
                          <w:t>无有效行驶证件</w:t>
                          <w:tab/>
                        </w:r>
                        <w:r>
                          <w:rPr>
                            <w:sz w:val="21"/>
                          </w:rPr>
                          <w:t>指下列情形之一：</w:t>
                        </w:r>
                      </w:p>
                    </w:tc>
                  </w:tr>
                  <w:tr>
                    <w:trPr>
                      <w:trHeight w:val="779" w:hRule="atLeast"/>
                    </w:trPr>
                    <w:tc>
                      <w:tcPr>
                        <w:tcW w:w="609" w:type="dxa"/>
                      </w:tcPr>
                      <w:p>
                        <w:pPr>
                          <w:pStyle w:val="TableParagraph"/>
                          <w:rPr>
                            <w:rFonts w:ascii="Times New Roman"/>
                            <w:sz w:val="20"/>
                          </w:rPr>
                        </w:pPr>
                      </w:p>
                    </w:tc>
                    <w:tc>
                      <w:tcPr>
                        <w:tcW w:w="1668" w:type="dxa"/>
                      </w:tcPr>
                      <w:p>
                        <w:pPr>
                          <w:pStyle w:val="TableParagraph"/>
                          <w:rPr>
                            <w:rFonts w:ascii="Times New Roman"/>
                            <w:sz w:val="20"/>
                          </w:rPr>
                        </w:pPr>
                      </w:p>
                    </w:tc>
                    <w:tc>
                      <w:tcPr>
                        <w:tcW w:w="7590" w:type="dxa"/>
                      </w:tcPr>
                      <w:p>
                        <w:pPr>
                          <w:pStyle w:val="TableParagraph"/>
                          <w:spacing w:before="10"/>
                          <w:rPr>
                            <w:sz w:val="16"/>
                          </w:rPr>
                        </w:pPr>
                      </w:p>
                      <w:p>
                        <w:pPr>
                          <w:pStyle w:val="TableParagraph"/>
                          <w:spacing w:before="1"/>
                          <w:ind w:left="221"/>
                          <w:rPr>
                            <w:sz w:val="21"/>
                          </w:rPr>
                        </w:pPr>
                        <w:r>
                          <w:rPr>
                            <w:sz w:val="21"/>
                          </w:rPr>
                          <w:t>（2） 未在法律规定期限内按时进行或通过安全技术检验。</w:t>
                        </w:r>
                      </w:p>
                    </w:tc>
                  </w:tr>
                  <w:tr>
                    <w:trPr>
                      <w:trHeight w:val="1169" w:hRule="atLeast"/>
                    </w:trPr>
                    <w:tc>
                      <w:tcPr>
                        <w:tcW w:w="609" w:type="dxa"/>
                      </w:tcPr>
                      <w:p>
                        <w:pPr>
                          <w:pStyle w:val="TableParagraph"/>
                          <w:spacing w:before="10"/>
                          <w:rPr>
                            <w:sz w:val="16"/>
                          </w:rPr>
                        </w:pPr>
                      </w:p>
                      <w:p>
                        <w:pPr>
                          <w:pStyle w:val="TableParagraph"/>
                          <w:spacing w:before="1"/>
                          <w:ind w:left="107"/>
                          <w:rPr>
                            <w:b/>
                            <w:sz w:val="21"/>
                          </w:rPr>
                        </w:pPr>
                        <w:r>
                          <w:rPr>
                            <w:b/>
                            <w:sz w:val="21"/>
                          </w:rPr>
                          <w:t>8.6</w:t>
                        </w:r>
                      </w:p>
                    </w:tc>
                    <w:tc>
                      <w:tcPr>
                        <w:tcW w:w="1668" w:type="dxa"/>
                      </w:tcPr>
                      <w:p>
                        <w:pPr>
                          <w:pStyle w:val="TableParagraph"/>
                          <w:spacing w:before="10"/>
                          <w:rPr>
                            <w:sz w:val="16"/>
                          </w:rPr>
                        </w:pPr>
                      </w:p>
                      <w:p>
                        <w:pPr>
                          <w:pStyle w:val="TableParagraph"/>
                          <w:spacing w:before="1"/>
                          <w:ind w:left="181"/>
                          <w:rPr>
                            <w:b/>
                            <w:sz w:val="21"/>
                          </w:rPr>
                        </w:pPr>
                        <w:r>
                          <w:rPr>
                            <w:b/>
                            <w:w w:val="95"/>
                            <w:sz w:val="21"/>
                          </w:rPr>
                          <w:t>机动交通工具</w:t>
                        </w:r>
                      </w:p>
                    </w:tc>
                    <w:tc>
                      <w:tcPr>
                        <w:tcW w:w="7590" w:type="dxa"/>
                      </w:tcPr>
                      <w:p>
                        <w:pPr>
                          <w:pStyle w:val="TableParagraph"/>
                          <w:spacing w:before="10"/>
                          <w:rPr>
                            <w:sz w:val="16"/>
                          </w:rPr>
                        </w:pPr>
                      </w:p>
                      <w:p>
                        <w:pPr>
                          <w:pStyle w:val="TableParagraph"/>
                          <w:spacing w:line="340" w:lineRule="auto" w:before="1"/>
                          <w:ind w:left="221" w:right="99"/>
                          <w:rPr>
                            <w:sz w:val="21"/>
                          </w:rPr>
                        </w:pPr>
                        <w:r>
                          <w:rPr>
                            <w:spacing w:val="-7"/>
                            <w:sz w:val="21"/>
                          </w:rPr>
                          <w:t>指以动力装置驱动或者牵引，上道路行驶的供人员乘用或者用于运送物品以及进行工程专项作业的轮式车辆。</w:t>
                        </w:r>
                      </w:p>
                    </w:tc>
                  </w:tr>
                  <w:tr>
                    <w:trPr>
                      <w:trHeight w:val="780" w:hRule="atLeast"/>
                    </w:trPr>
                    <w:tc>
                      <w:tcPr>
                        <w:tcW w:w="609" w:type="dxa"/>
                      </w:tcPr>
                      <w:p>
                        <w:pPr>
                          <w:pStyle w:val="TableParagraph"/>
                          <w:spacing w:before="10"/>
                          <w:rPr>
                            <w:sz w:val="16"/>
                          </w:rPr>
                        </w:pPr>
                      </w:p>
                      <w:p>
                        <w:pPr>
                          <w:pStyle w:val="TableParagraph"/>
                          <w:spacing w:before="1"/>
                          <w:ind w:left="107"/>
                          <w:rPr>
                            <w:b/>
                            <w:sz w:val="21"/>
                          </w:rPr>
                        </w:pPr>
                        <w:r>
                          <w:rPr>
                            <w:b/>
                            <w:sz w:val="21"/>
                          </w:rPr>
                          <w:t>8.7</w:t>
                        </w:r>
                      </w:p>
                    </w:tc>
                    <w:tc>
                      <w:tcPr>
                        <w:tcW w:w="1668" w:type="dxa"/>
                      </w:tcPr>
                      <w:p>
                        <w:pPr>
                          <w:pStyle w:val="TableParagraph"/>
                          <w:spacing w:before="10"/>
                          <w:rPr>
                            <w:sz w:val="16"/>
                          </w:rPr>
                        </w:pPr>
                      </w:p>
                      <w:p>
                        <w:pPr>
                          <w:pStyle w:val="TableParagraph"/>
                          <w:spacing w:before="1"/>
                          <w:ind w:left="181"/>
                          <w:rPr>
                            <w:b/>
                            <w:sz w:val="21"/>
                          </w:rPr>
                        </w:pPr>
                        <w:r>
                          <w:rPr>
                            <w:b/>
                            <w:sz w:val="21"/>
                          </w:rPr>
                          <w:t>艾滋病</w:t>
                        </w:r>
                      </w:p>
                    </w:tc>
                    <w:tc>
                      <w:tcPr>
                        <w:tcW w:w="7590" w:type="dxa"/>
                      </w:tcPr>
                      <w:p>
                        <w:pPr>
                          <w:pStyle w:val="TableParagraph"/>
                          <w:spacing w:before="10"/>
                          <w:rPr>
                            <w:sz w:val="16"/>
                          </w:rPr>
                        </w:pPr>
                      </w:p>
                      <w:p>
                        <w:pPr>
                          <w:pStyle w:val="TableParagraph"/>
                          <w:spacing w:before="1"/>
                          <w:ind w:left="221"/>
                          <w:rPr>
                            <w:sz w:val="21"/>
                          </w:rPr>
                        </w:pPr>
                        <w:r>
                          <w:rPr>
                            <w:sz w:val="21"/>
                          </w:rPr>
                          <w:t>获得性免疫力缺乏综合征（AIDS）的简称。</w:t>
                        </w:r>
                      </w:p>
                    </w:tc>
                  </w:tr>
                  <w:tr>
                    <w:trPr>
                      <w:trHeight w:val="1274" w:hRule="atLeast"/>
                    </w:trPr>
                    <w:tc>
                      <w:tcPr>
                        <w:tcW w:w="609" w:type="dxa"/>
                      </w:tcPr>
                      <w:p>
                        <w:pPr>
                          <w:pStyle w:val="TableParagraph"/>
                          <w:spacing w:before="10"/>
                          <w:rPr>
                            <w:sz w:val="16"/>
                          </w:rPr>
                        </w:pPr>
                      </w:p>
                      <w:p>
                        <w:pPr>
                          <w:pStyle w:val="TableParagraph"/>
                          <w:spacing w:before="1"/>
                          <w:ind w:left="107"/>
                          <w:rPr>
                            <w:b/>
                            <w:sz w:val="21"/>
                          </w:rPr>
                        </w:pPr>
                        <w:r>
                          <w:rPr>
                            <w:b/>
                            <w:sz w:val="21"/>
                          </w:rPr>
                          <w:t>8.8</w:t>
                        </w:r>
                      </w:p>
                    </w:tc>
                    <w:tc>
                      <w:tcPr>
                        <w:tcW w:w="1668" w:type="dxa"/>
                      </w:tcPr>
                      <w:p>
                        <w:pPr>
                          <w:pStyle w:val="TableParagraph"/>
                          <w:spacing w:before="10"/>
                          <w:rPr>
                            <w:sz w:val="16"/>
                          </w:rPr>
                        </w:pPr>
                      </w:p>
                      <w:p>
                        <w:pPr>
                          <w:pStyle w:val="TableParagraph"/>
                          <w:spacing w:before="1"/>
                          <w:ind w:left="181"/>
                          <w:rPr>
                            <w:b/>
                            <w:sz w:val="21"/>
                          </w:rPr>
                        </w:pPr>
                        <w:r>
                          <w:rPr>
                            <w:b/>
                            <w:w w:val="95"/>
                            <w:sz w:val="21"/>
                          </w:rPr>
                          <w:t>艾滋病病毒</w:t>
                        </w:r>
                      </w:p>
                    </w:tc>
                    <w:tc>
                      <w:tcPr>
                        <w:tcW w:w="7590" w:type="dxa"/>
                      </w:tcPr>
                      <w:p>
                        <w:pPr>
                          <w:pStyle w:val="TableParagraph"/>
                          <w:spacing w:line="390" w:lineRule="atLeast" w:before="105"/>
                          <w:ind w:left="221" w:right="96"/>
                          <w:jc w:val="both"/>
                          <w:rPr>
                            <w:sz w:val="21"/>
                          </w:rPr>
                        </w:pPr>
                        <w:r>
                          <w:rPr>
                            <w:sz w:val="21"/>
                          </w:rPr>
                          <w:t>获得性免疫力缺乏综合征病毒（HIV）的简称。获得性免疫力缺乏综合征的定义</w:t>
                        </w:r>
                        <w:r>
                          <w:rPr>
                            <w:spacing w:val="-6"/>
                            <w:sz w:val="21"/>
                          </w:rPr>
                          <w:t>应按世界卫生组织制定的定义为准，如在血液样本中发现获得性免疫力缺乏综合征病毒或其抗体，则可认定为感染艾滋病或艾滋病病毒。</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BodyText"/>
        <w:spacing w:before="35"/>
        <w:ind w:left="2614"/>
      </w:pPr>
      <w:r>
        <w:rPr/>
        <w:t>（1） 没有机动车行驶证；</w:t>
      </w:r>
    </w:p>
    <w:p>
      <w:pPr>
        <w:spacing w:after="0"/>
        <w:sectPr>
          <w:pgSz w:w="11910" w:h="16840"/>
          <w:pgMar w:header="857" w:footer="977" w:top="1040" w:bottom="1180" w:left="1080" w:right="740"/>
        </w:sectPr>
      </w:pPr>
    </w:p>
    <w:p>
      <w:pPr>
        <w:pStyle w:val="BodyText"/>
        <w:spacing w:before="10"/>
        <w:rPr>
          <w:sz w:val="26"/>
        </w:rPr>
      </w:pPr>
    </w:p>
    <w:p>
      <w:pPr>
        <w:pStyle w:val="BodyText"/>
        <w:tabs>
          <w:tab w:pos="826" w:val="left" w:leader="none"/>
          <w:tab w:pos="2534" w:val="left" w:leader="none"/>
        </w:tabs>
        <w:spacing w:before="35"/>
        <w:ind w:left="144"/>
      </w:pPr>
      <w:r>
        <w:rPr/>
        <w:pict>
          <v:shape style="position:absolute;margin-left:63.720001pt;margin-top:-15.146006pt;width:494.4pt;height:89.15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8"/>
                  </w:tblGrid>
                  <w:tr>
                    <w:trPr>
                      <w:trHeight w:val="493" w:hRule="atLeast"/>
                    </w:trPr>
                    <w:tc>
                      <w:tcPr>
                        <w:tcW w:w="9888" w:type="dxa"/>
                        <w:tcBorders>
                          <w:top w:val="single" w:sz="6" w:space="0" w:color="000000"/>
                        </w:tcBorders>
                      </w:tcPr>
                      <w:p>
                        <w:pPr>
                          <w:pStyle w:val="TableParagraph"/>
                          <w:rPr>
                            <w:rFonts w:ascii="Times New Roman"/>
                            <w:sz w:val="20"/>
                          </w:rPr>
                        </w:pPr>
                      </w:p>
                    </w:tc>
                  </w:tr>
                  <w:tr>
                    <w:trPr>
                      <w:trHeight w:val="779" w:hRule="atLeast"/>
                    </w:trPr>
                    <w:tc>
                      <w:tcPr>
                        <w:tcW w:w="9888" w:type="dxa"/>
                      </w:tcPr>
                      <w:p>
                        <w:pPr>
                          <w:pStyle w:val="TableParagraph"/>
                          <w:spacing w:before="10"/>
                          <w:rPr>
                            <w:sz w:val="16"/>
                          </w:rPr>
                        </w:pPr>
                      </w:p>
                      <w:p>
                        <w:pPr>
                          <w:pStyle w:val="TableParagraph"/>
                          <w:ind w:left="2420"/>
                          <w:rPr>
                            <w:sz w:val="21"/>
                          </w:rPr>
                        </w:pPr>
                        <w:r>
                          <w:rPr>
                            <w:sz w:val="21"/>
                          </w:rPr>
                          <w:t>责任所收取的费用总和。</w:t>
                        </w:r>
                      </w:p>
                    </w:tc>
                  </w:tr>
                  <w:tr>
                    <w:trPr>
                      <w:trHeight w:val="495" w:hRule="atLeast"/>
                    </w:trPr>
                    <w:tc>
                      <w:tcPr>
                        <w:tcW w:w="9888" w:type="dxa"/>
                      </w:tcPr>
                      <w:p>
                        <w:pPr>
                          <w:pStyle w:val="TableParagraph"/>
                          <w:spacing w:before="10"/>
                          <w:rPr>
                            <w:sz w:val="16"/>
                          </w:rPr>
                        </w:pPr>
                      </w:p>
                      <w:p>
                        <w:pPr>
                          <w:pStyle w:val="TableParagraph"/>
                          <w:tabs>
                            <w:tab w:pos="712" w:val="left" w:leader="none"/>
                            <w:tab w:pos="2420" w:val="left" w:leader="none"/>
                          </w:tabs>
                          <w:spacing w:line="255" w:lineRule="exact" w:before="1"/>
                          <w:ind w:left="30"/>
                          <w:rPr>
                            <w:sz w:val="21"/>
                          </w:rPr>
                        </w:pPr>
                        <w:r>
                          <w:rPr>
                            <w:b/>
                            <w:sz w:val="21"/>
                          </w:rPr>
                          <w:t>8.10</w:t>
                          <w:tab/>
                          <w:t>现金价值净额</w:t>
                          <w:tab/>
                        </w:r>
                        <w:r>
                          <w:rPr>
                            <w:sz w:val="21"/>
                          </w:rPr>
                          <w:t>本附加合</w:t>
                        </w:r>
                        <w:r>
                          <w:rPr>
                            <w:spacing w:val="2"/>
                            <w:sz w:val="21"/>
                          </w:rPr>
                          <w:t>同</w:t>
                        </w:r>
                        <w:r>
                          <w:rPr>
                            <w:sz w:val="21"/>
                          </w:rPr>
                          <w:t>现金价值</w:t>
                        </w:r>
                        <w:r>
                          <w:rPr>
                            <w:spacing w:val="2"/>
                            <w:sz w:val="21"/>
                          </w:rPr>
                          <w:t>扣</w:t>
                        </w:r>
                        <w:r>
                          <w:rPr>
                            <w:sz w:val="21"/>
                          </w:rPr>
                          <w:t>除保险单</w:t>
                        </w:r>
                        <w:r>
                          <w:rPr>
                            <w:spacing w:val="2"/>
                            <w:sz w:val="21"/>
                          </w:rPr>
                          <w:t>借</w:t>
                        </w:r>
                        <w:r>
                          <w:rPr>
                            <w:sz w:val="21"/>
                          </w:rPr>
                          <w:t>款和垫交</w:t>
                        </w:r>
                        <w:r>
                          <w:rPr>
                            <w:spacing w:val="2"/>
                            <w:sz w:val="21"/>
                          </w:rPr>
                          <w:t>保</w:t>
                        </w:r>
                        <w:r>
                          <w:rPr>
                            <w:sz w:val="21"/>
                          </w:rPr>
                          <w:t>险费及上</w:t>
                        </w:r>
                        <w:r>
                          <w:rPr>
                            <w:spacing w:val="2"/>
                            <w:sz w:val="21"/>
                          </w:rPr>
                          <w:t>述</w:t>
                        </w:r>
                        <w:r>
                          <w:rPr>
                            <w:sz w:val="21"/>
                          </w:rPr>
                          <w:t>款项应付</w:t>
                        </w:r>
                        <w:r>
                          <w:rPr>
                            <w:spacing w:val="2"/>
                            <w:sz w:val="21"/>
                          </w:rPr>
                          <w:t>利</w:t>
                        </w:r>
                        <w:r>
                          <w:rPr>
                            <w:sz w:val="21"/>
                          </w:rPr>
                          <w:t>息后的余</w:t>
                        </w:r>
                      </w:p>
                    </w:tc>
                  </w:tr>
                </w:tbl>
                <w:p>
                  <w:pPr>
                    <w:pStyle w:val="BodyText"/>
                  </w:pPr>
                </w:p>
              </w:txbxContent>
            </v:textbox>
            <w10:wrap type="none"/>
          </v:shape>
        </w:pict>
      </w:r>
      <w:r>
        <w:rPr>
          <w:b/>
        </w:rPr>
        <w:t>8.9</w:t>
        <w:tab/>
        <w:t>手续费</w:t>
        <w:tab/>
      </w:r>
      <w:r>
        <w:rPr/>
        <w:t>是指每张保险单平均承担的营业费用</w:t>
      </w:r>
      <w:r>
        <w:rPr>
          <w:spacing w:val="-83"/>
        </w:rPr>
        <w:t>、</w:t>
      </w:r>
      <w:r>
        <w:rPr/>
        <w:t>佣金以及本公司对该保险单已承担的保险</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ind w:left="2534"/>
      </w:pPr>
      <w:r>
        <w:rPr/>
        <w:t>额。</w:t>
      </w:r>
    </w:p>
    <w:p>
      <w:pPr>
        <w:spacing w:after="0"/>
        <w:sectPr>
          <w:pgSz w:w="11910" w:h="16840"/>
          <w:pgMar w:header="857" w:footer="977" w:top="1040" w:bottom="1180" w:left="1160" w:right="640"/>
        </w:sectPr>
      </w:pPr>
    </w:p>
    <w:p>
      <w:pPr>
        <w:pStyle w:val="BodyText"/>
        <w:spacing w:before="7"/>
        <w:rPr>
          <w:sz w:val="3"/>
        </w:rPr>
      </w:pPr>
      <w:r>
        <w:rPr/>
        <w:pict>
          <v:shape style="position:absolute;margin-left:49.275299pt;margin-top:118.656265pt;width:513.4pt;height:616.3pt;mso-position-horizontal-relative:page;mso-position-vertical-relative:page;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8"/>
                  </w:tblGrid>
                  <w:tr>
                    <w:trPr>
                      <w:trHeight w:val="395" w:hRule="atLeast"/>
                    </w:trPr>
                    <w:tc>
                      <w:tcPr>
                        <w:tcW w:w="10268" w:type="dxa"/>
                      </w:tcPr>
                      <w:p>
                        <w:pPr>
                          <w:pStyle w:val="TableParagraph"/>
                          <w:spacing w:line="210" w:lineRule="exact"/>
                          <w:ind w:left="318"/>
                          <w:rPr>
                            <w:b/>
                            <w:sz w:val="21"/>
                          </w:rPr>
                        </w:pPr>
                        <w:r>
                          <w:rPr>
                            <w:b/>
                            <w:w w:val="95"/>
                            <w:sz w:val="21"/>
                          </w:rPr>
                          <w:t>重大疾病：指下列疾病或手术之一</w:t>
                        </w:r>
                      </w:p>
                    </w:tc>
                  </w:tr>
                  <w:tr>
                    <w:trPr>
                      <w:trHeight w:val="3668" w:hRule="atLeast"/>
                    </w:trPr>
                    <w:tc>
                      <w:tcPr>
                        <w:tcW w:w="10268" w:type="dxa"/>
                      </w:tcPr>
                      <w:p>
                        <w:pPr>
                          <w:pStyle w:val="TableParagraph"/>
                          <w:spacing w:line="261" w:lineRule="auto" w:before="119"/>
                          <w:ind w:left="318" w:right="424" w:hanging="1"/>
                          <w:rPr>
                            <w:b/>
                            <w:i/>
                            <w:sz w:val="22"/>
                          </w:rPr>
                        </w:pPr>
                        <w:r>
                          <w:rPr>
                            <w:b/>
                            <w:i/>
                            <w:spacing w:val="-5"/>
                            <w:w w:val="95"/>
                            <w:sz w:val="22"/>
                          </w:rPr>
                          <w:t>被保险人发生符合前 </w:t>
                        </w:r>
                        <w:r>
                          <w:rPr>
                            <w:b/>
                            <w:i/>
                            <w:w w:val="95"/>
                            <w:sz w:val="22"/>
                          </w:rPr>
                          <w:t>25</w:t>
                        </w:r>
                        <w:r>
                          <w:rPr>
                            <w:b/>
                            <w:i/>
                            <w:spacing w:val="-17"/>
                            <w:w w:val="95"/>
                            <w:sz w:val="22"/>
                          </w:rPr>
                          <w:t> 种疾病</w:t>
                        </w:r>
                        <w:r>
                          <w:rPr>
                            <w:b/>
                            <w:i/>
                            <w:w w:val="95"/>
                            <w:sz w:val="22"/>
                          </w:rPr>
                          <w:t>（</w:t>
                        </w:r>
                        <w:r>
                          <w:rPr>
                            <w:b/>
                            <w:i/>
                            <w:spacing w:val="-3"/>
                            <w:w w:val="95"/>
                            <w:sz w:val="22"/>
                          </w:rPr>
                          <w:t>特指定义在中国保险行业协会《重大疾病保险的疾病定义使用规范》中的重大疾病）定义所述条件的重大疾病，须由专科医生</w:t>
                        </w:r>
                        <w:r>
                          <w:rPr>
                            <w:spacing w:val="-3"/>
                            <w:w w:val="95"/>
                            <w:sz w:val="21"/>
                          </w:rPr>
                          <w:t>（</w:t>
                        </w:r>
                        <w:r>
                          <w:rPr>
                            <w:spacing w:val="-1"/>
                            <w:w w:val="95"/>
                            <w:sz w:val="21"/>
                          </w:rPr>
                          <w:t>注 </w:t>
                        </w:r>
                        <w:r>
                          <w:rPr>
                            <w:w w:val="95"/>
                            <w:sz w:val="21"/>
                          </w:rPr>
                          <w:t>1）</w:t>
                        </w:r>
                        <w:r>
                          <w:rPr>
                            <w:b/>
                            <w:i/>
                            <w:w w:val="95"/>
                            <w:sz w:val="22"/>
                          </w:rPr>
                          <w:t>明确诊断。</w:t>
                        </w:r>
                      </w:p>
                      <w:p>
                        <w:pPr>
                          <w:pStyle w:val="TableParagraph"/>
                          <w:spacing w:before="7"/>
                          <w:rPr>
                            <w:sz w:val="22"/>
                          </w:rPr>
                        </w:pPr>
                      </w:p>
                      <w:p>
                        <w:pPr>
                          <w:pStyle w:val="TableParagraph"/>
                          <w:tabs>
                            <w:tab w:pos="619" w:val="left" w:leader="none"/>
                            <w:tab w:pos="2617" w:val="left" w:leader="none"/>
                          </w:tabs>
                          <w:spacing w:line="261" w:lineRule="auto" w:before="1"/>
                          <w:ind w:left="2618" w:right="198" w:hanging="2418"/>
                          <w:rPr>
                            <w:sz w:val="21"/>
                          </w:rPr>
                        </w:pPr>
                        <w:r>
                          <w:rPr>
                            <w:b/>
                            <w:position w:val="-3"/>
                            <w:sz w:val="21"/>
                          </w:rPr>
                          <w:t>1.</w:t>
                          <w:tab/>
                          <w:t>恶性肿瘤</w:t>
                          <w:tab/>
                        </w:r>
                        <w:r>
                          <w:rPr>
                            <w:sz w:val="21"/>
                          </w:rPr>
                          <w:t>指恶性细胞不受控制的进行性增长和扩散</w:t>
                        </w:r>
                        <w:r>
                          <w:rPr>
                            <w:spacing w:val="-4"/>
                            <w:sz w:val="21"/>
                          </w:rPr>
                          <w:t>，</w:t>
                        </w:r>
                        <w:r>
                          <w:rPr>
                            <w:sz w:val="21"/>
                          </w:rPr>
                          <w:t>浸润和破坏周围正常组织</w:t>
                        </w:r>
                        <w:r>
                          <w:rPr>
                            <w:spacing w:val="-3"/>
                            <w:sz w:val="21"/>
                          </w:rPr>
                          <w:t>，</w:t>
                        </w:r>
                        <w:r>
                          <w:rPr>
                            <w:sz w:val="21"/>
                          </w:rPr>
                          <w:t>可以经血管</w:t>
                        </w:r>
                        <w:r>
                          <w:rPr>
                            <w:spacing w:val="-56"/>
                            <w:sz w:val="21"/>
                          </w:rPr>
                          <w:t>、</w:t>
                        </w:r>
                        <w:r>
                          <w:rPr>
                            <w:sz w:val="21"/>
                          </w:rPr>
                          <w:t>淋巴管和体腔扩散转移到身体其它部位的疾病</w:t>
                        </w:r>
                        <w:r>
                          <w:rPr>
                            <w:spacing w:val="-56"/>
                            <w:sz w:val="21"/>
                          </w:rPr>
                          <w:t>。</w:t>
                        </w:r>
                        <w:r>
                          <w:rPr>
                            <w:sz w:val="21"/>
                          </w:rPr>
                          <w:t>经病理学检查结果明确诊断， 临床诊断属于世界卫生组织《疾病和有关健康问题的国际统计分类</w:t>
                        </w:r>
                        <w:r>
                          <w:rPr>
                            <w:spacing w:val="-105"/>
                            <w:sz w:val="21"/>
                          </w:rPr>
                          <w:t>》</w:t>
                        </w:r>
                        <w:r>
                          <w:rPr>
                            <w:sz w:val="21"/>
                          </w:rPr>
                          <w:t>（ICD-10） </w:t>
                        </w:r>
                        <w:r>
                          <w:rPr>
                            <w:spacing w:val="-1"/>
                            <w:sz w:val="21"/>
                          </w:rPr>
                          <w:t>的恶性肿瘤范畴。</w:t>
                        </w:r>
                      </w:p>
                      <w:p>
                        <w:pPr>
                          <w:pStyle w:val="TableParagraph"/>
                          <w:spacing w:before="8"/>
                          <w:rPr>
                            <w:sz w:val="22"/>
                          </w:rPr>
                        </w:pPr>
                      </w:p>
                      <w:p>
                        <w:pPr>
                          <w:pStyle w:val="TableParagraph"/>
                          <w:spacing w:before="1"/>
                          <w:ind w:left="2618"/>
                          <w:rPr>
                            <w:sz w:val="21"/>
                          </w:rPr>
                        </w:pPr>
                        <w:r>
                          <w:rPr>
                            <w:sz w:val="21"/>
                          </w:rPr>
                          <w:t>下列疾病不在保障范围内：</w:t>
                        </w:r>
                      </w:p>
                      <w:p>
                        <w:pPr>
                          <w:pStyle w:val="TableParagraph"/>
                          <w:spacing w:before="37"/>
                          <w:ind w:left="2618"/>
                          <w:rPr>
                            <w:sz w:val="21"/>
                          </w:rPr>
                        </w:pPr>
                        <w:r>
                          <w:rPr>
                            <w:sz w:val="21"/>
                          </w:rPr>
                          <w:t>（1）原位癌；</w:t>
                        </w:r>
                      </w:p>
                      <w:p>
                        <w:pPr>
                          <w:pStyle w:val="TableParagraph"/>
                          <w:spacing w:before="36"/>
                          <w:ind w:left="2618"/>
                          <w:rPr>
                            <w:sz w:val="21"/>
                          </w:rPr>
                        </w:pPr>
                        <w:r>
                          <w:rPr>
                            <w:sz w:val="21"/>
                          </w:rPr>
                          <w:t>（2）相当于Binet 分期方案 A 期程度的慢性淋巴细胞白血病；</w:t>
                        </w:r>
                      </w:p>
                    </w:tc>
                  </w:tr>
                  <w:tr>
                    <w:trPr>
                      <w:trHeight w:val="663" w:hRule="atLeast"/>
                    </w:trPr>
                    <w:tc>
                      <w:tcPr>
                        <w:tcW w:w="10268" w:type="dxa"/>
                      </w:tcPr>
                      <w:p>
                        <w:pPr>
                          <w:pStyle w:val="TableParagraph"/>
                          <w:spacing w:before="142"/>
                          <w:ind w:left="2618"/>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1744" w:hRule="atLeast"/>
                    </w:trPr>
                    <w:tc>
                      <w:tcPr>
                        <w:tcW w:w="10268" w:type="dxa"/>
                      </w:tcPr>
                      <w:p>
                        <w:pPr>
                          <w:pStyle w:val="TableParagraph"/>
                          <w:rPr>
                            <w:sz w:val="14"/>
                          </w:rPr>
                        </w:pPr>
                      </w:p>
                      <w:p>
                        <w:pPr>
                          <w:pStyle w:val="TableParagraph"/>
                          <w:tabs>
                            <w:tab w:pos="619" w:val="left" w:leader="none"/>
                            <w:tab w:pos="2617" w:val="left" w:leader="none"/>
                          </w:tabs>
                          <w:spacing w:line="237" w:lineRule="auto"/>
                          <w:ind w:left="2618" w:right="304" w:hanging="2418"/>
                          <w:rPr>
                            <w:sz w:val="21"/>
                          </w:rPr>
                        </w:pPr>
                        <w:r>
                          <w:rPr>
                            <w:b/>
                            <w:position w:val="-3"/>
                            <w:sz w:val="21"/>
                          </w:rPr>
                          <w:t>2.</w:t>
                          <w:tab/>
                          <w:t>急性心肌梗塞</w:t>
                          <w:tab/>
                        </w:r>
                        <w:r>
                          <w:rPr>
                            <w:sz w:val="21"/>
                          </w:rPr>
                          <w:t>指因冠状动脉阻塞导致的相应区域供血不足造成部分心肌坏死</w:t>
                        </w:r>
                        <w:r>
                          <w:rPr>
                            <w:spacing w:val="-7"/>
                            <w:sz w:val="21"/>
                          </w:rPr>
                          <w:t>。</w:t>
                        </w:r>
                        <w:r>
                          <w:rPr>
                            <w:sz w:val="21"/>
                          </w:rPr>
                          <w:t>须满足下列至少三项条件：</w:t>
                        </w:r>
                      </w:p>
                      <w:p>
                        <w:pPr>
                          <w:pStyle w:val="TableParagraph"/>
                          <w:spacing w:before="36"/>
                          <w:ind w:left="2618"/>
                          <w:rPr>
                            <w:sz w:val="21"/>
                          </w:rPr>
                        </w:pPr>
                        <w:r>
                          <w:rPr>
                            <w:sz w:val="21"/>
                          </w:rPr>
                          <w:t>（1）典型临床表现，例如急性胸痛等；</w:t>
                        </w:r>
                      </w:p>
                      <w:p>
                        <w:pPr>
                          <w:pStyle w:val="TableParagraph"/>
                          <w:spacing w:before="36"/>
                          <w:ind w:left="2618"/>
                          <w:rPr>
                            <w:sz w:val="21"/>
                          </w:rPr>
                        </w:pPr>
                        <w:r>
                          <w:rPr>
                            <w:sz w:val="21"/>
                          </w:rPr>
                          <w:t>（2）新近的心电图改变提示急性心肌梗塞；</w:t>
                        </w:r>
                      </w:p>
                      <w:p>
                        <w:pPr>
                          <w:pStyle w:val="TableParagraph"/>
                          <w:spacing w:before="36"/>
                          <w:ind w:left="2618"/>
                          <w:rPr>
                            <w:sz w:val="21"/>
                          </w:rPr>
                        </w:pPr>
                        <w:r>
                          <w:rPr>
                            <w:sz w:val="21"/>
                          </w:rPr>
                          <w:t>（3）心肌酶或肌钙蛋白有诊断意义的升高，或呈符合急性心肌梗塞的动态性变</w:t>
                        </w:r>
                      </w:p>
                    </w:tc>
                  </w:tr>
                  <w:tr>
                    <w:trPr>
                      <w:trHeight w:val="799" w:hRule="atLeast"/>
                    </w:trPr>
                    <w:tc>
                      <w:tcPr>
                        <w:tcW w:w="10268" w:type="dxa"/>
                      </w:tcPr>
                      <w:p>
                        <w:pPr>
                          <w:pStyle w:val="TableParagraph"/>
                          <w:spacing w:line="271" w:lineRule="exact"/>
                          <w:ind w:left="3038"/>
                          <w:rPr>
                            <w:sz w:val="21"/>
                          </w:rPr>
                        </w:pPr>
                        <w:r>
                          <w:rPr>
                            <w:sz w:val="21"/>
                          </w:rPr>
                          <w:t>化；</w:t>
                        </w:r>
                      </w:p>
                      <w:p>
                        <w:pPr>
                          <w:pStyle w:val="TableParagraph"/>
                          <w:spacing w:before="16"/>
                          <w:ind w:left="2618"/>
                          <w:rPr>
                            <w:sz w:val="21"/>
                          </w:rPr>
                        </w:pPr>
                        <w:r>
                          <w:rPr>
                            <w:sz w:val="21"/>
                          </w:rPr>
                          <w:t>（4）发病 90 天后，经检查证实左心室功能降低，如左心室射血分数低于 50%。</w:t>
                        </w:r>
                      </w:p>
                    </w:tc>
                  </w:tr>
                  <w:tr>
                    <w:trPr>
                      <w:trHeight w:val="2743" w:hRule="atLeast"/>
                    </w:trPr>
                    <w:tc>
                      <w:tcPr>
                        <w:tcW w:w="10268" w:type="dxa"/>
                      </w:tcPr>
                      <w:p>
                        <w:pPr>
                          <w:pStyle w:val="TableParagraph"/>
                          <w:numPr>
                            <w:ilvl w:val="0"/>
                            <w:numId w:val="7"/>
                          </w:numPr>
                          <w:tabs>
                            <w:tab w:pos="621" w:val="left" w:leader="none"/>
                          </w:tabs>
                          <w:spacing w:line="254" w:lineRule="auto" w:before="171" w:after="0"/>
                          <w:ind w:left="2618" w:right="305" w:hanging="2418"/>
                          <w:jc w:val="both"/>
                          <w:rPr>
                            <w:sz w:val="21"/>
                          </w:rPr>
                        </w:pPr>
                        <w:r>
                          <w:rPr>
                            <w:b/>
                            <w:spacing w:val="7"/>
                            <w:position w:val="-3"/>
                            <w:sz w:val="21"/>
                          </w:rPr>
                          <w:t>脑中风后遗症     </w:t>
                        </w:r>
                        <w:r>
                          <w:rPr>
                            <w:spacing w:val="-2"/>
                            <w:sz w:val="21"/>
                          </w:rPr>
                          <w:t>指因脑血管的突发病变引起脑血管出血、栓塞或梗塞，并导致神经系统永久性功</w:t>
                        </w:r>
                        <w:r>
                          <w:rPr>
                            <w:spacing w:val="-6"/>
                            <w:sz w:val="21"/>
                          </w:rPr>
                          <w:t>能障碍。神经系统永久性的功能障碍，指疾病确诊 </w:t>
                        </w:r>
                        <w:r>
                          <w:rPr>
                            <w:sz w:val="21"/>
                          </w:rPr>
                          <w:t>180</w:t>
                        </w:r>
                        <w:r>
                          <w:rPr>
                            <w:spacing w:val="-8"/>
                            <w:sz w:val="21"/>
                          </w:rPr>
                          <w:t> 天后，仍遗留下列一种或一种以上障碍：</w:t>
                        </w:r>
                      </w:p>
                      <w:p>
                        <w:pPr>
                          <w:pStyle w:val="TableParagraph"/>
                          <w:numPr>
                            <w:ilvl w:val="1"/>
                            <w:numId w:val="7"/>
                          </w:numPr>
                          <w:tabs>
                            <w:tab w:pos="3039" w:val="left" w:leader="none"/>
                          </w:tabs>
                          <w:spacing w:line="240" w:lineRule="auto" w:before="180" w:after="0"/>
                          <w:ind w:left="3038" w:right="0" w:hanging="420"/>
                          <w:jc w:val="left"/>
                          <w:rPr>
                            <w:sz w:val="21"/>
                          </w:rPr>
                        </w:pPr>
                        <w:r>
                          <w:rPr>
                            <w:sz w:val="21"/>
                          </w:rPr>
                          <w:t>一肢或一肢以上</w:t>
                        </w:r>
                        <w:r>
                          <w:rPr>
                            <w:b/>
                            <w:spacing w:val="-1"/>
                            <w:w w:val="99"/>
                            <w:sz w:val="21"/>
                          </w:rPr>
                          <w:t>肢体机能完全丧失</w:t>
                        </w:r>
                        <w:r>
                          <w:rPr>
                            <w:sz w:val="21"/>
                          </w:rPr>
                          <w:t>（</w:t>
                        </w:r>
                        <w:r>
                          <w:rPr>
                            <w:spacing w:val="-27"/>
                            <w:sz w:val="21"/>
                          </w:rPr>
                          <w:t>注 </w:t>
                        </w:r>
                        <w:r>
                          <w:rPr>
                            <w:sz w:val="21"/>
                          </w:rPr>
                          <w:t>2</w:t>
                        </w:r>
                        <w:r>
                          <w:rPr>
                            <w:spacing w:val="-105"/>
                            <w:sz w:val="21"/>
                          </w:rPr>
                          <w:t>）</w:t>
                        </w:r>
                        <w:r>
                          <w:rPr>
                            <w:sz w:val="21"/>
                          </w:rPr>
                          <w:t>；</w:t>
                        </w:r>
                      </w:p>
                      <w:p>
                        <w:pPr>
                          <w:pStyle w:val="TableParagraph"/>
                          <w:spacing w:before="10"/>
                          <w:rPr>
                            <w:sz w:val="14"/>
                          </w:rPr>
                        </w:pPr>
                      </w:p>
                      <w:p>
                        <w:pPr>
                          <w:pStyle w:val="TableParagraph"/>
                          <w:numPr>
                            <w:ilvl w:val="1"/>
                            <w:numId w:val="7"/>
                          </w:numPr>
                          <w:tabs>
                            <w:tab w:pos="3039" w:val="left" w:leader="none"/>
                          </w:tabs>
                          <w:spacing w:line="240" w:lineRule="auto" w:before="0" w:after="0"/>
                          <w:ind w:left="3038" w:right="0" w:hanging="420"/>
                          <w:jc w:val="left"/>
                          <w:rPr>
                            <w:sz w:val="21"/>
                          </w:rPr>
                        </w:pPr>
                        <w:r>
                          <w:rPr>
                            <w:b/>
                            <w:spacing w:val="-1"/>
                            <w:w w:val="99"/>
                            <w:sz w:val="21"/>
                          </w:rPr>
                          <w:t>语言能力或咀嚼吞咽能力完全丧失</w:t>
                        </w:r>
                        <w:r>
                          <w:rPr>
                            <w:sz w:val="21"/>
                          </w:rPr>
                          <w:t>（</w:t>
                        </w:r>
                        <w:r>
                          <w:rPr>
                            <w:spacing w:val="-27"/>
                            <w:sz w:val="21"/>
                          </w:rPr>
                          <w:t>注 </w:t>
                        </w:r>
                        <w:r>
                          <w:rPr>
                            <w:sz w:val="21"/>
                          </w:rPr>
                          <w:t>3</w:t>
                        </w:r>
                        <w:r>
                          <w:rPr>
                            <w:spacing w:val="-27"/>
                            <w:sz w:val="21"/>
                          </w:rPr>
                          <w:t> 和注 </w:t>
                        </w:r>
                        <w:r>
                          <w:rPr>
                            <w:spacing w:val="-1"/>
                            <w:sz w:val="21"/>
                          </w:rPr>
                          <w:t>4</w:t>
                        </w:r>
                        <w:r>
                          <w:rPr>
                            <w:spacing w:val="-105"/>
                            <w:sz w:val="21"/>
                          </w:rPr>
                          <w:t>）</w:t>
                        </w:r>
                        <w:r>
                          <w:rPr>
                            <w:sz w:val="21"/>
                          </w:rPr>
                          <w:t>；</w:t>
                        </w:r>
                      </w:p>
                      <w:p>
                        <w:pPr>
                          <w:pStyle w:val="TableParagraph"/>
                          <w:numPr>
                            <w:ilvl w:val="1"/>
                            <w:numId w:val="7"/>
                          </w:numPr>
                          <w:tabs>
                            <w:tab w:pos="3039" w:val="left" w:leader="none"/>
                          </w:tabs>
                          <w:spacing w:line="310" w:lineRule="atLeast" w:before="158" w:after="0"/>
                          <w:ind w:left="3038" w:right="305" w:hanging="420"/>
                          <w:jc w:val="left"/>
                          <w:rPr>
                            <w:sz w:val="21"/>
                          </w:rPr>
                        </w:pPr>
                        <w:r>
                          <w:rPr>
                            <w:sz w:val="21"/>
                          </w:rPr>
                          <w:t>自主生活能力完全丧失，无法独立完成</w:t>
                        </w:r>
                        <w:r>
                          <w:rPr>
                            <w:b/>
                            <w:sz w:val="21"/>
                          </w:rPr>
                          <w:t>六项基本日常生活活动</w:t>
                        </w:r>
                        <w:r>
                          <w:rPr>
                            <w:sz w:val="21"/>
                          </w:rPr>
                          <w:t>（</w:t>
                        </w:r>
                        <w:r>
                          <w:rPr>
                            <w:spacing w:val="-13"/>
                            <w:sz w:val="21"/>
                          </w:rPr>
                          <w:t>注 </w:t>
                        </w:r>
                        <w:r>
                          <w:rPr>
                            <w:sz w:val="21"/>
                          </w:rPr>
                          <w:t>5）中的三项或三项以上。</w:t>
                        </w:r>
                      </w:p>
                    </w:tc>
                  </w:tr>
                  <w:tr>
                    <w:trPr>
                      <w:trHeight w:val="1363" w:hRule="atLeast"/>
                    </w:trPr>
                    <w:tc>
                      <w:tcPr>
                        <w:tcW w:w="10268" w:type="dxa"/>
                      </w:tcPr>
                      <w:p>
                        <w:pPr>
                          <w:pStyle w:val="TableParagraph"/>
                          <w:spacing w:before="2"/>
                          <w:rPr>
                            <w:sz w:val="45"/>
                          </w:rPr>
                        </w:pPr>
                      </w:p>
                      <w:p>
                        <w:pPr>
                          <w:pStyle w:val="TableParagraph"/>
                          <w:tabs>
                            <w:tab w:pos="619" w:val="left" w:leader="none"/>
                            <w:tab w:pos="2617" w:val="left" w:leader="none"/>
                          </w:tabs>
                          <w:spacing w:line="237" w:lineRule="auto"/>
                          <w:ind w:left="620" w:right="304" w:hanging="420"/>
                          <w:rPr>
                            <w:sz w:val="21"/>
                          </w:rPr>
                        </w:pPr>
                        <w:r>
                          <w:rPr>
                            <w:b/>
                            <w:position w:val="-3"/>
                            <w:sz w:val="21"/>
                          </w:rPr>
                          <w:t>4.</w:t>
                          <w:tab/>
                        </w:r>
                        <w:r>
                          <w:rPr>
                            <w:b/>
                            <w:spacing w:val="30"/>
                            <w:position w:val="-3"/>
                            <w:sz w:val="21"/>
                          </w:rPr>
                          <w:t>重大</w:t>
                        </w:r>
                        <w:r>
                          <w:rPr>
                            <w:b/>
                            <w:spacing w:val="26"/>
                            <w:position w:val="-3"/>
                            <w:sz w:val="21"/>
                          </w:rPr>
                          <w:t>器</w:t>
                        </w:r>
                        <w:r>
                          <w:rPr>
                            <w:b/>
                            <w:spacing w:val="30"/>
                            <w:position w:val="-3"/>
                            <w:sz w:val="21"/>
                          </w:rPr>
                          <w:t>官</w:t>
                        </w:r>
                        <w:r>
                          <w:rPr>
                            <w:b/>
                            <w:spacing w:val="26"/>
                            <w:position w:val="-3"/>
                            <w:sz w:val="21"/>
                          </w:rPr>
                          <w:t>移</w:t>
                        </w:r>
                        <w:r>
                          <w:rPr>
                            <w:b/>
                            <w:spacing w:val="30"/>
                            <w:position w:val="-3"/>
                            <w:sz w:val="21"/>
                          </w:rPr>
                          <w:t>植</w:t>
                        </w:r>
                        <w:r>
                          <w:rPr>
                            <w:b/>
                            <w:spacing w:val="26"/>
                            <w:position w:val="-3"/>
                            <w:sz w:val="21"/>
                          </w:rPr>
                          <w:t>术</w:t>
                        </w:r>
                        <w:r>
                          <w:rPr>
                            <w:b/>
                            <w:position w:val="-3"/>
                            <w:sz w:val="21"/>
                          </w:rPr>
                          <w:t>/</w:t>
                          <w:tab/>
                        </w:r>
                        <w:r>
                          <w:rPr>
                            <w:spacing w:val="-1"/>
                            <w:sz w:val="21"/>
                          </w:rPr>
                          <w:t>重大器官移植</w:t>
                        </w:r>
                        <w:r>
                          <w:rPr>
                            <w:sz w:val="21"/>
                          </w:rPr>
                          <w:t>术，指因相应器官功能衰竭，已经实施了肾脏、肝脏</w:t>
                        </w:r>
                        <w:r>
                          <w:rPr>
                            <w:spacing w:val="-3"/>
                            <w:sz w:val="21"/>
                          </w:rPr>
                          <w:t>、</w:t>
                        </w:r>
                        <w:r>
                          <w:rPr>
                            <w:sz w:val="21"/>
                          </w:rPr>
                          <w:t>心脏或肺脏</w:t>
                        </w:r>
                        <w:r>
                          <w:rPr>
                            <w:b/>
                            <w:position w:val="-11"/>
                            <w:sz w:val="21"/>
                          </w:rPr>
                          <w:t>造血干细胞移植术</w:t>
                          <w:tab/>
                        </w:r>
                        <w:r>
                          <w:rPr>
                            <w:sz w:val="21"/>
                          </w:rPr>
                          <w:t>的异体移植手术。</w:t>
                        </w:r>
                      </w:p>
                    </w:tc>
                  </w:tr>
                  <w:tr>
                    <w:trPr>
                      <w:trHeight w:val="904" w:hRule="atLeast"/>
                    </w:trPr>
                    <w:tc>
                      <w:tcPr>
                        <w:tcW w:w="10268" w:type="dxa"/>
                      </w:tcPr>
                      <w:p>
                        <w:pPr>
                          <w:pStyle w:val="TableParagraph"/>
                          <w:spacing w:line="312" w:lineRule="exact" w:before="1"/>
                          <w:ind w:left="2618" w:right="304"/>
                          <w:jc w:val="both"/>
                          <w:rPr>
                            <w:sz w:val="21"/>
                          </w:rPr>
                        </w:pPr>
                        <w:r>
                          <w:rPr>
                            <w:spacing w:val="-2"/>
                            <w:sz w:val="21"/>
                          </w:rPr>
                          <w:t>造血干细胞移植术，指因造血功能损害或造血系统恶性肿瘤，已经实施了造血干</w:t>
                        </w:r>
                        <w:r>
                          <w:rPr>
                            <w:spacing w:val="-3"/>
                            <w:sz w:val="21"/>
                          </w:rPr>
                          <w:t>细胞</w:t>
                        </w:r>
                        <w:r>
                          <w:rPr>
                            <w:sz w:val="21"/>
                          </w:rPr>
                          <w:t>（</w:t>
                        </w:r>
                        <w:r>
                          <w:rPr>
                            <w:spacing w:val="-1"/>
                            <w:sz w:val="21"/>
                          </w:rPr>
                          <w:t>包括骨髓造血干细胞、外周血造血干细胞和脐血造血干细胞</w:t>
                        </w:r>
                        <w:r>
                          <w:rPr>
                            <w:spacing w:val="-3"/>
                            <w:sz w:val="21"/>
                          </w:rPr>
                          <w:t>）</w:t>
                        </w:r>
                        <w:r>
                          <w:rPr>
                            <w:sz w:val="21"/>
                          </w:rPr>
                          <w:t>的异体移植手术。</w:t>
                        </w:r>
                      </w:p>
                    </w:tc>
                  </w:tr>
                </w:tbl>
                <w:p>
                  <w:pPr>
                    <w:pStyle w:val="BodyText"/>
                  </w:pPr>
                </w:p>
              </w:txbxContent>
            </v:textbox>
            <w10:wrap type="none"/>
          </v:shape>
        </w:pict>
      </w:r>
    </w:p>
    <w:p>
      <w:pPr>
        <w:pStyle w:val="BodyText"/>
        <w:spacing w:line="20" w:lineRule="exact"/>
        <w:ind w:left="3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rPr>
          <w:sz w:val="20"/>
        </w:rPr>
      </w:pPr>
    </w:p>
    <w:p>
      <w:pPr>
        <w:pStyle w:val="BodyText"/>
        <w:spacing w:before="5"/>
      </w:pPr>
    </w:p>
    <w:p>
      <w:pPr>
        <w:spacing w:before="26"/>
        <w:ind w:left="2647" w:right="2337" w:firstLine="0"/>
        <w:jc w:val="center"/>
        <w:rPr>
          <w:b/>
          <w:sz w:val="24"/>
        </w:rPr>
      </w:pPr>
      <w:r>
        <w:rPr>
          <w:b/>
          <w:w w:val="95"/>
          <w:sz w:val="24"/>
        </w:rPr>
        <w:t>附表一：重大疾病说明</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78"/>
        <w:ind w:left="2653" w:right="2337"/>
        <w:jc w:val="center"/>
      </w:pPr>
      <w:r>
        <w:rPr/>
        <w:t>（3）相当于Ann Arbor 分期方案 I 期程度的何杰金氏病；</w:t>
      </w:r>
    </w:p>
    <w:p>
      <w:pPr>
        <w:spacing w:after="0"/>
        <w:jc w:val="center"/>
        <w:sectPr>
          <w:pgSz w:w="11910" w:h="16840"/>
          <w:pgMar w:header="857" w:footer="977" w:top="1040" w:bottom="1180" w:left="880" w:right="540"/>
        </w:sectPr>
      </w:pPr>
    </w:p>
    <w:p>
      <w:pPr>
        <w:pStyle w:val="BodyText"/>
        <w:rPr>
          <w:sz w:val="20"/>
        </w:rPr>
      </w:pPr>
      <w:r>
        <w:rPr/>
        <w:pict>
          <v:shape style="position:absolute;margin-left:49.279999pt;margin-top:55.259998pt;width:513.35pt;height:699.25pt;mso-position-horizontal-relative:page;mso-position-vertical-relative:page;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6"/>
                  </w:tblGrid>
                  <w:tr>
                    <w:trPr>
                      <w:trHeight w:val="697" w:hRule="atLeast"/>
                    </w:trPr>
                    <w:tc>
                      <w:tcPr>
                        <w:tcW w:w="10266" w:type="dxa"/>
                        <w:tcBorders>
                          <w:top w:val="single" w:sz="6" w:space="0" w:color="000000"/>
                        </w:tcBorders>
                      </w:tcPr>
                      <w:p>
                        <w:pPr>
                          <w:pStyle w:val="TableParagraph"/>
                          <w:spacing w:before="8"/>
                          <w:rPr>
                            <w:sz w:val="21"/>
                          </w:rPr>
                        </w:pPr>
                      </w:p>
                      <w:p>
                        <w:pPr>
                          <w:pStyle w:val="TableParagraph"/>
                          <w:tabs>
                            <w:tab w:pos="619" w:val="left" w:leader="none"/>
                            <w:tab w:pos="2617" w:val="left" w:leader="none"/>
                          </w:tabs>
                          <w:spacing w:before="1"/>
                          <w:ind w:left="200"/>
                          <w:rPr>
                            <w:sz w:val="21"/>
                          </w:rPr>
                        </w:pPr>
                        <w:r>
                          <w:rPr>
                            <w:b/>
                            <w:position w:val="-3"/>
                            <w:sz w:val="21"/>
                          </w:rPr>
                          <w:t>5.</w:t>
                          <w:tab/>
                          <w:t>冠状动脉搭桥术</w:t>
                          <w:tab/>
                        </w:r>
                        <w:r>
                          <w:rPr>
                            <w:sz w:val="21"/>
                          </w:rPr>
                          <w:t>指为治疗严重的冠心病，实际实施了开胸进行的冠状动脉血管旁路移植的手术。</w:t>
                        </w:r>
                      </w:p>
                    </w:tc>
                  </w:tr>
                  <w:tr>
                    <w:trPr>
                      <w:trHeight w:val="895" w:hRule="atLeast"/>
                    </w:trPr>
                    <w:tc>
                      <w:tcPr>
                        <w:tcW w:w="10266" w:type="dxa"/>
                      </w:tcPr>
                      <w:p>
                        <w:pPr>
                          <w:pStyle w:val="TableParagraph"/>
                          <w:spacing w:line="237" w:lineRule="auto" w:before="37"/>
                          <w:ind w:left="2618" w:right="272"/>
                          <w:rPr>
                            <w:sz w:val="21"/>
                          </w:rPr>
                        </w:pPr>
                        <w:r>
                          <w:rPr>
                            <w:sz w:val="21"/>
                          </w:rPr>
                          <w:t>冠状动脉支架植入术、心导管球囊扩张术、激光射频技术及其它非开胸的介入手术、腔镜手术不在保障范围内。</w:t>
                        </w:r>
                      </w:p>
                    </w:tc>
                  </w:tr>
                  <w:tr>
                    <w:trPr>
                      <w:trHeight w:val="1160" w:hRule="atLeast"/>
                    </w:trPr>
                    <w:tc>
                      <w:tcPr>
                        <w:tcW w:w="10266" w:type="dxa"/>
                      </w:tcPr>
                      <w:p>
                        <w:pPr>
                          <w:pStyle w:val="TableParagraph"/>
                          <w:spacing w:before="3"/>
                          <w:rPr>
                            <w:sz w:val="19"/>
                          </w:rPr>
                        </w:pPr>
                      </w:p>
                      <w:p>
                        <w:pPr>
                          <w:pStyle w:val="TableParagraph"/>
                          <w:tabs>
                            <w:tab w:pos="619" w:val="left" w:leader="none"/>
                            <w:tab w:pos="2617" w:val="left" w:leader="none"/>
                          </w:tabs>
                          <w:spacing w:line="237" w:lineRule="auto"/>
                          <w:ind w:left="2618" w:right="300" w:hanging="2418"/>
                          <w:rPr>
                            <w:sz w:val="21"/>
                          </w:rPr>
                        </w:pPr>
                        <w:r>
                          <w:rPr>
                            <w:b/>
                            <w:position w:val="-3"/>
                            <w:sz w:val="21"/>
                          </w:rPr>
                          <w:t>6.</w:t>
                          <w:tab/>
                          <w:t>终末期肾病</w:t>
                          <w:tab/>
                        </w:r>
                        <w:r>
                          <w:rPr>
                            <w:sz w:val="21"/>
                          </w:rPr>
                          <w:t>指双肾功能慢性不可逆性衰竭，达到尿毒症期，经诊断后已经进行了至少</w:t>
                        </w:r>
                        <w:r>
                          <w:rPr>
                            <w:spacing w:val="-4"/>
                            <w:sz w:val="21"/>
                          </w:rPr>
                          <w:t> </w:t>
                        </w:r>
                        <w:r>
                          <w:rPr>
                            <w:sz w:val="21"/>
                          </w:rPr>
                          <w:t>90</w:t>
                        </w:r>
                        <w:r>
                          <w:rPr>
                            <w:spacing w:val="-3"/>
                            <w:sz w:val="21"/>
                          </w:rPr>
                          <w:t> </w:t>
                        </w:r>
                        <w:r>
                          <w:rPr>
                            <w:sz w:val="21"/>
                          </w:rPr>
                          <w:t>天的规律性透析治疗或实施了肾脏移植手术。</w:t>
                        </w:r>
                      </w:p>
                    </w:tc>
                  </w:tr>
                  <w:tr>
                    <w:trPr>
                      <w:trHeight w:val="1169" w:hRule="atLeast"/>
                    </w:trPr>
                    <w:tc>
                      <w:tcPr>
                        <w:tcW w:w="10266" w:type="dxa"/>
                      </w:tcPr>
                      <w:p>
                        <w:pPr>
                          <w:pStyle w:val="TableParagraph"/>
                          <w:spacing w:before="12"/>
                          <w:rPr>
                            <w:sz w:val="19"/>
                          </w:rPr>
                        </w:pPr>
                      </w:p>
                      <w:p>
                        <w:pPr>
                          <w:pStyle w:val="TableParagraph"/>
                          <w:tabs>
                            <w:tab w:pos="619" w:val="left" w:leader="none"/>
                            <w:tab w:pos="2617" w:val="left" w:leader="none"/>
                          </w:tabs>
                          <w:spacing w:line="237" w:lineRule="auto" w:before="1"/>
                          <w:ind w:left="2618" w:right="302" w:hanging="2418"/>
                          <w:rPr>
                            <w:sz w:val="21"/>
                          </w:rPr>
                        </w:pPr>
                        <w:r>
                          <w:rPr>
                            <w:b/>
                            <w:position w:val="-3"/>
                            <w:sz w:val="21"/>
                          </w:rPr>
                          <w:t>7.</w:t>
                          <w:tab/>
                          <w:t>多个肢体缺失</w:t>
                          <w:tab/>
                        </w:r>
                        <w:r>
                          <w:rPr>
                            <w:sz w:val="21"/>
                          </w:rPr>
                          <w:t>指因疾病或意外伤害导致两个或两个以上肢体自腕关节或踝关节近</w:t>
                        </w:r>
                        <w:r>
                          <w:rPr>
                            <w:spacing w:val="-7"/>
                            <w:sz w:val="21"/>
                          </w:rPr>
                          <w:t>端</w:t>
                        </w:r>
                        <w:r>
                          <w:rPr>
                            <w:sz w:val="21"/>
                          </w:rPr>
                          <w:t>（靠近躯干端）以上完全性断离。</w:t>
                        </w:r>
                      </w:p>
                    </w:tc>
                  </w:tr>
                  <w:tr>
                    <w:trPr>
                      <w:trHeight w:val="1666" w:hRule="atLeast"/>
                    </w:trPr>
                    <w:tc>
                      <w:tcPr>
                        <w:tcW w:w="10266" w:type="dxa"/>
                      </w:tcPr>
                      <w:p>
                        <w:pPr>
                          <w:pStyle w:val="TableParagraph"/>
                          <w:tabs>
                            <w:tab w:pos="619" w:val="left" w:leader="none"/>
                            <w:tab w:pos="2617" w:val="left" w:leader="none"/>
                          </w:tabs>
                          <w:spacing w:line="237" w:lineRule="auto" w:before="261"/>
                          <w:ind w:left="620" w:right="303" w:hanging="420"/>
                          <w:rPr>
                            <w:sz w:val="21"/>
                          </w:rPr>
                        </w:pPr>
                        <w:r>
                          <w:rPr>
                            <w:b/>
                            <w:position w:val="-3"/>
                            <w:sz w:val="21"/>
                          </w:rPr>
                          <w:t>8.</w:t>
                          <w:tab/>
                        </w:r>
                        <w:r>
                          <w:rPr>
                            <w:b/>
                            <w:spacing w:val="12"/>
                            <w:position w:val="-3"/>
                            <w:sz w:val="21"/>
                          </w:rPr>
                          <w:t>急性或亚急性重</w:t>
                        </w:r>
                        <w:r>
                          <w:rPr>
                            <w:b/>
                            <w:position w:val="-3"/>
                            <w:sz w:val="21"/>
                          </w:rPr>
                          <w:t>症</w:t>
                          <w:tab/>
                        </w:r>
                        <w:r>
                          <w:rPr>
                            <w:spacing w:val="-1"/>
                            <w:sz w:val="21"/>
                          </w:rPr>
                          <w:t>指因</w:t>
                        </w:r>
                        <w:r>
                          <w:rPr>
                            <w:sz w:val="21"/>
                          </w:rPr>
                          <w:t>肝炎病毒感染引起肝组织弥漫性坏死</w:t>
                        </w:r>
                        <w:r>
                          <w:rPr>
                            <w:spacing w:val="-4"/>
                            <w:sz w:val="21"/>
                          </w:rPr>
                          <w:t>，</w:t>
                        </w:r>
                        <w:r>
                          <w:rPr>
                            <w:sz w:val="21"/>
                          </w:rPr>
                          <w:t>导致急性肝功能衰竭</w:t>
                        </w:r>
                        <w:r>
                          <w:rPr>
                            <w:spacing w:val="-3"/>
                            <w:sz w:val="21"/>
                          </w:rPr>
                          <w:t>，</w:t>
                        </w:r>
                        <w:r>
                          <w:rPr>
                            <w:sz w:val="21"/>
                          </w:rPr>
                          <w:t>且经血清学或</w:t>
                        </w:r>
                        <w:r>
                          <w:rPr>
                            <w:b/>
                            <w:position w:val="-11"/>
                            <w:sz w:val="21"/>
                          </w:rPr>
                          <w:t>肝炎</w:t>
                          <w:tab/>
                        </w:r>
                        <w:r>
                          <w:rPr>
                            <w:sz w:val="21"/>
                          </w:rPr>
                          <w:t>病毒学检查证实，并须满足下列全部条件：</w:t>
                        </w:r>
                      </w:p>
                      <w:p>
                        <w:pPr>
                          <w:pStyle w:val="TableParagraph"/>
                          <w:spacing w:line="193" w:lineRule="exact"/>
                          <w:ind w:left="2618"/>
                          <w:rPr>
                            <w:sz w:val="21"/>
                          </w:rPr>
                        </w:pPr>
                        <w:r>
                          <w:rPr>
                            <w:sz w:val="21"/>
                          </w:rPr>
                          <w:t>（1）重度黄疸或黄疸迅速加重；</w:t>
                        </w:r>
                      </w:p>
                      <w:p>
                        <w:pPr>
                          <w:pStyle w:val="TableParagraph"/>
                          <w:spacing w:before="37"/>
                          <w:ind w:left="2618"/>
                          <w:rPr>
                            <w:sz w:val="21"/>
                          </w:rPr>
                        </w:pPr>
                        <w:r>
                          <w:rPr>
                            <w:sz w:val="21"/>
                          </w:rPr>
                          <w:t>（2）肝性脑病；</w:t>
                        </w:r>
                      </w:p>
                    </w:tc>
                  </w:tr>
                  <w:tr>
                    <w:trPr>
                      <w:trHeight w:val="642" w:hRule="atLeast"/>
                    </w:trPr>
                    <w:tc>
                      <w:tcPr>
                        <w:tcW w:w="10266" w:type="dxa"/>
                      </w:tcPr>
                      <w:p>
                        <w:pPr>
                          <w:pStyle w:val="TableParagraph"/>
                          <w:spacing w:before="132"/>
                          <w:ind w:left="2618"/>
                          <w:rPr>
                            <w:sz w:val="21"/>
                          </w:rPr>
                        </w:pPr>
                        <w:r>
                          <w:rPr>
                            <w:sz w:val="21"/>
                          </w:rPr>
                          <w:t>（4）肝功能指标进行性恶化。</w:t>
                        </w:r>
                      </w:p>
                    </w:tc>
                  </w:tr>
                  <w:tr>
                    <w:trPr>
                      <w:trHeight w:val="1968" w:hRule="atLeast"/>
                    </w:trPr>
                    <w:tc>
                      <w:tcPr>
                        <w:tcW w:w="10266" w:type="dxa"/>
                      </w:tcPr>
                      <w:p>
                        <w:pPr>
                          <w:pStyle w:val="TableParagraph"/>
                          <w:tabs>
                            <w:tab w:pos="619" w:val="left" w:leader="none"/>
                            <w:tab w:pos="2617" w:val="left" w:leader="none"/>
                          </w:tabs>
                          <w:spacing w:line="237" w:lineRule="auto" w:before="173"/>
                          <w:ind w:left="2618" w:right="197" w:hanging="2418"/>
                          <w:rPr>
                            <w:sz w:val="21"/>
                          </w:rPr>
                        </w:pPr>
                        <w:r>
                          <w:rPr>
                            <w:b/>
                            <w:position w:val="-3"/>
                            <w:sz w:val="21"/>
                          </w:rPr>
                          <w:t>9.</w:t>
                          <w:tab/>
                          <w:t>良性脑肿瘤</w:t>
                          <w:tab/>
                        </w:r>
                        <w:r>
                          <w:rPr>
                            <w:sz w:val="21"/>
                          </w:rPr>
                          <w:t>指脑的良性肿瘤</w:t>
                        </w:r>
                        <w:r>
                          <w:rPr>
                            <w:spacing w:val="-38"/>
                            <w:sz w:val="21"/>
                          </w:rPr>
                          <w:t>，</w:t>
                        </w:r>
                        <w:r>
                          <w:rPr>
                            <w:sz w:val="21"/>
                          </w:rPr>
                          <w:t>已经引起颅内压增高</w:t>
                        </w:r>
                        <w:r>
                          <w:rPr>
                            <w:spacing w:val="-38"/>
                            <w:sz w:val="21"/>
                          </w:rPr>
                          <w:t>，</w:t>
                        </w:r>
                        <w:r>
                          <w:rPr>
                            <w:sz w:val="21"/>
                          </w:rPr>
                          <w:t>临床表现为视神经乳头水肿</w:t>
                        </w:r>
                        <w:r>
                          <w:rPr>
                            <w:spacing w:val="-38"/>
                            <w:sz w:val="21"/>
                          </w:rPr>
                          <w:t>、</w:t>
                        </w:r>
                        <w:r>
                          <w:rPr>
                            <w:sz w:val="21"/>
                          </w:rPr>
                          <w:t>精神症状、</w:t>
                        </w:r>
                        <w:r>
                          <w:rPr>
                            <w:spacing w:val="1"/>
                            <w:sz w:val="21"/>
                          </w:rPr>
                          <w:t>癫痫</w:t>
                        </w:r>
                        <w:r>
                          <w:rPr>
                            <w:spacing w:val="2"/>
                            <w:sz w:val="21"/>
                          </w:rPr>
                          <w:t>及</w:t>
                        </w:r>
                        <w:r>
                          <w:rPr>
                            <w:spacing w:val="1"/>
                            <w:sz w:val="21"/>
                          </w:rPr>
                          <w:t>运</w:t>
                        </w:r>
                        <w:r>
                          <w:rPr>
                            <w:spacing w:val="2"/>
                            <w:sz w:val="21"/>
                          </w:rPr>
                          <w:t>动</w:t>
                        </w:r>
                        <w:r>
                          <w:rPr>
                            <w:spacing w:val="1"/>
                            <w:sz w:val="21"/>
                          </w:rPr>
                          <w:t>感觉</w:t>
                        </w:r>
                        <w:r>
                          <w:rPr>
                            <w:spacing w:val="2"/>
                            <w:sz w:val="21"/>
                          </w:rPr>
                          <w:t>障</w:t>
                        </w:r>
                        <w:r>
                          <w:rPr>
                            <w:spacing w:val="1"/>
                            <w:sz w:val="21"/>
                          </w:rPr>
                          <w:t>碍</w:t>
                        </w:r>
                        <w:r>
                          <w:rPr>
                            <w:spacing w:val="2"/>
                            <w:sz w:val="21"/>
                          </w:rPr>
                          <w:t>等</w:t>
                        </w:r>
                        <w:r>
                          <w:rPr>
                            <w:spacing w:val="1"/>
                            <w:sz w:val="21"/>
                          </w:rPr>
                          <w:t>，并</w:t>
                        </w:r>
                        <w:r>
                          <w:rPr>
                            <w:spacing w:val="2"/>
                            <w:sz w:val="21"/>
                          </w:rPr>
                          <w:t>危</w:t>
                        </w:r>
                        <w:r>
                          <w:rPr>
                            <w:spacing w:val="1"/>
                            <w:sz w:val="21"/>
                          </w:rPr>
                          <w:t>及</w:t>
                        </w:r>
                        <w:r>
                          <w:rPr>
                            <w:spacing w:val="2"/>
                            <w:sz w:val="21"/>
                          </w:rPr>
                          <w:t>生</w:t>
                        </w:r>
                        <w:r>
                          <w:rPr>
                            <w:spacing w:val="1"/>
                            <w:sz w:val="21"/>
                          </w:rPr>
                          <w:t>命。</w:t>
                        </w:r>
                        <w:r>
                          <w:rPr>
                            <w:spacing w:val="2"/>
                            <w:sz w:val="21"/>
                          </w:rPr>
                          <w:t>须</w:t>
                        </w:r>
                        <w:r>
                          <w:rPr>
                            <w:spacing w:val="1"/>
                            <w:sz w:val="21"/>
                          </w:rPr>
                          <w:t>由</w:t>
                        </w:r>
                        <w:r>
                          <w:rPr>
                            <w:spacing w:val="2"/>
                            <w:sz w:val="21"/>
                          </w:rPr>
                          <w:t>头</w:t>
                        </w:r>
                        <w:r>
                          <w:rPr>
                            <w:spacing w:val="1"/>
                            <w:sz w:val="21"/>
                          </w:rPr>
                          <w:t>颅断</w:t>
                        </w:r>
                        <w:r>
                          <w:rPr>
                            <w:spacing w:val="2"/>
                            <w:sz w:val="21"/>
                          </w:rPr>
                          <w:t>层</w:t>
                        </w:r>
                        <w:r>
                          <w:rPr>
                            <w:spacing w:val="1"/>
                            <w:sz w:val="21"/>
                          </w:rPr>
                          <w:t>扫</w:t>
                        </w:r>
                        <w:r>
                          <w:rPr>
                            <w:spacing w:val="2"/>
                            <w:sz w:val="21"/>
                          </w:rPr>
                          <w:t>描</w:t>
                        </w:r>
                        <w:r>
                          <w:rPr>
                            <w:spacing w:val="1"/>
                            <w:sz w:val="21"/>
                          </w:rPr>
                          <w:t>（</w:t>
                        </w:r>
                        <w:r>
                          <w:rPr>
                            <w:sz w:val="21"/>
                          </w:rPr>
                          <w:t>C</w:t>
                        </w:r>
                        <w:r>
                          <w:rPr>
                            <w:spacing w:val="1"/>
                            <w:sz w:val="21"/>
                          </w:rPr>
                          <w:t>T</w:t>
                        </w:r>
                        <w:r>
                          <w:rPr>
                            <w:spacing w:val="-101"/>
                            <w:sz w:val="21"/>
                          </w:rPr>
                          <w:t>）</w:t>
                        </w:r>
                        <w:r>
                          <w:rPr>
                            <w:spacing w:val="1"/>
                            <w:sz w:val="21"/>
                          </w:rPr>
                          <w:t>、核</w:t>
                        </w:r>
                        <w:r>
                          <w:rPr>
                            <w:spacing w:val="2"/>
                            <w:sz w:val="21"/>
                          </w:rPr>
                          <w:t>磁</w:t>
                        </w:r>
                        <w:r>
                          <w:rPr>
                            <w:spacing w:val="1"/>
                            <w:sz w:val="21"/>
                          </w:rPr>
                          <w:t>共振检查</w:t>
                        </w:r>
                      </w:p>
                      <w:p>
                        <w:pPr>
                          <w:pStyle w:val="TableParagraph"/>
                          <w:spacing w:line="273" w:lineRule="auto" w:before="37"/>
                          <w:ind w:left="2618" w:right="260"/>
                          <w:rPr>
                            <w:sz w:val="21"/>
                          </w:rPr>
                        </w:pPr>
                        <w:r>
                          <w:rPr>
                            <w:sz w:val="21"/>
                          </w:rPr>
                          <w:t>（MRI）或正电子发射断层扫描（PET）等影像学检查证实，并须满足下列至少一项条件：</w:t>
                        </w:r>
                      </w:p>
                      <w:p>
                        <w:pPr>
                          <w:pStyle w:val="TableParagraph"/>
                          <w:spacing w:before="7"/>
                          <w:ind w:left="2618"/>
                          <w:rPr>
                            <w:sz w:val="21"/>
                          </w:rPr>
                        </w:pPr>
                        <w:r>
                          <w:rPr>
                            <w:sz w:val="21"/>
                          </w:rPr>
                          <w:t>（1）实际实施了开颅进行的脑肿瘤完全切除或部分切除的手术；</w:t>
                        </w:r>
                      </w:p>
                      <w:p>
                        <w:pPr>
                          <w:pStyle w:val="TableParagraph"/>
                          <w:spacing w:line="218" w:lineRule="exact" w:before="36"/>
                          <w:ind w:left="2618"/>
                          <w:rPr>
                            <w:sz w:val="21"/>
                          </w:rPr>
                        </w:pPr>
                        <w:r>
                          <w:rPr>
                            <w:sz w:val="21"/>
                          </w:rPr>
                          <w:t>（2）实际实施了对脑肿瘤进行的放射治疗。</w:t>
                        </w:r>
                      </w:p>
                    </w:tc>
                  </w:tr>
                  <w:tr>
                    <w:trPr>
                      <w:trHeight w:val="721" w:hRule="atLeast"/>
                    </w:trPr>
                    <w:tc>
                      <w:tcPr>
                        <w:tcW w:w="10266" w:type="dxa"/>
                      </w:tcPr>
                      <w:p>
                        <w:pPr>
                          <w:pStyle w:val="TableParagraph"/>
                          <w:rPr>
                            <w:sz w:val="16"/>
                          </w:rPr>
                        </w:pPr>
                      </w:p>
                      <w:p>
                        <w:pPr>
                          <w:pStyle w:val="TableParagraph"/>
                          <w:ind w:left="2618"/>
                          <w:rPr>
                            <w:sz w:val="21"/>
                          </w:rPr>
                        </w:pPr>
                        <w:r>
                          <w:rPr>
                            <w:sz w:val="21"/>
                          </w:rPr>
                          <w:t>脑垂体瘤、脑囊肿、脑血管性疾病不在保障范围内。</w:t>
                        </w:r>
                      </w:p>
                    </w:tc>
                  </w:tr>
                  <w:tr>
                    <w:trPr>
                      <w:trHeight w:val="1657" w:hRule="atLeast"/>
                    </w:trPr>
                    <w:tc>
                      <w:tcPr>
                        <w:tcW w:w="10266" w:type="dxa"/>
                      </w:tcPr>
                      <w:p>
                        <w:pPr>
                          <w:pStyle w:val="TableParagraph"/>
                          <w:tabs>
                            <w:tab w:pos="2617" w:val="left" w:leader="none"/>
                          </w:tabs>
                          <w:spacing w:line="237" w:lineRule="auto" w:before="174"/>
                          <w:ind w:left="620" w:right="2185" w:hanging="420"/>
                          <w:rPr>
                            <w:sz w:val="21"/>
                          </w:rPr>
                        </w:pPr>
                        <w:r>
                          <w:rPr>
                            <w:b/>
                            <w:position w:val="-3"/>
                            <w:sz w:val="21"/>
                          </w:rPr>
                          <w:t>10.</w:t>
                        </w:r>
                        <w:r>
                          <w:rPr>
                            <w:b/>
                            <w:spacing w:val="-5"/>
                            <w:position w:val="-3"/>
                            <w:sz w:val="21"/>
                          </w:rPr>
                          <w:t> </w:t>
                        </w:r>
                        <w:r>
                          <w:rPr>
                            <w:b/>
                            <w:spacing w:val="12"/>
                            <w:position w:val="-3"/>
                            <w:sz w:val="21"/>
                          </w:rPr>
                          <w:t>慢性肝功能衰竭</w:t>
                        </w:r>
                        <w:r>
                          <w:rPr>
                            <w:b/>
                            <w:position w:val="-3"/>
                            <w:sz w:val="21"/>
                          </w:rPr>
                          <w:t>失</w:t>
                          <w:tab/>
                        </w:r>
                        <w:r>
                          <w:rPr>
                            <w:sz w:val="21"/>
                          </w:rPr>
                          <w:t>指因慢性肝脏疾病导致肝功能衰竭。须满足下列全部条件：</w:t>
                        </w:r>
                        <w:r>
                          <w:rPr>
                            <w:b/>
                            <w:position w:val="-11"/>
                            <w:sz w:val="21"/>
                          </w:rPr>
                          <w:t>代偿期</w:t>
                          <w:tab/>
                        </w:r>
                        <w:r>
                          <w:rPr>
                            <w:spacing w:val="-1"/>
                            <w:sz w:val="21"/>
                          </w:rPr>
                          <w:t>（1）</w:t>
                        </w:r>
                        <w:r>
                          <w:rPr>
                            <w:sz w:val="21"/>
                          </w:rPr>
                          <w:t>持续性黄疸；</w:t>
                        </w:r>
                      </w:p>
                      <w:p>
                        <w:pPr>
                          <w:pStyle w:val="TableParagraph"/>
                          <w:spacing w:line="193" w:lineRule="exact"/>
                          <w:ind w:left="2618"/>
                          <w:rPr>
                            <w:sz w:val="21"/>
                          </w:rPr>
                        </w:pPr>
                        <w:r>
                          <w:rPr>
                            <w:sz w:val="21"/>
                          </w:rPr>
                          <w:t>（2）腹水；</w:t>
                        </w:r>
                      </w:p>
                      <w:p>
                        <w:pPr>
                          <w:pStyle w:val="TableParagraph"/>
                          <w:spacing w:before="37"/>
                          <w:ind w:left="2618"/>
                          <w:rPr>
                            <w:sz w:val="21"/>
                          </w:rPr>
                        </w:pPr>
                        <w:r>
                          <w:rPr>
                            <w:sz w:val="21"/>
                          </w:rPr>
                          <w:t>（3）肝性脑病；</w:t>
                        </w:r>
                      </w:p>
                      <w:p>
                        <w:pPr>
                          <w:pStyle w:val="TableParagraph"/>
                          <w:spacing w:line="218" w:lineRule="exact" w:before="37"/>
                          <w:ind w:left="2618"/>
                          <w:rPr>
                            <w:sz w:val="21"/>
                          </w:rPr>
                        </w:pPr>
                        <w:r>
                          <w:rPr>
                            <w:sz w:val="21"/>
                          </w:rPr>
                          <w:t>（4）充血性脾大伴脾功能亢进或食管胃底静脉曲张。</w:t>
                        </w:r>
                      </w:p>
                    </w:tc>
                  </w:tr>
                  <w:tr>
                    <w:trPr>
                      <w:trHeight w:val="721" w:hRule="atLeast"/>
                    </w:trPr>
                    <w:tc>
                      <w:tcPr>
                        <w:tcW w:w="10266" w:type="dxa"/>
                      </w:tcPr>
                      <w:p>
                        <w:pPr>
                          <w:pStyle w:val="TableParagraph"/>
                          <w:rPr>
                            <w:sz w:val="16"/>
                          </w:rPr>
                        </w:pPr>
                      </w:p>
                      <w:p>
                        <w:pPr>
                          <w:pStyle w:val="TableParagraph"/>
                          <w:ind w:left="2618"/>
                          <w:rPr>
                            <w:sz w:val="21"/>
                          </w:rPr>
                        </w:pPr>
                        <w:r>
                          <w:rPr>
                            <w:sz w:val="21"/>
                          </w:rPr>
                          <w:t>因酗酒或药物滥用导致的肝功能衰竭不在保障范围内。</w:t>
                        </w:r>
                      </w:p>
                    </w:tc>
                  </w:tr>
                  <w:tr>
                    <w:trPr>
                      <w:trHeight w:val="1267" w:hRule="atLeast"/>
                    </w:trPr>
                    <w:tc>
                      <w:tcPr>
                        <w:tcW w:w="10266" w:type="dxa"/>
                      </w:tcPr>
                      <w:p>
                        <w:pPr>
                          <w:pStyle w:val="TableParagraph"/>
                          <w:tabs>
                            <w:tab w:pos="2617" w:val="left" w:leader="none"/>
                          </w:tabs>
                          <w:spacing w:line="237" w:lineRule="auto" w:before="174"/>
                          <w:ind w:left="620" w:right="302" w:hanging="420"/>
                          <w:rPr>
                            <w:sz w:val="21"/>
                          </w:rPr>
                        </w:pPr>
                        <w:r>
                          <w:rPr>
                            <w:b/>
                            <w:position w:val="-3"/>
                            <w:sz w:val="21"/>
                          </w:rPr>
                          <w:t>11.</w:t>
                        </w:r>
                        <w:r>
                          <w:rPr>
                            <w:b/>
                            <w:spacing w:val="-5"/>
                            <w:position w:val="-3"/>
                            <w:sz w:val="21"/>
                          </w:rPr>
                          <w:t> </w:t>
                        </w:r>
                        <w:r>
                          <w:rPr>
                            <w:b/>
                            <w:spacing w:val="12"/>
                            <w:position w:val="-3"/>
                            <w:sz w:val="21"/>
                          </w:rPr>
                          <w:t>脑炎后遗症或脑</w:t>
                        </w:r>
                        <w:r>
                          <w:rPr>
                            <w:b/>
                            <w:position w:val="-3"/>
                            <w:sz w:val="21"/>
                          </w:rPr>
                          <w:t>膜</w:t>
                          <w:tab/>
                        </w:r>
                        <w:r>
                          <w:rPr>
                            <w:sz w:val="21"/>
                          </w:rPr>
                          <w:t>指因患脑炎或脑膜炎导致的神经系统永久性的功能障碍</w:t>
                        </w:r>
                        <w:r>
                          <w:rPr>
                            <w:spacing w:val="-7"/>
                            <w:sz w:val="21"/>
                          </w:rPr>
                          <w:t>。</w:t>
                        </w:r>
                        <w:r>
                          <w:rPr>
                            <w:sz w:val="21"/>
                          </w:rPr>
                          <w:t>神经系统永久性的功能</w:t>
                        </w:r>
                        <w:r>
                          <w:rPr>
                            <w:b/>
                            <w:position w:val="-11"/>
                            <w:sz w:val="21"/>
                          </w:rPr>
                          <w:t>炎后遗症</w:t>
                          <w:tab/>
                        </w:r>
                        <w:r>
                          <w:rPr>
                            <w:sz w:val="21"/>
                          </w:rPr>
                          <w:t>障碍，指疾病确诊</w:t>
                        </w:r>
                        <w:r>
                          <w:rPr>
                            <w:spacing w:val="-53"/>
                            <w:sz w:val="21"/>
                          </w:rPr>
                          <w:t> </w:t>
                        </w:r>
                        <w:r>
                          <w:rPr>
                            <w:sz w:val="21"/>
                          </w:rPr>
                          <w:t>180</w:t>
                        </w:r>
                        <w:r>
                          <w:rPr>
                            <w:spacing w:val="-53"/>
                            <w:sz w:val="21"/>
                          </w:rPr>
                          <w:t> </w:t>
                        </w:r>
                        <w:r>
                          <w:rPr>
                            <w:sz w:val="21"/>
                          </w:rPr>
                          <w:t>天后，仍遗留下列一种或一种以上障碍：</w:t>
                        </w:r>
                      </w:p>
                      <w:p>
                        <w:pPr>
                          <w:pStyle w:val="TableParagraph"/>
                          <w:spacing w:line="193" w:lineRule="exact"/>
                          <w:ind w:left="2619"/>
                          <w:rPr>
                            <w:sz w:val="21"/>
                          </w:rPr>
                        </w:pPr>
                        <w:r>
                          <w:rPr>
                            <w:sz w:val="21"/>
                          </w:rPr>
                          <w:t>（1）一肢或一肢以上肢体机能完全丧失；</w:t>
                        </w:r>
                      </w:p>
                    </w:tc>
                  </w:tr>
                  <w:tr>
                    <w:trPr>
                      <w:trHeight w:val="935" w:hRule="atLeast"/>
                    </w:trPr>
                    <w:tc>
                      <w:tcPr>
                        <w:tcW w:w="10266" w:type="dxa"/>
                      </w:tcPr>
                      <w:p>
                        <w:pPr>
                          <w:pStyle w:val="TableParagraph"/>
                          <w:spacing w:line="237" w:lineRule="auto" w:before="134"/>
                          <w:ind w:left="3038" w:right="325" w:hanging="420"/>
                          <w:rPr>
                            <w:sz w:val="21"/>
                          </w:rPr>
                        </w:pPr>
                        <w:r>
                          <w:rPr>
                            <w:sz w:val="21"/>
                          </w:rPr>
                          <w:t>（3）自主生活能力完全丧失，无法独立完成六项基本日常生活活动中的三项或三项以上。</w:t>
                        </w:r>
                      </w:p>
                    </w:tc>
                  </w:tr>
                  <w:tr>
                    <w:trPr>
                      <w:trHeight w:val="466" w:hRule="atLeast"/>
                    </w:trPr>
                    <w:tc>
                      <w:tcPr>
                        <w:tcW w:w="10266" w:type="dxa"/>
                      </w:tcPr>
                      <w:p>
                        <w:pPr>
                          <w:pStyle w:val="TableParagraph"/>
                          <w:tabs>
                            <w:tab w:pos="2617" w:val="left" w:leader="none"/>
                          </w:tabs>
                          <w:spacing w:line="294" w:lineRule="exact" w:before="152"/>
                          <w:ind w:left="200"/>
                          <w:rPr>
                            <w:sz w:val="21"/>
                          </w:rPr>
                        </w:pPr>
                        <w:r>
                          <w:rPr>
                            <w:b/>
                            <w:position w:val="-3"/>
                            <w:sz w:val="21"/>
                          </w:rPr>
                          <w:t>12.</w:t>
                        </w:r>
                        <w:r>
                          <w:rPr>
                            <w:b/>
                            <w:spacing w:val="-5"/>
                            <w:position w:val="-3"/>
                            <w:sz w:val="21"/>
                          </w:rPr>
                          <w:t> </w:t>
                        </w:r>
                        <w:r>
                          <w:rPr>
                            <w:b/>
                            <w:position w:val="-3"/>
                            <w:sz w:val="21"/>
                          </w:rPr>
                          <w:t>深度昏迷</w:t>
                          <w:tab/>
                        </w:r>
                        <w:r>
                          <w:rPr>
                            <w:spacing w:val="-1"/>
                            <w:sz w:val="21"/>
                          </w:rPr>
                          <w:t>指因</w:t>
                        </w:r>
                        <w:r>
                          <w:rPr>
                            <w:sz w:val="21"/>
                          </w:rPr>
                          <w:t>疾病或意外伤害导致意识丧失,对外界刺激和体内需求均无反应,昏迷程度</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spacing w:before="36"/>
        <w:ind w:left="2723"/>
      </w:pPr>
      <w:r>
        <w:rPr/>
        <w:t>（3）B 超或其他影像学检查显示肝脏体积急速萎缩；</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0"/>
        <w:ind w:left="2723"/>
      </w:pPr>
      <w:r>
        <w:rPr/>
        <w:t>（2）语言能力或咀嚼吞咽能力完全丧失；</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ind w:left="2723"/>
      </w:pPr>
      <w:r>
        <w:rPr/>
        <w:t>按照格拉斯哥昏迷分级（Glasgow coma scale）结果为 5 分或 5 分以下，且已经</w:t>
      </w:r>
    </w:p>
    <w:p>
      <w:pPr>
        <w:spacing w:after="0"/>
        <w:sectPr>
          <w:pgSz w:w="11910" w:h="16840"/>
          <w:pgMar w:header="857" w:footer="977" w:top="1040" w:bottom="1180" w:left="880" w:right="540"/>
        </w:sectPr>
      </w:pPr>
    </w:p>
    <w:p>
      <w:pPr>
        <w:pStyle w:val="BodyText"/>
        <w:rPr>
          <w:sz w:val="19"/>
        </w:rPr>
      </w:pPr>
      <w:r>
        <w:rPr/>
        <w:pict>
          <v:shape style="position:absolute;margin-left:49.2798pt;margin-top:87.996559pt;width:513.3pt;height:674.7pt;mso-position-horizontal-relative:page;mso-position-vertical-relative:page;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6"/>
                  </w:tblGrid>
                  <w:tr>
                    <w:trPr>
                      <w:trHeight w:val="446" w:hRule="atLeast"/>
                    </w:trPr>
                    <w:tc>
                      <w:tcPr>
                        <w:tcW w:w="10266" w:type="dxa"/>
                      </w:tcPr>
                      <w:p>
                        <w:pPr>
                          <w:pStyle w:val="TableParagraph"/>
                          <w:spacing w:line="210" w:lineRule="exact"/>
                          <w:ind w:left="2599" w:right="2797"/>
                          <w:jc w:val="center"/>
                          <w:rPr>
                            <w:sz w:val="21"/>
                          </w:rPr>
                        </w:pPr>
                        <w:r>
                          <w:rPr>
                            <w:sz w:val="21"/>
                          </w:rPr>
                          <w:t>因酗酒或药物滥用导致的深度昏迷不在保障范围内。</w:t>
                        </w:r>
                      </w:p>
                    </w:tc>
                  </w:tr>
                  <w:tr>
                    <w:trPr>
                      <w:trHeight w:val="1394" w:hRule="atLeast"/>
                    </w:trPr>
                    <w:tc>
                      <w:tcPr>
                        <w:tcW w:w="10266" w:type="dxa"/>
                      </w:tcPr>
                      <w:p>
                        <w:pPr>
                          <w:pStyle w:val="TableParagraph"/>
                          <w:tabs>
                            <w:tab w:pos="2617" w:val="left" w:leader="none"/>
                          </w:tabs>
                          <w:spacing w:line="254" w:lineRule="auto" w:before="171"/>
                          <w:ind w:left="2618" w:right="300" w:hanging="2419"/>
                          <w:jc w:val="both"/>
                          <w:rPr>
                            <w:sz w:val="21"/>
                          </w:rPr>
                        </w:pPr>
                        <w:r>
                          <w:rPr>
                            <w:b/>
                            <w:position w:val="-3"/>
                            <w:sz w:val="21"/>
                          </w:rPr>
                          <w:t>13.</w:t>
                        </w:r>
                        <w:r>
                          <w:rPr>
                            <w:b/>
                            <w:spacing w:val="-5"/>
                            <w:position w:val="-3"/>
                            <w:sz w:val="21"/>
                          </w:rPr>
                          <w:t> </w:t>
                        </w:r>
                        <w:r>
                          <w:rPr>
                            <w:b/>
                            <w:position w:val="-3"/>
                            <w:sz w:val="21"/>
                          </w:rPr>
                          <w:t>双耳失聪</w:t>
                          <w:tab/>
                        </w:r>
                        <w:r>
                          <w:rPr>
                            <w:sz w:val="21"/>
                          </w:rPr>
                          <w:t>指因疾病或意外伤害导致双耳听力永久不可</w:t>
                        </w:r>
                        <w:r>
                          <w:rPr>
                            <w:spacing w:val="-41"/>
                            <w:sz w:val="21"/>
                          </w:rPr>
                          <w:t>逆</w:t>
                        </w:r>
                        <w:r>
                          <w:rPr>
                            <w:sz w:val="21"/>
                          </w:rPr>
                          <w:t>（注</w:t>
                        </w:r>
                        <w:r>
                          <w:rPr>
                            <w:spacing w:val="-54"/>
                            <w:sz w:val="21"/>
                          </w:rPr>
                          <w:t> </w:t>
                        </w:r>
                        <w:r>
                          <w:rPr>
                            <w:spacing w:val="-21"/>
                            <w:sz w:val="21"/>
                          </w:rPr>
                          <w:t>6）</w:t>
                        </w:r>
                        <w:r>
                          <w:rPr>
                            <w:sz w:val="21"/>
                          </w:rPr>
                          <w:t>性丧失</w:t>
                        </w:r>
                        <w:r>
                          <w:rPr>
                            <w:spacing w:val="-41"/>
                            <w:sz w:val="21"/>
                          </w:rPr>
                          <w:t>，</w:t>
                        </w:r>
                        <w:r>
                          <w:rPr>
                            <w:sz w:val="21"/>
                          </w:rPr>
                          <w:t>在</w:t>
                        </w:r>
                        <w:r>
                          <w:rPr>
                            <w:spacing w:val="-54"/>
                            <w:sz w:val="21"/>
                          </w:rPr>
                          <w:t> </w:t>
                        </w:r>
                        <w:r>
                          <w:rPr>
                            <w:sz w:val="21"/>
                          </w:rPr>
                          <w:t>500</w:t>
                        </w:r>
                        <w:r>
                          <w:rPr>
                            <w:spacing w:val="-53"/>
                            <w:sz w:val="21"/>
                          </w:rPr>
                          <w:t> </w:t>
                        </w:r>
                        <w:r>
                          <w:rPr>
                            <w:sz w:val="21"/>
                          </w:rPr>
                          <w:t>赫兹</w:t>
                        </w:r>
                        <w:r>
                          <w:rPr>
                            <w:spacing w:val="-41"/>
                            <w:sz w:val="21"/>
                          </w:rPr>
                          <w:t>、</w:t>
                        </w:r>
                        <w:r>
                          <w:rPr>
                            <w:sz w:val="21"/>
                          </w:rPr>
                          <w:t>1000赫兹和</w:t>
                        </w:r>
                        <w:r>
                          <w:rPr>
                            <w:spacing w:val="-59"/>
                            <w:sz w:val="21"/>
                          </w:rPr>
                          <w:t> </w:t>
                        </w:r>
                        <w:r>
                          <w:rPr>
                            <w:sz w:val="21"/>
                          </w:rPr>
                          <w:t>2000</w:t>
                        </w:r>
                        <w:r>
                          <w:rPr>
                            <w:spacing w:val="-59"/>
                            <w:sz w:val="21"/>
                          </w:rPr>
                          <w:t> </w:t>
                        </w:r>
                        <w:r>
                          <w:rPr>
                            <w:sz w:val="21"/>
                          </w:rPr>
                          <w:t>赫兹语音频率下</w:t>
                        </w:r>
                        <w:r>
                          <w:rPr>
                            <w:spacing w:val="-3"/>
                            <w:sz w:val="21"/>
                          </w:rPr>
                          <w:t>，</w:t>
                        </w:r>
                        <w:r>
                          <w:rPr>
                            <w:sz w:val="21"/>
                          </w:rPr>
                          <w:t>平均听阈大于</w:t>
                        </w:r>
                        <w:r>
                          <w:rPr>
                            <w:spacing w:val="-59"/>
                            <w:sz w:val="21"/>
                          </w:rPr>
                          <w:t> </w:t>
                        </w:r>
                        <w:r>
                          <w:rPr>
                            <w:sz w:val="21"/>
                          </w:rPr>
                          <w:t>90</w:t>
                        </w:r>
                        <w:r>
                          <w:rPr>
                            <w:spacing w:val="-59"/>
                            <w:sz w:val="21"/>
                          </w:rPr>
                          <w:t> </w:t>
                        </w:r>
                        <w:r>
                          <w:rPr>
                            <w:sz w:val="21"/>
                          </w:rPr>
                          <w:t>分贝</w:t>
                        </w:r>
                        <w:r>
                          <w:rPr>
                            <w:spacing w:val="-3"/>
                            <w:sz w:val="21"/>
                          </w:rPr>
                          <w:t>，</w:t>
                        </w:r>
                        <w:r>
                          <w:rPr>
                            <w:sz w:val="21"/>
                          </w:rPr>
                          <w:t>且经纯音听力测试</w:t>
                        </w:r>
                        <w:r>
                          <w:rPr>
                            <w:spacing w:val="-3"/>
                            <w:sz w:val="21"/>
                          </w:rPr>
                          <w:t>、</w:t>
                        </w:r>
                        <w:r>
                          <w:rPr>
                            <w:sz w:val="21"/>
                          </w:rPr>
                          <w:t>声导抗检测或听觉诱发电位检测等证实。</w:t>
                        </w:r>
                      </w:p>
                    </w:tc>
                  </w:tr>
                  <w:tr>
                    <w:trPr>
                      <w:trHeight w:val="1822" w:hRule="atLeast"/>
                    </w:trPr>
                    <w:tc>
                      <w:tcPr>
                        <w:tcW w:w="10266" w:type="dxa"/>
                      </w:tcPr>
                      <w:p>
                        <w:pPr>
                          <w:pStyle w:val="TableParagraph"/>
                          <w:spacing w:before="12"/>
                          <w:rPr>
                            <w:sz w:val="19"/>
                          </w:rPr>
                        </w:pPr>
                      </w:p>
                      <w:p>
                        <w:pPr>
                          <w:pStyle w:val="TableParagraph"/>
                          <w:tabs>
                            <w:tab w:pos="2617" w:val="left" w:leader="none"/>
                          </w:tabs>
                          <w:spacing w:line="237" w:lineRule="auto" w:before="1"/>
                          <w:ind w:left="2618" w:right="302" w:hanging="2419"/>
                          <w:rPr>
                            <w:sz w:val="21"/>
                          </w:rPr>
                        </w:pPr>
                        <w:r>
                          <w:rPr>
                            <w:b/>
                            <w:position w:val="-3"/>
                            <w:sz w:val="21"/>
                          </w:rPr>
                          <w:t>14.</w:t>
                        </w:r>
                        <w:r>
                          <w:rPr>
                            <w:b/>
                            <w:spacing w:val="-5"/>
                            <w:position w:val="-3"/>
                            <w:sz w:val="21"/>
                          </w:rPr>
                          <w:t> </w:t>
                        </w:r>
                        <w:r>
                          <w:rPr>
                            <w:b/>
                            <w:position w:val="-3"/>
                            <w:sz w:val="21"/>
                          </w:rPr>
                          <w:t>双目失明</w:t>
                          <w:tab/>
                        </w:r>
                        <w:r>
                          <w:rPr>
                            <w:sz w:val="21"/>
                          </w:rPr>
                          <w:t>指因疾病或意外伤害导致双眼视力永久不可逆性丧失</w:t>
                        </w:r>
                        <w:r>
                          <w:rPr>
                            <w:spacing w:val="-7"/>
                            <w:sz w:val="21"/>
                          </w:rPr>
                          <w:t>，</w:t>
                        </w:r>
                        <w:r>
                          <w:rPr>
                            <w:sz w:val="21"/>
                          </w:rPr>
                          <w:t>双眼中较好眼须满足下列至少一项条件：</w:t>
                        </w:r>
                      </w:p>
                      <w:p>
                        <w:pPr>
                          <w:pStyle w:val="TableParagraph"/>
                          <w:spacing w:before="10"/>
                          <w:rPr>
                            <w:sz w:val="14"/>
                          </w:rPr>
                        </w:pPr>
                      </w:p>
                      <w:p>
                        <w:pPr>
                          <w:pStyle w:val="TableParagraph"/>
                          <w:ind w:left="2618"/>
                          <w:rPr>
                            <w:sz w:val="21"/>
                          </w:rPr>
                        </w:pPr>
                        <w:r>
                          <w:rPr>
                            <w:sz w:val="21"/>
                          </w:rPr>
                          <w:t>（1）眼球缺失或摘除；</w:t>
                        </w:r>
                      </w:p>
                      <w:p>
                        <w:pPr>
                          <w:pStyle w:val="TableParagraph"/>
                          <w:spacing w:before="9"/>
                          <w:rPr>
                            <w:sz w:val="14"/>
                          </w:rPr>
                        </w:pPr>
                      </w:p>
                      <w:p>
                        <w:pPr>
                          <w:pStyle w:val="TableParagraph"/>
                          <w:spacing w:before="1"/>
                          <w:ind w:left="2618"/>
                          <w:rPr>
                            <w:sz w:val="21"/>
                          </w:rPr>
                        </w:pPr>
                        <w:r>
                          <w:rPr>
                            <w:sz w:val="21"/>
                          </w:rPr>
                          <w:t>（2）矫正视力低于 0.02（采用国际标准视力表，如果使用其它视力表应进行换</w:t>
                        </w:r>
                      </w:p>
                    </w:tc>
                  </w:tr>
                  <w:tr>
                    <w:trPr>
                      <w:trHeight w:val="955" w:hRule="atLeast"/>
                    </w:trPr>
                    <w:tc>
                      <w:tcPr>
                        <w:tcW w:w="10266" w:type="dxa"/>
                      </w:tcPr>
                      <w:p>
                        <w:pPr>
                          <w:pStyle w:val="TableParagraph"/>
                          <w:spacing w:line="271" w:lineRule="exact"/>
                          <w:ind w:left="2618"/>
                          <w:rPr>
                            <w:sz w:val="21"/>
                          </w:rPr>
                        </w:pPr>
                        <w:r>
                          <w:rPr>
                            <w:sz w:val="21"/>
                          </w:rPr>
                          <w:t>算</w:t>
                        </w:r>
                        <w:r>
                          <w:rPr>
                            <w:spacing w:val="-105"/>
                            <w:sz w:val="21"/>
                          </w:rPr>
                          <w:t>）</w:t>
                        </w:r>
                        <w:r>
                          <w:rPr>
                            <w:sz w:val="21"/>
                          </w:rPr>
                          <w:t>；</w:t>
                        </w:r>
                      </w:p>
                      <w:p>
                        <w:pPr>
                          <w:pStyle w:val="TableParagraph"/>
                          <w:spacing w:before="172"/>
                          <w:ind w:left="2618"/>
                          <w:rPr>
                            <w:sz w:val="21"/>
                          </w:rPr>
                        </w:pPr>
                        <w:r>
                          <w:rPr>
                            <w:sz w:val="21"/>
                          </w:rPr>
                          <w:t>（3）视野半径小于 5 度。</w:t>
                        </w:r>
                      </w:p>
                    </w:tc>
                  </w:tr>
                  <w:tr>
                    <w:trPr>
                      <w:trHeight w:val="1394" w:hRule="atLeast"/>
                    </w:trPr>
                    <w:tc>
                      <w:tcPr>
                        <w:tcW w:w="10266" w:type="dxa"/>
                      </w:tcPr>
                      <w:p>
                        <w:pPr>
                          <w:pStyle w:val="TableParagraph"/>
                          <w:tabs>
                            <w:tab w:pos="2617" w:val="left" w:leader="none"/>
                          </w:tabs>
                          <w:spacing w:line="254" w:lineRule="auto" w:before="171"/>
                          <w:ind w:left="2618" w:right="302" w:hanging="2419"/>
                          <w:jc w:val="both"/>
                          <w:rPr>
                            <w:sz w:val="21"/>
                          </w:rPr>
                        </w:pPr>
                        <w:r>
                          <w:rPr>
                            <w:b/>
                            <w:position w:val="-3"/>
                            <w:sz w:val="21"/>
                          </w:rPr>
                          <w:t>15.</w:t>
                        </w:r>
                        <w:r>
                          <w:rPr>
                            <w:b/>
                            <w:spacing w:val="-5"/>
                            <w:position w:val="-3"/>
                            <w:sz w:val="21"/>
                          </w:rPr>
                          <w:t> </w:t>
                        </w:r>
                        <w:r>
                          <w:rPr>
                            <w:b/>
                            <w:position w:val="-3"/>
                            <w:sz w:val="21"/>
                          </w:rPr>
                          <w:t>瘫痪</w:t>
                          <w:tab/>
                        </w:r>
                        <w:r>
                          <w:rPr>
                            <w:sz w:val="21"/>
                          </w:rPr>
                          <w:t>指因疾病或意外伤害导致两肢或两肢以上肢体机能永久完全丧失</w:t>
                        </w:r>
                        <w:r>
                          <w:rPr>
                            <w:spacing w:val="-7"/>
                            <w:sz w:val="21"/>
                          </w:rPr>
                          <w:t>。</w:t>
                        </w:r>
                        <w:r>
                          <w:rPr>
                            <w:sz w:val="21"/>
                          </w:rPr>
                          <w:t>肢体机能永久完全丧失</w:t>
                        </w:r>
                        <w:r>
                          <w:rPr>
                            <w:spacing w:val="-4"/>
                            <w:sz w:val="21"/>
                          </w:rPr>
                          <w:t>，</w:t>
                        </w:r>
                        <w:r>
                          <w:rPr>
                            <w:sz w:val="21"/>
                          </w:rPr>
                          <w:t>指疾病确诊</w:t>
                        </w:r>
                        <w:r>
                          <w:rPr>
                            <w:spacing w:val="-55"/>
                            <w:sz w:val="21"/>
                          </w:rPr>
                          <w:t> </w:t>
                        </w:r>
                        <w:r>
                          <w:rPr>
                            <w:sz w:val="21"/>
                          </w:rPr>
                          <w:t>180</w:t>
                        </w:r>
                        <w:r>
                          <w:rPr>
                            <w:spacing w:val="-54"/>
                            <w:sz w:val="21"/>
                          </w:rPr>
                          <w:t> </w:t>
                        </w:r>
                        <w:r>
                          <w:rPr>
                            <w:sz w:val="21"/>
                          </w:rPr>
                          <w:t>天后或意外伤害发生</w:t>
                        </w:r>
                        <w:r>
                          <w:rPr>
                            <w:spacing w:val="-55"/>
                            <w:sz w:val="21"/>
                          </w:rPr>
                          <w:t> </w:t>
                        </w:r>
                        <w:r>
                          <w:rPr>
                            <w:sz w:val="21"/>
                          </w:rPr>
                          <w:t>180</w:t>
                        </w:r>
                        <w:r>
                          <w:rPr>
                            <w:spacing w:val="-54"/>
                            <w:sz w:val="21"/>
                          </w:rPr>
                          <w:t> </w:t>
                        </w:r>
                        <w:r>
                          <w:rPr>
                            <w:sz w:val="21"/>
                          </w:rPr>
                          <w:t>天后</w:t>
                        </w:r>
                        <w:r>
                          <w:rPr>
                            <w:spacing w:val="-3"/>
                            <w:sz w:val="21"/>
                          </w:rPr>
                          <w:t>，</w:t>
                        </w:r>
                        <w:r>
                          <w:rPr>
                            <w:sz w:val="21"/>
                          </w:rPr>
                          <w:t>每肢三大关节中的两大关节仍然完全僵硬，或不能随意识活动。</w:t>
                        </w:r>
                      </w:p>
                    </w:tc>
                  </w:tr>
                  <w:tr>
                    <w:trPr>
                      <w:trHeight w:val="877" w:hRule="atLeast"/>
                    </w:trPr>
                    <w:tc>
                      <w:tcPr>
                        <w:tcW w:w="10266" w:type="dxa"/>
                      </w:tcPr>
                      <w:p>
                        <w:pPr>
                          <w:pStyle w:val="TableParagraph"/>
                          <w:spacing w:before="10"/>
                          <w:rPr>
                            <w:sz w:val="19"/>
                          </w:rPr>
                        </w:pPr>
                      </w:p>
                      <w:p>
                        <w:pPr>
                          <w:pStyle w:val="TableParagraph"/>
                          <w:tabs>
                            <w:tab w:pos="2617" w:val="left" w:leader="none"/>
                          </w:tabs>
                          <w:ind w:left="200"/>
                          <w:rPr>
                            <w:sz w:val="21"/>
                          </w:rPr>
                        </w:pPr>
                        <w:r>
                          <w:rPr>
                            <w:b/>
                            <w:position w:val="-3"/>
                            <w:sz w:val="21"/>
                          </w:rPr>
                          <w:t>16.</w:t>
                        </w:r>
                        <w:r>
                          <w:rPr>
                            <w:b/>
                            <w:spacing w:val="-6"/>
                            <w:position w:val="-3"/>
                            <w:sz w:val="21"/>
                          </w:rPr>
                          <w:t> </w:t>
                        </w:r>
                        <w:r>
                          <w:rPr>
                            <w:b/>
                            <w:position w:val="-3"/>
                            <w:sz w:val="21"/>
                          </w:rPr>
                          <w:t>心脏瓣膜手术</w:t>
                          <w:tab/>
                        </w:r>
                        <w:r>
                          <w:rPr>
                            <w:sz w:val="21"/>
                          </w:rPr>
                          <w:t>指为治疗心脏瓣膜疾病，实际实施了开胸进行的心脏瓣膜置换或修复的手术。</w:t>
                        </w:r>
                      </w:p>
                    </w:tc>
                  </w:tr>
                  <w:tr>
                    <w:trPr>
                      <w:trHeight w:val="1339" w:hRule="atLeast"/>
                    </w:trPr>
                    <w:tc>
                      <w:tcPr>
                        <w:tcW w:w="10266" w:type="dxa"/>
                      </w:tcPr>
                      <w:p>
                        <w:pPr>
                          <w:pStyle w:val="TableParagraph"/>
                          <w:spacing w:before="3"/>
                          <w:rPr>
                            <w:sz w:val="18"/>
                          </w:rPr>
                        </w:pPr>
                      </w:p>
                      <w:p>
                        <w:pPr>
                          <w:pStyle w:val="TableParagraph"/>
                          <w:spacing w:line="254" w:lineRule="auto" w:before="1"/>
                          <w:ind w:left="2618" w:right="301" w:hanging="2419"/>
                          <w:jc w:val="both"/>
                          <w:rPr>
                            <w:sz w:val="21"/>
                          </w:rPr>
                        </w:pPr>
                        <w:r>
                          <w:rPr>
                            <w:b/>
                            <w:position w:val="-3"/>
                            <w:sz w:val="21"/>
                          </w:rPr>
                          <w:t>17</w:t>
                        </w:r>
                        <w:r>
                          <w:rPr>
                            <w:b/>
                            <w:spacing w:val="5"/>
                            <w:position w:val="-3"/>
                            <w:sz w:val="21"/>
                          </w:rPr>
                          <w:t>. 严重阿尔茨海默病 </w:t>
                        </w:r>
                        <w:r>
                          <w:rPr>
                            <w:spacing w:val="-2"/>
                            <w:sz w:val="21"/>
                          </w:rPr>
                          <w:t>指因大脑进行性、不可逆性改变导致智能严重衰退或丧失，临床表现为明显的认</w:t>
                        </w:r>
                        <w:r>
                          <w:rPr>
                            <w:spacing w:val="-3"/>
                            <w:sz w:val="21"/>
                          </w:rPr>
                          <w:t>知能力障碍、行为异常和社交能力减退，其日常生活必须持续受到他人监护。须</w:t>
                        </w:r>
                        <w:r>
                          <w:rPr>
                            <w:sz w:val="21"/>
                          </w:rPr>
                          <w:t>由头颅断层扫描</w:t>
                        </w:r>
                        <w:r>
                          <w:rPr>
                            <w:spacing w:val="2"/>
                            <w:sz w:val="21"/>
                          </w:rPr>
                          <w:t>（</w:t>
                        </w:r>
                        <w:r>
                          <w:rPr>
                            <w:spacing w:val="-1"/>
                            <w:sz w:val="21"/>
                          </w:rPr>
                          <w:t>C</w:t>
                        </w:r>
                        <w:r>
                          <w:rPr>
                            <w:spacing w:val="3"/>
                            <w:sz w:val="21"/>
                          </w:rPr>
                          <w:t>T</w:t>
                        </w:r>
                        <w:r>
                          <w:rPr>
                            <w:spacing w:val="-104"/>
                            <w:sz w:val="21"/>
                          </w:rPr>
                          <w:t>）</w:t>
                        </w:r>
                        <w:r>
                          <w:rPr>
                            <w:sz w:val="21"/>
                          </w:rPr>
                          <w:t>、核磁共振检查</w:t>
                        </w:r>
                        <w:r>
                          <w:rPr>
                            <w:spacing w:val="1"/>
                            <w:sz w:val="21"/>
                          </w:rPr>
                          <w:t>（</w:t>
                        </w:r>
                        <w:r>
                          <w:rPr>
                            <w:sz w:val="21"/>
                          </w:rPr>
                          <w:t>MR</w:t>
                        </w:r>
                        <w:r>
                          <w:rPr>
                            <w:spacing w:val="2"/>
                            <w:sz w:val="21"/>
                          </w:rPr>
                          <w:t>I</w:t>
                        </w:r>
                        <w:r>
                          <w:rPr>
                            <w:spacing w:val="1"/>
                            <w:sz w:val="21"/>
                          </w:rPr>
                          <w:t>）</w:t>
                        </w:r>
                        <w:r>
                          <w:rPr>
                            <w:sz w:val="21"/>
                          </w:rPr>
                          <w:t>或正电子发射断层扫描</w:t>
                        </w:r>
                        <w:r>
                          <w:rPr>
                            <w:spacing w:val="1"/>
                            <w:sz w:val="21"/>
                          </w:rPr>
                          <w:t>（P</w:t>
                        </w:r>
                        <w:r>
                          <w:rPr>
                            <w:sz w:val="21"/>
                          </w:rPr>
                          <w:t>E</w:t>
                        </w:r>
                        <w:r>
                          <w:rPr>
                            <w:spacing w:val="2"/>
                            <w:sz w:val="21"/>
                          </w:rPr>
                          <w:t>T）</w:t>
                        </w:r>
                        <w:r>
                          <w:rPr>
                            <w:sz w:val="21"/>
                          </w:rPr>
                          <w:t>等</w:t>
                        </w:r>
                      </w:p>
                    </w:tc>
                  </w:tr>
                  <w:tr>
                    <w:trPr>
                      <w:trHeight w:val="1231" w:hRule="atLeast"/>
                    </w:trPr>
                    <w:tc>
                      <w:tcPr>
                        <w:tcW w:w="10266" w:type="dxa"/>
                      </w:tcPr>
                      <w:p>
                        <w:pPr>
                          <w:pStyle w:val="TableParagraph"/>
                          <w:spacing w:before="148"/>
                          <w:ind w:left="2618"/>
                          <w:rPr>
                            <w:sz w:val="21"/>
                          </w:rPr>
                        </w:pPr>
                        <w:r>
                          <w:rPr>
                            <w:sz w:val="21"/>
                          </w:rPr>
                          <w:t>动中的三项或三项以上。</w:t>
                        </w:r>
                      </w:p>
                      <w:p>
                        <w:pPr>
                          <w:pStyle w:val="TableParagraph"/>
                          <w:spacing w:before="9"/>
                          <w:rPr>
                            <w:sz w:val="22"/>
                          </w:rPr>
                        </w:pPr>
                      </w:p>
                      <w:p>
                        <w:pPr>
                          <w:pStyle w:val="TableParagraph"/>
                          <w:ind w:left="2618"/>
                          <w:rPr>
                            <w:sz w:val="21"/>
                          </w:rPr>
                        </w:pPr>
                        <w:r>
                          <w:rPr>
                            <w:sz w:val="21"/>
                          </w:rPr>
                          <w:t>神经官能症和精神疾病不在保障范围内。</w:t>
                        </w:r>
                      </w:p>
                    </w:tc>
                  </w:tr>
                  <w:tr>
                    <w:trPr>
                      <w:trHeight w:val="2046" w:hRule="atLeast"/>
                    </w:trPr>
                    <w:tc>
                      <w:tcPr>
                        <w:tcW w:w="10266" w:type="dxa"/>
                      </w:tcPr>
                      <w:p>
                        <w:pPr>
                          <w:pStyle w:val="TableParagraph"/>
                          <w:tabs>
                            <w:tab w:pos="2617" w:val="left" w:leader="none"/>
                          </w:tabs>
                          <w:spacing w:line="261" w:lineRule="auto" w:before="171"/>
                          <w:ind w:left="2618" w:right="198" w:hanging="2419"/>
                          <w:rPr>
                            <w:sz w:val="21"/>
                          </w:rPr>
                        </w:pPr>
                        <w:r>
                          <w:rPr>
                            <w:b/>
                            <w:position w:val="-3"/>
                            <w:sz w:val="21"/>
                          </w:rPr>
                          <w:t>18.</w:t>
                        </w:r>
                        <w:r>
                          <w:rPr>
                            <w:b/>
                            <w:spacing w:val="-6"/>
                            <w:position w:val="-3"/>
                            <w:sz w:val="21"/>
                          </w:rPr>
                          <w:t> </w:t>
                        </w:r>
                        <w:r>
                          <w:rPr>
                            <w:b/>
                            <w:position w:val="-3"/>
                            <w:sz w:val="21"/>
                          </w:rPr>
                          <w:t>严重脑损伤</w:t>
                          <w:tab/>
                        </w:r>
                        <w:r>
                          <w:rPr>
                            <w:spacing w:val="-1"/>
                            <w:sz w:val="21"/>
                          </w:rPr>
                          <w:t>指因</w:t>
                        </w:r>
                        <w:r>
                          <w:rPr>
                            <w:sz w:val="21"/>
                          </w:rPr>
                          <w:t>头部遭受机械性外力</w:t>
                        </w:r>
                        <w:r>
                          <w:rPr>
                            <w:spacing w:val="-4"/>
                            <w:sz w:val="21"/>
                          </w:rPr>
                          <w:t>，</w:t>
                        </w:r>
                        <w:r>
                          <w:rPr>
                            <w:sz w:val="21"/>
                          </w:rPr>
                          <w:t>引起脑重要部位损伤</w:t>
                        </w:r>
                        <w:r>
                          <w:rPr>
                            <w:spacing w:val="-3"/>
                            <w:sz w:val="21"/>
                          </w:rPr>
                          <w:t>，</w:t>
                        </w:r>
                        <w:r>
                          <w:rPr>
                            <w:sz w:val="21"/>
                          </w:rPr>
                          <w:t>导致神经系统永久性的功能障</w:t>
                        </w:r>
                        <w:r>
                          <w:rPr>
                            <w:spacing w:val="-1"/>
                            <w:sz w:val="21"/>
                          </w:rPr>
                          <w:t>碍</w:t>
                        </w:r>
                        <w:r>
                          <w:rPr>
                            <w:spacing w:val="-36"/>
                            <w:sz w:val="21"/>
                          </w:rPr>
                          <w:t>。</w:t>
                        </w:r>
                        <w:r>
                          <w:rPr>
                            <w:spacing w:val="-1"/>
                            <w:sz w:val="21"/>
                          </w:rPr>
                          <w:t>须由头颅断层扫</w:t>
                        </w:r>
                        <w:r>
                          <w:rPr>
                            <w:spacing w:val="-36"/>
                            <w:sz w:val="21"/>
                          </w:rPr>
                          <w:t>描</w:t>
                        </w:r>
                        <w:r>
                          <w:rPr>
                            <w:spacing w:val="-1"/>
                            <w:sz w:val="21"/>
                          </w:rPr>
                          <w:t>（CT</w:t>
                        </w:r>
                        <w:r>
                          <w:rPr>
                            <w:spacing w:val="-105"/>
                            <w:sz w:val="21"/>
                          </w:rPr>
                          <w:t>）</w:t>
                        </w:r>
                        <w:r>
                          <w:rPr>
                            <w:spacing w:val="-37"/>
                            <w:sz w:val="21"/>
                          </w:rPr>
                          <w:t>、</w:t>
                        </w:r>
                        <w:r>
                          <w:rPr>
                            <w:sz w:val="21"/>
                          </w:rPr>
                          <w:t>核磁共</w:t>
                        </w:r>
                        <w:r>
                          <w:rPr>
                            <w:spacing w:val="-2"/>
                            <w:sz w:val="21"/>
                          </w:rPr>
                          <w:t>振</w:t>
                        </w:r>
                        <w:r>
                          <w:rPr>
                            <w:sz w:val="21"/>
                          </w:rPr>
                          <w:t>检</w:t>
                        </w:r>
                        <w:r>
                          <w:rPr>
                            <w:spacing w:val="-37"/>
                            <w:sz w:val="21"/>
                          </w:rPr>
                          <w:t>查</w:t>
                        </w:r>
                        <w:r>
                          <w:rPr>
                            <w:sz w:val="21"/>
                          </w:rPr>
                          <w:t>（MRI</w:t>
                        </w:r>
                        <w:r>
                          <w:rPr>
                            <w:spacing w:val="-38"/>
                            <w:sz w:val="21"/>
                          </w:rPr>
                          <w:t>）</w:t>
                        </w:r>
                        <w:r>
                          <w:rPr>
                            <w:sz w:val="21"/>
                          </w:rPr>
                          <w:t>或正电子发射断层扫</w:t>
                        </w:r>
                        <w:r>
                          <w:rPr>
                            <w:spacing w:val="-37"/>
                            <w:sz w:val="21"/>
                          </w:rPr>
                          <w:t>描</w:t>
                        </w:r>
                        <w:r>
                          <w:rPr>
                            <w:sz w:val="21"/>
                          </w:rPr>
                          <w:t>（PET）等影像学检查证实</w:t>
                        </w:r>
                        <w:r>
                          <w:rPr>
                            <w:spacing w:val="-3"/>
                            <w:sz w:val="21"/>
                          </w:rPr>
                          <w:t>。</w:t>
                        </w:r>
                        <w:r>
                          <w:rPr>
                            <w:sz w:val="21"/>
                          </w:rPr>
                          <w:t>神经系统永久性的功能障碍</w:t>
                        </w:r>
                        <w:r>
                          <w:rPr>
                            <w:spacing w:val="-3"/>
                            <w:sz w:val="21"/>
                          </w:rPr>
                          <w:t>，</w:t>
                        </w:r>
                        <w:r>
                          <w:rPr>
                            <w:sz w:val="21"/>
                          </w:rPr>
                          <w:t>指脑损伤</w:t>
                        </w:r>
                        <w:r>
                          <w:rPr>
                            <w:spacing w:val="-54"/>
                            <w:sz w:val="21"/>
                          </w:rPr>
                          <w:t> </w:t>
                        </w:r>
                        <w:r>
                          <w:rPr>
                            <w:sz w:val="21"/>
                          </w:rPr>
                          <w:t>180</w:t>
                        </w:r>
                        <w:r>
                          <w:rPr>
                            <w:spacing w:val="-53"/>
                            <w:sz w:val="21"/>
                          </w:rPr>
                          <w:t> </w:t>
                        </w:r>
                        <w:r>
                          <w:rPr>
                            <w:sz w:val="21"/>
                          </w:rPr>
                          <w:t>天后</w:t>
                        </w:r>
                        <w:r>
                          <w:rPr>
                            <w:spacing w:val="-3"/>
                            <w:sz w:val="21"/>
                          </w:rPr>
                          <w:t>，</w:t>
                        </w:r>
                        <w:r>
                          <w:rPr>
                            <w:sz w:val="21"/>
                          </w:rPr>
                          <w:t>仍遗留下列一种或一种以上障碍：</w:t>
                        </w:r>
                      </w:p>
                      <w:p>
                        <w:pPr>
                          <w:pStyle w:val="TableParagraph"/>
                          <w:spacing w:before="174"/>
                          <w:ind w:left="2619"/>
                          <w:rPr>
                            <w:sz w:val="21"/>
                          </w:rPr>
                        </w:pPr>
                        <w:r>
                          <w:rPr>
                            <w:sz w:val="21"/>
                          </w:rPr>
                          <w:t>（1）一肢或一肢以上肢体机能完全丧失；</w:t>
                        </w:r>
                      </w:p>
                    </w:tc>
                  </w:tr>
                  <w:tr>
                    <w:trPr>
                      <w:trHeight w:val="915" w:hRule="atLeast"/>
                    </w:trPr>
                    <w:tc>
                      <w:tcPr>
                        <w:tcW w:w="10266" w:type="dxa"/>
                      </w:tcPr>
                      <w:p>
                        <w:pPr>
                          <w:pStyle w:val="TableParagraph"/>
                          <w:spacing w:line="237" w:lineRule="auto" w:before="134"/>
                          <w:ind w:left="3038" w:right="325" w:hanging="420"/>
                          <w:rPr>
                            <w:sz w:val="21"/>
                          </w:rPr>
                        </w:pPr>
                        <w:r>
                          <w:rPr>
                            <w:sz w:val="21"/>
                          </w:rPr>
                          <w:t>（3）自主生活能力完全丧失，无法独立完成六项基本日常生活活动中的三项或三项以上。</w:t>
                        </w:r>
                      </w:p>
                    </w:tc>
                  </w:tr>
                  <w:tr>
                    <w:trPr>
                      <w:trHeight w:val="1070" w:hRule="atLeast"/>
                    </w:trPr>
                    <w:tc>
                      <w:tcPr>
                        <w:tcW w:w="10266" w:type="dxa"/>
                      </w:tcPr>
                      <w:p>
                        <w:pPr>
                          <w:pStyle w:val="TableParagraph"/>
                          <w:tabs>
                            <w:tab w:pos="2617" w:val="left" w:leader="none"/>
                          </w:tabs>
                          <w:spacing w:line="237" w:lineRule="auto" w:before="174"/>
                          <w:ind w:left="2618" w:right="302" w:hanging="2419"/>
                          <w:rPr>
                            <w:sz w:val="21"/>
                          </w:rPr>
                        </w:pPr>
                        <w:r>
                          <w:rPr>
                            <w:b/>
                            <w:position w:val="-3"/>
                            <w:sz w:val="21"/>
                          </w:rPr>
                          <w:t>19.</w:t>
                        </w:r>
                        <w:r>
                          <w:rPr>
                            <w:b/>
                            <w:spacing w:val="-6"/>
                            <w:position w:val="-3"/>
                            <w:sz w:val="21"/>
                          </w:rPr>
                          <w:t> </w:t>
                        </w:r>
                        <w:r>
                          <w:rPr>
                            <w:b/>
                            <w:position w:val="-3"/>
                            <w:sz w:val="21"/>
                          </w:rPr>
                          <w:t>严重帕金森病</w:t>
                          <w:tab/>
                        </w:r>
                        <w:r>
                          <w:rPr>
                            <w:sz w:val="21"/>
                          </w:rPr>
                          <w:t>是一种中枢神经系统的退行性疾病</w:t>
                        </w:r>
                        <w:r>
                          <w:rPr>
                            <w:spacing w:val="-3"/>
                            <w:sz w:val="21"/>
                          </w:rPr>
                          <w:t>，</w:t>
                        </w:r>
                        <w:r>
                          <w:rPr>
                            <w:sz w:val="21"/>
                          </w:rPr>
                          <w:t>临床表现为震颤麻痹</w:t>
                        </w:r>
                        <w:r>
                          <w:rPr>
                            <w:spacing w:val="-3"/>
                            <w:sz w:val="21"/>
                          </w:rPr>
                          <w:t>、</w:t>
                        </w:r>
                        <w:r>
                          <w:rPr>
                            <w:sz w:val="21"/>
                          </w:rPr>
                          <w:t>共济失调等</w:t>
                        </w:r>
                        <w:r>
                          <w:rPr>
                            <w:spacing w:val="-3"/>
                            <w:sz w:val="21"/>
                          </w:rPr>
                          <w:t>。</w:t>
                        </w:r>
                        <w:r>
                          <w:rPr>
                            <w:sz w:val="21"/>
                          </w:rPr>
                          <w:t>须满足下列全部条件：</w:t>
                        </w:r>
                      </w:p>
                      <w:p>
                        <w:pPr>
                          <w:pStyle w:val="TableParagraph"/>
                          <w:spacing w:line="255" w:lineRule="exact" w:before="37"/>
                          <w:ind w:left="2618"/>
                          <w:rPr>
                            <w:sz w:val="21"/>
                          </w:rPr>
                        </w:pPr>
                        <w:r>
                          <w:rPr>
                            <w:sz w:val="21"/>
                          </w:rPr>
                          <w:t>（1）药物治疗无法控制病情；</w:t>
                        </w:r>
                      </w:p>
                    </w:tc>
                  </w:tr>
                </w:tbl>
                <w:p>
                  <w:pPr>
                    <w:pStyle w:val="BodyText"/>
                  </w:pPr>
                </w:p>
              </w:txbxContent>
            </v:textbox>
            <w10:wrap type="none"/>
          </v:shape>
        </w:pict>
      </w:r>
    </w:p>
    <w:p>
      <w:pPr>
        <w:pStyle w:val="BodyText"/>
        <w:spacing w:before="35"/>
        <w:ind w:left="2723"/>
      </w:pPr>
      <w:r>
        <w:rPr/>
        <w:t>持续使用呼吸机及其它生命维持系统 96 小时以上。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ind w:left="2723"/>
      </w:pPr>
      <w:r>
        <w:rPr/>
        <w:t>影像学检查证实，且自主生活能力完全丧失，无法独立完成六项基本日常生活活</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before="1"/>
        <w:ind w:left="2724"/>
      </w:pPr>
      <w:r>
        <w:rPr/>
        <w:t>（2）语言能力或咀嚼吞咽能力完全丧失；</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ind w:left="2723"/>
      </w:pPr>
      <w:r>
        <w:rPr/>
        <w:t>（2）自主生活能力完全丧失，无法独立完成六项基本日常生活活动中的三项或</w:t>
      </w:r>
    </w:p>
    <w:p>
      <w:pPr>
        <w:spacing w:after="0"/>
        <w:sectPr>
          <w:headerReference w:type="default" r:id="rId9"/>
          <w:pgSz w:w="11910" w:h="16840"/>
          <w:pgMar w:header="877" w:footer="977" w:top="1100" w:bottom="1180" w:left="880" w:right="540"/>
        </w:sectPr>
      </w:pPr>
    </w:p>
    <w:p>
      <w:pPr>
        <w:pStyle w:val="BodyText"/>
        <w:rPr>
          <w:sz w:val="19"/>
        </w:rPr>
      </w:pPr>
      <w:r>
        <w:rPr/>
        <w:pict>
          <v:shape style="position:absolute;margin-left:49.2798pt;margin-top:89.016159pt;width:508.45pt;height:690.15pt;mso-position-horizontal-relative:page;mso-position-vertical-relative:page;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8"/>
                  </w:tblGrid>
                  <w:tr>
                    <w:trPr>
                      <w:trHeight w:val="456" w:hRule="atLeast"/>
                    </w:trPr>
                    <w:tc>
                      <w:tcPr>
                        <w:tcW w:w="10168" w:type="dxa"/>
                      </w:tcPr>
                      <w:p>
                        <w:pPr>
                          <w:pStyle w:val="TableParagraph"/>
                          <w:spacing w:line="210" w:lineRule="exact"/>
                          <w:ind w:left="2618"/>
                          <w:rPr>
                            <w:sz w:val="21"/>
                          </w:rPr>
                        </w:pPr>
                        <w:r>
                          <w:rPr>
                            <w:sz w:val="21"/>
                          </w:rPr>
                          <w:t>继发性帕金森综合征不在保障范围内。</w:t>
                        </w:r>
                      </w:p>
                    </w:tc>
                  </w:tr>
                  <w:tr>
                    <w:trPr>
                      <w:trHeight w:val="1092" w:hRule="atLeast"/>
                    </w:trPr>
                    <w:tc>
                      <w:tcPr>
                        <w:tcW w:w="10168" w:type="dxa"/>
                      </w:tcPr>
                      <w:p>
                        <w:pPr>
                          <w:pStyle w:val="TableParagraph"/>
                          <w:rPr>
                            <w:sz w:val="14"/>
                          </w:rPr>
                        </w:pPr>
                      </w:p>
                      <w:p>
                        <w:pPr>
                          <w:pStyle w:val="TableParagraph"/>
                          <w:tabs>
                            <w:tab w:pos="2617" w:val="left" w:leader="none"/>
                          </w:tabs>
                          <w:spacing w:line="237" w:lineRule="auto"/>
                          <w:ind w:left="2618" w:right="203" w:hanging="2419"/>
                          <w:rPr>
                            <w:sz w:val="21"/>
                          </w:rPr>
                        </w:pPr>
                        <w:r>
                          <w:rPr>
                            <w:b/>
                            <w:position w:val="-3"/>
                            <w:sz w:val="21"/>
                          </w:rPr>
                          <w:t>20.</w:t>
                        </w:r>
                        <w:r>
                          <w:rPr>
                            <w:b/>
                            <w:spacing w:val="-6"/>
                            <w:position w:val="-3"/>
                            <w:sz w:val="21"/>
                          </w:rPr>
                          <w:t> </w:t>
                        </w:r>
                        <w:r>
                          <w:rPr>
                            <w:b/>
                            <w:position w:val="-3"/>
                            <w:sz w:val="21"/>
                          </w:rPr>
                          <w:t>严重Ⅲ度烧伤</w:t>
                          <w:tab/>
                        </w:r>
                        <w:r>
                          <w:rPr>
                            <w:sz w:val="21"/>
                          </w:rPr>
                          <w:t>指烧伤程度为Ⅲ度，且Ⅲ度烧伤面积达到全身体表面积的</w:t>
                        </w:r>
                        <w:r>
                          <w:rPr>
                            <w:spacing w:val="-5"/>
                            <w:sz w:val="21"/>
                          </w:rPr>
                          <w:t> </w:t>
                        </w:r>
                        <w:r>
                          <w:rPr>
                            <w:sz w:val="21"/>
                          </w:rPr>
                          <w:t>20％或</w:t>
                        </w:r>
                        <w:r>
                          <w:rPr>
                            <w:spacing w:val="-6"/>
                            <w:sz w:val="21"/>
                          </w:rPr>
                          <w:t> </w:t>
                        </w:r>
                        <w:r>
                          <w:rPr>
                            <w:sz w:val="21"/>
                          </w:rPr>
                          <w:t>20％以上。体表面积根据</w:t>
                        </w:r>
                        <w:r>
                          <w:rPr>
                            <w:spacing w:val="-16"/>
                            <w:sz w:val="21"/>
                          </w:rPr>
                          <w:t> </w:t>
                        </w:r>
                        <w:r>
                          <w:rPr>
                            <w:sz w:val="21"/>
                          </w:rPr>
                          <w:t>《中国新九分法》计算。</w:t>
                        </w:r>
                      </w:p>
                    </w:tc>
                  </w:tr>
                  <w:tr>
                    <w:trPr>
                      <w:trHeight w:val="1482" w:hRule="atLeast"/>
                    </w:trPr>
                    <w:tc>
                      <w:tcPr>
                        <w:tcW w:w="10168" w:type="dxa"/>
                      </w:tcPr>
                      <w:p>
                        <w:pPr>
                          <w:pStyle w:val="TableParagraph"/>
                          <w:tabs>
                            <w:tab w:pos="2617" w:val="left" w:leader="none"/>
                          </w:tabs>
                          <w:spacing w:line="237" w:lineRule="auto" w:before="261"/>
                          <w:ind w:left="619" w:right="202" w:hanging="420"/>
                          <w:rPr>
                            <w:sz w:val="21"/>
                          </w:rPr>
                        </w:pPr>
                        <w:r>
                          <w:rPr>
                            <w:b/>
                            <w:position w:val="-3"/>
                            <w:sz w:val="21"/>
                          </w:rPr>
                          <w:t>21.</w:t>
                        </w:r>
                        <w:r>
                          <w:rPr>
                            <w:b/>
                            <w:spacing w:val="-5"/>
                            <w:position w:val="-3"/>
                            <w:sz w:val="21"/>
                          </w:rPr>
                          <w:t> </w:t>
                        </w:r>
                        <w:r>
                          <w:rPr>
                            <w:b/>
                            <w:spacing w:val="12"/>
                            <w:position w:val="-3"/>
                            <w:sz w:val="21"/>
                          </w:rPr>
                          <w:t>严重原发性肺动</w:t>
                        </w:r>
                        <w:r>
                          <w:rPr>
                            <w:b/>
                            <w:position w:val="-3"/>
                            <w:sz w:val="21"/>
                          </w:rPr>
                          <w:t>脉</w:t>
                          <w:tab/>
                        </w:r>
                        <w:r>
                          <w:rPr>
                            <w:sz w:val="21"/>
                          </w:rPr>
                          <w:t>指不明原因的肺动脉压力持续性增高</w:t>
                        </w:r>
                        <w:r>
                          <w:rPr>
                            <w:spacing w:val="-4"/>
                            <w:sz w:val="21"/>
                          </w:rPr>
                          <w:t>，</w:t>
                        </w:r>
                        <w:r>
                          <w:rPr>
                            <w:sz w:val="21"/>
                          </w:rPr>
                          <w:t>进行性发展而导致的慢性疾病</w:t>
                        </w:r>
                        <w:r>
                          <w:rPr>
                            <w:spacing w:val="-3"/>
                            <w:sz w:val="21"/>
                          </w:rPr>
                          <w:t>，</w:t>
                        </w:r>
                        <w:r>
                          <w:rPr>
                            <w:sz w:val="21"/>
                          </w:rPr>
                          <w:t>已经造成</w:t>
                        </w:r>
                        <w:r>
                          <w:rPr>
                            <w:b/>
                            <w:position w:val="-11"/>
                            <w:sz w:val="21"/>
                          </w:rPr>
                          <w:t>高压</w:t>
                          <w:tab/>
                        </w:r>
                        <w:r>
                          <w:rPr>
                            <w:sz w:val="21"/>
                          </w:rPr>
                          <w:t>永久不可逆性的体力活动能力受限</w:t>
                        </w:r>
                        <w:r>
                          <w:rPr>
                            <w:spacing w:val="-59"/>
                            <w:sz w:val="21"/>
                          </w:rPr>
                          <w:t>，</w:t>
                        </w:r>
                        <w:r>
                          <w:rPr>
                            <w:sz w:val="21"/>
                          </w:rPr>
                          <w:t>达到美国纽约心脏病学会心功能状态分级</w:t>
                        </w:r>
                        <w:r>
                          <w:rPr>
                            <w:spacing w:val="-53"/>
                            <w:sz w:val="21"/>
                          </w:rPr>
                          <w:t> </w:t>
                        </w:r>
                        <w:r>
                          <w:rPr>
                            <w:sz w:val="21"/>
                          </w:rPr>
                          <w:t>IV</w:t>
                        </w:r>
                      </w:p>
                      <w:p>
                        <w:pPr>
                          <w:pStyle w:val="TableParagraph"/>
                          <w:spacing w:line="193" w:lineRule="exact"/>
                          <w:ind w:left="2618"/>
                          <w:rPr>
                            <w:sz w:val="21"/>
                          </w:rPr>
                        </w:pPr>
                        <w:r>
                          <w:rPr>
                            <w:sz w:val="21"/>
                          </w:rPr>
                          <w:t>级，且静息状态下肺动脉平均压超过 30mmHg。</w:t>
                        </w:r>
                      </w:p>
                    </w:tc>
                  </w:tr>
                  <w:tr>
                    <w:trPr>
                      <w:trHeight w:val="1501" w:hRule="atLeast"/>
                    </w:trPr>
                    <w:tc>
                      <w:tcPr>
                        <w:tcW w:w="10168" w:type="dxa"/>
                      </w:tcPr>
                      <w:p>
                        <w:pPr>
                          <w:pStyle w:val="TableParagraph"/>
                          <w:spacing w:before="10"/>
                          <w:rPr>
                            <w:sz w:val="19"/>
                          </w:rPr>
                        </w:pPr>
                      </w:p>
                      <w:p>
                        <w:pPr>
                          <w:pStyle w:val="TableParagraph"/>
                          <w:spacing w:line="254" w:lineRule="auto"/>
                          <w:ind w:left="2618" w:right="197" w:hanging="2419"/>
                          <w:jc w:val="both"/>
                          <w:rPr>
                            <w:sz w:val="21"/>
                          </w:rPr>
                        </w:pPr>
                        <w:r>
                          <w:rPr>
                            <w:b/>
                            <w:position w:val="-3"/>
                            <w:sz w:val="21"/>
                          </w:rPr>
                          <w:t>22</w:t>
                        </w:r>
                        <w:r>
                          <w:rPr>
                            <w:b/>
                            <w:spacing w:val="5"/>
                            <w:position w:val="-3"/>
                            <w:sz w:val="21"/>
                          </w:rPr>
                          <w:t>. 严重运动神经元病 </w:t>
                        </w:r>
                        <w:r>
                          <w:rPr>
                            <w:spacing w:val="-2"/>
                            <w:sz w:val="21"/>
                          </w:rPr>
                          <w:t>是一组中枢神经系统运动神经元的进行性变性疾病，包括进行性脊肌萎缩症、进</w:t>
                        </w:r>
                        <w:r>
                          <w:rPr>
                            <w:spacing w:val="-3"/>
                            <w:sz w:val="21"/>
                          </w:rPr>
                          <w:t>行性延髓麻痹症、原发性侧索硬化症、肌萎缩性侧索硬化症。须满足自主生活能力完全丧失，无法独立完成六项基本日常生活活动中的三项或三项以上的条件。</w:t>
                        </w:r>
                      </w:p>
                    </w:tc>
                  </w:tr>
                  <w:tr>
                    <w:trPr>
                      <w:trHeight w:val="880" w:hRule="atLeast"/>
                    </w:trPr>
                    <w:tc>
                      <w:tcPr>
                        <w:tcW w:w="10168" w:type="dxa"/>
                      </w:tcPr>
                      <w:p>
                        <w:pPr>
                          <w:pStyle w:val="TableParagraph"/>
                          <w:spacing w:before="3"/>
                          <w:rPr>
                            <w:sz w:val="18"/>
                          </w:rPr>
                        </w:pPr>
                      </w:p>
                      <w:p>
                        <w:pPr>
                          <w:pStyle w:val="TableParagraph"/>
                          <w:tabs>
                            <w:tab w:pos="2617" w:val="left" w:leader="none"/>
                          </w:tabs>
                          <w:ind w:left="2618" w:right="304" w:hanging="2419"/>
                          <w:rPr>
                            <w:sz w:val="21"/>
                          </w:rPr>
                        </w:pPr>
                        <w:r>
                          <w:rPr>
                            <w:b/>
                            <w:position w:val="-3"/>
                            <w:sz w:val="21"/>
                          </w:rPr>
                          <w:t>23.</w:t>
                        </w:r>
                        <w:r>
                          <w:rPr>
                            <w:b/>
                            <w:spacing w:val="-6"/>
                            <w:position w:val="-3"/>
                            <w:sz w:val="21"/>
                          </w:rPr>
                          <w:t> </w:t>
                        </w:r>
                        <w:r>
                          <w:rPr>
                            <w:b/>
                            <w:position w:val="-3"/>
                            <w:sz w:val="21"/>
                          </w:rPr>
                          <w:t>语言能力丧失</w:t>
                          <w:tab/>
                        </w:r>
                        <w:r>
                          <w:rPr>
                            <w:sz w:val="21"/>
                          </w:rPr>
                          <w:t>指因疾病或意外伤害导致完全丧失语言能力，经过积极治疗至少</w:t>
                        </w:r>
                        <w:r>
                          <w:rPr>
                            <w:spacing w:val="-70"/>
                            <w:sz w:val="21"/>
                          </w:rPr>
                          <w:t> </w:t>
                        </w:r>
                        <w:r>
                          <w:rPr>
                            <w:sz w:val="21"/>
                          </w:rPr>
                          <w:t>12</w:t>
                        </w:r>
                        <w:r>
                          <w:rPr>
                            <w:spacing w:val="-70"/>
                            <w:sz w:val="21"/>
                          </w:rPr>
                          <w:t> </w:t>
                        </w:r>
                        <w:r>
                          <w:rPr>
                            <w:sz w:val="21"/>
                          </w:rPr>
                          <w:t>个月（声带完全切除不受此时间限制</w:t>
                        </w:r>
                        <w:r>
                          <w:rPr>
                            <w:spacing w:val="-105"/>
                            <w:sz w:val="21"/>
                          </w:rPr>
                          <w:t>）</w:t>
                        </w:r>
                        <w:r>
                          <w:rPr>
                            <w:sz w:val="21"/>
                          </w:rPr>
                          <w:t>，仍无</w:t>
                        </w:r>
                        <w:r>
                          <w:rPr>
                            <w:spacing w:val="-2"/>
                            <w:sz w:val="21"/>
                          </w:rPr>
                          <w:t>法</w:t>
                        </w:r>
                        <w:r>
                          <w:rPr>
                            <w:sz w:val="21"/>
                          </w:rPr>
                          <w:t>通过现有医疗手段恢复。</w:t>
                        </w:r>
                      </w:p>
                    </w:tc>
                  </w:tr>
                  <w:tr>
                    <w:trPr>
                      <w:trHeight w:val="782" w:hRule="atLeast"/>
                    </w:trPr>
                    <w:tc>
                      <w:tcPr>
                        <w:tcW w:w="10168" w:type="dxa"/>
                      </w:tcPr>
                      <w:p>
                        <w:pPr>
                          <w:pStyle w:val="TableParagraph"/>
                          <w:rPr>
                            <w:sz w:val="20"/>
                          </w:rPr>
                        </w:pPr>
                      </w:p>
                      <w:p>
                        <w:pPr>
                          <w:pStyle w:val="TableParagraph"/>
                          <w:ind w:left="2618"/>
                          <w:rPr>
                            <w:sz w:val="21"/>
                          </w:rPr>
                        </w:pPr>
                        <w:r>
                          <w:rPr>
                            <w:sz w:val="21"/>
                          </w:rPr>
                          <w:t>精神心理因素所致的语言能力丧失不在保障范围内。</w:t>
                        </w:r>
                      </w:p>
                    </w:tc>
                  </w:tr>
                  <w:tr>
                    <w:trPr>
                      <w:trHeight w:val="1888" w:hRule="atLeast"/>
                    </w:trPr>
                    <w:tc>
                      <w:tcPr>
                        <w:tcW w:w="10168" w:type="dxa"/>
                      </w:tcPr>
                      <w:p>
                        <w:pPr>
                          <w:pStyle w:val="TableParagraph"/>
                          <w:tabs>
                            <w:tab w:pos="2617" w:val="left" w:leader="none"/>
                          </w:tabs>
                          <w:spacing w:line="237" w:lineRule="auto" w:before="183"/>
                          <w:ind w:left="619" w:right="197" w:hanging="420"/>
                          <w:rPr>
                            <w:sz w:val="21"/>
                          </w:rPr>
                        </w:pPr>
                        <w:r>
                          <w:rPr>
                            <w:b/>
                            <w:position w:val="-3"/>
                            <w:sz w:val="21"/>
                          </w:rPr>
                          <w:t>24.</w:t>
                        </w:r>
                        <w:r>
                          <w:rPr>
                            <w:b/>
                            <w:spacing w:val="-5"/>
                            <w:position w:val="-3"/>
                            <w:sz w:val="21"/>
                          </w:rPr>
                          <w:t> </w:t>
                        </w:r>
                        <w:r>
                          <w:rPr>
                            <w:b/>
                            <w:spacing w:val="12"/>
                            <w:position w:val="-3"/>
                            <w:sz w:val="21"/>
                          </w:rPr>
                          <w:t>重型再生障碍性</w:t>
                        </w:r>
                        <w:r>
                          <w:rPr>
                            <w:b/>
                            <w:position w:val="-3"/>
                            <w:sz w:val="21"/>
                          </w:rPr>
                          <w:t>贫</w:t>
                          <w:tab/>
                        </w:r>
                        <w:r>
                          <w:rPr>
                            <w:sz w:val="21"/>
                          </w:rPr>
                          <w:t>指因骨髓造血功能慢性持续性衰竭导致的贫血、中性粒细胞减少及血小板减少，</w:t>
                        </w:r>
                        <w:r>
                          <w:rPr>
                            <w:b/>
                            <w:position w:val="-11"/>
                            <w:sz w:val="21"/>
                          </w:rPr>
                          <w:t>血</w:t>
                          <w:tab/>
                        </w:r>
                        <w:r>
                          <w:rPr>
                            <w:sz w:val="21"/>
                          </w:rPr>
                          <w:t>须满足以下全部条件：</w:t>
                        </w:r>
                      </w:p>
                      <w:p>
                        <w:pPr>
                          <w:pStyle w:val="TableParagraph"/>
                          <w:spacing w:line="193" w:lineRule="exact"/>
                          <w:ind w:left="2618"/>
                          <w:rPr>
                            <w:sz w:val="21"/>
                          </w:rPr>
                        </w:pPr>
                        <w:r>
                          <w:rPr>
                            <w:sz w:val="21"/>
                          </w:rPr>
                          <w:t>（1）骨髓穿刺检查或骨髓活检结果支持诊断；</w:t>
                        </w:r>
                      </w:p>
                      <w:p>
                        <w:pPr>
                          <w:pStyle w:val="TableParagraph"/>
                          <w:spacing w:before="37"/>
                          <w:ind w:left="2618"/>
                          <w:rPr>
                            <w:sz w:val="21"/>
                          </w:rPr>
                        </w:pPr>
                        <w:r>
                          <w:rPr>
                            <w:sz w:val="21"/>
                          </w:rPr>
                          <w:t>（2）外周血象必须具备以下三项条件：</w:t>
                        </w:r>
                      </w:p>
                      <w:p>
                        <w:pPr>
                          <w:pStyle w:val="TableParagraph"/>
                          <w:spacing w:before="36"/>
                          <w:ind w:left="3030" w:right="3600"/>
                          <w:jc w:val="center"/>
                          <w:rPr>
                            <w:sz w:val="21"/>
                          </w:rPr>
                        </w:pPr>
                        <w:r>
                          <w:rPr>
                            <w:spacing w:val="-2"/>
                            <w:sz w:val="21"/>
                          </w:rPr>
                          <w:t>① 中性粒细胞绝对值</w:t>
                        </w:r>
                        <w:r>
                          <w:rPr>
                            <w:sz w:val="21"/>
                          </w:rPr>
                          <w:t>≤0.5×10</w:t>
                        </w:r>
                        <w:r>
                          <w:rPr>
                            <w:b/>
                            <w:position w:val="11"/>
                            <w:sz w:val="11"/>
                          </w:rPr>
                          <w:t>9</w:t>
                        </w:r>
                        <w:r>
                          <w:rPr>
                            <w:sz w:val="21"/>
                          </w:rPr>
                          <w:t>/L</w:t>
                        </w:r>
                        <w:r>
                          <w:rPr>
                            <w:spacing w:val="-2"/>
                            <w:sz w:val="21"/>
                          </w:rPr>
                          <w:t> ；</w:t>
                        </w:r>
                      </w:p>
                    </w:tc>
                  </w:tr>
                  <w:tr>
                    <w:trPr>
                      <w:trHeight w:val="675" w:hRule="atLeast"/>
                    </w:trPr>
                    <w:tc>
                      <w:tcPr>
                        <w:tcW w:w="10168" w:type="dxa"/>
                      </w:tcPr>
                      <w:p>
                        <w:pPr>
                          <w:pStyle w:val="TableParagraph"/>
                          <w:spacing w:line="128" w:lineRule="exact"/>
                          <w:ind w:left="3038"/>
                          <w:rPr>
                            <w:sz w:val="21"/>
                          </w:rPr>
                        </w:pPr>
                        <w:r>
                          <w:rPr>
                            <w:sz w:val="21"/>
                          </w:rPr>
                          <w:t>② 网织红细胞＜1%；</w:t>
                        </w:r>
                      </w:p>
                      <w:p>
                        <w:pPr>
                          <w:pStyle w:val="TableParagraph"/>
                          <w:spacing w:before="16"/>
                          <w:ind w:left="3038"/>
                          <w:rPr>
                            <w:sz w:val="21"/>
                          </w:rPr>
                        </w:pPr>
                        <w:r>
                          <w:rPr>
                            <w:sz w:val="21"/>
                          </w:rPr>
                          <w:t>③ 血小板绝对值≤20×10</w:t>
                        </w:r>
                        <w:r>
                          <w:rPr>
                            <w:b/>
                            <w:position w:val="11"/>
                            <w:sz w:val="11"/>
                          </w:rPr>
                          <w:t>9</w:t>
                        </w:r>
                        <w:r>
                          <w:rPr>
                            <w:sz w:val="21"/>
                          </w:rPr>
                          <w:t>/L。</w:t>
                        </w:r>
                      </w:p>
                    </w:tc>
                  </w:tr>
                  <w:tr>
                    <w:trPr>
                      <w:trHeight w:val="949" w:hRule="atLeast"/>
                    </w:trPr>
                    <w:tc>
                      <w:tcPr>
                        <w:tcW w:w="10168" w:type="dxa"/>
                      </w:tcPr>
                      <w:p>
                        <w:pPr>
                          <w:pStyle w:val="TableParagraph"/>
                          <w:tabs>
                            <w:tab w:pos="2617" w:val="left" w:leader="none"/>
                          </w:tabs>
                          <w:spacing w:line="237" w:lineRule="auto" w:before="154"/>
                          <w:ind w:left="2618" w:right="203" w:hanging="2419"/>
                          <w:rPr>
                            <w:sz w:val="21"/>
                          </w:rPr>
                        </w:pPr>
                        <w:r>
                          <w:rPr>
                            <w:b/>
                            <w:position w:val="-3"/>
                            <w:sz w:val="21"/>
                          </w:rPr>
                          <w:t>25.</w:t>
                        </w:r>
                        <w:r>
                          <w:rPr>
                            <w:b/>
                            <w:spacing w:val="-6"/>
                            <w:position w:val="-3"/>
                            <w:sz w:val="21"/>
                          </w:rPr>
                          <w:t> </w:t>
                        </w:r>
                        <w:r>
                          <w:rPr>
                            <w:b/>
                            <w:position w:val="-3"/>
                            <w:sz w:val="21"/>
                          </w:rPr>
                          <w:t>主动脉手术</w:t>
                          <w:tab/>
                        </w:r>
                        <w:r>
                          <w:rPr>
                            <w:sz w:val="21"/>
                          </w:rPr>
                          <w:t>指为治疗主动脉疾病</w:t>
                        </w:r>
                        <w:r>
                          <w:rPr>
                            <w:spacing w:val="-3"/>
                            <w:sz w:val="21"/>
                          </w:rPr>
                          <w:t>，</w:t>
                        </w:r>
                        <w:r>
                          <w:rPr>
                            <w:sz w:val="21"/>
                          </w:rPr>
                          <w:t>实际实施了开胸或开腹进行的切除</w:t>
                        </w:r>
                        <w:r>
                          <w:rPr>
                            <w:spacing w:val="-3"/>
                            <w:sz w:val="21"/>
                          </w:rPr>
                          <w:t>、</w:t>
                        </w:r>
                        <w:r>
                          <w:rPr>
                            <w:sz w:val="21"/>
                          </w:rPr>
                          <w:t>置换</w:t>
                        </w:r>
                        <w:r>
                          <w:rPr>
                            <w:spacing w:val="-3"/>
                            <w:sz w:val="21"/>
                          </w:rPr>
                          <w:t>、</w:t>
                        </w:r>
                        <w:r>
                          <w:rPr>
                            <w:sz w:val="21"/>
                          </w:rPr>
                          <w:t>修补病损主动</w:t>
                        </w:r>
                        <w:r>
                          <w:rPr>
                            <w:spacing w:val="-1"/>
                            <w:sz w:val="21"/>
                          </w:rPr>
                          <w:t>脉血</w:t>
                        </w:r>
                        <w:r>
                          <w:rPr>
                            <w:sz w:val="21"/>
                          </w:rPr>
                          <w:t>管的手术</w:t>
                        </w:r>
                        <w:r>
                          <w:rPr>
                            <w:spacing w:val="-4"/>
                            <w:sz w:val="21"/>
                          </w:rPr>
                          <w:t>。</w:t>
                        </w:r>
                        <w:r>
                          <w:rPr>
                            <w:sz w:val="21"/>
                          </w:rPr>
                          <w:t>主动脉指胸主动脉和腹主动脉</w:t>
                        </w:r>
                        <w:r>
                          <w:rPr>
                            <w:spacing w:val="-3"/>
                            <w:sz w:val="21"/>
                          </w:rPr>
                          <w:t>，</w:t>
                        </w:r>
                        <w:r>
                          <w:rPr>
                            <w:sz w:val="21"/>
                          </w:rPr>
                          <w:t>不包括胸主动脉和腹主动脉的分</w:t>
                        </w:r>
                      </w:p>
                    </w:tc>
                  </w:tr>
                  <w:tr>
                    <w:trPr>
                      <w:trHeight w:val="939" w:hRule="atLeast"/>
                    </w:trPr>
                    <w:tc>
                      <w:tcPr>
                        <w:tcW w:w="10168" w:type="dxa"/>
                      </w:tcPr>
                      <w:p>
                        <w:pPr>
                          <w:pStyle w:val="TableParagraph"/>
                          <w:rPr>
                            <w:sz w:val="20"/>
                          </w:rPr>
                        </w:pPr>
                      </w:p>
                      <w:p>
                        <w:pPr>
                          <w:pStyle w:val="TableParagraph"/>
                          <w:spacing w:before="157"/>
                          <w:ind w:left="2618"/>
                          <w:rPr>
                            <w:sz w:val="21"/>
                          </w:rPr>
                        </w:pPr>
                        <w:r>
                          <w:rPr>
                            <w:sz w:val="21"/>
                          </w:rPr>
                          <w:t>动脉内血管成形术不在保障范围内。</w:t>
                        </w:r>
                      </w:p>
                    </w:tc>
                  </w:tr>
                  <w:tr>
                    <w:trPr>
                      <w:trHeight w:val="1091" w:hRule="atLeast"/>
                    </w:trPr>
                    <w:tc>
                      <w:tcPr>
                        <w:tcW w:w="10168" w:type="dxa"/>
                      </w:tcPr>
                      <w:p>
                        <w:pPr>
                          <w:pStyle w:val="TableParagraph"/>
                          <w:spacing w:before="12"/>
                          <w:rPr>
                            <w:sz w:val="13"/>
                          </w:rPr>
                        </w:pPr>
                      </w:p>
                      <w:p>
                        <w:pPr>
                          <w:pStyle w:val="TableParagraph"/>
                          <w:tabs>
                            <w:tab w:pos="2617" w:val="left" w:leader="none"/>
                          </w:tabs>
                          <w:spacing w:line="237" w:lineRule="auto" w:before="1"/>
                          <w:ind w:left="2618" w:right="204" w:hanging="2419"/>
                          <w:rPr>
                            <w:sz w:val="21"/>
                          </w:rPr>
                        </w:pPr>
                        <w:r>
                          <w:rPr>
                            <w:b/>
                            <w:position w:val="-3"/>
                            <w:sz w:val="21"/>
                          </w:rPr>
                          <w:t>26.</w:t>
                        </w:r>
                        <w:r>
                          <w:rPr>
                            <w:b/>
                            <w:spacing w:val="-5"/>
                            <w:position w:val="-3"/>
                            <w:sz w:val="21"/>
                          </w:rPr>
                          <w:t> </w:t>
                        </w:r>
                        <w:r>
                          <w:rPr>
                            <w:b/>
                            <w:position w:val="-3"/>
                            <w:sz w:val="21"/>
                          </w:rPr>
                          <w:t>植物人</w:t>
                          <w:tab/>
                        </w:r>
                        <w:r>
                          <w:rPr>
                            <w:sz w:val="21"/>
                          </w:rPr>
                          <w:t>指经本公司认可的神经科医生确诊</w:t>
                        </w:r>
                        <w:r>
                          <w:rPr>
                            <w:spacing w:val="-3"/>
                            <w:sz w:val="21"/>
                          </w:rPr>
                          <w:t>，</w:t>
                        </w:r>
                        <w:r>
                          <w:rPr>
                            <w:sz w:val="21"/>
                          </w:rPr>
                          <w:t>大脑皮质全面坏死</w:t>
                        </w:r>
                        <w:r>
                          <w:rPr>
                            <w:spacing w:val="-3"/>
                            <w:sz w:val="21"/>
                          </w:rPr>
                          <w:t>，</w:t>
                        </w:r>
                        <w:r>
                          <w:rPr>
                            <w:sz w:val="21"/>
                          </w:rPr>
                          <w:t>意识完全丧失</w:t>
                        </w:r>
                        <w:r>
                          <w:rPr>
                            <w:spacing w:val="-3"/>
                            <w:sz w:val="21"/>
                          </w:rPr>
                          <w:t>，</w:t>
                        </w:r>
                        <w:r>
                          <w:rPr>
                            <w:sz w:val="21"/>
                          </w:rPr>
                          <w:t>但脑干仍保持完好，且此情况维持一个月以上。</w:t>
                        </w:r>
                      </w:p>
                    </w:tc>
                  </w:tr>
                  <w:tr>
                    <w:trPr>
                      <w:trHeight w:val="2062" w:hRule="atLeast"/>
                    </w:trPr>
                    <w:tc>
                      <w:tcPr>
                        <w:tcW w:w="10168" w:type="dxa"/>
                      </w:tcPr>
                      <w:p>
                        <w:pPr>
                          <w:pStyle w:val="TableParagraph"/>
                          <w:spacing w:before="12"/>
                          <w:rPr>
                            <w:sz w:val="19"/>
                          </w:rPr>
                        </w:pPr>
                      </w:p>
                      <w:p>
                        <w:pPr>
                          <w:pStyle w:val="TableParagraph"/>
                          <w:numPr>
                            <w:ilvl w:val="0"/>
                            <w:numId w:val="8"/>
                          </w:numPr>
                          <w:tabs>
                            <w:tab w:pos="620" w:val="left" w:leader="none"/>
                            <w:tab w:pos="2617" w:val="left" w:leader="none"/>
                          </w:tabs>
                          <w:spacing w:line="237" w:lineRule="auto" w:before="1" w:after="0"/>
                          <w:ind w:left="2618" w:right="203" w:hanging="2418"/>
                          <w:jc w:val="left"/>
                          <w:rPr>
                            <w:sz w:val="21"/>
                          </w:rPr>
                        </w:pPr>
                        <w:r>
                          <w:rPr>
                            <w:b/>
                            <w:position w:val="-3"/>
                            <w:sz w:val="21"/>
                          </w:rPr>
                          <w:t>系统性红斑狼疮</w:t>
                          <w:tab/>
                        </w:r>
                        <w:r>
                          <w:rPr>
                            <w:sz w:val="21"/>
                          </w:rPr>
                          <w:t>是一种自身免疫性结缔组织病</w:t>
                        </w:r>
                        <w:r>
                          <w:rPr>
                            <w:spacing w:val="-4"/>
                            <w:sz w:val="21"/>
                          </w:rPr>
                          <w:t>，</w:t>
                        </w:r>
                        <w:r>
                          <w:rPr>
                            <w:sz w:val="21"/>
                          </w:rPr>
                          <w:t>于体内有大量致病性自身抗体和免疫复合物</w:t>
                        </w:r>
                        <w:r>
                          <w:rPr>
                            <w:spacing w:val="-3"/>
                            <w:sz w:val="21"/>
                          </w:rPr>
                          <w:t>，</w:t>
                        </w:r>
                        <w:r>
                          <w:rPr>
                            <w:sz w:val="21"/>
                          </w:rPr>
                          <w:t>造成组织损伤。理赔须经本公司认可的专科医生确认并同时具备下列情况：</w:t>
                        </w:r>
                      </w:p>
                      <w:p>
                        <w:pPr>
                          <w:pStyle w:val="TableParagraph"/>
                          <w:spacing w:before="4"/>
                          <w:rPr>
                            <w:sz w:val="24"/>
                          </w:rPr>
                        </w:pPr>
                      </w:p>
                      <w:p>
                        <w:pPr>
                          <w:pStyle w:val="TableParagraph"/>
                          <w:numPr>
                            <w:ilvl w:val="1"/>
                            <w:numId w:val="8"/>
                          </w:numPr>
                          <w:tabs>
                            <w:tab w:pos="3039" w:val="left" w:leader="none"/>
                          </w:tabs>
                          <w:spacing w:line="240" w:lineRule="auto" w:before="0" w:after="0"/>
                          <w:ind w:left="3038" w:right="0" w:hanging="420"/>
                          <w:jc w:val="left"/>
                          <w:rPr>
                            <w:sz w:val="21"/>
                          </w:rPr>
                        </w:pPr>
                        <w:r>
                          <w:rPr>
                            <w:sz w:val="21"/>
                          </w:rPr>
                          <w:t>临床表现至少具备如下条件的四个：</w:t>
                        </w:r>
                      </w:p>
                      <w:p>
                        <w:pPr>
                          <w:pStyle w:val="TableParagraph"/>
                          <w:spacing w:before="37"/>
                          <w:ind w:left="3038"/>
                          <w:rPr>
                            <w:sz w:val="21"/>
                          </w:rPr>
                        </w:pPr>
                        <w:r>
                          <w:rPr>
                            <w:sz w:val="21"/>
                          </w:rPr>
                          <w:t>① 蝶形红斑或盘形红斑；</w:t>
                        </w:r>
                      </w:p>
                      <w:p>
                        <w:pPr>
                          <w:pStyle w:val="TableParagraph"/>
                          <w:spacing w:line="255" w:lineRule="exact" w:before="37"/>
                          <w:ind w:left="3038"/>
                          <w:rPr>
                            <w:sz w:val="21"/>
                          </w:rPr>
                        </w:pPr>
                        <w:r>
                          <w:rPr>
                            <w:sz w:val="21"/>
                          </w:rPr>
                          <w:t>② 光敏感；</w:t>
                        </w:r>
                      </w:p>
                    </w:tc>
                  </w:tr>
                </w:tbl>
                <w:p>
                  <w:pPr>
                    <w:pStyle w:val="BodyText"/>
                  </w:pPr>
                </w:p>
              </w:txbxContent>
            </v:textbox>
            <w10:wrap type="none"/>
          </v:shape>
        </w:pict>
      </w:r>
    </w:p>
    <w:p>
      <w:pPr>
        <w:pStyle w:val="BodyText"/>
        <w:spacing w:before="35"/>
        <w:ind w:left="3143"/>
      </w:pPr>
      <w:r>
        <w:rPr/>
        <w:t>三项以上。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ind w:left="2723"/>
      </w:pPr>
      <w:r>
        <w:rPr/>
        <w:t>支血管。</w:t>
      </w:r>
    </w:p>
    <w:p>
      <w:pPr>
        <w:spacing w:after="0"/>
        <w:sectPr>
          <w:pgSz w:w="11910" w:h="16840"/>
          <w:pgMar w:header="877" w:footer="977" w:top="1100" w:bottom="1160" w:left="880" w:right="640"/>
        </w:sectPr>
      </w:pPr>
    </w:p>
    <w:p>
      <w:pPr>
        <w:pStyle w:val="BodyText"/>
        <w:rPr>
          <w:sz w:val="20"/>
        </w:rPr>
      </w:pPr>
      <w:r>
        <w:rPr/>
        <w:pict>
          <v:shape style="position:absolute;margin-left:49.280899pt;margin-top:55.259998pt;width:508.5pt;height:705.65pt;mso-position-horizontal-relative:page;mso-position-vertical-relative:page;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0"/>
                  </w:tblGrid>
                  <w:tr>
                    <w:trPr>
                      <w:trHeight w:val="3573" w:hRule="atLeast"/>
                    </w:trPr>
                    <w:tc>
                      <w:tcPr>
                        <w:tcW w:w="10170" w:type="dxa"/>
                        <w:tcBorders>
                          <w:top w:val="single" w:sz="6" w:space="0" w:color="000000"/>
                        </w:tcBorders>
                      </w:tcPr>
                      <w:p>
                        <w:pPr>
                          <w:pStyle w:val="TableParagraph"/>
                          <w:spacing w:before="8"/>
                          <w:rPr>
                            <w:sz w:val="21"/>
                          </w:rPr>
                        </w:pPr>
                      </w:p>
                      <w:p>
                        <w:pPr>
                          <w:pStyle w:val="TableParagraph"/>
                          <w:spacing w:before="1"/>
                          <w:ind w:left="3037"/>
                          <w:rPr>
                            <w:sz w:val="21"/>
                          </w:rPr>
                        </w:pPr>
                        <w:r>
                          <w:rPr>
                            <w:sz w:val="21"/>
                          </w:rPr>
                          <w:t>③ 口腔溃疡；</w:t>
                        </w:r>
                      </w:p>
                      <w:p>
                        <w:pPr>
                          <w:pStyle w:val="TableParagraph"/>
                          <w:spacing w:before="37"/>
                          <w:ind w:left="3037"/>
                          <w:rPr>
                            <w:sz w:val="21"/>
                          </w:rPr>
                        </w:pPr>
                        <w:r>
                          <w:rPr>
                            <w:sz w:val="21"/>
                          </w:rPr>
                          <w:t>④ 非畸形关节炎或关节痛；</w:t>
                        </w:r>
                      </w:p>
                      <w:p>
                        <w:pPr>
                          <w:pStyle w:val="TableParagraph"/>
                          <w:spacing w:before="37"/>
                          <w:ind w:left="3037"/>
                          <w:rPr>
                            <w:sz w:val="21"/>
                          </w:rPr>
                        </w:pPr>
                        <w:r>
                          <w:rPr>
                            <w:sz w:val="21"/>
                          </w:rPr>
                          <w:t>⑤ 浆膜炎、胸膜炎或心包炎；</w:t>
                        </w:r>
                      </w:p>
                      <w:p>
                        <w:pPr>
                          <w:pStyle w:val="TableParagraph"/>
                          <w:spacing w:before="37"/>
                          <w:ind w:left="3037"/>
                          <w:rPr>
                            <w:sz w:val="21"/>
                          </w:rPr>
                        </w:pPr>
                        <w:r>
                          <w:rPr>
                            <w:sz w:val="21"/>
                          </w:rPr>
                          <w:t>⑥ 神经系统损伤（抽搐或精神症状</w:t>
                        </w:r>
                        <w:r>
                          <w:rPr>
                            <w:spacing w:val="-105"/>
                            <w:sz w:val="21"/>
                          </w:rPr>
                          <w:t>）</w:t>
                        </w:r>
                        <w:r>
                          <w:rPr>
                            <w:sz w:val="21"/>
                          </w:rPr>
                          <w:t>；</w:t>
                        </w:r>
                      </w:p>
                      <w:p>
                        <w:pPr>
                          <w:pStyle w:val="TableParagraph"/>
                          <w:spacing w:before="37"/>
                          <w:ind w:left="3038"/>
                          <w:rPr>
                            <w:sz w:val="21"/>
                          </w:rPr>
                        </w:pPr>
                        <w:r>
                          <w:rPr>
                            <w:spacing w:val="5"/>
                            <w:sz w:val="21"/>
                          </w:rPr>
                          <w:t>⑦ 血象异常</w:t>
                        </w:r>
                        <w:r>
                          <w:rPr>
                            <w:sz w:val="21"/>
                          </w:rPr>
                          <w:t>（WBC&lt;4000/μl</w:t>
                        </w:r>
                        <w:r>
                          <w:rPr>
                            <w:spacing w:val="-12"/>
                            <w:sz w:val="21"/>
                          </w:rPr>
                          <w:t> 或血小板</w:t>
                        </w:r>
                        <w:r>
                          <w:rPr>
                            <w:sz w:val="21"/>
                          </w:rPr>
                          <w:t>&lt;100000/μl</w:t>
                        </w:r>
                        <w:r>
                          <w:rPr>
                            <w:spacing w:val="-9"/>
                            <w:sz w:val="21"/>
                          </w:rPr>
                          <w:t> 或溶血性贫血</w:t>
                        </w:r>
                        <w:r>
                          <w:rPr>
                            <w:spacing w:val="-107"/>
                            <w:sz w:val="21"/>
                          </w:rPr>
                          <w:t>）</w:t>
                        </w:r>
                        <w:r>
                          <w:rPr>
                            <w:sz w:val="21"/>
                          </w:rPr>
                          <w:t>。</w:t>
                        </w:r>
                      </w:p>
                      <w:p>
                        <w:pPr>
                          <w:pStyle w:val="TableParagraph"/>
                          <w:spacing w:before="37"/>
                          <w:ind w:left="2618"/>
                          <w:rPr>
                            <w:sz w:val="21"/>
                          </w:rPr>
                        </w:pPr>
                        <w:r>
                          <w:rPr>
                            <w:sz w:val="21"/>
                          </w:rPr>
                          <w:t>(2) 检测结果至少具备如下条件的两个：</w:t>
                        </w:r>
                      </w:p>
                      <w:p>
                        <w:pPr>
                          <w:pStyle w:val="TableParagraph"/>
                          <w:spacing w:before="37"/>
                          <w:ind w:left="3038"/>
                          <w:rPr>
                            <w:sz w:val="21"/>
                          </w:rPr>
                        </w:pPr>
                        <w:r>
                          <w:rPr>
                            <w:sz w:val="21"/>
                          </w:rPr>
                          <w:t>① 狼疮细胞或抗双链 DNA 抗体阳性；</w:t>
                        </w:r>
                      </w:p>
                      <w:p>
                        <w:pPr>
                          <w:pStyle w:val="TableParagraph"/>
                          <w:spacing w:before="37"/>
                          <w:ind w:left="3038"/>
                          <w:rPr>
                            <w:sz w:val="21"/>
                          </w:rPr>
                        </w:pPr>
                        <w:r>
                          <w:rPr>
                            <w:sz w:val="21"/>
                          </w:rPr>
                          <w:t>② 抗 Sm 抗体阳性；</w:t>
                        </w:r>
                      </w:p>
                      <w:p>
                        <w:pPr>
                          <w:pStyle w:val="TableParagraph"/>
                          <w:spacing w:before="37"/>
                          <w:ind w:left="3038"/>
                          <w:rPr>
                            <w:sz w:val="21"/>
                          </w:rPr>
                        </w:pPr>
                        <w:r>
                          <w:rPr>
                            <w:sz w:val="21"/>
                          </w:rPr>
                          <w:t>③ 抗核抗体阳性；</w:t>
                        </w:r>
                      </w:p>
                      <w:p>
                        <w:pPr>
                          <w:pStyle w:val="TableParagraph"/>
                          <w:spacing w:before="37"/>
                          <w:ind w:left="3038"/>
                          <w:rPr>
                            <w:sz w:val="21"/>
                          </w:rPr>
                        </w:pPr>
                        <w:r>
                          <w:rPr>
                            <w:sz w:val="21"/>
                          </w:rPr>
                          <w:t>④ 狼疮带试验阳性；</w:t>
                        </w:r>
                      </w:p>
                    </w:tc>
                  </w:tr>
                  <w:tr>
                    <w:trPr>
                      <w:trHeight w:val="663" w:hRule="atLeast"/>
                    </w:trPr>
                    <w:tc>
                      <w:tcPr>
                        <w:tcW w:w="10170" w:type="dxa"/>
                      </w:tcPr>
                      <w:p>
                        <w:pPr>
                          <w:pStyle w:val="TableParagraph"/>
                          <w:spacing w:before="142"/>
                          <w:ind w:left="2618"/>
                          <w:rPr>
                            <w:sz w:val="21"/>
                          </w:rPr>
                        </w:pPr>
                        <w:r>
                          <w:rPr>
                            <w:sz w:val="21"/>
                          </w:rPr>
                          <w:t>(3) 狼疮肾炎致使肾功能减弱，血肌酐的清除率低于每分钟 30ml。</w:t>
                        </w:r>
                      </w:p>
                    </w:tc>
                  </w:tr>
                  <w:tr>
                    <w:trPr>
                      <w:trHeight w:val="2066" w:hRule="atLeast"/>
                    </w:trPr>
                    <w:tc>
                      <w:tcPr>
                        <w:tcW w:w="10170" w:type="dxa"/>
                      </w:tcPr>
                      <w:p>
                        <w:pPr>
                          <w:pStyle w:val="TableParagraph"/>
                          <w:spacing w:before="11"/>
                          <w:rPr>
                            <w:sz w:val="13"/>
                          </w:rPr>
                        </w:pPr>
                      </w:p>
                      <w:p>
                        <w:pPr>
                          <w:pStyle w:val="TableParagraph"/>
                          <w:numPr>
                            <w:ilvl w:val="0"/>
                            <w:numId w:val="9"/>
                          </w:numPr>
                          <w:tabs>
                            <w:tab w:pos="620" w:val="left" w:leader="none"/>
                          </w:tabs>
                          <w:spacing w:line="254" w:lineRule="auto" w:before="0" w:after="0"/>
                          <w:ind w:left="2618" w:right="205" w:hanging="2418"/>
                          <w:jc w:val="both"/>
                          <w:rPr>
                            <w:sz w:val="21"/>
                          </w:rPr>
                        </w:pPr>
                        <w:r>
                          <w:rPr>
                            <w:b/>
                            <w:spacing w:val="6"/>
                            <w:position w:val="-3"/>
                            <w:sz w:val="21"/>
                          </w:rPr>
                          <w:t>多发性硬化       </w:t>
                        </w:r>
                        <w:r>
                          <w:rPr>
                            <w:spacing w:val="-1"/>
                            <w:sz w:val="21"/>
                          </w:rPr>
                          <w:t>指因中枢神经系统脱髓鞘而导致的不可逆的身体部位的功能障碍，需由神经科专</w:t>
                        </w:r>
                        <w:r>
                          <w:rPr>
                            <w:spacing w:val="-2"/>
                            <w:sz w:val="21"/>
                          </w:rPr>
                          <w:t>家提供明确诊断，并有 </w:t>
                        </w:r>
                        <w:r>
                          <w:rPr>
                            <w:sz w:val="21"/>
                          </w:rPr>
                          <w:t>CT</w:t>
                        </w:r>
                        <w:r>
                          <w:rPr>
                            <w:spacing w:val="-2"/>
                            <w:sz w:val="21"/>
                          </w:rPr>
                          <w:t> 或核磁共振检查结果诊断报告。所谓不可逆的身体部位功能障碍指初次诊断为功能障碍后需持续一百八十天以上。</w:t>
                        </w:r>
                      </w:p>
                      <w:p>
                        <w:pPr>
                          <w:pStyle w:val="TableParagraph"/>
                          <w:spacing w:before="10"/>
                          <w:rPr>
                            <w:sz w:val="13"/>
                          </w:rPr>
                        </w:pPr>
                      </w:p>
                      <w:p>
                        <w:pPr>
                          <w:pStyle w:val="TableParagraph"/>
                          <w:ind w:left="2618"/>
                          <w:rPr>
                            <w:sz w:val="21"/>
                          </w:rPr>
                        </w:pPr>
                        <w:r>
                          <w:rPr>
                            <w:sz w:val="21"/>
                          </w:rPr>
                          <w:t>由神经科专家提供的明确诊断必须包含以下全部三项内容：</w:t>
                        </w:r>
                      </w:p>
                      <w:p>
                        <w:pPr>
                          <w:pStyle w:val="TableParagraph"/>
                          <w:numPr>
                            <w:ilvl w:val="1"/>
                            <w:numId w:val="9"/>
                          </w:numPr>
                          <w:tabs>
                            <w:tab w:pos="3038" w:val="left" w:leader="none"/>
                          </w:tabs>
                          <w:spacing w:line="240" w:lineRule="auto" w:before="37" w:after="0"/>
                          <w:ind w:left="3038" w:right="0" w:hanging="420"/>
                          <w:jc w:val="left"/>
                          <w:rPr>
                            <w:sz w:val="21"/>
                          </w:rPr>
                        </w:pPr>
                        <w:r>
                          <w:rPr>
                            <w:sz w:val="21"/>
                          </w:rPr>
                          <w:t>明确出现因视神经、脑干和脊髓损伤而导致的临床表现；</w:t>
                        </w:r>
                      </w:p>
                    </w:tc>
                  </w:tr>
                  <w:tr>
                    <w:trPr>
                      <w:trHeight w:val="663" w:hRule="atLeast"/>
                    </w:trPr>
                    <w:tc>
                      <w:tcPr>
                        <w:tcW w:w="10170" w:type="dxa"/>
                      </w:tcPr>
                      <w:p>
                        <w:pPr>
                          <w:pStyle w:val="TableParagraph"/>
                          <w:spacing w:before="142"/>
                          <w:ind w:left="2618"/>
                          <w:rPr>
                            <w:sz w:val="21"/>
                          </w:rPr>
                        </w:pPr>
                        <w:r>
                          <w:rPr>
                            <w:sz w:val="21"/>
                          </w:rPr>
                          <w:t>(3) 有明确的上述症状及神经损伤反复恶化、减轻的病史纪录。</w:t>
                        </w:r>
                      </w:p>
                    </w:tc>
                  </w:tr>
                  <w:tr>
                    <w:trPr>
                      <w:trHeight w:val="1755" w:hRule="atLeast"/>
                    </w:trPr>
                    <w:tc>
                      <w:tcPr>
                        <w:tcW w:w="10170" w:type="dxa"/>
                      </w:tcPr>
                      <w:p>
                        <w:pPr>
                          <w:pStyle w:val="TableParagraph"/>
                          <w:numPr>
                            <w:ilvl w:val="0"/>
                            <w:numId w:val="10"/>
                          </w:numPr>
                          <w:tabs>
                            <w:tab w:pos="620" w:val="left" w:leader="none"/>
                            <w:tab w:pos="2617" w:val="left" w:leader="none"/>
                          </w:tabs>
                          <w:spacing w:line="237" w:lineRule="auto" w:before="183" w:after="0"/>
                          <w:ind w:left="620" w:right="206" w:hanging="420"/>
                          <w:jc w:val="left"/>
                          <w:rPr>
                            <w:sz w:val="21"/>
                          </w:rPr>
                        </w:pPr>
                        <w:r>
                          <w:rPr>
                            <w:b/>
                            <w:spacing w:val="12"/>
                            <w:position w:val="-3"/>
                            <w:sz w:val="21"/>
                          </w:rPr>
                          <w:t>胰岛素依赖型糖</w:t>
                        </w:r>
                        <w:r>
                          <w:rPr>
                            <w:b/>
                            <w:position w:val="-3"/>
                            <w:sz w:val="21"/>
                          </w:rPr>
                          <w:t>尿</w:t>
                          <w:tab/>
                        </w:r>
                        <w:r>
                          <w:rPr>
                            <w:sz w:val="21"/>
                          </w:rPr>
                          <w:t>胰岛素依赖型糖尿病是由于胰岛素分泌不足引起的慢性血糖升高</w:t>
                        </w:r>
                        <w:r>
                          <w:rPr>
                            <w:spacing w:val="-7"/>
                            <w:sz w:val="21"/>
                          </w:rPr>
                          <w:t>，</w:t>
                        </w:r>
                        <w:r>
                          <w:rPr>
                            <w:sz w:val="21"/>
                          </w:rPr>
                          <w:t>并需持续性地</w:t>
                        </w:r>
                        <w:r>
                          <w:rPr>
                            <w:b/>
                            <w:position w:val="-11"/>
                            <w:sz w:val="21"/>
                          </w:rPr>
                          <w:t>病（Ｉ型糖尿病）</w:t>
                          <w:tab/>
                        </w:r>
                        <w:r>
                          <w:rPr>
                            <w:sz w:val="21"/>
                          </w:rPr>
                          <w:t>依赖外源性胰岛素维持一百八十天以上</w:t>
                        </w:r>
                        <w:r>
                          <w:rPr>
                            <w:spacing w:val="-7"/>
                            <w:sz w:val="21"/>
                          </w:rPr>
                          <w:t>，</w:t>
                        </w:r>
                        <w:r>
                          <w:rPr>
                            <w:sz w:val="21"/>
                          </w:rPr>
                          <w:t>须由本公司认可的有资格的内分泌医生</w:t>
                        </w:r>
                      </w:p>
                      <w:p>
                        <w:pPr>
                          <w:pStyle w:val="TableParagraph"/>
                          <w:spacing w:line="193" w:lineRule="exact"/>
                          <w:ind w:left="2618"/>
                          <w:rPr>
                            <w:sz w:val="21"/>
                          </w:rPr>
                        </w:pPr>
                        <w:r>
                          <w:rPr>
                            <w:sz w:val="21"/>
                          </w:rPr>
                          <w:t>确诊并在本附加合同保险责任有效期内，满足下述至少一个条件：</w:t>
                        </w:r>
                      </w:p>
                      <w:p>
                        <w:pPr>
                          <w:pStyle w:val="TableParagraph"/>
                          <w:spacing w:before="10"/>
                          <w:rPr>
                            <w:sz w:val="14"/>
                          </w:rPr>
                        </w:pPr>
                      </w:p>
                      <w:p>
                        <w:pPr>
                          <w:pStyle w:val="TableParagraph"/>
                          <w:numPr>
                            <w:ilvl w:val="1"/>
                            <w:numId w:val="10"/>
                          </w:numPr>
                          <w:tabs>
                            <w:tab w:pos="3038" w:val="left" w:leader="none"/>
                          </w:tabs>
                          <w:spacing w:line="240" w:lineRule="auto" w:before="0" w:after="0"/>
                          <w:ind w:left="3038" w:right="0" w:hanging="420"/>
                          <w:jc w:val="left"/>
                          <w:rPr>
                            <w:sz w:val="21"/>
                          </w:rPr>
                        </w:pPr>
                        <w:r>
                          <w:rPr>
                            <w:sz w:val="21"/>
                          </w:rPr>
                          <w:t>本公司认可的内分泌医生确定已出现增殖性视网膜病变；</w:t>
                        </w:r>
                      </w:p>
                    </w:tc>
                  </w:tr>
                  <w:tr>
                    <w:trPr>
                      <w:trHeight w:val="663" w:hRule="atLeast"/>
                    </w:trPr>
                    <w:tc>
                      <w:tcPr>
                        <w:tcW w:w="10170" w:type="dxa"/>
                      </w:tcPr>
                      <w:p>
                        <w:pPr>
                          <w:pStyle w:val="TableParagraph"/>
                          <w:spacing w:before="142"/>
                          <w:ind w:left="2618"/>
                          <w:rPr>
                            <w:sz w:val="21"/>
                          </w:rPr>
                        </w:pPr>
                        <w:r>
                          <w:rPr>
                            <w:sz w:val="21"/>
                          </w:rPr>
                          <w:t>(3) 因坏疽需切除一只或以上脚趾。</w:t>
                        </w:r>
                      </w:p>
                    </w:tc>
                  </w:tr>
                  <w:tr>
                    <w:trPr>
                      <w:trHeight w:val="1972" w:hRule="atLeast"/>
                    </w:trPr>
                    <w:tc>
                      <w:tcPr>
                        <w:tcW w:w="10170" w:type="dxa"/>
                      </w:tcPr>
                      <w:p>
                        <w:pPr>
                          <w:pStyle w:val="TableParagraph"/>
                          <w:spacing w:before="11"/>
                          <w:rPr>
                            <w:sz w:val="13"/>
                          </w:rPr>
                        </w:pPr>
                      </w:p>
                      <w:p>
                        <w:pPr>
                          <w:pStyle w:val="TableParagraph"/>
                          <w:spacing w:line="261" w:lineRule="auto"/>
                          <w:ind w:left="2618" w:right="205" w:hanging="2418"/>
                          <w:jc w:val="both"/>
                          <w:rPr>
                            <w:sz w:val="21"/>
                          </w:rPr>
                        </w:pPr>
                        <w:r>
                          <w:rPr>
                            <w:b/>
                            <w:position w:val="-3"/>
                            <w:sz w:val="21"/>
                          </w:rPr>
                          <w:t>30</w:t>
                        </w:r>
                        <w:r>
                          <w:rPr>
                            <w:b/>
                            <w:spacing w:val="5"/>
                            <w:position w:val="-3"/>
                            <w:sz w:val="21"/>
                          </w:rPr>
                          <w:t>. 原发性心肌病     </w:t>
                        </w:r>
                        <w:r>
                          <w:rPr>
                            <w:spacing w:val="-2"/>
                            <w:sz w:val="21"/>
                          </w:rPr>
                          <w:t>指不明原因引起的一类心肌病变，包括原发性扩张型心肌病、原发性肥厚型心肌</w:t>
                        </w:r>
                        <w:r>
                          <w:rPr>
                            <w:spacing w:val="-3"/>
                            <w:sz w:val="21"/>
                          </w:rPr>
                          <w:t>病及原发性限制型心肌病三种，病变必须已造成事实上心室功能障碍而出现明显</w:t>
                        </w:r>
                        <w:r>
                          <w:rPr>
                            <w:sz w:val="21"/>
                          </w:rPr>
                          <w:t>的心功能衰竭</w:t>
                        </w:r>
                        <w:r>
                          <w:rPr>
                            <w:spacing w:val="1"/>
                            <w:sz w:val="21"/>
                          </w:rPr>
                          <w:t>（</w:t>
                        </w:r>
                        <w:r>
                          <w:rPr>
                            <w:sz w:val="21"/>
                          </w:rPr>
                          <w:t>美国纽约心脏协会心功能分类标准心功能达四级</w:t>
                        </w:r>
                        <w:r>
                          <w:rPr>
                            <w:spacing w:val="-101"/>
                            <w:sz w:val="21"/>
                          </w:rPr>
                          <w:t>）</w:t>
                        </w:r>
                        <w:r>
                          <w:rPr>
                            <w:sz w:val="21"/>
                          </w:rPr>
                          <w:t>，且有相关住院医疗记录显示四级心功能衰竭状态持续至少一百八十天。</w:t>
                        </w:r>
                      </w:p>
                      <w:p>
                        <w:pPr>
                          <w:pStyle w:val="TableParagraph"/>
                          <w:spacing w:before="174"/>
                          <w:ind w:left="2618"/>
                          <w:rPr>
                            <w:sz w:val="21"/>
                          </w:rPr>
                        </w:pPr>
                        <w:r>
                          <w:rPr>
                            <w:sz w:val="21"/>
                          </w:rPr>
                          <w:t>本病须经专科医师明确诊断。继发于全身性疾病或其它器官系统疾病造成的心肌</w:t>
                        </w:r>
                      </w:p>
                    </w:tc>
                  </w:tr>
                  <w:tr>
                    <w:trPr>
                      <w:trHeight w:val="1348" w:hRule="atLeast"/>
                    </w:trPr>
                    <w:tc>
                      <w:tcPr>
                        <w:tcW w:w="10170" w:type="dxa"/>
                      </w:tcPr>
                      <w:p>
                        <w:pPr>
                          <w:pStyle w:val="TableParagraph"/>
                          <w:spacing w:line="200" w:lineRule="exact"/>
                          <w:ind w:left="2618"/>
                          <w:rPr>
                            <w:sz w:val="21"/>
                          </w:rPr>
                        </w:pPr>
                        <w:r>
                          <w:rPr>
                            <w:sz w:val="21"/>
                          </w:rPr>
                          <w:t>病变除外。</w:t>
                        </w:r>
                      </w:p>
                      <w:p>
                        <w:pPr>
                          <w:pStyle w:val="TableParagraph"/>
                          <w:spacing w:before="1"/>
                          <w:rPr>
                            <w:sz w:val="24"/>
                          </w:rPr>
                        </w:pPr>
                      </w:p>
                      <w:p>
                        <w:pPr>
                          <w:pStyle w:val="TableParagraph"/>
                          <w:spacing w:line="273" w:lineRule="auto"/>
                          <w:ind w:left="2618" w:right="198"/>
                          <w:rPr>
                            <w:sz w:val="21"/>
                          </w:rPr>
                        </w:pPr>
                        <w:r>
                          <w:rPr>
                            <w:sz w:val="21"/>
                          </w:rPr>
                          <w:t>美国纽约心脏协会分类标准心功能四级是指有医院的医疗记录显示病人不能进行任何活动，休息时仍有心悸、呼吸困难等心力衰竭表现。</w:t>
                        </w:r>
                      </w:p>
                    </w:tc>
                  </w:tr>
                  <w:tr>
                    <w:trPr>
                      <w:trHeight w:val="1392" w:hRule="atLeast"/>
                    </w:trPr>
                    <w:tc>
                      <w:tcPr>
                        <w:tcW w:w="10170" w:type="dxa"/>
                      </w:tcPr>
                      <w:p>
                        <w:pPr>
                          <w:pStyle w:val="TableParagraph"/>
                          <w:spacing w:line="312" w:lineRule="exact" w:before="177"/>
                          <w:ind w:left="2618" w:right="206" w:hanging="2418"/>
                          <w:jc w:val="both"/>
                          <w:rPr>
                            <w:sz w:val="21"/>
                          </w:rPr>
                        </w:pPr>
                        <w:r>
                          <w:rPr>
                            <w:b/>
                            <w:position w:val="-3"/>
                            <w:sz w:val="21"/>
                          </w:rPr>
                          <w:t>31</w:t>
                        </w:r>
                        <w:r>
                          <w:rPr>
                            <w:b/>
                            <w:spacing w:val="3"/>
                            <w:position w:val="-3"/>
                            <w:sz w:val="21"/>
                          </w:rPr>
                          <w:t>. 重症肌无力       </w:t>
                        </w:r>
                        <w:r>
                          <w:rPr>
                            <w:spacing w:val="-1"/>
                            <w:sz w:val="21"/>
                          </w:rPr>
                          <w:t>是指一种神经与肌肉接头部位传递障碍的自身免疫性疾病，临床特征是局部或全</w:t>
                        </w:r>
                        <w:r>
                          <w:rPr>
                            <w:spacing w:val="-3"/>
                            <w:sz w:val="21"/>
                          </w:rPr>
                          <w:t>身横纹肌于活动时易于疲劳无力，颅神经眼外肌最易累及，也可涉及呼吸肌、下</w:t>
                        </w:r>
                        <w:r>
                          <w:rPr>
                            <w:spacing w:val="-4"/>
                            <w:sz w:val="21"/>
                          </w:rPr>
                          <w:t>肢近端肌群乃至全身肌肉，须经本公司认可的神经科医师确诊。其诊断必须同时具有下列情况：</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spacing w:before="35"/>
        <w:ind w:left="3143"/>
      </w:pPr>
      <w:r>
        <w:rPr/>
        <w:t>⑤ C3 补体低于正常。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BodyText"/>
        <w:ind w:left="2723"/>
      </w:pPr>
      <w:r>
        <w:rPr/>
        <w:t>(2) 散在的身体损害的多样性；</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ListParagraph"/>
        <w:numPr>
          <w:ilvl w:val="0"/>
          <w:numId w:val="11"/>
        </w:numPr>
        <w:tabs>
          <w:tab w:pos="3144" w:val="left" w:leader="none"/>
        </w:tabs>
        <w:spacing w:line="240" w:lineRule="auto" w:before="0" w:after="0"/>
        <w:ind w:left="3143" w:right="0" w:hanging="420"/>
        <w:jc w:val="left"/>
        <w:rPr>
          <w:sz w:val="21"/>
        </w:rPr>
      </w:pPr>
      <w:r>
        <w:rPr>
          <w:sz w:val="21"/>
        </w:rPr>
        <w:t>须植入心脏起搏器治疗心脏病；</w:t>
      </w:r>
    </w:p>
    <w:p>
      <w:pPr>
        <w:spacing w:after="0" w:line="240" w:lineRule="auto"/>
        <w:jc w:val="left"/>
        <w:rPr>
          <w:sz w:val="21"/>
        </w:rPr>
        <w:sectPr>
          <w:headerReference w:type="default" r:id="rId10"/>
          <w:pgSz w:w="11910" w:h="16840"/>
          <w:pgMar w:header="857" w:footer="977" w:top="1040" w:bottom="1180" w:left="880" w:right="640"/>
        </w:sectPr>
      </w:pPr>
    </w:p>
    <w:p>
      <w:pPr>
        <w:pStyle w:val="BodyText"/>
        <w:rPr>
          <w:sz w:val="20"/>
        </w:rPr>
      </w:pPr>
      <w:r>
        <w:rPr/>
        <w:pict>
          <v:shape style="position:absolute;margin-left:49.278801pt;margin-top:55.259998pt;width:513.4pt;height:687.7pt;mso-position-horizontal-relative:page;mso-position-vertical-relative:page;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8122"/>
                  </w:tblGrid>
                  <w:tr>
                    <w:trPr>
                      <w:trHeight w:val="921" w:hRule="atLeast"/>
                    </w:trPr>
                    <w:tc>
                      <w:tcPr>
                        <w:tcW w:w="2146" w:type="dxa"/>
                        <w:tcBorders>
                          <w:top w:val="single" w:sz="6" w:space="0" w:color="000000"/>
                        </w:tcBorders>
                      </w:tcPr>
                      <w:p>
                        <w:pPr>
                          <w:pStyle w:val="TableParagraph"/>
                          <w:rPr>
                            <w:rFonts w:ascii="Times New Roman"/>
                            <w:sz w:val="20"/>
                          </w:rPr>
                        </w:pPr>
                      </w:p>
                    </w:tc>
                    <w:tc>
                      <w:tcPr>
                        <w:tcW w:w="8122" w:type="dxa"/>
                        <w:tcBorders>
                          <w:top w:val="single" w:sz="6" w:space="0" w:color="000000"/>
                        </w:tcBorders>
                      </w:tcPr>
                      <w:p>
                        <w:pPr>
                          <w:pStyle w:val="TableParagraph"/>
                          <w:spacing w:before="8"/>
                          <w:rPr>
                            <w:sz w:val="21"/>
                          </w:rPr>
                        </w:pPr>
                      </w:p>
                      <w:p>
                        <w:pPr>
                          <w:pStyle w:val="TableParagraph"/>
                          <w:numPr>
                            <w:ilvl w:val="0"/>
                            <w:numId w:val="12"/>
                          </w:numPr>
                          <w:tabs>
                            <w:tab w:pos="893" w:val="left" w:leader="none"/>
                          </w:tabs>
                          <w:spacing w:line="240" w:lineRule="auto" w:before="1" w:after="0"/>
                          <w:ind w:left="892" w:right="0" w:hanging="420"/>
                          <w:jc w:val="left"/>
                          <w:rPr>
                            <w:sz w:val="21"/>
                          </w:rPr>
                        </w:pPr>
                        <w:r>
                          <w:rPr>
                            <w:sz w:val="21"/>
                          </w:rPr>
                          <w:t>经药物、胸腺手术治疗一年以上无法控制病情，丧失正常工作能力；</w:t>
                        </w:r>
                      </w:p>
                      <w:p>
                        <w:pPr>
                          <w:pStyle w:val="TableParagraph"/>
                          <w:numPr>
                            <w:ilvl w:val="0"/>
                            <w:numId w:val="12"/>
                          </w:numPr>
                          <w:tabs>
                            <w:tab w:pos="893" w:val="left" w:leader="none"/>
                          </w:tabs>
                          <w:spacing w:line="240" w:lineRule="auto" w:before="37" w:after="0"/>
                          <w:ind w:left="892" w:right="0" w:hanging="420"/>
                          <w:jc w:val="left"/>
                          <w:rPr>
                            <w:sz w:val="21"/>
                          </w:rPr>
                        </w:pPr>
                        <w:r>
                          <w:rPr>
                            <w:spacing w:val="-3"/>
                            <w:sz w:val="21"/>
                          </w:rPr>
                          <w:t>出现眼睑下垂，或延髓肌受累引起的构音困难、进食呛咳，或由于肌无力累</w:t>
                        </w:r>
                      </w:p>
                    </w:tc>
                  </w:tr>
                  <w:tr>
                    <w:trPr>
                      <w:trHeight w:val="1131" w:hRule="atLeast"/>
                    </w:trPr>
                    <w:tc>
                      <w:tcPr>
                        <w:tcW w:w="2146" w:type="dxa"/>
                      </w:tcPr>
                      <w:p>
                        <w:pPr>
                          <w:pStyle w:val="TableParagraph"/>
                          <w:rPr>
                            <w:rFonts w:ascii="Times New Roman"/>
                            <w:sz w:val="20"/>
                          </w:rPr>
                        </w:pPr>
                      </w:p>
                    </w:tc>
                    <w:tc>
                      <w:tcPr>
                        <w:tcW w:w="8122" w:type="dxa"/>
                      </w:tcPr>
                      <w:p>
                        <w:pPr>
                          <w:pStyle w:val="TableParagraph"/>
                          <w:spacing w:line="261" w:lineRule="exact"/>
                          <w:ind w:left="892"/>
                          <w:rPr>
                            <w:sz w:val="21"/>
                          </w:rPr>
                        </w:pPr>
                        <w:r>
                          <w:rPr>
                            <w:sz w:val="21"/>
                          </w:rPr>
                          <w:t>及延髓肌、呼吸肌而致机体呼吸功能不正常的危急状态即肌无力危象；</w:t>
                        </w:r>
                      </w:p>
                      <w:p>
                        <w:pPr>
                          <w:pStyle w:val="TableParagraph"/>
                          <w:spacing w:line="273" w:lineRule="auto" w:before="37"/>
                          <w:ind w:left="892" w:right="262" w:hanging="420"/>
                          <w:rPr>
                            <w:sz w:val="21"/>
                          </w:rPr>
                        </w:pPr>
                        <w:r>
                          <w:rPr>
                            <w:sz w:val="21"/>
                          </w:rPr>
                          <w:t>(3) 症状缓解、复发及恶化交替出现，临床接受新斯的明等抗胆碱酯酶药物治疗的病史。</w:t>
                        </w:r>
                      </w:p>
                    </w:tc>
                  </w:tr>
                  <w:tr>
                    <w:trPr>
                      <w:trHeight w:val="1716" w:hRule="atLeast"/>
                    </w:trPr>
                    <w:tc>
                      <w:tcPr>
                        <w:tcW w:w="2146" w:type="dxa"/>
                      </w:tcPr>
                      <w:p>
                        <w:pPr>
                          <w:pStyle w:val="TableParagraph"/>
                          <w:spacing w:before="11"/>
                          <w:rPr>
                            <w:sz w:val="16"/>
                          </w:rPr>
                        </w:pPr>
                      </w:p>
                      <w:p>
                        <w:pPr>
                          <w:pStyle w:val="TableParagraph"/>
                          <w:ind w:left="200"/>
                          <w:rPr>
                            <w:b/>
                            <w:sz w:val="21"/>
                          </w:rPr>
                        </w:pPr>
                        <w:r>
                          <w:rPr>
                            <w:b/>
                            <w:sz w:val="21"/>
                          </w:rPr>
                          <w:t>32. 脊髓灰质炎</w:t>
                        </w:r>
                      </w:p>
                    </w:tc>
                    <w:tc>
                      <w:tcPr>
                        <w:tcW w:w="8122" w:type="dxa"/>
                      </w:tcPr>
                      <w:p>
                        <w:pPr>
                          <w:pStyle w:val="TableParagraph"/>
                          <w:spacing w:before="11"/>
                          <w:rPr>
                            <w:sz w:val="13"/>
                          </w:rPr>
                        </w:pPr>
                      </w:p>
                      <w:p>
                        <w:pPr>
                          <w:pStyle w:val="TableParagraph"/>
                          <w:spacing w:line="273" w:lineRule="auto"/>
                          <w:ind w:left="472" w:right="296"/>
                          <w:jc w:val="both"/>
                          <w:rPr>
                            <w:sz w:val="21"/>
                          </w:rPr>
                        </w:pPr>
                        <w:r>
                          <w:rPr>
                            <w:sz w:val="21"/>
                          </w:rPr>
                          <w:t>经由本公司认可的神经专科医生确认是由于脊髓灰质炎病毒感染所导致的运动功能障碍或呼吸功能减弱麻痹性瘫痪的疾病。被保险人若无因此感染而导致麻痹性瘫痪的事实结果，则不符合给付保险金的条件。其它病因所致的麻痹，例如格林巴利综合征则不在此保障范围以内。</w:t>
                        </w:r>
                      </w:p>
                    </w:tc>
                  </w:tr>
                  <w:tr>
                    <w:trPr>
                      <w:trHeight w:val="1169" w:hRule="atLeast"/>
                    </w:trPr>
                    <w:tc>
                      <w:tcPr>
                        <w:tcW w:w="2146" w:type="dxa"/>
                      </w:tcPr>
                      <w:p>
                        <w:pPr>
                          <w:pStyle w:val="TableParagraph"/>
                          <w:spacing w:before="10"/>
                          <w:rPr>
                            <w:sz w:val="22"/>
                          </w:rPr>
                        </w:pPr>
                      </w:p>
                      <w:p>
                        <w:pPr>
                          <w:pStyle w:val="TableParagraph"/>
                          <w:spacing w:line="340" w:lineRule="auto" w:before="1"/>
                          <w:ind w:left="622" w:right="429" w:hanging="423"/>
                          <w:rPr>
                            <w:b/>
                            <w:sz w:val="21"/>
                          </w:rPr>
                        </w:pPr>
                        <w:r>
                          <w:rPr>
                            <w:b/>
                            <w:sz w:val="21"/>
                          </w:rPr>
                          <w:t>33. 急性坏死性胰腺炎</w:t>
                        </w:r>
                      </w:p>
                    </w:tc>
                    <w:tc>
                      <w:tcPr>
                        <w:tcW w:w="8122" w:type="dxa"/>
                      </w:tcPr>
                      <w:p>
                        <w:pPr>
                          <w:pStyle w:val="TableParagraph"/>
                          <w:spacing w:before="10"/>
                          <w:rPr>
                            <w:sz w:val="19"/>
                          </w:rPr>
                        </w:pPr>
                      </w:p>
                      <w:p>
                        <w:pPr>
                          <w:pStyle w:val="TableParagraph"/>
                          <w:spacing w:line="273" w:lineRule="auto"/>
                          <w:ind w:left="472" w:right="198"/>
                          <w:rPr>
                            <w:sz w:val="21"/>
                          </w:rPr>
                        </w:pPr>
                        <w:r>
                          <w:rPr>
                            <w:spacing w:val="-2"/>
                            <w:sz w:val="21"/>
                          </w:rPr>
                          <w:t>由本公司指定或认可的医师确诊为急性坏死性胰腺炎，并需进行手术治疗，以进</w:t>
                        </w:r>
                        <w:r>
                          <w:rPr>
                            <w:spacing w:val="-11"/>
                            <w:sz w:val="21"/>
                          </w:rPr>
                          <w:t>行组织清除、病灶切除或胰腺切除。但因酒精中毒所致的急性坏死性胰腺炎除外。</w:t>
                        </w:r>
                      </w:p>
                    </w:tc>
                  </w:tr>
                  <w:tr>
                    <w:trPr>
                      <w:trHeight w:val="1732" w:hRule="atLeast"/>
                    </w:trPr>
                    <w:tc>
                      <w:tcPr>
                        <w:tcW w:w="10268" w:type="dxa"/>
                        <w:gridSpan w:val="2"/>
                      </w:tcPr>
                      <w:p>
                        <w:pPr>
                          <w:pStyle w:val="TableParagraph"/>
                          <w:spacing w:before="12"/>
                          <w:rPr>
                            <w:sz w:val="19"/>
                          </w:rPr>
                        </w:pPr>
                      </w:p>
                      <w:p>
                        <w:pPr>
                          <w:pStyle w:val="TableParagraph"/>
                          <w:numPr>
                            <w:ilvl w:val="0"/>
                            <w:numId w:val="13"/>
                          </w:numPr>
                          <w:tabs>
                            <w:tab w:pos="620" w:val="left" w:leader="none"/>
                            <w:tab w:pos="2617" w:val="left" w:leader="none"/>
                          </w:tabs>
                          <w:spacing w:line="237" w:lineRule="auto" w:before="1" w:after="0"/>
                          <w:ind w:left="2618" w:right="297" w:hanging="2418"/>
                          <w:jc w:val="left"/>
                          <w:rPr>
                            <w:sz w:val="21"/>
                          </w:rPr>
                        </w:pPr>
                        <w:r>
                          <w:rPr>
                            <w:b/>
                            <w:position w:val="-3"/>
                            <w:sz w:val="21"/>
                          </w:rPr>
                          <w:t>肌营养不良症</w:t>
                          <w:tab/>
                        </w:r>
                        <w:r>
                          <w:rPr>
                            <w:sz w:val="21"/>
                          </w:rPr>
                          <w:t>是一组原发于肌肉的遗传性疾病。主要临床特征为受累骨骼肌肉的无力和萎缩。经本公司认可的神经专科医生确认符合以下四项诊断指标中的三项：</w:t>
                        </w:r>
                      </w:p>
                      <w:p>
                        <w:pPr>
                          <w:pStyle w:val="TableParagraph"/>
                          <w:numPr>
                            <w:ilvl w:val="1"/>
                            <w:numId w:val="13"/>
                          </w:numPr>
                          <w:tabs>
                            <w:tab w:pos="3039" w:val="left" w:leader="none"/>
                          </w:tabs>
                          <w:spacing w:line="274" w:lineRule="exact" w:before="173" w:after="0"/>
                          <w:ind w:left="3038" w:right="0" w:hanging="420"/>
                          <w:jc w:val="left"/>
                          <w:rPr>
                            <w:sz w:val="21"/>
                          </w:rPr>
                        </w:pPr>
                        <w:r>
                          <w:rPr>
                            <w:sz w:val="21"/>
                          </w:rPr>
                          <w:t>家族史中有其他成员患相同疾病；</w:t>
                        </w:r>
                      </w:p>
                      <w:p>
                        <w:pPr>
                          <w:pStyle w:val="TableParagraph"/>
                          <w:numPr>
                            <w:ilvl w:val="1"/>
                            <w:numId w:val="13"/>
                          </w:numPr>
                          <w:tabs>
                            <w:tab w:pos="3039" w:val="left" w:leader="none"/>
                          </w:tabs>
                          <w:spacing w:line="274" w:lineRule="exact" w:before="0" w:after="0"/>
                          <w:ind w:left="3038" w:right="0" w:hanging="420"/>
                          <w:jc w:val="left"/>
                          <w:rPr>
                            <w:sz w:val="21"/>
                          </w:rPr>
                        </w:pPr>
                        <w:r>
                          <w:rPr>
                            <w:sz w:val="21"/>
                          </w:rPr>
                          <w:t>临床表现包括：无感觉神经紊乱，正常脑脊液及轻微腱反射的减退；</w:t>
                        </w:r>
                      </w:p>
                    </w:tc>
                  </w:tr>
                  <w:tr>
                    <w:trPr>
                      <w:trHeight w:val="613" w:hRule="atLeast"/>
                    </w:trPr>
                    <w:tc>
                      <w:tcPr>
                        <w:tcW w:w="2146" w:type="dxa"/>
                      </w:tcPr>
                      <w:p>
                        <w:pPr>
                          <w:pStyle w:val="TableParagraph"/>
                          <w:rPr>
                            <w:rFonts w:ascii="Times New Roman"/>
                            <w:sz w:val="20"/>
                          </w:rPr>
                        </w:pPr>
                      </w:p>
                    </w:tc>
                    <w:tc>
                      <w:tcPr>
                        <w:tcW w:w="8122" w:type="dxa"/>
                      </w:tcPr>
                      <w:p>
                        <w:pPr>
                          <w:pStyle w:val="TableParagraph"/>
                          <w:spacing w:before="102"/>
                          <w:ind w:left="472"/>
                          <w:rPr>
                            <w:sz w:val="21"/>
                          </w:rPr>
                        </w:pPr>
                        <w:r>
                          <w:rPr>
                            <w:sz w:val="21"/>
                          </w:rPr>
                          <w:t>(4) 临床推测必须有肌肉或组织检查加以证实。</w:t>
                        </w:r>
                      </w:p>
                    </w:tc>
                  </w:tr>
                  <w:tr>
                    <w:trPr>
                      <w:trHeight w:val="1723" w:hRule="atLeast"/>
                    </w:trPr>
                    <w:tc>
                      <w:tcPr>
                        <w:tcW w:w="10268" w:type="dxa"/>
                        <w:gridSpan w:val="2"/>
                      </w:tcPr>
                      <w:p>
                        <w:pPr>
                          <w:pStyle w:val="TableParagraph"/>
                          <w:tabs>
                            <w:tab w:pos="2617" w:val="left" w:leader="none"/>
                          </w:tabs>
                          <w:spacing w:line="237" w:lineRule="auto" w:before="174"/>
                          <w:ind w:left="2618" w:right="296" w:hanging="2419"/>
                          <w:rPr>
                            <w:sz w:val="21"/>
                          </w:rPr>
                        </w:pPr>
                        <w:r>
                          <w:rPr>
                            <w:b/>
                            <w:position w:val="-3"/>
                            <w:sz w:val="21"/>
                          </w:rPr>
                          <w:t>35.</w:t>
                        </w:r>
                        <w:r>
                          <w:rPr>
                            <w:b/>
                            <w:spacing w:val="-6"/>
                            <w:position w:val="-3"/>
                            <w:sz w:val="21"/>
                          </w:rPr>
                          <w:t> </w:t>
                        </w:r>
                        <w:r>
                          <w:rPr>
                            <w:b/>
                            <w:position w:val="-3"/>
                            <w:sz w:val="21"/>
                          </w:rPr>
                          <w:t>终末期肺病</w:t>
                          <w:tab/>
                        </w:r>
                        <w:r>
                          <w:rPr>
                            <w:spacing w:val="5"/>
                            <w:sz w:val="21"/>
                          </w:rPr>
                          <w:t>由本公司</w:t>
                        </w:r>
                        <w:r>
                          <w:rPr>
                            <w:spacing w:val="5"/>
                            <w:sz w:val="21"/>
                          </w:rPr>
                          <w:t>认</w:t>
                        </w:r>
                        <w:r>
                          <w:rPr>
                            <w:spacing w:val="5"/>
                            <w:sz w:val="21"/>
                          </w:rPr>
                          <w:t>可的呼吸</w:t>
                        </w:r>
                        <w:r>
                          <w:rPr>
                            <w:spacing w:val="5"/>
                            <w:sz w:val="21"/>
                          </w:rPr>
                          <w:t>专</w:t>
                        </w:r>
                        <w:r>
                          <w:rPr>
                            <w:spacing w:val="5"/>
                            <w:sz w:val="21"/>
                          </w:rPr>
                          <w:t>科医生确</w:t>
                        </w:r>
                        <w:r>
                          <w:rPr>
                            <w:spacing w:val="5"/>
                            <w:sz w:val="21"/>
                          </w:rPr>
                          <w:t>诊</w:t>
                        </w:r>
                        <w:r>
                          <w:rPr>
                            <w:spacing w:val="5"/>
                            <w:sz w:val="21"/>
                          </w:rPr>
                          <w:t>被保险人</w:t>
                        </w:r>
                        <w:r>
                          <w:rPr>
                            <w:spacing w:val="5"/>
                            <w:sz w:val="21"/>
                          </w:rPr>
                          <w:t>患</w:t>
                        </w:r>
                        <w:r>
                          <w:rPr>
                            <w:spacing w:val="5"/>
                            <w:sz w:val="21"/>
                          </w:rPr>
                          <w:t>有终末期</w:t>
                        </w:r>
                        <w:r>
                          <w:rPr>
                            <w:spacing w:val="5"/>
                            <w:sz w:val="21"/>
                          </w:rPr>
                          <w:t>肺</w:t>
                        </w:r>
                        <w:r>
                          <w:rPr>
                            <w:spacing w:val="5"/>
                            <w:sz w:val="21"/>
                          </w:rPr>
                          <w:t>病而出现</w:t>
                        </w:r>
                        <w:r>
                          <w:rPr>
                            <w:spacing w:val="5"/>
                            <w:sz w:val="21"/>
                          </w:rPr>
                          <w:t>慢</w:t>
                        </w:r>
                        <w:r>
                          <w:rPr>
                            <w:spacing w:val="5"/>
                            <w:sz w:val="21"/>
                          </w:rPr>
                          <w:t>性呼吸功 </w:t>
                        </w:r>
                        <w:r>
                          <w:rPr>
                            <w:sz w:val="21"/>
                          </w:rPr>
                          <w:t>能衰竭，其诊断标准包括以下各项：</w:t>
                        </w:r>
                      </w:p>
                      <w:p>
                        <w:pPr>
                          <w:pStyle w:val="TableParagraph"/>
                          <w:spacing w:line="274" w:lineRule="exact" w:before="172"/>
                          <w:ind w:left="2618"/>
                          <w:rPr>
                            <w:sz w:val="21"/>
                          </w:rPr>
                        </w:pPr>
                        <w:r>
                          <w:rPr>
                            <w:sz w:val="21"/>
                          </w:rPr>
                          <w:t>(1)肺功能测试其 FEVl 持续低于 0.75 升；</w:t>
                        </w:r>
                      </w:p>
                      <w:p>
                        <w:pPr>
                          <w:pStyle w:val="TableParagraph"/>
                          <w:spacing w:line="272" w:lineRule="exact"/>
                          <w:ind w:left="2618"/>
                          <w:rPr>
                            <w:sz w:val="21"/>
                          </w:rPr>
                        </w:pPr>
                        <w:r>
                          <w:rPr>
                            <w:sz w:val="21"/>
                          </w:rPr>
                          <w:t>(2)病人缺氧必须广泛而持续地进行输氧治疗；</w:t>
                        </w:r>
                      </w:p>
                      <w:p>
                        <w:pPr>
                          <w:pStyle w:val="TableParagraph"/>
                          <w:spacing w:line="227" w:lineRule="exact"/>
                          <w:ind w:left="2618"/>
                          <w:rPr>
                            <w:sz w:val="21"/>
                          </w:rPr>
                        </w:pPr>
                        <w:r>
                          <w:rPr>
                            <w:sz w:val="21"/>
                          </w:rPr>
                          <w:t>(3)动脉血气分析氧分压低于 55mmHg。</w:t>
                        </w:r>
                      </w:p>
                    </w:tc>
                  </w:tr>
                  <w:tr>
                    <w:trPr>
                      <w:trHeight w:val="726" w:hRule="atLeast"/>
                    </w:trPr>
                    <w:tc>
                      <w:tcPr>
                        <w:tcW w:w="2146" w:type="dxa"/>
                      </w:tcPr>
                      <w:p>
                        <w:pPr>
                          <w:pStyle w:val="TableParagraph"/>
                          <w:rPr>
                            <w:rFonts w:ascii="Times New Roman"/>
                            <w:sz w:val="20"/>
                          </w:rPr>
                        </w:pPr>
                      </w:p>
                    </w:tc>
                    <w:tc>
                      <w:tcPr>
                        <w:tcW w:w="8122" w:type="dxa"/>
                      </w:tcPr>
                      <w:p>
                        <w:pPr>
                          <w:pStyle w:val="TableParagraph"/>
                          <w:spacing w:before="10"/>
                          <w:rPr>
                            <w:sz w:val="13"/>
                          </w:rPr>
                        </w:pPr>
                      </w:p>
                      <w:p>
                        <w:pPr>
                          <w:pStyle w:val="TableParagraph"/>
                          <w:ind w:left="472"/>
                          <w:rPr>
                            <w:sz w:val="21"/>
                          </w:rPr>
                        </w:pPr>
                        <w:r>
                          <w:rPr>
                            <w:sz w:val="21"/>
                          </w:rPr>
                          <w:t>理赔时必须提供以上各项中相应的医院证明文件或检查报告。</w:t>
                        </w:r>
                      </w:p>
                    </w:tc>
                  </w:tr>
                  <w:tr>
                    <w:trPr>
                      <w:trHeight w:val="1679" w:hRule="atLeast"/>
                    </w:trPr>
                    <w:tc>
                      <w:tcPr>
                        <w:tcW w:w="10268" w:type="dxa"/>
                        <w:gridSpan w:val="2"/>
                      </w:tcPr>
                      <w:p>
                        <w:pPr>
                          <w:pStyle w:val="TableParagraph"/>
                          <w:numPr>
                            <w:ilvl w:val="0"/>
                            <w:numId w:val="14"/>
                          </w:numPr>
                          <w:tabs>
                            <w:tab w:pos="620" w:val="left" w:leader="none"/>
                            <w:tab w:pos="2617" w:val="left" w:leader="none"/>
                          </w:tabs>
                          <w:spacing w:line="237" w:lineRule="auto" w:before="208" w:after="0"/>
                          <w:ind w:left="620" w:right="304" w:hanging="420"/>
                          <w:jc w:val="left"/>
                          <w:rPr>
                            <w:sz w:val="21"/>
                          </w:rPr>
                        </w:pPr>
                        <w:r>
                          <w:rPr>
                            <w:b/>
                            <w:spacing w:val="13"/>
                            <w:w w:val="99"/>
                            <w:position w:val="-3"/>
                            <w:sz w:val="21"/>
                          </w:rPr>
                          <w:t>经输血感染艾滋</w:t>
                        </w:r>
                        <w:r>
                          <w:rPr>
                            <w:b/>
                            <w:w w:val="99"/>
                            <w:position w:val="-3"/>
                            <w:sz w:val="21"/>
                          </w:rPr>
                          <w:t>病</w:t>
                        </w:r>
                        <w:r>
                          <w:rPr>
                            <w:b/>
                            <w:position w:val="-3"/>
                            <w:sz w:val="21"/>
                          </w:rPr>
                          <w:tab/>
                        </w:r>
                        <w:r>
                          <w:rPr>
                            <w:sz w:val="21"/>
                          </w:rPr>
                          <w:t>因输血而被艾滋病病</w:t>
                        </w:r>
                        <w:r>
                          <w:rPr>
                            <w:spacing w:val="-2"/>
                            <w:sz w:val="21"/>
                          </w:rPr>
                          <w:t>毒</w:t>
                        </w:r>
                        <w:r>
                          <w:rPr>
                            <w:sz w:val="21"/>
                          </w:rPr>
                          <w:t>（HIV</w:t>
                        </w:r>
                        <w:r>
                          <w:rPr>
                            <w:spacing w:val="-2"/>
                            <w:sz w:val="21"/>
                          </w:rPr>
                          <w:t>）</w:t>
                        </w:r>
                        <w:r>
                          <w:rPr>
                            <w:sz w:val="21"/>
                          </w:rPr>
                          <w:t>感</w:t>
                        </w:r>
                        <w:r>
                          <w:rPr>
                            <w:spacing w:val="-2"/>
                            <w:sz w:val="21"/>
                          </w:rPr>
                          <w:t>染</w:t>
                        </w:r>
                        <w:r>
                          <w:rPr>
                            <w:sz w:val="21"/>
                          </w:rPr>
                          <w:t>或成为艾滋病患</w:t>
                        </w:r>
                        <w:r>
                          <w:rPr>
                            <w:spacing w:val="-2"/>
                            <w:sz w:val="21"/>
                          </w:rPr>
                          <w:t>者</w:t>
                        </w:r>
                        <w:r>
                          <w:rPr>
                            <w:sz w:val="21"/>
                          </w:rPr>
                          <w:t>（AIDS</w:t>
                        </w:r>
                        <w:r>
                          <w:rPr>
                            <w:spacing w:val="-105"/>
                            <w:sz w:val="21"/>
                          </w:rPr>
                          <w:t>）</w:t>
                        </w:r>
                        <w:r>
                          <w:rPr>
                            <w:spacing w:val="-2"/>
                            <w:sz w:val="21"/>
                          </w:rPr>
                          <w:t>，</w:t>
                        </w:r>
                        <w:r>
                          <w:rPr>
                            <w:sz w:val="21"/>
                          </w:rPr>
                          <w:t>需要</w:t>
                        </w:r>
                        <w:r>
                          <w:rPr>
                            <w:spacing w:val="-2"/>
                            <w:sz w:val="21"/>
                          </w:rPr>
                          <w:t>满</w:t>
                        </w:r>
                        <w:r>
                          <w:rPr>
                            <w:sz w:val="21"/>
                          </w:rPr>
                          <w:t>足下列所</w:t>
                        </w:r>
                        <w:r>
                          <w:rPr>
                            <w:b/>
                            <w:position w:val="-11"/>
                            <w:sz w:val="21"/>
                          </w:rPr>
                          <w:t>病毒</w:t>
                          <w:tab/>
                        </w:r>
                        <w:r>
                          <w:rPr>
                            <w:sz w:val="21"/>
                          </w:rPr>
                          <w:t>有条件：</w:t>
                        </w:r>
                      </w:p>
                      <w:p>
                        <w:pPr>
                          <w:pStyle w:val="TableParagraph"/>
                          <w:numPr>
                            <w:ilvl w:val="1"/>
                            <w:numId w:val="14"/>
                          </w:numPr>
                          <w:tabs>
                            <w:tab w:pos="3039" w:val="left" w:leader="none"/>
                          </w:tabs>
                          <w:spacing w:line="237" w:lineRule="auto" w:before="56" w:after="0"/>
                          <w:ind w:left="3038" w:right="330" w:hanging="420"/>
                          <w:jc w:val="left"/>
                          <w:rPr>
                            <w:sz w:val="21"/>
                          </w:rPr>
                        </w:pPr>
                        <w:r>
                          <w:rPr>
                            <w:spacing w:val="-2"/>
                            <w:sz w:val="21"/>
                          </w:rPr>
                          <w:t>感染是由于必要的医疗性输血引起的，且医疗性输血是在保单生效日后或复效日后发生的；</w:t>
                        </w:r>
                      </w:p>
                    </w:tc>
                  </w:tr>
                  <w:tr>
                    <w:trPr>
                      <w:trHeight w:val="613" w:hRule="atLeast"/>
                    </w:trPr>
                    <w:tc>
                      <w:tcPr>
                        <w:tcW w:w="2146" w:type="dxa"/>
                      </w:tcPr>
                      <w:p>
                        <w:pPr>
                          <w:pStyle w:val="TableParagraph"/>
                          <w:rPr>
                            <w:rFonts w:ascii="Times New Roman"/>
                            <w:sz w:val="20"/>
                          </w:rPr>
                        </w:pPr>
                      </w:p>
                    </w:tc>
                    <w:tc>
                      <w:tcPr>
                        <w:tcW w:w="8122" w:type="dxa"/>
                      </w:tcPr>
                      <w:p>
                        <w:pPr>
                          <w:pStyle w:val="TableParagraph"/>
                          <w:spacing w:before="102"/>
                          <w:ind w:left="472"/>
                          <w:rPr>
                            <w:sz w:val="21"/>
                          </w:rPr>
                        </w:pPr>
                        <w:r>
                          <w:rPr>
                            <w:sz w:val="21"/>
                          </w:rPr>
                          <w:t>(3) 被保险人不是血友病患者。</w:t>
                        </w:r>
                      </w:p>
                    </w:tc>
                  </w:tr>
                  <w:tr>
                    <w:trPr>
                      <w:trHeight w:val="1711" w:hRule="atLeast"/>
                    </w:trPr>
                    <w:tc>
                      <w:tcPr>
                        <w:tcW w:w="10268" w:type="dxa"/>
                        <w:gridSpan w:val="2"/>
                      </w:tcPr>
                      <w:p>
                        <w:pPr>
                          <w:pStyle w:val="TableParagraph"/>
                          <w:tabs>
                            <w:tab w:pos="2617" w:val="left" w:leader="none"/>
                          </w:tabs>
                          <w:spacing w:before="171"/>
                          <w:ind w:left="200"/>
                          <w:rPr>
                            <w:sz w:val="21"/>
                          </w:rPr>
                        </w:pPr>
                        <w:r>
                          <w:rPr>
                            <w:b/>
                            <w:position w:val="-3"/>
                            <w:sz w:val="21"/>
                          </w:rPr>
                          <w:t>37.</w:t>
                        </w:r>
                        <w:r>
                          <w:rPr>
                            <w:b/>
                            <w:spacing w:val="-5"/>
                            <w:position w:val="-3"/>
                            <w:sz w:val="21"/>
                          </w:rPr>
                          <w:t> </w:t>
                        </w:r>
                        <w:r>
                          <w:rPr>
                            <w:b/>
                            <w:spacing w:val="12"/>
                            <w:position w:val="-3"/>
                            <w:sz w:val="21"/>
                          </w:rPr>
                          <w:t>严重类风湿性关</w:t>
                        </w:r>
                        <w:r>
                          <w:rPr>
                            <w:b/>
                            <w:position w:val="-3"/>
                            <w:sz w:val="21"/>
                          </w:rPr>
                          <w:t>节</w:t>
                          <w:tab/>
                        </w:r>
                        <w:r>
                          <w:rPr>
                            <w:spacing w:val="-1"/>
                            <w:sz w:val="21"/>
                          </w:rPr>
                          <w:t>是指类风湿性关节炎患者符合以下三项标准的:</w:t>
                        </w:r>
                      </w:p>
                      <w:p>
                        <w:pPr>
                          <w:pStyle w:val="TableParagraph"/>
                          <w:tabs>
                            <w:tab w:pos="2617" w:val="left" w:leader="none"/>
                          </w:tabs>
                          <w:spacing w:line="237" w:lineRule="auto" w:before="115"/>
                          <w:ind w:left="3038" w:right="332" w:hanging="2419"/>
                          <w:rPr>
                            <w:sz w:val="21"/>
                          </w:rPr>
                        </w:pPr>
                        <w:r>
                          <w:rPr>
                            <w:b/>
                            <w:position w:val="2"/>
                            <w:sz w:val="21"/>
                          </w:rPr>
                          <w:t>炎</w:t>
                          <w:tab/>
                        </w:r>
                        <w:r>
                          <w:rPr>
                            <w:sz w:val="21"/>
                          </w:rPr>
                          <w:t>(1)</w:t>
                        </w:r>
                        <w:r>
                          <w:rPr>
                            <w:spacing w:val="57"/>
                            <w:sz w:val="21"/>
                          </w:rPr>
                          <w:t> </w:t>
                        </w:r>
                        <w:r>
                          <w:rPr>
                            <w:sz w:val="21"/>
                          </w:rPr>
                          <w:t>至少包括下列关节中的三组或以上有广泛受损和畸形改变:手指关节、腕关节、肘关节、膝关节、髋关节、踝关节、脊椎或脚趾关节；</w:t>
                        </w:r>
                      </w:p>
                      <w:p>
                        <w:pPr>
                          <w:pStyle w:val="TableParagraph"/>
                          <w:spacing w:line="272" w:lineRule="exact" w:before="25"/>
                          <w:ind w:left="3038" w:right="331" w:hanging="420"/>
                          <w:rPr>
                            <w:sz w:val="21"/>
                          </w:rPr>
                        </w:pPr>
                        <w:r>
                          <w:rPr>
                            <w:sz w:val="21"/>
                          </w:rPr>
                          <w:t>(2</w:t>
                        </w:r>
                        <w:r>
                          <w:rPr>
                            <w:spacing w:val="-7"/>
                            <w:sz w:val="21"/>
                          </w:rPr>
                          <w:t>) 手和腕的后前位 </w:t>
                        </w:r>
                        <w:r>
                          <w:rPr>
                            <w:sz w:val="21"/>
                          </w:rPr>
                          <w:t>X</w:t>
                        </w:r>
                        <w:r>
                          <w:rPr>
                            <w:spacing w:val="-10"/>
                            <w:sz w:val="21"/>
                          </w:rPr>
                          <w:t> 线拍片检查可见类风湿性关节炎的典型变化，包括骨质侵蚀或钙流失，位于受累关节及其邻近部位尤其明显；</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p>
    <w:p>
      <w:pPr>
        <w:pStyle w:val="ListParagraph"/>
        <w:numPr>
          <w:ilvl w:val="0"/>
          <w:numId w:val="11"/>
        </w:numPr>
        <w:tabs>
          <w:tab w:pos="3144" w:val="left" w:leader="none"/>
        </w:tabs>
        <w:spacing w:line="240" w:lineRule="auto" w:before="35" w:after="0"/>
        <w:ind w:left="3143" w:right="0" w:hanging="420"/>
        <w:jc w:val="left"/>
        <w:rPr>
          <w:sz w:val="21"/>
        </w:rPr>
      </w:pPr>
      <w:r>
        <w:rPr>
          <w:sz w:val="21"/>
        </w:rPr>
        <w:t>典型的肌电图；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pStyle w:val="ListParagraph"/>
        <w:numPr>
          <w:ilvl w:val="0"/>
          <w:numId w:val="15"/>
        </w:numPr>
        <w:tabs>
          <w:tab w:pos="3144" w:val="left" w:leader="none"/>
        </w:tabs>
        <w:spacing w:line="240" w:lineRule="auto" w:before="0" w:after="0"/>
        <w:ind w:left="3143" w:right="0" w:hanging="420"/>
        <w:jc w:val="left"/>
        <w:rPr>
          <w:sz w:val="21"/>
        </w:rPr>
      </w:pPr>
      <w:r>
        <w:rPr>
          <w:sz w:val="21"/>
        </w:rPr>
        <w:t>提供输血的医疗机构承认该项输血感染为医疗责任事故；</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ListParagraph"/>
        <w:numPr>
          <w:ilvl w:val="0"/>
          <w:numId w:val="15"/>
        </w:numPr>
        <w:tabs>
          <w:tab w:pos="3144" w:val="left" w:leader="none"/>
        </w:tabs>
        <w:spacing w:line="240" w:lineRule="auto" w:before="0" w:after="0"/>
        <w:ind w:left="3143" w:right="0" w:hanging="420"/>
        <w:jc w:val="left"/>
        <w:rPr>
          <w:sz w:val="21"/>
        </w:rPr>
      </w:pPr>
      <w:r>
        <w:rPr>
          <w:spacing w:val="-5"/>
          <w:sz w:val="21"/>
        </w:rPr>
        <w:t>关节的畸形改变至少持续 </w:t>
      </w:r>
      <w:r>
        <w:rPr>
          <w:sz w:val="21"/>
        </w:rPr>
        <w:t>6</w:t>
      </w:r>
      <w:r>
        <w:rPr>
          <w:spacing w:val="-14"/>
          <w:sz w:val="21"/>
        </w:rPr>
        <w:t> 个月。</w:t>
      </w:r>
    </w:p>
    <w:p>
      <w:pPr>
        <w:spacing w:after="0" w:line="240" w:lineRule="auto"/>
        <w:jc w:val="left"/>
        <w:rPr>
          <w:sz w:val="21"/>
        </w:rPr>
        <w:sectPr>
          <w:pgSz w:w="11910" w:h="16840"/>
          <w:pgMar w:header="857" w:footer="977" w:top="1040" w:bottom="1180" w:left="880" w:right="540"/>
        </w:sectPr>
      </w:pPr>
    </w:p>
    <w:p>
      <w:pPr>
        <w:pStyle w:val="BodyText"/>
        <w:spacing w:before="5"/>
        <w:rPr>
          <w:sz w:val="17"/>
        </w:rPr>
      </w:pPr>
    </w:p>
    <w:p>
      <w:pPr>
        <w:pStyle w:val="BodyText"/>
        <w:spacing w:before="36"/>
        <w:ind w:left="2523"/>
      </w:pPr>
      <w:r>
        <w:rPr/>
        <w:pict>
          <v:shape style="position:absolute;margin-left:170.179993pt;margin-top:22.019756pt;width:387.3pt;height:194.25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5"/>
                  </w:tblGrid>
                  <w:tr>
                    <w:trPr>
                      <w:trHeight w:val="840" w:hRule="atLeast"/>
                    </w:trPr>
                    <w:tc>
                      <w:tcPr>
                        <w:tcW w:w="7745" w:type="dxa"/>
                      </w:tcPr>
                      <w:p>
                        <w:pPr>
                          <w:pStyle w:val="TableParagraph"/>
                          <w:spacing w:line="210" w:lineRule="exact"/>
                          <w:ind w:left="200"/>
                          <w:rPr>
                            <w:sz w:val="21"/>
                          </w:rPr>
                        </w:pPr>
                        <w:r>
                          <w:rPr>
                            <w:sz w:val="21"/>
                          </w:rPr>
                          <w:t>须符合国际认可的该疾病的诊断标准。</w:t>
                        </w:r>
                      </w:p>
                    </w:tc>
                  </w:tr>
                  <w:tr>
                    <w:trPr>
                      <w:trHeight w:val="1369" w:hRule="atLeast"/>
                    </w:trPr>
                    <w:tc>
                      <w:tcPr>
                        <w:tcW w:w="7745" w:type="dxa"/>
                      </w:tcPr>
                      <w:p>
                        <w:pPr>
                          <w:pStyle w:val="TableParagraph"/>
                          <w:spacing w:line="121" w:lineRule="exact"/>
                          <w:ind w:left="200"/>
                          <w:rPr>
                            <w:sz w:val="21"/>
                          </w:rPr>
                        </w:pPr>
                        <w:r>
                          <w:rPr>
                            <w:sz w:val="21"/>
                          </w:rPr>
                          <w:t>肾髓质囊性病的诊断必须同时符合下列要求：</w:t>
                        </w:r>
                      </w:p>
                      <w:p>
                        <w:pPr>
                          <w:pStyle w:val="TableParagraph"/>
                          <w:numPr>
                            <w:ilvl w:val="0"/>
                            <w:numId w:val="16"/>
                          </w:numPr>
                          <w:tabs>
                            <w:tab w:pos="621" w:val="left" w:leader="none"/>
                          </w:tabs>
                          <w:spacing w:line="274" w:lineRule="exact" w:before="172" w:after="0"/>
                          <w:ind w:left="620" w:right="0" w:hanging="420"/>
                          <w:jc w:val="left"/>
                          <w:rPr>
                            <w:sz w:val="21"/>
                          </w:rPr>
                        </w:pPr>
                        <w:r>
                          <w:rPr>
                            <w:sz w:val="21"/>
                          </w:rPr>
                          <w:t>肾髓质有囊肿、肾小管萎缩及间质纤维化等病理改变；</w:t>
                        </w:r>
                      </w:p>
                      <w:p>
                        <w:pPr>
                          <w:pStyle w:val="TableParagraph"/>
                          <w:numPr>
                            <w:ilvl w:val="0"/>
                            <w:numId w:val="16"/>
                          </w:numPr>
                          <w:tabs>
                            <w:tab w:pos="621" w:val="left" w:leader="none"/>
                          </w:tabs>
                          <w:spacing w:line="272" w:lineRule="exact" w:before="0" w:after="0"/>
                          <w:ind w:left="620" w:right="0" w:hanging="420"/>
                          <w:jc w:val="left"/>
                          <w:rPr>
                            <w:sz w:val="21"/>
                          </w:rPr>
                        </w:pPr>
                        <w:r>
                          <w:rPr>
                            <w:sz w:val="21"/>
                          </w:rPr>
                          <w:t>贫血、多尿及肾功能衰竭等临床表现；</w:t>
                        </w:r>
                      </w:p>
                      <w:p>
                        <w:pPr>
                          <w:pStyle w:val="TableParagraph"/>
                          <w:numPr>
                            <w:ilvl w:val="0"/>
                            <w:numId w:val="16"/>
                          </w:numPr>
                          <w:tabs>
                            <w:tab w:pos="621" w:val="left" w:leader="none"/>
                          </w:tabs>
                          <w:spacing w:line="274" w:lineRule="exact" w:before="0" w:after="0"/>
                          <w:ind w:left="620" w:right="0" w:hanging="420"/>
                          <w:jc w:val="left"/>
                          <w:rPr>
                            <w:sz w:val="21"/>
                          </w:rPr>
                        </w:pPr>
                        <w:r>
                          <w:rPr>
                            <w:sz w:val="21"/>
                          </w:rPr>
                          <w:t>诊断须由肾组织活检确定。</w:t>
                        </w:r>
                      </w:p>
                    </w:tc>
                  </w:tr>
                  <w:tr>
                    <w:trPr>
                      <w:trHeight w:val="1674" w:hRule="atLeast"/>
                    </w:trPr>
                    <w:tc>
                      <w:tcPr>
                        <w:tcW w:w="7745" w:type="dxa"/>
                      </w:tcPr>
                      <w:p>
                        <w:pPr>
                          <w:pStyle w:val="TableParagraph"/>
                          <w:spacing w:line="312" w:lineRule="exact" w:before="147"/>
                          <w:ind w:left="200" w:right="197"/>
                          <w:jc w:val="both"/>
                          <w:rPr>
                            <w:sz w:val="21"/>
                          </w:rPr>
                        </w:pPr>
                        <w:r>
                          <w:rPr>
                            <w:spacing w:val="-2"/>
                            <w:sz w:val="21"/>
                          </w:rPr>
                          <w:t>是指主动脉壁在受到某些病理因素的破坏后，高速、高压的主动脉血流将其内膜</w:t>
                        </w:r>
                        <w:r>
                          <w:rPr>
                            <w:spacing w:val="-3"/>
                            <w:sz w:val="21"/>
                          </w:rPr>
                          <w:t>撕裂，以致主动脉腔内的血流通过主动脉内膜的破裂口进入主动脉内壁而形成血</w:t>
                        </w:r>
                        <w:r>
                          <w:rPr>
                            <w:sz w:val="21"/>
                          </w:rPr>
                          <w:t>肿。被保险人需通过电脑断层扫描</w:t>
                        </w:r>
                        <w:r>
                          <w:rPr>
                            <w:spacing w:val="1"/>
                            <w:sz w:val="21"/>
                          </w:rPr>
                          <w:t>（</w:t>
                        </w:r>
                        <w:r>
                          <w:rPr>
                            <w:sz w:val="21"/>
                          </w:rPr>
                          <w:t>C</w:t>
                        </w:r>
                        <w:r>
                          <w:rPr>
                            <w:spacing w:val="1"/>
                            <w:sz w:val="21"/>
                          </w:rPr>
                          <w:t>T</w:t>
                        </w:r>
                        <w:r>
                          <w:rPr>
                            <w:spacing w:val="-102"/>
                            <w:sz w:val="21"/>
                          </w:rPr>
                          <w:t>）</w:t>
                        </w:r>
                        <w:r>
                          <w:rPr>
                            <w:sz w:val="21"/>
                          </w:rPr>
                          <w:t>、磁共振扫描</w:t>
                        </w:r>
                        <w:r>
                          <w:rPr>
                            <w:spacing w:val="1"/>
                            <w:sz w:val="21"/>
                          </w:rPr>
                          <w:t>（</w:t>
                        </w:r>
                        <w:r>
                          <w:rPr>
                            <w:sz w:val="21"/>
                          </w:rPr>
                          <w:t>MR</w:t>
                        </w:r>
                        <w:r>
                          <w:rPr>
                            <w:spacing w:val="2"/>
                            <w:sz w:val="21"/>
                          </w:rPr>
                          <w:t>I</w:t>
                        </w:r>
                        <w:r>
                          <w:rPr>
                            <w:spacing w:val="-102"/>
                            <w:sz w:val="21"/>
                          </w:rPr>
                          <w:t>）</w:t>
                        </w:r>
                        <w:r>
                          <w:rPr>
                            <w:sz w:val="21"/>
                          </w:rPr>
                          <w:t>、磁共振血管检验</w:t>
                        </w:r>
                        <w:r>
                          <w:rPr>
                            <w:spacing w:val="-4"/>
                            <w:sz w:val="21"/>
                          </w:rPr>
                          <w:t>法</w:t>
                        </w:r>
                        <w:r>
                          <w:rPr>
                            <w:spacing w:val="-1"/>
                            <w:sz w:val="21"/>
                          </w:rPr>
                          <w:t>（MRA）</w:t>
                        </w:r>
                        <w:r>
                          <w:rPr>
                            <w:sz w:val="21"/>
                          </w:rPr>
                          <w:t>或血管扫描等检查,并须经本公司指定或认可的医疗机构的心血管专科医师确诊。</w:t>
                        </w:r>
                      </w:p>
                    </w:tc>
                  </w:tr>
                </w:tbl>
                <w:p>
                  <w:pPr>
                    <w:pStyle w:val="BodyText"/>
                  </w:pPr>
                </w:p>
              </w:txbxContent>
            </v:textbox>
            <w10:wrap type="none"/>
          </v:shape>
        </w:pict>
      </w:r>
      <w:r>
        <w:rPr/>
        <w:t>类风湿性关节炎系指以关节滑膜炎为特征的慢性全身性自身免疫性疾病，诊断必</w:t>
      </w:r>
    </w:p>
    <w:p>
      <w:pPr>
        <w:pStyle w:val="BodyText"/>
        <w:rPr>
          <w:sz w:val="20"/>
        </w:rPr>
      </w:pPr>
    </w:p>
    <w:p>
      <w:pPr>
        <w:pStyle w:val="BodyText"/>
        <w:rPr>
          <w:sz w:val="20"/>
        </w:rPr>
      </w:pPr>
    </w:p>
    <w:p>
      <w:pPr>
        <w:pStyle w:val="BodyText"/>
        <w:spacing w:before="4"/>
        <w:rPr>
          <w:sz w:val="25"/>
        </w:rPr>
      </w:pPr>
    </w:p>
    <w:p>
      <w:pPr>
        <w:pStyle w:val="Heading1"/>
        <w:numPr>
          <w:ilvl w:val="0"/>
          <w:numId w:val="17"/>
        </w:numPr>
        <w:tabs>
          <w:tab w:pos="526" w:val="left" w:leader="none"/>
        </w:tabs>
        <w:spacing w:line="240" w:lineRule="auto" w:before="1" w:after="0"/>
        <w:ind w:left="224" w:right="0" w:hanging="119"/>
        <w:jc w:val="left"/>
      </w:pPr>
      <w:r>
        <w:rPr>
          <w:w w:val="95"/>
        </w:rPr>
        <w:t>肾髓质囊性病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7"/>
        </w:rPr>
      </w:pPr>
    </w:p>
    <w:p>
      <w:pPr>
        <w:pStyle w:val="ListParagraph"/>
        <w:numPr>
          <w:ilvl w:val="0"/>
          <w:numId w:val="17"/>
        </w:numPr>
        <w:tabs>
          <w:tab w:pos="527" w:val="left" w:leader="none"/>
        </w:tabs>
        <w:spacing w:line="240" w:lineRule="auto" w:before="0" w:after="0"/>
        <w:ind w:left="526" w:right="0" w:hanging="421"/>
        <w:jc w:val="left"/>
        <w:rPr>
          <w:b/>
          <w:sz w:val="21"/>
        </w:rPr>
      </w:pPr>
      <w:r>
        <w:rPr>
          <w:b/>
          <w:w w:val="95"/>
          <w:sz w:val="21"/>
        </w:rPr>
        <w:t>主动脉夹层瘤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7"/>
        </w:rPr>
      </w:pPr>
    </w:p>
    <w:p>
      <w:pPr>
        <w:pStyle w:val="ListParagraph"/>
        <w:numPr>
          <w:ilvl w:val="0"/>
          <w:numId w:val="17"/>
        </w:numPr>
        <w:tabs>
          <w:tab w:pos="527" w:val="left" w:leader="none"/>
          <w:tab w:pos="2523" w:val="left" w:leader="none"/>
        </w:tabs>
        <w:spacing w:line="686" w:lineRule="auto" w:before="36" w:after="0"/>
        <w:ind w:left="224" w:right="208" w:hanging="119"/>
        <w:jc w:val="left"/>
        <w:rPr>
          <w:sz w:val="21"/>
        </w:rPr>
      </w:pPr>
      <w:r>
        <w:rPr>
          <w:b/>
          <w:sz w:val="21"/>
        </w:rPr>
        <w:t>脑动脉瘤开颅手术</w:t>
        <w:tab/>
      </w:r>
      <w:r>
        <w:rPr>
          <w:sz w:val="21"/>
        </w:rPr>
        <w:t>指确已进行开颅手术以夹闭</w:t>
      </w:r>
      <w:r>
        <w:rPr>
          <w:spacing w:val="-56"/>
          <w:sz w:val="21"/>
        </w:rPr>
        <w:t>、</w:t>
      </w:r>
      <w:r>
        <w:rPr>
          <w:sz w:val="21"/>
        </w:rPr>
        <w:t>修复或切除脑动脉瘤</w:t>
      </w:r>
      <w:r>
        <w:rPr>
          <w:spacing w:val="-56"/>
          <w:sz w:val="21"/>
        </w:rPr>
        <w:t>。</w:t>
      </w:r>
      <w:r>
        <w:rPr>
          <w:sz w:val="21"/>
        </w:rPr>
        <w:t>但不包括导管及血管内手术。注：</w:t>
      </w:r>
    </w:p>
    <w:p>
      <w:pPr>
        <w:pStyle w:val="ListParagraph"/>
        <w:numPr>
          <w:ilvl w:val="1"/>
          <w:numId w:val="17"/>
        </w:numPr>
        <w:tabs>
          <w:tab w:pos="644" w:val="left" w:leader="none"/>
          <w:tab w:pos="645" w:val="left" w:leader="none"/>
        </w:tabs>
        <w:spacing w:line="202" w:lineRule="exact" w:before="0" w:after="0"/>
        <w:ind w:left="644" w:right="0" w:hanging="420"/>
        <w:jc w:val="left"/>
        <w:rPr>
          <w:sz w:val="21"/>
        </w:rPr>
      </w:pPr>
      <w:r>
        <w:rPr>
          <w:sz w:val="21"/>
        </w:rPr>
        <w:t>专科医生</w:t>
      </w:r>
    </w:p>
    <w:p>
      <w:pPr>
        <w:pStyle w:val="BodyText"/>
        <w:spacing w:before="2"/>
        <w:rPr>
          <w:sz w:val="24"/>
        </w:rPr>
      </w:pPr>
    </w:p>
    <w:p>
      <w:pPr>
        <w:pStyle w:val="BodyText"/>
        <w:spacing w:before="1"/>
        <w:ind w:left="644"/>
      </w:pPr>
      <w:r>
        <w:rPr/>
        <w:t>专科医生应当同时满足以下四项资格条件：</w:t>
      </w:r>
    </w:p>
    <w:p>
      <w:pPr>
        <w:pStyle w:val="BodyText"/>
        <w:spacing w:before="1"/>
        <w:rPr>
          <w:sz w:val="24"/>
        </w:rPr>
      </w:pPr>
    </w:p>
    <w:p>
      <w:pPr>
        <w:pStyle w:val="ListParagraph"/>
        <w:numPr>
          <w:ilvl w:val="2"/>
          <w:numId w:val="17"/>
        </w:numPr>
        <w:tabs>
          <w:tab w:pos="1059" w:val="left" w:leader="none"/>
        </w:tabs>
        <w:spacing w:line="240" w:lineRule="auto" w:before="0" w:after="0"/>
        <w:ind w:left="1058" w:right="0" w:hanging="414"/>
        <w:jc w:val="left"/>
        <w:rPr>
          <w:sz w:val="21"/>
        </w:rPr>
      </w:pPr>
      <w:r>
        <w:rPr>
          <w:spacing w:val="-6"/>
          <w:sz w:val="21"/>
        </w:rPr>
        <w:t>具有有效的中华人民共和国《医师资格证书》；</w:t>
      </w:r>
    </w:p>
    <w:p>
      <w:pPr>
        <w:pStyle w:val="ListParagraph"/>
        <w:numPr>
          <w:ilvl w:val="2"/>
          <w:numId w:val="17"/>
        </w:numPr>
        <w:tabs>
          <w:tab w:pos="1059" w:val="left" w:leader="none"/>
        </w:tabs>
        <w:spacing w:line="240" w:lineRule="auto" w:before="37" w:after="0"/>
        <w:ind w:left="1058" w:right="0" w:hanging="414"/>
        <w:jc w:val="left"/>
        <w:rPr>
          <w:sz w:val="21"/>
        </w:rPr>
      </w:pPr>
      <w:r>
        <w:rPr>
          <w:spacing w:val="-7"/>
          <w:sz w:val="21"/>
        </w:rPr>
        <w:t>具有有效的中华人民共和国《医师执业证书》，并按期到相关部门登记注册；</w:t>
      </w:r>
    </w:p>
    <w:p>
      <w:pPr>
        <w:pStyle w:val="ListParagraph"/>
        <w:numPr>
          <w:ilvl w:val="2"/>
          <w:numId w:val="17"/>
        </w:numPr>
        <w:tabs>
          <w:tab w:pos="1059" w:val="left" w:leader="none"/>
        </w:tabs>
        <w:spacing w:line="240" w:lineRule="auto" w:before="37" w:after="0"/>
        <w:ind w:left="1058" w:right="0" w:hanging="414"/>
        <w:jc w:val="left"/>
        <w:rPr>
          <w:sz w:val="21"/>
        </w:rPr>
      </w:pPr>
      <w:r>
        <w:rPr>
          <w:spacing w:val="-4"/>
          <w:sz w:val="21"/>
        </w:rPr>
        <w:t>具有有效的中华人民共和国主治医师或主治医师以上职称的《医师职称证书》；</w:t>
      </w:r>
    </w:p>
    <w:p>
      <w:pPr>
        <w:pStyle w:val="ListParagraph"/>
        <w:numPr>
          <w:ilvl w:val="2"/>
          <w:numId w:val="17"/>
        </w:numPr>
        <w:tabs>
          <w:tab w:pos="1059" w:val="left" w:leader="none"/>
        </w:tabs>
        <w:spacing w:line="240" w:lineRule="auto" w:before="37" w:after="0"/>
        <w:ind w:left="1058" w:right="0" w:hanging="414"/>
        <w:jc w:val="left"/>
        <w:rPr>
          <w:sz w:val="21"/>
        </w:rPr>
      </w:pPr>
      <w:r>
        <w:rPr>
          <w:sz w:val="21"/>
        </w:rPr>
        <w:t>在二级或二级以上医院的相应科室从事临床工作三年以上。</w:t>
      </w:r>
    </w:p>
    <w:p>
      <w:pPr>
        <w:pStyle w:val="BodyText"/>
        <w:spacing w:before="1"/>
        <w:rPr>
          <w:sz w:val="24"/>
        </w:rPr>
      </w:pPr>
    </w:p>
    <w:p>
      <w:pPr>
        <w:pStyle w:val="ListParagraph"/>
        <w:numPr>
          <w:ilvl w:val="1"/>
          <w:numId w:val="17"/>
        </w:numPr>
        <w:tabs>
          <w:tab w:pos="644" w:val="left" w:leader="none"/>
          <w:tab w:pos="645" w:val="left" w:leader="none"/>
        </w:tabs>
        <w:spacing w:line="240" w:lineRule="auto" w:before="35" w:after="0"/>
        <w:ind w:left="644" w:right="0" w:hanging="420"/>
        <w:jc w:val="left"/>
        <w:rPr>
          <w:sz w:val="21"/>
        </w:rPr>
      </w:pPr>
      <w:r>
        <w:rPr>
          <w:sz w:val="21"/>
        </w:rPr>
        <w:t>肢体机能完全丧失</w:t>
      </w:r>
    </w:p>
    <w:p>
      <w:pPr>
        <w:pStyle w:val="BodyText"/>
        <w:spacing w:before="2"/>
        <w:rPr>
          <w:sz w:val="24"/>
        </w:rPr>
      </w:pPr>
    </w:p>
    <w:p>
      <w:pPr>
        <w:pStyle w:val="BodyText"/>
        <w:spacing w:line="273" w:lineRule="auto"/>
        <w:ind w:left="644" w:right="433"/>
      </w:pPr>
      <w:r>
        <w:rPr/>
        <w:t>指肢体的三大关节中的两大关节僵硬，或不能随意识活动。肢体是指包括肩关节的整个上肢或包括髋关节的整个下肢。</w:t>
      </w:r>
    </w:p>
    <w:p>
      <w:pPr>
        <w:pStyle w:val="BodyText"/>
        <w:spacing w:before="3"/>
        <w:rPr>
          <w:sz w:val="19"/>
        </w:rPr>
      </w:pPr>
    </w:p>
    <w:p>
      <w:pPr>
        <w:pStyle w:val="ListParagraph"/>
        <w:numPr>
          <w:ilvl w:val="1"/>
          <w:numId w:val="17"/>
        </w:numPr>
        <w:tabs>
          <w:tab w:pos="644" w:val="left" w:leader="none"/>
          <w:tab w:pos="645" w:val="left" w:leader="none"/>
        </w:tabs>
        <w:spacing w:line="240" w:lineRule="auto" w:before="35" w:after="0"/>
        <w:ind w:left="644" w:right="0" w:hanging="420"/>
        <w:jc w:val="left"/>
        <w:rPr>
          <w:sz w:val="21"/>
        </w:rPr>
      </w:pPr>
      <w:r>
        <w:rPr>
          <w:sz w:val="21"/>
        </w:rPr>
        <w:t>咀嚼吞咽能力完全丧失</w:t>
      </w:r>
    </w:p>
    <w:p>
      <w:pPr>
        <w:pStyle w:val="BodyText"/>
        <w:spacing w:before="1"/>
        <w:rPr>
          <w:sz w:val="24"/>
        </w:rPr>
      </w:pPr>
    </w:p>
    <w:p>
      <w:pPr>
        <w:pStyle w:val="BodyText"/>
        <w:spacing w:line="273" w:lineRule="auto"/>
        <w:ind w:left="644" w:right="433"/>
      </w:pPr>
      <w:r>
        <w:rPr/>
        <w:t>指因牙齿以外的原因导致器质障碍或机能障碍，以致不能作咀嚼吞咽运动，除流质食物外不能摄取或吞咽的状态。</w:t>
      </w:r>
    </w:p>
    <w:p>
      <w:pPr>
        <w:pStyle w:val="BodyText"/>
        <w:spacing w:before="4"/>
        <w:rPr>
          <w:sz w:val="19"/>
        </w:rPr>
      </w:pPr>
    </w:p>
    <w:p>
      <w:pPr>
        <w:pStyle w:val="ListParagraph"/>
        <w:numPr>
          <w:ilvl w:val="1"/>
          <w:numId w:val="17"/>
        </w:numPr>
        <w:tabs>
          <w:tab w:pos="644" w:val="left" w:leader="none"/>
          <w:tab w:pos="645" w:val="left" w:leader="none"/>
        </w:tabs>
        <w:spacing w:line="240" w:lineRule="auto" w:before="35" w:after="0"/>
        <w:ind w:left="644" w:right="0" w:hanging="420"/>
        <w:jc w:val="left"/>
        <w:rPr>
          <w:sz w:val="21"/>
        </w:rPr>
      </w:pPr>
      <w:r>
        <w:rPr>
          <w:sz w:val="21"/>
        </w:rPr>
        <w:t>语言能力完全丧失</w:t>
      </w:r>
    </w:p>
    <w:p>
      <w:pPr>
        <w:pStyle w:val="BodyText"/>
        <w:rPr>
          <w:sz w:val="20"/>
        </w:rPr>
      </w:pPr>
    </w:p>
    <w:p>
      <w:pPr>
        <w:pStyle w:val="BodyText"/>
        <w:spacing w:line="410" w:lineRule="auto" w:before="131"/>
        <w:ind w:left="644" w:right="433"/>
      </w:pPr>
      <w:r>
        <w:rPr/>
        <w:t>指无法发出四种语音（包括口唇音、齿舌音、口盖音和喉头音）中的任何三种、或声带全部切除， 或因大脑语言中枢受伤害而患失语症。</w:t>
      </w:r>
    </w:p>
    <w:p>
      <w:pPr>
        <w:pStyle w:val="BodyText"/>
        <w:spacing w:before="1"/>
      </w:pPr>
    </w:p>
    <w:p>
      <w:pPr>
        <w:pStyle w:val="ListParagraph"/>
        <w:numPr>
          <w:ilvl w:val="1"/>
          <w:numId w:val="17"/>
        </w:numPr>
        <w:tabs>
          <w:tab w:pos="644" w:val="left" w:leader="none"/>
          <w:tab w:pos="645" w:val="left" w:leader="none"/>
        </w:tabs>
        <w:spacing w:line="240" w:lineRule="auto" w:before="0" w:after="0"/>
        <w:ind w:left="644" w:right="0" w:hanging="420"/>
        <w:jc w:val="left"/>
        <w:rPr>
          <w:sz w:val="21"/>
        </w:rPr>
      </w:pPr>
      <w:r>
        <w:rPr>
          <w:sz w:val="21"/>
        </w:rPr>
        <w:t>六项基本日常生活活动</w:t>
      </w:r>
    </w:p>
    <w:p>
      <w:pPr>
        <w:spacing w:after="0" w:line="240" w:lineRule="auto"/>
        <w:jc w:val="left"/>
        <w:rPr>
          <w:sz w:val="21"/>
        </w:rPr>
        <w:sectPr>
          <w:headerReference w:type="default" r:id="rId11"/>
          <w:pgSz w:w="11910" w:h="16840"/>
          <w:pgMar w:header="877" w:footer="977" w:top="1100" w:bottom="1180" w:left="1080" w:right="640"/>
        </w:sectPr>
      </w:pPr>
    </w:p>
    <w:p>
      <w:pPr>
        <w:pStyle w:val="BodyText"/>
        <w:rPr>
          <w:sz w:val="19"/>
        </w:rPr>
      </w:pPr>
    </w:p>
    <w:p>
      <w:pPr>
        <w:pStyle w:val="ListParagraph"/>
        <w:numPr>
          <w:ilvl w:val="2"/>
          <w:numId w:val="17"/>
        </w:numPr>
        <w:tabs>
          <w:tab w:pos="979" w:val="left" w:leader="none"/>
        </w:tabs>
        <w:spacing w:line="240" w:lineRule="auto" w:before="35" w:after="0"/>
        <w:ind w:left="978" w:right="0" w:hanging="414"/>
        <w:jc w:val="left"/>
        <w:rPr>
          <w:sz w:val="21"/>
        </w:rPr>
      </w:pPr>
      <w:r>
        <w:rPr>
          <w:sz w:val="21"/>
        </w:rPr>
        <w:t>穿衣：自己能够穿衣及脱衣；</w:t>
      </w:r>
    </w:p>
    <w:p>
      <w:pPr>
        <w:pStyle w:val="ListParagraph"/>
        <w:numPr>
          <w:ilvl w:val="2"/>
          <w:numId w:val="17"/>
        </w:numPr>
        <w:tabs>
          <w:tab w:pos="979" w:val="left" w:leader="none"/>
        </w:tabs>
        <w:spacing w:line="240" w:lineRule="auto" w:before="37" w:after="0"/>
        <w:ind w:left="978" w:right="0" w:hanging="414"/>
        <w:jc w:val="left"/>
        <w:rPr>
          <w:sz w:val="21"/>
        </w:rPr>
      </w:pPr>
      <w:r>
        <w:rPr>
          <w:sz w:val="21"/>
        </w:rPr>
        <w:t>移动：自己从一个房间到另一个房间；</w:t>
      </w:r>
    </w:p>
    <w:p>
      <w:pPr>
        <w:pStyle w:val="ListParagraph"/>
        <w:numPr>
          <w:ilvl w:val="2"/>
          <w:numId w:val="17"/>
        </w:numPr>
        <w:tabs>
          <w:tab w:pos="979" w:val="left" w:leader="none"/>
        </w:tabs>
        <w:spacing w:line="240" w:lineRule="auto" w:before="37" w:after="0"/>
        <w:ind w:left="978" w:right="0" w:hanging="414"/>
        <w:jc w:val="left"/>
        <w:rPr>
          <w:sz w:val="21"/>
        </w:rPr>
      </w:pPr>
      <w:r>
        <w:rPr>
          <w:sz w:val="21"/>
        </w:rPr>
        <w:t>行动：自己上下床或上下轮椅；</w:t>
      </w:r>
    </w:p>
    <w:p>
      <w:pPr>
        <w:pStyle w:val="ListParagraph"/>
        <w:numPr>
          <w:ilvl w:val="2"/>
          <w:numId w:val="17"/>
        </w:numPr>
        <w:tabs>
          <w:tab w:pos="979" w:val="left" w:leader="none"/>
        </w:tabs>
        <w:spacing w:line="240" w:lineRule="auto" w:before="36" w:after="0"/>
        <w:ind w:left="978" w:right="0" w:hanging="414"/>
        <w:jc w:val="left"/>
        <w:rPr>
          <w:sz w:val="21"/>
        </w:rPr>
      </w:pPr>
      <w:r>
        <w:rPr>
          <w:sz w:val="21"/>
        </w:rPr>
        <w:t>如厕：自己控制进行大小便；</w:t>
      </w:r>
    </w:p>
    <w:p>
      <w:pPr>
        <w:pStyle w:val="ListParagraph"/>
        <w:numPr>
          <w:ilvl w:val="2"/>
          <w:numId w:val="17"/>
        </w:numPr>
        <w:tabs>
          <w:tab w:pos="979" w:val="left" w:leader="none"/>
        </w:tabs>
        <w:spacing w:line="240" w:lineRule="auto" w:before="36" w:after="0"/>
        <w:ind w:left="978" w:right="0" w:hanging="414"/>
        <w:jc w:val="left"/>
        <w:rPr>
          <w:sz w:val="21"/>
        </w:rPr>
      </w:pPr>
      <w:r>
        <w:rPr>
          <w:sz w:val="21"/>
        </w:rPr>
        <w:t>进食：自己从已准备好的碗或碟中取食物放入口中；</w:t>
      </w:r>
    </w:p>
    <w:p>
      <w:pPr>
        <w:pStyle w:val="ListParagraph"/>
        <w:numPr>
          <w:ilvl w:val="2"/>
          <w:numId w:val="17"/>
        </w:numPr>
        <w:tabs>
          <w:tab w:pos="979" w:val="left" w:leader="none"/>
        </w:tabs>
        <w:spacing w:line="240" w:lineRule="auto" w:before="37" w:after="0"/>
        <w:ind w:left="978" w:right="0" w:hanging="414"/>
        <w:jc w:val="left"/>
        <w:rPr>
          <w:sz w:val="21"/>
        </w:rPr>
      </w:pPr>
      <w:r>
        <w:rPr>
          <w:sz w:val="21"/>
        </w:rPr>
        <w:t>洗澡：自己进行淋浴或盆浴。</w:t>
      </w:r>
    </w:p>
    <w:p>
      <w:pPr>
        <w:pStyle w:val="BodyText"/>
        <w:spacing w:before="1"/>
        <w:rPr>
          <w:sz w:val="24"/>
        </w:rPr>
      </w:pPr>
    </w:p>
    <w:p>
      <w:pPr>
        <w:pStyle w:val="ListParagraph"/>
        <w:numPr>
          <w:ilvl w:val="1"/>
          <w:numId w:val="17"/>
        </w:numPr>
        <w:tabs>
          <w:tab w:pos="564" w:val="left" w:leader="none"/>
          <w:tab w:pos="565" w:val="left" w:leader="none"/>
        </w:tabs>
        <w:spacing w:line="240" w:lineRule="auto" w:before="35" w:after="0"/>
        <w:ind w:left="564" w:right="0" w:hanging="420"/>
        <w:jc w:val="left"/>
        <w:rPr>
          <w:sz w:val="21"/>
        </w:rPr>
      </w:pPr>
      <w:r>
        <w:rPr>
          <w:sz w:val="21"/>
        </w:rPr>
        <w:t>永久不可逆</w:t>
      </w:r>
    </w:p>
    <w:p>
      <w:pPr>
        <w:pStyle w:val="BodyText"/>
        <w:spacing w:before="2"/>
        <w:rPr>
          <w:sz w:val="24"/>
        </w:rPr>
      </w:pPr>
    </w:p>
    <w:p>
      <w:pPr>
        <w:pStyle w:val="BodyText"/>
        <w:ind w:left="564"/>
      </w:pPr>
      <w:r>
        <w:rPr/>
        <w:t>指自疾病确诊或意外伤害发生之日起，经过积极治疗 180 天后，仍无法通过现有医疗手段恢复。</w:t>
      </w:r>
    </w:p>
    <w:sectPr>
      <w:pgSz w:w="11910" w:h="16840"/>
      <w:pgMar w:header="877" w:footer="977"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700012pt;margin-top:781.956604pt;width:33.1pt;height:12pt;mso-position-horizontal-relative:page;mso-position-vertical-relative:page;z-index:-36808" type="#_x0000_t202" filled="false" stroked="false">
          <v:textbox inset="0,0,0,0">
            <w:txbxContent>
              <w:p>
                <w:pPr>
                  <w:spacing w:line="219" w:lineRule="exact" w:before="0"/>
                  <w:ind w:left="20" w:right="0" w:firstLine="0"/>
                  <w:jc w:val="left"/>
                  <w:rPr>
                    <w:sz w:val="18"/>
                  </w:rPr>
                </w:pPr>
                <w:r>
                  <w:rPr>
                    <w:spacing w:val="-24"/>
                    <w:sz w:val="18"/>
                  </w:rPr>
                  <w:t>第 </w:t>
                </w:r>
                <w:r>
                  <w:rPr/>
                  <w:fldChar w:fldCharType="begin"/>
                </w:r>
                <w:r>
                  <w:rPr>
                    <w:rFonts w:ascii="Times New Roman" w:eastAsia="Times New Roman"/>
                    <w:sz w:val="18"/>
                  </w:rPr>
                  <w:instrText> PAGE </w:instrText>
                </w:r>
                <w:r>
                  <w:rPr/>
                  <w:fldChar w:fldCharType="separate"/>
                </w:r>
                <w:r>
                  <w:rPr/>
                  <w:t>11</w:t>
                </w:r>
                <w:r>
                  <w:rPr/>
                  <w:fldChar w:fldCharType="end"/>
                </w:r>
                <w:r>
                  <w:rPr>
                    <w:rFonts w:ascii="Times New Roman" w:eastAsia="Times New Roman"/>
                    <w:sz w:val="18"/>
                  </w:rPr>
                  <w:t>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36856" type="#_x0000_t202" filled="false" stroked="false">
          <v:textbox inset="0,0,0,0">
            <w:txbxContent>
              <w:p>
                <w:pPr>
                  <w:spacing w:line="200" w:lineRule="exact" w:before="0"/>
                  <w:ind w:left="20" w:right="0" w:firstLine="0"/>
                  <w:jc w:val="left"/>
                  <w:rPr>
                    <w:sz w:val="18"/>
                  </w:rPr>
                </w:pPr>
                <w:r>
                  <w:rPr>
                    <w:sz w:val="18"/>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36832"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784"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36760" type="#_x0000_t202" filled="false" stroked="false">
          <v:textbox inset="0,0,0,0">
            <w:txbxContent>
              <w:p>
                <w:pPr>
                  <w:spacing w:line="200" w:lineRule="exact" w:before="0"/>
                  <w:ind w:left="20" w:right="0" w:firstLine="0"/>
                  <w:jc w:val="left"/>
                  <w:rPr>
                    <w:sz w:val="18"/>
                  </w:rPr>
                </w:pPr>
                <w:r>
                  <w:rPr>
                    <w:sz w:val="18"/>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36736"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64pt;height:11pt;mso-position-horizontal-relative:page;mso-position-vertical-relative:page;z-index:-36712" type="#_x0000_t202" filled="false" stroked="false">
          <v:textbox inset="0,0,0,0">
            <w:txbxContent>
              <w:p>
                <w:pPr>
                  <w:spacing w:line="200" w:lineRule="exact" w:before="0"/>
                  <w:ind w:left="20" w:right="0" w:firstLine="0"/>
                  <w:jc w:val="left"/>
                  <w:rPr>
                    <w:sz w:val="18"/>
                  </w:rPr>
                </w:pPr>
                <w:r>
                  <w:rPr>
                    <w:sz w:val="18"/>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36688"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664"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36640" type="#_x0000_t202" filled="false" stroked="false">
          <v:textbox inset="0,0,0,0">
            <w:txbxContent>
              <w:p>
                <w:pPr>
                  <w:spacing w:line="200" w:lineRule="exact" w:before="0"/>
                  <w:ind w:left="20" w:right="0" w:firstLine="0"/>
                  <w:jc w:val="left"/>
                  <w:rPr>
                    <w:sz w:val="18"/>
                  </w:rPr>
                </w:pPr>
                <w:r>
                  <w:rPr>
                    <w:sz w:val="18"/>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36616"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620" w:hanging="420"/>
        <w:jc w:val="left"/>
      </w:pPr>
      <w:rPr>
        <w:rFonts w:hint="default" w:ascii="宋体" w:hAnsi="宋体" w:eastAsia="宋体" w:cs="宋体"/>
        <w:spacing w:val="-1"/>
        <w:w w:val="100"/>
        <w:sz w:val="21"/>
        <w:szCs w:val="21"/>
      </w:rPr>
    </w:lvl>
    <w:lvl w:ilvl="1">
      <w:start w:val="0"/>
      <w:numFmt w:val="bullet"/>
      <w:lvlText w:val="•"/>
      <w:lvlJc w:val="left"/>
      <w:pPr>
        <w:ind w:left="1332" w:hanging="420"/>
      </w:pPr>
      <w:rPr>
        <w:rFonts w:hint="default"/>
      </w:rPr>
    </w:lvl>
    <w:lvl w:ilvl="2">
      <w:start w:val="0"/>
      <w:numFmt w:val="bullet"/>
      <w:lvlText w:val="•"/>
      <w:lvlJc w:val="left"/>
      <w:pPr>
        <w:ind w:left="2045" w:hanging="420"/>
      </w:pPr>
      <w:rPr>
        <w:rFonts w:hint="default"/>
      </w:rPr>
    </w:lvl>
    <w:lvl w:ilvl="3">
      <w:start w:val="0"/>
      <w:numFmt w:val="bullet"/>
      <w:lvlText w:val="•"/>
      <w:lvlJc w:val="left"/>
      <w:pPr>
        <w:ind w:left="2757" w:hanging="420"/>
      </w:pPr>
      <w:rPr>
        <w:rFonts w:hint="default"/>
      </w:rPr>
    </w:lvl>
    <w:lvl w:ilvl="4">
      <w:start w:val="0"/>
      <w:numFmt w:val="bullet"/>
      <w:lvlText w:val="•"/>
      <w:lvlJc w:val="left"/>
      <w:pPr>
        <w:ind w:left="3470" w:hanging="420"/>
      </w:pPr>
      <w:rPr>
        <w:rFonts w:hint="default"/>
      </w:rPr>
    </w:lvl>
    <w:lvl w:ilvl="5">
      <w:start w:val="0"/>
      <w:numFmt w:val="bullet"/>
      <w:lvlText w:val="•"/>
      <w:lvlJc w:val="left"/>
      <w:pPr>
        <w:ind w:left="4182" w:hanging="420"/>
      </w:pPr>
      <w:rPr>
        <w:rFonts w:hint="default"/>
      </w:rPr>
    </w:lvl>
    <w:lvl w:ilvl="6">
      <w:start w:val="0"/>
      <w:numFmt w:val="bullet"/>
      <w:lvlText w:val="•"/>
      <w:lvlJc w:val="left"/>
      <w:pPr>
        <w:ind w:left="4895" w:hanging="420"/>
      </w:pPr>
      <w:rPr>
        <w:rFonts w:hint="default"/>
      </w:rPr>
    </w:lvl>
    <w:lvl w:ilvl="7">
      <w:start w:val="0"/>
      <w:numFmt w:val="bullet"/>
      <w:lvlText w:val="•"/>
      <w:lvlJc w:val="left"/>
      <w:pPr>
        <w:ind w:left="5607" w:hanging="420"/>
      </w:pPr>
      <w:rPr>
        <w:rFonts w:hint="default"/>
      </w:rPr>
    </w:lvl>
    <w:lvl w:ilvl="8">
      <w:start w:val="0"/>
      <w:numFmt w:val="bullet"/>
      <w:lvlText w:val="•"/>
      <w:lvlJc w:val="left"/>
      <w:pPr>
        <w:ind w:left="6320" w:hanging="420"/>
      </w:pPr>
      <w:rPr>
        <w:rFonts w:hint="default"/>
      </w:rPr>
    </w:lvl>
  </w:abstractNum>
  <w:abstractNum w:abstractNumId="16">
    <w:multiLevelType w:val="hybridMultilevel"/>
    <w:lvl w:ilvl="0">
      <w:start w:val="38"/>
      <w:numFmt w:val="decimal"/>
      <w:lvlText w:val="%1."/>
      <w:lvlJc w:val="left"/>
      <w:pPr>
        <w:ind w:left="224" w:hanging="421"/>
        <w:jc w:val="left"/>
      </w:pPr>
      <w:rPr>
        <w:rFonts w:hint="default" w:ascii="宋体" w:hAnsi="宋体" w:eastAsia="宋体" w:cs="宋体"/>
        <w:b/>
        <w:bCs/>
        <w:w w:val="99"/>
        <w:sz w:val="21"/>
        <w:szCs w:val="21"/>
      </w:rPr>
    </w:lvl>
    <w:lvl w:ilvl="1">
      <w:start w:val="1"/>
      <w:numFmt w:val="decimal"/>
      <w:lvlText w:val="%2"/>
      <w:lvlJc w:val="left"/>
      <w:pPr>
        <w:ind w:left="644" w:hanging="420"/>
        <w:jc w:val="right"/>
      </w:pPr>
      <w:rPr>
        <w:rFonts w:hint="default" w:ascii="宋体" w:hAnsi="宋体" w:eastAsia="宋体" w:cs="宋体"/>
        <w:w w:val="100"/>
        <w:sz w:val="21"/>
        <w:szCs w:val="21"/>
      </w:rPr>
    </w:lvl>
    <w:lvl w:ilvl="2">
      <w:start w:val="1"/>
      <w:numFmt w:val="decimal"/>
      <w:lvlText w:val="(%3)"/>
      <w:lvlJc w:val="left"/>
      <w:pPr>
        <w:ind w:left="1058" w:hanging="415"/>
        <w:jc w:val="left"/>
      </w:pPr>
      <w:rPr>
        <w:rFonts w:hint="default" w:ascii="宋体" w:hAnsi="宋体" w:eastAsia="宋体" w:cs="宋体"/>
        <w:spacing w:val="-1"/>
        <w:w w:val="100"/>
        <w:sz w:val="21"/>
        <w:szCs w:val="21"/>
      </w:rPr>
    </w:lvl>
    <w:lvl w:ilvl="3">
      <w:start w:val="0"/>
      <w:numFmt w:val="bullet"/>
      <w:lvlText w:val="•"/>
      <w:lvlJc w:val="left"/>
      <w:pPr>
        <w:ind w:left="1060" w:hanging="415"/>
      </w:pPr>
      <w:rPr>
        <w:rFonts w:hint="default"/>
      </w:rPr>
    </w:lvl>
    <w:lvl w:ilvl="4">
      <w:start w:val="0"/>
      <w:numFmt w:val="bullet"/>
      <w:lvlText w:val="•"/>
      <w:lvlJc w:val="left"/>
      <w:pPr>
        <w:ind w:left="2309" w:hanging="415"/>
      </w:pPr>
      <w:rPr>
        <w:rFonts w:hint="default"/>
      </w:rPr>
    </w:lvl>
    <w:lvl w:ilvl="5">
      <w:start w:val="0"/>
      <w:numFmt w:val="bullet"/>
      <w:lvlText w:val="•"/>
      <w:lvlJc w:val="left"/>
      <w:pPr>
        <w:ind w:left="3558" w:hanging="415"/>
      </w:pPr>
      <w:rPr>
        <w:rFonts w:hint="default"/>
      </w:rPr>
    </w:lvl>
    <w:lvl w:ilvl="6">
      <w:start w:val="0"/>
      <w:numFmt w:val="bullet"/>
      <w:lvlText w:val="•"/>
      <w:lvlJc w:val="left"/>
      <w:pPr>
        <w:ind w:left="4807" w:hanging="415"/>
      </w:pPr>
      <w:rPr>
        <w:rFonts w:hint="default"/>
      </w:rPr>
    </w:lvl>
    <w:lvl w:ilvl="7">
      <w:start w:val="0"/>
      <w:numFmt w:val="bullet"/>
      <w:lvlText w:val="•"/>
      <w:lvlJc w:val="left"/>
      <w:pPr>
        <w:ind w:left="6056" w:hanging="415"/>
      </w:pPr>
      <w:rPr>
        <w:rFonts w:hint="default"/>
      </w:rPr>
    </w:lvl>
    <w:lvl w:ilvl="8">
      <w:start w:val="0"/>
      <w:numFmt w:val="bullet"/>
      <w:lvlText w:val="•"/>
      <w:lvlJc w:val="left"/>
      <w:pPr>
        <w:ind w:left="7306" w:hanging="415"/>
      </w:pPr>
      <w:rPr>
        <w:rFonts w:hint="default"/>
      </w:rPr>
    </w:lvl>
  </w:abstractNum>
  <w:abstractNum w:abstractNumId="13">
    <w:multiLevelType w:val="hybridMultilevel"/>
    <w:lvl w:ilvl="0">
      <w:start w:val="36"/>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33"/>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2">
    <w:multiLevelType w:val="hybridMultilevel"/>
    <w:lvl w:ilvl="0">
      <w:start w:val="34"/>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1">
    <w:multiLevelType w:val="hybridMultilevel"/>
    <w:lvl w:ilvl="0">
      <w:start w:val="1"/>
      <w:numFmt w:val="decimal"/>
      <w:lvlText w:val="(%1)"/>
      <w:lvlJc w:val="left"/>
      <w:pPr>
        <w:ind w:left="892" w:hanging="420"/>
        <w:jc w:val="left"/>
      </w:pPr>
      <w:rPr>
        <w:rFonts w:hint="default" w:ascii="宋体" w:hAnsi="宋体" w:eastAsia="宋体" w:cs="宋体"/>
        <w:spacing w:val="-1"/>
        <w:w w:val="100"/>
        <w:sz w:val="21"/>
        <w:szCs w:val="21"/>
      </w:rPr>
    </w:lvl>
    <w:lvl w:ilvl="1">
      <w:start w:val="0"/>
      <w:numFmt w:val="bullet"/>
      <w:lvlText w:val="•"/>
      <w:lvlJc w:val="left"/>
      <w:pPr>
        <w:ind w:left="1622" w:hanging="420"/>
      </w:pPr>
      <w:rPr>
        <w:rFonts w:hint="default"/>
      </w:rPr>
    </w:lvl>
    <w:lvl w:ilvl="2">
      <w:start w:val="0"/>
      <w:numFmt w:val="bullet"/>
      <w:lvlText w:val="•"/>
      <w:lvlJc w:val="left"/>
      <w:pPr>
        <w:ind w:left="2344" w:hanging="420"/>
      </w:pPr>
      <w:rPr>
        <w:rFonts w:hint="default"/>
      </w:rPr>
    </w:lvl>
    <w:lvl w:ilvl="3">
      <w:start w:val="0"/>
      <w:numFmt w:val="bullet"/>
      <w:lvlText w:val="•"/>
      <w:lvlJc w:val="left"/>
      <w:pPr>
        <w:ind w:left="3066" w:hanging="420"/>
      </w:pPr>
      <w:rPr>
        <w:rFonts w:hint="default"/>
      </w:rPr>
    </w:lvl>
    <w:lvl w:ilvl="4">
      <w:start w:val="0"/>
      <w:numFmt w:val="bullet"/>
      <w:lvlText w:val="•"/>
      <w:lvlJc w:val="left"/>
      <w:pPr>
        <w:ind w:left="3788" w:hanging="420"/>
      </w:pPr>
      <w:rPr>
        <w:rFonts w:hint="default"/>
      </w:rPr>
    </w:lvl>
    <w:lvl w:ilvl="5">
      <w:start w:val="0"/>
      <w:numFmt w:val="bullet"/>
      <w:lvlText w:val="•"/>
      <w:lvlJc w:val="left"/>
      <w:pPr>
        <w:ind w:left="4511" w:hanging="420"/>
      </w:pPr>
      <w:rPr>
        <w:rFonts w:hint="default"/>
      </w:rPr>
    </w:lvl>
    <w:lvl w:ilvl="6">
      <w:start w:val="0"/>
      <w:numFmt w:val="bullet"/>
      <w:lvlText w:val="•"/>
      <w:lvlJc w:val="left"/>
      <w:pPr>
        <w:ind w:left="5233" w:hanging="420"/>
      </w:pPr>
      <w:rPr>
        <w:rFonts w:hint="default"/>
      </w:rPr>
    </w:lvl>
    <w:lvl w:ilvl="7">
      <w:start w:val="0"/>
      <w:numFmt w:val="bullet"/>
      <w:lvlText w:val="•"/>
      <w:lvlJc w:val="left"/>
      <w:pPr>
        <w:ind w:left="5955" w:hanging="420"/>
      </w:pPr>
      <w:rPr>
        <w:rFonts w:hint="default"/>
      </w:rPr>
    </w:lvl>
    <w:lvl w:ilvl="8">
      <w:start w:val="0"/>
      <w:numFmt w:val="bullet"/>
      <w:lvlText w:val="•"/>
      <w:lvlJc w:val="left"/>
      <w:pPr>
        <w:ind w:left="6677" w:hanging="420"/>
      </w:pPr>
      <w:rPr>
        <w:rFonts w:hint="default"/>
      </w:rPr>
    </w:lvl>
  </w:abstractNum>
  <w:abstractNum w:abstractNumId="14">
    <w:multiLevelType w:val="hybridMultilevel"/>
    <w:lvl w:ilvl="0">
      <w:start w:val="2"/>
      <w:numFmt w:val="decimal"/>
      <w:lvlText w:val="(%1)"/>
      <w:lvlJc w:val="left"/>
      <w:pPr>
        <w:ind w:left="3143" w:hanging="420"/>
        <w:jc w:val="left"/>
      </w:pPr>
      <w:rPr>
        <w:rFonts w:hint="default" w:ascii="宋体" w:hAnsi="宋体" w:eastAsia="宋体" w:cs="宋体"/>
        <w:spacing w:val="-1"/>
        <w:w w:val="100"/>
        <w:sz w:val="21"/>
        <w:szCs w:val="21"/>
      </w:rPr>
    </w:lvl>
    <w:lvl w:ilvl="1">
      <w:start w:val="0"/>
      <w:numFmt w:val="bullet"/>
      <w:lvlText w:val="•"/>
      <w:lvlJc w:val="left"/>
      <w:pPr>
        <w:ind w:left="3874" w:hanging="420"/>
      </w:pPr>
      <w:rPr>
        <w:rFonts w:hint="default"/>
      </w:rPr>
    </w:lvl>
    <w:lvl w:ilvl="2">
      <w:start w:val="0"/>
      <w:numFmt w:val="bullet"/>
      <w:lvlText w:val="•"/>
      <w:lvlJc w:val="left"/>
      <w:pPr>
        <w:ind w:left="4608" w:hanging="420"/>
      </w:pPr>
      <w:rPr>
        <w:rFonts w:hint="default"/>
      </w:rPr>
    </w:lvl>
    <w:lvl w:ilvl="3">
      <w:start w:val="0"/>
      <w:numFmt w:val="bullet"/>
      <w:lvlText w:val="•"/>
      <w:lvlJc w:val="left"/>
      <w:pPr>
        <w:ind w:left="5343" w:hanging="420"/>
      </w:pPr>
      <w:rPr>
        <w:rFonts w:hint="default"/>
      </w:rPr>
    </w:lvl>
    <w:lvl w:ilvl="4">
      <w:start w:val="0"/>
      <w:numFmt w:val="bullet"/>
      <w:lvlText w:val="•"/>
      <w:lvlJc w:val="left"/>
      <w:pPr>
        <w:ind w:left="6077" w:hanging="420"/>
      </w:pPr>
      <w:rPr>
        <w:rFonts w:hint="default"/>
      </w:rPr>
    </w:lvl>
    <w:lvl w:ilvl="5">
      <w:start w:val="0"/>
      <w:numFmt w:val="bullet"/>
      <w:lvlText w:val="•"/>
      <w:lvlJc w:val="left"/>
      <w:pPr>
        <w:ind w:left="6812" w:hanging="420"/>
      </w:pPr>
      <w:rPr>
        <w:rFonts w:hint="default"/>
      </w:rPr>
    </w:lvl>
    <w:lvl w:ilvl="6">
      <w:start w:val="0"/>
      <w:numFmt w:val="bullet"/>
      <w:lvlText w:val="•"/>
      <w:lvlJc w:val="left"/>
      <w:pPr>
        <w:ind w:left="7546" w:hanging="420"/>
      </w:pPr>
      <w:rPr>
        <w:rFonts w:hint="default"/>
      </w:rPr>
    </w:lvl>
    <w:lvl w:ilvl="7">
      <w:start w:val="0"/>
      <w:numFmt w:val="bullet"/>
      <w:lvlText w:val="•"/>
      <w:lvlJc w:val="left"/>
      <w:pPr>
        <w:ind w:left="8281" w:hanging="420"/>
      </w:pPr>
      <w:rPr>
        <w:rFonts w:hint="default"/>
      </w:rPr>
    </w:lvl>
    <w:lvl w:ilvl="8">
      <w:start w:val="0"/>
      <w:numFmt w:val="bullet"/>
      <w:lvlText w:val="•"/>
      <w:lvlJc w:val="left"/>
      <w:pPr>
        <w:ind w:left="9015" w:hanging="420"/>
      </w:pPr>
      <w:rPr>
        <w:rFonts w:hint="default"/>
      </w:rPr>
    </w:lvl>
  </w:abstractNum>
  <w:abstractNum w:abstractNumId="9">
    <w:multiLevelType w:val="hybridMultilevel"/>
    <w:lvl w:ilvl="0">
      <w:start w:val="29"/>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793" w:hanging="420"/>
      </w:pPr>
      <w:rPr>
        <w:rFonts w:hint="default"/>
      </w:rPr>
    </w:lvl>
    <w:lvl w:ilvl="8">
      <w:start w:val="0"/>
      <w:numFmt w:val="bullet"/>
      <w:lvlText w:val="•"/>
      <w:lvlJc w:val="left"/>
      <w:pPr>
        <w:ind w:left="8585" w:hanging="420"/>
      </w:pPr>
      <w:rPr>
        <w:rFonts w:hint="default"/>
      </w:rPr>
    </w:lvl>
  </w:abstractNum>
  <w:abstractNum w:abstractNumId="8">
    <w:multiLevelType w:val="hybridMultilevel"/>
    <w:lvl w:ilvl="0">
      <w:start w:val="28"/>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793" w:hanging="420"/>
      </w:pPr>
      <w:rPr>
        <w:rFonts w:hint="default"/>
      </w:rPr>
    </w:lvl>
    <w:lvl w:ilvl="8">
      <w:start w:val="0"/>
      <w:numFmt w:val="bullet"/>
      <w:lvlText w:val="•"/>
      <w:lvlJc w:val="left"/>
      <w:pPr>
        <w:ind w:left="8585" w:hanging="420"/>
      </w:pPr>
      <w:rPr>
        <w:rFonts w:hint="default"/>
      </w:rPr>
    </w:lvl>
  </w:abstractNum>
  <w:abstractNum w:abstractNumId="10">
    <w:multiLevelType w:val="hybridMultilevel"/>
    <w:lvl w:ilvl="0">
      <w:start w:val="2"/>
      <w:numFmt w:val="decimal"/>
      <w:lvlText w:val="(%1)"/>
      <w:lvlJc w:val="left"/>
      <w:pPr>
        <w:ind w:left="3143" w:hanging="420"/>
        <w:jc w:val="left"/>
      </w:pPr>
      <w:rPr>
        <w:rFonts w:hint="default" w:ascii="宋体" w:hAnsi="宋体" w:eastAsia="宋体" w:cs="宋体"/>
        <w:spacing w:val="-1"/>
        <w:w w:val="100"/>
        <w:sz w:val="21"/>
        <w:szCs w:val="21"/>
      </w:rPr>
    </w:lvl>
    <w:lvl w:ilvl="1">
      <w:start w:val="0"/>
      <w:numFmt w:val="bullet"/>
      <w:lvlText w:val="•"/>
      <w:lvlJc w:val="left"/>
      <w:pPr>
        <w:ind w:left="3864" w:hanging="420"/>
      </w:pPr>
      <w:rPr>
        <w:rFonts w:hint="default"/>
      </w:rPr>
    </w:lvl>
    <w:lvl w:ilvl="2">
      <w:start w:val="0"/>
      <w:numFmt w:val="bullet"/>
      <w:lvlText w:val="•"/>
      <w:lvlJc w:val="left"/>
      <w:pPr>
        <w:ind w:left="4588" w:hanging="420"/>
      </w:pPr>
      <w:rPr>
        <w:rFonts w:hint="default"/>
      </w:rPr>
    </w:lvl>
    <w:lvl w:ilvl="3">
      <w:start w:val="0"/>
      <w:numFmt w:val="bullet"/>
      <w:lvlText w:val="•"/>
      <w:lvlJc w:val="left"/>
      <w:pPr>
        <w:ind w:left="5313" w:hanging="420"/>
      </w:pPr>
      <w:rPr>
        <w:rFonts w:hint="default"/>
      </w:rPr>
    </w:lvl>
    <w:lvl w:ilvl="4">
      <w:start w:val="0"/>
      <w:numFmt w:val="bullet"/>
      <w:lvlText w:val="•"/>
      <w:lvlJc w:val="left"/>
      <w:pPr>
        <w:ind w:left="6037" w:hanging="420"/>
      </w:pPr>
      <w:rPr>
        <w:rFonts w:hint="default"/>
      </w:rPr>
    </w:lvl>
    <w:lvl w:ilvl="5">
      <w:start w:val="0"/>
      <w:numFmt w:val="bullet"/>
      <w:lvlText w:val="•"/>
      <w:lvlJc w:val="left"/>
      <w:pPr>
        <w:ind w:left="6762" w:hanging="420"/>
      </w:pPr>
      <w:rPr>
        <w:rFonts w:hint="default"/>
      </w:rPr>
    </w:lvl>
    <w:lvl w:ilvl="6">
      <w:start w:val="0"/>
      <w:numFmt w:val="bullet"/>
      <w:lvlText w:val="•"/>
      <w:lvlJc w:val="left"/>
      <w:pPr>
        <w:ind w:left="7486" w:hanging="420"/>
      </w:pPr>
      <w:rPr>
        <w:rFonts w:hint="default"/>
      </w:rPr>
    </w:lvl>
    <w:lvl w:ilvl="7">
      <w:start w:val="0"/>
      <w:numFmt w:val="bullet"/>
      <w:lvlText w:val="•"/>
      <w:lvlJc w:val="left"/>
      <w:pPr>
        <w:ind w:left="8211" w:hanging="420"/>
      </w:pPr>
      <w:rPr>
        <w:rFonts w:hint="default"/>
      </w:rPr>
    </w:lvl>
    <w:lvl w:ilvl="8">
      <w:start w:val="0"/>
      <w:numFmt w:val="bullet"/>
      <w:lvlText w:val="•"/>
      <w:lvlJc w:val="left"/>
      <w:pPr>
        <w:ind w:left="8935" w:hanging="420"/>
      </w:pPr>
      <w:rPr>
        <w:rFonts w:hint="default"/>
      </w:rPr>
    </w:lvl>
  </w:abstractNum>
  <w:abstractNum w:abstractNumId="7">
    <w:multiLevelType w:val="hybridMultilevel"/>
    <w:lvl w:ilvl="0">
      <w:start w:val="27"/>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0" w:hanging="420"/>
      </w:pPr>
      <w:rPr>
        <w:rFonts w:hint="default"/>
      </w:rPr>
    </w:lvl>
    <w:lvl w:ilvl="7">
      <w:start w:val="0"/>
      <w:numFmt w:val="bullet"/>
      <w:lvlText w:val="•"/>
      <w:lvlJc w:val="left"/>
      <w:pPr>
        <w:ind w:left="7792" w:hanging="420"/>
      </w:pPr>
      <w:rPr>
        <w:rFonts w:hint="default"/>
      </w:rPr>
    </w:lvl>
    <w:lvl w:ilvl="8">
      <w:start w:val="0"/>
      <w:numFmt w:val="bullet"/>
      <w:lvlText w:val="•"/>
      <w:lvlJc w:val="left"/>
      <w:pPr>
        <w:ind w:left="8584" w:hanging="420"/>
      </w:pPr>
      <w:rPr>
        <w:rFonts w:hint="default"/>
      </w:rPr>
    </w:lvl>
  </w:abstractNum>
  <w:abstractNum w:abstractNumId="6">
    <w:multiLevelType w:val="hybridMultilevel"/>
    <w:lvl w:ilvl="0">
      <w:start w:val="3"/>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05"/>
        <w:w w:val="99"/>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5">
    <w:multiLevelType w:val="hybridMultilevel"/>
    <w:lvl w:ilvl="0">
      <w:start w:val="8"/>
      <w:numFmt w:val="decimal"/>
      <w:lvlText w:val="%1"/>
      <w:lvlJc w:val="left"/>
      <w:pPr>
        <w:ind w:left="790" w:hanging="683"/>
        <w:jc w:val="left"/>
      </w:pPr>
      <w:rPr>
        <w:rFonts w:hint="default"/>
      </w:rPr>
    </w:lvl>
    <w:lvl w:ilvl="1">
      <w:start w:val="4"/>
      <w:numFmt w:val="decimal"/>
      <w:lvlText w:val="%1.%2"/>
      <w:lvlJc w:val="left"/>
      <w:pPr>
        <w:ind w:left="790" w:hanging="683"/>
        <w:jc w:val="left"/>
      </w:pPr>
      <w:rPr>
        <w:rFonts w:hint="default" w:ascii="宋体" w:hAnsi="宋体" w:eastAsia="宋体" w:cs="宋体"/>
        <w:b/>
        <w:bCs/>
        <w:w w:val="99"/>
        <w:sz w:val="21"/>
        <w:szCs w:val="21"/>
      </w:rPr>
    </w:lvl>
    <w:lvl w:ilvl="2">
      <w:start w:val="2"/>
      <w:numFmt w:val="decimal"/>
      <w:lvlText w:val="（%3）"/>
      <w:lvlJc w:val="left"/>
      <w:pPr>
        <w:ind w:left="3217" w:hanging="720"/>
        <w:jc w:val="left"/>
      </w:pPr>
      <w:rPr>
        <w:rFonts w:hint="default" w:ascii="宋体" w:hAnsi="宋体" w:eastAsia="宋体" w:cs="宋体"/>
        <w:spacing w:val="-16"/>
        <w:w w:val="100"/>
        <w:sz w:val="21"/>
        <w:szCs w:val="21"/>
      </w:rPr>
    </w:lvl>
    <w:lvl w:ilvl="3">
      <w:start w:val="0"/>
      <w:numFmt w:val="bullet"/>
      <w:lvlText w:val="•"/>
      <w:lvlJc w:val="left"/>
      <w:pPr>
        <w:ind w:left="4697" w:hanging="720"/>
      </w:pPr>
      <w:rPr>
        <w:rFonts w:hint="default"/>
      </w:rPr>
    </w:lvl>
    <w:lvl w:ilvl="4">
      <w:start w:val="0"/>
      <w:numFmt w:val="bullet"/>
      <w:lvlText w:val="•"/>
      <w:lvlJc w:val="left"/>
      <w:pPr>
        <w:ind w:left="5435" w:hanging="720"/>
      </w:pPr>
      <w:rPr>
        <w:rFonts w:hint="default"/>
      </w:rPr>
    </w:lvl>
    <w:lvl w:ilvl="5">
      <w:start w:val="0"/>
      <w:numFmt w:val="bullet"/>
      <w:lvlText w:val="•"/>
      <w:lvlJc w:val="left"/>
      <w:pPr>
        <w:ind w:left="6174" w:hanging="720"/>
      </w:pPr>
      <w:rPr>
        <w:rFonts w:hint="default"/>
      </w:rPr>
    </w:lvl>
    <w:lvl w:ilvl="6">
      <w:start w:val="0"/>
      <w:numFmt w:val="bullet"/>
      <w:lvlText w:val="•"/>
      <w:lvlJc w:val="left"/>
      <w:pPr>
        <w:ind w:left="6912" w:hanging="720"/>
      </w:pPr>
      <w:rPr>
        <w:rFonts w:hint="default"/>
      </w:rPr>
    </w:lvl>
    <w:lvl w:ilvl="7">
      <w:start w:val="0"/>
      <w:numFmt w:val="bullet"/>
      <w:lvlText w:val="•"/>
      <w:lvlJc w:val="left"/>
      <w:pPr>
        <w:ind w:left="7651" w:hanging="720"/>
      </w:pPr>
      <w:rPr>
        <w:rFonts w:hint="default"/>
      </w:rPr>
    </w:lvl>
    <w:lvl w:ilvl="8">
      <w:start w:val="0"/>
      <w:numFmt w:val="bullet"/>
      <w:lvlText w:val="•"/>
      <w:lvlJc w:val="left"/>
      <w:pPr>
        <w:ind w:left="8389" w:hanging="720"/>
      </w:pPr>
      <w:rPr>
        <w:rFonts w:hint="default"/>
      </w:rPr>
    </w:lvl>
  </w:abstractNum>
  <w:abstractNum w:abstractNumId="4">
    <w:multiLevelType w:val="hybridMultilevel"/>
    <w:lvl w:ilvl="0">
      <w:start w:val="2"/>
      <w:numFmt w:val="decimal"/>
      <w:lvlText w:val="%1"/>
      <w:lvlJc w:val="left"/>
      <w:pPr>
        <w:ind w:left="826" w:hanging="683"/>
        <w:jc w:val="left"/>
      </w:pPr>
      <w:rPr>
        <w:rFonts w:hint="default"/>
      </w:rPr>
    </w:lvl>
    <w:lvl w:ilvl="1">
      <w:start w:val="1"/>
      <w:numFmt w:val="decimal"/>
      <w:lvlText w:val="%1.%2"/>
      <w:lvlJc w:val="left"/>
      <w:pPr>
        <w:ind w:left="826" w:hanging="683"/>
        <w:jc w:val="left"/>
      </w:pPr>
      <w:rPr>
        <w:rFonts w:hint="default" w:ascii="宋体" w:hAnsi="宋体" w:eastAsia="宋体" w:cs="宋体"/>
        <w:b/>
        <w:bCs/>
        <w:w w:val="99"/>
        <w:sz w:val="21"/>
        <w:szCs w:val="21"/>
      </w:rPr>
    </w:lvl>
    <w:lvl w:ilvl="2">
      <w:start w:val="0"/>
      <w:numFmt w:val="bullet"/>
      <w:lvlText w:val="•"/>
      <w:lvlJc w:val="left"/>
      <w:pPr>
        <w:ind w:left="2688" w:hanging="683"/>
      </w:pPr>
      <w:rPr>
        <w:rFonts w:hint="default"/>
      </w:rPr>
    </w:lvl>
    <w:lvl w:ilvl="3">
      <w:start w:val="0"/>
      <w:numFmt w:val="bullet"/>
      <w:lvlText w:val="•"/>
      <w:lvlJc w:val="left"/>
      <w:pPr>
        <w:ind w:left="3623" w:hanging="683"/>
      </w:pPr>
      <w:rPr>
        <w:rFonts w:hint="default"/>
      </w:rPr>
    </w:lvl>
    <w:lvl w:ilvl="4">
      <w:start w:val="0"/>
      <w:numFmt w:val="bullet"/>
      <w:lvlText w:val="•"/>
      <w:lvlJc w:val="left"/>
      <w:pPr>
        <w:ind w:left="4557"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26" w:hanging="683"/>
      </w:pPr>
      <w:rPr>
        <w:rFonts w:hint="default"/>
      </w:rPr>
    </w:lvl>
    <w:lvl w:ilvl="7">
      <w:start w:val="0"/>
      <w:numFmt w:val="bullet"/>
      <w:lvlText w:val="•"/>
      <w:lvlJc w:val="left"/>
      <w:pPr>
        <w:ind w:left="7361" w:hanging="683"/>
      </w:pPr>
      <w:rPr>
        <w:rFonts w:hint="default"/>
      </w:rPr>
    </w:lvl>
    <w:lvl w:ilvl="8">
      <w:start w:val="0"/>
      <w:numFmt w:val="bullet"/>
      <w:lvlText w:val="•"/>
      <w:lvlJc w:val="left"/>
      <w:pPr>
        <w:ind w:left="8295" w:hanging="683"/>
      </w:pPr>
      <w:rPr>
        <w:rFonts w:hint="default"/>
      </w:rPr>
    </w:lvl>
  </w:abstractNum>
  <w:abstractNum w:abstractNumId="3">
    <w:multiLevelType w:val="hybridMultilevel"/>
    <w:lvl w:ilvl="0">
      <w:start w:val="8"/>
      <w:numFmt w:val="decimal"/>
      <w:lvlText w:val="%1"/>
      <w:lvlJc w:val="left"/>
      <w:pPr>
        <w:ind w:left="1113" w:hanging="422"/>
        <w:jc w:val="left"/>
      </w:pPr>
      <w:rPr>
        <w:rFonts w:hint="default"/>
      </w:rPr>
    </w:lvl>
    <w:lvl w:ilvl="1">
      <w:start w:val="9"/>
      <w:numFmt w:val="decimal"/>
      <w:lvlText w:val="%1.%2"/>
      <w:lvlJc w:val="left"/>
      <w:pPr>
        <w:ind w:left="1113" w:hanging="422"/>
        <w:jc w:val="left"/>
      </w:pPr>
      <w:rPr>
        <w:rFonts w:hint="default" w:ascii="宋体" w:hAnsi="宋体" w:eastAsia="宋体" w:cs="宋体"/>
        <w:spacing w:val="-1"/>
        <w:w w:val="100"/>
        <w:sz w:val="21"/>
        <w:szCs w:val="21"/>
      </w:rPr>
    </w:lvl>
    <w:lvl w:ilvl="2">
      <w:start w:val="0"/>
      <w:numFmt w:val="bullet"/>
      <w:lvlText w:val="•"/>
      <w:lvlJc w:val="left"/>
      <w:pPr>
        <w:ind w:left="1661" w:hanging="422"/>
      </w:pPr>
      <w:rPr>
        <w:rFonts w:hint="default"/>
      </w:rPr>
    </w:lvl>
    <w:lvl w:ilvl="3">
      <w:start w:val="0"/>
      <w:numFmt w:val="bullet"/>
      <w:lvlText w:val="•"/>
      <w:lvlJc w:val="left"/>
      <w:pPr>
        <w:ind w:left="1932" w:hanging="422"/>
      </w:pPr>
      <w:rPr>
        <w:rFonts w:hint="default"/>
      </w:rPr>
    </w:lvl>
    <w:lvl w:ilvl="4">
      <w:start w:val="0"/>
      <w:numFmt w:val="bullet"/>
      <w:lvlText w:val="•"/>
      <w:lvlJc w:val="left"/>
      <w:pPr>
        <w:ind w:left="2203" w:hanging="422"/>
      </w:pPr>
      <w:rPr>
        <w:rFonts w:hint="default"/>
      </w:rPr>
    </w:lvl>
    <w:lvl w:ilvl="5">
      <w:start w:val="0"/>
      <w:numFmt w:val="bullet"/>
      <w:lvlText w:val="•"/>
      <w:lvlJc w:val="left"/>
      <w:pPr>
        <w:ind w:left="2474" w:hanging="422"/>
      </w:pPr>
      <w:rPr>
        <w:rFonts w:hint="default"/>
      </w:rPr>
    </w:lvl>
    <w:lvl w:ilvl="6">
      <w:start w:val="0"/>
      <w:numFmt w:val="bullet"/>
      <w:lvlText w:val="•"/>
      <w:lvlJc w:val="left"/>
      <w:pPr>
        <w:ind w:left="2745" w:hanging="422"/>
      </w:pPr>
      <w:rPr>
        <w:rFonts w:hint="default"/>
      </w:rPr>
    </w:lvl>
    <w:lvl w:ilvl="7">
      <w:start w:val="0"/>
      <w:numFmt w:val="bullet"/>
      <w:lvlText w:val="•"/>
      <w:lvlJc w:val="left"/>
      <w:pPr>
        <w:ind w:left="3016" w:hanging="422"/>
      </w:pPr>
      <w:rPr>
        <w:rFonts w:hint="default"/>
      </w:rPr>
    </w:lvl>
    <w:lvl w:ilvl="8">
      <w:start w:val="0"/>
      <w:numFmt w:val="bullet"/>
      <w:lvlText w:val="•"/>
      <w:lvlJc w:val="left"/>
      <w:pPr>
        <w:ind w:left="3287" w:hanging="422"/>
      </w:pPr>
      <w:rPr>
        <w:rFonts w:hint="default"/>
      </w:rPr>
    </w:lvl>
  </w:abstractNum>
  <w:abstractNum w:abstractNumId="2">
    <w:multiLevelType w:val="hybridMultilevel"/>
    <w:lvl w:ilvl="0">
      <w:start w:val="3"/>
      <w:numFmt w:val="decimal"/>
      <w:lvlText w:val="%1."/>
      <w:lvlJc w:val="left"/>
      <w:pPr>
        <w:ind w:left="1024" w:hanging="333"/>
        <w:jc w:val="left"/>
      </w:pPr>
      <w:rPr>
        <w:rFonts w:hint="default" w:ascii="宋体" w:hAnsi="宋体" w:eastAsia="宋体" w:cs="宋体"/>
        <w:b/>
        <w:bCs/>
        <w:w w:val="99"/>
        <w:sz w:val="21"/>
        <w:szCs w:val="21"/>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497" w:hanging="421"/>
      </w:pPr>
      <w:rPr>
        <w:rFonts w:hint="default"/>
      </w:rPr>
    </w:lvl>
    <w:lvl w:ilvl="3">
      <w:start w:val="0"/>
      <w:numFmt w:val="bullet"/>
      <w:lvlText w:val="•"/>
      <w:lvlJc w:val="left"/>
      <w:pPr>
        <w:ind w:left="1675" w:hanging="421"/>
      </w:pPr>
      <w:rPr>
        <w:rFonts w:hint="default"/>
      </w:rPr>
    </w:lvl>
    <w:lvl w:ilvl="4">
      <w:start w:val="0"/>
      <w:numFmt w:val="bullet"/>
      <w:lvlText w:val="•"/>
      <w:lvlJc w:val="left"/>
      <w:pPr>
        <w:ind w:left="1853" w:hanging="421"/>
      </w:pPr>
      <w:rPr>
        <w:rFonts w:hint="default"/>
      </w:rPr>
    </w:lvl>
    <w:lvl w:ilvl="5">
      <w:start w:val="0"/>
      <w:numFmt w:val="bullet"/>
      <w:lvlText w:val="•"/>
      <w:lvlJc w:val="left"/>
      <w:pPr>
        <w:ind w:left="2031" w:hanging="421"/>
      </w:pPr>
      <w:rPr>
        <w:rFonts w:hint="default"/>
      </w:rPr>
    </w:lvl>
    <w:lvl w:ilvl="6">
      <w:start w:val="0"/>
      <w:numFmt w:val="bullet"/>
      <w:lvlText w:val="•"/>
      <w:lvlJc w:val="left"/>
      <w:pPr>
        <w:ind w:left="2209" w:hanging="421"/>
      </w:pPr>
      <w:rPr>
        <w:rFonts w:hint="default"/>
      </w:rPr>
    </w:lvl>
    <w:lvl w:ilvl="7">
      <w:start w:val="0"/>
      <w:numFmt w:val="bullet"/>
      <w:lvlText w:val="•"/>
      <w:lvlJc w:val="left"/>
      <w:pPr>
        <w:ind w:left="2387" w:hanging="421"/>
      </w:pPr>
      <w:rPr>
        <w:rFonts w:hint="default"/>
      </w:rPr>
    </w:lvl>
    <w:lvl w:ilvl="8">
      <w:start w:val="0"/>
      <w:numFmt w:val="bullet"/>
      <w:lvlText w:val="•"/>
      <w:lvlJc w:val="left"/>
      <w:pPr>
        <w:ind w:left="2565" w:hanging="421"/>
      </w:pPr>
      <w:rPr>
        <w:rFonts w:hint="default"/>
      </w:rPr>
    </w:lvl>
  </w:abstractNum>
  <w:abstractNum w:abstractNumId="1">
    <w:multiLevelType w:val="hybridMultilevel"/>
    <w:lvl w:ilvl="0">
      <w:start w:val="2"/>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40" w:hanging="421"/>
      </w:pPr>
      <w:rPr>
        <w:rFonts w:hint="default"/>
      </w:rPr>
    </w:lvl>
    <w:lvl w:ilvl="3">
      <w:start w:val="0"/>
      <w:numFmt w:val="bullet"/>
      <w:lvlText w:val="•"/>
      <w:lvlJc w:val="left"/>
      <w:pPr>
        <w:ind w:left="1800" w:hanging="421"/>
      </w:pPr>
      <w:rPr>
        <w:rFonts w:hint="default"/>
      </w:rPr>
    </w:lvl>
    <w:lvl w:ilvl="4">
      <w:start w:val="0"/>
      <w:numFmt w:val="bullet"/>
      <w:lvlText w:val="•"/>
      <w:lvlJc w:val="left"/>
      <w:pPr>
        <w:ind w:left="1960" w:hanging="421"/>
      </w:pPr>
      <w:rPr>
        <w:rFonts w:hint="default"/>
      </w:rPr>
    </w:lvl>
    <w:lvl w:ilvl="5">
      <w:start w:val="0"/>
      <w:numFmt w:val="bullet"/>
      <w:lvlText w:val="•"/>
      <w:lvlJc w:val="left"/>
      <w:pPr>
        <w:ind w:left="2120" w:hanging="421"/>
      </w:pPr>
      <w:rPr>
        <w:rFonts w:hint="default"/>
      </w:rPr>
    </w:lvl>
    <w:lvl w:ilvl="6">
      <w:start w:val="0"/>
      <w:numFmt w:val="bullet"/>
      <w:lvlText w:val="•"/>
      <w:lvlJc w:val="left"/>
      <w:pPr>
        <w:ind w:left="2280" w:hanging="421"/>
      </w:pPr>
      <w:rPr>
        <w:rFonts w:hint="default"/>
      </w:rPr>
    </w:lvl>
    <w:lvl w:ilvl="7">
      <w:start w:val="0"/>
      <w:numFmt w:val="bullet"/>
      <w:lvlText w:val="•"/>
      <w:lvlJc w:val="left"/>
      <w:pPr>
        <w:ind w:left="2440" w:hanging="421"/>
      </w:pPr>
      <w:rPr>
        <w:rFonts w:hint="default"/>
      </w:rPr>
    </w:lvl>
    <w:lvl w:ilvl="8">
      <w:start w:val="0"/>
      <w:numFmt w:val="bullet"/>
      <w:lvlText w:val="•"/>
      <w:lvlJc w:val="left"/>
      <w:pPr>
        <w:ind w:left="2600"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16">
    <w:abstractNumId w:val="15"/>
  </w:num>
  <w:num w:numId="17">
    <w:abstractNumId w:val="16"/>
  </w:num>
  <w:num w:numId="14">
    <w:abstractNumId w:val="13"/>
  </w:num>
  <w:num w:numId="13">
    <w:abstractNumId w:val="12"/>
  </w:num>
  <w:num w:numId="12">
    <w:abstractNumId w:val="11"/>
  </w:num>
  <w:num w:numId="15">
    <w:abstractNumId w:val="14"/>
  </w:num>
  <w:num w:numId="10">
    <w:abstractNumId w:val="9"/>
  </w:num>
  <w:num w:numId="9">
    <w:abstractNumId w:val="8"/>
  </w:num>
  <w:num w:numId="11">
    <w:abstractNumId w:val="10"/>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83"/>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97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2018-10-20T05:02:18Z</dcterms:created>
  <dcterms:modified xsi:type="dcterms:W3CDTF">2018-10-20T05:02:18Z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2009-04-23T00:00:00Z</vt:filetime>
  </property>
  <property fmtid="{D5CDD505-2E9C-101B-9397-08002B2CF9AE}" pid="3" name="Creator">
    <vt:lpwstr>Acrobat PDFMaker 7.0 for Word</vt:lpwstr>
  </property>
  <property fmtid="{D5CDD505-2E9C-101B-9397-08002B2CF9AE}" pid="4" name="LastSaved">
    <vt:filetime>2018-10-19T00:00:00Z</vt:filetime>
  </property>
</Properties>
</file>