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15"/>
        </w:rPr>
      </w:pPr>
    </w:p>
    <w:p>
      <w:pPr>
        <w:pStyle w:val="BodyText"/>
        <w:spacing w:before="36"/>
        <w:ind w:left="6952"/>
      </w:pPr>
      <w:r>
        <w:rPr/>
        <w:drawing>
          <wp:anchor distT="0" distB="0" distL="0" distR="0" allowOverlap="1" layoutInCell="1" locked="0" behindDoc="0" simplePos="0" relativeHeight="0">
            <wp:simplePos x="0" y="0"/>
            <wp:positionH relativeFrom="page">
              <wp:posOffset>5607050</wp:posOffset>
            </wp:positionH>
            <wp:positionV relativeFrom="paragraph">
              <wp:posOffset>260904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华泰人寿[2016]疾病保险 007 号</w:t>
      </w:r>
    </w:p>
    <w:p>
      <w:pPr>
        <w:pStyle w:val="BodyText"/>
        <w:spacing w:before="13"/>
        <w:ind w:left="7372"/>
      </w:pPr>
      <w:r>
        <w:rPr/>
        <w:t>请扫描以查询验证条款</w:t>
      </w:r>
    </w:p>
    <w:p>
      <w:pPr>
        <w:pStyle w:val="BodyText"/>
        <w:rPr>
          <w:sz w:val="20"/>
        </w:rPr>
      </w:pPr>
    </w:p>
    <w:p>
      <w:pPr>
        <w:pStyle w:val="BodyText"/>
        <w:rPr>
          <w:sz w:val="20"/>
        </w:rPr>
      </w:pPr>
    </w:p>
    <w:p>
      <w:pPr>
        <w:pStyle w:val="Heading1"/>
        <w:spacing w:line="220" w:lineRule="auto" w:before="144"/>
        <w:ind w:left="2670" w:right="2771"/>
        <w:jc w:val="center"/>
      </w:pPr>
      <w:r>
        <w:rPr/>
        <w:t>附加新福佑双鑫重大疾病保险条款阅  读  指 引</w:t>
      </w:r>
    </w:p>
    <w:p>
      <w:pPr>
        <w:pStyle w:val="BodyText"/>
        <w:spacing w:before="227"/>
        <w:ind w:left="1811" w:right="1846"/>
        <w:jc w:val="center"/>
      </w:pPr>
      <w:r>
        <w:rPr/>
        <w:pict>
          <v:group style="position:absolute;margin-left:49.68pt;margin-top:30.93368pt;width:501.5pt;height:458.45pt;mso-position-horizontal-relative:page;mso-position-vertical-relative:paragraph;z-index:-43216" coordorigin="994,619" coordsize="10030,9169">
            <v:shape style="position:absolute;left:993;top:618;width:10030;height:9169" type="#_x0000_t75" stroked="false">
              <v:imagedata r:id="rId7" o:title=""/>
            </v:shape>
            <v:shape style="position:absolute;left:1132;top:714;width:511;height:550"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v:shape style="position:absolute;left:1764;top:852;width:8718;height:1352" type="#_x0000_t202" filled="false" stroked="false">
              <v:textbox inset="0,0,0,0">
                <w:txbxContent>
                  <w:p>
                    <w:pPr>
                      <w:spacing w:line="211" w:lineRule="exact" w:before="0"/>
                      <w:ind w:left="379" w:right="0" w:firstLine="0"/>
                      <w:jc w:val="left"/>
                      <w:rPr>
                        <w:b/>
                        <w:sz w:val="21"/>
                      </w:rPr>
                    </w:pPr>
                    <w:r>
                      <w:rPr>
                        <w:b/>
                        <w:sz w:val="21"/>
                      </w:rPr>
                      <w:t>您拥有的重要权益</w:t>
                    </w:r>
                  </w:p>
                  <w:p>
                    <w:pPr>
                      <w:spacing w:line="240" w:lineRule="auto" w:before="4"/>
                      <w:rPr>
                        <w:sz w:val="17"/>
                      </w:rPr>
                    </w:pPr>
                  </w:p>
                  <w:p>
                    <w:pPr>
                      <w:numPr>
                        <w:ilvl w:val="0"/>
                        <w:numId w:val="1"/>
                      </w:numPr>
                      <w:tabs>
                        <w:tab w:pos="398" w:val="left" w:leader="none"/>
                        <w:tab w:pos="399" w:val="left" w:leader="none"/>
                      </w:tabs>
                      <w:spacing w:before="0"/>
                      <w:ind w:left="398" w:right="0" w:hanging="398"/>
                      <w:jc w:val="left"/>
                      <w:rPr>
                        <w:sz w:val="21"/>
                      </w:rPr>
                    </w:pPr>
                    <w:r>
                      <w:rPr>
                        <w:spacing w:val="-6"/>
                        <w:sz w:val="21"/>
                      </w:rPr>
                      <w:t>签收本附加合同之日起 </w:t>
                    </w:r>
                    <w:r>
                      <w:rPr>
                        <w:sz w:val="21"/>
                      </w:rPr>
                      <w:t>10</w:t>
                    </w:r>
                    <w:r>
                      <w:rPr>
                        <w:spacing w:val="-12"/>
                        <w:sz w:val="21"/>
                      </w:rPr>
                      <w:t> 日内</w:t>
                    </w:r>
                    <w:r>
                      <w:rPr>
                        <w:spacing w:val="-3"/>
                        <w:sz w:val="21"/>
                      </w:rPr>
                      <w:t>（即犹豫期</w:t>
                    </w:r>
                    <w:r>
                      <w:rPr>
                        <w:sz w:val="21"/>
                      </w:rPr>
                      <w:t>）</w:t>
                    </w:r>
                    <w:r>
                      <w:rPr>
                        <w:spacing w:val="-3"/>
                        <w:sz w:val="21"/>
                      </w:rPr>
                      <w:t>您若要求退保，我们无息退还所交保险费</w:t>
                    </w:r>
                    <w:r>
                      <w:rPr>
                        <w:sz w:val="21"/>
                      </w:rPr>
                      <w:t>.1.4</w:t>
                    </w:r>
                  </w:p>
                  <w:p>
                    <w:pPr>
                      <w:numPr>
                        <w:ilvl w:val="0"/>
                        <w:numId w:val="1"/>
                      </w:numPr>
                      <w:tabs>
                        <w:tab w:pos="398" w:val="left" w:leader="none"/>
                        <w:tab w:pos="399" w:val="left" w:leader="none"/>
                        <w:tab w:pos="8697" w:val="right" w:leader="dot"/>
                      </w:tabs>
                      <w:spacing w:before="22"/>
                      <w:ind w:left="398" w:right="0" w:hanging="398"/>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numPr>
                        <w:ilvl w:val="0"/>
                        <w:numId w:val="1"/>
                      </w:numPr>
                      <w:tabs>
                        <w:tab w:pos="398" w:val="left" w:leader="none"/>
                        <w:tab w:pos="399" w:val="left" w:leader="none"/>
                        <w:tab w:pos="8694" w:val="right" w:leader="dot"/>
                      </w:tabs>
                      <w:spacing w:before="22"/>
                      <w:ind w:left="398"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6.1</w:t>
                    </w:r>
                  </w:p>
                </w:txbxContent>
              </v:textbox>
              <w10:wrap type="none"/>
            </v:shape>
            <v:shape style="position:absolute;left:1132;top:2274;width:511;height:550"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v:shape style="position:absolute;left:2143;top:2412;width:2130;height:212" type="#_x0000_t202" filled="false" stroked="false">
              <v:textbox inset="0,0,0,0">
                <w:txbxContent>
                  <w:p>
                    <w:pPr>
                      <w:spacing w:line="211" w:lineRule="exact" w:before="0"/>
                      <w:ind w:left="0" w:right="0" w:firstLine="0"/>
                      <w:jc w:val="left"/>
                      <w:rPr>
                        <w:b/>
                        <w:sz w:val="21"/>
                      </w:rPr>
                    </w:pPr>
                    <w:r>
                      <w:rPr>
                        <w:b/>
                        <w:sz w:val="21"/>
                      </w:rPr>
                      <w:t>您应当特别注意的事项</w:t>
                    </w:r>
                  </w:p>
                </w:txbxContent>
              </v:textbox>
              <w10:wrap type="none"/>
            </v:shape>
            <v:shape style="position:absolute;left:1764;top:2905;width:8718;height:1171" type="#_x0000_t202" filled="false" stroked="false">
              <v:textbox inset="0,0,0,0">
                <w:txbxContent>
                  <w:p>
                    <w:pPr>
                      <w:numPr>
                        <w:ilvl w:val="0"/>
                        <w:numId w:val="2"/>
                      </w:numPr>
                      <w:tabs>
                        <w:tab w:pos="398" w:val="left" w:leader="none"/>
                        <w:tab w:pos="399" w:val="left" w:leader="none"/>
                        <w:tab w:pos="8694" w:val="right" w:leader="dot"/>
                      </w:tabs>
                      <w:spacing w:line="234" w:lineRule="exact" w:before="0"/>
                      <w:ind w:left="398"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numPr>
                        <w:ilvl w:val="0"/>
                        <w:numId w:val="2"/>
                      </w:numPr>
                      <w:tabs>
                        <w:tab w:pos="398" w:val="left" w:leader="none"/>
                        <w:tab w:pos="399" w:val="left" w:leader="none"/>
                        <w:tab w:pos="8694" w:val="right" w:leader="dot"/>
                      </w:tabs>
                      <w:spacing w:before="22"/>
                      <w:ind w:left="398"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numPr>
                        <w:ilvl w:val="0"/>
                        <w:numId w:val="2"/>
                      </w:numPr>
                      <w:tabs>
                        <w:tab w:pos="398" w:val="left" w:leader="none"/>
                        <w:tab w:pos="399" w:val="left" w:leader="none"/>
                        <w:tab w:pos="8697" w:val="right" w:leader="dot"/>
                      </w:tabs>
                      <w:spacing w:before="22"/>
                      <w:ind w:left="398"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6.1</w:t>
                    </w:r>
                  </w:p>
                  <w:p>
                    <w:pPr>
                      <w:numPr>
                        <w:ilvl w:val="0"/>
                        <w:numId w:val="2"/>
                      </w:numPr>
                      <w:tabs>
                        <w:tab w:pos="398" w:val="left" w:leader="none"/>
                        <w:tab w:pos="399" w:val="left" w:leader="none"/>
                        <w:tab w:pos="8485" w:val="right" w:leader="dot"/>
                      </w:tabs>
                      <w:spacing w:before="23"/>
                      <w:ind w:left="398"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7</w:t>
                    </w:r>
                  </w:p>
                </w:txbxContent>
              </v:textbox>
              <w10:wrap type="none"/>
            </v:shape>
            <v:shape style="position:absolute;left:1132;top:4147;width:511;height:1174"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p>
                    <w:pPr>
                      <w:spacing w:line="598" w:lineRule="exact" w:before="26"/>
                      <w:ind w:left="0" w:right="0" w:firstLine="0"/>
                      <w:jc w:val="left"/>
                      <w:rPr>
                        <w:rFonts w:ascii="Arial" w:hAnsi="Arial"/>
                        <w:b/>
                        <w:sz w:val="52"/>
                      </w:rPr>
                    </w:pPr>
                    <w:r>
                      <w:rPr>
                        <w:rFonts w:ascii="Arial" w:hAnsi="Arial"/>
                        <w:b/>
                        <w:w w:val="125"/>
                        <w:sz w:val="52"/>
                      </w:rPr>
                      <w:t></w:t>
                    </w:r>
                  </w:p>
                </w:txbxContent>
              </v:textbox>
              <w10:wrap type="none"/>
            </v:shape>
            <v:shape style="position:absolute;left:2143;top:4284;width:6978;height:212" type="#_x0000_t202" filled="false" stroked="false">
              <v:textbox inset="0,0,0,0">
                <w:txbxContent>
                  <w:p>
                    <w:pPr>
                      <w:spacing w:line="211" w:lineRule="exact" w:before="0"/>
                      <w:ind w:left="0" w:right="0" w:firstLine="0"/>
                      <w:jc w:val="left"/>
                      <w:rPr>
                        <w:b/>
                        <w:sz w:val="21"/>
                      </w:rPr>
                    </w:pPr>
                    <w:r>
                      <w:rPr>
                        <w:b/>
                        <w:sz w:val="21"/>
                      </w:rPr>
                      <w:t>条款是保险合同的重要内容，为充分保障您的权益，请您仔细阅读本条款。</w:t>
                    </w:r>
                  </w:p>
                </w:txbxContent>
              </v:textbox>
              <w10:wrap type="none"/>
            </v:shape>
            <v:shape style="position:absolute;left:2143;top:4908;width:865;height:212" type="#_x0000_t202" filled="false" stroked="false">
              <v:textbox inset="0,0,0,0">
                <w:txbxContent>
                  <w:p>
                    <w:pPr>
                      <w:spacing w:line="211" w:lineRule="exact" w:before="0"/>
                      <w:ind w:left="0" w:right="0" w:firstLine="0"/>
                      <w:jc w:val="left"/>
                      <w:rPr>
                        <w:b/>
                        <w:sz w:val="21"/>
                      </w:rPr>
                    </w:pPr>
                    <w:r>
                      <w:rPr>
                        <w:b/>
                        <w:sz w:val="21"/>
                      </w:rPr>
                      <w:t>条款目录</w:t>
                    </w:r>
                  </w:p>
                </w:txbxContent>
              </v:textbox>
              <w10:wrap type="none"/>
            </v:shap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1"/>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约</w:t>
      </w:r>
      <w:r>
        <w:rPr>
          <w:spacing w:val="-63"/>
          <w:w w:val="100"/>
          <w:position w:val="-7"/>
        </w:rPr>
        <w:t>．</w:t>
      </w:r>
      <w:r>
        <w:rPr>
          <w:spacing w:val="-152"/>
          <w:w w:val="100"/>
        </w:rPr>
        <w:t>定</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8"/>
        </w:rPr>
      </w:pPr>
    </w:p>
    <w:tbl>
      <w:tblPr>
        <w:tblW w:w="0" w:type="auto"/>
        <w:jc w:val="left"/>
        <w:tblInd w:w="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3197"/>
        <w:gridCol w:w="3858"/>
      </w:tblGrid>
      <w:tr>
        <w:trPr>
          <w:trHeight w:val="4267" w:hRule="atLeast"/>
        </w:trPr>
        <w:tc>
          <w:tcPr>
            <w:tcW w:w="2569" w:type="dxa"/>
          </w:tcPr>
          <w:p>
            <w:pPr>
              <w:pStyle w:val="TableParagraph"/>
              <w:numPr>
                <w:ilvl w:val="0"/>
                <w:numId w:val="3"/>
              </w:numPr>
              <w:tabs>
                <w:tab w:pos="517" w:val="left" w:leader="none"/>
              </w:tabs>
              <w:spacing w:line="211" w:lineRule="exact" w:before="0" w:after="0"/>
              <w:ind w:left="516" w:right="0" w:hanging="316"/>
              <w:jc w:val="left"/>
              <w:rPr>
                <w:b/>
                <w:sz w:val="21"/>
              </w:rPr>
            </w:pPr>
            <w:r>
              <w:rPr>
                <w:b/>
                <w:sz w:val="21"/>
              </w:rPr>
              <w:t>您与我们订立的合同</w:t>
            </w:r>
          </w:p>
          <w:p>
            <w:pPr>
              <w:pStyle w:val="TableParagraph"/>
              <w:numPr>
                <w:ilvl w:val="1"/>
                <w:numId w:val="3"/>
              </w:numPr>
              <w:tabs>
                <w:tab w:pos="726" w:val="left" w:leader="none"/>
              </w:tabs>
              <w:spacing w:line="240" w:lineRule="auto" w:before="37" w:after="0"/>
              <w:ind w:left="725" w:right="0" w:hanging="420"/>
              <w:jc w:val="left"/>
              <w:rPr>
                <w:sz w:val="21"/>
              </w:rPr>
            </w:pPr>
            <w:r>
              <w:rPr>
                <w:spacing w:val="-2"/>
                <w:sz w:val="21"/>
              </w:rPr>
              <w:t>合同构成</w:t>
            </w:r>
          </w:p>
          <w:p>
            <w:pPr>
              <w:pStyle w:val="TableParagraph"/>
              <w:numPr>
                <w:ilvl w:val="1"/>
                <w:numId w:val="3"/>
              </w:numPr>
              <w:tabs>
                <w:tab w:pos="726" w:val="left" w:leader="none"/>
              </w:tabs>
              <w:spacing w:line="240" w:lineRule="auto" w:before="37" w:after="0"/>
              <w:ind w:left="725" w:right="0" w:hanging="420"/>
              <w:jc w:val="left"/>
              <w:rPr>
                <w:sz w:val="21"/>
              </w:rPr>
            </w:pPr>
            <w:r>
              <w:rPr>
                <w:spacing w:val="-3"/>
                <w:sz w:val="21"/>
              </w:rPr>
              <w:t>合同成立及生效</w:t>
            </w:r>
          </w:p>
          <w:p>
            <w:pPr>
              <w:pStyle w:val="TableParagraph"/>
              <w:numPr>
                <w:ilvl w:val="1"/>
                <w:numId w:val="3"/>
              </w:numPr>
              <w:tabs>
                <w:tab w:pos="726" w:val="left" w:leader="none"/>
              </w:tabs>
              <w:spacing w:line="240" w:lineRule="auto" w:before="37" w:after="0"/>
              <w:ind w:left="725" w:right="0" w:hanging="420"/>
              <w:jc w:val="left"/>
              <w:rPr>
                <w:sz w:val="21"/>
              </w:rPr>
            </w:pPr>
            <w:r>
              <w:rPr>
                <w:spacing w:val="-2"/>
                <w:sz w:val="21"/>
              </w:rPr>
              <w:t>投保年龄</w:t>
            </w:r>
          </w:p>
          <w:p>
            <w:pPr>
              <w:pStyle w:val="TableParagraph"/>
              <w:numPr>
                <w:ilvl w:val="1"/>
                <w:numId w:val="3"/>
              </w:numPr>
              <w:tabs>
                <w:tab w:pos="726" w:val="left" w:leader="none"/>
              </w:tabs>
              <w:spacing w:line="240" w:lineRule="auto" w:before="37" w:after="0"/>
              <w:ind w:left="725" w:right="0" w:hanging="420"/>
              <w:jc w:val="left"/>
              <w:rPr>
                <w:sz w:val="21"/>
              </w:rPr>
            </w:pPr>
            <w:r>
              <w:rPr>
                <w:spacing w:val="-2"/>
                <w:sz w:val="21"/>
              </w:rPr>
              <w:t>犹豫期</w:t>
            </w:r>
          </w:p>
          <w:p>
            <w:pPr>
              <w:pStyle w:val="TableParagraph"/>
              <w:numPr>
                <w:ilvl w:val="0"/>
                <w:numId w:val="3"/>
              </w:numPr>
              <w:tabs>
                <w:tab w:pos="517" w:val="left" w:leader="none"/>
              </w:tabs>
              <w:spacing w:line="240" w:lineRule="auto" w:before="37" w:after="0"/>
              <w:ind w:left="516" w:right="0" w:hanging="316"/>
              <w:jc w:val="left"/>
              <w:rPr>
                <w:b/>
                <w:sz w:val="21"/>
              </w:rPr>
            </w:pPr>
            <w:r>
              <w:rPr>
                <w:b/>
                <w:sz w:val="21"/>
              </w:rPr>
              <w:t>我们提供的保障</w:t>
            </w:r>
          </w:p>
          <w:p>
            <w:pPr>
              <w:pStyle w:val="TableParagraph"/>
              <w:numPr>
                <w:ilvl w:val="1"/>
                <w:numId w:val="3"/>
              </w:numPr>
              <w:tabs>
                <w:tab w:pos="726" w:val="left" w:leader="none"/>
              </w:tabs>
              <w:spacing w:line="240" w:lineRule="auto" w:before="37" w:after="0"/>
              <w:ind w:left="725" w:right="0" w:hanging="420"/>
              <w:jc w:val="left"/>
              <w:rPr>
                <w:sz w:val="21"/>
              </w:rPr>
            </w:pPr>
            <w:r>
              <w:rPr>
                <w:spacing w:val="-3"/>
                <w:sz w:val="21"/>
              </w:rPr>
              <w:t>基本保险金额</w:t>
            </w:r>
          </w:p>
          <w:p>
            <w:pPr>
              <w:pStyle w:val="TableParagraph"/>
              <w:numPr>
                <w:ilvl w:val="1"/>
                <w:numId w:val="3"/>
              </w:numPr>
              <w:tabs>
                <w:tab w:pos="728" w:val="left" w:leader="none"/>
              </w:tabs>
              <w:spacing w:line="240" w:lineRule="auto" w:before="37" w:after="0"/>
              <w:ind w:left="727" w:right="0" w:hanging="422"/>
              <w:jc w:val="left"/>
              <w:rPr>
                <w:sz w:val="21"/>
              </w:rPr>
            </w:pPr>
            <w:r>
              <w:rPr>
                <w:spacing w:val="-3"/>
                <w:sz w:val="21"/>
              </w:rPr>
              <w:t>保险期间</w:t>
            </w:r>
          </w:p>
          <w:p>
            <w:pPr>
              <w:pStyle w:val="TableParagraph"/>
              <w:numPr>
                <w:ilvl w:val="1"/>
                <w:numId w:val="3"/>
              </w:numPr>
              <w:tabs>
                <w:tab w:pos="728" w:val="left" w:leader="none"/>
              </w:tabs>
              <w:spacing w:line="240" w:lineRule="auto" w:before="36" w:after="0"/>
              <w:ind w:left="727" w:right="0" w:hanging="422"/>
              <w:jc w:val="left"/>
              <w:rPr>
                <w:sz w:val="21"/>
              </w:rPr>
            </w:pPr>
            <w:r>
              <w:rPr>
                <w:spacing w:val="-3"/>
                <w:sz w:val="21"/>
              </w:rPr>
              <w:t>保险责任</w:t>
            </w:r>
          </w:p>
          <w:p>
            <w:pPr>
              <w:pStyle w:val="TableParagraph"/>
              <w:numPr>
                <w:ilvl w:val="1"/>
                <w:numId w:val="3"/>
              </w:numPr>
              <w:tabs>
                <w:tab w:pos="726" w:val="left" w:leader="none"/>
              </w:tabs>
              <w:spacing w:line="240" w:lineRule="auto" w:before="36" w:after="0"/>
              <w:ind w:left="725" w:right="0" w:hanging="420"/>
              <w:jc w:val="left"/>
              <w:rPr>
                <w:sz w:val="21"/>
              </w:rPr>
            </w:pPr>
            <w:r>
              <w:rPr>
                <w:spacing w:val="-2"/>
                <w:sz w:val="21"/>
              </w:rPr>
              <w:t>责任免除</w:t>
            </w:r>
          </w:p>
          <w:p>
            <w:pPr>
              <w:pStyle w:val="TableParagraph"/>
              <w:numPr>
                <w:ilvl w:val="0"/>
                <w:numId w:val="3"/>
              </w:numPr>
              <w:tabs>
                <w:tab w:pos="517" w:val="left" w:leader="none"/>
              </w:tabs>
              <w:spacing w:line="240" w:lineRule="auto" w:before="36" w:after="0"/>
              <w:ind w:left="516" w:right="0" w:hanging="316"/>
              <w:jc w:val="left"/>
              <w:rPr>
                <w:b/>
                <w:sz w:val="21"/>
              </w:rPr>
            </w:pPr>
            <w:r>
              <w:rPr>
                <w:b/>
                <w:sz w:val="21"/>
              </w:rPr>
              <w:t>保险金的申请</w:t>
            </w:r>
          </w:p>
          <w:p>
            <w:pPr>
              <w:pStyle w:val="TableParagraph"/>
              <w:numPr>
                <w:ilvl w:val="1"/>
                <w:numId w:val="3"/>
              </w:numPr>
              <w:tabs>
                <w:tab w:pos="726" w:val="left" w:leader="none"/>
              </w:tabs>
              <w:spacing w:line="240" w:lineRule="auto" w:before="36" w:after="0"/>
              <w:ind w:left="725" w:right="0" w:hanging="420"/>
              <w:jc w:val="left"/>
              <w:rPr>
                <w:sz w:val="21"/>
              </w:rPr>
            </w:pPr>
            <w:r>
              <w:rPr>
                <w:spacing w:val="-2"/>
                <w:sz w:val="21"/>
              </w:rPr>
              <w:t>受益人</w:t>
            </w:r>
          </w:p>
          <w:p>
            <w:pPr>
              <w:pStyle w:val="TableParagraph"/>
              <w:numPr>
                <w:ilvl w:val="1"/>
                <w:numId w:val="3"/>
              </w:numPr>
              <w:tabs>
                <w:tab w:pos="726" w:val="left" w:leader="none"/>
              </w:tabs>
              <w:spacing w:line="240" w:lineRule="auto" w:before="36" w:after="0"/>
              <w:ind w:left="725" w:right="0" w:hanging="420"/>
              <w:jc w:val="left"/>
              <w:rPr>
                <w:sz w:val="21"/>
              </w:rPr>
            </w:pPr>
            <w:r>
              <w:rPr>
                <w:spacing w:val="-3"/>
                <w:sz w:val="21"/>
              </w:rPr>
              <w:t>保险金申请</w:t>
            </w:r>
          </w:p>
          <w:p>
            <w:pPr>
              <w:pStyle w:val="TableParagraph"/>
              <w:numPr>
                <w:ilvl w:val="1"/>
                <w:numId w:val="3"/>
              </w:numPr>
              <w:tabs>
                <w:tab w:pos="726" w:val="left" w:leader="none"/>
              </w:tabs>
              <w:spacing w:line="255" w:lineRule="exact" w:before="36" w:after="0"/>
              <w:ind w:left="725" w:right="0" w:hanging="420"/>
              <w:jc w:val="left"/>
              <w:rPr>
                <w:sz w:val="21"/>
              </w:rPr>
            </w:pPr>
            <w:r>
              <w:rPr>
                <w:spacing w:val="-3"/>
                <w:sz w:val="21"/>
              </w:rPr>
              <w:t>保险金给付</w:t>
            </w:r>
          </w:p>
        </w:tc>
        <w:tc>
          <w:tcPr>
            <w:tcW w:w="3197" w:type="dxa"/>
          </w:tcPr>
          <w:p>
            <w:pPr>
              <w:pStyle w:val="TableParagraph"/>
              <w:spacing w:line="211" w:lineRule="exact"/>
              <w:ind w:left="151"/>
              <w:rPr>
                <w:b/>
                <w:sz w:val="21"/>
              </w:rPr>
            </w:pPr>
            <w:r>
              <w:rPr>
                <w:b/>
                <w:sz w:val="21"/>
              </w:rPr>
              <w:t>4.保险费的交纳</w:t>
            </w:r>
          </w:p>
          <w:p>
            <w:pPr>
              <w:pStyle w:val="TableParagraph"/>
              <w:numPr>
                <w:ilvl w:val="1"/>
                <w:numId w:val="4"/>
              </w:numPr>
              <w:tabs>
                <w:tab w:pos="678" w:val="left" w:leader="none"/>
              </w:tabs>
              <w:spacing w:line="240" w:lineRule="auto" w:before="37" w:after="0"/>
              <w:ind w:left="677" w:right="0" w:hanging="420"/>
              <w:jc w:val="left"/>
              <w:rPr>
                <w:sz w:val="21"/>
              </w:rPr>
            </w:pPr>
            <w:r>
              <w:rPr>
                <w:spacing w:val="-3"/>
                <w:sz w:val="21"/>
              </w:rPr>
              <w:t>保险费的交纳</w:t>
            </w:r>
          </w:p>
          <w:p>
            <w:pPr>
              <w:pStyle w:val="TableParagraph"/>
              <w:numPr>
                <w:ilvl w:val="1"/>
                <w:numId w:val="4"/>
              </w:numPr>
              <w:tabs>
                <w:tab w:pos="678" w:val="left" w:leader="none"/>
              </w:tabs>
              <w:spacing w:line="240" w:lineRule="auto" w:before="37" w:after="0"/>
              <w:ind w:left="677" w:right="0" w:hanging="420"/>
              <w:jc w:val="left"/>
              <w:rPr>
                <w:sz w:val="21"/>
              </w:rPr>
            </w:pPr>
            <w:r>
              <w:rPr>
                <w:spacing w:val="-2"/>
                <w:sz w:val="21"/>
              </w:rPr>
              <w:t>宽限期</w:t>
            </w:r>
          </w:p>
          <w:p>
            <w:pPr>
              <w:pStyle w:val="TableParagraph"/>
              <w:numPr>
                <w:ilvl w:val="0"/>
                <w:numId w:val="5"/>
              </w:numPr>
              <w:tabs>
                <w:tab w:pos="469" w:val="left" w:leader="none"/>
              </w:tabs>
              <w:spacing w:line="240" w:lineRule="auto" w:before="37" w:after="0"/>
              <w:ind w:left="468" w:right="0" w:hanging="317"/>
              <w:jc w:val="left"/>
              <w:rPr>
                <w:b/>
                <w:sz w:val="21"/>
              </w:rPr>
            </w:pPr>
            <w:r>
              <w:rPr>
                <w:b/>
                <w:sz w:val="21"/>
              </w:rPr>
              <w:t>现金价值权益</w:t>
            </w:r>
          </w:p>
          <w:p>
            <w:pPr>
              <w:pStyle w:val="TableParagraph"/>
              <w:numPr>
                <w:ilvl w:val="1"/>
                <w:numId w:val="5"/>
              </w:numPr>
              <w:tabs>
                <w:tab w:pos="678" w:val="left" w:leader="none"/>
              </w:tabs>
              <w:spacing w:line="240" w:lineRule="auto" w:before="37" w:after="0"/>
              <w:ind w:left="677" w:right="0" w:hanging="420"/>
              <w:jc w:val="left"/>
              <w:rPr>
                <w:sz w:val="21"/>
              </w:rPr>
            </w:pPr>
            <w:r>
              <w:rPr>
                <w:spacing w:val="-2"/>
                <w:sz w:val="21"/>
              </w:rPr>
              <w:t>现金价值</w:t>
            </w:r>
          </w:p>
          <w:p>
            <w:pPr>
              <w:pStyle w:val="TableParagraph"/>
              <w:numPr>
                <w:ilvl w:val="1"/>
                <w:numId w:val="5"/>
              </w:numPr>
              <w:tabs>
                <w:tab w:pos="678" w:val="left" w:leader="none"/>
              </w:tabs>
              <w:spacing w:line="240" w:lineRule="auto" w:before="37" w:after="0"/>
              <w:ind w:left="677" w:right="0" w:hanging="420"/>
              <w:jc w:val="left"/>
              <w:rPr>
                <w:sz w:val="21"/>
              </w:rPr>
            </w:pPr>
            <w:r>
              <w:rPr>
                <w:spacing w:val="-3"/>
                <w:sz w:val="21"/>
              </w:rPr>
              <w:t>减少基本保险金额</w:t>
            </w:r>
          </w:p>
          <w:p>
            <w:pPr>
              <w:pStyle w:val="TableParagraph"/>
              <w:numPr>
                <w:ilvl w:val="0"/>
                <w:numId w:val="5"/>
              </w:numPr>
              <w:tabs>
                <w:tab w:pos="469" w:val="left" w:leader="none"/>
              </w:tabs>
              <w:spacing w:line="240" w:lineRule="auto" w:before="37" w:after="0"/>
              <w:ind w:left="468" w:right="0" w:hanging="317"/>
              <w:jc w:val="left"/>
              <w:rPr>
                <w:b/>
                <w:sz w:val="21"/>
              </w:rPr>
            </w:pPr>
            <w:r>
              <w:rPr>
                <w:b/>
                <w:sz w:val="21"/>
              </w:rPr>
              <w:t>合同解除</w:t>
            </w:r>
          </w:p>
          <w:p>
            <w:pPr>
              <w:pStyle w:val="TableParagraph"/>
              <w:numPr>
                <w:ilvl w:val="1"/>
                <w:numId w:val="5"/>
              </w:numPr>
              <w:tabs>
                <w:tab w:pos="678" w:val="left" w:leader="none"/>
              </w:tabs>
              <w:spacing w:line="240" w:lineRule="auto" w:before="37" w:after="0"/>
              <w:ind w:left="677" w:right="0" w:hanging="420"/>
              <w:jc w:val="left"/>
              <w:rPr>
                <w:sz w:val="21"/>
              </w:rPr>
            </w:pPr>
            <w:r>
              <w:rPr>
                <w:spacing w:val="-3"/>
                <w:sz w:val="21"/>
              </w:rPr>
              <w:t>您解除合同的手续及风险</w:t>
            </w:r>
          </w:p>
          <w:p>
            <w:pPr>
              <w:pStyle w:val="TableParagraph"/>
              <w:numPr>
                <w:ilvl w:val="0"/>
                <w:numId w:val="5"/>
              </w:numPr>
              <w:tabs>
                <w:tab w:pos="469" w:val="left" w:leader="none"/>
              </w:tabs>
              <w:spacing w:line="240" w:lineRule="auto" w:before="36" w:after="0"/>
              <w:ind w:left="468" w:right="0" w:hanging="317"/>
              <w:jc w:val="left"/>
              <w:rPr>
                <w:b/>
                <w:sz w:val="21"/>
              </w:rPr>
            </w:pPr>
            <w:r>
              <w:rPr>
                <w:b/>
                <w:sz w:val="21"/>
              </w:rPr>
              <w:t>释义</w:t>
            </w:r>
          </w:p>
          <w:p>
            <w:pPr>
              <w:pStyle w:val="TableParagraph"/>
              <w:numPr>
                <w:ilvl w:val="1"/>
                <w:numId w:val="5"/>
              </w:numPr>
              <w:tabs>
                <w:tab w:pos="678" w:val="left" w:leader="none"/>
              </w:tabs>
              <w:spacing w:line="240" w:lineRule="auto" w:before="36" w:after="0"/>
              <w:ind w:left="677" w:right="0" w:hanging="418"/>
              <w:jc w:val="left"/>
              <w:rPr>
                <w:sz w:val="21"/>
              </w:rPr>
            </w:pPr>
            <w:r>
              <w:rPr>
                <w:spacing w:val="-3"/>
                <w:sz w:val="21"/>
              </w:rPr>
              <w:t>保险单年度</w:t>
            </w:r>
          </w:p>
          <w:p>
            <w:pPr>
              <w:pStyle w:val="TableParagraph"/>
              <w:numPr>
                <w:ilvl w:val="1"/>
                <w:numId w:val="5"/>
              </w:numPr>
              <w:tabs>
                <w:tab w:pos="678" w:val="left" w:leader="none"/>
              </w:tabs>
              <w:spacing w:line="240" w:lineRule="auto" w:before="36" w:after="0"/>
              <w:ind w:left="677" w:right="0" w:hanging="420"/>
              <w:jc w:val="left"/>
              <w:rPr>
                <w:sz w:val="21"/>
              </w:rPr>
            </w:pPr>
            <w:r>
              <w:rPr>
                <w:spacing w:val="-3"/>
                <w:sz w:val="21"/>
              </w:rPr>
              <w:t>保险费约定交纳日</w:t>
            </w:r>
          </w:p>
          <w:p>
            <w:pPr>
              <w:pStyle w:val="TableParagraph"/>
              <w:numPr>
                <w:ilvl w:val="1"/>
                <w:numId w:val="5"/>
              </w:numPr>
              <w:tabs>
                <w:tab w:pos="680" w:val="left" w:leader="none"/>
              </w:tabs>
              <w:spacing w:line="240" w:lineRule="auto" w:before="36" w:after="0"/>
              <w:ind w:left="679" w:right="0" w:hanging="422"/>
              <w:jc w:val="left"/>
              <w:rPr>
                <w:sz w:val="21"/>
              </w:rPr>
            </w:pPr>
            <w:r>
              <w:rPr>
                <w:spacing w:val="-3"/>
                <w:sz w:val="21"/>
              </w:rPr>
              <w:t>周岁</w:t>
            </w:r>
          </w:p>
          <w:p>
            <w:pPr>
              <w:pStyle w:val="TableParagraph"/>
              <w:numPr>
                <w:ilvl w:val="1"/>
                <w:numId w:val="5"/>
              </w:numPr>
              <w:tabs>
                <w:tab w:pos="680" w:val="left" w:leader="none"/>
              </w:tabs>
              <w:spacing w:line="240" w:lineRule="auto" w:before="36" w:after="0"/>
              <w:ind w:left="679" w:right="0" w:hanging="422"/>
              <w:jc w:val="left"/>
              <w:rPr>
                <w:sz w:val="21"/>
              </w:rPr>
            </w:pPr>
            <w:r>
              <w:rPr>
                <w:spacing w:val="-3"/>
                <w:sz w:val="21"/>
              </w:rPr>
              <w:t>有效身份证件</w:t>
            </w:r>
          </w:p>
          <w:p>
            <w:pPr>
              <w:pStyle w:val="TableParagraph"/>
              <w:numPr>
                <w:ilvl w:val="1"/>
                <w:numId w:val="5"/>
              </w:numPr>
              <w:tabs>
                <w:tab w:pos="680" w:val="left" w:leader="none"/>
              </w:tabs>
              <w:spacing w:line="255" w:lineRule="exact" w:before="36" w:after="0"/>
              <w:ind w:left="679" w:right="0" w:hanging="422"/>
              <w:jc w:val="left"/>
              <w:rPr>
                <w:sz w:val="21"/>
              </w:rPr>
            </w:pPr>
            <w:r>
              <w:rPr>
                <w:spacing w:val="-3"/>
                <w:sz w:val="21"/>
              </w:rPr>
              <w:t>医院</w:t>
            </w:r>
          </w:p>
        </w:tc>
        <w:tc>
          <w:tcPr>
            <w:tcW w:w="3858" w:type="dxa"/>
          </w:tcPr>
          <w:p>
            <w:pPr>
              <w:pStyle w:val="TableParagraph"/>
              <w:numPr>
                <w:ilvl w:val="1"/>
                <w:numId w:val="6"/>
              </w:numPr>
              <w:tabs>
                <w:tab w:pos="579" w:val="left" w:leader="none"/>
              </w:tabs>
              <w:spacing w:line="211" w:lineRule="exact" w:before="0" w:after="0"/>
              <w:ind w:left="578" w:right="0" w:hanging="369"/>
              <w:jc w:val="left"/>
              <w:rPr>
                <w:sz w:val="21"/>
              </w:rPr>
            </w:pPr>
            <w:r>
              <w:rPr>
                <w:spacing w:val="-3"/>
                <w:sz w:val="21"/>
              </w:rPr>
              <w:t>轻型重疾</w:t>
            </w:r>
          </w:p>
          <w:p>
            <w:pPr>
              <w:pStyle w:val="TableParagraph"/>
              <w:numPr>
                <w:ilvl w:val="1"/>
                <w:numId w:val="6"/>
              </w:numPr>
              <w:tabs>
                <w:tab w:pos="579" w:val="left" w:leader="none"/>
              </w:tabs>
              <w:spacing w:line="240" w:lineRule="auto" w:before="37" w:after="0"/>
              <w:ind w:left="578" w:right="0" w:hanging="369"/>
              <w:jc w:val="left"/>
              <w:rPr>
                <w:sz w:val="21"/>
              </w:rPr>
            </w:pPr>
            <w:r>
              <w:rPr>
                <w:spacing w:val="-3"/>
                <w:sz w:val="21"/>
              </w:rPr>
              <w:t>意外伤害事故</w:t>
            </w:r>
          </w:p>
          <w:p>
            <w:pPr>
              <w:pStyle w:val="TableParagraph"/>
              <w:numPr>
                <w:ilvl w:val="1"/>
                <w:numId w:val="6"/>
              </w:numPr>
              <w:tabs>
                <w:tab w:pos="579" w:val="left" w:leader="none"/>
              </w:tabs>
              <w:spacing w:line="240" w:lineRule="auto" w:before="37" w:after="0"/>
              <w:ind w:left="578" w:right="0" w:hanging="369"/>
              <w:jc w:val="left"/>
              <w:rPr>
                <w:sz w:val="21"/>
              </w:rPr>
            </w:pPr>
            <w:r>
              <w:rPr>
                <w:spacing w:val="-3"/>
                <w:sz w:val="21"/>
              </w:rPr>
              <w:t>重大疾病</w:t>
            </w:r>
          </w:p>
          <w:p>
            <w:pPr>
              <w:pStyle w:val="TableParagraph"/>
              <w:numPr>
                <w:ilvl w:val="1"/>
                <w:numId w:val="6"/>
              </w:numPr>
              <w:tabs>
                <w:tab w:pos="735" w:val="left" w:leader="none"/>
              </w:tabs>
              <w:spacing w:line="240" w:lineRule="auto" w:before="37" w:after="0"/>
              <w:ind w:left="734" w:right="0" w:hanging="525"/>
              <w:jc w:val="left"/>
              <w:rPr>
                <w:sz w:val="21"/>
              </w:rPr>
            </w:pPr>
            <w:r>
              <w:rPr>
                <w:sz w:val="21"/>
              </w:rPr>
              <w:t>毒品</w:t>
            </w:r>
          </w:p>
          <w:p>
            <w:pPr>
              <w:pStyle w:val="TableParagraph"/>
              <w:numPr>
                <w:ilvl w:val="1"/>
                <w:numId w:val="6"/>
              </w:numPr>
              <w:tabs>
                <w:tab w:pos="735" w:val="left" w:leader="none"/>
              </w:tabs>
              <w:spacing w:line="240" w:lineRule="auto" w:before="37" w:after="0"/>
              <w:ind w:left="734" w:right="0" w:hanging="525"/>
              <w:jc w:val="left"/>
              <w:rPr>
                <w:sz w:val="21"/>
              </w:rPr>
            </w:pPr>
            <w:r>
              <w:rPr>
                <w:spacing w:val="-2"/>
                <w:sz w:val="21"/>
              </w:rPr>
              <w:t>酒后驾驶</w:t>
            </w:r>
          </w:p>
          <w:p>
            <w:pPr>
              <w:pStyle w:val="TableParagraph"/>
              <w:numPr>
                <w:ilvl w:val="1"/>
                <w:numId w:val="6"/>
              </w:numPr>
              <w:tabs>
                <w:tab w:pos="735" w:val="left" w:leader="none"/>
              </w:tabs>
              <w:spacing w:line="240" w:lineRule="auto" w:before="37" w:after="0"/>
              <w:ind w:left="734" w:right="0" w:hanging="525"/>
              <w:jc w:val="left"/>
              <w:rPr>
                <w:sz w:val="21"/>
              </w:rPr>
            </w:pPr>
            <w:r>
              <w:rPr>
                <w:spacing w:val="-3"/>
                <w:sz w:val="21"/>
              </w:rPr>
              <w:t>无合法有效驾驶证驾驶</w:t>
            </w:r>
          </w:p>
          <w:p>
            <w:pPr>
              <w:pStyle w:val="TableParagraph"/>
              <w:numPr>
                <w:ilvl w:val="1"/>
                <w:numId w:val="6"/>
              </w:numPr>
              <w:tabs>
                <w:tab w:pos="735" w:val="left" w:leader="none"/>
              </w:tabs>
              <w:spacing w:line="240" w:lineRule="auto" w:before="37" w:after="0"/>
              <w:ind w:left="734" w:right="0" w:hanging="525"/>
              <w:jc w:val="left"/>
              <w:rPr>
                <w:sz w:val="21"/>
              </w:rPr>
            </w:pPr>
            <w:r>
              <w:rPr>
                <w:spacing w:val="-3"/>
                <w:sz w:val="21"/>
              </w:rPr>
              <w:t>无有效行驶证</w:t>
            </w:r>
          </w:p>
          <w:p>
            <w:pPr>
              <w:pStyle w:val="TableParagraph"/>
              <w:numPr>
                <w:ilvl w:val="1"/>
                <w:numId w:val="6"/>
              </w:numPr>
              <w:tabs>
                <w:tab w:pos="735" w:val="left" w:leader="none"/>
              </w:tabs>
              <w:spacing w:line="240" w:lineRule="auto" w:before="37" w:after="0"/>
              <w:ind w:left="734" w:right="0" w:hanging="525"/>
              <w:jc w:val="left"/>
              <w:rPr>
                <w:sz w:val="21"/>
              </w:rPr>
            </w:pPr>
            <w:r>
              <w:rPr>
                <w:spacing w:val="-2"/>
                <w:sz w:val="21"/>
              </w:rPr>
              <w:t>机动车</w:t>
            </w:r>
          </w:p>
          <w:p>
            <w:pPr>
              <w:pStyle w:val="TableParagraph"/>
              <w:numPr>
                <w:ilvl w:val="1"/>
                <w:numId w:val="6"/>
              </w:numPr>
              <w:tabs>
                <w:tab w:pos="735" w:val="left" w:leader="none"/>
              </w:tabs>
              <w:spacing w:line="240" w:lineRule="auto" w:before="36" w:after="0"/>
              <w:ind w:left="734" w:right="0" w:hanging="525"/>
              <w:jc w:val="left"/>
              <w:rPr>
                <w:sz w:val="21"/>
              </w:rPr>
            </w:pPr>
            <w:r>
              <w:rPr>
                <w:spacing w:val="-3"/>
                <w:sz w:val="21"/>
              </w:rPr>
              <w:t>遗传性疾病</w:t>
            </w:r>
          </w:p>
          <w:p>
            <w:pPr>
              <w:pStyle w:val="TableParagraph"/>
              <w:numPr>
                <w:ilvl w:val="1"/>
                <w:numId w:val="6"/>
              </w:numPr>
              <w:tabs>
                <w:tab w:pos="735" w:val="left" w:leader="none"/>
              </w:tabs>
              <w:spacing w:line="240" w:lineRule="auto" w:before="36" w:after="0"/>
              <w:ind w:left="734" w:right="0" w:hanging="525"/>
              <w:jc w:val="left"/>
              <w:rPr>
                <w:sz w:val="21"/>
              </w:rPr>
            </w:pPr>
            <w:r>
              <w:rPr>
                <w:spacing w:val="-6"/>
                <w:sz w:val="21"/>
              </w:rPr>
              <w:t>先天性畸形、变形或染色体异常</w:t>
            </w:r>
          </w:p>
          <w:p>
            <w:pPr>
              <w:pStyle w:val="TableParagraph"/>
              <w:numPr>
                <w:ilvl w:val="1"/>
                <w:numId w:val="6"/>
              </w:numPr>
              <w:tabs>
                <w:tab w:pos="735" w:val="left" w:leader="none"/>
              </w:tabs>
              <w:spacing w:line="240" w:lineRule="auto" w:before="36" w:after="0"/>
              <w:ind w:left="734" w:right="0" w:hanging="525"/>
              <w:jc w:val="left"/>
              <w:rPr>
                <w:sz w:val="21"/>
              </w:rPr>
            </w:pPr>
            <w:r>
              <w:rPr>
                <w:spacing w:val="-3"/>
                <w:sz w:val="21"/>
              </w:rPr>
              <w:t>六项基本日常生活活动</w:t>
            </w:r>
          </w:p>
          <w:p>
            <w:pPr>
              <w:pStyle w:val="TableParagraph"/>
              <w:numPr>
                <w:ilvl w:val="1"/>
                <w:numId w:val="6"/>
              </w:numPr>
              <w:tabs>
                <w:tab w:pos="735" w:val="left" w:leader="none"/>
              </w:tabs>
              <w:spacing w:line="240" w:lineRule="auto" w:before="36" w:after="0"/>
              <w:ind w:left="734" w:right="0" w:hanging="525"/>
              <w:jc w:val="left"/>
              <w:rPr>
                <w:sz w:val="21"/>
              </w:rPr>
            </w:pPr>
            <w:r>
              <w:rPr>
                <w:spacing w:val="-3"/>
                <w:sz w:val="21"/>
              </w:rPr>
              <w:t>永久不可逆</w:t>
            </w:r>
          </w:p>
          <w:p>
            <w:pPr>
              <w:pStyle w:val="TableParagraph"/>
              <w:numPr>
                <w:ilvl w:val="1"/>
                <w:numId w:val="6"/>
              </w:numPr>
              <w:tabs>
                <w:tab w:pos="683" w:val="left" w:leader="none"/>
              </w:tabs>
              <w:spacing w:line="240" w:lineRule="auto" w:before="36" w:after="0"/>
              <w:ind w:left="682" w:right="0" w:hanging="473"/>
              <w:jc w:val="left"/>
              <w:rPr>
                <w:sz w:val="21"/>
              </w:rPr>
            </w:pPr>
            <w:r>
              <w:rPr>
                <w:spacing w:val="-3"/>
                <w:sz w:val="21"/>
              </w:rPr>
              <w:t>感染艾滋病病毒或患艾滋病</w:t>
            </w:r>
          </w:p>
          <w:p>
            <w:pPr>
              <w:pStyle w:val="TableParagraph"/>
              <w:numPr>
                <w:ilvl w:val="1"/>
                <w:numId w:val="6"/>
              </w:numPr>
              <w:tabs>
                <w:tab w:pos="735" w:val="left" w:leader="none"/>
              </w:tabs>
              <w:spacing w:line="255" w:lineRule="exact" w:before="36" w:after="0"/>
              <w:ind w:left="734" w:right="0" w:hanging="525"/>
              <w:jc w:val="left"/>
              <w:rPr>
                <w:sz w:val="21"/>
              </w:rPr>
            </w:pPr>
            <w:r>
              <w:rPr>
                <w:spacing w:val="-3"/>
                <w:sz w:val="21"/>
              </w:rPr>
              <w:t>肢体机能完全丧失</w:t>
            </w:r>
          </w:p>
        </w:tc>
      </w:tr>
    </w:tbl>
    <w:p>
      <w:pPr>
        <w:spacing w:after="0" w:line="255" w:lineRule="exact"/>
        <w:jc w:val="left"/>
        <w:rPr>
          <w:sz w:val="21"/>
        </w:rPr>
        <w:sectPr>
          <w:footerReference w:type="default" r:id="rId5"/>
          <w:type w:val="continuous"/>
          <w:pgSz w:w="11910" w:h="16840"/>
          <w:pgMar w:footer="925" w:top="1580" w:bottom="1120" w:left="880" w:right="780"/>
          <w:pgNumType w:start="1"/>
        </w:sectPr>
      </w:pPr>
    </w:p>
    <w:p>
      <w:pPr>
        <w:pStyle w:val="BodyText"/>
        <w:spacing w:before="7" w:after="1"/>
        <w:rPr>
          <w:rFonts w:ascii="Times New Roman"/>
          <w:sz w:val="9"/>
        </w:rPr>
      </w:pPr>
      <w:r>
        <w:rPr/>
        <w:drawing>
          <wp:anchor distT="0" distB="0" distL="0" distR="0" allowOverlap="1" layoutInCell="1" locked="0" behindDoc="1" simplePos="0" relativeHeight="268392263">
            <wp:simplePos x="0" y="0"/>
            <wp:positionH relativeFrom="page">
              <wp:posOffset>630936</wp:posOffset>
            </wp:positionH>
            <wp:positionV relativeFrom="page">
              <wp:posOffset>900683</wp:posOffset>
            </wp:positionV>
            <wp:extent cx="6363541" cy="2747772"/>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6363541" cy="2747772"/>
                    </a:xfrm>
                    <a:prstGeom prst="rect">
                      <a:avLst/>
                    </a:prstGeom>
                  </pic:spPr>
                </pic:pic>
              </a:graphicData>
            </a:graphic>
          </wp:anchor>
        </w:drawing>
      </w:r>
    </w:p>
    <w:tbl>
      <w:tblPr>
        <w:tblW w:w="0" w:type="auto"/>
        <w:jc w:val="left"/>
        <w:tblInd w:w="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2755"/>
        <w:gridCol w:w="4479"/>
      </w:tblGrid>
      <w:tr>
        <w:trPr>
          <w:trHeight w:val="523" w:hRule="atLeast"/>
        </w:trPr>
        <w:tc>
          <w:tcPr>
            <w:tcW w:w="2091" w:type="dxa"/>
          </w:tcPr>
          <w:p>
            <w:pPr>
              <w:pStyle w:val="TableParagraph"/>
              <w:spacing w:line="211" w:lineRule="exact"/>
              <w:ind w:left="200"/>
              <w:rPr>
                <w:sz w:val="21"/>
              </w:rPr>
            </w:pPr>
            <w:r>
              <w:rPr>
                <w:sz w:val="21"/>
              </w:rPr>
              <w:t>3.4 诉讼时效</w:t>
            </w:r>
          </w:p>
        </w:tc>
        <w:tc>
          <w:tcPr>
            <w:tcW w:w="2755" w:type="dxa"/>
          </w:tcPr>
          <w:p>
            <w:pPr>
              <w:pStyle w:val="TableParagraph"/>
              <w:spacing w:line="211" w:lineRule="exact"/>
              <w:ind w:left="629"/>
              <w:rPr>
                <w:sz w:val="21"/>
              </w:rPr>
            </w:pPr>
            <w:r>
              <w:rPr>
                <w:sz w:val="21"/>
              </w:rPr>
              <w:t>7.6 专科医生</w:t>
            </w:r>
          </w:p>
        </w:tc>
        <w:tc>
          <w:tcPr>
            <w:tcW w:w="4479" w:type="dxa"/>
          </w:tcPr>
          <w:p>
            <w:pPr>
              <w:pStyle w:val="TableParagraph"/>
              <w:spacing w:line="211" w:lineRule="exact"/>
              <w:ind w:left="1023"/>
              <w:rPr>
                <w:sz w:val="21"/>
              </w:rPr>
            </w:pPr>
            <w:r>
              <w:rPr>
                <w:sz w:val="21"/>
              </w:rPr>
              <w:t>7.21 语言能力或咀嚼吞咽能力完全</w:t>
            </w:r>
          </w:p>
          <w:p>
            <w:pPr>
              <w:pStyle w:val="TableParagraph"/>
              <w:spacing w:line="255" w:lineRule="exact" w:before="37"/>
              <w:ind w:left="918"/>
              <w:rPr>
                <w:sz w:val="21"/>
              </w:rPr>
            </w:pPr>
            <w:r>
              <w:rPr>
                <w:sz w:val="21"/>
              </w:rPr>
              <w:t>丧失</w:t>
            </w:r>
          </w:p>
        </w:tc>
      </w:tr>
    </w:tbl>
    <w:p>
      <w:pPr>
        <w:spacing w:after="0" w:line="255" w:lineRule="exact"/>
        <w:rPr>
          <w:sz w:val="21"/>
        </w:rPr>
        <w:sectPr>
          <w:pgSz w:w="11910" w:h="16840"/>
          <w:pgMar w:header="0" w:footer="925" w:top="1400" w:bottom="1120" w:left="880" w:right="780"/>
        </w:sectPr>
      </w:pPr>
    </w:p>
    <w:p>
      <w:pPr>
        <w:pStyle w:val="Heading1"/>
        <w:spacing w:line="477" w:lineRule="exact"/>
        <w:ind w:left="3017"/>
      </w:pPr>
      <w:r>
        <w:rPr/>
        <w:t>华泰人寿保险股份有限公司</w:t>
      </w:r>
    </w:p>
    <w:p>
      <w:pPr>
        <w:spacing w:before="71"/>
        <w:ind w:left="2536" w:right="0" w:firstLine="0"/>
        <w:jc w:val="left"/>
        <w:rPr>
          <w:rFonts w:ascii="微软雅黑" w:eastAsia="微软雅黑" w:hint="eastAsia"/>
          <w:b/>
          <w:sz w:val="32"/>
        </w:rPr>
      </w:pPr>
      <w:r>
        <w:rPr>
          <w:rFonts w:ascii="微软雅黑" w:eastAsia="微软雅黑" w:hint="eastAsia"/>
          <w:b/>
          <w:w w:val="95"/>
          <w:sz w:val="32"/>
        </w:rPr>
        <w:t>附加新福佑双鑫重大疾病保险条款</w:t>
      </w:r>
    </w:p>
    <w:p>
      <w:pPr>
        <w:pStyle w:val="BodyText"/>
        <w:spacing w:before="5"/>
        <w:rPr>
          <w:rFonts w:ascii="微软雅黑"/>
          <w:b/>
          <w:sz w:val="33"/>
        </w:rPr>
      </w:pPr>
    </w:p>
    <w:p>
      <w:pPr>
        <w:pStyle w:val="BodyText"/>
        <w:spacing w:line="273" w:lineRule="auto"/>
        <w:ind w:left="212" w:right="295"/>
        <w:jc w:val="both"/>
      </w:pPr>
      <w:r>
        <w:rPr/>
        <w:t>在本条款中，“您”指投保人，“我们”、“本公司”均指在保险单上签章的华泰人寿保险股份有限公司，“本附加合同”指您与我们之间订立的“附加新福佑双鑫重大疾病保险保险合同”，“被保险人” 指本附加合同的被保险人，投保人、被保险人的姓名在保险单上载明。</w:t>
      </w:r>
    </w:p>
    <w:p>
      <w:pPr>
        <w:pStyle w:val="BodyText"/>
        <w:rPr>
          <w:sz w:val="20"/>
        </w:rPr>
      </w:pPr>
    </w:p>
    <w:p>
      <w:pPr>
        <w:pStyle w:val="BodyText"/>
        <w:spacing w:before="10" w:after="1"/>
        <w:rPr>
          <w:sz w:val="13"/>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7"/>
        <w:gridCol w:w="7455"/>
      </w:tblGrid>
      <w:tr>
        <w:trPr>
          <w:trHeight w:val="422" w:hRule="atLeast"/>
        </w:trPr>
        <w:tc>
          <w:tcPr>
            <w:tcW w:w="664" w:type="dxa"/>
            <w:tcBorders>
              <w:bottom w:val="single" w:sz="4" w:space="0" w:color="000000"/>
            </w:tcBorders>
          </w:tcPr>
          <w:p>
            <w:pPr>
              <w:pStyle w:val="TableParagraph"/>
              <w:spacing w:line="240" w:lineRule="exact"/>
              <w:rPr>
                <w:b/>
                <w:sz w:val="24"/>
              </w:rPr>
            </w:pPr>
            <w:r>
              <w:rPr>
                <w:b/>
                <w:sz w:val="24"/>
              </w:rPr>
              <w:t>1.</w:t>
            </w:r>
          </w:p>
        </w:tc>
        <w:tc>
          <w:tcPr>
            <w:tcW w:w="9092" w:type="dxa"/>
            <w:gridSpan w:val="2"/>
            <w:tcBorders>
              <w:bottom w:val="single" w:sz="4" w:space="0" w:color="000000"/>
            </w:tcBorders>
          </w:tcPr>
          <w:p>
            <w:pPr>
              <w:pStyle w:val="TableParagraph"/>
              <w:spacing w:line="240" w:lineRule="exact"/>
              <w:ind w:left="238"/>
              <w:rPr>
                <w:b/>
                <w:sz w:val="24"/>
              </w:rPr>
            </w:pPr>
            <w:r>
              <w:rPr>
                <w:b/>
                <w:w w:val="95"/>
                <w:sz w:val="24"/>
              </w:rPr>
              <w:t>您与我们订立的合同</w:t>
            </w:r>
          </w:p>
        </w:tc>
      </w:tr>
      <w:tr>
        <w:trPr>
          <w:trHeight w:val="2456" w:hRule="atLeast"/>
        </w:trPr>
        <w:tc>
          <w:tcPr>
            <w:tcW w:w="664" w:type="dxa"/>
            <w:tcBorders>
              <w:top w:val="single" w:sz="4" w:space="0" w:color="000000"/>
            </w:tcBorders>
          </w:tcPr>
          <w:p>
            <w:pPr>
              <w:pStyle w:val="TableParagraph"/>
              <w:spacing w:before="112"/>
              <w:rPr>
                <w:b/>
                <w:sz w:val="21"/>
              </w:rPr>
            </w:pPr>
            <w:r>
              <w:rPr>
                <w:b/>
                <w:sz w:val="21"/>
              </w:rPr>
              <w:t>1.1</w:t>
            </w:r>
          </w:p>
        </w:tc>
        <w:tc>
          <w:tcPr>
            <w:tcW w:w="1637" w:type="dxa"/>
            <w:tcBorders>
              <w:top w:val="single" w:sz="4" w:space="0" w:color="000000"/>
            </w:tcBorders>
          </w:tcPr>
          <w:p>
            <w:pPr>
              <w:pStyle w:val="TableParagraph"/>
              <w:spacing w:before="112"/>
              <w:ind w:left="238"/>
              <w:rPr>
                <w:b/>
                <w:sz w:val="21"/>
              </w:rPr>
            </w:pPr>
            <w:r>
              <w:rPr>
                <w:b/>
                <w:sz w:val="21"/>
              </w:rPr>
              <w:t>合同构成</w:t>
            </w:r>
          </w:p>
        </w:tc>
        <w:tc>
          <w:tcPr>
            <w:tcW w:w="7455" w:type="dxa"/>
            <w:tcBorders>
              <w:top w:val="single" w:sz="4" w:space="0" w:color="000000"/>
            </w:tcBorders>
          </w:tcPr>
          <w:p>
            <w:pPr>
              <w:pStyle w:val="TableParagraph"/>
              <w:spacing w:line="273" w:lineRule="auto" w:before="112"/>
              <w:ind w:left="130" w:right="176"/>
              <w:jc w:val="both"/>
              <w:rPr>
                <w:sz w:val="21"/>
              </w:rPr>
            </w:pPr>
            <w:r>
              <w:rPr>
                <w:sz w:val="21"/>
              </w:rPr>
              <w:t>本附加合同包括本保险条款、保险单或其他保险凭证、投保单、与保险合同有关的投保文件、合法有效的声明、批注、批单及其他约定您和我们之间权利义务关系的书面文件。</w:t>
            </w:r>
          </w:p>
          <w:p>
            <w:pPr>
              <w:pStyle w:val="TableParagraph"/>
              <w:spacing w:line="273" w:lineRule="auto" w:before="163"/>
              <w:ind w:left="130" w:right="176"/>
              <w:jc w:val="both"/>
              <w:rPr>
                <w:sz w:val="21"/>
              </w:rPr>
            </w:pPr>
            <w:r>
              <w:rPr>
                <w:spacing w:val="-3"/>
                <w:sz w:val="21"/>
              </w:rPr>
              <w:t>《新福佑双鑫两全保险（</w:t>
            </w:r>
            <w:r>
              <w:rPr>
                <w:spacing w:val="-1"/>
                <w:sz w:val="21"/>
              </w:rPr>
              <w:t>分红型</w:t>
            </w:r>
            <w:r>
              <w:rPr>
                <w:spacing w:val="-106"/>
                <w:sz w:val="21"/>
              </w:rPr>
              <w:t>）》</w:t>
            </w:r>
            <w:r>
              <w:rPr>
                <w:spacing w:val="-3"/>
                <w:sz w:val="21"/>
              </w:rPr>
              <w:t>（以下简称主合同</w:t>
            </w:r>
            <w:r>
              <w:rPr>
                <w:sz w:val="21"/>
              </w:rPr>
              <w:t>）</w:t>
            </w:r>
            <w:r>
              <w:rPr>
                <w:spacing w:val="-3"/>
                <w:sz w:val="21"/>
              </w:rPr>
              <w:t>的条款也适用于本附加合同，若主合同与本附加合同的条款互有抵触，则以本附加合同为准。</w:t>
            </w:r>
          </w:p>
          <w:p>
            <w:pPr>
              <w:pStyle w:val="TableParagraph"/>
              <w:spacing w:before="163"/>
              <w:ind w:left="130"/>
              <w:jc w:val="both"/>
              <w:rPr>
                <w:sz w:val="21"/>
              </w:rPr>
            </w:pPr>
            <w:r>
              <w:rPr>
                <w:sz w:val="21"/>
              </w:rPr>
              <w:t>阅读指引和条款目录仅供辅助理解使用，不构成保险合同的组成部分。</w:t>
            </w:r>
          </w:p>
        </w:tc>
      </w:tr>
      <w:tr>
        <w:trPr>
          <w:trHeight w:val="2477" w:hRule="atLeast"/>
        </w:trPr>
        <w:tc>
          <w:tcPr>
            <w:tcW w:w="664" w:type="dxa"/>
          </w:tcPr>
          <w:p>
            <w:pPr>
              <w:pStyle w:val="TableParagraph"/>
              <w:spacing w:before="133"/>
              <w:rPr>
                <w:b/>
                <w:sz w:val="21"/>
              </w:rPr>
            </w:pPr>
            <w:r>
              <w:rPr>
                <w:b/>
                <w:sz w:val="21"/>
              </w:rPr>
              <w:t>1.2</w:t>
            </w:r>
          </w:p>
        </w:tc>
        <w:tc>
          <w:tcPr>
            <w:tcW w:w="1637" w:type="dxa"/>
          </w:tcPr>
          <w:p>
            <w:pPr>
              <w:pStyle w:val="TableParagraph"/>
              <w:spacing w:line="273" w:lineRule="auto" w:before="133"/>
              <w:ind w:left="238" w:right="130"/>
              <w:rPr>
                <w:b/>
                <w:sz w:val="21"/>
              </w:rPr>
            </w:pPr>
            <w:r>
              <w:rPr>
                <w:b/>
                <w:sz w:val="21"/>
              </w:rPr>
              <w:t>合同成立及生效</w:t>
            </w:r>
          </w:p>
        </w:tc>
        <w:tc>
          <w:tcPr>
            <w:tcW w:w="7455" w:type="dxa"/>
          </w:tcPr>
          <w:p>
            <w:pPr>
              <w:pStyle w:val="TableParagraph"/>
              <w:spacing w:before="133"/>
              <w:ind w:left="130"/>
              <w:rPr>
                <w:sz w:val="21"/>
              </w:rPr>
            </w:pPr>
            <w:r>
              <w:rPr>
                <w:sz w:val="21"/>
              </w:rPr>
              <w:t>您向我们提出保险申请，我们同意承保，本附加合同成立。</w:t>
            </w:r>
          </w:p>
          <w:p>
            <w:pPr>
              <w:pStyle w:val="TableParagraph"/>
              <w:spacing w:before="9"/>
              <w:ind w:left="0"/>
              <w:rPr>
                <w:sz w:val="14"/>
              </w:rPr>
            </w:pPr>
          </w:p>
          <w:p>
            <w:pPr>
              <w:pStyle w:val="TableParagraph"/>
              <w:spacing w:line="273" w:lineRule="auto" w:before="1"/>
              <w:ind w:left="130" w:right="176"/>
              <w:jc w:val="both"/>
              <w:rPr>
                <w:sz w:val="21"/>
              </w:rPr>
            </w:pPr>
            <w:r>
              <w:rPr>
                <w:sz w:val="21"/>
              </w:rPr>
              <w:t>本附加合同必须与主合同同时投保，且以主合同的生效日为本附加合同的生效日。</w:t>
            </w:r>
          </w:p>
          <w:p>
            <w:pPr>
              <w:pStyle w:val="TableParagraph"/>
              <w:spacing w:line="273" w:lineRule="auto" w:before="164"/>
              <w:ind w:left="130" w:right="103"/>
              <w:jc w:val="both"/>
              <w:rPr>
                <w:sz w:val="21"/>
              </w:rPr>
            </w:pPr>
            <w:r>
              <w:rPr>
                <w:spacing w:val="-3"/>
                <w:w w:val="100"/>
                <w:sz w:val="21"/>
              </w:rPr>
              <w:t>本附加合同生效日以后每年的对应日是保险单周年日。</w:t>
            </w:r>
            <w:r>
              <w:rPr>
                <w:b/>
                <w:w w:val="100"/>
                <w:sz w:val="21"/>
              </w:rPr>
              <w:t>保险单年度</w:t>
            </w:r>
            <w:r>
              <w:rPr>
                <w:spacing w:val="-3"/>
                <w:w w:val="100"/>
                <w:sz w:val="21"/>
              </w:rPr>
              <w:t>（</w:t>
            </w:r>
            <w:r>
              <w:rPr>
                <w:w w:val="100"/>
                <w:sz w:val="21"/>
              </w:rPr>
              <w:t>见</w:t>
            </w:r>
            <w:r>
              <w:rPr>
                <w:spacing w:val="-53"/>
                <w:sz w:val="21"/>
              </w:rPr>
              <w:t> </w:t>
            </w:r>
            <w:r>
              <w:rPr>
                <w:w w:val="100"/>
                <w:sz w:val="21"/>
              </w:rPr>
              <w:t>7</w:t>
            </w:r>
            <w:r>
              <w:rPr>
                <w:spacing w:val="-3"/>
                <w:w w:val="100"/>
                <w:sz w:val="21"/>
              </w:rPr>
              <w:t>.</w:t>
            </w:r>
            <w:r>
              <w:rPr>
                <w:spacing w:val="-1"/>
                <w:w w:val="100"/>
                <w:sz w:val="21"/>
              </w:rPr>
              <w:t>1</w:t>
            </w:r>
            <w:r>
              <w:rPr>
                <w:spacing w:val="-108"/>
                <w:w w:val="100"/>
                <w:sz w:val="21"/>
              </w:rPr>
              <w:t>）</w:t>
            </w:r>
            <w:r>
              <w:rPr>
                <w:w w:val="100"/>
                <w:sz w:val="21"/>
              </w:rPr>
              <w:t>、</w:t>
            </w:r>
            <w:r>
              <w:rPr>
                <w:b/>
                <w:spacing w:val="-4"/>
                <w:sz w:val="21"/>
              </w:rPr>
              <w:t>保险费约定交纳日</w:t>
            </w:r>
            <w:r>
              <w:rPr>
                <w:spacing w:val="-3"/>
                <w:sz w:val="21"/>
              </w:rPr>
              <w:t>（</w:t>
            </w:r>
            <w:r>
              <w:rPr>
                <w:spacing w:val="-15"/>
                <w:sz w:val="21"/>
              </w:rPr>
              <w:t>见 </w:t>
            </w:r>
            <w:r>
              <w:rPr>
                <w:spacing w:val="-8"/>
                <w:sz w:val="21"/>
              </w:rPr>
              <w:t>7.2）</w:t>
            </w:r>
            <w:r>
              <w:rPr>
                <w:spacing w:val="-5"/>
                <w:sz w:val="21"/>
              </w:rPr>
              <w:t>均以本附加合同的生效日期为基础计算。如果当月</w:t>
            </w:r>
            <w:r>
              <w:rPr>
                <w:spacing w:val="-4"/>
                <w:sz w:val="21"/>
              </w:rPr>
              <w:t>无对应的同一日，则以该月最后一日作为对应日。</w:t>
            </w:r>
          </w:p>
        </w:tc>
      </w:tr>
      <w:tr>
        <w:trPr>
          <w:trHeight w:val="873" w:hRule="atLeast"/>
        </w:trPr>
        <w:tc>
          <w:tcPr>
            <w:tcW w:w="664" w:type="dxa"/>
          </w:tcPr>
          <w:p>
            <w:pPr>
              <w:pStyle w:val="TableParagraph"/>
              <w:spacing w:before="133"/>
              <w:rPr>
                <w:b/>
                <w:sz w:val="21"/>
              </w:rPr>
            </w:pPr>
            <w:r>
              <w:rPr>
                <w:b/>
                <w:sz w:val="21"/>
              </w:rPr>
              <w:t>1.3</w:t>
            </w:r>
          </w:p>
        </w:tc>
        <w:tc>
          <w:tcPr>
            <w:tcW w:w="1637" w:type="dxa"/>
          </w:tcPr>
          <w:p>
            <w:pPr>
              <w:pStyle w:val="TableParagraph"/>
              <w:spacing w:before="133"/>
              <w:ind w:left="238"/>
              <w:rPr>
                <w:b/>
                <w:sz w:val="21"/>
              </w:rPr>
            </w:pPr>
            <w:r>
              <w:rPr>
                <w:b/>
                <w:sz w:val="21"/>
              </w:rPr>
              <w:t>投保年龄</w:t>
            </w:r>
          </w:p>
        </w:tc>
        <w:tc>
          <w:tcPr>
            <w:tcW w:w="7455" w:type="dxa"/>
          </w:tcPr>
          <w:p>
            <w:pPr>
              <w:pStyle w:val="TableParagraph"/>
              <w:spacing w:line="273" w:lineRule="auto" w:before="133"/>
              <w:ind w:left="130" w:right="19"/>
              <w:rPr>
                <w:sz w:val="21"/>
              </w:rPr>
            </w:pPr>
            <w:r>
              <w:rPr>
                <w:spacing w:val="-3"/>
                <w:sz w:val="21"/>
              </w:rPr>
              <w:t>指投保时被保险人的年龄，投保年龄以</w:t>
            </w:r>
            <w:r>
              <w:rPr>
                <w:b/>
                <w:sz w:val="21"/>
              </w:rPr>
              <w:t>周岁</w:t>
            </w:r>
            <w:r>
              <w:rPr>
                <w:sz w:val="21"/>
              </w:rPr>
              <w:t>（</w:t>
            </w:r>
            <w:r>
              <w:rPr>
                <w:spacing w:val="-14"/>
                <w:sz w:val="21"/>
              </w:rPr>
              <w:t>见 </w:t>
            </w:r>
            <w:r>
              <w:rPr>
                <w:sz w:val="21"/>
              </w:rPr>
              <w:t>7.3）</w:t>
            </w:r>
            <w:r>
              <w:rPr>
                <w:spacing w:val="-3"/>
                <w:sz w:val="21"/>
              </w:rPr>
              <w:t>计算，投保本附加合同时</w:t>
            </w:r>
            <w:r>
              <w:rPr>
                <w:spacing w:val="-8"/>
                <w:sz w:val="21"/>
              </w:rPr>
              <w:t>被保险人的年龄须为 </w:t>
            </w:r>
            <w:r>
              <w:rPr>
                <w:sz w:val="21"/>
              </w:rPr>
              <w:t>0</w:t>
            </w:r>
            <w:r>
              <w:rPr>
                <w:spacing w:val="-18"/>
                <w:sz w:val="21"/>
              </w:rPr>
              <w:t> 周岁</w:t>
            </w:r>
            <w:r>
              <w:rPr>
                <w:sz w:val="21"/>
              </w:rPr>
              <w:t>（</w:t>
            </w:r>
            <w:r>
              <w:rPr>
                <w:spacing w:val="-14"/>
                <w:sz w:val="21"/>
              </w:rPr>
              <w:t>出生满 </w:t>
            </w:r>
            <w:r>
              <w:rPr>
                <w:sz w:val="21"/>
              </w:rPr>
              <w:t>28</w:t>
            </w:r>
            <w:r>
              <w:rPr>
                <w:spacing w:val="-26"/>
                <w:sz w:val="21"/>
              </w:rPr>
              <w:t> 天</w:t>
            </w:r>
            <w:r>
              <w:rPr>
                <w:spacing w:val="-3"/>
                <w:sz w:val="21"/>
              </w:rPr>
              <w:t>）</w:t>
            </w:r>
            <w:r>
              <w:rPr>
                <w:spacing w:val="-25"/>
                <w:sz w:val="21"/>
              </w:rPr>
              <w:t>至 </w:t>
            </w:r>
            <w:r>
              <w:rPr>
                <w:sz w:val="21"/>
              </w:rPr>
              <w:t>65</w:t>
            </w:r>
            <w:r>
              <w:rPr>
                <w:spacing w:val="-14"/>
                <w:sz w:val="21"/>
              </w:rPr>
              <w:t> 周岁。</w:t>
            </w:r>
          </w:p>
        </w:tc>
      </w:tr>
      <w:tr>
        <w:trPr>
          <w:trHeight w:val="2756" w:hRule="atLeast"/>
        </w:trPr>
        <w:tc>
          <w:tcPr>
            <w:tcW w:w="664" w:type="dxa"/>
          </w:tcPr>
          <w:p>
            <w:pPr>
              <w:pStyle w:val="TableParagraph"/>
              <w:spacing w:before="90"/>
              <w:rPr>
                <w:b/>
                <w:sz w:val="21"/>
              </w:rPr>
            </w:pPr>
            <w:r>
              <w:rPr>
                <w:b/>
                <w:sz w:val="21"/>
              </w:rPr>
              <w:t>1.4</w:t>
            </w:r>
          </w:p>
        </w:tc>
        <w:tc>
          <w:tcPr>
            <w:tcW w:w="1637" w:type="dxa"/>
          </w:tcPr>
          <w:p>
            <w:pPr>
              <w:pStyle w:val="TableParagraph"/>
              <w:spacing w:before="90"/>
              <w:ind w:left="238"/>
              <w:rPr>
                <w:b/>
                <w:sz w:val="21"/>
              </w:rPr>
            </w:pPr>
            <w:r>
              <w:rPr>
                <w:b/>
                <w:sz w:val="21"/>
              </w:rPr>
              <w:t>犹豫期</w:t>
            </w:r>
          </w:p>
        </w:tc>
        <w:tc>
          <w:tcPr>
            <w:tcW w:w="7455" w:type="dxa"/>
          </w:tcPr>
          <w:p>
            <w:pPr>
              <w:pStyle w:val="TableParagraph"/>
              <w:spacing w:line="273" w:lineRule="auto" w:before="90"/>
              <w:ind w:left="130" w:right="103"/>
              <w:rPr>
                <w:sz w:val="21"/>
              </w:rPr>
            </w:pPr>
            <w:r>
              <w:rPr>
                <w:spacing w:val="-7"/>
                <w:sz w:val="21"/>
              </w:rPr>
              <w:t>自您签收本附加合同之日起，有 </w:t>
            </w:r>
            <w:r>
              <w:rPr>
                <w:sz w:val="21"/>
              </w:rPr>
              <w:t>10</w:t>
            </w:r>
            <w:r>
              <w:rPr>
                <w:spacing w:val="-23"/>
                <w:sz w:val="21"/>
              </w:rPr>
              <w:t> 天</w:t>
            </w:r>
            <w:r>
              <w:rPr>
                <w:spacing w:val="-3"/>
                <w:sz w:val="21"/>
              </w:rPr>
              <w:t>（</w:t>
            </w:r>
            <w:r>
              <w:rPr>
                <w:sz w:val="21"/>
              </w:rPr>
              <w:t>含</w:t>
            </w:r>
            <w:r>
              <w:rPr>
                <w:spacing w:val="-8"/>
                <w:sz w:val="21"/>
              </w:rPr>
              <w:t>）</w:t>
            </w:r>
            <w:r>
              <w:rPr>
                <w:spacing w:val="-5"/>
                <w:sz w:val="21"/>
              </w:rPr>
              <w:t>的犹豫期。在此期间，请您认真阅</w:t>
            </w:r>
            <w:r>
              <w:rPr>
                <w:spacing w:val="-4"/>
                <w:sz w:val="21"/>
              </w:rPr>
              <w:t>读本附加合同，您可以在此期间提出解除本附加合同，我们将无息退还您所交</w:t>
            </w:r>
            <w:r>
              <w:rPr>
                <w:spacing w:val="-3"/>
                <w:sz w:val="21"/>
              </w:rPr>
              <w:t>纳的保险费。</w:t>
            </w:r>
          </w:p>
          <w:p>
            <w:pPr>
              <w:pStyle w:val="TableParagraph"/>
              <w:spacing w:line="273" w:lineRule="auto" w:before="164"/>
              <w:ind w:left="130" w:right="175"/>
              <w:rPr>
                <w:sz w:val="21"/>
              </w:rPr>
            </w:pPr>
            <w:r>
              <w:rPr>
                <w:spacing w:val="-3"/>
                <w:sz w:val="21"/>
              </w:rPr>
              <w:t>在犹豫期内解除本附加合同时，您需要填写申请书，并提供本附加合同、交费</w:t>
            </w:r>
            <w:r>
              <w:rPr>
                <w:spacing w:val="-3"/>
                <w:w w:val="100"/>
                <w:sz w:val="21"/>
              </w:rPr>
              <w:t>凭证及</w:t>
            </w:r>
            <w:r>
              <w:rPr>
                <w:b/>
                <w:w w:val="100"/>
                <w:sz w:val="21"/>
              </w:rPr>
              <w:t>有效身份证件</w:t>
            </w:r>
            <w:r>
              <w:rPr>
                <w:spacing w:val="-3"/>
                <w:w w:val="100"/>
                <w:sz w:val="21"/>
              </w:rPr>
              <w:t>（</w:t>
            </w:r>
            <w:r>
              <w:rPr>
                <w:w w:val="100"/>
                <w:sz w:val="21"/>
              </w:rPr>
              <w:t>见</w:t>
            </w:r>
            <w:r>
              <w:rPr>
                <w:spacing w:val="-55"/>
                <w:sz w:val="21"/>
              </w:rPr>
              <w:t> </w:t>
            </w:r>
            <w:r>
              <w:rPr>
                <w:w w:val="100"/>
                <w:sz w:val="21"/>
              </w:rPr>
              <w:t>7.4</w:t>
            </w:r>
            <w:r>
              <w:rPr>
                <w:spacing w:val="-106"/>
                <w:w w:val="100"/>
                <w:sz w:val="21"/>
              </w:rPr>
              <w:t>）</w:t>
            </w:r>
            <w:r>
              <w:rPr>
                <w:w w:val="100"/>
                <w:sz w:val="21"/>
              </w:rPr>
              <w:t>。</w:t>
            </w:r>
          </w:p>
          <w:p>
            <w:pPr>
              <w:pStyle w:val="TableParagraph"/>
              <w:spacing w:line="273" w:lineRule="auto" w:before="164"/>
              <w:ind w:left="130" w:right="155"/>
              <w:rPr>
                <w:b/>
                <w:sz w:val="21"/>
              </w:rPr>
            </w:pPr>
            <w:r>
              <w:rPr>
                <w:b/>
                <w:sz w:val="21"/>
              </w:rPr>
              <w:t>自我们收到您解除合同的书面申请时起，本附加合同即被解除，合同解除前发生的保险事故我们不承担责任。</w:t>
            </w:r>
          </w:p>
        </w:tc>
      </w:tr>
      <w:tr>
        <w:trPr>
          <w:trHeight w:val="626" w:hRule="atLeast"/>
        </w:trPr>
        <w:tc>
          <w:tcPr>
            <w:tcW w:w="664" w:type="dxa"/>
            <w:tcBorders>
              <w:bottom w:val="single" w:sz="4" w:space="0" w:color="000000"/>
            </w:tcBorders>
          </w:tcPr>
          <w:p>
            <w:pPr>
              <w:pStyle w:val="TableParagraph"/>
              <w:spacing w:before="133"/>
              <w:rPr>
                <w:b/>
                <w:sz w:val="24"/>
              </w:rPr>
            </w:pPr>
            <w:r>
              <w:rPr>
                <w:b/>
                <w:sz w:val="24"/>
              </w:rPr>
              <w:t>2.</w:t>
            </w:r>
          </w:p>
        </w:tc>
        <w:tc>
          <w:tcPr>
            <w:tcW w:w="9092" w:type="dxa"/>
            <w:gridSpan w:val="2"/>
            <w:tcBorders>
              <w:bottom w:val="single" w:sz="4" w:space="0" w:color="000000"/>
            </w:tcBorders>
          </w:tcPr>
          <w:p>
            <w:pPr>
              <w:pStyle w:val="TableParagraph"/>
              <w:spacing w:before="133"/>
              <w:ind w:left="238"/>
              <w:rPr>
                <w:b/>
                <w:sz w:val="24"/>
              </w:rPr>
            </w:pPr>
            <w:r>
              <w:rPr>
                <w:b/>
                <w:w w:val="95"/>
                <w:sz w:val="24"/>
              </w:rPr>
              <w:t>我们提供的保障</w:t>
            </w:r>
          </w:p>
        </w:tc>
      </w:tr>
      <w:tr>
        <w:trPr>
          <w:trHeight w:val="897" w:hRule="atLeast"/>
        </w:trPr>
        <w:tc>
          <w:tcPr>
            <w:tcW w:w="664" w:type="dxa"/>
            <w:tcBorders>
              <w:top w:val="single" w:sz="4" w:space="0" w:color="000000"/>
            </w:tcBorders>
          </w:tcPr>
          <w:p>
            <w:pPr>
              <w:pStyle w:val="TableParagraph"/>
              <w:spacing w:before="114"/>
              <w:rPr>
                <w:b/>
                <w:sz w:val="21"/>
              </w:rPr>
            </w:pPr>
            <w:r>
              <w:rPr>
                <w:b/>
                <w:sz w:val="21"/>
              </w:rPr>
              <w:t>2.1</w:t>
            </w:r>
          </w:p>
        </w:tc>
        <w:tc>
          <w:tcPr>
            <w:tcW w:w="1637" w:type="dxa"/>
            <w:tcBorders>
              <w:top w:val="single" w:sz="4" w:space="0" w:color="000000"/>
            </w:tcBorders>
          </w:tcPr>
          <w:p>
            <w:pPr>
              <w:pStyle w:val="TableParagraph"/>
              <w:spacing w:before="114"/>
              <w:ind w:left="238"/>
              <w:rPr>
                <w:b/>
                <w:sz w:val="21"/>
              </w:rPr>
            </w:pPr>
            <w:r>
              <w:rPr>
                <w:b/>
                <w:sz w:val="21"/>
              </w:rPr>
              <w:t>基本保险金额</w:t>
            </w:r>
          </w:p>
        </w:tc>
        <w:tc>
          <w:tcPr>
            <w:tcW w:w="7455" w:type="dxa"/>
            <w:tcBorders>
              <w:top w:val="single" w:sz="4" w:space="0" w:color="000000"/>
            </w:tcBorders>
          </w:tcPr>
          <w:p>
            <w:pPr>
              <w:pStyle w:val="TableParagraph"/>
              <w:spacing w:line="273" w:lineRule="auto" w:before="114"/>
              <w:ind w:left="130" w:right="175"/>
              <w:rPr>
                <w:sz w:val="21"/>
              </w:rPr>
            </w:pPr>
            <w:r>
              <w:rPr>
                <w:sz w:val="21"/>
              </w:rPr>
              <w:t>本附加合同的基本保险金额由您在投保时与我们约定并在保险合同上载明。若金额发生变更，则以变更后的金额为基本保险金额。</w:t>
            </w:r>
          </w:p>
        </w:tc>
      </w:tr>
      <w:tr>
        <w:trPr>
          <w:trHeight w:val="406" w:hRule="atLeast"/>
        </w:trPr>
        <w:tc>
          <w:tcPr>
            <w:tcW w:w="664" w:type="dxa"/>
          </w:tcPr>
          <w:p>
            <w:pPr>
              <w:pStyle w:val="TableParagraph"/>
              <w:spacing w:line="255" w:lineRule="exact" w:before="131"/>
              <w:rPr>
                <w:b/>
                <w:sz w:val="21"/>
              </w:rPr>
            </w:pPr>
            <w:r>
              <w:rPr>
                <w:b/>
                <w:sz w:val="21"/>
              </w:rPr>
              <w:t>2.2</w:t>
            </w:r>
          </w:p>
        </w:tc>
        <w:tc>
          <w:tcPr>
            <w:tcW w:w="1637" w:type="dxa"/>
          </w:tcPr>
          <w:p>
            <w:pPr>
              <w:pStyle w:val="TableParagraph"/>
              <w:spacing w:line="255" w:lineRule="exact" w:before="131"/>
              <w:ind w:left="238"/>
              <w:rPr>
                <w:b/>
                <w:sz w:val="21"/>
              </w:rPr>
            </w:pPr>
            <w:r>
              <w:rPr>
                <w:b/>
                <w:sz w:val="21"/>
              </w:rPr>
              <w:t>保险期间</w:t>
            </w:r>
          </w:p>
        </w:tc>
        <w:tc>
          <w:tcPr>
            <w:tcW w:w="7455" w:type="dxa"/>
          </w:tcPr>
          <w:p>
            <w:pPr>
              <w:pStyle w:val="TableParagraph"/>
              <w:spacing w:line="255" w:lineRule="exact" w:before="131"/>
              <w:ind w:left="130"/>
              <w:rPr>
                <w:sz w:val="21"/>
              </w:rPr>
            </w:pPr>
            <w:r>
              <w:rPr>
                <w:sz w:val="21"/>
              </w:rPr>
              <w:t>除合同另有约定外，本附加合同的保险期间与主合同的保险期间相同。</w:t>
            </w:r>
          </w:p>
        </w:tc>
      </w:tr>
    </w:tbl>
    <w:p>
      <w:pPr>
        <w:spacing w:after="0" w:line="255" w:lineRule="exact"/>
        <w:rPr>
          <w:sz w:val="21"/>
        </w:rPr>
        <w:sectPr>
          <w:pgSz w:w="11910" w:h="16840"/>
          <w:pgMar w:header="0" w:footer="925" w:top="1220" w:bottom="1200" w:left="9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425"/>
        <w:gridCol w:w="7868"/>
      </w:tblGrid>
      <w:tr>
        <w:trPr>
          <w:trHeight w:val="13133" w:hRule="atLeast"/>
        </w:trPr>
        <w:tc>
          <w:tcPr>
            <w:tcW w:w="756" w:type="dxa"/>
          </w:tcPr>
          <w:p>
            <w:pPr>
              <w:pStyle w:val="TableParagraph"/>
              <w:spacing w:line="211" w:lineRule="exact"/>
              <w:ind w:left="200"/>
              <w:rPr>
                <w:b/>
                <w:sz w:val="21"/>
              </w:rPr>
            </w:pPr>
            <w:r>
              <w:rPr>
                <w:b/>
                <w:sz w:val="21"/>
              </w:rPr>
              <w:t>2.3</w:t>
            </w:r>
          </w:p>
        </w:tc>
        <w:tc>
          <w:tcPr>
            <w:tcW w:w="1425" w:type="dxa"/>
          </w:tcPr>
          <w:p>
            <w:pPr>
              <w:pStyle w:val="TableParagraph"/>
              <w:spacing w:line="211" w:lineRule="exact"/>
              <w:ind w:left="238"/>
              <w:rPr>
                <w:b/>
                <w:sz w:val="21"/>
              </w:rPr>
            </w:pPr>
            <w:r>
              <w:rPr>
                <w:b/>
                <w:sz w:val="21"/>
              </w:rPr>
              <w:t>保险责任</w:t>
            </w:r>
          </w:p>
        </w:tc>
        <w:tc>
          <w:tcPr>
            <w:tcW w:w="7868" w:type="dxa"/>
          </w:tcPr>
          <w:p>
            <w:pPr>
              <w:pStyle w:val="TableParagraph"/>
              <w:spacing w:line="211" w:lineRule="exact"/>
              <w:ind w:left="342"/>
              <w:rPr>
                <w:sz w:val="21"/>
              </w:rPr>
            </w:pPr>
            <w:r>
              <w:rPr>
                <w:sz w:val="21"/>
              </w:rPr>
              <w:t>在本附加合同保险期间内，我们按以下约定承担保险责任：</w:t>
            </w:r>
          </w:p>
          <w:p>
            <w:pPr>
              <w:pStyle w:val="TableParagraph"/>
              <w:spacing w:before="9"/>
              <w:ind w:left="0"/>
              <w:rPr>
                <w:sz w:val="14"/>
              </w:rPr>
            </w:pPr>
          </w:p>
          <w:p>
            <w:pPr>
              <w:pStyle w:val="TableParagraph"/>
              <w:spacing w:before="1"/>
              <w:ind w:left="342"/>
              <w:rPr>
                <w:sz w:val="21"/>
              </w:rPr>
            </w:pPr>
            <w:r>
              <w:rPr>
                <w:sz w:val="21"/>
              </w:rPr>
              <w:t>1.轻型重疾保险金</w:t>
            </w:r>
          </w:p>
          <w:p>
            <w:pPr>
              <w:pStyle w:val="TableParagraph"/>
              <w:spacing w:before="10"/>
              <w:ind w:left="0"/>
              <w:rPr>
                <w:sz w:val="14"/>
              </w:rPr>
            </w:pPr>
          </w:p>
          <w:p>
            <w:pPr>
              <w:pStyle w:val="TableParagraph"/>
              <w:spacing w:line="273" w:lineRule="auto"/>
              <w:ind w:left="342" w:right="198"/>
              <w:rPr>
                <w:sz w:val="21"/>
              </w:rPr>
            </w:pPr>
            <w:r>
              <w:rPr>
                <w:spacing w:val="-7"/>
                <w:sz w:val="21"/>
              </w:rPr>
              <w:t>若被保险人于本附加合同生效之日或最后复效之日</w:t>
            </w:r>
            <w:r>
              <w:rPr>
                <w:spacing w:val="-3"/>
                <w:sz w:val="21"/>
              </w:rPr>
              <w:t>（以较迟者为准</w:t>
            </w:r>
            <w:r>
              <w:rPr>
                <w:spacing w:val="-68"/>
                <w:sz w:val="21"/>
              </w:rPr>
              <w:t>）</w:t>
            </w:r>
            <w:r>
              <w:rPr>
                <w:spacing w:val="-18"/>
                <w:sz w:val="21"/>
              </w:rPr>
              <w:t>起 </w:t>
            </w:r>
            <w:r>
              <w:rPr>
                <w:sz w:val="21"/>
              </w:rPr>
              <w:t>90</w:t>
            </w:r>
            <w:r>
              <w:rPr>
                <w:spacing w:val="-11"/>
                <w:sz w:val="21"/>
              </w:rPr>
              <w:t> 天后， </w:t>
            </w:r>
            <w:r>
              <w:rPr>
                <w:spacing w:val="-6"/>
                <w:sz w:val="21"/>
              </w:rPr>
              <w:t>在本公司认可的</w:t>
            </w:r>
            <w:r>
              <w:rPr>
                <w:b/>
                <w:spacing w:val="-5"/>
                <w:sz w:val="21"/>
              </w:rPr>
              <w:t>医院</w:t>
            </w:r>
            <w:r>
              <w:rPr>
                <w:spacing w:val="-3"/>
                <w:sz w:val="21"/>
              </w:rPr>
              <w:t>（</w:t>
            </w:r>
            <w:r>
              <w:rPr>
                <w:spacing w:val="-24"/>
                <w:sz w:val="21"/>
              </w:rPr>
              <w:t>见 </w:t>
            </w:r>
            <w:r>
              <w:rPr>
                <w:spacing w:val="-3"/>
                <w:sz w:val="21"/>
              </w:rPr>
              <w:t>7.5）</w:t>
            </w:r>
            <w:r>
              <w:rPr>
                <w:sz w:val="21"/>
              </w:rPr>
              <w:t>由</w:t>
            </w:r>
            <w:r>
              <w:rPr>
                <w:b/>
                <w:spacing w:val="-3"/>
                <w:sz w:val="21"/>
              </w:rPr>
              <w:t>专科医生</w:t>
            </w:r>
            <w:r>
              <w:rPr>
                <w:spacing w:val="-3"/>
                <w:sz w:val="21"/>
              </w:rPr>
              <w:t>（</w:t>
            </w:r>
            <w:r>
              <w:rPr>
                <w:spacing w:val="-23"/>
                <w:sz w:val="21"/>
              </w:rPr>
              <w:t>见 </w:t>
            </w:r>
            <w:r>
              <w:rPr>
                <w:spacing w:val="-4"/>
                <w:sz w:val="21"/>
              </w:rPr>
              <w:t>7.6）</w:t>
            </w:r>
            <w:r>
              <w:rPr>
                <w:spacing w:val="-3"/>
                <w:sz w:val="21"/>
              </w:rPr>
              <w:t>首次确诊患本附加合同所</w:t>
            </w:r>
            <w:r>
              <w:rPr>
                <w:spacing w:val="-3"/>
                <w:w w:val="100"/>
                <w:sz w:val="21"/>
              </w:rPr>
              <w:t>列的任何一种</w:t>
            </w:r>
            <w:r>
              <w:rPr>
                <w:b/>
                <w:w w:val="100"/>
                <w:sz w:val="21"/>
              </w:rPr>
              <w:t>轻型重疾</w:t>
            </w:r>
            <w:r>
              <w:rPr>
                <w:spacing w:val="-2"/>
                <w:w w:val="100"/>
                <w:sz w:val="21"/>
              </w:rPr>
              <w:t>(见</w:t>
            </w:r>
            <w:r>
              <w:rPr>
                <w:spacing w:val="-53"/>
                <w:sz w:val="21"/>
              </w:rPr>
              <w:t> </w:t>
            </w:r>
            <w:r>
              <w:rPr>
                <w:w w:val="100"/>
                <w:sz w:val="21"/>
              </w:rPr>
              <w:t>7.</w:t>
            </w:r>
            <w:r>
              <w:rPr>
                <w:spacing w:val="-3"/>
                <w:w w:val="100"/>
                <w:sz w:val="21"/>
              </w:rPr>
              <w:t>7</w:t>
            </w:r>
            <w:r>
              <w:rPr>
                <w:spacing w:val="-11"/>
                <w:w w:val="100"/>
                <w:sz w:val="21"/>
              </w:rPr>
              <w:t>)，并符合本附加合同约定的给付轻型重疾保险金</w:t>
            </w:r>
            <w:r>
              <w:rPr>
                <w:spacing w:val="-13"/>
                <w:sz w:val="21"/>
              </w:rPr>
              <w:t>条件的，我们将按基本保险金额的 </w:t>
            </w:r>
            <w:r>
              <w:rPr>
                <w:sz w:val="21"/>
              </w:rPr>
              <w:t>20</w:t>
            </w:r>
            <w:r>
              <w:rPr>
                <w:spacing w:val="-7"/>
                <w:sz w:val="21"/>
              </w:rPr>
              <w:t>%给付轻型重疾保险金，同时本附加合同及</w:t>
            </w:r>
            <w:r>
              <w:rPr>
                <w:spacing w:val="-3"/>
                <w:sz w:val="21"/>
              </w:rPr>
              <w:t>主合同继续有效，本附加合同及主合同基本保险金额不变。</w:t>
            </w:r>
          </w:p>
          <w:p>
            <w:pPr>
              <w:pStyle w:val="TableParagraph"/>
              <w:spacing w:line="273" w:lineRule="auto" w:before="163"/>
              <w:ind w:left="342" w:right="305"/>
              <w:rPr>
                <w:b/>
                <w:sz w:val="21"/>
              </w:rPr>
            </w:pPr>
            <w:r>
              <w:rPr>
                <w:b/>
                <w:sz w:val="21"/>
              </w:rPr>
              <w:t>每种轻型重疾我们只给付一次轻型重疾保险金，给付后该种轻型重疾的保险责任终止，本附加合同的轻型重疾保险金累计给付以两次为限。</w:t>
            </w:r>
          </w:p>
          <w:p>
            <w:pPr>
              <w:pStyle w:val="TableParagraph"/>
              <w:spacing w:before="163"/>
              <w:ind w:left="342"/>
              <w:rPr>
                <w:sz w:val="21"/>
              </w:rPr>
            </w:pPr>
            <w:r>
              <w:rPr>
                <w:sz w:val="21"/>
              </w:rPr>
              <w:t>2. 轻型重疾豁免保险费</w:t>
            </w:r>
          </w:p>
          <w:p>
            <w:pPr>
              <w:pStyle w:val="TableParagraph"/>
              <w:spacing w:before="9"/>
              <w:ind w:left="0"/>
              <w:rPr>
                <w:sz w:val="14"/>
              </w:rPr>
            </w:pPr>
          </w:p>
          <w:p>
            <w:pPr>
              <w:pStyle w:val="TableParagraph"/>
              <w:spacing w:line="273" w:lineRule="auto"/>
              <w:ind w:left="342" w:right="307"/>
              <w:jc w:val="both"/>
              <w:rPr>
                <w:sz w:val="21"/>
              </w:rPr>
            </w:pPr>
            <w:r>
              <w:rPr>
                <w:sz w:val="21"/>
              </w:rPr>
              <w:t>我们在向被保险人给付第一次轻型重疾保险金后，将豁免本附加合同及主合同自轻型重疾确诊之日以后的余下各期保险费，同时本附加合同及主合同继续有效。</w:t>
            </w:r>
          </w:p>
          <w:p>
            <w:pPr>
              <w:pStyle w:val="TableParagraph"/>
              <w:spacing w:before="163"/>
              <w:ind w:left="342"/>
              <w:rPr>
                <w:sz w:val="21"/>
              </w:rPr>
            </w:pPr>
            <w:r>
              <w:rPr>
                <w:sz w:val="21"/>
              </w:rPr>
              <w:t>3.第一次重大疾病保险金</w:t>
            </w:r>
          </w:p>
          <w:p>
            <w:pPr>
              <w:pStyle w:val="TableParagraph"/>
              <w:spacing w:before="9"/>
              <w:ind w:left="0"/>
              <w:rPr>
                <w:sz w:val="14"/>
              </w:rPr>
            </w:pPr>
          </w:p>
          <w:p>
            <w:pPr>
              <w:pStyle w:val="TableParagraph"/>
              <w:ind w:left="342"/>
              <w:rPr>
                <w:sz w:val="21"/>
              </w:rPr>
            </w:pPr>
            <w:r>
              <w:rPr>
                <w:spacing w:val="-8"/>
                <w:sz w:val="21"/>
              </w:rPr>
              <w:t>若被保险人于本附加合同生效之日或最后复效之日</w:t>
            </w:r>
            <w:r>
              <w:rPr>
                <w:spacing w:val="-3"/>
                <w:sz w:val="21"/>
              </w:rPr>
              <w:t>（</w:t>
            </w:r>
            <w:r>
              <w:rPr>
                <w:spacing w:val="-2"/>
                <w:sz w:val="21"/>
              </w:rPr>
              <w:t>以较迟者为准</w:t>
            </w:r>
            <w:r>
              <w:rPr>
                <w:spacing w:val="-108"/>
                <w:sz w:val="21"/>
              </w:rPr>
              <w:t>）</w:t>
            </w:r>
            <w:r>
              <w:rPr>
                <w:spacing w:val="-24"/>
                <w:sz w:val="21"/>
              </w:rPr>
              <w:t>起 </w:t>
            </w:r>
            <w:r>
              <w:rPr>
                <w:rFonts w:ascii="Times New Roman" w:eastAsia="Times New Roman"/>
                <w:sz w:val="21"/>
              </w:rPr>
              <w:t>90 </w:t>
            </w:r>
            <w:r>
              <w:rPr>
                <w:spacing w:val="-108"/>
                <w:sz w:val="21"/>
              </w:rPr>
              <w:t>天</w:t>
            </w:r>
            <w:r>
              <w:rPr>
                <w:sz w:val="21"/>
              </w:rPr>
              <w:t>（</w:t>
            </w:r>
            <w:r>
              <w:rPr>
                <w:spacing w:val="-3"/>
                <w:sz w:val="21"/>
              </w:rPr>
              <w:t>含</w:t>
            </w:r>
            <w:r>
              <w:rPr>
                <w:sz w:val="21"/>
              </w:rPr>
              <w:t>）</w:t>
            </w:r>
          </w:p>
          <w:p>
            <w:pPr>
              <w:pStyle w:val="TableParagraph"/>
              <w:spacing w:before="20"/>
              <w:ind w:left="342"/>
              <w:rPr>
                <w:b/>
                <w:sz w:val="21"/>
              </w:rPr>
            </w:pPr>
            <w:r>
              <w:rPr>
                <w:sz w:val="21"/>
              </w:rPr>
              <w:t>（</w:t>
            </w:r>
            <w:r>
              <w:rPr>
                <w:b/>
                <w:sz w:val="21"/>
              </w:rPr>
              <w:t>此 90 天称为等待期</w:t>
            </w:r>
            <w:r>
              <w:rPr>
                <w:sz w:val="21"/>
              </w:rPr>
              <w:t>）内因</w:t>
            </w:r>
            <w:r>
              <w:rPr>
                <w:b/>
                <w:sz w:val="21"/>
              </w:rPr>
              <w:t>意外伤害事故</w:t>
            </w:r>
            <w:r>
              <w:rPr>
                <w:sz w:val="21"/>
              </w:rPr>
              <w:t>（见 7.8）之外的原因发生</w:t>
            </w:r>
            <w:r>
              <w:rPr>
                <w:b/>
                <w:sz w:val="21"/>
              </w:rPr>
              <w:t>重大疾病</w:t>
            </w:r>
          </w:p>
          <w:p>
            <w:pPr>
              <w:pStyle w:val="TableParagraph"/>
              <w:spacing w:line="273" w:lineRule="auto" w:before="36"/>
              <w:ind w:left="342" w:right="326"/>
              <w:rPr>
                <w:sz w:val="21"/>
              </w:rPr>
            </w:pPr>
            <w:r>
              <w:rPr>
                <w:w w:val="100"/>
                <w:sz w:val="21"/>
              </w:rPr>
              <w:t>（见</w:t>
            </w:r>
            <w:r>
              <w:rPr>
                <w:spacing w:val="-52"/>
                <w:sz w:val="21"/>
              </w:rPr>
              <w:t> </w:t>
            </w:r>
            <w:r>
              <w:rPr>
                <w:spacing w:val="-3"/>
                <w:w w:val="100"/>
                <w:sz w:val="21"/>
              </w:rPr>
              <w:t>7</w:t>
            </w:r>
            <w:r>
              <w:rPr>
                <w:w w:val="100"/>
                <w:sz w:val="21"/>
              </w:rPr>
              <w:t>.9</w:t>
            </w:r>
            <w:r>
              <w:rPr>
                <w:spacing w:val="-108"/>
                <w:w w:val="100"/>
                <w:sz w:val="21"/>
              </w:rPr>
              <w:t>）</w:t>
            </w:r>
            <w:r>
              <w:rPr>
                <w:spacing w:val="-3"/>
                <w:w w:val="100"/>
                <w:sz w:val="21"/>
              </w:rPr>
              <w:t>，本附加合同及主合同效力终止，我们将退还本附加合同及主合同累</w:t>
            </w:r>
            <w:r>
              <w:rPr>
                <w:spacing w:val="-3"/>
                <w:sz w:val="21"/>
              </w:rPr>
              <w:t>计所交保险费（</w:t>
            </w:r>
            <w:r>
              <w:rPr>
                <w:spacing w:val="-2"/>
                <w:sz w:val="21"/>
              </w:rPr>
              <w:t>不计息</w:t>
            </w:r>
            <w:r>
              <w:rPr>
                <w:spacing w:val="-108"/>
                <w:sz w:val="21"/>
              </w:rPr>
              <w:t>）</w:t>
            </w:r>
            <w:r>
              <w:rPr>
                <w:sz w:val="21"/>
              </w:rPr>
              <w:t>。</w:t>
            </w:r>
          </w:p>
          <w:p>
            <w:pPr>
              <w:pStyle w:val="TableParagraph"/>
              <w:spacing w:line="273" w:lineRule="auto" w:before="163"/>
              <w:ind w:left="342" w:right="304"/>
              <w:jc w:val="both"/>
              <w:rPr>
                <w:sz w:val="21"/>
              </w:rPr>
            </w:pPr>
            <w:r>
              <w:rPr>
                <w:sz w:val="21"/>
              </w:rPr>
              <w:t>若被保险人因意外伤害事故或于本附加合同生效之日或最后复效之日（以较迟</w:t>
            </w:r>
            <w:r>
              <w:rPr>
                <w:spacing w:val="-1"/>
                <w:sz w:val="21"/>
              </w:rPr>
              <w:t>者为准</w:t>
            </w:r>
            <w:r>
              <w:rPr>
                <w:spacing w:val="-10"/>
                <w:sz w:val="21"/>
              </w:rPr>
              <w:t>）</w:t>
            </w:r>
            <w:r>
              <w:rPr>
                <w:spacing w:val="-18"/>
                <w:sz w:val="21"/>
              </w:rPr>
              <w:t>起 </w:t>
            </w:r>
            <w:r>
              <w:rPr>
                <w:sz w:val="21"/>
              </w:rPr>
              <w:t>90</w:t>
            </w:r>
            <w:r>
              <w:rPr>
                <w:spacing w:val="-24"/>
                <w:sz w:val="21"/>
              </w:rPr>
              <w:t> 天</w:t>
            </w:r>
            <w:r>
              <w:rPr>
                <w:spacing w:val="-3"/>
                <w:sz w:val="21"/>
              </w:rPr>
              <w:t>（等待期</w:t>
            </w:r>
            <w:r>
              <w:rPr>
                <w:spacing w:val="-8"/>
                <w:sz w:val="21"/>
              </w:rPr>
              <w:t>）</w:t>
            </w:r>
            <w:r>
              <w:rPr>
                <w:spacing w:val="-3"/>
                <w:sz w:val="21"/>
              </w:rPr>
              <w:t>后，首次发生并在本公司认可的医院由专科医生确诊患本附加合同所列的任何一种重大疾病，并符合本附加合同约定的给付重大疾病保险金条件的，我们将按基本保险金额给付第一次重大疾病保险金，同时本附加合同及主合同继续有效，本附加合同及主合同现金价值减少为零。</w:t>
            </w:r>
          </w:p>
          <w:p>
            <w:pPr>
              <w:pStyle w:val="TableParagraph"/>
              <w:spacing w:line="273" w:lineRule="auto" w:before="163"/>
              <w:ind w:left="342" w:right="306"/>
              <w:rPr>
                <w:b/>
                <w:sz w:val="21"/>
              </w:rPr>
            </w:pPr>
            <w:r>
              <w:rPr>
                <w:b/>
                <w:sz w:val="21"/>
              </w:rPr>
              <w:t>被保险人领取第一次重大疾病保险金后，我们将不再承担本附加合同中的轻型重疾保险金责任。</w:t>
            </w:r>
          </w:p>
          <w:p>
            <w:pPr>
              <w:pStyle w:val="TableParagraph"/>
              <w:spacing w:before="163"/>
              <w:ind w:left="342"/>
              <w:rPr>
                <w:sz w:val="21"/>
              </w:rPr>
            </w:pPr>
            <w:r>
              <w:rPr>
                <w:sz w:val="21"/>
              </w:rPr>
              <w:t>4.重大疾病豁免保险费</w:t>
            </w:r>
          </w:p>
          <w:p>
            <w:pPr>
              <w:pStyle w:val="TableParagraph"/>
              <w:spacing w:before="9"/>
              <w:ind w:left="0"/>
              <w:rPr>
                <w:sz w:val="14"/>
              </w:rPr>
            </w:pPr>
          </w:p>
          <w:p>
            <w:pPr>
              <w:pStyle w:val="TableParagraph"/>
              <w:spacing w:line="273" w:lineRule="auto" w:before="1"/>
              <w:ind w:left="342" w:right="306"/>
              <w:jc w:val="both"/>
              <w:rPr>
                <w:sz w:val="21"/>
              </w:rPr>
            </w:pPr>
            <w:r>
              <w:rPr>
                <w:sz w:val="21"/>
              </w:rPr>
              <w:t>我们在向被保险人给付第一次重大疾病保险金后，将豁免本附加合同及主合同自重大疾病确诊之日以后的余下各期保险费，同时本附加合同及主合同继续有效。</w:t>
            </w:r>
          </w:p>
          <w:p>
            <w:pPr>
              <w:pStyle w:val="TableParagraph"/>
              <w:spacing w:before="164"/>
              <w:ind w:left="342"/>
              <w:rPr>
                <w:sz w:val="21"/>
              </w:rPr>
            </w:pPr>
            <w:r>
              <w:rPr>
                <w:sz w:val="21"/>
              </w:rPr>
              <w:t>5.第二次重大疾病保险金</w:t>
            </w:r>
          </w:p>
          <w:p>
            <w:pPr>
              <w:pStyle w:val="TableParagraph"/>
              <w:spacing w:before="10"/>
              <w:ind w:left="0"/>
              <w:rPr>
                <w:sz w:val="14"/>
              </w:rPr>
            </w:pPr>
          </w:p>
          <w:p>
            <w:pPr>
              <w:pStyle w:val="TableParagraph"/>
              <w:ind w:left="342"/>
              <w:rPr>
                <w:sz w:val="21"/>
              </w:rPr>
            </w:pPr>
            <w:r>
              <w:rPr>
                <w:sz w:val="21"/>
              </w:rPr>
              <w:t>若被保险人已领取第一次重大疾病保险金并且自第一次重大疾病确诊之日起</w:t>
            </w:r>
          </w:p>
          <w:p>
            <w:pPr>
              <w:pStyle w:val="TableParagraph"/>
              <w:spacing w:line="273" w:lineRule="auto" w:before="37"/>
              <w:ind w:left="342" w:right="304"/>
              <w:jc w:val="both"/>
              <w:rPr>
                <w:sz w:val="21"/>
              </w:rPr>
            </w:pPr>
            <w:r>
              <w:rPr>
                <w:sz w:val="21"/>
              </w:rPr>
              <w:t>180</w:t>
            </w:r>
            <w:r>
              <w:rPr>
                <w:spacing w:val="-26"/>
                <w:sz w:val="21"/>
              </w:rPr>
              <w:t> 天</w:t>
            </w:r>
            <w:r>
              <w:rPr>
                <w:spacing w:val="-3"/>
                <w:sz w:val="21"/>
              </w:rPr>
              <w:t>（含</w:t>
            </w:r>
            <w:r>
              <w:rPr>
                <w:spacing w:val="-27"/>
                <w:sz w:val="21"/>
              </w:rPr>
              <w:t>）</w:t>
            </w:r>
            <w:r>
              <w:rPr>
                <w:spacing w:val="-7"/>
                <w:sz w:val="21"/>
              </w:rPr>
              <w:t>后，在本公司认可的医院由专科医生首次确诊患本附加合同所列的第一次重大疾病所属组别以外的另一组别中任何一种重大疾病，并符合本附加合同约定的给付重大疾病保险金条件的，我们将按基本保险金额给付第二次重</w:t>
            </w:r>
            <w:r>
              <w:rPr>
                <w:spacing w:val="-5"/>
                <w:sz w:val="21"/>
              </w:rPr>
              <w:t>大疾病保险金，同时本附加合同及主合同效力终止。</w:t>
            </w:r>
          </w:p>
        </w:tc>
      </w:tr>
      <w:tr>
        <w:trPr>
          <w:trHeight w:val="807" w:hRule="atLeast"/>
        </w:trPr>
        <w:tc>
          <w:tcPr>
            <w:tcW w:w="756" w:type="dxa"/>
          </w:tcPr>
          <w:p>
            <w:pPr>
              <w:pStyle w:val="TableParagraph"/>
              <w:spacing w:before="11"/>
              <w:ind w:left="0"/>
              <w:rPr>
                <w:sz w:val="16"/>
              </w:rPr>
            </w:pPr>
          </w:p>
          <w:p>
            <w:pPr>
              <w:pStyle w:val="TableParagraph"/>
              <w:ind w:left="200"/>
              <w:rPr>
                <w:b/>
                <w:sz w:val="21"/>
              </w:rPr>
            </w:pPr>
            <w:r>
              <w:rPr>
                <w:b/>
                <w:sz w:val="21"/>
              </w:rPr>
              <w:t>2.4</w:t>
            </w:r>
          </w:p>
        </w:tc>
        <w:tc>
          <w:tcPr>
            <w:tcW w:w="1425" w:type="dxa"/>
          </w:tcPr>
          <w:p>
            <w:pPr>
              <w:pStyle w:val="TableParagraph"/>
              <w:spacing w:before="11"/>
              <w:ind w:left="0"/>
              <w:rPr>
                <w:sz w:val="16"/>
              </w:rPr>
            </w:pPr>
          </w:p>
          <w:p>
            <w:pPr>
              <w:pStyle w:val="TableParagraph"/>
              <w:ind w:left="238"/>
              <w:rPr>
                <w:b/>
                <w:sz w:val="21"/>
              </w:rPr>
            </w:pPr>
            <w:r>
              <w:rPr>
                <w:b/>
                <w:sz w:val="21"/>
              </w:rPr>
              <w:t>责任免除</w:t>
            </w:r>
          </w:p>
        </w:tc>
        <w:tc>
          <w:tcPr>
            <w:tcW w:w="7868" w:type="dxa"/>
          </w:tcPr>
          <w:p>
            <w:pPr>
              <w:pStyle w:val="TableParagraph"/>
              <w:spacing w:before="2"/>
              <w:ind w:left="0"/>
              <w:rPr>
                <w:sz w:val="14"/>
              </w:rPr>
            </w:pPr>
          </w:p>
          <w:p>
            <w:pPr>
              <w:pStyle w:val="TableParagraph"/>
              <w:spacing w:line="310" w:lineRule="atLeast"/>
              <w:ind w:left="342" w:right="355"/>
              <w:rPr>
                <w:b/>
                <w:sz w:val="21"/>
              </w:rPr>
            </w:pPr>
            <w:r>
              <w:rPr>
                <w:b/>
                <w:sz w:val="21"/>
              </w:rPr>
              <w:t>因下列情形之一，导致被保险人发生疾病、达到疾病状态或者进行手术的，我们不承担给付轻型重疾或重大疾病保险责任：</w:t>
            </w:r>
          </w:p>
        </w:tc>
      </w:tr>
    </w:tbl>
    <w:p>
      <w:pPr>
        <w:spacing w:after="0" w:line="310" w:lineRule="atLeast"/>
        <w:rPr>
          <w:sz w:val="21"/>
        </w:rPr>
        <w:sectPr>
          <w:pgSz w:w="11910" w:h="16840"/>
          <w:pgMar w:header="0" w:footer="925" w:top="1160" w:bottom="1120" w:left="820" w:right="8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531"/>
        <w:gridCol w:w="7560"/>
      </w:tblGrid>
      <w:tr>
        <w:trPr>
          <w:trHeight w:val="5860" w:hRule="atLeast"/>
        </w:trPr>
        <w:tc>
          <w:tcPr>
            <w:tcW w:w="664" w:type="dxa"/>
          </w:tcPr>
          <w:p>
            <w:pPr>
              <w:pStyle w:val="TableParagraph"/>
              <w:ind w:left="0"/>
              <w:rPr>
                <w:rFonts w:ascii="Times New Roman"/>
                <w:sz w:val="20"/>
              </w:rPr>
            </w:pPr>
          </w:p>
        </w:tc>
        <w:tc>
          <w:tcPr>
            <w:tcW w:w="1531" w:type="dxa"/>
          </w:tcPr>
          <w:p>
            <w:pPr>
              <w:pStyle w:val="TableParagraph"/>
              <w:ind w:left="0"/>
              <w:rPr>
                <w:rFonts w:ascii="Times New Roman"/>
                <w:sz w:val="20"/>
              </w:rPr>
            </w:pPr>
          </w:p>
        </w:tc>
        <w:tc>
          <w:tcPr>
            <w:tcW w:w="7560" w:type="dxa"/>
          </w:tcPr>
          <w:p>
            <w:pPr>
              <w:pStyle w:val="TableParagraph"/>
              <w:spacing w:line="211" w:lineRule="exact"/>
              <w:ind w:left="236"/>
              <w:rPr>
                <w:b/>
                <w:sz w:val="21"/>
              </w:rPr>
            </w:pPr>
            <w:r>
              <w:rPr>
                <w:b/>
                <w:sz w:val="21"/>
              </w:rPr>
              <w:t>1.投保人对被保险人的故意杀害、故意伤害；</w:t>
            </w:r>
          </w:p>
          <w:p>
            <w:pPr>
              <w:pStyle w:val="TableParagraph"/>
              <w:spacing w:before="9"/>
              <w:ind w:left="0"/>
              <w:rPr>
                <w:sz w:val="14"/>
              </w:rPr>
            </w:pPr>
          </w:p>
          <w:p>
            <w:pPr>
              <w:pStyle w:val="TableParagraph"/>
              <w:spacing w:before="1"/>
              <w:ind w:left="236"/>
              <w:rPr>
                <w:b/>
                <w:sz w:val="21"/>
              </w:rPr>
            </w:pPr>
            <w:r>
              <w:rPr>
                <w:b/>
                <w:sz w:val="21"/>
              </w:rPr>
              <w:t>2.被保险人故意犯罪或者抗拒依法采取的刑事强制措施；</w:t>
            </w:r>
          </w:p>
          <w:p>
            <w:pPr>
              <w:pStyle w:val="TableParagraph"/>
              <w:spacing w:before="10"/>
              <w:ind w:left="0"/>
              <w:rPr>
                <w:sz w:val="14"/>
              </w:rPr>
            </w:pPr>
          </w:p>
          <w:p>
            <w:pPr>
              <w:pStyle w:val="TableParagraph"/>
              <w:spacing w:line="273" w:lineRule="auto"/>
              <w:ind w:left="236" w:right="152"/>
              <w:rPr>
                <w:b/>
                <w:sz w:val="21"/>
              </w:rPr>
            </w:pPr>
            <w:r>
              <w:rPr>
                <w:b/>
                <w:sz w:val="21"/>
              </w:rPr>
              <w:t>3.</w:t>
            </w:r>
            <w:r>
              <w:rPr>
                <w:b/>
                <w:spacing w:val="-5"/>
                <w:sz w:val="21"/>
              </w:rPr>
              <w:t>被保险人自本附加合同成立或者合同效力恢复之日起 </w:t>
            </w:r>
            <w:r>
              <w:rPr>
                <w:b/>
                <w:sz w:val="21"/>
              </w:rPr>
              <w:t>2</w:t>
            </w:r>
            <w:r>
              <w:rPr>
                <w:b/>
                <w:spacing w:val="-7"/>
                <w:sz w:val="21"/>
              </w:rPr>
              <w:t> 年内自杀或自伤，但</w:t>
            </w:r>
            <w:r>
              <w:rPr>
                <w:b/>
                <w:spacing w:val="-3"/>
                <w:sz w:val="21"/>
              </w:rPr>
              <w:t>被保险人自杀或自伤时为无民事行为能力人的除外；</w:t>
            </w:r>
          </w:p>
          <w:p>
            <w:pPr>
              <w:pStyle w:val="TableParagraph"/>
              <w:spacing w:before="163"/>
              <w:ind w:left="236"/>
              <w:rPr>
                <w:b/>
                <w:sz w:val="21"/>
              </w:rPr>
            </w:pPr>
            <w:r>
              <w:rPr>
                <w:b/>
                <w:w w:val="99"/>
                <w:sz w:val="21"/>
              </w:rPr>
              <w:t>4.</w:t>
            </w:r>
            <w:r>
              <w:rPr>
                <w:b/>
                <w:spacing w:val="-1"/>
                <w:w w:val="100"/>
                <w:sz w:val="21"/>
              </w:rPr>
              <w:t>被保险人主动吸食或注射毒品</w:t>
            </w:r>
            <w:r>
              <w:rPr>
                <w:b/>
                <w:w w:val="100"/>
                <w:sz w:val="21"/>
              </w:rPr>
              <w:t>（见</w:t>
            </w:r>
            <w:r>
              <w:rPr>
                <w:b/>
                <w:spacing w:val="-54"/>
                <w:sz w:val="21"/>
              </w:rPr>
              <w:t> </w:t>
            </w:r>
            <w:r>
              <w:rPr>
                <w:b/>
                <w:w w:val="99"/>
                <w:sz w:val="21"/>
              </w:rPr>
              <w:t>7.10</w:t>
            </w:r>
            <w:r>
              <w:rPr>
                <w:b/>
                <w:spacing w:val="-106"/>
                <w:w w:val="100"/>
                <w:sz w:val="21"/>
              </w:rPr>
              <w:t>）</w:t>
            </w:r>
            <w:r>
              <w:rPr>
                <w:b/>
                <w:w w:val="100"/>
                <w:sz w:val="21"/>
              </w:rPr>
              <w:t>；</w:t>
            </w:r>
          </w:p>
          <w:p>
            <w:pPr>
              <w:pStyle w:val="TableParagraph"/>
              <w:spacing w:before="9"/>
              <w:ind w:left="0"/>
              <w:rPr>
                <w:sz w:val="14"/>
              </w:rPr>
            </w:pPr>
          </w:p>
          <w:p>
            <w:pPr>
              <w:pStyle w:val="TableParagraph"/>
              <w:spacing w:line="273" w:lineRule="auto"/>
              <w:ind w:left="236" w:right="103"/>
              <w:rPr>
                <w:b/>
                <w:sz w:val="21"/>
              </w:rPr>
            </w:pPr>
            <w:r>
              <w:rPr>
                <w:b/>
                <w:w w:val="99"/>
                <w:sz w:val="21"/>
              </w:rPr>
              <w:t>5.</w:t>
            </w:r>
            <w:r>
              <w:rPr>
                <w:b/>
                <w:spacing w:val="-3"/>
                <w:w w:val="100"/>
                <w:sz w:val="21"/>
              </w:rPr>
              <w:t>被保险人酒后驾驶</w:t>
            </w:r>
            <w:r>
              <w:rPr>
                <w:b/>
                <w:w w:val="100"/>
                <w:sz w:val="21"/>
              </w:rPr>
              <w:t>（见</w:t>
            </w:r>
            <w:r>
              <w:rPr>
                <w:b/>
                <w:spacing w:val="-56"/>
                <w:sz w:val="21"/>
              </w:rPr>
              <w:t> </w:t>
            </w:r>
            <w:r>
              <w:rPr>
                <w:b/>
                <w:w w:val="99"/>
                <w:sz w:val="21"/>
              </w:rPr>
              <w:t>7.11</w:t>
            </w:r>
            <w:r>
              <w:rPr>
                <w:b/>
                <w:spacing w:val="-104"/>
                <w:w w:val="100"/>
                <w:sz w:val="21"/>
              </w:rPr>
              <w:t>）</w:t>
            </w:r>
            <w:r>
              <w:rPr>
                <w:b/>
                <w:spacing w:val="-6"/>
                <w:w w:val="100"/>
                <w:sz w:val="21"/>
              </w:rPr>
              <w:t>，无合法有效驾驶证驾驶</w:t>
            </w:r>
            <w:r>
              <w:rPr>
                <w:b/>
                <w:w w:val="100"/>
                <w:sz w:val="21"/>
              </w:rPr>
              <w:t>（见</w:t>
            </w:r>
            <w:r>
              <w:rPr>
                <w:b/>
                <w:spacing w:val="-53"/>
                <w:sz w:val="21"/>
              </w:rPr>
              <w:t> </w:t>
            </w:r>
            <w:r>
              <w:rPr>
                <w:b/>
                <w:w w:val="99"/>
                <w:sz w:val="21"/>
              </w:rPr>
              <w:t>7.12</w:t>
            </w:r>
            <w:r>
              <w:rPr>
                <w:b/>
                <w:spacing w:val="-104"/>
                <w:w w:val="100"/>
                <w:sz w:val="21"/>
              </w:rPr>
              <w:t>）</w:t>
            </w:r>
            <w:r>
              <w:rPr>
                <w:b/>
                <w:spacing w:val="-4"/>
                <w:w w:val="100"/>
                <w:sz w:val="21"/>
              </w:rPr>
              <w:t>，或驾驶无有效行驶证（见</w:t>
            </w:r>
            <w:r>
              <w:rPr>
                <w:b/>
                <w:spacing w:val="-54"/>
                <w:sz w:val="21"/>
              </w:rPr>
              <w:t> </w:t>
            </w:r>
            <w:r>
              <w:rPr>
                <w:b/>
                <w:w w:val="99"/>
                <w:sz w:val="21"/>
              </w:rPr>
              <w:t>7.13</w:t>
            </w:r>
            <w:r>
              <w:rPr>
                <w:b/>
                <w:w w:val="100"/>
                <w:sz w:val="21"/>
              </w:rPr>
              <w:t>）</w:t>
            </w:r>
            <w:r>
              <w:rPr>
                <w:b/>
                <w:spacing w:val="-2"/>
                <w:w w:val="100"/>
                <w:sz w:val="21"/>
              </w:rPr>
              <w:t>的机动车</w:t>
            </w:r>
            <w:r>
              <w:rPr>
                <w:b/>
                <w:w w:val="100"/>
                <w:sz w:val="21"/>
              </w:rPr>
              <w:t>（见</w:t>
            </w:r>
            <w:r>
              <w:rPr>
                <w:b/>
                <w:spacing w:val="-54"/>
                <w:sz w:val="21"/>
              </w:rPr>
              <w:t> </w:t>
            </w:r>
            <w:r>
              <w:rPr>
                <w:b/>
                <w:w w:val="99"/>
                <w:sz w:val="21"/>
              </w:rPr>
              <w:t>7.14</w:t>
            </w:r>
            <w:r>
              <w:rPr>
                <w:b/>
                <w:spacing w:val="-106"/>
                <w:w w:val="100"/>
                <w:sz w:val="21"/>
              </w:rPr>
              <w:t>）</w:t>
            </w:r>
            <w:r>
              <w:rPr>
                <w:b/>
                <w:w w:val="100"/>
                <w:sz w:val="21"/>
              </w:rPr>
              <w:t>；</w:t>
            </w:r>
          </w:p>
          <w:p>
            <w:pPr>
              <w:pStyle w:val="TableParagraph"/>
              <w:spacing w:before="163"/>
              <w:ind w:left="236"/>
              <w:rPr>
                <w:b/>
                <w:sz w:val="21"/>
              </w:rPr>
            </w:pPr>
            <w:r>
              <w:rPr>
                <w:b/>
                <w:sz w:val="21"/>
              </w:rPr>
              <w:t>6.战争、军事冲突、暴乱或武装叛乱；</w:t>
            </w:r>
          </w:p>
          <w:p>
            <w:pPr>
              <w:pStyle w:val="TableParagraph"/>
              <w:spacing w:before="9"/>
              <w:ind w:left="0"/>
              <w:rPr>
                <w:sz w:val="14"/>
              </w:rPr>
            </w:pPr>
          </w:p>
          <w:p>
            <w:pPr>
              <w:pStyle w:val="TableParagraph"/>
              <w:ind w:left="236"/>
              <w:rPr>
                <w:b/>
                <w:sz w:val="21"/>
              </w:rPr>
            </w:pPr>
            <w:r>
              <w:rPr>
                <w:b/>
                <w:sz w:val="21"/>
              </w:rPr>
              <w:t>7.核爆炸、核辐射或核污染；</w:t>
            </w:r>
          </w:p>
          <w:p>
            <w:pPr>
              <w:pStyle w:val="TableParagraph"/>
              <w:spacing w:before="9"/>
              <w:ind w:left="0"/>
              <w:rPr>
                <w:sz w:val="14"/>
              </w:rPr>
            </w:pPr>
          </w:p>
          <w:p>
            <w:pPr>
              <w:pStyle w:val="TableParagraph"/>
              <w:ind w:left="236"/>
              <w:rPr>
                <w:b/>
                <w:sz w:val="21"/>
              </w:rPr>
            </w:pPr>
            <w:r>
              <w:rPr>
                <w:b/>
                <w:w w:val="99"/>
                <w:sz w:val="21"/>
              </w:rPr>
              <w:t>8.</w:t>
            </w:r>
            <w:r>
              <w:rPr>
                <w:b/>
                <w:w w:val="100"/>
                <w:sz w:val="21"/>
              </w:rPr>
              <w:t>遗传性疾病（见</w:t>
            </w:r>
            <w:r>
              <w:rPr>
                <w:b/>
                <w:spacing w:val="-54"/>
                <w:sz w:val="21"/>
              </w:rPr>
              <w:t> </w:t>
            </w:r>
            <w:r>
              <w:rPr>
                <w:b/>
                <w:w w:val="99"/>
                <w:sz w:val="21"/>
              </w:rPr>
              <w:t>7.15</w:t>
            </w:r>
            <w:r>
              <w:rPr>
                <w:b/>
                <w:spacing w:val="-108"/>
                <w:w w:val="100"/>
                <w:sz w:val="21"/>
              </w:rPr>
              <w:t>）</w:t>
            </w:r>
            <w:r>
              <w:rPr>
                <w:b/>
                <w:spacing w:val="-2"/>
                <w:w w:val="100"/>
                <w:sz w:val="21"/>
              </w:rPr>
              <w:t>、先天性畸形、变形或染色体异常</w:t>
            </w:r>
            <w:r>
              <w:rPr>
                <w:b/>
                <w:w w:val="100"/>
                <w:sz w:val="21"/>
              </w:rPr>
              <w:t>（见</w:t>
            </w:r>
            <w:r>
              <w:rPr>
                <w:b/>
                <w:spacing w:val="-54"/>
                <w:sz w:val="21"/>
              </w:rPr>
              <w:t> </w:t>
            </w:r>
            <w:r>
              <w:rPr>
                <w:b/>
                <w:w w:val="99"/>
                <w:sz w:val="21"/>
              </w:rPr>
              <w:t>7.16</w:t>
            </w:r>
            <w:r>
              <w:rPr>
                <w:b/>
                <w:spacing w:val="-106"/>
                <w:w w:val="100"/>
                <w:sz w:val="21"/>
              </w:rPr>
              <w:t>）</w:t>
            </w:r>
            <w:r>
              <w:rPr>
                <w:b/>
                <w:w w:val="100"/>
                <w:sz w:val="21"/>
              </w:rPr>
              <w:t>；</w:t>
            </w:r>
          </w:p>
          <w:p>
            <w:pPr>
              <w:pStyle w:val="TableParagraph"/>
              <w:spacing w:before="10"/>
              <w:ind w:left="0"/>
              <w:rPr>
                <w:sz w:val="14"/>
              </w:rPr>
            </w:pPr>
          </w:p>
          <w:p>
            <w:pPr>
              <w:pStyle w:val="TableParagraph"/>
              <w:ind w:left="236"/>
              <w:rPr>
                <w:b/>
                <w:sz w:val="21"/>
              </w:rPr>
            </w:pPr>
            <w:r>
              <w:rPr>
                <w:b/>
                <w:sz w:val="21"/>
              </w:rPr>
              <w:t>9.主合同各项责任免除亦为本附加合同的责任免除。</w:t>
            </w:r>
          </w:p>
          <w:p>
            <w:pPr>
              <w:pStyle w:val="TableParagraph"/>
              <w:spacing w:before="9"/>
              <w:ind w:left="0"/>
              <w:rPr>
                <w:sz w:val="14"/>
              </w:rPr>
            </w:pPr>
          </w:p>
          <w:p>
            <w:pPr>
              <w:pStyle w:val="TableParagraph"/>
              <w:spacing w:line="273" w:lineRule="auto"/>
              <w:ind w:left="236" w:right="151"/>
              <w:jc w:val="both"/>
              <w:rPr>
                <w:b/>
                <w:sz w:val="21"/>
              </w:rPr>
            </w:pPr>
            <w:r>
              <w:rPr>
                <w:b/>
                <w:spacing w:val="-3"/>
                <w:sz w:val="21"/>
              </w:rPr>
              <w:t>发生上述第１项情形导致被保险人发生疾病、达到疾病状态或者进行手术的， </w:t>
            </w:r>
            <w:r>
              <w:rPr>
                <w:b/>
                <w:spacing w:val="-7"/>
                <w:sz w:val="21"/>
              </w:rPr>
              <w:t>本附加合同终止，您已交足 </w:t>
            </w:r>
            <w:r>
              <w:rPr>
                <w:b/>
                <w:sz w:val="21"/>
              </w:rPr>
              <w:t>2</w:t>
            </w:r>
            <w:r>
              <w:rPr>
                <w:b/>
                <w:spacing w:val="-8"/>
                <w:sz w:val="21"/>
              </w:rPr>
              <w:t> 年以上保险费的，我们向被保险人退还保单现金价值，或向被保险人继承人退还被保险人当时的保险单现金价值。</w:t>
            </w:r>
          </w:p>
        </w:tc>
      </w:tr>
      <w:tr>
        <w:trPr>
          <w:trHeight w:val="607" w:hRule="atLeast"/>
        </w:trPr>
        <w:tc>
          <w:tcPr>
            <w:tcW w:w="664" w:type="dxa"/>
            <w:tcBorders>
              <w:bottom w:val="single" w:sz="4" w:space="0" w:color="000000"/>
            </w:tcBorders>
          </w:tcPr>
          <w:p>
            <w:pPr>
              <w:pStyle w:val="TableParagraph"/>
              <w:spacing w:before="114"/>
              <w:rPr>
                <w:b/>
                <w:sz w:val="24"/>
              </w:rPr>
            </w:pPr>
            <w:r>
              <w:rPr>
                <w:b/>
                <w:sz w:val="24"/>
              </w:rPr>
              <w:t>3.</w:t>
            </w:r>
          </w:p>
        </w:tc>
        <w:tc>
          <w:tcPr>
            <w:tcW w:w="9091" w:type="dxa"/>
            <w:gridSpan w:val="2"/>
            <w:tcBorders>
              <w:bottom w:val="single" w:sz="4" w:space="0" w:color="000000"/>
            </w:tcBorders>
          </w:tcPr>
          <w:p>
            <w:pPr>
              <w:pStyle w:val="TableParagraph"/>
              <w:spacing w:before="114"/>
              <w:ind w:left="238"/>
              <w:rPr>
                <w:b/>
                <w:sz w:val="24"/>
              </w:rPr>
            </w:pPr>
            <w:r>
              <w:rPr>
                <w:b/>
                <w:w w:val="95"/>
                <w:sz w:val="24"/>
              </w:rPr>
              <w:t>保险金的申请</w:t>
            </w:r>
          </w:p>
        </w:tc>
      </w:tr>
      <w:tr>
        <w:trPr>
          <w:trHeight w:val="898" w:hRule="atLeast"/>
        </w:trPr>
        <w:tc>
          <w:tcPr>
            <w:tcW w:w="664" w:type="dxa"/>
            <w:tcBorders>
              <w:top w:val="single" w:sz="4" w:space="0" w:color="000000"/>
            </w:tcBorders>
          </w:tcPr>
          <w:p>
            <w:pPr>
              <w:pStyle w:val="TableParagraph"/>
              <w:spacing w:before="114"/>
              <w:rPr>
                <w:b/>
                <w:sz w:val="21"/>
              </w:rPr>
            </w:pPr>
            <w:r>
              <w:rPr>
                <w:b/>
                <w:sz w:val="21"/>
              </w:rPr>
              <w:t>3.1</w:t>
            </w:r>
          </w:p>
        </w:tc>
        <w:tc>
          <w:tcPr>
            <w:tcW w:w="1531" w:type="dxa"/>
            <w:tcBorders>
              <w:top w:val="single" w:sz="4" w:space="0" w:color="000000"/>
            </w:tcBorders>
          </w:tcPr>
          <w:p>
            <w:pPr>
              <w:pStyle w:val="TableParagraph"/>
              <w:spacing w:before="114"/>
              <w:ind w:left="238"/>
              <w:rPr>
                <w:b/>
                <w:sz w:val="21"/>
              </w:rPr>
            </w:pPr>
            <w:r>
              <w:rPr>
                <w:b/>
                <w:sz w:val="21"/>
              </w:rPr>
              <w:t>受益人</w:t>
            </w:r>
          </w:p>
        </w:tc>
        <w:tc>
          <w:tcPr>
            <w:tcW w:w="7560" w:type="dxa"/>
            <w:tcBorders>
              <w:top w:val="single" w:sz="4" w:space="0" w:color="000000"/>
            </w:tcBorders>
          </w:tcPr>
          <w:p>
            <w:pPr>
              <w:pStyle w:val="TableParagraph"/>
              <w:spacing w:line="273" w:lineRule="auto" w:before="114"/>
              <w:ind w:left="236" w:right="103"/>
              <w:rPr>
                <w:sz w:val="21"/>
              </w:rPr>
            </w:pPr>
            <w:r>
              <w:rPr>
                <w:sz w:val="21"/>
              </w:rPr>
              <w:t>除本附加合同另有约定外，本附加合同轻型重疾保险金、第一次重大疾病保险金和第二次重大疾病保险金受益人均为被保险人本人。</w:t>
            </w:r>
          </w:p>
        </w:tc>
      </w:tr>
      <w:tr>
        <w:trPr>
          <w:trHeight w:val="6376" w:hRule="atLeast"/>
        </w:trPr>
        <w:tc>
          <w:tcPr>
            <w:tcW w:w="664" w:type="dxa"/>
          </w:tcPr>
          <w:p>
            <w:pPr>
              <w:pStyle w:val="TableParagraph"/>
              <w:spacing w:before="133"/>
              <w:rPr>
                <w:b/>
                <w:sz w:val="21"/>
              </w:rPr>
            </w:pPr>
            <w:r>
              <w:rPr>
                <w:b/>
                <w:sz w:val="21"/>
              </w:rPr>
              <w:t>3.2</w:t>
            </w:r>
          </w:p>
        </w:tc>
        <w:tc>
          <w:tcPr>
            <w:tcW w:w="1531" w:type="dxa"/>
          </w:tcPr>
          <w:p>
            <w:pPr>
              <w:pStyle w:val="TableParagraph"/>
              <w:spacing w:before="133"/>
              <w:ind w:left="238"/>
              <w:rPr>
                <w:b/>
                <w:sz w:val="21"/>
              </w:rPr>
            </w:pPr>
            <w:r>
              <w:rPr>
                <w:b/>
                <w:sz w:val="21"/>
              </w:rPr>
              <w:t>保险金申请</w:t>
            </w:r>
          </w:p>
        </w:tc>
        <w:tc>
          <w:tcPr>
            <w:tcW w:w="7560" w:type="dxa"/>
          </w:tcPr>
          <w:p>
            <w:pPr>
              <w:pStyle w:val="TableParagraph"/>
              <w:spacing w:line="273" w:lineRule="auto" w:before="133"/>
              <w:ind w:left="236" w:right="174"/>
              <w:rPr>
                <w:sz w:val="21"/>
              </w:rPr>
            </w:pPr>
            <w:r>
              <w:rPr>
                <w:sz w:val="21"/>
              </w:rPr>
              <w:t>在申请轻型重疾保险金、第一次重大疾病保险金或第二次重大疾病保险金时， 受益人须填写保险金给付申请书，并须提供下列证明和资料：</w:t>
            </w:r>
          </w:p>
          <w:p>
            <w:pPr>
              <w:pStyle w:val="TableParagraph"/>
              <w:spacing w:before="164"/>
              <w:ind w:left="236"/>
              <w:rPr>
                <w:sz w:val="21"/>
              </w:rPr>
            </w:pPr>
            <w:r>
              <w:rPr>
                <w:sz w:val="21"/>
              </w:rPr>
              <w:t>（1）保险合同；</w:t>
            </w:r>
          </w:p>
          <w:p>
            <w:pPr>
              <w:pStyle w:val="TableParagraph"/>
              <w:spacing w:before="9"/>
              <w:ind w:left="0"/>
              <w:rPr>
                <w:sz w:val="14"/>
              </w:rPr>
            </w:pPr>
          </w:p>
          <w:p>
            <w:pPr>
              <w:pStyle w:val="TableParagraph"/>
              <w:spacing w:line="273" w:lineRule="auto" w:before="1"/>
              <w:ind w:left="236" w:right="102"/>
              <w:rPr>
                <w:sz w:val="21"/>
              </w:rPr>
            </w:pPr>
            <w:r>
              <w:rPr>
                <w:spacing w:val="-11"/>
                <w:sz w:val="21"/>
              </w:rPr>
              <w:t>（2）</w:t>
            </w:r>
            <w:r>
              <w:rPr>
                <w:spacing w:val="-3"/>
                <w:sz w:val="21"/>
              </w:rPr>
              <w:t>由我们认可的医院的专科医生出具的被保险人的疾病诊断证明及相关医疗文件（包括完整的门诊及住院病历记录、出院小结、影像学、病理检查、实验室检查及其他相关检查报告</w:t>
            </w:r>
            <w:r>
              <w:rPr>
                <w:spacing w:val="-69"/>
                <w:sz w:val="21"/>
              </w:rPr>
              <w:t>）</w:t>
            </w:r>
            <w:r>
              <w:rPr>
                <w:spacing w:val="-10"/>
                <w:sz w:val="21"/>
              </w:rPr>
              <w:t>；其中因双耳失聪而申请保险金的还应提供理赔的</w:t>
            </w:r>
            <w:r>
              <w:rPr>
                <w:spacing w:val="-5"/>
                <w:sz w:val="21"/>
              </w:rPr>
              <w:t>听力丧失诊断及检查证据，因双眼失明而申请保险金的还应提供理赔的视力丧</w:t>
            </w:r>
            <w:r>
              <w:rPr>
                <w:spacing w:val="-4"/>
                <w:sz w:val="21"/>
              </w:rPr>
              <w:t>失诊断及检查证据，因语言能力丧失而申请保险金的还应提供理赔的语言能力</w:t>
            </w:r>
            <w:r>
              <w:rPr>
                <w:spacing w:val="-3"/>
                <w:sz w:val="21"/>
              </w:rPr>
              <w:t>丧失诊断及检查证据；</w:t>
            </w:r>
          </w:p>
          <w:p>
            <w:pPr>
              <w:pStyle w:val="TableParagraph"/>
              <w:spacing w:before="164"/>
              <w:ind w:left="236"/>
              <w:rPr>
                <w:sz w:val="21"/>
              </w:rPr>
            </w:pPr>
            <w:r>
              <w:rPr>
                <w:sz w:val="21"/>
              </w:rPr>
              <w:t>（3）受益人的有效身份证件；</w:t>
            </w:r>
          </w:p>
          <w:p>
            <w:pPr>
              <w:pStyle w:val="TableParagraph"/>
              <w:spacing w:before="10"/>
              <w:ind w:left="0"/>
              <w:rPr>
                <w:sz w:val="14"/>
              </w:rPr>
            </w:pPr>
          </w:p>
          <w:p>
            <w:pPr>
              <w:pStyle w:val="TableParagraph"/>
              <w:spacing w:line="273" w:lineRule="auto"/>
              <w:ind w:left="236" w:right="63"/>
              <w:rPr>
                <w:sz w:val="21"/>
              </w:rPr>
            </w:pPr>
            <w:r>
              <w:rPr>
                <w:sz w:val="21"/>
              </w:rPr>
              <w:t>（4）所能提供的其他与确认保险合同、确认保险事故的性质、原因等有关的证明或材料。</w:t>
            </w:r>
          </w:p>
          <w:p>
            <w:pPr>
              <w:pStyle w:val="TableParagraph"/>
              <w:spacing w:before="6"/>
              <w:ind w:left="0"/>
              <w:rPr>
                <w:sz w:val="24"/>
              </w:rPr>
            </w:pPr>
          </w:p>
          <w:p>
            <w:pPr>
              <w:pStyle w:val="TableParagraph"/>
              <w:spacing w:line="273" w:lineRule="auto"/>
              <w:ind w:left="236" w:right="174"/>
              <w:rPr>
                <w:sz w:val="21"/>
              </w:rPr>
            </w:pPr>
            <w:r>
              <w:rPr>
                <w:sz w:val="21"/>
              </w:rPr>
              <w:t>若委托他人办理申请轻型重疾保险金、第一次重大疾病保险金或第二次重大疾病保险金，还须提供授权委托书及委托人、受托人身份证件等材料。</w:t>
            </w:r>
          </w:p>
          <w:p>
            <w:pPr>
              <w:pStyle w:val="TableParagraph"/>
              <w:spacing w:line="273" w:lineRule="auto" w:before="163"/>
              <w:ind w:left="236" w:right="175"/>
              <w:rPr>
                <w:sz w:val="21"/>
              </w:rPr>
            </w:pPr>
            <w:r>
              <w:rPr>
                <w:sz w:val="21"/>
              </w:rPr>
              <w:t>以上证明和资料不完整的，我们将及时一次性通知受益人补充提供有关证明和资料。</w:t>
            </w:r>
          </w:p>
        </w:tc>
      </w:tr>
      <w:tr>
        <w:trPr>
          <w:trHeight w:val="406" w:hRule="atLeast"/>
        </w:trPr>
        <w:tc>
          <w:tcPr>
            <w:tcW w:w="664" w:type="dxa"/>
          </w:tcPr>
          <w:p>
            <w:pPr>
              <w:pStyle w:val="TableParagraph"/>
              <w:spacing w:line="255" w:lineRule="exact" w:before="131"/>
              <w:rPr>
                <w:b/>
                <w:sz w:val="21"/>
              </w:rPr>
            </w:pPr>
            <w:r>
              <w:rPr>
                <w:b/>
                <w:sz w:val="21"/>
              </w:rPr>
              <w:t>3.3</w:t>
            </w:r>
          </w:p>
        </w:tc>
        <w:tc>
          <w:tcPr>
            <w:tcW w:w="1531" w:type="dxa"/>
          </w:tcPr>
          <w:p>
            <w:pPr>
              <w:pStyle w:val="TableParagraph"/>
              <w:spacing w:line="255" w:lineRule="exact" w:before="131"/>
              <w:ind w:left="238"/>
              <w:rPr>
                <w:b/>
                <w:sz w:val="21"/>
              </w:rPr>
            </w:pPr>
            <w:r>
              <w:rPr>
                <w:b/>
                <w:sz w:val="21"/>
              </w:rPr>
              <w:t>保险金给付</w:t>
            </w:r>
          </w:p>
        </w:tc>
        <w:tc>
          <w:tcPr>
            <w:tcW w:w="7560" w:type="dxa"/>
          </w:tcPr>
          <w:p>
            <w:pPr>
              <w:pStyle w:val="TableParagraph"/>
              <w:spacing w:line="255" w:lineRule="exact" w:before="131"/>
              <w:ind w:left="236"/>
              <w:rPr>
                <w:sz w:val="21"/>
              </w:rPr>
            </w:pPr>
            <w:r>
              <w:rPr>
                <w:sz w:val="21"/>
              </w:rPr>
              <w:t>我们在收到保险金给付申请书及合同约定的证明和资料后，将在 3 日内作出核</w:t>
            </w:r>
          </w:p>
        </w:tc>
      </w:tr>
    </w:tbl>
    <w:p>
      <w:pPr>
        <w:spacing w:after="0" w:line="255" w:lineRule="exact"/>
        <w:rPr>
          <w:sz w:val="21"/>
        </w:rPr>
        <w:sectPr>
          <w:pgSz w:w="11910" w:h="16840"/>
          <w:pgMar w:header="0" w:footer="925" w:top="1160" w:bottom="1120" w:left="9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7"/>
        <w:gridCol w:w="7455"/>
      </w:tblGrid>
      <w:tr>
        <w:trPr>
          <w:trHeight w:val="3616" w:hRule="atLeast"/>
        </w:trPr>
        <w:tc>
          <w:tcPr>
            <w:tcW w:w="664" w:type="dxa"/>
          </w:tcPr>
          <w:p>
            <w:pPr>
              <w:pStyle w:val="TableParagraph"/>
              <w:ind w:left="0"/>
              <w:rPr>
                <w:rFonts w:ascii="Times New Roman"/>
                <w:sz w:val="20"/>
              </w:rPr>
            </w:pPr>
          </w:p>
        </w:tc>
        <w:tc>
          <w:tcPr>
            <w:tcW w:w="1637" w:type="dxa"/>
          </w:tcPr>
          <w:p>
            <w:pPr>
              <w:pStyle w:val="TableParagraph"/>
              <w:ind w:left="0"/>
              <w:rPr>
                <w:rFonts w:ascii="Times New Roman"/>
                <w:sz w:val="20"/>
              </w:rPr>
            </w:pPr>
          </w:p>
        </w:tc>
        <w:tc>
          <w:tcPr>
            <w:tcW w:w="7455" w:type="dxa"/>
          </w:tcPr>
          <w:p>
            <w:pPr>
              <w:pStyle w:val="TableParagraph"/>
              <w:spacing w:line="211" w:lineRule="exact"/>
              <w:ind w:left="130"/>
              <w:rPr>
                <w:sz w:val="21"/>
              </w:rPr>
            </w:pPr>
            <w:r>
              <w:rPr>
                <w:spacing w:val="-8"/>
                <w:sz w:val="21"/>
              </w:rPr>
              <w:t>定；情形复杂的，在 </w:t>
            </w:r>
            <w:r>
              <w:rPr>
                <w:sz w:val="21"/>
              </w:rPr>
              <w:t>30</w:t>
            </w:r>
            <w:r>
              <w:rPr>
                <w:spacing w:val="-10"/>
                <w:sz w:val="21"/>
              </w:rPr>
              <w:t> 日内作出核定。对属于保险责任的，我们在与受益人达</w:t>
            </w:r>
          </w:p>
          <w:p>
            <w:pPr>
              <w:pStyle w:val="TableParagraph"/>
              <w:spacing w:before="37"/>
              <w:ind w:left="130"/>
              <w:rPr>
                <w:sz w:val="21"/>
              </w:rPr>
            </w:pPr>
            <w:r>
              <w:rPr>
                <w:sz w:val="21"/>
              </w:rPr>
              <w:t>成给付保险金的协议后 10 日内，履行给付保险金义务。</w:t>
            </w:r>
          </w:p>
          <w:p>
            <w:pPr>
              <w:pStyle w:val="TableParagraph"/>
              <w:spacing w:before="10"/>
              <w:ind w:left="0"/>
              <w:rPr>
                <w:sz w:val="14"/>
              </w:rPr>
            </w:pPr>
          </w:p>
          <w:p>
            <w:pPr>
              <w:pStyle w:val="TableParagraph"/>
              <w:spacing w:line="273" w:lineRule="auto"/>
              <w:ind w:left="130" w:right="176"/>
              <w:jc w:val="both"/>
              <w:rPr>
                <w:sz w:val="21"/>
              </w:rPr>
            </w:pPr>
            <w:r>
              <w:rPr>
                <w:sz w:val="21"/>
              </w:rPr>
              <w:t>我们未及时履行前款规定义务的，对属于保险责任的，除支付保险金外，双倍赔偿受益人因此受到的利息损失。利息以中国人民银行公布的金融机构当期人民币活期存款基准利率为准。</w:t>
            </w:r>
          </w:p>
          <w:p>
            <w:pPr>
              <w:pStyle w:val="TableParagraph"/>
              <w:spacing w:line="273" w:lineRule="auto" w:before="163"/>
              <w:ind w:left="130" w:right="176"/>
              <w:rPr>
                <w:sz w:val="21"/>
              </w:rPr>
            </w:pPr>
            <w:r>
              <w:rPr>
                <w:spacing w:val="-5"/>
                <w:sz w:val="21"/>
              </w:rPr>
              <w:t>对不属于保险责任的，我们自作出核定之日起 </w:t>
            </w:r>
            <w:r>
              <w:rPr>
                <w:sz w:val="21"/>
              </w:rPr>
              <w:t>3</w:t>
            </w:r>
            <w:r>
              <w:rPr>
                <w:spacing w:val="-8"/>
                <w:sz w:val="21"/>
              </w:rPr>
              <w:t> 日内向受益人发出拒绝给付保</w:t>
            </w:r>
            <w:r>
              <w:rPr>
                <w:spacing w:val="-5"/>
                <w:sz w:val="21"/>
              </w:rPr>
              <w:t>险金通知书并说明理由。</w:t>
            </w:r>
          </w:p>
          <w:p>
            <w:pPr>
              <w:pStyle w:val="TableParagraph"/>
              <w:spacing w:line="273" w:lineRule="auto" w:before="163"/>
              <w:ind w:left="130" w:right="103"/>
              <w:rPr>
                <w:sz w:val="21"/>
              </w:rPr>
            </w:pPr>
            <w:r>
              <w:rPr>
                <w:spacing w:val="-5"/>
                <w:sz w:val="21"/>
              </w:rPr>
              <w:t>我们在收到保险金给付申请书及有关证明和资料之日起 </w:t>
            </w:r>
            <w:r>
              <w:rPr>
                <w:sz w:val="21"/>
              </w:rPr>
              <w:t>60</w:t>
            </w:r>
            <w:r>
              <w:rPr>
                <w:spacing w:val="-10"/>
                <w:sz w:val="21"/>
              </w:rPr>
              <w:t> 日内，对给付保险金</w:t>
            </w:r>
            <w:r>
              <w:rPr>
                <w:spacing w:val="-5"/>
                <w:sz w:val="21"/>
              </w:rPr>
              <w:t>的数额不能确定的，根据已有证明和资料可以确定的数额先予支付；我们最终</w:t>
            </w:r>
            <w:r>
              <w:rPr>
                <w:spacing w:val="-4"/>
                <w:sz w:val="21"/>
              </w:rPr>
              <w:t>确定给付保险金的数额后，将支付相应的差额。</w:t>
            </w:r>
          </w:p>
        </w:tc>
      </w:tr>
      <w:tr>
        <w:trPr>
          <w:trHeight w:val="839" w:hRule="atLeast"/>
        </w:trPr>
        <w:tc>
          <w:tcPr>
            <w:tcW w:w="664" w:type="dxa"/>
          </w:tcPr>
          <w:p>
            <w:pPr>
              <w:pStyle w:val="TableParagraph"/>
              <w:spacing w:before="64"/>
              <w:rPr>
                <w:b/>
                <w:sz w:val="21"/>
              </w:rPr>
            </w:pPr>
            <w:r>
              <w:rPr>
                <w:b/>
                <w:sz w:val="21"/>
              </w:rPr>
              <w:t>3.4</w:t>
            </w:r>
          </w:p>
        </w:tc>
        <w:tc>
          <w:tcPr>
            <w:tcW w:w="1637" w:type="dxa"/>
          </w:tcPr>
          <w:p>
            <w:pPr>
              <w:pStyle w:val="TableParagraph"/>
              <w:spacing w:before="64"/>
              <w:ind w:left="238"/>
              <w:rPr>
                <w:b/>
                <w:sz w:val="21"/>
              </w:rPr>
            </w:pPr>
            <w:r>
              <w:rPr>
                <w:b/>
                <w:sz w:val="21"/>
              </w:rPr>
              <w:t>诉讼时效</w:t>
            </w:r>
          </w:p>
        </w:tc>
        <w:tc>
          <w:tcPr>
            <w:tcW w:w="7455" w:type="dxa"/>
          </w:tcPr>
          <w:p>
            <w:pPr>
              <w:pStyle w:val="TableParagraph"/>
              <w:spacing w:line="273" w:lineRule="auto" w:before="64"/>
              <w:ind w:left="130" w:right="175"/>
              <w:rPr>
                <w:sz w:val="21"/>
              </w:rPr>
            </w:pPr>
            <w:r>
              <w:rPr>
                <w:spacing w:val="-5"/>
                <w:sz w:val="21"/>
              </w:rPr>
              <w:t>被保险人或受益人向我们请求给付保险金的诉讼时效期间为 </w:t>
            </w:r>
            <w:r>
              <w:rPr>
                <w:sz w:val="21"/>
              </w:rPr>
              <w:t>2</w:t>
            </w:r>
            <w:r>
              <w:rPr>
                <w:spacing w:val="-8"/>
                <w:sz w:val="21"/>
              </w:rPr>
              <w:t> 年，自其知道或</w:t>
            </w:r>
            <w:r>
              <w:rPr>
                <w:spacing w:val="-5"/>
                <w:sz w:val="21"/>
              </w:rPr>
              <w:t>者应当知道保险事故发生之日起计算。</w:t>
            </w:r>
          </w:p>
        </w:tc>
      </w:tr>
      <w:tr>
        <w:trPr>
          <w:trHeight w:val="607" w:hRule="atLeast"/>
        </w:trPr>
        <w:tc>
          <w:tcPr>
            <w:tcW w:w="664" w:type="dxa"/>
            <w:tcBorders>
              <w:bottom w:val="single" w:sz="4" w:space="0" w:color="000000"/>
            </w:tcBorders>
          </w:tcPr>
          <w:p>
            <w:pPr>
              <w:pStyle w:val="TableParagraph"/>
              <w:spacing w:before="114"/>
              <w:rPr>
                <w:b/>
                <w:sz w:val="24"/>
              </w:rPr>
            </w:pPr>
            <w:r>
              <w:rPr>
                <w:b/>
                <w:sz w:val="24"/>
              </w:rPr>
              <w:t>4.</w:t>
            </w:r>
          </w:p>
        </w:tc>
        <w:tc>
          <w:tcPr>
            <w:tcW w:w="1637" w:type="dxa"/>
            <w:tcBorders>
              <w:bottom w:val="single" w:sz="4" w:space="0" w:color="000000"/>
            </w:tcBorders>
          </w:tcPr>
          <w:p>
            <w:pPr>
              <w:pStyle w:val="TableParagraph"/>
              <w:spacing w:before="114"/>
              <w:ind w:left="238"/>
              <w:rPr>
                <w:b/>
                <w:sz w:val="24"/>
              </w:rPr>
            </w:pPr>
            <w:r>
              <w:rPr>
                <w:b/>
                <w:w w:val="95"/>
                <w:sz w:val="24"/>
              </w:rPr>
              <w:t>保险费的交</w:t>
            </w:r>
          </w:p>
        </w:tc>
        <w:tc>
          <w:tcPr>
            <w:tcW w:w="7455" w:type="dxa"/>
            <w:tcBorders>
              <w:bottom w:val="single" w:sz="4" w:space="0" w:color="000000"/>
            </w:tcBorders>
          </w:tcPr>
          <w:p>
            <w:pPr>
              <w:pStyle w:val="TableParagraph"/>
              <w:spacing w:before="114"/>
              <w:ind w:left="-194"/>
              <w:rPr>
                <w:b/>
                <w:sz w:val="24"/>
              </w:rPr>
            </w:pPr>
            <w:r>
              <w:rPr>
                <w:b/>
                <w:w w:val="99"/>
                <w:sz w:val="24"/>
              </w:rPr>
              <w:t>纳</w:t>
            </w:r>
          </w:p>
        </w:tc>
      </w:tr>
      <w:tr>
        <w:trPr>
          <w:trHeight w:val="1678" w:hRule="atLeast"/>
        </w:trPr>
        <w:tc>
          <w:tcPr>
            <w:tcW w:w="664" w:type="dxa"/>
            <w:tcBorders>
              <w:top w:val="single" w:sz="4" w:space="0" w:color="000000"/>
            </w:tcBorders>
          </w:tcPr>
          <w:p>
            <w:pPr>
              <w:pStyle w:val="TableParagraph"/>
              <w:spacing w:before="114"/>
              <w:rPr>
                <w:b/>
                <w:sz w:val="21"/>
              </w:rPr>
            </w:pPr>
            <w:r>
              <w:rPr>
                <w:b/>
                <w:sz w:val="21"/>
              </w:rPr>
              <w:t>4.1</w:t>
            </w:r>
          </w:p>
        </w:tc>
        <w:tc>
          <w:tcPr>
            <w:tcW w:w="1637" w:type="dxa"/>
            <w:tcBorders>
              <w:top w:val="single" w:sz="4" w:space="0" w:color="000000"/>
            </w:tcBorders>
          </w:tcPr>
          <w:p>
            <w:pPr>
              <w:pStyle w:val="TableParagraph"/>
              <w:spacing w:before="114"/>
              <w:ind w:left="238"/>
              <w:rPr>
                <w:b/>
                <w:sz w:val="21"/>
              </w:rPr>
            </w:pPr>
            <w:r>
              <w:rPr>
                <w:b/>
                <w:sz w:val="21"/>
              </w:rPr>
              <w:t>保险费的交纳</w:t>
            </w:r>
          </w:p>
        </w:tc>
        <w:tc>
          <w:tcPr>
            <w:tcW w:w="7455" w:type="dxa"/>
            <w:tcBorders>
              <w:top w:val="single" w:sz="4" w:space="0" w:color="000000"/>
            </w:tcBorders>
          </w:tcPr>
          <w:p>
            <w:pPr>
              <w:pStyle w:val="TableParagraph"/>
              <w:spacing w:before="114"/>
              <w:ind w:left="130"/>
              <w:rPr>
                <w:sz w:val="21"/>
              </w:rPr>
            </w:pPr>
            <w:r>
              <w:rPr>
                <w:sz w:val="21"/>
              </w:rPr>
              <w:t>本附加合同的交费方式和交费期间由您和我们约定并在保险单上载明。</w:t>
            </w:r>
          </w:p>
          <w:p>
            <w:pPr>
              <w:pStyle w:val="TableParagraph"/>
              <w:spacing w:before="9"/>
              <w:ind w:left="0"/>
              <w:rPr>
                <w:sz w:val="14"/>
              </w:rPr>
            </w:pPr>
          </w:p>
          <w:p>
            <w:pPr>
              <w:pStyle w:val="TableParagraph"/>
              <w:spacing w:line="273" w:lineRule="auto"/>
              <w:ind w:left="130" w:right="177"/>
              <w:jc w:val="both"/>
              <w:rPr>
                <w:sz w:val="21"/>
              </w:rPr>
            </w:pPr>
            <w:r>
              <w:rPr>
                <w:sz w:val="21"/>
              </w:rPr>
              <w:t>本附加合同的交费期间与主合同的交费期间相同，且必须与主险同时交费。分期支付保险费的，在交纳首期保险费后，您应当按照约定，在每个保险费约定交纳日交纳其余各期的保险费。</w:t>
            </w:r>
          </w:p>
        </w:tc>
      </w:tr>
      <w:tr>
        <w:trPr>
          <w:trHeight w:val="2244" w:hRule="atLeast"/>
        </w:trPr>
        <w:tc>
          <w:tcPr>
            <w:tcW w:w="664" w:type="dxa"/>
          </w:tcPr>
          <w:p>
            <w:pPr>
              <w:pStyle w:val="TableParagraph"/>
              <w:spacing w:before="133"/>
              <w:rPr>
                <w:b/>
                <w:sz w:val="21"/>
              </w:rPr>
            </w:pPr>
            <w:r>
              <w:rPr>
                <w:b/>
                <w:sz w:val="21"/>
              </w:rPr>
              <w:t>4.2</w:t>
            </w:r>
          </w:p>
        </w:tc>
        <w:tc>
          <w:tcPr>
            <w:tcW w:w="1637" w:type="dxa"/>
          </w:tcPr>
          <w:p>
            <w:pPr>
              <w:pStyle w:val="TableParagraph"/>
              <w:spacing w:before="133"/>
              <w:ind w:left="238"/>
              <w:rPr>
                <w:b/>
                <w:sz w:val="21"/>
              </w:rPr>
            </w:pPr>
            <w:r>
              <w:rPr>
                <w:b/>
                <w:sz w:val="21"/>
              </w:rPr>
              <w:t>宽限期</w:t>
            </w:r>
          </w:p>
        </w:tc>
        <w:tc>
          <w:tcPr>
            <w:tcW w:w="7455" w:type="dxa"/>
          </w:tcPr>
          <w:p>
            <w:pPr>
              <w:pStyle w:val="TableParagraph"/>
              <w:spacing w:line="273" w:lineRule="auto" w:before="133"/>
              <w:ind w:left="130"/>
              <w:rPr>
                <w:sz w:val="21"/>
              </w:rPr>
            </w:pPr>
            <w:r>
              <w:rPr>
                <w:spacing w:val="-3"/>
                <w:sz w:val="21"/>
              </w:rPr>
              <w:t>分期支付保险费的，投保人支付首期保险费后，除本附加合同另有约定外，如 </w:t>
            </w:r>
            <w:r>
              <w:rPr>
                <w:spacing w:val="-13"/>
                <w:sz w:val="21"/>
              </w:rPr>
              <w:t>果投保人到期未支付保险费，自保险费约定交纳日的次日零时起 </w:t>
            </w:r>
            <w:r>
              <w:rPr>
                <w:sz w:val="21"/>
              </w:rPr>
              <w:t>60</w:t>
            </w:r>
            <w:r>
              <w:rPr>
                <w:spacing w:val="-10"/>
                <w:sz w:val="21"/>
              </w:rPr>
              <w:t> 日为宽限期。</w:t>
            </w:r>
            <w:r>
              <w:rPr>
                <w:spacing w:val="-5"/>
                <w:sz w:val="21"/>
              </w:rPr>
              <w:t>宽限期内发生的保险事故，我们仍会承担保险责任，但在给付保险金时会扣减 </w:t>
            </w:r>
            <w:r>
              <w:rPr>
                <w:spacing w:val="-4"/>
                <w:sz w:val="21"/>
              </w:rPr>
              <w:t>您欠交的保险费。</w:t>
            </w:r>
          </w:p>
          <w:p>
            <w:pPr>
              <w:pStyle w:val="TableParagraph"/>
              <w:spacing w:line="273" w:lineRule="auto" w:before="164"/>
              <w:ind w:left="130" w:right="176"/>
              <w:rPr>
                <w:sz w:val="21"/>
              </w:rPr>
            </w:pPr>
            <w:r>
              <w:rPr>
                <w:sz w:val="21"/>
              </w:rPr>
              <w:t>如果您宽限期结束之后仍未支付保险费，则本附加合同自宽限期满的次日零时起效力中止。</w:t>
            </w:r>
          </w:p>
        </w:tc>
      </w:tr>
      <w:tr>
        <w:trPr>
          <w:trHeight w:val="539" w:hRule="atLeast"/>
        </w:trPr>
        <w:tc>
          <w:tcPr>
            <w:tcW w:w="664" w:type="dxa"/>
            <w:tcBorders>
              <w:bottom w:val="single" w:sz="4" w:space="0" w:color="000000"/>
            </w:tcBorders>
          </w:tcPr>
          <w:p>
            <w:pPr>
              <w:pStyle w:val="TableParagraph"/>
              <w:spacing w:before="45"/>
              <w:rPr>
                <w:b/>
                <w:sz w:val="24"/>
              </w:rPr>
            </w:pPr>
            <w:r>
              <w:rPr>
                <w:b/>
                <w:sz w:val="24"/>
              </w:rPr>
              <w:t>5.</w:t>
            </w:r>
          </w:p>
        </w:tc>
        <w:tc>
          <w:tcPr>
            <w:tcW w:w="1637" w:type="dxa"/>
            <w:tcBorders>
              <w:bottom w:val="single" w:sz="4" w:space="0" w:color="000000"/>
            </w:tcBorders>
          </w:tcPr>
          <w:p>
            <w:pPr>
              <w:pStyle w:val="TableParagraph"/>
              <w:spacing w:before="45"/>
              <w:ind w:left="238"/>
              <w:rPr>
                <w:b/>
                <w:sz w:val="24"/>
              </w:rPr>
            </w:pPr>
            <w:r>
              <w:rPr>
                <w:b/>
                <w:w w:val="95"/>
                <w:sz w:val="24"/>
              </w:rPr>
              <w:t>现金价值权</w:t>
            </w:r>
          </w:p>
        </w:tc>
        <w:tc>
          <w:tcPr>
            <w:tcW w:w="7455" w:type="dxa"/>
            <w:tcBorders>
              <w:bottom w:val="single" w:sz="4" w:space="0" w:color="000000"/>
            </w:tcBorders>
          </w:tcPr>
          <w:p>
            <w:pPr>
              <w:pStyle w:val="TableParagraph"/>
              <w:spacing w:before="45"/>
              <w:ind w:left="-194"/>
              <w:rPr>
                <w:b/>
                <w:sz w:val="24"/>
              </w:rPr>
            </w:pPr>
            <w:r>
              <w:rPr>
                <w:b/>
                <w:w w:val="99"/>
                <w:sz w:val="24"/>
              </w:rPr>
              <w:t>益</w:t>
            </w:r>
          </w:p>
        </w:tc>
      </w:tr>
      <w:tr>
        <w:trPr>
          <w:trHeight w:val="2075" w:hRule="atLeast"/>
        </w:trPr>
        <w:tc>
          <w:tcPr>
            <w:tcW w:w="664" w:type="dxa"/>
            <w:tcBorders>
              <w:top w:val="single" w:sz="4" w:space="0" w:color="000000"/>
            </w:tcBorders>
          </w:tcPr>
          <w:p>
            <w:pPr>
              <w:pStyle w:val="TableParagraph"/>
              <w:spacing w:before="112"/>
              <w:rPr>
                <w:b/>
                <w:sz w:val="21"/>
              </w:rPr>
            </w:pPr>
            <w:r>
              <w:rPr>
                <w:b/>
                <w:sz w:val="21"/>
              </w:rPr>
              <w:t>5.1</w:t>
            </w:r>
          </w:p>
        </w:tc>
        <w:tc>
          <w:tcPr>
            <w:tcW w:w="1637" w:type="dxa"/>
            <w:tcBorders>
              <w:top w:val="single" w:sz="4" w:space="0" w:color="000000"/>
            </w:tcBorders>
          </w:tcPr>
          <w:p>
            <w:pPr>
              <w:pStyle w:val="TableParagraph"/>
              <w:spacing w:before="112"/>
              <w:ind w:left="238"/>
              <w:rPr>
                <w:b/>
                <w:sz w:val="21"/>
              </w:rPr>
            </w:pPr>
            <w:r>
              <w:rPr>
                <w:b/>
                <w:sz w:val="21"/>
              </w:rPr>
              <w:t>现金价值</w:t>
            </w:r>
          </w:p>
        </w:tc>
        <w:tc>
          <w:tcPr>
            <w:tcW w:w="7455" w:type="dxa"/>
            <w:tcBorders>
              <w:top w:val="single" w:sz="4" w:space="0" w:color="000000"/>
            </w:tcBorders>
          </w:tcPr>
          <w:p>
            <w:pPr>
              <w:pStyle w:val="TableParagraph"/>
              <w:spacing w:line="273" w:lineRule="auto" w:before="112"/>
              <w:ind w:left="130" w:right="176"/>
              <w:rPr>
                <w:sz w:val="21"/>
              </w:rPr>
            </w:pPr>
            <w:r>
              <w:rPr>
                <w:sz w:val="21"/>
              </w:rPr>
              <w:t>指保险单所具有的价值，通常体现为解除合同时，根据精算原理计算的，由我们退还的那部分金额。</w:t>
            </w:r>
          </w:p>
          <w:p>
            <w:pPr>
              <w:pStyle w:val="TableParagraph"/>
              <w:spacing w:line="273" w:lineRule="auto" w:before="163"/>
              <w:ind w:left="130" w:right="176"/>
              <w:rPr>
                <w:sz w:val="21"/>
              </w:rPr>
            </w:pPr>
            <w:r>
              <w:rPr>
                <w:sz w:val="21"/>
              </w:rPr>
              <w:t>我们会在保险单或批注上载明本附加合同保险单年度末的现金价值。如果您需要了解保险单年度内的现金价值，可向我们查询。</w:t>
            </w:r>
          </w:p>
          <w:p>
            <w:pPr>
              <w:pStyle w:val="TableParagraph"/>
              <w:spacing w:before="163"/>
              <w:ind w:left="130"/>
              <w:rPr>
                <w:sz w:val="21"/>
              </w:rPr>
            </w:pPr>
            <w:r>
              <w:rPr>
                <w:sz w:val="21"/>
              </w:rPr>
              <w:t>若基本保险金额发生变更，则现金价值将按变更后的基本保险金额重新计算。</w:t>
            </w:r>
          </w:p>
        </w:tc>
      </w:tr>
      <w:tr>
        <w:trPr>
          <w:trHeight w:val="2383" w:hRule="atLeast"/>
        </w:trPr>
        <w:tc>
          <w:tcPr>
            <w:tcW w:w="664" w:type="dxa"/>
          </w:tcPr>
          <w:p>
            <w:pPr>
              <w:pStyle w:val="TableParagraph"/>
              <w:spacing w:before="65"/>
              <w:rPr>
                <w:b/>
                <w:sz w:val="21"/>
              </w:rPr>
            </w:pPr>
            <w:r>
              <w:rPr>
                <w:b/>
                <w:sz w:val="21"/>
              </w:rPr>
              <w:t>5.2</w:t>
            </w:r>
          </w:p>
        </w:tc>
        <w:tc>
          <w:tcPr>
            <w:tcW w:w="1637" w:type="dxa"/>
          </w:tcPr>
          <w:p>
            <w:pPr>
              <w:pStyle w:val="TableParagraph"/>
              <w:spacing w:line="273" w:lineRule="auto" w:before="65"/>
              <w:ind w:left="238" w:right="128"/>
              <w:rPr>
                <w:b/>
                <w:sz w:val="21"/>
              </w:rPr>
            </w:pPr>
            <w:r>
              <w:rPr>
                <w:b/>
                <w:sz w:val="21"/>
              </w:rPr>
              <w:t>减少基本保险金额</w:t>
            </w:r>
          </w:p>
        </w:tc>
        <w:tc>
          <w:tcPr>
            <w:tcW w:w="7455" w:type="dxa"/>
          </w:tcPr>
          <w:p>
            <w:pPr>
              <w:pStyle w:val="TableParagraph"/>
              <w:spacing w:line="273" w:lineRule="auto" w:before="65"/>
              <w:ind w:left="130" w:right="104"/>
              <w:rPr>
                <w:sz w:val="21"/>
              </w:rPr>
            </w:pPr>
            <w:r>
              <w:rPr>
                <w:spacing w:val="-3"/>
                <w:sz w:val="21"/>
              </w:rPr>
              <w:t>在本附加合同有效期间内，若您书面申请减少主合同基本保险金额，本附加合同同时减少基本保险金额，且本附加合同的基本保险金额与主合同《新福佑双</w:t>
            </w:r>
            <w:r>
              <w:rPr>
                <w:spacing w:val="-5"/>
                <w:sz w:val="21"/>
              </w:rPr>
              <w:t>鑫两全保险</w:t>
            </w:r>
            <w:r>
              <w:rPr>
                <w:spacing w:val="-3"/>
                <w:sz w:val="21"/>
              </w:rPr>
              <w:t>（</w:t>
            </w:r>
            <w:r>
              <w:rPr>
                <w:spacing w:val="-2"/>
                <w:sz w:val="21"/>
              </w:rPr>
              <w:t>分红型</w:t>
            </w:r>
            <w:r>
              <w:rPr>
                <w:spacing w:val="-108"/>
                <w:sz w:val="21"/>
              </w:rPr>
              <w:t>）</w:t>
            </w:r>
            <w:r>
              <w:rPr>
                <w:spacing w:val="-5"/>
                <w:sz w:val="21"/>
              </w:rPr>
              <w:t>》的基本保险金额等额减少，但减少后的基本保险金额不</w:t>
            </w:r>
            <w:r>
              <w:rPr>
                <w:spacing w:val="-4"/>
                <w:sz w:val="21"/>
              </w:rPr>
              <w:t>得低于申请减额时我们规定的最低承保金额。我们按减保后的基本保险金额承</w:t>
            </w:r>
            <w:r>
              <w:rPr>
                <w:spacing w:val="-3"/>
                <w:sz w:val="21"/>
              </w:rPr>
              <w:t>担保险责任。</w:t>
            </w:r>
          </w:p>
          <w:p>
            <w:pPr>
              <w:pStyle w:val="TableParagraph"/>
              <w:spacing w:line="320" w:lineRule="atLeast" w:before="118"/>
              <w:ind w:left="130" w:right="178"/>
              <w:rPr>
                <w:sz w:val="21"/>
              </w:rPr>
            </w:pPr>
            <w:r>
              <w:rPr>
                <w:sz w:val="21"/>
              </w:rPr>
              <w:t>我们按本附加合同约定退还基本保险金额的减少部分的现金价值。同时，根据主合同条款应给付身故及满期保险金的计算依据</w:t>
            </w:r>
            <w:r>
              <w:rPr>
                <w:rFonts w:ascii="Times New Roman" w:hAnsi="Times New Roman" w:eastAsia="Times New Roman"/>
                <w:sz w:val="21"/>
              </w:rPr>
              <w:t>“</w:t>
            </w:r>
            <w:r>
              <w:rPr>
                <w:sz w:val="21"/>
              </w:rPr>
              <w:t>累计所交保险费</w:t>
            </w:r>
            <w:r>
              <w:rPr>
                <w:rFonts w:ascii="Times New Roman" w:hAnsi="Times New Roman" w:eastAsia="Times New Roman"/>
                <w:sz w:val="21"/>
              </w:rPr>
              <w:t>”</w:t>
            </w:r>
            <w:r>
              <w:rPr>
                <w:sz w:val="21"/>
              </w:rPr>
              <w:t>，需按照本</w:t>
            </w:r>
          </w:p>
        </w:tc>
      </w:tr>
    </w:tbl>
    <w:p>
      <w:pPr>
        <w:spacing w:after="0" w:line="320" w:lineRule="atLeast"/>
        <w:rPr>
          <w:sz w:val="21"/>
        </w:rPr>
        <w:sectPr>
          <w:pgSz w:w="11910" w:h="16840"/>
          <w:pgMar w:header="0" w:footer="925" w:top="1160" w:bottom="1120" w:left="9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7"/>
        <w:gridCol w:w="7455"/>
      </w:tblGrid>
      <w:tr>
        <w:trPr>
          <w:trHeight w:val="839" w:hRule="atLeast"/>
        </w:trPr>
        <w:tc>
          <w:tcPr>
            <w:tcW w:w="664" w:type="dxa"/>
          </w:tcPr>
          <w:p>
            <w:pPr>
              <w:pStyle w:val="TableParagraph"/>
              <w:ind w:left="0"/>
              <w:rPr>
                <w:rFonts w:ascii="Times New Roman"/>
                <w:sz w:val="20"/>
              </w:rPr>
            </w:pPr>
          </w:p>
        </w:tc>
        <w:tc>
          <w:tcPr>
            <w:tcW w:w="1637" w:type="dxa"/>
          </w:tcPr>
          <w:p>
            <w:pPr>
              <w:pStyle w:val="TableParagraph"/>
              <w:ind w:left="0"/>
              <w:rPr>
                <w:rFonts w:ascii="Times New Roman"/>
                <w:sz w:val="20"/>
              </w:rPr>
            </w:pPr>
          </w:p>
        </w:tc>
        <w:tc>
          <w:tcPr>
            <w:tcW w:w="7455" w:type="dxa"/>
          </w:tcPr>
          <w:p>
            <w:pPr>
              <w:pStyle w:val="TableParagraph"/>
              <w:spacing w:line="211" w:lineRule="exact"/>
              <w:ind w:left="130"/>
              <w:rPr>
                <w:sz w:val="21"/>
              </w:rPr>
            </w:pPr>
            <w:r>
              <w:rPr>
                <w:sz w:val="21"/>
              </w:rPr>
              <w:t>次变更后的基本保险金额所对应的保险费进行调整。</w:t>
            </w:r>
          </w:p>
          <w:p>
            <w:pPr>
              <w:pStyle w:val="TableParagraph"/>
              <w:spacing w:before="9"/>
              <w:ind w:left="0"/>
              <w:rPr>
                <w:sz w:val="14"/>
              </w:rPr>
            </w:pPr>
          </w:p>
          <w:p>
            <w:pPr>
              <w:pStyle w:val="TableParagraph"/>
              <w:spacing w:before="1"/>
              <w:ind w:left="130"/>
              <w:rPr>
                <w:sz w:val="21"/>
              </w:rPr>
            </w:pPr>
            <w:r>
              <w:rPr>
                <w:sz w:val="21"/>
              </w:rPr>
              <w:t>本附加合同不可单独办理减少基本保险金额。</w:t>
            </w:r>
          </w:p>
        </w:tc>
      </w:tr>
      <w:tr>
        <w:trPr>
          <w:trHeight w:val="580" w:hRule="atLeast"/>
        </w:trPr>
        <w:tc>
          <w:tcPr>
            <w:tcW w:w="664" w:type="dxa"/>
            <w:tcBorders>
              <w:bottom w:val="single" w:sz="4" w:space="0" w:color="000000"/>
            </w:tcBorders>
          </w:tcPr>
          <w:p>
            <w:pPr>
              <w:pStyle w:val="TableParagraph"/>
              <w:spacing w:before="86"/>
              <w:rPr>
                <w:b/>
                <w:sz w:val="24"/>
              </w:rPr>
            </w:pPr>
            <w:r>
              <w:rPr>
                <w:b/>
                <w:sz w:val="24"/>
              </w:rPr>
              <w:t>6.</w:t>
            </w:r>
          </w:p>
        </w:tc>
        <w:tc>
          <w:tcPr>
            <w:tcW w:w="1637" w:type="dxa"/>
            <w:tcBorders>
              <w:bottom w:val="single" w:sz="4" w:space="0" w:color="000000"/>
            </w:tcBorders>
          </w:tcPr>
          <w:p>
            <w:pPr>
              <w:pStyle w:val="TableParagraph"/>
              <w:spacing w:before="86"/>
              <w:ind w:left="238"/>
              <w:rPr>
                <w:b/>
                <w:sz w:val="24"/>
              </w:rPr>
            </w:pPr>
            <w:r>
              <w:rPr>
                <w:b/>
                <w:sz w:val="24"/>
              </w:rPr>
              <w:t>合同解除</w:t>
            </w:r>
          </w:p>
        </w:tc>
        <w:tc>
          <w:tcPr>
            <w:tcW w:w="7455" w:type="dxa"/>
            <w:tcBorders>
              <w:bottom w:val="single" w:sz="4" w:space="0" w:color="000000"/>
            </w:tcBorders>
          </w:tcPr>
          <w:p>
            <w:pPr>
              <w:pStyle w:val="TableParagraph"/>
              <w:ind w:left="0"/>
              <w:rPr>
                <w:rFonts w:ascii="Times New Roman"/>
                <w:sz w:val="20"/>
              </w:rPr>
            </w:pPr>
          </w:p>
        </w:tc>
      </w:tr>
      <w:tr>
        <w:trPr>
          <w:trHeight w:val="6165" w:hRule="atLeast"/>
        </w:trPr>
        <w:tc>
          <w:tcPr>
            <w:tcW w:w="664" w:type="dxa"/>
            <w:tcBorders>
              <w:top w:val="single" w:sz="4" w:space="0" w:color="000000"/>
            </w:tcBorders>
          </w:tcPr>
          <w:p>
            <w:pPr>
              <w:pStyle w:val="TableParagraph"/>
              <w:spacing w:before="114"/>
              <w:rPr>
                <w:b/>
                <w:sz w:val="21"/>
              </w:rPr>
            </w:pPr>
            <w:r>
              <w:rPr>
                <w:b/>
                <w:sz w:val="21"/>
              </w:rPr>
              <w:t>6.1</w:t>
            </w:r>
          </w:p>
        </w:tc>
        <w:tc>
          <w:tcPr>
            <w:tcW w:w="1637" w:type="dxa"/>
            <w:tcBorders>
              <w:top w:val="single" w:sz="4" w:space="0" w:color="000000"/>
            </w:tcBorders>
          </w:tcPr>
          <w:p>
            <w:pPr>
              <w:pStyle w:val="TableParagraph"/>
              <w:spacing w:line="273" w:lineRule="auto" w:before="114"/>
              <w:ind w:left="238" w:right="128"/>
              <w:rPr>
                <w:b/>
                <w:sz w:val="21"/>
              </w:rPr>
            </w:pPr>
            <w:r>
              <w:rPr>
                <w:b/>
                <w:sz w:val="21"/>
              </w:rPr>
              <w:t>您解除合同的手续及风险</w:t>
            </w:r>
          </w:p>
        </w:tc>
        <w:tc>
          <w:tcPr>
            <w:tcW w:w="7455" w:type="dxa"/>
            <w:tcBorders>
              <w:top w:val="single" w:sz="4" w:space="0" w:color="000000"/>
            </w:tcBorders>
          </w:tcPr>
          <w:p>
            <w:pPr>
              <w:pStyle w:val="TableParagraph"/>
              <w:spacing w:line="273" w:lineRule="auto" w:before="114"/>
              <w:ind w:left="130" w:right="176"/>
              <w:rPr>
                <w:sz w:val="21"/>
              </w:rPr>
            </w:pPr>
            <w:r>
              <w:rPr>
                <w:sz w:val="21"/>
              </w:rPr>
              <w:t>如您在犹豫期后申请解除本附加合同，请填写解除合同申请书并向我们提供下列资料：</w:t>
            </w:r>
          </w:p>
          <w:p>
            <w:pPr>
              <w:pStyle w:val="TableParagraph"/>
              <w:spacing w:before="163"/>
              <w:ind w:left="130"/>
              <w:rPr>
                <w:sz w:val="21"/>
              </w:rPr>
            </w:pPr>
            <w:r>
              <w:rPr>
                <w:sz w:val="21"/>
              </w:rPr>
              <w:t>1.保险合同；</w:t>
            </w:r>
          </w:p>
          <w:p>
            <w:pPr>
              <w:pStyle w:val="TableParagraph"/>
              <w:spacing w:before="9"/>
              <w:ind w:left="0"/>
              <w:rPr>
                <w:sz w:val="14"/>
              </w:rPr>
            </w:pPr>
          </w:p>
          <w:p>
            <w:pPr>
              <w:pStyle w:val="TableParagraph"/>
              <w:ind w:left="130"/>
              <w:rPr>
                <w:sz w:val="21"/>
              </w:rPr>
            </w:pPr>
            <w:r>
              <w:rPr>
                <w:sz w:val="21"/>
              </w:rPr>
              <w:t>2.您的有效身份证件。</w:t>
            </w:r>
          </w:p>
          <w:p>
            <w:pPr>
              <w:pStyle w:val="TableParagraph"/>
              <w:spacing w:before="9"/>
              <w:ind w:left="0"/>
              <w:rPr>
                <w:sz w:val="14"/>
              </w:rPr>
            </w:pPr>
          </w:p>
          <w:p>
            <w:pPr>
              <w:pStyle w:val="TableParagraph"/>
              <w:spacing w:line="273" w:lineRule="auto"/>
              <w:ind w:left="130" w:right="175"/>
              <w:rPr>
                <w:sz w:val="21"/>
              </w:rPr>
            </w:pPr>
            <w:r>
              <w:rPr>
                <w:sz w:val="21"/>
              </w:rPr>
              <w:t>如您委托他人办理书面申请解除本附加合同，还须提供授权委托书及委托人、受托人身份证件。</w:t>
            </w:r>
          </w:p>
          <w:p>
            <w:pPr>
              <w:pStyle w:val="TableParagraph"/>
              <w:spacing w:line="273" w:lineRule="auto" w:before="163"/>
              <w:ind w:left="130" w:right="104"/>
              <w:jc w:val="both"/>
              <w:rPr>
                <w:sz w:val="21"/>
              </w:rPr>
            </w:pPr>
            <w:r>
              <w:rPr>
                <w:b/>
                <w:spacing w:val="-3"/>
                <w:sz w:val="21"/>
              </w:rPr>
              <w:t>自我们收到解除合同申请书时起，本附加合同终止。</w:t>
            </w:r>
            <w:r>
              <w:rPr>
                <w:spacing w:val="-3"/>
                <w:sz w:val="21"/>
              </w:rPr>
              <w:t>但若被保险人或受益人已向投保人支付了相应于本附加合同保险单现金价值的款项并通知了本公司，投保人解除合同还需取得被保险人或受益人的同意，本附加合同自被保险人或受</w:t>
            </w:r>
            <w:r>
              <w:rPr>
                <w:spacing w:val="-9"/>
                <w:sz w:val="21"/>
              </w:rPr>
              <w:t>益人同意之日起终止。我们自本附加合同终止之日起 </w:t>
            </w:r>
            <w:r>
              <w:rPr>
                <w:sz w:val="21"/>
              </w:rPr>
              <w:t>30</w:t>
            </w:r>
            <w:r>
              <w:rPr>
                <w:spacing w:val="-8"/>
                <w:sz w:val="21"/>
              </w:rPr>
              <w:t> 日内向您退还保险单的</w:t>
            </w:r>
            <w:r>
              <w:rPr>
                <w:spacing w:val="-5"/>
                <w:sz w:val="21"/>
              </w:rPr>
              <w:t>现金价值。</w:t>
            </w:r>
          </w:p>
          <w:p>
            <w:pPr>
              <w:pStyle w:val="TableParagraph"/>
              <w:spacing w:before="163"/>
              <w:ind w:left="130"/>
              <w:jc w:val="both"/>
              <w:rPr>
                <w:sz w:val="21"/>
              </w:rPr>
            </w:pPr>
            <w:r>
              <w:rPr>
                <w:sz w:val="21"/>
              </w:rPr>
              <w:t>您犹豫期后解除合同会遭受一定损失。</w:t>
            </w:r>
          </w:p>
          <w:p>
            <w:pPr>
              <w:pStyle w:val="TableParagraph"/>
              <w:spacing w:before="9"/>
              <w:ind w:left="0"/>
              <w:rPr>
                <w:sz w:val="14"/>
              </w:rPr>
            </w:pPr>
          </w:p>
          <w:p>
            <w:pPr>
              <w:pStyle w:val="TableParagraph"/>
              <w:ind w:left="130"/>
              <w:jc w:val="both"/>
              <w:rPr>
                <w:sz w:val="21"/>
              </w:rPr>
            </w:pPr>
            <w:r>
              <w:rPr>
                <w:sz w:val="21"/>
              </w:rPr>
              <w:t>发生下列情况之一时，本附加合同按解除合同处理：</w:t>
            </w:r>
          </w:p>
          <w:p>
            <w:pPr>
              <w:pStyle w:val="TableParagraph"/>
              <w:spacing w:before="9"/>
              <w:ind w:left="0"/>
              <w:rPr>
                <w:sz w:val="14"/>
              </w:rPr>
            </w:pPr>
          </w:p>
          <w:p>
            <w:pPr>
              <w:pStyle w:val="TableParagraph"/>
              <w:ind w:left="130"/>
              <w:jc w:val="both"/>
              <w:rPr>
                <w:sz w:val="21"/>
              </w:rPr>
            </w:pPr>
            <w:r>
              <w:rPr>
                <w:sz w:val="21"/>
              </w:rPr>
              <w:t>（1）您申请解除主合同；</w:t>
            </w:r>
          </w:p>
          <w:p>
            <w:pPr>
              <w:pStyle w:val="TableParagraph"/>
              <w:spacing w:before="9"/>
              <w:ind w:left="0"/>
              <w:rPr>
                <w:sz w:val="14"/>
              </w:rPr>
            </w:pPr>
          </w:p>
          <w:p>
            <w:pPr>
              <w:pStyle w:val="TableParagraph"/>
              <w:ind w:left="130"/>
              <w:jc w:val="both"/>
              <w:rPr>
                <w:sz w:val="21"/>
              </w:rPr>
            </w:pPr>
            <w:r>
              <w:rPr>
                <w:sz w:val="21"/>
              </w:rPr>
              <w:t>（2）自本附加合同中止效力之日起满 2 年您与我们未达成效力恢复协议。</w:t>
            </w:r>
          </w:p>
        </w:tc>
      </w:tr>
      <w:tr>
        <w:trPr>
          <w:trHeight w:val="579" w:hRule="atLeast"/>
        </w:trPr>
        <w:tc>
          <w:tcPr>
            <w:tcW w:w="664" w:type="dxa"/>
            <w:tcBorders>
              <w:bottom w:val="single" w:sz="4" w:space="0" w:color="000000"/>
            </w:tcBorders>
          </w:tcPr>
          <w:p>
            <w:pPr>
              <w:pStyle w:val="TableParagraph"/>
              <w:spacing w:before="85"/>
              <w:rPr>
                <w:b/>
                <w:sz w:val="24"/>
              </w:rPr>
            </w:pPr>
            <w:r>
              <w:rPr>
                <w:b/>
                <w:sz w:val="24"/>
              </w:rPr>
              <w:t>7.</w:t>
            </w:r>
          </w:p>
        </w:tc>
        <w:tc>
          <w:tcPr>
            <w:tcW w:w="1637" w:type="dxa"/>
            <w:tcBorders>
              <w:bottom w:val="single" w:sz="4" w:space="0" w:color="000000"/>
            </w:tcBorders>
          </w:tcPr>
          <w:p>
            <w:pPr>
              <w:pStyle w:val="TableParagraph"/>
              <w:spacing w:before="85"/>
              <w:ind w:left="238"/>
              <w:rPr>
                <w:b/>
                <w:sz w:val="24"/>
              </w:rPr>
            </w:pPr>
            <w:r>
              <w:rPr>
                <w:b/>
                <w:sz w:val="24"/>
              </w:rPr>
              <w:t>释义</w:t>
            </w:r>
          </w:p>
        </w:tc>
        <w:tc>
          <w:tcPr>
            <w:tcW w:w="7455" w:type="dxa"/>
            <w:tcBorders>
              <w:bottom w:val="single" w:sz="4" w:space="0" w:color="000000"/>
            </w:tcBorders>
          </w:tcPr>
          <w:p>
            <w:pPr>
              <w:pStyle w:val="TableParagraph"/>
              <w:ind w:left="0"/>
              <w:rPr>
                <w:rFonts w:ascii="Times New Roman"/>
                <w:sz w:val="20"/>
              </w:rPr>
            </w:pPr>
          </w:p>
        </w:tc>
      </w:tr>
      <w:tr>
        <w:trPr>
          <w:trHeight w:val="797" w:hRule="atLeast"/>
        </w:trPr>
        <w:tc>
          <w:tcPr>
            <w:tcW w:w="664" w:type="dxa"/>
            <w:tcBorders>
              <w:top w:val="single" w:sz="4" w:space="0" w:color="000000"/>
            </w:tcBorders>
          </w:tcPr>
          <w:p>
            <w:pPr>
              <w:pStyle w:val="TableParagraph"/>
              <w:spacing w:before="114"/>
              <w:rPr>
                <w:b/>
                <w:sz w:val="21"/>
              </w:rPr>
            </w:pPr>
            <w:r>
              <w:rPr>
                <w:b/>
                <w:sz w:val="21"/>
              </w:rPr>
              <w:t>7.1</w:t>
            </w:r>
          </w:p>
        </w:tc>
        <w:tc>
          <w:tcPr>
            <w:tcW w:w="1637" w:type="dxa"/>
            <w:tcBorders>
              <w:top w:val="single" w:sz="4" w:space="0" w:color="000000"/>
            </w:tcBorders>
          </w:tcPr>
          <w:p>
            <w:pPr>
              <w:pStyle w:val="TableParagraph"/>
              <w:spacing w:before="114"/>
              <w:ind w:left="238"/>
              <w:rPr>
                <w:b/>
                <w:sz w:val="21"/>
              </w:rPr>
            </w:pPr>
            <w:r>
              <w:rPr>
                <w:b/>
                <w:sz w:val="21"/>
              </w:rPr>
              <w:t>保险单年度</w:t>
            </w:r>
          </w:p>
        </w:tc>
        <w:tc>
          <w:tcPr>
            <w:tcW w:w="7455" w:type="dxa"/>
            <w:tcBorders>
              <w:top w:val="single" w:sz="4" w:space="0" w:color="000000"/>
            </w:tcBorders>
          </w:tcPr>
          <w:p>
            <w:pPr>
              <w:pStyle w:val="TableParagraph"/>
              <w:spacing w:line="273" w:lineRule="auto" w:before="114"/>
              <w:ind w:left="130" w:right="175"/>
              <w:rPr>
                <w:sz w:val="21"/>
              </w:rPr>
            </w:pPr>
            <w:r>
              <w:rPr>
                <w:sz w:val="21"/>
              </w:rPr>
              <w:t>指从本附加合同生效日或生效对应日零时起至下一年度本附加合同生效对应日零时止的期间为一个保险单年度。</w:t>
            </w:r>
          </w:p>
        </w:tc>
      </w:tr>
      <w:tr>
        <w:trPr>
          <w:trHeight w:val="778" w:hRule="atLeast"/>
        </w:trPr>
        <w:tc>
          <w:tcPr>
            <w:tcW w:w="664" w:type="dxa"/>
          </w:tcPr>
          <w:p>
            <w:pPr>
              <w:pStyle w:val="TableParagraph"/>
              <w:spacing w:before="32"/>
              <w:rPr>
                <w:b/>
                <w:sz w:val="21"/>
              </w:rPr>
            </w:pPr>
            <w:r>
              <w:rPr>
                <w:b/>
                <w:sz w:val="21"/>
              </w:rPr>
              <w:t>7.2</w:t>
            </w:r>
          </w:p>
        </w:tc>
        <w:tc>
          <w:tcPr>
            <w:tcW w:w="1637" w:type="dxa"/>
          </w:tcPr>
          <w:p>
            <w:pPr>
              <w:pStyle w:val="TableParagraph"/>
              <w:spacing w:line="273" w:lineRule="auto" w:before="32"/>
              <w:ind w:left="238" w:right="128"/>
              <w:rPr>
                <w:b/>
                <w:sz w:val="21"/>
              </w:rPr>
            </w:pPr>
            <w:r>
              <w:rPr>
                <w:b/>
                <w:sz w:val="21"/>
              </w:rPr>
              <w:t>保险费约定交纳日</w:t>
            </w:r>
          </w:p>
        </w:tc>
        <w:tc>
          <w:tcPr>
            <w:tcW w:w="7455" w:type="dxa"/>
          </w:tcPr>
          <w:p>
            <w:pPr>
              <w:pStyle w:val="TableParagraph"/>
              <w:spacing w:line="273" w:lineRule="auto" w:before="32"/>
              <w:ind w:left="130" w:right="176"/>
              <w:rPr>
                <w:sz w:val="21"/>
              </w:rPr>
            </w:pPr>
            <w:r>
              <w:rPr>
                <w:sz w:val="21"/>
              </w:rPr>
              <w:t>指本附加合同生效日在每月、每季、每半年或每年（根据交费方式确定）的对应日。如果当月无对应的同一日，则以该月最后一日为对应日。</w:t>
            </w:r>
          </w:p>
        </w:tc>
      </w:tr>
      <w:tr>
        <w:trPr>
          <w:trHeight w:val="775" w:hRule="atLeast"/>
        </w:trPr>
        <w:tc>
          <w:tcPr>
            <w:tcW w:w="664" w:type="dxa"/>
          </w:tcPr>
          <w:p>
            <w:pPr>
              <w:pStyle w:val="TableParagraph"/>
              <w:spacing w:before="96"/>
              <w:rPr>
                <w:b/>
                <w:sz w:val="21"/>
              </w:rPr>
            </w:pPr>
            <w:r>
              <w:rPr>
                <w:b/>
                <w:sz w:val="21"/>
              </w:rPr>
              <w:t>7.3</w:t>
            </w:r>
          </w:p>
        </w:tc>
        <w:tc>
          <w:tcPr>
            <w:tcW w:w="1637" w:type="dxa"/>
          </w:tcPr>
          <w:p>
            <w:pPr>
              <w:pStyle w:val="TableParagraph"/>
              <w:spacing w:before="96"/>
              <w:ind w:left="238"/>
              <w:rPr>
                <w:b/>
                <w:sz w:val="21"/>
              </w:rPr>
            </w:pPr>
            <w:r>
              <w:rPr>
                <w:b/>
                <w:sz w:val="21"/>
              </w:rPr>
              <w:t>周岁</w:t>
            </w:r>
          </w:p>
        </w:tc>
        <w:tc>
          <w:tcPr>
            <w:tcW w:w="7455" w:type="dxa"/>
          </w:tcPr>
          <w:p>
            <w:pPr>
              <w:pStyle w:val="TableParagraph"/>
              <w:spacing w:line="273" w:lineRule="auto" w:before="96"/>
              <w:ind w:left="130" w:right="231"/>
              <w:rPr>
                <w:sz w:val="21"/>
              </w:rPr>
            </w:pPr>
            <w:r>
              <w:rPr>
                <w:spacing w:val="-3"/>
                <w:sz w:val="21"/>
              </w:rPr>
              <w:t>以户籍证明或其他法定的身份证件中记载的出生日期为标准计算年龄（</w:t>
            </w:r>
            <w:r>
              <w:rPr>
                <w:spacing w:val="-10"/>
                <w:sz w:val="21"/>
              </w:rPr>
              <w:t>不足 </w:t>
            </w:r>
            <w:r>
              <w:rPr>
                <w:sz w:val="21"/>
              </w:rPr>
              <w:t>1 </w:t>
            </w:r>
            <w:r>
              <w:rPr>
                <w:spacing w:val="-1"/>
                <w:sz w:val="21"/>
              </w:rPr>
              <w:t>年不计</w:t>
            </w:r>
            <w:r>
              <w:rPr>
                <w:spacing w:val="-106"/>
                <w:sz w:val="21"/>
              </w:rPr>
              <w:t>）</w:t>
            </w:r>
            <w:r>
              <w:rPr>
                <w:sz w:val="21"/>
              </w:rPr>
              <w:t>。</w:t>
            </w:r>
          </w:p>
        </w:tc>
      </w:tr>
      <w:tr>
        <w:trPr>
          <w:trHeight w:val="740" w:hRule="atLeast"/>
        </w:trPr>
        <w:tc>
          <w:tcPr>
            <w:tcW w:w="664" w:type="dxa"/>
          </w:tcPr>
          <w:p>
            <w:pPr>
              <w:pStyle w:val="TableParagraph"/>
              <w:spacing w:before="28"/>
              <w:rPr>
                <w:b/>
                <w:sz w:val="21"/>
              </w:rPr>
            </w:pPr>
            <w:r>
              <w:rPr>
                <w:b/>
                <w:sz w:val="21"/>
              </w:rPr>
              <w:t>7.4</w:t>
            </w:r>
          </w:p>
        </w:tc>
        <w:tc>
          <w:tcPr>
            <w:tcW w:w="1637" w:type="dxa"/>
          </w:tcPr>
          <w:p>
            <w:pPr>
              <w:pStyle w:val="TableParagraph"/>
              <w:spacing w:before="28"/>
              <w:ind w:left="238"/>
              <w:rPr>
                <w:b/>
                <w:sz w:val="21"/>
              </w:rPr>
            </w:pPr>
            <w:r>
              <w:rPr>
                <w:b/>
                <w:sz w:val="21"/>
              </w:rPr>
              <w:t>有效身份证件</w:t>
            </w:r>
          </w:p>
        </w:tc>
        <w:tc>
          <w:tcPr>
            <w:tcW w:w="7455" w:type="dxa"/>
          </w:tcPr>
          <w:p>
            <w:pPr>
              <w:pStyle w:val="TableParagraph"/>
              <w:spacing w:line="273" w:lineRule="auto" w:before="28"/>
              <w:ind w:left="130" w:right="176"/>
              <w:rPr>
                <w:sz w:val="21"/>
              </w:rPr>
            </w:pPr>
            <w:r>
              <w:rPr>
                <w:sz w:val="21"/>
              </w:rPr>
              <w:t>指由政府主管部门规定的证明其身份的证件，如：居民身份证、按规定可使用的有效护照、军官证、警官证、士兵证、户口簿等证件。</w:t>
            </w:r>
          </w:p>
        </w:tc>
      </w:tr>
      <w:tr>
        <w:trPr>
          <w:trHeight w:val="2102" w:hRule="atLeast"/>
        </w:trPr>
        <w:tc>
          <w:tcPr>
            <w:tcW w:w="664" w:type="dxa"/>
          </w:tcPr>
          <w:p>
            <w:pPr>
              <w:pStyle w:val="TableParagraph"/>
              <w:spacing w:before="61"/>
              <w:rPr>
                <w:b/>
                <w:sz w:val="21"/>
              </w:rPr>
            </w:pPr>
            <w:r>
              <w:rPr>
                <w:b/>
                <w:sz w:val="21"/>
              </w:rPr>
              <w:t>7.5</w:t>
            </w:r>
          </w:p>
        </w:tc>
        <w:tc>
          <w:tcPr>
            <w:tcW w:w="1637" w:type="dxa"/>
          </w:tcPr>
          <w:p>
            <w:pPr>
              <w:pStyle w:val="TableParagraph"/>
              <w:spacing w:before="61"/>
              <w:ind w:left="238"/>
              <w:rPr>
                <w:b/>
                <w:sz w:val="21"/>
              </w:rPr>
            </w:pPr>
            <w:r>
              <w:rPr>
                <w:b/>
                <w:sz w:val="21"/>
              </w:rPr>
              <w:t>医院</w:t>
            </w:r>
          </w:p>
        </w:tc>
        <w:tc>
          <w:tcPr>
            <w:tcW w:w="7455" w:type="dxa"/>
          </w:tcPr>
          <w:p>
            <w:pPr>
              <w:pStyle w:val="TableParagraph"/>
              <w:spacing w:line="273" w:lineRule="auto" w:before="61"/>
              <w:ind w:left="130" w:right="176"/>
              <w:jc w:val="both"/>
              <w:rPr>
                <w:sz w:val="21"/>
              </w:rPr>
            </w:pPr>
            <w:r>
              <w:rPr>
                <w:sz w:val="21"/>
              </w:rPr>
              <w:t>本附加合同所称医院指我们指定医院或经中华人民共和国卫生部门评审确定的二级或以上之公立医院，但不包括精神病院及专供康复、护理、疗养、戒酒、戒毒、养老等非以直接诊治病人为目的之医疗机构。该医院必须具有符合国家有关医院管理规则设置标准的医疗设备，且全天24小时有合格的医生和护士驻院提供医疗和护理服务。当被保险人因急诊和遭受意外伤害事故须急救时不受此限，但病情稳定后须转入本附加合同所指医院治疗。</w:t>
            </w:r>
          </w:p>
        </w:tc>
      </w:tr>
      <w:tr>
        <w:trPr>
          <w:trHeight w:val="729" w:hRule="atLeast"/>
        </w:trPr>
        <w:tc>
          <w:tcPr>
            <w:tcW w:w="664" w:type="dxa"/>
          </w:tcPr>
          <w:p>
            <w:pPr>
              <w:pStyle w:val="TableParagraph"/>
              <w:spacing w:before="142"/>
              <w:rPr>
                <w:b/>
                <w:sz w:val="21"/>
              </w:rPr>
            </w:pPr>
            <w:r>
              <w:rPr>
                <w:b/>
                <w:sz w:val="21"/>
              </w:rPr>
              <w:t>7.6</w:t>
            </w:r>
          </w:p>
        </w:tc>
        <w:tc>
          <w:tcPr>
            <w:tcW w:w="1637" w:type="dxa"/>
          </w:tcPr>
          <w:p>
            <w:pPr>
              <w:pStyle w:val="TableParagraph"/>
              <w:spacing w:before="142"/>
              <w:ind w:left="238"/>
              <w:rPr>
                <w:b/>
                <w:sz w:val="21"/>
              </w:rPr>
            </w:pPr>
            <w:r>
              <w:rPr>
                <w:b/>
                <w:sz w:val="21"/>
              </w:rPr>
              <w:t>专科医生</w:t>
            </w:r>
          </w:p>
        </w:tc>
        <w:tc>
          <w:tcPr>
            <w:tcW w:w="7455" w:type="dxa"/>
          </w:tcPr>
          <w:p>
            <w:pPr>
              <w:pStyle w:val="TableParagraph"/>
              <w:spacing w:before="142"/>
              <w:ind w:left="130"/>
              <w:rPr>
                <w:sz w:val="21"/>
              </w:rPr>
            </w:pPr>
            <w:r>
              <w:rPr>
                <w:sz w:val="21"/>
              </w:rPr>
              <w:t>专科医生应当同时满足以下四项资格条件：</w:t>
            </w:r>
          </w:p>
          <w:p>
            <w:pPr>
              <w:pStyle w:val="TableParagraph"/>
              <w:spacing w:line="255" w:lineRule="exact" w:before="36"/>
              <w:ind w:left="130"/>
              <w:rPr>
                <w:sz w:val="21"/>
              </w:rPr>
            </w:pPr>
            <w:r>
              <w:rPr>
                <w:sz w:val="21"/>
              </w:rPr>
              <w:t>1.具有有效的中华人民共和国《医师资格证书》；</w:t>
            </w:r>
          </w:p>
        </w:tc>
      </w:tr>
    </w:tbl>
    <w:p>
      <w:pPr>
        <w:spacing w:after="0" w:line="255" w:lineRule="exact"/>
        <w:rPr>
          <w:sz w:val="21"/>
        </w:rPr>
        <w:sectPr>
          <w:pgSz w:w="11910" w:h="16840"/>
          <w:pgMar w:header="0" w:footer="925" w:top="1160" w:bottom="1120" w:left="9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425"/>
        <w:gridCol w:w="7868"/>
      </w:tblGrid>
      <w:tr>
        <w:trPr>
          <w:trHeight w:val="1283" w:hRule="atLeast"/>
        </w:trPr>
        <w:tc>
          <w:tcPr>
            <w:tcW w:w="756" w:type="dxa"/>
          </w:tcPr>
          <w:p>
            <w:pPr>
              <w:pStyle w:val="TableParagraph"/>
              <w:ind w:left="0"/>
              <w:rPr>
                <w:rFonts w:ascii="Times New Roman"/>
                <w:sz w:val="20"/>
              </w:rPr>
            </w:pPr>
          </w:p>
        </w:tc>
        <w:tc>
          <w:tcPr>
            <w:tcW w:w="1425" w:type="dxa"/>
          </w:tcPr>
          <w:p>
            <w:pPr>
              <w:pStyle w:val="TableParagraph"/>
              <w:ind w:left="0"/>
              <w:rPr>
                <w:rFonts w:ascii="Times New Roman"/>
                <w:sz w:val="20"/>
              </w:rPr>
            </w:pPr>
          </w:p>
        </w:tc>
        <w:tc>
          <w:tcPr>
            <w:tcW w:w="7868" w:type="dxa"/>
          </w:tcPr>
          <w:p>
            <w:pPr>
              <w:pStyle w:val="TableParagraph"/>
              <w:spacing w:line="211" w:lineRule="exact"/>
              <w:ind w:left="342"/>
              <w:rPr>
                <w:sz w:val="21"/>
              </w:rPr>
            </w:pPr>
            <w:r>
              <w:rPr>
                <w:sz w:val="21"/>
              </w:rPr>
              <w:t>2.具有有效的中华人民共和国《医师执业证书》，并按期到相关部门登记注册；</w:t>
            </w:r>
          </w:p>
          <w:p>
            <w:pPr>
              <w:pStyle w:val="TableParagraph"/>
              <w:spacing w:line="273" w:lineRule="auto" w:before="37"/>
              <w:ind w:left="342" w:right="586"/>
              <w:rPr>
                <w:sz w:val="21"/>
              </w:rPr>
            </w:pPr>
            <w:r>
              <w:rPr>
                <w:sz w:val="21"/>
              </w:rPr>
              <w:t>3.具有有效的中华人民共和国主治医师或主治医师以上职称的《医师职称证书》；</w:t>
            </w:r>
          </w:p>
          <w:p>
            <w:pPr>
              <w:pStyle w:val="TableParagraph"/>
              <w:spacing w:before="7"/>
              <w:ind w:left="342"/>
              <w:rPr>
                <w:sz w:val="21"/>
              </w:rPr>
            </w:pPr>
            <w:r>
              <w:rPr>
                <w:rFonts w:ascii="Times New Roman" w:eastAsia="Times New Roman"/>
                <w:sz w:val="21"/>
              </w:rPr>
              <w:t>4.</w:t>
            </w:r>
            <w:r>
              <w:rPr>
                <w:sz w:val="21"/>
              </w:rPr>
              <w:t>在二级或二级以上医院的相应科室从事临床工作 </w:t>
            </w:r>
            <w:r>
              <w:rPr>
                <w:rFonts w:ascii="Times New Roman" w:eastAsia="Times New Roman"/>
                <w:sz w:val="21"/>
              </w:rPr>
              <w:t>3 </w:t>
            </w:r>
            <w:r>
              <w:rPr>
                <w:sz w:val="21"/>
              </w:rPr>
              <w:t>年以上。</w:t>
            </w:r>
          </w:p>
        </w:tc>
      </w:tr>
      <w:tr>
        <w:trPr>
          <w:trHeight w:val="12815" w:hRule="atLeast"/>
        </w:trPr>
        <w:tc>
          <w:tcPr>
            <w:tcW w:w="756" w:type="dxa"/>
          </w:tcPr>
          <w:p>
            <w:pPr>
              <w:pStyle w:val="TableParagraph"/>
              <w:spacing w:before="56"/>
              <w:ind w:left="200"/>
              <w:rPr>
                <w:b/>
                <w:sz w:val="21"/>
              </w:rPr>
            </w:pPr>
            <w:r>
              <w:rPr>
                <w:b/>
                <w:sz w:val="21"/>
              </w:rPr>
              <w:t>7.7</w:t>
            </w:r>
          </w:p>
        </w:tc>
        <w:tc>
          <w:tcPr>
            <w:tcW w:w="1425" w:type="dxa"/>
          </w:tcPr>
          <w:p>
            <w:pPr>
              <w:pStyle w:val="TableParagraph"/>
              <w:spacing w:before="56"/>
              <w:ind w:left="238"/>
              <w:rPr>
                <w:b/>
                <w:sz w:val="21"/>
              </w:rPr>
            </w:pPr>
            <w:r>
              <w:rPr>
                <w:b/>
                <w:sz w:val="21"/>
              </w:rPr>
              <w:t>轻型重疾</w:t>
            </w:r>
          </w:p>
        </w:tc>
        <w:tc>
          <w:tcPr>
            <w:tcW w:w="7868" w:type="dxa"/>
          </w:tcPr>
          <w:p>
            <w:pPr>
              <w:pStyle w:val="TableParagraph"/>
              <w:spacing w:before="76"/>
              <w:ind w:left="342"/>
              <w:rPr>
                <w:sz w:val="21"/>
              </w:rPr>
            </w:pPr>
            <w:r>
              <w:rPr>
                <w:sz w:val="21"/>
              </w:rPr>
              <w:t>本附加合同中所列轻型重疾包括以下 30 种：</w:t>
            </w:r>
          </w:p>
          <w:p>
            <w:pPr>
              <w:pStyle w:val="TableParagraph"/>
              <w:numPr>
                <w:ilvl w:val="0"/>
                <w:numId w:val="7"/>
              </w:numPr>
              <w:tabs>
                <w:tab w:pos="764" w:val="left" w:leader="none"/>
              </w:tabs>
              <w:spacing w:line="273" w:lineRule="auto" w:before="176" w:after="0"/>
              <w:ind w:left="763" w:right="376" w:hanging="421"/>
              <w:jc w:val="both"/>
              <w:rPr>
                <w:sz w:val="21"/>
              </w:rPr>
            </w:pPr>
            <w:r>
              <w:rPr>
                <w:spacing w:val="-3"/>
                <w:sz w:val="21"/>
              </w:rPr>
              <w:t>原位癌：指恶性肿瘤细胞未穿透基底膜的原位无浸润的恶性肿瘤。诊断需以固定组织标本的病理组织学检查结果为依据，任何组织涂片和穿刺活检结果均不能作为诊断依据。被保险人必须已经接受了针对原位癌病灶的积极治疗，包括手术、化疗或放疗等治疗方式。</w:t>
            </w:r>
          </w:p>
          <w:p>
            <w:pPr>
              <w:pStyle w:val="TableParagraph"/>
              <w:spacing w:line="273" w:lineRule="auto" w:before="7"/>
              <w:ind w:left="763" w:right="482"/>
              <w:rPr>
                <w:sz w:val="21"/>
              </w:rPr>
            </w:pPr>
            <w:r>
              <w:rPr>
                <w:sz w:val="21"/>
              </w:rPr>
              <w:t>原位癌必须在生前诊断,对被保险人所患癌症在被诊断时已经超越原位癌阶段者，本公司不再针对原位癌赔付原位癌保险金。</w:t>
            </w:r>
          </w:p>
          <w:p>
            <w:pPr>
              <w:pStyle w:val="TableParagraph"/>
              <w:spacing w:line="273" w:lineRule="auto" w:before="7"/>
              <w:ind w:left="763" w:right="262"/>
              <w:rPr>
                <w:sz w:val="21"/>
              </w:rPr>
            </w:pPr>
            <w:r>
              <w:rPr>
                <w:sz w:val="21"/>
              </w:rPr>
              <w:t>癌前病变（包括宫颈上皮内瘤样病变 CIN-1，CIN-2，重度不典型增生但非原位癌）不在本保障范围之内。</w:t>
            </w:r>
          </w:p>
          <w:p>
            <w:pPr>
              <w:pStyle w:val="TableParagraph"/>
              <w:numPr>
                <w:ilvl w:val="0"/>
                <w:numId w:val="7"/>
              </w:numPr>
              <w:tabs>
                <w:tab w:pos="763" w:val="left" w:leader="none"/>
                <w:tab w:pos="764" w:val="left" w:leader="none"/>
              </w:tabs>
              <w:spacing w:line="273" w:lineRule="auto" w:before="164" w:after="0"/>
              <w:ind w:left="763" w:right="196" w:hanging="421"/>
              <w:jc w:val="left"/>
              <w:rPr>
                <w:sz w:val="21"/>
              </w:rPr>
            </w:pPr>
            <w:r>
              <w:rPr>
                <w:spacing w:val="-6"/>
                <w:sz w:val="21"/>
              </w:rPr>
              <w:t>非危及生命的恶性肿瘤：指经组织病理学检查被明确诊断为下列恶性病变， </w:t>
            </w:r>
            <w:r>
              <w:rPr>
                <w:spacing w:val="-4"/>
                <w:sz w:val="21"/>
              </w:rPr>
              <w:t>并且接受了相应的治疗。</w:t>
            </w:r>
          </w:p>
          <w:p>
            <w:pPr>
              <w:pStyle w:val="TableParagraph"/>
              <w:numPr>
                <w:ilvl w:val="1"/>
                <w:numId w:val="7"/>
              </w:numPr>
              <w:tabs>
                <w:tab w:pos="1603" w:val="left" w:leader="none"/>
                <w:tab w:pos="1604" w:val="left" w:leader="none"/>
              </w:tabs>
              <w:spacing w:line="240" w:lineRule="auto" w:before="164" w:after="0"/>
              <w:ind w:left="1603" w:right="0" w:hanging="420"/>
              <w:jc w:val="left"/>
              <w:rPr>
                <w:sz w:val="21"/>
              </w:rPr>
            </w:pPr>
            <w:r>
              <w:rPr>
                <w:spacing w:val="-14"/>
                <w:sz w:val="21"/>
              </w:rPr>
              <w:t>相当于 </w:t>
            </w:r>
            <w:r>
              <w:rPr>
                <w:sz w:val="21"/>
              </w:rPr>
              <w:t>Binet</w:t>
            </w:r>
            <w:r>
              <w:rPr>
                <w:spacing w:val="-9"/>
                <w:sz w:val="21"/>
              </w:rPr>
              <w:t> 分期方案 </w:t>
            </w:r>
            <w:r>
              <w:rPr>
                <w:sz w:val="21"/>
              </w:rPr>
              <w:t>A</w:t>
            </w:r>
            <w:r>
              <w:rPr>
                <w:spacing w:val="-9"/>
                <w:sz w:val="21"/>
              </w:rPr>
              <w:t> 期程度的慢性淋巴细胞白血病；</w:t>
            </w:r>
          </w:p>
          <w:p>
            <w:pPr>
              <w:pStyle w:val="TableParagraph"/>
              <w:spacing w:before="10"/>
              <w:ind w:left="0"/>
              <w:rPr>
                <w:sz w:val="14"/>
              </w:rPr>
            </w:pPr>
          </w:p>
          <w:p>
            <w:pPr>
              <w:pStyle w:val="TableParagraph"/>
              <w:numPr>
                <w:ilvl w:val="1"/>
                <w:numId w:val="7"/>
              </w:numPr>
              <w:tabs>
                <w:tab w:pos="1603" w:val="left" w:leader="none"/>
                <w:tab w:pos="1604" w:val="left" w:leader="none"/>
              </w:tabs>
              <w:spacing w:line="240" w:lineRule="auto" w:before="0" w:after="0"/>
              <w:ind w:left="1603" w:right="0" w:hanging="420"/>
              <w:jc w:val="left"/>
              <w:rPr>
                <w:sz w:val="21"/>
              </w:rPr>
            </w:pPr>
            <w:r>
              <w:rPr>
                <w:spacing w:val="-14"/>
                <w:sz w:val="21"/>
              </w:rPr>
              <w:t>相当于 </w:t>
            </w:r>
            <w:r>
              <w:rPr>
                <w:sz w:val="21"/>
              </w:rPr>
              <w:t>Ann</w:t>
            </w:r>
            <w:r>
              <w:rPr>
                <w:spacing w:val="3"/>
                <w:sz w:val="21"/>
              </w:rPr>
              <w:t> </w:t>
            </w:r>
            <w:r>
              <w:rPr>
                <w:sz w:val="21"/>
              </w:rPr>
              <w:t>Arbor</w:t>
            </w:r>
            <w:r>
              <w:rPr>
                <w:spacing w:val="-10"/>
                <w:sz w:val="21"/>
              </w:rPr>
              <w:t> 分期方案 </w:t>
            </w:r>
            <w:r>
              <w:rPr>
                <w:sz w:val="21"/>
              </w:rPr>
              <w:t>I</w:t>
            </w:r>
            <w:r>
              <w:rPr>
                <w:spacing w:val="-9"/>
                <w:sz w:val="21"/>
              </w:rPr>
              <w:t> 期程度的何杰金氏病；</w:t>
            </w:r>
          </w:p>
          <w:p>
            <w:pPr>
              <w:pStyle w:val="TableParagraph"/>
              <w:spacing w:before="9"/>
              <w:ind w:left="0"/>
              <w:rPr>
                <w:sz w:val="14"/>
              </w:rPr>
            </w:pPr>
          </w:p>
          <w:p>
            <w:pPr>
              <w:pStyle w:val="TableParagraph"/>
              <w:numPr>
                <w:ilvl w:val="1"/>
                <w:numId w:val="7"/>
              </w:numPr>
              <w:tabs>
                <w:tab w:pos="1604" w:val="left" w:leader="none"/>
              </w:tabs>
              <w:spacing w:line="273" w:lineRule="auto" w:before="1" w:after="0"/>
              <w:ind w:left="1603" w:right="377" w:hanging="420"/>
              <w:jc w:val="both"/>
              <w:rPr>
                <w:sz w:val="21"/>
              </w:rPr>
            </w:pPr>
            <w:r>
              <w:rPr>
                <w:spacing w:val="-3"/>
                <w:sz w:val="21"/>
              </w:rPr>
              <w:t>皮肤癌；指皮肤表皮发生的恶性肿瘤。皮肤癌的诊断必须由专科医生诊断并且经病理学检查结果确诊。恶性黑色素瘤及已发生转移的皮肤癌不在保障范围内；</w:t>
            </w:r>
          </w:p>
          <w:p>
            <w:pPr>
              <w:pStyle w:val="TableParagraph"/>
              <w:numPr>
                <w:ilvl w:val="1"/>
                <w:numId w:val="7"/>
              </w:numPr>
              <w:tabs>
                <w:tab w:pos="1603" w:val="left" w:leader="none"/>
                <w:tab w:pos="1604" w:val="left" w:leader="none"/>
              </w:tabs>
              <w:spacing w:line="240" w:lineRule="auto" w:before="163" w:after="0"/>
              <w:ind w:left="1603" w:right="0" w:hanging="420"/>
              <w:jc w:val="left"/>
              <w:rPr>
                <w:sz w:val="21"/>
              </w:rPr>
            </w:pPr>
            <w:r>
              <w:rPr>
                <w:position w:val="1"/>
                <w:sz w:val="21"/>
              </w:rPr>
              <w:t>TNM</w:t>
            </w:r>
            <w:r>
              <w:rPr>
                <w:spacing w:val="-19"/>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5"/>
                <w:sz w:val="11"/>
              </w:rPr>
              <w:t> </w:t>
            </w:r>
            <w:r>
              <w:rPr>
                <w:spacing w:val="-3"/>
                <w:position w:val="1"/>
                <w:sz w:val="21"/>
              </w:rPr>
              <w:t>期或更轻分期的前列腺癌。</w:t>
            </w:r>
          </w:p>
          <w:p>
            <w:pPr>
              <w:pStyle w:val="TableParagraph"/>
              <w:spacing w:before="9"/>
              <w:ind w:left="0"/>
              <w:rPr>
                <w:sz w:val="14"/>
              </w:rPr>
            </w:pPr>
          </w:p>
          <w:p>
            <w:pPr>
              <w:pStyle w:val="TableParagraph"/>
              <w:spacing w:line="273" w:lineRule="auto" w:before="1"/>
              <w:ind w:left="763" w:right="262"/>
              <w:rPr>
                <w:sz w:val="21"/>
              </w:rPr>
            </w:pPr>
            <w:r>
              <w:rPr>
                <w:sz w:val="21"/>
              </w:rPr>
              <w:t>癌前病变（包括宫颈上皮内瘤样病变 CIN-1，CIN-2，重度不典型增生但非原位癌）不在本保障范围之内</w:t>
            </w:r>
          </w:p>
          <w:p>
            <w:pPr>
              <w:pStyle w:val="TableParagraph"/>
              <w:numPr>
                <w:ilvl w:val="0"/>
                <w:numId w:val="7"/>
              </w:numPr>
              <w:tabs>
                <w:tab w:pos="764" w:val="left" w:leader="none"/>
              </w:tabs>
              <w:spacing w:line="273" w:lineRule="auto" w:before="164" w:after="0"/>
              <w:ind w:left="763" w:right="377" w:hanging="421"/>
              <w:jc w:val="both"/>
              <w:rPr>
                <w:sz w:val="21"/>
              </w:rPr>
            </w:pPr>
            <w:r>
              <w:rPr>
                <w:spacing w:val="-3"/>
                <w:sz w:val="21"/>
              </w:rPr>
              <w:t>不典型的急性心肌梗塞：指被临床诊断为急性心肌梗塞并接受了急性心肌梗塞治疗虽然未达到重大疾病“急性心肌梗塞”的给付标准。</w:t>
            </w:r>
          </w:p>
          <w:p>
            <w:pPr>
              <w:pStyle w:val="TableParagraph"/>
              <w:spacing w:before="164"/>
              <w:ind w:left="763"/>
              <w:rPr>
                <w:sz w:val="21"/>
              </w:rPr>
            </w:pPr>
            <w:r>
              <w:rPr>
                <w:sz w:val="21"/>
              </w:rPr>
              <w:t>但满足下列全部条件：</w:t>
            </w:r>
          </w:p>
          <w:p>
            <w:pPr>
              <w:pStyle w:val="TableParagraph"/>
              <w:spacing w:before="10"/>
              <w:ind w:left="0"/>
              <w:rPr>
                <w:sz w:val="14"/>
              </w:rPr>
            </w:pPr>
          </w:p>
          <w:p>
            <w:pPr>
              <w:pStyle w:val="TableParagraph"/>
              <w:numPr>
                <w:ilvl w:val="1"/>
                <w:numId w:val="7"/>
              </w:numPr>
              <w:tabs>
                <w:tab w:pos="1603" w:val="left" w:leader="none"/>
                <w:tab w:pos="1604" w:val="left" w:leader="none"/>
              </w:tabs>
              <w:spacing w:line="273" w:lineRule="auto" w:before="0" w:after="0"/>
              <w:ind w:left="1603" w:right="377" w:hanging="420"/>
              <w:jc w:val="left"/>
              <w:rPr>
                <w:sz w:val="21"/>
              </w:rPr>
            </w:pPr>
            <w:r>
              <w:rPr>
                <w:spacing w:val="-3"/>
                <w:sz w:val="21"/>
              </w:rPr>
              <w:t>心肌酶或肌钙蛋白有诊断意义的升高，或呈符合急性心肌梗塞的动态性变化；</w:t>
            </w:r>
          </w:p>
          <w:p>
            <w:pPr>
              <w:pStyle w:val="TableParagraph"/>
              <w:numPr>
                <w:ilvl w:val="1"/>
                <w:numId w:val="7"/>
              </w:numPr>
              <w:tabs>
                <w:tab w:pos="1603" w:val="left" w:leader="none"/>
                <w:tab w:pos="1604" w:val="left" w:leader="none"/>
              </w:tabs>
              <w:spacing w:line="408" w:lineRule="auto" w:before="163" w:after="0"/>
              <w:ind w:left="763" w:right="1746" w:firstLine="420"/>
              <w:jc w:val="left"/>
              <w:rPr>
                <w:sz w:val="21"/>
              </w:rPr>
            </w:pPr>
            <w:r>
              <w:rPr>
                <w:spacing w:val="-8"/>
                <w:sz w:val="21"/>
              </w:rPr>
              <w:t>心电图有损伤性的 </w:t>
            </w:r>
            <w:r>
              <w:rPr>
                <w:sz w:val="21"/>
              </w:rPr>
              <w:t>ST</w:t>
            </w:r>
            <w:r>
              <w:rPr>
                <w:spacing w:val="-13"/>
                <w:sz w:val="21"/>
              </w:rPr>
              <w:t> 段改变但未出现病理 </w:t>
            </w:r>
            <w:r>
              <w:rPr>
                <w:sz w:val="21"/>
              </w:rPr>
              <w:t>Q</w:t>
            </w:r>
            <w:r>
              <w:rPr>
                <w:spacing w:val="-17"/>
                <w:sz w:val="21"/>
              </w:rPr>
              <w:t> 波。除外：</w:t>
            </w:r>
          </w:p>
          <w:p>
            <w:pPr>
              <w:pStyle w:val="TableParagraph"/>
              <w:numPr>
                <w:ilvl w:val="0"/>
                <w:numId w:val="8"/>
              </w:numPr>
              <w:tabs>
                <w:tab w:pos="1603" w:val="left" w:leader="none"/>
                <w:tab w:pos="1604" w:val="left" w:leader="none"/>
              </w:tabs>
              <w:spacing w:line="273" w:lineRule="auto" w:before="45" w:after="0"/>
              <w:ind w:left="1603" w:right="302" w:hanging="420"/>
              <w:jc w:val="left"/>
              <w:rPr>
                <w:sz w:val="21"/>
              </w:rPr>
            </w:pPr>
            <w:r>
              <w:rPr>
                <w:spacing w:val="-5"/>
                <w:sz w:val="21"/>
              </w:rPr>
              <w:t>其他非心肌梗死性的急性冠状动脉综合症</w:t>
            </w:r>
            <w:r>
              <w:rPr>
                <w:spacing w:val="-3"/>
                <w:sz w:val="21"/>
              </w:rPr>
              <w:t>（</w:t>
            </w:r>
            <w:r>
              <w:rPr>
                <w:spacing w:val="-2"/>
                <w:sz w:val="21"/>
              </w:rPr>
              <w:t>稳定性</w:t>
            </w:r>
            <w:r>
              <w:rPr>
                <w:spacing w:val="-3"/>
                <w:sz w:val="21"/>
              </w:rPr>
              <w:t>/</w:t>
            </w:r>
            <w:r>
              <w:rPr>
                <w:spacing w:val="-2"/>
                <w:sz w:val="21"/>
              </w:rPr>
              <w:t>不稳定性心绞</w:t>
            </w:r>
            <w:r>
              <w:rPr>
                <w:spacing w:val="-2"/>
                <w:w w:val="100"/>
                <w:sz w:val="21"/>
              </w:rPr>
              <w:t>痛</w:t>
            </w:r>
            <w:r>
              <w:rPr>
                <w:spacing w:val="-106"/>
                <w:w w:val="100"/>
                <w:sz w:val="21"/>
              </w:rPr>
              <w:t>）</w:t>
            </w:r>
            <w:r>
              <w:rPr>
                <w:w w:val="100"/>
                <w:sz w:val="21"/>
              </w:rPr>
              <w:t>；</w:t>
            </w:r>
          </w:p>
          <w:p>
            <w:pPr>
              <w:pStyle w:val="TableParagraph"/>
              <w:numPr>
                <w:ilvl w:val="0"/>
                <w:numId w:val="8"/>
              </w:numPr>
              <w:tabs>
                <w:tab w:pos="1603" w:val="left" w:leader="none"/>
                <w:tab w:pos="1604" w:val="left" w:leader="none"/>
              </w:tabs>
              <w:spacing w:line="240" w:lineRule="auto" w:before="163" w:after="0"/>
              <w:ind w:left="1603" w:right="0" w:hanging="420"/>
              <w:jc w:val="left"/>
              <w:rPr>
                <w:sz w:val="21"/>
              </w:rPr>
            </w:pPr>
            <w:r>
              <w:rPr>
                <w:spacing w:val="-3"/>
                <w:sz w:val="21"/>
              </w:rPr>
              <w:t>由于心脏或冠状动脉介入手术引起的心脏损害。</w:t>
            </w:r>
          </w:p>
          <w:p>
            <w:pPr>
              <w:pStyle w:val="TableParagraph"/>
              <w:spacing w:before="9"/>
              <w:ind w:left="0"/>
              <w:rPr>
                <w:sz w:val="14"/>
              </w:rPr>
            </w:pPr>
          </w:p>
          <w:p>
            <w:pPr>
              <w:pStyle w:val="TableParagraph"/>
              <w:spacing w:line="273" w:lineRule="auto"/>
              <w:ind w:left="763" w:right="377" w:hanging="421"/>
              <w:jc w:val="both"/>
              <w:rPr>
                <w:sz w:val="21"/>
              </w:rPr>
            </w:pPr>
            <w:r>
              <w:rPr>
                <w:sz w:val="21"/>
              </w:rPr>
              <w:t>4.</w:t>
            </w:r>
            <w:r>
              <w:rPr>
                <w:spacing w:val="-3"/>
                <w:sz w:val="21"/>
              </w:rPr>
              <w:t> 轻微脑中风：指因脑血管的突发病变出现神经系统功能障碍表现，头颅断</w:t>
            </w:r>
            <w:r>
              <w:rPr>
                <w:spacing w:val="-3"/>
                <w:w w:val="100"/>
                <w:sz w:val="21"/>
              </w:rPr>
              <w:t>层扫描</w:t>
            </w:r>
            <w:r>
              <w:rPr>
                <w:spacing w:val="-1"/>
                <w:w w:val="100"/>
                <w:sz w:val="21"/>
              </w:rPr>
              <w:t>（</w:t>
            </w:r>
            <w:r>
              <w:rPr>
                <w:w w:val="100"/>
                <w:sz w:val="21"/>
              </w:rPr>
              <w:t>C</w:t>
            </w:r>
            <w:r>
              <w:rPr>
                <w:spacing w:val="-3"/>
                <w:w w:val="100"/>
                <w:sz w:val="21"/>
              </w:rPr>
              <w:t>T</w:t>
            </w:r>
            <w:r>
              <w:rPr>
                <w:spacing w:val="-106"/>
                <w:w w:val="100"/>
                <w:sz w:val="21"/>
              </w:rPr>
              <w:t>）</w:t>
            </w:r>
            <w:r>
              <w:rPr>
                <w:spacing w:val="-3"/>
                <w:w w:val="100"/>
                <w:sz w:val="21"/>
              </w:rPr>
              <w:t>、核磁共振（</w:t>
            </w:r>
            <w:r>
              <w:rPr>
                <w:w w:val="100"/>
                <w:sz w:val="21"/>
              </w:rPr>
              <w:t>MRI</w:t>
            </w:r>
            <w:r>
              <w:rPr>
                <w:spacing w:val="-3"/>
                <w:w w:val="100"/>
                <w:sz w:val="21"/>
              </w:rPr>
              <w:t>）等影像学检查证实存在对应病灶，确诊为</w:t>
            </w:r>
            <w:r>
              <w:rPr>
                <w:spacing w:val="-3"/>
                <w:sz w:val="21"/>
              </w:rPr>
              <w:t>脑出血、脑栓塞或脑梗塞。</w:t>
            </w:r>
          </w:p>
          <w:p>
            <w:pPr>
              <w:pStyle w:val="TableParagraph"/>
              <w:spacing w:line="255" w:lineRule="exact" w:before="163"/>
              <w:ind w:left="763"/>
              <w:rPr>
                <w:sz w:val="21"/>
              </w:rPr>
            </w:pPr>
            <w:r>
              <w:rPr>
                <w:sz w:val="21"/>
              </w:rPr>
              <w:t>在确诊 180 天后仍遗留神经系统功能障碍。遗留的神经系统功能障碍程度</w:t>
            </w:r>
          </w:p>
        </w:tc>
      </w:tr>
    </w:tbl>
    <w:p>
      <w:pPr>
        <w:spacing w:after="0" w:line="255" w:lineRule="exact"/>
        <w:rPr>
          <w:sz w:val="21"/>
        </w:rPr>
        <w:sectPr>
          <w:pgSz w:w="11910" w:h="16840"/>
          <w:pgMar w:header="0" w:footer="925" w:top="1160" w:bottom="1120" w:left="820" w:right="820"/>
        </w:sectPr>
      </w:pPr>
    </w:p>
    <w:p>
      <w:pPr>
        <w:pStyle w:val="BodyText"/>
        <w:spacing w:line="273" w:lineRule="auto" w:before="22"/>
        <w:ind w:left="2197" w:right="281"/>
      </w:pPr>
      <w:r>
        <w:rPr/>
        <w:t>虽未达到重大疾病“脑中风后遗症”的给付标准，但仍遗留下列一种或一种以上障碍：</w:t>
      </w:r>
    </w:p>
    <w:p>
      <w:pPr>
        <w:pStyle w:val="ListParagraph"/>
        <w:numPr>
          <w:ilvl w:val="0"/>
          <w:numId w:val="9"/>
        </w:numPr>
        <w:tabs>
          <w:tab w:pos="3036" w:val="left" w:leader="none"/>
          <w:tab w:pos="3037" w:val="left" w:leader="none"/>
        </w:tabs>
        <w:spacing w:line="240" w:lineRule="auto" w:before="164" w:after="0"/>
        <w:ind w:left="3037" w:right="0" w:hanging="420"/>
        <w:jc w:val="left"/>
        <w:rPr>
          <w:sz w:val="21"/>
        </w:rPr>
      </w:pPr>
      <w:r>
        <w:rPr>
          <w:spacing w:val="-1"/>
          <w:sz w:val="21"/>
        </w:rPr>
        <w:t>一侧肢体</w:t>
      </w:r>
      <w:r>
        <w:rPr>
          <w:spacing w:val="-3"/>
          <w:sz w:val="21"/>
        </w:rPr>
        <w:t>（上肢和下肢）</w:t>
      </w:r>
      <w:r>
        <w:rPr>
          <w:spacing w:val="-10"/>
          <w:sz w:val="21"/>
        </w:rPr>
        <w:t>的肌力为 </w:t>
      </w:r>
      <w:r>
        <w:rPr>
          <w:sz w:val="21"/>
        </w:rPr>
        <w:t>2</w:t>
      </w:r>
      <w:r>
        <w:rPr>
          <w:spacing w:val="-9"/>
          <w:sz w:val="21"/>
        </w:rPr>
        <w:t> 级或更低；</w:t>
      </w:r>
    </w:p>
    <w:p>
      <w:pPr>
        <w:pStyle w:val="BodyText"/>
        <w:spacing w:before="9"/>
        <w:rPr>
          <w:sz w:val="14"/>
        </w:rPr>
      </w:pPr>
    </w:p>
    <w:p>
      <w:pPr>
        <w:pStyle w:val="ListParagraph"/>
        <w:numPr>
          <w:ilvl w:val="0"/>
          <w:numId w:val="9"/>
        </w:numPr>
        <w:tabs>
          <w:tab w:pos="3036" w:val="left" w:leader="none"/>
          <w:tab w:pos="3037" w:val="left" w:leader="none"/>
        </w:tabs>
        <w:spacing w:line="240" w:lineRule="auto" w:before="0" w:after="0"/>
        <w:ind w:left="3037" w:right="0" w:hanging="420"/>
        <w:jc w:val="left"/>
        <w:rPr>
          <w:sz w:val="21"/>
        </w:rPr>
      </w:pPr>
      <w:r>
        <w:rPr>
          <w:spacing w:val="-3"/>
          <w:sz w:val="21"/>
        </w:rPr>
        <w:t>自主生活能力丧失，无法独立完成</w:t>
      </w:r>
      <w:r>
        <w:rPr>
          <w:b/>
          <w:spacing w:val="-1"/>
          <w:sz w:val="21"/>
        </w:rPr>
        <w:t>六项基本日常生活活动</w:t>
      </w:r>
      <w:r>
        <w:rPr>
          <w:sz w:val="21"/>
        </w:rPr>
        <w:t>（见</w:t>
      </w:r>
    </w:p>
    <w:p>
      <w:pPr>
        <w:pStyle w:val="BodyText"/>
        <w:spacing w:line="408" w:lineRule="auto" w:before="36"/>
        <w:ind w:left="2197" w:right="4484" w:firstLine="840"/>
      </w:pPr>
      <w:r>
        <w:rPr/>
        <w:t>7.17）中的二项。肌力分级：</w:t>
      </w:r>
    </w:p>
    <w:p>
      <w:pPr>
        <w:pStyle w:val="ListParagraph"/>
        <w:numPr>
          <w:ilvl w:val="0"/>
          <w:numId w:val="10"/>
        </w:numPr>
        <w:tabs>
          <w:tab w:pos="2356" w:val="left" w:leader="none"/>
          <w:tab w:pos="2775" w:val="left" w:leader="none"/>
        </w:tabs>
        <w:spacing w:line="240" w:lineRule="auto" w:before="45" w:after="0"/>
        <w:ind w:left="2355" w:right="0" w:hanging="158"/>
        <w:jc w:val="left"/>
        <w:rPr>
          <w:sz w:val="21"/>
        </w:rPr>
      </w:pPr>
      <w:r>
        <w:rPr>
          <w:sz w:val="21"/>
        </w:rPr>
        <w:t>级</w:t>
        <w:tab/>
        <w:t>完</w:t>
      </w:r>
      <w:r>
        <w:rPr>
          <w:spacing w:val="-3"/>
          <w:sz w:val="21"/>
        </w:rPr>
        <w:t>全</w:t>
      </w:r>
      <w:r>
        <w:rPr>
          <w:sz w:val="21"/>
        </w:rPr>
        <w:t>瘫</w:t>
      </w:r>
      <w:r>
        <w:rPr>
          <w:spacing w:val="-3"/>
          <w:sz w:val="21"/>
        </w:rPr>
        <w:t>痪</w:t>
      </w:r>
      <w:r>
        <w:rPr>
          <w:sz w:val="21"/>
        </w:rPr>
        <w:t>，</w:t>
      </w:r>
      <w:r>
        <w:rPr>
          <w:spacing w:val="-3"/>
          <w:sz w:val="21"/>
        </w:rPr>
        <w:t>测</w:t>
      </w:r>
      <w:r>
        <w:rPr>
          <w:sz w:val="21"/>
        </w:rPr>
        <w:t>不</w:t>
      </w:r>
      <w:r>
        <w:rPr>
          <w:spacing w:val="-3"/>
          <w:sz w:val="21"/>
        </w:rPr>
        <w:t>到</w:t>
      </w:r>
      <w:r>
        <w:rPr>
          <w:sz w:val="21"/>
        </w:rPr>
        <w:t>肌肉</w:t>
      </w:r>
      <w:r>
        <w:rPr>
          <w:spacing w:val="-3"/>
          <w:sz w:val="21"/>
        </w:rPr>
        <w:t>收</w:t>
      </w:r>
      <w:r>
        <w:rPr>
          <w:sz w:val="21"/>
        </w:rPr>
        <w:t>缩。</w:t>
      </w:r>
    </w:p>
    <w:p>
      <w:pPr>
        <w:pStyle w:val="BodyText"/>
        <w:spacing w:before="9"/>
        <w:rPr>
          <w:sz w:val="14"/>
        </w:rPr>
      </w:pPr>
    </w:p>
    <w:p>
      <w:pPr>
        <w:pStyle w:val="ListParagraph"/>
        <w:numPr>
          <w:ilvl w:val="0"/>
          <w:numId w:val="10"/>
        </w:numPr>
        <w:tabs>
          <w:tab w:pos="2356" w:val="left" w:leader="none"/>
          <w:tab w:pos="2775" w:val="left" w:leader="none"/>
        </w:tabs>
        <w:spacing w:line="240" w:lineRule="auto" w:before="0" w:after="0"/>
        <w:ind w:left="2355" w:right="0" w:hanging="158"/>
        <w:jc w:val="left"/>
        <w:rPr>
          <w:sz w:val="21"/>
        </w:rPr>
      </w:pPr>
      <w:r>
        <w:rPr>
          <w:sz w:val="21"/>
        </w:rPr>
        <w:t>级</w:t>
        <w:tab/>
        <w:t>可</w:t>
      </w:r>
      <w:r>
        <w:rPr>
          <w:spacing w:val="-3"/>
          <w:sz w:val="21"/>
        </w:rPr>
        <w:t>见</w:t>
      </w:r>
      <w:r>
        <w:rPr>
          <w:sz w:val="21"/>
        </w:rPr>
        <w:t>肌</w:t>
      </w:r>
      <w:r>
        <w:rPr>
          <w:spacing w:val="-3"/>
          <w:sz w:val="21"/>
        </w:rPr>
        <w:t>肉</w:t>
      </w:r>
      <w:r>
        <w:rPr>
          <w:sz w:val="21"/>
        </w:rPr>
        <w:t>轻</w:t>
      </w:r>
      <w:r>
        <w:rPr>
          <w:spacing w:val="-3"/>
          <w:sz w:val="21"/>
        </w:rPr>
        <w:t>微</w:t>
      </w:r>
      <w:r>
        <w:rPr>
          <w:sz w:val="21"/>
        </w:rPr>
        <w:t>收</w:t>
      </w:r>
      <w:r>
        <w:rPr>
          <w:spacing w:val="-3"/>
          <w:sz w:val="21"/>
        </w:rPr>
        <w:t>缩</w:t>
      </w:r>
      <w:r>
        <w:rPr>
          <w:sz w:val="21"/>
        </w:rPr>
        <w:t>，但</w:t>
      </w:r>
      <w:r>
        <w:rPr>
          <w:spacing w:val="-3"/>
          <w:sz w:val="21"/>
        </w:rPr>
        <w:t>不</w:t>
      </w:r>
      <w:r>
        <w:rPr>
          <w:sz w:val="21"/>
        </w:rPr>
        <w:t>能</w:t>
      </w:r>
      <w:r>
        <w:rPr>
          <w:spacing w:val="-3"/>
          <w:sz w:val="21"/>
        </w:rPr>
        <w:t>带</w:t>
      </w:r>
      <w:r>
        <w:rPr>
          <w:sz w:val="21"/>
        </w:rPr>
        <w:t>动</w:t>
      </w:r>
      <w:r>
        <w:rPr>
          <w:spacing w:val="-3"/>
          <w:sz w:val="21"/>
        </w:rPr>
        <w:t>关</w:t>
      </w:r>
      <w:r>
        <w:rPr>
          <w:sz w:val="21"/>
        </w:rPr>
        <w:t>节。</w:t>
      </w:r>
    </w:p>
    <w:p>
      <w:pPr>
        <w:pStyle w:val="BodyText"/>
        <w:spacing w:before="9"/>
        <w:rPr>
          <w:sz w:val="14"/>
        </w:rPr>
      </w:pPr>
    </w:p>
    <w:p>
      <w:pPr>
        <w:pStyle w:val="ListParagraph"/>
        <w:numPr>
          <w:ilvl w:val="0"/>
          <w:numId w:val="10"/>
        </w:numPr>
        <w:tabs>
          <w:tab w:pos="2356" w:val="left" w:leader="none"/>
          <w:tab w:pos="2775" w:val="left" w:leader="none"/>
        </w:tabs>
        <w:spacing w:line="240" w:lineRule="auto" w:before="0" w:after="0"/>
        <w:ind w:left="2355" w:right="0" w:hanging="158"/>
        <w:jc w:val="left"/>
        <w:rPr>
          <w:sz w:val="21"/>
        </w:rPr>
      </w:pPr>
      <w:r>
        <w:rPr>
          <w:sz w:val="21"/>
        </w:rPr>
        <w:t>级</w:t>
        <w:tab/>
        <w:t>肢</w:t>
      </w:r>
      <w:r>
        <w:rPr>
          <w:spacing w:val="-3"/>
          <w:sz w:val="21"/>
        </w:rPr>
        <w:t>体</w:t>
      </w:r>
      <w:r>
        <w:rPr>
          <w:sz w:val="21"/>
        </w:rPr>
        <w:t>能</w:t>
      </w:r>
      <w:r>
        <w:rPr>
          <w:spacing w:val="-3"/>
          <w:sz w:val="21"/>
        </w:rPr>
        <w:t>在</w:t>
      </w:r>
      <w:r>
        <w:rPr>
          <w:sz w:val="21"/>
        </w:rPr>
        <w:t>床</w:t>
      </w:r>
      <w:r>
        <w:rPr>
          <w:spacing w:val="-3"/>
          <w:sz w:val="21"/>
        </w:rPr>
        <w:t>上</w:t>
      </w:r>
      <w:r>
        <w:rPr>
          <w:sz w:val="21"/>
        </w:rPr>
        <w:t>平</w:t>
      </w:r>
      <w:r>
        <w:rPr>
          <w:spacing w:val="-3"/>
          <w:sz w:val="21"/>
        </w:rPr>
        <w:t>行</w:t>
      </w:r>
      <w:r>
        <w:rPr>
          <w:sz w:val="21"/>
        </w:rPr>
        <w:t>移动</w:t>
      </w:r>
      <w:r>
        <w:rPr>
          <w:spacing w:val="-3"/>
          <w:sz w:val="21"/>
        </w:rPr>
        <w:t>，</w:t>
      </w:r>
      <w:r>
        <w:rPr>
          <w:sz w:val="21"/>
        </w:rPr>
        <w:t>但</w:t>
      </w:r>
      <w:r>
        <w:rPr>
          <w:spacing w:val="-3"/>
          <w:sz w:val="21"/>
        </w:rPr>
        <w:t>不</w:t>
      </w:r>
      <w:r>
        <w:rPr>
          <w:sz w:val="21"/>
        </w:rPr>
        <w:t>能</w:t>
      </w:r>
      <w:r>
        <w:rPr>
          <w:spacing w:val="-3"/>
          <w:sz w:val="21"/>
        </w:rPr>
        <w:t>抵</w:t>
      </w:r>
      <w:r>
        <w:rPr>
          <w:sz w:val="21"/>
        </w:rPr>
        <w:t>抗</w:t>
      </w:r>
      <w:r>
        <w:rPr>
          <w:spacing w:val="-3"/>
          <w:sz w:val="21"/>
        </w:rPr>
        <w:t>自</w:t>
      </w:r>
      <w:r>
        <w:rPr>
          <w:sz w:val="21"/>
        </w:rPr>
        <w:t>身</w:t>
      </w:r>
      <w:r>
        <w:rPr>
          <w:spacing w:val="-3"/>
          <w:sz w:val="21"/>
        </w:rPr>
        <w:t>重</w:t>
      </w:r>
      <w:r>
        <w:rPr>
          <w:sz w:val="21"/>
        </w:rPr>
        <w:t>力，</w:t>
      </w:r>
      <w:r>
        <w:rPr>
          <w:spacing w:val="-3"/>
          <w:sz w:val="21"/>
        </w:rPr>
        <w:t>即</w:t>
      </w:r>
      <w:r>
        <w:rPr>
          <w:sz w:val="21"/>
        </w:rPr>
        <w:t>不</w:t>
      </w:r>
      <w:r>
        <w:rPr>
          <w:spacing w:val="-3"/>
          <w:sz w:val="21"/>
        </w:rPr>
        <w:t>能</w:t>
      </w:r>
      <w:r>
        <w:rPr>
          <w:sz w:val="21"/>
        </w:rPr>
        <w:t>抬</w:t>
      </w:r>
      <w:r>
        <w:rPr>
          <w:spacing w:val="-3"/>
          <w:sz w:val="21"/>
        </w:rPr>
        <w:t>离</w:t>
      </w:r>
      <w:r>
        <w:rPr>
          <w:sz w:val="21"/>
        </w:rPr>
        <w:t>床</w:t>
      </w:r>
      <w:r>
        <w:rPr>
          <w:spacing w:val="-3"/>
          <w:sz w:val="21"/>
        </w:rPr>
        <w:t>面</w:t>
      </w:r>
      <w:r>
        <w:rPr>
          <w:sz w:val="21"/>
        </w:rPr>
        <w:t>。</w:t>
      </w:r>
    </w:p>
    <w:p>
      <w:pPr>
        <w:pStyle w:val="BodyText"/>
        <w:spacing w:before="9"/>
        <w:rPr>
          <w:sz w:val="14"/>
        </w:rPr>
      </w:pPr>
    </w:p>
    <w:p>
      <w:pPr>
        <w:pStyle w:val="ListParagraph"/>
        <w:numPr>
          <w:ilvl w:val="0"/>
          <w:numId w:val="10"/>
        </w:numPr>
        <w:tabs>
          <w:tab w:pos="2356" w:val="left" w:leader="none"/>
          <w:tab w:pos="2775" w:val="left" w:leader="none"/>
        </w:tabs>
        <w:spacing w:line="240" w:lineRule="auto" w:before="0" w:after="0"/>
        <w:ind w:left="2355" w:right="0" w:hanging="158"/>
        <w:jc w:val="left"/>
        <w:rPr>
          <w:sz w:val="21"/>
        </w:rPr>
      </w:pPr>
      <w:r>
        <w:rPr>
          <w:sz w:val="21"/>
        </w:rPr>
        <w:t>级</w:t>
        <w:tab/>
      </w:r>
      <w:r>
        <w:rPr>
          <w:spacing w:val="-1"/>
          <w:sz w:val="21"/>
        </w:rPr>
        <w:t>肢</w:t>
      </w:r>
      <w:r>
        <w:rPr>
          <w:spacing w:val="-3"/>
          <w:sz w:val="21"/>
        </w:rPr>
        <w:t>体</w:t>
      </w:r>
      <w:r>
        <w:rPr>
          <w:sz w:val="21"/>
        </w:rPr>
        <w:t>可</w:t>
      </w:r>
      <w:r>
        <w:rPr>
          <w:spacing w:val="-3"/>
          <w:sz w:val="21"/>
        </w:rPr>
        <w:t>以</w:t>
      </w:r>
      <w:r>
        <w:rPr>
          <w:sz w:val="21"/>
        </w:rPr>
        <w:t>克</w:t>
      </w:r>
      <w:r>
        <w:rPr>
          <w:spacing w:val="-3"/>
          <w:sz w:val="21"/>
        </w:rPr>
        <w:t>服</w:t>
      </w:r>
      <w:r>
        <w:rPr>
          <w:sz w:val="21"/>
        </w:rPr>
        <w:t>地</w:t>
      </w:r>
      <w:r>
        <w:rPr>
          <w:spacing w:val="-3"/>
          <w:sz w:val="21"/>
        </w:rPr>
        <w:t>心</w:t>
      </w:r>
      <w:r>
        <w:rPr>
          <w:sz w:val="21"/>
        </w:rPr>
        <w:t>吸收</w:t>
      </w:r>
      <w:r>
        <w:rPr>
          <w:spacing w:val="-3"/>
          <w:sz w:val="21"/>
        </w:rPr>
        <w:t>力</w:t>
      </w:r>
      <w:r>
        <w:rPr>
          <w:sz w:val="21"/>
        </w:rPr>
        <w:t>，</w:t>
      </w:r>
      <w:r>
        <w:rPr>
          <w:spacing w:val="-3"/>
          <w:sz w:val="21"/>
        </w:rPr>
        <w:t>能</w:t>
      </w:r>
      <w:r>
        <w:rPr>
          <w:sz w:val="21"/>
        </w:rPr>
        <w:t>抬</w:t>
      </w:r>
      <w:r>
        <w:rPr>
          <w:spacing w:val="-3"/>
          <w:sz w:val="21"/>
        </w:rPr>
        <w:t>离</w:t>
      </w:r>
      <w:r>
        <w:rPr>
          <w:sz w:val="21"/>
        </w:rPr>
        <w:t>床</w:t>
      </w:r>
      <w:r>
        <w:rPr>
          <w:spacing w:val="-3"/>
          <w:sz w:val="21"/>
        </w:rPr>
        <w:t>面</w:t>
      </w:r>
      <w:r>
        <w:rPr>
          <w:sz w:val="21"/>
        </w:rPr>
        <w:t>，</w:t>
      </w:r>
      <w:r>
        <w:rPr>
          <w:spacing w:val="-3"/>
          <w:sz w:val="21"/>
        </w:rPr>
        <w:t>但</w:t>
      </w:r>
      <w:r>
        <w:rPr>
          <w:sz w:val="21"/>
        </w:rPr>
        <w:t>不能</w:t>
      </w:r>
      <w:r>
        <w:rPr>
          <w:spacing w:val="-3"/>
          <w:sz w:val="21"/>
        </w:rPr>
        <w:t>抵</w:t>
      </w:r>
      <w:r>
        <w:rPr>
          <w:sz w:val="21"/>
        </w:rPr>
        <w:t>抗</w:t>
      </w:r>
      <w:r>
        <w:rPr>
          <w:spacing w:val="-3"/>
          <w:sz w:val="21"/>
        </w:rPr>
        <w:t>阻</w:t>
      </w:r>
      <w:r>
        <w:rPr>
          <w:sz w:val="21"/>
        </w:rPr>
        <w:t>力。</w:t>
      </w:r>
    </w:p>
    <w:p>
      <w:pPr>
        <w:pStyle w:val="BodyText"/>
        <w:spacing w:before="10"/>
        <w:rPr>
          <w:sz w:val="14"/>
        </w:rPr>
      </w:pPr>
    </w:p>
    <w:p>
      <w:pPr>
        <w:pStyle w:val="ListParagraph"/>
        <w:numPr>
          <w:ilvl w:val="0"/>
          <w:numId w:val="10"/>
        </w:numPr>
        <w:tabs>
          <w:tab w:pos="2356" w:val="left" w:leader="none"/>
          <w:tab w:pos="2775" w:val="left" w:leader="none"/>
        </w:tabs>
        <w:spacing w:line="240" w:lineRule="auto" w:before="0" w:after="0"/>
        <w:ind w:left="2355" w:right="0" w:hanging="158"/>
        <w:jc w:val="left"/>
        <w:rPr>
          <w:sz w:val="21"/>
        </w:rPr>
      </w:pPr>
      <w:r>
        <w:rPr>
          <w:sz w:val="21"/>
        </w:rPr>
        <w:t>级</w:t>
        <w:tab/>
        <w:t>肢</w:t>
      </w:r>
      <w:r>
        <w:rPr>
          <w:spacing w:val="-3"/>
          <w:sz w:val="21"/>
        </w:rPr>
        <w:t>体</w:t>
      </w:r>
      <w:r>
        <w:rPr>
          <w:sz w:val="21"/>
        </w:rPr>
        <w:t>能</w:t>
      </w:r>
      <w:r>
        <w:rPr>
          <w:spacing w:val="-3"/>
          <w:sz w:val="21"/>
        </w:rPr>
        <w:t>做</w:t>
      </w:r>
      <w:r>
        <w:rPr>
          <w:sz w:val="21"/>
        </w:rPr>
        <w:t>对</w:t>
      </w:r>
      <w:r>
        <w:rPr>
          <w:spacing w:val="-3"/>
          <w:sz w:val="21"/>
        </w:rPr>
        <w:t>抗</w:t>
      </w:r>
      <w:r>
        <w:rPr>
          <w:sz w:val="21"/>
        </w:rPr>
        <w:t>外</w:t>
      </w:r>
      <w:r>
        <w:rPr>
          <w:spacing w:val="-3"/>
          <w:sz w:val="21"/>
        </w:rPr>
        <w:t>界</w:t>
      </w:r>
      <w:r>
        <w:rPr>
          <w:sz w:val="21"/>
        </w:rPr>
        <w:t>阻力</w:t>
      </w:r>
      <w:r>
        <w:rPr>
          <w:spacing w:val="-3"/>
          <w:sz w:val="21"/>
        </w:rPr>
        <w:t>的</w:t>
      </w:r>
      <w:r>
        <w:rPr>
          <w:sz w:val="21"/>
        </w:rPr>
        <w:t>运</w:t>
      </w:r>
      <w:r>
        <w:rPr>
          <w:spacing w:val="-3"/>
          <w:sz w:val="21"/>
        </w:rPr>
        <w:t>动</w:t>
      </w:r>
      <w:r>
        <w:rPr>
          <w:sz w:val="21"/>
        </w:rPr>
        <w:t>,</w:t>
      </w:r>
      <w:r>
        <w:rPr>
          <w:spacing w:val="-3"/>
          <w:sz w:val="21"/>
        </w:rPr>
        <w:t>但</w:t>
      </w:r>
      <w:r>
        <w:rPr>
          <w:sz w:val="21"/>
        </w:rPr>
        <w:t>肌</w:t>
      </w:r>
      <w:r>
        <w:rPr>
          <w:spacing w:val="-3"/>
          <w:sz w:val="21"/>
        </w:rPr>
        <w:t>力</w:t>
      </w:r>
      <w:r>
        <w:rPr>
          <w:sz w:val="21"/>
        </w:rPr>
        <w:t>低</w:t>
      </w:r>
      <w:r>
        <w:rPr>
          <w:spacing w:val="-3"/>
          <w:sz w:val="21"/>
        </w:rPr>
        <w:t>于正</w:t>
      </w:r>
      <w:r>
        <w:rPr>
          <w:sz w:val="21"/>
        </w:rPr>
        <w:t>常</w:t>
      </w:r>
    </w:p>
    <w:p>
      <w:pPr>
        <w:pStyle w:val="BodyText"/>
        <w:spacing w:before="9"/>
        <w:rPr>
          <w:sz w:val="14"/>
        </w:rPr>
      </w:pPr>
    </w:p>
    <w:p>
      <w:pPr>
        <w:pStyle w:val="ListParagraph"/>
        <w:numPr>
          <w:ilvl w:val="0"/>
          <w:numId w:val="10"/>
        </w:numPr>
        <w:tabs>
          <w:tab w:pos="2356" w:val="left" w:leader="none"/>
          <w:tab w:pos="2775" w:val="left" w:leader="none"/>
        </w:tabs>
        <w:spacing w:line="240" w:lineRule="auto" w:before="0" w:after="0"/>
        <w:ind w:left="2355" w:right="0" w:hanging="158"/>
        <w:jc w:val="left"/>
        <w:rPr>
          <w:sz w:val="21"/>
        </w:rPr>
      </w:pPr>
      <w:r>
        <w:rPr>
          <w:sz w:val="21"/>
        </w:rPr>
        <w:t>级</w:t>
        <w:tab/>
        <w:t>肌</w:t>
      </w:r>
      <w:r>
        <w:rPr>
          <w:spacing w:val="-3"/>
          <w:sz w:val="21"/>
        </w:rPr>
        <w:t>力</w:t>
      </w:r>
      <w:r>
        <w:rPr>
          <w:sz w:val="21"/>
        </w:rPr>
        <w:t>正常</w:t>
      </w:r>
    </w:p>
    <w:p>
      <w:pPr>
        <w:pStyle w:val="BodyText"/>
        <w:spacing w:before="9"/>
        <w:rPr>
          <w:sz w:val="14"/>
        </w:rPr>
      </w:pPr>
    </w:p>
    <w:p>
      <w:pPr>
        <w:pStyle w:val="ListParagraph"/>
        <w:numPr>
          <w:ilvl w:val="0"/>
          <w:numId w:val="11"/>
        </w:numPr>
        <w:tabs>
          <w:tab w:pos="2197" w:val="left" w:leader="none"/>
        </w:tabs>
        <w:spacing w:line="273" w:lineRule="auto" w:before="0" w:after="0"/>
        <w:ind w:left="2197" w:right="226" w:hanging="421"/>
        <w:jc w:val="both"/>
        <w:rPr>
          <w:sz w:val="21"/>
        </w:rPr>
      </w:pPr>
      <w:r>
        <w:rPr>
          <w:spacing w:val="-3"/>
          <w:sz w:val="21"/>
        </w:rPr>
        <w:t>继发性肺动脉高压：继发性肺动脉压力持续增高，导致右心室肥厚，已经造成</w:t>
      </w:r>
      <w:r>
        <w:rPr>
          <w:b/>
          <w:sz w:val="21"/>
        </w:rPr>
        <w:t>永久不可逆</w:t>
      </w:r>
      <w:r>
        <w:rPr>
          <w:spacing w:val="-3"/>
          <w:sz w:val="21"/>
        </w:rPr>
        <w:t>（</w:t>
      </w:r>
      <w:r>
        <w:rPr>
          <w:spacing w:val="-16"/>
          <w:sz w:val="21"/>
        </w:rPr>
        <w:t>见 </w:t>
      </w:r>
      <w:r>
        <w:rPr>
          <w:sz w:val="21"/>
        </w:rPr>
        <w:t>7.18）</w:t>
      </w:r>
      <w:r>
        <w:rPr>
          <w:spacing w:val="-3"/>
          <w:sz w:val="21"/>
        </w:rPr>
        <w:t>性的体力活动能力受限，达到美国纽约心脏病</w:t>
      </w:r>
      <w:r>
        <w:rPr>
          <w:spacing w:val="-8"/>
          <w:sz w:val="21"/>
        </w:rPr>
        <w:t>学会心功能状态分级 </w:t>
      </w:r>
      <w:r>
        <w:rPr>
          <w:sz w:val="21"/>
        </w:rPr>
        <w:t>IV</w:t>
      </w:r>
      <w:r>
        <w:rPr>
          <w:spacing w:val="-19"/>
          <w:sz w:val="21"/>
        </w:rPr>
        <w:t> 级。</w:t>
      </w:r>
    </w:p>
    <w:p>
      <w:pPr>
        <w:pStyle w:val="BodyText"/>
        <w:spacing w:line="273" w:lineRule="auto" w:before="163"/>
        <w:ind w:left="2197" w:right="281"/>
      </w:pPr>
      <w:r>
        <w:rPr/>
        <w:t>诊断需要由心脏科专家确诊，并且心导管检查报告显示静息状态下肺动脉平均压超过 30mmHg。</w:t>
      </w:r>
    </w:p>
    <w:p>
      <w:pPr>
        <w:pStyle w:val="BodyText"/>
        <w:spacing w:line="273" w:lineRule="auto" w:before="163"/>
        <w:ind w:left="2197" w:right="281"/>
      </w:pPr>
      <w:r>
        <w:rPr/>
        <w:t>所有原发性肺动脉高血压不在保障责任范围。所有先天性心脏疾病直接或间接引起的肺动脉高压也不在保障责任范围内。</w:t>
      </w:r>
    </w:p>
    <w:p>
      <w:pPr>
        <w:pStyle w:val="ListParagraph"/>
        <w:numPr>
          <w:ilvl w:val="0"/>
          <w:numId w:val="11"/>
        </w:numPr>
        <w:tabs>
          <w:tab w:pos="2196" w:val="left" w:leader="none"/>
          <w:tab w:pos="2197" w:val="left" w:leader="none"/>
        </w:tabs>
        <w:spacing w:line="273" w:lineRule="auto" w:before="164" w:after="0"/>
        <w:ind w:left="2197" w:right="103" w:hanging="421"/>
        <w:jc w:val="left"/>
        <w:rPr>
          <w:sz w:val="21"/>
        </w:rPr>
      </w:pPr>
      <w:r>
        <w:rPr>
          <w:spacing w:val="-3"/>
          <w:sz w:val="21"/>
        </w:rPr>
        <w:t>早期肝硬化：肝硬化须由专科医生明确诊断。必须由活检证实有再生的肝 </w:t>
      </w:r>
      <w:r>
        <w:rPr>
          <w:spacing w:val="-6"/>
          <w:sz w:val="21"/>
        </w:rPr>
        <w:t>细胞结节和典型的肝组织纤维化。以下条件必须全部满足并至少持续一年：</w:t>
      </w:r>
    </w:p>
    <w:p>
      <w:pPr>
        <w:pStyle w:val="ListParagraph"/>
        <w:numPr>
          <w:ilvl w:val="1"/>
          <w:numId w:val="11"/>
        </w:numPr>
        <w:tabs>
          <w:tab w:pos="3036" w:val="left" w:leader="none"/>
          <w:tab w:pos="3037" w:val="left" w:leader="none"/>
        </w:tabs>
        <w:spacing w:line="240" w:lineRule="auto" w:before="164" w:after="0"/>
        <w:ind w:left="3037" w:right="0" w:hanging="420"/>
        <w:jc w:val="left"/>
        <w:rPr>
          <w:sz w:val="21"/>
        </w:rPr>
      </w:pPr>
      <w:r>
        <w:rPr>
          <w:spacing w:val="-6"/>
          <w:sz w:val="21"/>
        </w:rPr>
        <w:t>持续性黄疸，胆红素水平升高超过 </w:t>
      </w:r>
      <w:r>
        <w:rPr>
          <w:sz w:val="21"/>
        </w:rPr>
        <w:t>50mmol/</w:t>
      </w:r>
      <w:r>
        <w:rPr>
          <w:spacing w:val="10"/>
          <w:sz w:val="21"/>
        </w:rPr>
        <w:t> </w:t>
      </w:r>
      <w:r>
        <w:rPr>
          <w:sz w:val="21"/>
        </w:rPr>
        <w:t>L；</w:t>
      </w:r>
    </w:p>
    <w:p>
      <w:pPr>
        <w:pStyle w:val="BodyText"/>
        <w:spacing w:before="10"/>
        <w:rPr>
          <w:sz w:val="14"/>
        </w:rPr>
      </w:pPr>
    </w:p>
    <w:p>
      <w:pPr>
        <w:pStyle w:val="ListParagraph"/>
        <w:numPr>
          <w:ilvl w:val="1"/>
          <w:numId w:val="11"/>
        </w:numPr>
        <w:tabs>
          <w:tab w:pos="3036" w:val="left" w:leader="none"/>
          <w:tab w:pos="3037" w:val="left" w:leader="none"/>
        </w:tabs>
        <w:spacing w:line="240" w:lineRule="auto" w:before="0" w:after="0"/>
        <w:ind w:left="3037" w:right="0" w:hanging="420"/>
        <w:jc w:val="left"/>
        <w:rPr>
          <w:sz w:val="21"/>
        </w:rPr>
      </w:pPr>
      <w:r>
        <w:rPr>
          <w:spacing w:val="-6"/>
          <w:sz w:val="21"/>
        </w:rPr>
        <w:t>蛋白质合成异常，白蛋白水平低于 </w:t>
      </w:r>
      <w:r>
        <w:rPr>
          <w:sz w:val="21"/>
        </w:rPr>
        <w:t>27g/</w:t>
      </w:r>
      <w:r>
        <w:rPr>
          <w:spacing w:val="10"/>
          <w:sz w:val="21"/>
        </w:rPr>
        <w:t> </w:t>
      </w:r>
      <w:r>
        <w:rPr>
          <w:sz w:val="21"/>
        </w:rPr>
        <w:t>L；</w:t>
      </w:r>
    </w:p>
    <w:p>
      <w:pPr>
        <w:pStyle w:val="BodyText"/>
        <w:spacing w:before="9"/>
        <w:rPr>
          <w:sz w:val="14"/>
        </w:rPr>
      </w:pPr>
    </w:p>
    <w:p>
      <w:pPr>
        <w:pStyle w:val="ListParagraph"/>
        <w:numPr>
          <w:ilvl w:val="1"/>
          <w:numId w:val="11"/>
        </w:numPr>
        <w:tabs>
          <w:tab w:pos="3036" w:val="left" w:leader="none"/>
          <w:tab w:pos="3037" w:val="left" w:leader="none"/>
        </w:tabs>
        <w:spacing w:line="273" w:lineRule="auto" w:before="1" w:after="0"/>
        <w:ind w:left="3037" w:right="284" w:hanging="420"/>
        <w:jc w:val="left"/>
        <w:rPr>
          <w:sz w:val="21"/>
        </w:rPr>
      </w:pPr>
      <w:r>
        <w:rPr>
          <w:spacing w:val="-6"/>
          <w:sz w:val="21"/>
        </w:rPr>
        <w:t>异常凝血功能， 凝血酶原时间超过正常上限的 </w:t>
      </w:r>
      <w:r>
        <w:rPr>
          <w:sz w:val="21"/>
        </w:rPr>
        <w:t>2</w:t>
      </w:r>
      <w:r>
        <w:rPr>
          <w:spacing w:val="-7"/>
          <w:sz w:val="21"/>
        </w:rPr>
        <w:t> 倍或以上， 或</w:t>
      </w:r>
      <w:r>
        <w:rPr>
          <w:spacing w:val="-5"/>
          <w:sz w:val="21"/>
        </w:rPr>
        <w:t>者国际正常化比率</w:t>
      </w:r>
      <w:r>
        <w:rPr>
          <w:sz w:val="21"/>
        </w:rPr>
        <w:t>（INR）</w:t>
      </w:r>
      <w:r>
        <w:rPr>
          <w:spacing w:val="-24"/>
          <w:sz w:val="21"/>
        </w:rPr>
        <w:t>在 </w:t>
      </w:r>
      <w:r>
        <w:rPr>
          <w:sz w:val="21"/>
        </w:rPr>
        <w:t>2.0</w:t>
      </w:r>
      <w:r>
        <w:rPr>
          <w:spacing w:val="-14"/>
          <w:sz w:val="21"/>
        </w:rPr>
        <w:t> 以上。</w:t>
      </w:r>
    </w:p>
    <w:p>
      <w:pPr>
        <w:pStyle w:val="BodyText"/>
        <w:spacing w:before="164"/>
        <w:ind w:left="2197"/>
      </w:pPr>
      <w:r>
        <w:rPr/>
        <w:t>继发于酒精，毒品或药物滥用不在保障范围内。</w:t>
      </w:r>
    </w:p>
    <w:p>
      <w:pPr>
        <w:pStyle w:val="BodyText"/>
        <w:spacing w:before="10"/>
        <w:rPr>
          <w:sz w:val="14"/>
        </w:rPr>
      </w:pPr>
    </w:p>
    <w:p>
      <w:pPr>
        <w:pStyle w:val="ListParagraph"/>
        <w:numPr>
          <w:ilvl w:val="0"/>
          <w:numId w:val="11"/>
        </w:numPr>
        <w:tabs>
          <w:tab w:pos="2196" w:val="left" w:leader="none"/>
          <w:tab w:pos="2197" w:val="left" w:leader="none"/>
        </w:tabs>
        <w:spacing w:line="273" w:lineRule="auto" w:before="0" w:after="0"/>
        <w:ind w:left="2197" w:right="103" w:hanging="421"/>
        <w:jc w:val="left"/>
        <w:rPr>
          <w:sz w:val="21"/>
        </w:rPr>
      </w:pPr>
      <w:r>
        <w:rPr>
          <w:spacing w:val="-3"/>
          <w:sz w:val="21"/>
        </w:rPr>
        <w:t>肺功能衰竭：是指被保险人必须经本公司认可的医院的呼吸科专科医师确 </w:t>
      </w:r>
      <w:r>
        <w:rPr>
          <w:spacing w:val="-5"/>
          <w:sz w:val="21"/>
        </w:rPr>
        <w:t>诊患有慢性肺部疾病而出现慢性呼吸功能衰竭，其诊断标准包括以下各项：</w:t>
      </w:r>
    </w:p>
    <w:p>
      <w:pPr>
        <w:pStyle w:val="ListParagraph"/>
        <w:numPr>
          <w:ilvl w:val="1"/>
          <w:numId w:val="11"/>
        </w:numPr>
        <w:tabs>
          <w:tab w:pos="3036" w:val="left" w:leader="none"/>
          <w:tab w:pos="3037" w:val="left" w:leader="none"/>
        </w:tabs>
        <w:spacing w:line="240" w:lineRule="auto" w:before="164" w:after="0"/>
        <w:ind w:left="3037" w:right="0" w:hanging="420"/>
        <w:jc w:val="left"/>
        <w:rPr>
          <w:sz w:val="21"/>
        </w:rPr>
      </w:pPr>
      <w:r>
        <w:rPr>
          <w:spacing w:val="-9"/>
          <w:sz w:val="21"/>
        </w:rPr>
        <w:t>肺功能测试其 </w:t>
      </w:r>
      <w:r>
        <w:rPr>
          <w:sz w:val="21"/>
        </w:rPr>
        <w:t>FEV1</w:t>
      </w:r>
      <w:r>
        <w:rPr>
          <w:spacing w:val="-12"/>
          <w:sz w:val="21"/>
        </w:rPr>
        <w:t> 持续低于预测值的 </w:t>
      </w:r>
      <w:r>
        <w:rPr>
          <w:sz w:val="21"/>
        </w:rPr>
        <w:t>50%。</w:t>
      </w:r>
    </w:p>
    <w:p>
      <w:pPr>
        <w:pStyle w:val="BodyText"/>
        <w:spacing w:before="9"/>
        <w:rPr>
          <w:sz w:val="14"/>
        </w:rPr>
      </w:pPr>
    </w:p>
    <w:p>
      <w:pPr>
        <w:pStyle w:val="ListParagraph"/>
        <w:numPr>
          <w:ilvl w:val="1"/>
          <w:numId w:val="11"/>
        </w:numPr>
        <w:tabs>
          <w:tab w:pos="3036" w:val="left" w:leader="none"/>
          <w:tab w:pos="3037" w:val="left" w:leader="none"/>
        </w:tabs>
        <w:spacing w:line="240" w:lineRule="auto" w:before="0" w:after="0"/>
        <w:ind w:left="3037" w:right="0" w:hanging="420"/>
        <w:jc w:val="left"/>
        <w:rPr>
          <w:sz w:val="21"/>
        </w:rPr>
      </w:pPr>
      <w:r>
        <w:rPr>
          <w:spacing w:val="-3"/>
          <w:sz w:val="21"/>
        </w:rPr>
        <w:t>病人血氧不足必须间断地进行输氧治疗。</w:t>
      </w:r>
    </w:p>
    <w:p>
      <w:pPr>
        <w:pStyle w:val="BodyText"/>
        <w:spacing w:before="9"/>
        <w:rPr>
          <w:sz w:val="14"/>
        </w:rPr>
      </w:pPr>
    </w:p>
    <w:p>
      <w:pPr>
        <w:pStyle w:val="ListParagraph"/>
        <w:numPr>
          <w:ilvl w:val="1"/>
          <w:numId w:val="11"/>
        </w:numPr>
        <w:tabs>
          <w:tab w:pos="3036" w:val="left" w:leader="none"/>
          <w:tab w:pos="3037" w:val="left" w:leader="none"/>
        </w:tabs>
        <w:spacing w:line="240" w:lineRule="auto" w:before="0" w:after="0"/>
        <w:ind w:left="3037" w:right="0" w:hanging="420"/>
        <w:jc w:val="left"/>
        <w:rPr>
          <w:sz w:val="21"/>
        </w:rPr>
      </w:pPr>
      <w:r>
        <w:rPr>
          <w:spacing w:val="-7"/>
          <w:sz w:val="21"/>
        </w:rPr>
        <w:t>动脉血气分析氧分压低于 </w:t>
      </w:r>
      <w:r>
        <w:rPr>
          <w:sz w:val="21"/>
        </w:rPr>
        <w:t>60mmHg。</w:t>
      </w:r>
    </w:p>
    <w:p>
      <w:pPr>
        <w:pStyle w:val="BodyText"/>
        <w:spacing w:before="9"/>
        <w:rPr>
          <w:sz w:val="14"/>
        </w:rPr>
      </w:pPr>
    </w:p>
    <w:p>
      <w:pPr>
        <w:pStyle w:val="ListParagraph"/>
        <w:numPr>
          <w:ilvl w:val="0"/>
          <w:numId w:val="11"/>
        </w:numPr>
        <w:tabs>
          <w:tab w:pos="2196" w:val="left" w:leader="none"/>
          <w:tab w:pos="2197" w:val="left" w:leader="none"/>
        </w:tabs>
        <w:spacing w:line="408" w:lineRule="auto" w:before="0" w:after="0"/>
        <w:ind w:left="2197" w:right="1121" w:hanging="421"/>
        <w:jc w:val="left"/>
        <w:rPr>
          <w:sz w:val="21"/>
        </w:rPr>
      </w:pPr>
      <w:r>
        <w:rPr>
          <w:spacing w:val="-3"/>
          <w:sz w:val="21"/>
        </w:rPr>
        <w:t>慢性肾功能损害：慢性肾功能障碍是指慢性肾功能不全的晚期。必须满足以下所有条件：</w:t>
      </w:r>
    </w:p>
    <w:p>
      <w:pPr>
        <w:pStyle w:val="ListParagraph"/>
        <w:numPr>
          <w:ilvl w:val="1"/>
          <w:numId w:val="11"/>
        </w:numPr>
        <w:tabs>
          <w:tab w:pos="3036" w:val="left" w:leader="none"/>
          <w:tab w:pos="3037" w:val="left" w:leader="none"/>
        </w:tabs>
        <w:spacing w:line="240" w:lineRule="auto" w:before="45" w:after="0"/>
        <w:ind w:left="3037" w:right="0" w:hanging="420"/>
        <w:jc w:val="left"/>
        <w:rPr>
          <w:sz w:val="21"/>
        </w:rPr>
      </w:pPr>
      <w:r>
        <w:rPr>
          <w:spacing w:val="-16"/>
          <w:sz w:val="21"/>
        </w:rPr>
        <w:t>肾小球滤过率</w:t>
      </w:r>
      <w:r>
        <w:rPr>
          <w:sz w:val="21"/>
        </w:rPr>
        <w:t>（</w:t>
      </w:r>
      <w:r>
        <w:rPr>
          <w:spacing w:val="-19"/>
          <w:sz w:val="21"/>
        </w:rPr>
        <w:t>使用 </w:t>
      </w:r>
      <w:r>
        <w:rPr>
          <w:sz w:val="21"/>
        </w:rPr>
        <w:t>MDRD 公式 或 Cockcroft-Gault</w:t>
      </w:r>
      <w:r>
        <w:rPr>
          <w:spacing w:val="-2"/>
          <w:sz w:val="21"/>
        </w:rPr>
        <w:t> 公式计算的</w:t>
      </w:r>
    </w:p>
    <w:p>
      <w:pPr>
        <w:spacing w:after="0" w:line="240" w:lineRule="auto"/>
        <w:jc w:val="left"/>
        <w:rPr>
          <w:sz w:val="21"/>
        </w:rPr>
        <w:sectPr>
          <w:pgSz w:w="11910" w:h="16840"/>
          <w:pgMar w:header="0" w:footer="925" w:top="1080" w:bottom="1120" w:left="1680" w:right="1020"/>
        </w:sectPr>
      </w:pPr>
    </w:p>
    <w:p>
      <w:pPr>
        <w:pStyle w:val="BodyText"/>
        <w:spacing w:before="22"/>
        <w:ind w:left="3037"/>
      </w:pPr>
      <w:r>
        <w:rPr>
          <w:w w:val="100"/>
        </w:rPr>
        <w:t>结果</w:t>
      </w:r>
      <w:r>
        <w:rPr>
          <w:spacing w:val="-108"/>
          <w:w w:val="100"/>
        </w:rPr>
        <w:t>）</w:t>
      </w:r>
      <w:r>
        <w:rPr>
          <w:spacing w:val="-6"/>
          <w:w w:val="100"/>
        </w:rPr>
        <w:t>，低于</w:t>
      </w:r>
      <w:r>
        <w:rPr>
          <w:spacing w:val="-53"/>
        </w:rPr>
        <w:t> </w:t>
      </w:r>
      <w:r>
        <w:rPr>
          <w:spacing w:val="-3"/>
          <w:w w:val="100"/>
        </w:rPr>
        <w:t>3</w:t>
      </w:r>
      <w:r>
        <w:rPr>
          <w:w w:val="100"/>
        </w:rPr>
        <w:t>0mL</w:t>
      </w:r>
      <w:r>
        <w:rPr>
          <w:spacing w:val="-3"/>
          <w:w w:val="100"/>
        </w:rPr>
        <w:t>/</w:t>
      </w:r>
      <w:r>
        <w:rPr>
          <w:w w:val="100"/>
        </w:rPr>
        <w:t>min</w:t>
      </w:r>
      <w:r>
        <w:rPr>
          <w:spacing w:val="-3"/>
          <w:w w:val="100"/>
        </w:rPr>
        <w:t>/</w:t>
      </w:r>
      <w:r>
        <w:rPr>
          <w:w w:val="100"/>
        </w:rPr>
        <w:t>1.</w:t>
      </w:r>
      <w:r>
        <w:rPr>
          <w:spacing w:val="-3"/>
          <w:w w:val="100"/>
        </w:rPr>
        <w:t>7</w:t>
      </w:r>
      <w:r>
        <w:rPr>
          <w:w w:val="100"/>
        </w:rPr>
        <w:t>3</w:t>
      </w:r>
      <w:r>
        <w:rPr>
          <w:spacing w:val="-53"/>
        </w:rPr>
        <w:t> </w:t>
      </w:r>
      <w:r>
        <w:rPr>
          <w:spacing w:val="-5"/>
          <w:w w:val="100"/>
        </w:rPr>
        <w:t>平方米，且此状态须持续至少</w:t>
      </w:r>
      <w:r>
        <w:rPr>
          <w:spacing w:val="-53"/>
        </w:rPr>
        <w:t> </w:t>
      </w:r>
      <w:r>
        <w:rPr>
          <w:spacing w:val="-3"/>
          <w:w w:val="100"/>
        </w:rPr>
        <w:t>9</w:t>
      </w:r>
      <w:r>
        <w:rPr>
          <w:w w:val="100"/>
        </w:rPr>
        <w:t>0</w:t>
      </w:r>
      <w:r>
        <w:rPr>
          <w:spacing w:val="-53"/>
        </w:rPr>
        <w:t> </w:t>
      </w:r>
      <w:r>
        <w:rPr>
          <w:spacing w:val="-2"/>
          <w:w w:val="100"/>
        </w:rPr>
        <w:t>天；</w:t>
      </w:r>
    </w:p>
    <w:p>
      <w:pPr>
        <w:pStyle w:val="BodyText"/>
        <w:spacing w:before="10"/>
        <w:rPr>
          <w:sz w:val="14"/>
        </w:rPr>
      </w:pPr>
    </w:p>
    <w:p>
      <w:pPr>
        <w:pStyle w:val="ListParagraph"/>
        <w:numPr>
          <w:ilvl w:val="1"/>
          <w:numId w:val="11"/>
        </w:numPr>
        <w:tabs>
          <w:tab w:pos="3036" w:val="left" w:leader="none"/>
          <w:tab w:pos="3037" w:val="left" w:leader="none"/>
        </w:tabs>
        <w:spacing w:line="240" w:lineRule="auto" w:before="0" w:after="0"/>
        <w:ind w:left="3037" w:right="0" w:hanging="420"/>
        <w:jc w:val="left"/>
        <w:rPr>
          <w:sz w:val="21"/>
        </w:rPr>
      </w:pPr>
      <w:r>
        <w:rPr>
          <w:spacing w:val="-3"/>
          <w:sz w:val="21"/>
        </w:rPr>
        <w:t>慢性肾功能障碍的诊断必须由泌尿科或肾脏科医师确认。</w:t>
      </w:r>
    </w:p>
    <w:p>
      <w:pPr>
        <w:pStyle w:val="BodyText"/>
        <w:spacing w:before="10"/>
        <w:rPr>
          <w:sz w:val="14"/>
        </w:rPr>
      </w:pPr>
    </w:p>
    <w:p>
      <w:pPr>
        <w:pStyle w:val="ListParagraph"/>
        <w:numPr>
          <w:ilvl w:val="0"/>
          <w:numId w:val="11"/>
        </w:numPr>
        <w:tabs>
          <w:tab w:pos="2197" w:val="left" w:leader="none"/>
        </w:tabs>
        <w:spacing w:line="273" w:lineRule="auto" w:before="0" w:after="0"/>
        <w:ind w:left="2197" w:right="281" w:hanging="421"/>
        <w:jc w:val="both"/>
        <w:rPr>
          <w:sz w:val="21"/>
        </w:rPr>
      </w:pPr>
      <w:r>
        <w:rPr>
          <w:spacing w:val="-3"/>
          <w:sz w:val="21"/>
        </w:rPr>
        <w:t>视力严重受损：指因疾病或意外伤害导致双目视力永久不可逆性丧失，双眼中较好眼须满足下列全部条件：</w:t>
      </w:r>
    </w:p>
    <w:p>
      <w:pPr>
        <w:pStyle w:val="ListParagraph"/>
        <w:numPr>
          <w:ilvl w:val="1"/>
          <w:numId w:val="11"/>
        </w:numPr>
        <w:tabs>
          <w:tab w:pos="3036" w:val="left" w:leader="none"/>
          <w:tab w:pos="3037" w:val="left" w:leader="none"/>
        </w:tabs>
        <w:spacing w:line="273" w:lineRule="auto" w:before="163" w:after="0"/>
        <w:ind w:left="3037" w:right="231" w:hanging="420"/>
        <w:jc w:val="left"/>
        <w:rPr>
          <w:sz w:val="21"/>
        </w:rPr>
      </w:pPr>
      <w:r>
        <w:rPr>
          <w:spacing w:val="-8"/>
          <w:sz w:val="21"/>
        </w:rPr>
        <w:t>矫正视力为 </w:t>
      </w:r>
      <w:r>
        <w:rPr>
          <w:sz w:val="21"/>
        </w:rPr>
        <w:t>0.02-0.1（</w:t>
      </w:r>
      <w:r>
        <w:rPr>
          <w:spacing w:val="-3"/>
          <w:sz w:val="21"/>
        </w:rPr>
        <w:t>采用国际标准视力表，如果使用其他视力</w:t>
      </w:r>
      <w:r>
        <w:rPr>
          <w:spacing w:val="-3"/>
          <w:w w:val="100"/>
          <w:sz w:val="21"/>
        </w:rPr>
        <w:t>表应进行换算</w:t>
      </w:r>
      <w:r>
        <w:rPr>
          <w:spacing w:val="-108"/>
          <w:w w:val="100"/>
          <w:sz w:val="21"/>
        </w:rPr>
        <w:t>）</w:t>
      </w:r>
      <w:r>
        <w:rPr>
          <w:w w:val="100"/>
          <w:sz w:val="21"/>
        </w:rPr>
        <w:t>；</w:t>
      </w:r>
    </w:p>
    <w:p>
      <w:pPr>
        <w:pStyle w:val="ListParagraph"/>
        <w:numPr>
          <w:ilvl w:val="1"/>
          <w:numId w:val="11"/>
        </w:numPr>
        <w:tabs>
          <w:tab w:pos="3036" w:val="left" w:leader="none"/>
          <w:tab w:pos="3037" w:val="left" w:leader="none"/>
        </w:tabs>
        <w:spacing w:line="240" w:lineRule="auto" w:before="163" w:after="0"/>
        <w:ind w:left="3037" w:right="0" w:hanging="420"/>
        <w:jc w:val="left"/>
        <w:rPr>
          <w:sz w:val="21"/>
        </w:rPr>
      </w:pPr>
      <w:r>
        <w:rPr>
          <w:spacing w:val="-10"/>
          <w:sz w:val="21"/>
        </w:rPr>
        <w:t>视野半径为 </w:t>
      </w:r>
      <w:r>
        <w:rPr>
          <w:sz w:val="21"/>
        </w:rPr>
        <w:t>5-20</w:t>
      </w:r>
      <w:r>
        <w:rPr>
          <w:spacing w:val="-19"/>
          <w:sz w:val="21"/>
        </w:rPr>
        <w:t> 度。</w:t>
      </w:r>
    </w:p>
    <w:p>
      <w:pPr>
        <w:pStyle w:val="BodyText"/>
        <w:spacing w:before="9"/>
        <w:rPr>
          <w:sz w:val="14"/>
        </w:rPr>
      </w:pPr>
    </w:p>
    <w:p>
      <w:pPr>
        <w:pStyle w:val="BodyText"/>
        <w:spacing w:line="273" w:lineRule="auto"/>
        <w:ind w:left="2197" w:right="281"/>
        <w:jc w:val="both"/>
      </w:pPr>
      <w:r>
        <w:rPr>
          <w:spacing w:val="-6"/>
        </w:rPr>
        <w:t>申请理赔时，被保险人年龄必须在 </w:t>
      </w:r>
      <w:r>
        <w:rPr/>
        <w:t>3</w:t>
      </w:r>
      <w:r>
        <w:rPr>
          <w:spacing w:val="-8"/>
        </w:rPr>
        <w:t> 周岁以上，并且须提供理赔当时的视</w:t>
      </w:r>
      <w:r>
        <w:rPr>
          <w:spacing w:val="-5"/>
        </w:rPr>
        <w:t>力丧失诊断及检查证据。</w:t>
      </w:r>
    </w:p>
    <w:p>
      <w:pPr>
        <w:pStyle w:val="ListParagraph"/>
        <w:numPr>
          <w:ilvl w:val="0"/>
          <w:numId w:val="11"/>
        </w:numPr>
        <w:tabs>
          <w:tab w:pos="2197" w:val="left" w:leader="none"/>
        </w:tabs>
        <w:spacing w:line="273" w:lineRule="auto" w:before="163" w:after="0"/>
        <w:ind w:left="2197" w:right="209" w:hanging="421"/>
        <w:jc w:val="both"/>
        <w:rPr>
          <w:sz w:val="21"/>
        </w:rPr>
      </w:pPr>
      <w:r>
        <w:rPr>
          <w:spacing w:val="-3"/>
          <w:sz w:val="21"/>
        </w:rPr>
        <w:t>听力严重受损：指因疾病或意外伤害导致单耳或双耳听力永久不可逆性丧</w:t>
      </w:r>
      <w:r>
        <w:rPr>
          <w:spacing w:val="-14"/>
          <w:sz w:val="21"/>
        </w:rPr>
        <w:t>失。在 </w:t>
      </w:r>
      <w:r>
        <w:rPr>
          <w:sz w:val="21"/>
        </w:rPr>
        <w:t>500</w:t>
      </w:r>
      <w:r>
        <w:rPr>
          <w:spacing w:val="-15"/>
          <w:sz w:val="21"/>
        </w:rPr>
        <w:t> 赫兹，</w:t>
      </w:r>
      <w:r>
        <w:rPr>
          <w:sz w:val="21"/>
        </w:rPr>
        <w:t>1000</w:t>
      </w:r>
      <w:r>
        <w:rPr>
          <w:spacing w:val="-22"/>
          <w:sz w:val="21"/>
        </w:rPr>
        <w:t> 赫兹和 </w:t>
      </w:r>
      <w:r>
        <w:rPr>
          <w:sz w:val="21"/>
        </w:rPr>
        <w:t>2000</w:t>
      </w:r>
      <w:r>
        <w:rPr>
          <w:spacing w:val="-12"/>
          <w:sz w:val="21"/>
        </w:rPr>
        <w:t> 赫兹语音频率下，平均听阈大于 </w:t>
      </w:r>
      <w:r>
        <w:rPr>
          <w:sz w:val="21"/>
        </w:rPr>
        <w:t>80</w:t>
      </w:r>
      <w:r>
        <w:rPr>
          <w:spacing w:val="-26"/>
          <w:sz w:val="21"/>
        </w:rPr>
        <w:t> 分</w:t>
      </w:r>
      <w:r>
        <w:rPr>
          <w:spacing w:val="-17"/>
          <w:sz w:val="21"/>
        </w:rPr>
        <w:t>贝但未达到 </w:t>
      </w:r>
      <w:r>
        <w:rPr>
          <w:sz w:val="21"/>
        </w:rPr>
        <w:t>90</w:t>
      </w:r>
      <w:r>
        <w:rPr>
          <w:spacing w:val="-10"/>
          <w:sz w:val="21"/>
        </w:rPr>
        <w:t> 分贝。需有纯音听力测试、声导抗检测或听觉诱发电位检测</w:t>
      </w:r>
      <w:r>
        <w:rPr>
          <w:spacing w:val="-6"/>
          <w:sz w:val="21"/>
        </w:rPr>
        <w:t>等证实。</w:t>
      </w:r>
    </w:p>
    <w:p>
      <w:pPr>
        <w:pStyle w:val="BodyText"/>
        <w:spacing w:line="273" w:lineRule="auto" w:before="163"/>
        <w:ind w:left="2197" w:right="281"/>
        <w:jc w:val="both"/>
      </w:pPr>
      <w:r>
        <w:rPr>
          <w:spacing w:val="-6"/>
        </w:rPr>
        <w:t>申请理赔时，被保险人年龄必须在 </w:t>
      </w:r>
      <w:r>
        <w:rPr/>
        <w:t>3</w:t>
      </w:r>
      <w:r>
        <w:rPr>
          <w:spacing w:val="-8"/>
        </w:rPr>
        <w:t> 周岁以上，并且须提供理赔当时的听</w:t>
      </w:r>
      <w:r>
        <w:rPr>
          <w:spacing w:val="-5"/>
        </w:rPr>
        <w:t>力丧失诊断及检查证据。</w:t>
      </w:r>
    </w:p>
    <w:p>
      <w:pPr>
        <w:pStyle w:val="BodyText"/>
        <w:spacing w:line="273" w:lineRule="auto" w:before="163"/>
        <w:ind w:left="2197" w:right="281"/>
        <w:jc w:val="both"/>
      </w:pPr>
      <w:r>
        <w:rPr/>
        <w:t>如果被保险人因听力严重受损而接受人工耳蜗植入手术治疗，本公司仅就一种特定疾病提前给付保险金。给付后，本公司对听力严重受损和人工耳蜗植入手术不再承担轻型重疾保险金的责任</w:t>
      </w:r>
    </w:p>
    <w:p>
      <w:pPr>
        <w:pStyle w:val="ListParagraph"/>
        <w:numPr>
          <w:ilvl w:val="0"/>
          <w:numId w:val="11"/>
        </w:numPr>
        <w:tabs>
          <w:tab w:pos="2197" w:val="left" w:leader="none"/>
        </w:tabs>
        <w:spacing w:line="273" w:lineRule="auto" w:before="163" w:after="0"/>
        <w:ind w:left="2197" w:right="281" w:hanging="421"/>
        <w:jc w:val="both"/>
        <w:rPr>
          <w:sz w:val="21"/>
        </w:rPr>
      </w:pPr>
      <w:r>
        <w:rPr>
          <w:spacing w:val="-3"/>
          <w:sz w:val="21"/>
        </w:rPr>
        <w:t>心脏瓣膜经皮导管介入手术：指为治疗心脏瓣膜疾病，实际实施了或经皮导管介入手术进行心脏瓣膜置换或者修复手术，含经皮瓣膜成形术、经皮瓣膜扩张术和经皮瓣膜置换术。</w:t>
      </w:r>
    </w:p>
    <w:p>
      <w:pPr>
        <w:pStyle w:val="BodyText"/>
        <w:spacing w:line="273" w:lineRule="auto" w:before="163"/>
        <w:ind w:left="2197" w:right="281"/>
        <w:jc w:val="both"/>
      </w:pPr>
      <w:r>
        <w:rPr/>
        <w:t>手术过程必须是经皮血管内导管技术，任何经开胸术打开或进入胸部的手术均不在保障责任范围。</w:t>
      </w:r>
    </w:p>
    <w:p>
      <w:pPr>
        <w:pStyle w:val="ListParagraph"/>
        <w:numPr>
          <w:ilvl w:val="0"/>
          <w:numId w:val="11"/>
        </w:numPr>
        <w:tabs>
          <w:tab w:pos="2197" w:val="left" w:leader="none"/>
        </w:tabs>
        <w:spacing w:line="273" w:lineRule="auto" w:before="163" w:after="0"/>
        <w:ind w:left="2197" w:right="281" w:hanging="421"/>
        <w:jc w:val="both"/>
        <w:rPr>
          <w:sz w:val="21"/>
        </w:rPr>
      </w:pPr>
      <w:r>
        <w:rPr>
          <w:spacing w:val="-3"/>
          <w:sz w:val="21"/>
        </w:rPr>
        <w:t>主动脉内手术：为了治疗主动脉疾病实际实施了经皮经导管进行的动脉内手术，诊断需经心脏血管超声检查确诊，并由专科医师确认是在医学上是必要的。</w:t>
      </w:r>
    </w:p>
    <w:p>
      <w:pPr>
        <w:pStyle w:val="BodyText"/>
        <w:spacing w:before="163"/>
        <w:ind w:left="2197"/>
      </w:pPr>
      <w:r>
        <w:rPr/>
        <w:t>主动脉指胸主动脉和腹主动脉，不包括胸主动脉和腹主动脉的分支血管。</w:t>
      </w:r>
    </w:p>
    <w:p>
      <w:pPr>
        <w:pStyle w:val="BodyText"/>
        <w:spacing w:before="9"/>
        <w:rPr>
          <w:sz w:val="14"/>
        </w:rPr>
      </w:pPr>
    </w:p>
    <w:p>
      <w:pPr>
        <w:pStyle w:val="ListParagraph"/>
        <w:numPr>
          <w:ilvl w:val="0"/>
          <w:numId w:val="11"/>
        </w:numPr>
        <w:tabs>
          <w:tab w:pos="2197" w:val="left" w:leader="none"/>
        </w:tabs>
        <w:spacing w:line="273" w:lineRule="auto" w:before="0" w:after="0"/>
        <w:ind w:left="2197" w:right="104" w:hanging="421"/>
        <w:jc w:val="left"/>
        <w:rPr>
          <w:sz w:val="21"/>
        </w:rPr>
      </w:pPr>
      <w:r>
        <w:rPr>
          <w:spacing w:val="-7"/>
          <w:sz w:val="21"/>
        </w:rPr>
        <w:t>脑垂体瘤、脑囊肿、脑动脉瘤及脑血管瘤：指实际实施的垂体瘤、脑囊肿、</w:t>
      </w:r>
      <w:r>
        <w:rPr>
          <w:spacing w:val="-5"/>
          <w:sz w:val="21"/>
        </w:rPr>
        <w:t>脑动脉瘤及脑血管瘤的切除手术。诊断需经头颅断层扫描</w:t>
      </w:r>
      <w:r>
        <w:rPr>
          <w:sz w:val="21"/>
        </w:rPr>
        <w:t>（CT）</w:t>
      </w:r>
      <w:r>
        <w:rPr>
          <w:spacing w:val="-3"/>
          <w:sz w:val="21"/>
        </w:rPr>
        <w:t>或核磁共 </w:t>
      </w:r>
      <w:r>
        <w:rPr>
          <w:spacing w:val="-8"/>
          <w:sz w:val="21"/>
        </w:rPr>
        <w:t>振</w:t>
      </w:r>
      <w:r>
        <w:rPr>
          <w:spacing w:val="-3"/>
          <w:sz w:val="21"/>
        </w:rPr>
        <w:t>（MRI）</w:t>
      </w:r>
      <w:r>
        <w:rPr>
          <w:spacing w:val="-5"/>
          <w:sz w:val="21"/>
        </w:rPr>
        <w:t>确诊，并由专科医师确认是在医学上是必要的。在索赔时必须提</w:t>
      </w:r>
      <w:r>
        <w:rPr>
          <w:spacing w:val="-4"/>
          <w:sz w:val="21"/>
        </w:rPr>
        <w:t>交由病理科专科医生签署的固定活组织病理学检查报告和由专科医生签署 </w:t>
      </w:r>
      <w:r>
        <w:rPr>
          <w:spacing w:val="-3"/>
          <w:sz w:val="21"/>
        </w:rPr>
        <w:t>的临床诊断及治疗报告。</w:t>
      </w:r>
    </w:p>
    <w:p>
      <w:pPr>
        <w:pStyle w:val="BodyText"/>
        <w:spacing w:before="163"/>
        <w:ind w:left="2197"/>
      </w:pPr>
      <w:r>
        <w:rPr/>
        <w:t>直径小于 1cm 的垂体微腺瘤不在本保障范围内。</w:t>
      </w:r>
    </w:p>
    <w:p>
      <w:pPr>
        <w:pStyle w:val="BodyText"/>
        <w:spacing w:before="9"/>
        <w:rPr>
          <w:sz w:val="14"/>
        </w:rPr>
      </w:pPr>
    </w:p>
    <w:p>
      <w:pPr>
        <w:pStyle w:val="ListParagraph"/>
        <w:numPr>
          <w:ilvl w:val="0"/>
          <w:numId w:val="11"/>
        </w:numPr>
        <w:tabs>
          <w:tab w:pos="2197" w:val="left" w:leader="none"/>
        </w:tabs>
        <w:spacing w:line="273" w:lineRule="auto" w:before="0" w:after="0"/>
        <w:ind w:left="2197" w:right="101" w:hanging="421"/>
        <w:jc w:val="left"/>
        <w:rPr>
          <w:sz w:val="21"/>
        </w:rPr>
      </w:pPr>
      <w:r>
        <w:rPr>
          <w:spacing w:val="-6"/>
          <w:sz w:val="21"/>
        </w:rPr>
        <w:t>轻度帕金森病：是一种中枢神经系统的退行性疾病，临床表现为震颤麻痹、</w:t>
      </w:r>
      <w:r>
        <w:rPr>
          <w:spacing w:val="-4"/>
          <w:sz w:val="21"/>
        </w:rPr>
        <w:t>共济失调等。须满足下列全部条件：</w:t>
      </w:r>
    </w:p>
    <w:p>
      <w:pPr>
        <w:pStyle w:val="ListParagraph"/>
        <w:numPr>
          <w:ilvl w:val="1"/>
          <w:numId w:val="11"/>
        </w:numPr>
        <w:tabs>
          <w:tab w:pos="3036" w:val="left" w:leader="none"/>
          <w:tab w:pos="3037" w:val="left" w:leader="none"/>
        </w:tabs>
        <w:spacing w:line="240" w:lineRule="auto" w:before="163" w:after="0"/>
        <w:ind w:left="3037" w:right="0" w:hanging="420"/>
        <w:jc w:val="left"/>
        <w:rPr>
          <w:sz w:val="21"/>
        </w:rPr>
      </w:pPr>
      <w:r>
        <w:rPr>
          <w:spacing w:val="-3"/>
          <w:sz w:val="21"/>
        </w:rPr>
        <w:t>药物治疗无法控制病情；</w:t>
      </w:r>
    </w:p>
    <w:p>
      <w:pPr>
        <w:pStyle w:val="BodyText"/>
        <w:spacing w:before="9"/>
        <w:rPr>
          <w:sz w:val="14"/>
        </w:rPr>
      </w:pPr>
    </w:p>
    <w:p>
      <w:pPr>
        <w:pStyle w:val="ListParagraph"/>
        <w:numPr>
          <w:ilvl w:val="1"/>
          <w:numId w:val="11"/>
        </w:numPr>
        <w:tabs>
          <w:tab w:pos="3036" w:val="left" w:leader="none"/>
          <w:tab w:pos="3037" w:val="left" w:leader="none"/>
        </w:tabs>
        <w:spacing w:line="240" w:lineRule="auto" w:before="0" w:after="0"/>
        <w:ind w:left="3037" w:right="0" w:hanging="420"/>
        <w:jc w:val="left"/>
        <w:rPr>
          <w:sz w:val="21"/>
        </w:rPr>
      </w:pPr>
      <w:r>
        <w:rPr>
          <w:spacing w:val="-3"/>
          <w:sz w:val="21"/>
        </w:rPr>
        <w:t>自主生活能力完全丧失，无法独立完成六项基本日常生活活动中</w:t>
      </w:r>
    </w:p>
    <w:p>
      <w:pPr>
        <w:spacing w:after="0" w:line="240" w:lineRule="auto"/>
        <w:jc w:val="left"/>
        <w:rPr>
          <w:sz w:val="21"/>
        </w:rPr>
        <w:sectPr>
          <w:pgSz w:w="11910" w:h="16840"/>
          <w:pgMar w:header="0" w:footer="925" w:top="1080" w:bottom="1200" w:left="1680" w:right="1020"/>
        </w:sectPr>
      </w:pPr>
    </w:p>
    <w:p>
      <w:pPr>
        <w:pStyle w:val="BodyText"/>
        <w:spacing w:before="22"/>
        <w:ind w:left="3037"/>
      </w:pPr>
      <w:r>
        <w:rPr/>
        <w:t>的两项。</w:t>
      </w:r>
    </w:p>
    <w:p>
      <w:pPr>
        <w:pStyle w:val="BodyText"/>
        <w:spacing w:before="10"/>
        <w:rPr>
          <w:sz w:val="14"/>
        </w:rPr>
      </w:pPr>
    </w:p>
    <w:p>
      <w:pPr>
        <w:pStyle w:val="BodyText"/>
        <w:ind w:left="2197"/>
      </w:pPr>
      <w:r>
        <w:rPr/>
        <w:t>继发性帕金森综合征不在保障范围内。</w:t>
      </w:r>
    </w:p>
    <w:p>
      <w:pPr>
        <w:pStyle w:val="BodyText"/>
        <w:spacing w:before="10"/>
        <w:rPr>
          <w:sz w:val="14"/>
        </w:rPr>
      </w:pPr>
    </w:p>
    <w:p>
      <w:pPr>
        <w:pStyle w:val="ListParagraph"/>
        <w:numPr>
          <w:ilvl w:val="0"/>
          <w:numId w:val="11"/>
        </w:numPr>
        <w:tabs>
          <w:tab w:pos="2197" w:val="left" w:leader="none"/>
        </w:tabs>
        <w:spacing w:line="273" w:lineRule="auto" w:before="0" w:after="0"/>
        <w:ind w:left="2197" w:right="101" w:hanging="421"/>
        <w:jc w:val="left"/>
        <w:rPr>
          <w:sz w:val="21"/>
        </w:rPr>
      </w:pPr>
      <w:r>
        <w:rPr>
          <w:spacing w:val="-3"/>
          <w:sz w:val="21"/>
        </w:rPr>
        <w:t>脑损伤：指因头部遭受机械性外力，引起脑重要部位损伤，导致神经系统</w:t>
      </w:r>
      <w:r>
        <w:rPr>
          <w:w w:val="100"/>
          <w:sz w:val="21"/>
        </w:rPr>
        <w:t>永</w:t>
      </w:r>
      <w:r>
        <w:rPr>
          <w:spacing w:val="-3"/>
          <w:w w:val="100"/>
          <w:sz w:val="21"/>
        </w:rPr>
        <w:t>久性的功能障碍。须由头颅断层扫描（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2"/>
          <w:w w:val="100"/>
          <w:sz w:val="21"/>
        </w:rPr>
        <w:t>或正</w:t>
      </w:r>
      <w:r>
        <w:rPr>
          <w:sz w:val="21"/>
        </w:rPr>
        <w:t>电</w:t>
      </w:r>
      <w:r>
        <w:rPr>
          <w:spacing w:val="-10"/>
          <w:sz w:val="21"/>
        </w:rPr>
        <w:t>子发射断层扫描</w:t>
      </w:r>
      <w:r>
        <w:rPr>
          <w:spacing w:val="-11"/>
          <w:sz w:val="21"/>
        </w:rPr>
        <w:t>（PET）</w:t>
      </w:r>
      <w:r>
        <w:rPr>
          <w:spacing w:val="-8"/>
          <w:sz w:val="21"/>
        </w:rPr>
        <w:t>等影像学检查证实。神经系统永久性的功能障碍， </w:t>
      </w:r>
      <w:r>
        <w:rPr>
          <w:spacing w:val="-14"/>
          <w:sz w:val="21"/>
        </w:rPr>
        <w:t>指脑损伤 </w:t>
      </w:r>
      <w:r>
        <w:rPr>
          <w:sz w:val="21"/>
        </w:rPr>
        <w:t>90</w:t>
      </w:r>
      <w:r>
        <w:rPr>
          <w:spacing w:val="-11"/>
          <w:sz w:val="21"/>
        </w:rPr>
        <w:t> 天后，仍完全丧失自主生活能力，无法独立进行六项日常基本</w:t>
      </w:r>
      <w:r>
        <w:rPr>
          <w:spacing w:val="-6"/>
          <w:sz w:val="21"/>
        </w:rPr>
        <w:t>生活活动中的二项。</w:t>
      </w:r>
    </w:p>
    <w:p>
      <w:pPr>
        <w:pStyle w:val="ListParagraph"/>
        <w:numPr>
          <w:ilvl w:val="0"/>
          <w:numId w:val="11"/>
        </w:numPr>
        <w:tabs>
          <w:tab w:pos="2197" w:val="left" w:leader="none"/>
        </w:tabs>
        <w:spacing w:line="273" w:lineRule="auto" w:before="163" w:after="0"/>
        <w:ind w:left="2197" w:right="103" w:hanging="421"/>
        <w:jc w:val="left"/>
        <w:rPr>
          <w:sz w:val="21"/>
        </w:rPr>
      </w:pPr>
      <w:r>
        <w:rPr>
          <w:spacing w:val="-3"/>
          <w:sz w:val="21"/>
        </w:rPr>
        <w:t>三度烧伤：指烧伤程度为Ⅲ度，且Ⅲ度烧伤面积达到全身体表面积的 </w:t>
      </w:r>
      <w:r>
        <w:rPr>
          <w:sz w:val="21"/>
        </w:rPr>
        <w:t>10% </w:t>
      </w:r>
      <w:r>
        <w:rPr>
          <w:spacing w:val="-11"/>
          <w:sz w:val="21"/>
        </w:rPr>
        <w:t>但少于 </w:t>
      </w:r>
      <w:r>
        <w:rPr>
          <w:spacing w:val="-10"/>
          <w:sz w:val="21"/>
        </w:rPr>
        <w:t>20%，或者超过 </w:t>
      </w:r>
      <w:r>
        <w:rPr>
          <w:sz w:val="21"/>
        </w:rPr>
        <w:t>50</w:t>
      </w:r>
      <w:r>
        <w:rPr>
          <w:spacing w:val="-12"/>
          <w:sz w:val="21"/>
        </w:rPr>
        <w:t>%脸部面积。体表面积根据《中国新九分法》计算。</w:t>
      </w:r>
    </w:p>
    <w:p>
      <w:pPr>
        <w:pStyle w:val="ListParagraph"/>
        <w:numPr>
          <w:ilvl w:val="0"/>
          <w:numId w:val="11"/>
        </w:numPr>
        <w:tabs>
          <w:tab w:pos="2197" w:val="left" w:leader="none"/>
        </w:tabs>
        <w:spacing w:line="273" w:lineRule="auto" w:before="163" w:after="0"/>
        <w:ind w:left="2197" w:right="281" w:hanging="421"/>
        <w:jc w:val="left"/>
        <w:rPr>
          <w:sz w:val="21"/>
        </w:rPr>
      </w:pPr>
      <w:r>
        <w:rPr>
          <w:spacing w:val="-3"/>
          <w:sz w:val="21"/>
        </w:rPr>
        <w:t>单侧肺脏切除：因疾病或意外事故实际实施的一侧肺脏切除术，部分切除手术和肺脏捐献引起的手术不在保障范围内。</w:t>
      </w:r>
    </w:p>
    <w:p>
      <w:pPr>
        <w:pStyle w:val="ListParagraph"/>
        <w:numPr>
          <w:ilvl w:val="0"/>
          <w:numId w:val="11"/>
        </w:numPr>
        <w:tabs>
          <w:tab w:pos="2197" w:val="left" w:leader="none"/>
        </w:tabs>
        <w:spacing w:line="273" w:lineRule="auto" w:before="164" w:after="0"/>
        <w:ind w:left="2197" w:right="206" w:hanging="421"/>
        <w:jc w:val="left"/>
        <w:rPr>
          <w:sz w:val="21"/>
        </w:rPr>
      </w:pPr>
      <w:r>
        <w:rPr>
          <w:spacing w:val="-5"/>
          <w:w w:val="100"/>
          <w:sz w:val="21"/>
        </w:rPr>
        <w:t>微创冠状动脉搭桥手术</w:t>
      </w:r>
      <w:r>
        <w:rPr>
          <w:spacing w:val="-3"/>
          <w:w w:val="100"/>
          <w:sz w:val="21"/>
        </w:rPr>
        <w:t>（或称微创冠状动脉旁路移植术</w:t>
      </w:r>
      <w:r>
        <w:rPr>
          <w:spacing w:val="-108"/>
          <w:w w:val="100"/>
          <w:sz w:val="21"/>
        </w:rPr>
        <w:t>）</w:t>
      </w:r>
      <w:r>
        <w:rPr>
          <w:spacing w:val="-5"/>
          <w:w w:val="100"/>
          <w:sz w:val="21"/>
        </w:rPr>
        <w:t>：为纠正冠状动脉</w:t>
      </w:r>
      <w:r>
        <w:rPr>
          <w:spacing w:val="-4"/>
          <w:sz w:val="21"/>
        </w:rPr>
        <w:t>的狭窄或堵塞，而实际实施的冠状动脉旁路移植手术。手术通过微创开胸术（</w:t>
      </w:r>
      <w:r>
        <w:rPr>
          <w:spacing w:val="-3"/>
          <w:sz w:val="21"/>
        </w:rPr>
        <w:t>肋骨间小切口）进行，且诊断须由冠状动脉血管造影检查确诊狭窄或堵塞。微创冠状动脉绕道也包括"锁孔"冠脉搭桥手术。</w:t>
      </w:r>
    </w:p>
    <w:p>
      <w:pPr>
        <w:pStyle w:val="BodyText"/>
        <w:spacing w:before="163"/>
        <w:ind w:left="2197"/>
      </w:pPr>
      <w:r>
        <w:rPr/>
        <w:t>理赔必须满足所有以下条件：</w:t>
      </w:r>
    </w:p>
    <w:p>
      <w:pPr>
        <w:pStyle w:val="BodyText"/>
        <w:spacing w:before="9"/>
        <w:rPr>
          <w:sz w:val="14"/>
        </w:rPr>
      </w:pPr>
    </w:p>
    <w:p>
      <w:pPr>
        <w:pStyle w:val="ListParagraph"/>
        <w:numPr>
          <w:ilvl w:val="1"/>
          <w:numId w:val="11"/>
        </w:numPr>
        <w:tabs>
          <w:tab w:pos="3036" w:val="left" w:leader="none"/>
          <w:tab w:pos="3037" w:val="left" w:leader="none"/>
        </w:tabs>
        <w:spacing w:line="273" w:lineRule="auto" w:before="0" w:after="0"/>
        <w:ind w:left="3037" w:right="334" w:hanging="420"/>
        <w:jc w:val="left"/>
        <w:rPr>
          <w:sz w:val="21"/>
        </w:rPr>
      </w:pPr>
      <w:r>
        <w:rPr>
          <w:spacing w:val="-5"/>
          <w:sz w:val="21"/>
        </w:rPr>
        <w:t>血管造影显示至少两支冠状动脉狭窄超过 </w:t>
      </w:r>
      <w:r>
        <w:rPr>
          <w:sz w:val="21"/>
        </w:rPr>
        <w:t>50</w:t>
      </w:r>
      <w:r>
        <w:rPr>
          <w:spacing w:val="-3"/>
          <w:sz w:val="21"/>
        </w:rPr>
        <w:t>%或一支冠状动脉狭</w:t>
      </w:r>
      <w:r>
        <w:rPr>
          <w:spacing w:val="-1"/>
          <w:sz w:val="21"/>
        </w:rPr>
        <w:t>窄 </w:t>
      </w:r>
      <w:r>
        <w:rPr>
          <w:sz w:val="21"/>
        </w:rPr>
        <w:t>70</w:t>
      </w:r>
      <w:r>
        <w:rPr>
          <w:spacing w:val="-1"/>
          <w:sz w:val="21"/>
        </w:rPr>
        <w:t>%或更高 ；</w:t>
      </w:r>
    </w:p>
    <w:p>
      <w:pPr>
        <w:pStyle w:val="ListParagraph"/>
        <w:numPr>
          <w:ilvl w:val="1"/>
          <w:numId w:val="11"/>
        </w:numPr>
        <w:tabs>
          <w:tab w:pos="3036" w:val="left" w:leader="none"/>
          <w:tab w:pos="3037" w:val="left" w:leader="none"/>
        </w:tabs>
        <w:spacing w:line="240" w:lineRule="auto" w:before="163" w:after="0"/>
        <w:ind w:left="3037" w:right="0" w:hanging="420"/>
        <w:jc w:val="left"/>
        <w:rPr>
          <w:sz w:val="21"/>
        </w:rPr>
      </w:pPr>
      <w:r>
        <w:rPr>
          <w:spacing w:val="-3"/>
          <w:sz w:val="21"/>
        </w:rPr>
        <w:t>手术须由心脏专科医师进行，并确认在手术是必要的。</w:t>
      </w:r>
    </w:p>
    <w:p>
      <w:pPr>
        <w:pStyle w:val="BodyText"/>
        <w:spacing w:before="9"/>
        <w:rPr>
          <w:sz w:val="14"/>
        </w:rPr>
      </w:pPr>
    </w:p>
    <w:p>
      <w:pPr>
        <w:pStyle w:val="ListParagraph"/>
        <w:numPr>
          <w:ilvl w:val="0"/>
          <w:numId w:val="11"/>
        </w:numPr>
        <w:tabs>
          <w:tab w:pos="2197" w:val="left" w:leader="none"/>
        </w:tabs>
        <w:spacing w:line="273" w:lineRule="auto" w:before="0" w:after="0"/>
        <w:ind w:left="2197" w:right="281" w:hanging="421"/>
        <w:jc w:val="left"/>
        <w:rPr>
          <w:sz w:val="21"/>
        </w:rPr>
      </w:pPr>
      <w:r>
        <w:rPr>
          <w:spacing w:val="-3"/>
          <w:sz w:val="21"/>
        </w:rPr>
        <w:t>一肢缺失：指因疾病或者意外伤害导致一个肢体或一个以上肢体自腕关节或踝关节近端（靠近躯干端</w:t>
      </w:r>
      <w:r>
        <w:rPr>
          <w:sz w:val="21"/>
        </w:rPr>
        <w:t>）</w:t>
      </w:r>
      <w:r>
        <w:rPr>
          <w:spacing w:val="-3"/>
          <w:sz w:val="21"/>
        </w:rPr>
        <w:t>以上完全断离。</w:t>
      </w:r>
    </w:p>
    <w:p>
      <w:pPr>
        <w:pStyle w:val="ListParagraph"/>
        <w:numPr>
          <w:ilvl w:val="0"/>
          <w:numId w:val="11"/>
        </w:numPr>
        <w:tabs>
          <w:tab w:pos="2197" w:val="left" w:leader="none"/>
        </w:tabs>
        <w:spacing w:line="273" w:lineRule="auto" w:before="163" w:after="0"/>
        <w:ind w:left="2197" w:right="281" w:hanging="421"/>
        <w:jc w:val="left"/>
        <w:rPr>
          <w:sz w:val="21"/>
        </w:rPr>
      </w:pPr>
      <w:r>
        <w:rPr>
          <w:spacing w:val="-3"/>
          <w:sz w:val="21"/>
        </w:rPr>
        <w:t>肝脏手术：因疾病或意外事故实际实施的肝脏部分切除术，手术须有至少一个完整的肝叶切除。</w:t>
      </w:r>
    </w:p>
    <w:p>
      <w:pPr>
        <w:pStyle w:val="BodyText"/>
        <w:spacing w:before="163"/>
        <w:ind w:left="2197"/>
      </w:pPr>
      <w:r>
        <w:rPr/>
        <w:t>继发于酗酒，药物滥用，肝脏捐献引起的 肝脏手术不在保障范围内。</w:t>
      </w:r>
    </w:p>
    <w:p>
      <w:pPr>
        <w:pStyle w:val="BodyText"/>
        <w:spacing w:before="9"/>
        <w:rPr>
          <w:sz w:val="14"/>
        </w:rPr>
      </w:pPr>
    </w:p>
    <w:p>
      <w:pPr>
        <w:pStyle w:val="ListParagraph"/>
        <w:numPr>
          <w:ilvl w:val="0"/>
          <w:numId w:val="11"/>
        </w:numPr>
        <w:tabs>
          <w:tab w:pos="2197" w:val="left" w:leader="none"/>
        </w:tabs>
        <w:spacing w:line="273" w:lineRule="auto" w:before="1" w:after="0"/>
        <w:ind w:left="2197" w:right="281" w:hanging="421"/>
        <w:jc w:val="both"/>
        <w:rPr>
          <w:sz w:val="21"/>
        </w:rPr>
      </w:pPr>
      <w:r>
        <w:rPr>
          <w:spacing w:val="-3"/>
          <w:sz w:val="21"/>
        </w:rPr>
        <w:t>轻度脑炎或脑膜炎后遗症：指因患脑炎或脑膜炎导致的神经系统的永久功</w:t>
      </w:r>
      <w:r>
        <w:rPr>
          <w:spacing w:val="-5"/>
          <w:sz w:val="21"/>
        </w:rPr>
        <w:t>能障碍。神经系统永久性的功能障碍，指疾病确诊 </w:t>
      </w:r>
      <w:r>
        <w:rPr>
          <w:sz w:val="21"/>
        </w:rPr>
        <w:t>180</w:t>
      </w:r>
      <w:r>
        <w:rPr>
          <w:spacing w:val="-8"/>
          <w:sz w:val="21"/>
        </w:rPr>
        <w:t> 天后，仍存在自主</w:t>
      </w:r>
      <w:r>
        <w:rPr>
          <w:spacing w:val="-5"/>
          <w:sz w:val="21"/>
        </w:rPr>
        <w:t>生活能力完全丧失，无法独立完成六项基本日常生活活动中的两项。</w:t>
      </w:r>
    </w:p>
    <w:p>
      <w:pPr>
        <w:pStyle w:val="BodyText"/>
        <w:spacing w:before="164"/>
        <w:ind w:left="2197"/>
      </w:pPr>
      <w:r>
        <w:rPr/>
        <w:t>HIV 感染引起的脑炎不在保障范围内。</w:t>
      </w:r>
    </w:p>
    <w:p>
      <w:pPr>
        <w:pStyle w:val="BodyText"/>
        <w:spacing w:before="10"/>
        <w:rPr>
          <w:sz w:val="14"/>
        </w:rPr>
      </w:pPr>
    </w:p>
    <w:p>
      <w:pPr>
        <w:pStyle w:val="ListParagraph"/>
        <w:numPr>
          <w:ilvl w:val="0"/>
          <w:numId w:val="11"/>
        </w:numPr>
        <w:tabs>
          <w:tab w:pos="2197" w:val="left" w:leader="none"/>
        </w:tabs>
        <w:spacing w:line="273" w:lineRule="auto" w:before="0" w:after="0"/>
        <w:ind w:left="2197" w:right="209" w:hanging="421"/>
        <w:jc w:val="left"/>
        <w:rPr>
          <w:sz w:val="21"/>
        </w:rPr>
      </w:pPr>
      <w:r>
        <w:rPr>
          <w:spacing w:val="-10"/>
          <w:sz w:val="21"/>
        </w:rPr>
        <w:t>深度昏迷 </w:t>
      </w:r>
      <w:r>
        <w:rPr>
          <w:sz w:val="21"/>
        </w:rPr>
        <w:t>72</w:t>
      </w:r>
      <w:r>
        <w:rPr>
          <w:spacing w:val="-8"/>
          <w:sz w:val="21"/>
        </w:rPr>
        <w:t> 小时：指因疾病或意外伤害导致意识丧失,对外界刺激和体内</w:t>
      </w:r>
      <w:r>
        <w:rPr>
          <w:spacing w:val="-5"/>
          <w:sz w:val="21"/>
        </w:rPr>
        <w:t>需求均无反应,昏迷程度按照格拉斯哥昏迷分级</w:t>
      </w:r>
      <w:r>
        <w:rPr>
          <w:sz w:val="21"/>
        </w:rPr>
        <w:t>（Glasgow</w:t>
      </w:r>
      <w:r>
        <w:rPr>
          <w:spacing w:val="-7"/>
          <w:sz w:val="21"/>
        </w:rPr>
        <w:t> </w:t>
      </w:r>
      <w:r>
        <w:rPr>
          <w:sz w:val="21"/>
        </w:rPr>
        <w:t>coma</w:t>
      </w:r>
      <w:r>
        <w:rPr>
          <w:spacing w:val="-7"/>
          <w:sz w:val="21"/>
        </w:rPr>
        <w:t> </w:t>
      </w:r>
      <w:r>
        <w:rPr>
          <w:sz w:val="21"/>
        </w:rPr>
        <w:t>scale）结</w:t>
      </w:r>
      <w:r>
        <w:rPr>
          <w:spacing w:val="-16"/>
          <w:sz w:val="21"/>
        </w:rPr>
        <w:t>果为 </w:t>
      </w:r>
      <w:r>
        <w:rPr>
          <w:sz w:val="21"/>
        </w:rPr>
        <w:t>5</w:t>
      </w:r>
      <w:r>
        <w:rPr>
          <w:spacing w:val="-26"/>
          <w:sz w:val="21"/>
        </w:rPr>
        <w:t> 分或 </w:t>
      </w:r>
      <w:r>
        <w:rPr>
          <w:sz w:val="21"/>
        </w:rPr>
        <w:t>5</w:t>
      </w:r>
      <w:r>
        <w:rPr>
          <w:spacing w:val="-11"/>
          <w:sz w:val="21"/>
        </w:rPr>
        <w:t> 分以下，且已经持续使用呼吸机及其它生命维持系统达到 </w:t>
      </w:r>
      <w:r>
        <w:rPr>
          <w:sz w:val="21"/>
        </w:rPr>
        <w:t>72 小时。</w:t>
      </w:r>
    </w:p>
    <w:p>
      <w:pPr>
        <w:pStyle w:val="BodyText"/>
        <w:spacing w:before="163"/>
        <w:ind w:left="2197"/>
      </w:pPr>
      <w:r>
        <w:rPr/>
        <w:t>因酗酒或药物滥用导致的深度昏迷不在保障范围内。</w:t>
      </w:r>
    </w:p>
    <w:p>
      <w:pPr>
        <w:pStyle w:val="BodyText"/>
        <w:spacing w:before="9"/>
        <w:rPr>
          <w:sz w:val="14"/>
        </w:rPr>
      </w:pPr>
    </w:p>
    <w:p>
      <w:pPr>
        <w:pStyle w:val="ListParagraph"/>
        <w:numPr>
          <w:ilvl w:val="0"/>
          <w:numId w:val="11"/>
        </w:numPr>
        <w:tabs>
          <w:tab w:pos="2197" w:val="left" w:leader="none"/>
        </w:tabs>
        <w:spacing w:line="273" w:lineRule="auto" w:before="0" w:after="0"/>
        <w:ind w:left="2197" w:right="281" w:hanging="421"/>
        <w:jc w:val="both"/>
        <w:rPr>
          <w:sz w:val="21"/>
        </w:rPr>
      </w:pPr>
      <w:r>
        <w:rPr>
          <w:spacing w:val="-3"/>
          <w:sz w:val="21"/>
        </w:rPr>
        <w:t>中度瘫痪：指因疾病或者意外伤害导致一肢或一肢以上肢体机能永久完全</w:t>
      </w:r>
      <w:r>
        <w:rPr>
          <w:spacing w:val="-6"/>
          <w:sz w:val="21"/>
        </w:rPr>
        <w:t>丧失。肢体机能永久完全丧失，指疾病确诊 </w:t>
      </w:r>
      <w:r>
        <w:rPr>
          <w:sz w:val="21"/>
        </w:rPr>
        <w:t>180</w:t>
      </w:r>
      <w:r>
        <w:rPr>
          <w:spacing w:val="-12"/>
          <w:sz w:val="21"/>
        </w:rPr>
        <w:t> 天后或意外伤害发生 </w:t>
      </w:r>
      <w:r>
        <w:rPr>
          <w:sz w:val="21"/>
        </w:rPr>
        <w:t>180 </w:t>
      </w:r>
      <w:r>
        <w:rPr>
          <w:spacing w:val="-3"/>
          <w:sz w:val="21"/>
        </w:rPr>
        <w:t>天后，每肢三大关节中的两大关节仍然完全僵硬，或不能随意识活动。</w:t>
      </w:r>
    </w:p>
    <w:p>
      <w:pPr>
        <w:pStyle w:val="BodyText"/>
        <w:spacing w:before="163"/>
        <w:ind w:left="2197"/>
      </w:pPr>
      <w:r>
        <w:rPr/>
        <w:t>肢体是指包括整个手臂包括肩关节或这个腿包括髋关节。</w:t>
      </w:r>
    </w:p>
    <w:p>
      <w:pPr>
        <w:spacing w:after="0"/>
        <w:sectPr>
          <w:pgSz w:w="11910" w:h="16840"/>
          <w:pgMar w:header="0" w:footer="925" w:top="1080" w:bottom="1200" w:left="1680" w:right="1020"/>
        </w:sectPr>
      </w:pPr>
    </w:p>
    <w:p>
      <w:pPr>
        <w:pStyle w:val="BodyText"/>
        <w:spacing w:line="273" w:lineRule="auto" w:before="22"/>
        <w:ind w:left="2197" w:right="281"/>
        <w:jc w:val="both"/>
      </w:pPr>
      <w:r>
        <w:rPr/>
        <w:t>自我伤害，局部瘫痪，病毒感染后的临时瘫痪，或由于心理疾病造成的机能丧失不在保障范围。</w:t>
      </w:r>
    </w:p>
    <w:p>
      <w:pPr>
        <w:pStyle w:val="ListParagraph"/>
        <w:numPr>
          <w:ilvl w:val="0"/>
          <w:numId w:val="11"/>
        </w:numPr>
        <w:tabs>
          <w:tab w:pos="2197" w:val="left" w:leader="none"/>
        </w:tabs>
        <w:spacing w:line="273" w:lineRule="auto" w:before="164" w:after="0"/>
        <w:ind w:left="2197" w:right="281" w:hanging="421"/>
        <w:jc w:val="both"/>
        <w:rPr>
          <w:sz w:val="21"/>
        </w:rPr>
      </w:pPr>
      <w:r>
        <w:rPr>
          <w:spacing w:val="-3"/>
          <w:sz w:val="21"/>
        </w:rPr>
        <w:t>中度阿尔茨海默病：指因大脑进行性、不可逆性改变导致智能严重衰退或丧失，临床表现为明显的认知能力障碍、行为异常和社交能力减退，其日</w:t>
      </w:r>
      <w:r>
        <w:rPr>
          <w:spacing w:val="-3"/>
          <w:w w:val="100"/>
          <w:sz w:val="21"/>
        </w:rPr>
        <w:t>常生活必须持续受到他人监护。须由头颅断层扫描</w:t>
      </w:r>
      <w:r>
        <w:rPr>
          <w:w w:val="100"/>
          <w:sz w:val="21"/>
        </w:rPr>
        <w:t>（CT</w:t>
      </w:r>
      <w:r>
        <w:rPr>
          <w:spacing w:val="-108"/>
          <w:w w:val="100"/>
          <w:sz w:val="21"/>
        </w:rPr>
        <w:t>）</w:t>
      </w:r>
      <w:r>
        <w:rPr>
          <w:spacing w:val="-3"/>
          <w:w w:val="100"/>
          <w:sz w:val="21"/>
        </w:rPr>
        <w:t>、核磁共振检查</w:t>
      </w:r>
    </w:p>
    <w:p>
      <w:pPr>
        <w:pStyle w:val="BodyText"/>
        <w:spacing w:line="273" w:lineRule="auto" w:before="7"/>
        <w:ind w:left="2197" w:right="284"/>
        <w:jc w:val="both"/>
      </w:pPr>
      <w:r>
        <w:rPr/>
        <w:t>（MRI）或正电子发射断层扫描（PET）等影像学检查证实，且自主生活能力完全丧失，无法独立完成六项基本日常生活活动中的两项。</w:t>
      </w:r>
    </w:p>
    <w:p>
      <w:pPr>
        <w:pStyle w:val="BodyText"/>
        <w:spacing w:before="163"/>
        <w:ind w:left="2197"/>
      </w:pPr>
      <w:r>
        <w:rPr/>
        <w:t>除外责任：</w:t>
      </w:r>
    </w:p>
    <w:p>
      <w:pPr>
        <w:pStyle w:val="BodyText"/>
        <w:spacing w:before="9"/>
        <w:rPr>
          <w:sz w:val="14"/>
        </w:rPr>
      </w:pPr>
    </w:p>
    <w:p>
      <w:pPr>
        <w:pStyle w:val="ListParagraph"/>
        <w:numPr>
          <w:ilvl w:val="1"/>
          <w:numId w:val="11"/>
        </w:numPr>
        <w:tabs>
          <w:tab w:pos="3036" w:val="left" w:leader="none"/>
          <w:tab w:pos="3037" w:val="left" w:leader="none"/>
        </w:tabs>
        <w:spacing w:line="240" w:lineRule="auto" w:before="0" w:after="0"/>
        <w:ind w:left="3037" w:right="0" w:hanging="420"/>
        <w:jc w:val="left"/>
        <w:rPr>
          <w:sz w:val="21"/>
        </w:rPr>
      </w:pPr>
      <w:r>
        <w:rPr>
          <w:spacing w:val="-5"/>
          <w:sz w:val="21"/>
        </w:rPr>
        <w:t>与酒精，药物滥用或获得性免疫缺陷综合症</w:t>
      </w:r>
      <w:r>
        <w:rPr>
          <w:spacing w:val="-3"/>
          <w:sz w:val="21"/>
        </w:rPr>
        <w:t>（AIDS）相关的痴呆；</w:t>
      </w:r>
    </w:p>
    <w:p>
      <w:pPr>
        <w:pStyle w:val="BodyText"/>
        <w:spacing w:before="9"/>
        <w:rPr>
          <w:sz w:val="14"/>
        </w:rPr>
      </w:pPr>
    </w:p>
    <w:p>
      <w:pPr>
        <w:pStyle w:val="ListParagraph"/>
        <w:numPr>
          <w:ilvl w:val="1"/>
          <w:numId w:val="11"/>
        </w:numPr>
        <w:tabs>
          <w:tab w:pos="3036" w:val="left" w:leader="none"/>
          <w:tab w:pos="3037" w:val="left" w:leader="none"/>
        </w:tabs>
        <w:spacing w:line="240" w:lineRule="auto" w:before="0" w:after="0"/>
        <w:ind w:left="3037" w:right="0" w:hanging="420"/>
        <w:jc w:val="left"/>
        <w:rPr>
          <w:sz w:val="21"/>
        </w:rPr>
      </w:pPr>
      <w:r>
        <w:rPr>
          <w:spacing w:val="-3"/>
          <w:sz w:val="21"/>
        </w:rPr>
        <w:t>神经官能症和精神疾病。</w:t>
      </w:r>
    </w:p>
    <w:p>
      <w:pPr>
        <w:pStyle w:val="BodyText"/>
        <w:spacing w:before="9"/>
        <w:rPr>
          <w:sz w:val="14"/>
        </w:rPr>
      </w:pPr>
    </w:p>
    <w:p>
      <w:pPr>
        <w:pStyle w:val="ListParagraph"/>
        <w:numPr>
          <w:ilvl w:val="0"/>
          <w:numId w:val="11"/>
        </w:numPr>
        <w:tabs>
          <w:tab w:pos="2197" w:val="left" w:leader="none"/>
        </w:tabs>
        <w:spacing w:line="273" w:lineRule="auto" w:before="0" w:after="0"/>
        <w:ind w:left="2197" w:right="209" w:hanging="421"/>
        <w:jc w:val="left"/>
        <w:rPr>
          <w:sz w:val="21"/>
        </w:rPr>
      </w:pPr>
      <w:r>
        <w:rPr>
          <w:spacing w:val="-5"/>
          <w:sz w:val="21"/>
        </w:rPr>
        <w:t>早期原发性侧索硬化症:病变发生在椎体系统，临床表现为肢体上运动神经</w:t>
      </w:r>
      <w:r>
        <w:rPr>
          <w:spacing w:val="-4"/>
          <w:sz w:val="21"/>
        </w:rPr>
        <w:t>元瘫痪，肌无力、肌张力增高、腱反射亢进和病理反射阳性。必须由专科</w:t>
      </w:r>
      <w:r>
        <w:rPr>
          <w:spacing w:val="-3"/>
          <w:sz w:val="21"/>
        </w:rPr>
        <w:t>医生明确诊断为进行性病变，并有肌电图等检查证实，必须造成神经系统永久性功能损害并且已导致被保险人自主生活能力完全丧失，无法独立完</w:t>
      </w:r>
      <w:r>
        <w:rPr>
          <w:spacing w:val="-5"/>
          <w:sz w:val="21"/>
        </w:rPr>
        <w:t>成六项基本日常生活活动中的两项持续达 </w:t>
      </w:r>
      <w:r>
        <w:rPr>
          <w:sz w:val="21"/>
        </w:rPr>
        <w:t>180</w:t>
      </w:r>
      <w:r>
        <w:rPr>
          <w:spacing w:val="-10"/>
          <w:sz w:val="21"/>
        </w:rPr>
        <w:t> 天以上。</w:t>
      </w:r>
    </w:p>
    <w:p>
      <w:pPr>
        <w:pStyle w:val="ListParagraph"/>
        <w:numPr>
          <w:ilvl w:val="0"/>
          <w:numId w:val="11"/>
        </w:numPr>
        <w:tabs>
          <w:tab w:pos="2197" w:val="left" w:leader="none"/>
        </w:tabs>
        <w:spacing w:line="273" w:lineRule="auto" w:before="163" w:after="0"/>
        <w:ind w:left="2197" w:right="281" w:hanging="421"/>
        <w:jc w:val="both"/>
        <w:rPr>
          <w:sz w:val="21"/>
        </w:rPr>
      </w:pPr>
      <w:r>
        <w:rPr>
          <w:spacing w:val="-3"/>
          <w:sz w:val="21"/>
        </w:rPr>
        <w:t>人工耳蜗植入手术: 指由于耳蜗的永久损害而实际实施了人工耳蜗植入手术。手术需经专科医师确认是在医学上是必要的，且在植入手术之前已经符合以下全部条件：</w:t>
      </w:r>
    </w:p>
    <w:p>
      <w:pPr>
        <w:pStyle w:val="ListParagraph"/>
        <w:numPr>
          <w:ilvl w:val="1"/>
          <w:numId w:val="11"/>
        </w:numPr>
        <w:tabs>
          <w:tab w:pos="3036" w:val="left" w:leader="none"/>
          <w:tab w:pos="3037" w:val="left" w:leader="none"/>
        </w:tabs>
        <w:spacing w:line="240" w:lineRule="auto" w:before="163" w:after="0"/>
        <w:ind w:left="3037" w:right="0" w:hanging="420"/>
        <w:jc w:val="left"/>
        <w:rPr>
          <w:sz w:val="21"/>
        </w:rPr>
      </w:pPr>
      <w:r>
        <w:rPr>
          <w:spacing w:val="-10"/>
          <w:sz w:val="21"/>
        </w:rPr>
        <w:t>双耳持续 </w:t>
      </w:r>
      <w:r>
        <w:rPr>
          <w:sz w:val="21"/>
        </w:rPr>
        <w:t>12</w:t>
      </w:r>
      <w:r>
        <w:rPr>
          <w:spacing w:val="-8"/>
          <w:sz w:val="21"/>
        </w:rPr>
        <w:t> 个月以上重度感音神经性耳聋；</w:t>
      </w:r>
    </w:p>
    <w:p>
      <w:pPr>
        <w:pStyle w:val="BodyText"/>
        <w:spacing w:before="9"/>
        <w:rPr>
          <w:sz w:val="14"/>
        </w:rPr>
      </w:pPr>
    </w:p>
    <w:p>
      <w:pPr>
        <w:pStyle w:val="ListParagraph"/>
        <w:numPr>
          <w:ilvl w:val="1"/>
          <w:numId w:val="11"/>
        </w:numPr>
        <w:tabs>
          <w:tab w:pos="3036" w:val="left" w:leader="none"/>
          <w:tab w:pos="3037" w:val="left" w:leader="none"/>
        </w:tabs>
        <w:spacing w:line="240" w:lineRule="auto" w:before="0" w:after="0"/>
        <w:ind w:left="3037" w:right="0" w:hanging="420"/>
        <w:jc w:val="left"/>
        <w:rPr>
          <w:sz w:val="21"/>
        </w:rPr>
      </w:pPr>
      <w:r>
        <w:rPr>
          <w:spacing w:val="-3"/>
          <w:sz w:val="21"/>
        </w:rPr>
        <w:t>使用相应的听力辅助设备效果不佳。</w:t>
      </w:r>
    </w:p>
    <w:p>
      <w:pPr>
        <w:pStyle w:val="BodyText"/>
        <w:spacing w:before="9"/>
        <w:rPr>
          <w:sz w:val="14"/>
        </w:rPr>
      </w:pPr>
    </w:p>
    <w:p>
      <w:pPr>
        <w:pStyle w:val="BodyText"/>
        <w:spacing w:line="273" w:lineRule="auto"/>
        <w:ind w:left="2197" w:right="281"/>
        <w:jc w:val="both"/>
      </w:pPr>
      <w:r>
        <w:rPr/>
        <w:t>如果被保险人因听力严重受损而接受人工耳蜗植入手术治疗，本公司仅就一种特定疾病提前给付保险金。给付后，本公司对听力严重受损和人工耳蜗植入手术不再承担轻型重疾保险金的责任</w:t>
      </w:r>
    </w:p>
    <w:p>
      <w:pPr>
        <w:pStyle w:val="ListParagraph"/>
        <w:numPr>
          <w:ilvl w:val="0"/>
          <w:numId w:val="11"/>
        </w:numPr>
        <w:tabs>
          <w:tab w:pos="2197" w:val="left" w:leader="none"/>
        </w:tabs>
        <w:spacing w:line="273" w:lineRule="auto" w:before="163" w:after="0"/>
        <w:ind w:left="2197" w:right="281" w:hanging="421"/>
        <w:jc w:val="left"/>
        <w:rPr>
          <w:sz w:val="21"/>
        </w:rPr>
      </w:pPr>
      <w:r>
        <w:rPr>
          <w:spacing w:val="-3"/>
          <w:sz w:val="21"/>
        </w:rPr>
        <w:t>可逆性再生障碍性贫血: 指因急性可逆性的骨髓造血功能衰竭而导致贫血、中性粒细胞减少和血小板减少，必须由血液科医生的诊断，且病历资料显示接受了下列任一治疗：</w:t>
      </w:r>
    </w:p>
    <w:p>
      <w:pPr>
        <w:pStyle w:val="ListParagraph"/>
        <w:numPr>
          <w:ilvl w:val="1"/>
          <w:numId w:val="11"/>
        </w:numPr>
        <w:tabs>
          <w:tab w:pos="3142" w:val="left" w:leader="none"/>
          <w:tab w:pos="3143" w:val="left" w:leader="none"/>
        </w:tabs>
        <w:spacing w:line="240" w:lineRule="auto" w:before="163" w:after="0"/>
        <w:ind w:left="3142" w:right="0" w:hanging="525"/>
        <w:jc w:val="left"/>
        <w:rPr>
          <w:sz w:val="21"/>
        </w:rPr>
      </w:pPr>
      <w:r>
        <w:rPr>
          <w:spacing w:val="-9"/>
          <w:sz w:val="21"/>
        </w:rPr>
        <w:t>骨髓刺激疗法至少 </w:t>
      </w:r>
      <w:r>
        <w:rPr>
          <w:sz w:val="21"/>
        </w:rPr>
        <w:t>1</w:t>
      </w:r>
      <w:r>
        <w:rPr>
          <w:spacing w:val="-14"/>
          <w:sz w:val="21"/>
        </w:rPr>
        <w:t> 个月；</w:t>
      </w:r>
    </w:p>
    <w:p>
      <w:pPr>
        <w:pStyle w:val="BodyText"/>
        <w:spacing w:before="9"/>
        <w:rPr>
          <w:sz w:val="14"/>
        </w:rPr>
      </w:pPr>
    </w:p>
    <w:p>
      <w:pPr>
        <w:pStyle w:val="ListParagraph"/>
        <w:numPr>
          <w:ilvl w:val="1"/>
          <w:numId w:val="11"/>
        </w:numPr>
        <w:tabs>
          <w:tab w:pos="3142" w:val="left" w:leader="none"/>
          <w:tab w:pos="3143" w:val="left" w:leader="none"/>
        </w:tabs>
        <w:spacing w:line="240" w:lineRule="auto" w:before="0" w:after="0"/>
        <w:ind w:left="3142" w:right="0" w:hanging="525"/>
        <w:jc w:val="left"/>
        <w:rPr>
          <w:sz w:val="21"/>
        </w:rPr>
      </w:pPr>
      <w:r>
        <w:rPr>
          <w:spacing w:val="-8"/>
          <w:sz w:val="21"/>
        </w:rPr>
        <w:t>免疫抑制剂治疗至少 </w:t>
      </w:r>
      <w:r>
        <w:rPr>
          <w:sz w:val="21"/>
        </w:rPr>
        <w:t>1</w:t>
      </w:r>
      <w:r>
        <w:rPr>
          <w:spacing w:val="-14"/>
          <w:sz w:val="21"/>
        </w:rPr>
        <w:t> 个月；</w:t>
      </w:r>
    </w:p>
    <w:p>
      <w:pPr>
        <w:pStyle w:val="BodyText"/>
        <w:spacing w:before="9"/>
        <w:rPr>
          <w:sz w:val="14"/>
        </w:rPr>
      </w:pPr>
    </w:p>
    <w:p>
      <w:pPr>
        <w:pStyle w:val="ListParagraph"/>
        <w:numPr>
          <w:ilvl w:val="1"/>
          <w:numId w:val="11"/>
        </w:numPr>
        <w:tabs>
          <w:tab w:pos="3142" w:val="left" w:leader="none"/>
          <w:tab w:pos="3143" w:val="left" w:leader="none"/>
        </w:tabs>
        <w:spacing w:line="240" w:lineRule="auto" w:before="0" w:after="0"/>
        <w:ind w:left="3142" w:right="0" w:hanging="525"/>
        <w:jc w:val="left"/>
        <w:rPr>
          <w:sz w:val="21"/>
        </w:rPr>
      </w:pPr>
      <w:r>
        <w:rPr>
          <w:spacing w:val="-3"/>
          <w:sz w:val="21"/>
        </w:rPr>
        <w:t>接受了骨髓移植。</w:t>
      </w:r>
    </w:p>
    <w:p>
      <w:pPr>
        <w:pStyle w:val="BodyText"/>
        <w:spacing w:before="9"/>
        <w:rPr>
          <w:sz w:val="14"/>
        </w:rPr>
      </w:pPr>
    </w:p>
    <w:p>
      <w:pPr>
        <w:pStyle w:val="ListParagraph"/>
        <w:numPr>
          <w:ilvl w:val="0"/>
          <w:numId w:val="11"/>
        </w:numPr>
        <w:tabs>
          <w:tab w:pos="2197" w:val="left" w:leader="none"/>
        </w:tabs>
        <w:spacing w:line="273" w:lineRule="auto" w:before="0" w:after="0"/>
        <w:ind w:left="2197" w:right="281" w:hanging="421"/>
        <w:jc w:val="both"/>
        <w:rPr>
          <w:sz w:val="21"/>
        </w:rPr>
      </w:pPr>
      <w:r>
        <w:rPr>
          <w:spacing w:val="-3"/>
          <w:sz w:val="21"/>
        </w:rPr>
        <w:t>早期肌萎缩性侧索硬化症: 有肌肉无力及萎缩为特征，并有以下情况作为证明：脊髓前角细胞功能失调、可见的肌肉颤动、痉挛、过度活跃之深层肌腱反射和外部足底反射、影响皮质脊髓束、构音障碍及吞咽困难。必须由专科医生明确诊断为进行性病变，并有肌电图等检查证实，必须造成神经系统永久性功能损害并且已导致被保险人自主生活能力完全丧失，无法</w:t>
      </w:r>
      <w:r>
        <w:rPr>
          <w:spacing w:val="-5"/>
          <w:sz w:val="21"/>
        </w:rPr>
        <w:t>独立完成六项基本日常生活活动中的两项持续达 </w:t>
      </w:r>
      <w:r>
        <w:rPr>
          <w:sz w:val="21"/>
        </w:rPr>
        <w:t>180</w:t>
      </w:r>
      <w:r>
        <w:rPr>
          <w:spacing w:val="-10"/>
          <w:sz w:val="21"/>
        </w:rPr>
        <w:t> 天以上。</w:t>
      </w:r>
    </w:p>
    <w:p>
      <w:pPr>
        <w:pStyle w:val="ListParagraph"/>
        <w:numPr>
          <w:ilvl w:val="0"/>
          <w:numId w:val="11"/>
        </w:numPr>
        <w:tabs>
          <w:tab w:pos="2197" w:val="left" w:leader="none"/>
        </w:tabs>
        <w:spacing w:line="273" w:lineRule="auto" w:before="163" w:after="0"/>
        <w:ind w:left="2197" w:right="281" w:hanging="421"/>
        <w:jc w:val="both"/>
        <w:rPr>
          <w:sz w:val="21"/>
        </w:rPr>
      </w:pPr>
      <w:r>
        <w:rPr>
          <w:spacing w:val="-3"/>
          <w:sz w:val="21"/>
        </w:rPr>
        <w:t>早期进行性脊髓性肌萎缩: 脊髓前角细胞及脑干运动细胞核的退化病变， 以近侧的肌肉无力和萎缩为主要特征，由腿部为最先开始并逐步扩散至远侧的肌肉。此症必须由本公司认可的专科医生确诊，并有肌电图等检查证</w:t>
      </w:r>
    </w:p>
    <w:p>
      <w:pPr>
        <w:spacing w:after="0" w:line="273" w:lineRule="auto"/>
        <w:jc w:val="both"/>
        <w:rPr>
          <w:sz w:val="21"/>
        </w:rPr>
        <w:sectPr>
          <w:pgSz w:w="11910" w:h="16840"/>
          <w:pgMar w:header="0" w:footer="925" w:top="1080" w:bottom="1200" w:left="1680" w:right="1020"/>
        </w:sectPr>
      </w:pPr>
    </w:p>
    <w:p>
      <w:pPr>
        <w:pStyle w:val="BodyText"/>
        <w:spacing w:before="22"/>
        <w:ind w:left="2857"/>
      </w:pPr>
      <w:r>
        <w:rPr/>
        <w:t>实。</w:t>
      </w:r>
    </w:p>
    <w:p>
      <w:pPr>
        <w:pStyle w:val="BodyText"/>
        <w:spacing w:before="10"/>
        <w:rPr>
          <w:sz w:val="14"/>
        </w:rPr>
      </w:pPr>
    </w:p>
    <w:p>
      <w:pPr>
        <w:pStyle w:val="BodyText"/>
        <w:spacing w:line="273" w:lineRule="auto"/>
        <w:ind w:left="2857" w:right="201"/>
        <w:jc w:val="both"/>
      </w:pPr>
      <w:r>
        <w:rPr>
          <w:spacing w:val="-3"/>
        </w:rPr>
        <w:t>进行性脊髓性肌萎缩必须造成神经系统永久性功能损害并且已导致被保险人自主生活能力完全丧失，无法独立完成六项基本日常生活活动中的两项</w:t>
      </w:r>
      <w:r>
        <w:rPr>
          <w:spacing w:val="-13"/>
        </w:rPr>
        <w:t>持续达 </w:t>
      </w:r>
      <w:r>
        <w:rPr/>
        <w:t>180</w:t>
      </w:r>
      <w:r>
        <w:rPr>
          <w:spacing w:val="-10"/>
        </w:rPr>
        <w:t> 天以上。并且只有在被保险人年龄大于或等于 </w:t>
      </w:r>
      <w:r>
        <w:rPr/>
        <w:t>5</w:t>
      </w:r>
      <w:r>
        <w:rPr>
          <w:spacing w:val="-9"/>
        </w:rPr>
        <w:t> 周岁后首次确</w:t>
      </w:r>
      <w:r>
        <w:rPr>
          <w:spacing w:val="-5"/>
        </w:rPr>
        <w:t>诊此症才可获得理赔。</w:t>
      </w:r>
    </w:p>
    <w:p>
      <w:pPr>
        <w:pStyle w:val="ListParagraph"/>
        <w:numPr>
          <w:ilvl w:val="0"/>
          <w:numId w:val="11"/>
        </w:numPr>
        <w:tabs>
          <w:tab w:pos="2857" w:val="left" w:leader="none"/>
        </w:tabs>
        <w:spacing w:line="273" w:lineRule="auto" w:before="163" w:after="0"/>
        <w:ind w:left="2857" w:right="201" w:hanging="421"/>
        <w:jc w:val="both"/>
        <w:rPr>
          <w:sz w:val="21"/>
        </w:rPr>
      </w:pPr>
      <w:r>
        <w:rPr>
          <w:spacing w:val="-3"/>
          <w:sz w:val="21"/>
        </w:rPr>
        <w:t>早期进行性延髓麻痹症: 指由颅神经和皮质延髓束所支配的肌肉发生进行性退化，导致咀嚼、吞咽与谈话困难。必须由本公司认可的专科医生明确诊断为进行性病变，并有肌电图等检查证实，必须造成神经系统永久性功能损害并且已导致被保险人自主生活能力完全丧失，无法独立完成六项基</w:t>
      </w:r>
      <w:r>
        <w:rPr>
          <w:spacing w:val="-6"/>
          <w:sz w:val="21"/>
        </w:rPr>
        <w:t>本日常生活活动中的两项持续达 </w:t>
      </w:r>
      <w:r>
        <w:rPr>
          <w:sz w:val="21"/>
        </w:rPr>
        <w:t>180</w:t>
      </w:r>
      <w:r>
        <w:rPr>
          <w:spacing w:val="-10"/>
          <w:sz w:val="21"/>
        </w:rPr>
        <w:t> 天以上。</w:t>
      </w:r>
    </w:p>
    <w:p>
      <w:pPr>
        <w:pStyle w:val="ListParagraph"/>
        <w:numPr>
          <w:ilvl w:val="1"/>
          <w:numId w:val="12"/>
        </w:numPr>
        <w:tabs>
          <w:tab w:pos="907" w:val="left" w:leader="none"/>
          <w:tab w:pos="908" w:val="left" w:leader="none"/>
          <w:tab w:pos="2436" w:val="left" w:leader="none"/>
        </w:tabs>
        <w:spacing w:line="273" w:lineRule="auto" w:before="163" w:after="0"/>
        <w:ind w:left="2436" w:right="202" w:hanging="2324"/>
        <w:jc w:val="left"/>
        <w:rPr>
          <w:sz w:val="21"/>
        </w:rPr>
      </w:pPr>
      <w:r>
        <w:rPr>
          <w:b/>
          <w:sz w:val="21"/>
        </w:rPr>
        <w:t>意外伤害事故</w:t>
        <w:tab/>
      </w:r>
      <w:r>
        <w:rPr>
          <w:sz w:val="21"/>
        </w:rPr>
        <w:t>指遭</w:t>
      </w:r>
      <w:r>
        <w:rPr>
          <w:spacing w:val="-3"/>
          <w:sz w:val="21"/>
        </w:rPr>
        <w:t>受</w:t>
      </w:r>
      <w:r>
        <w:rPr>
          <w:sz w:val="21"/>
        </w:rPr>
        <w:t>外</w:t>
      </w:r>
      <w:r>
        <w:rPr>
          <w:spacing w:val="-3"/>
          <w:sz w:val="21"/>
        </w:rPr>
        <w:t>来</w:t>
      </w:r>
      <w:r>
        <w:rPr>
          <w:sz w:val="21"/>
        </w:rPr>
        <w:t>的</w:t>
      </w:r>
      <w:r>
        <w:rPr>
          <w:spacing w:val="-3"/>
          <w:sz w:val="21"/>
        </w:rPr>
        <w:t>、</w:t>
      </w:r>
      <w:r>
        <w:rPr>
          <w:sz w:val="21"/>
        </w:rPr>
        <w:t>突</w:t>
      </w:r>
      <w:r>
        <w:rPr>
          <w:spacing w:val="-3"/>
          <w:sz w:val="21"/>
        </w:rPr>
        <w:t>发</w:t>
      </w:r>
      <w:r>
        <w:rPr>
          <w:sz w:val="21"/>
        </w:rPr>
        <w:t>的</w:t>
      </w:r>
      <w:r>
        <w:rPr>
          <w:spacing w:val="-3"/>
          <w:sz w:val="21"/>
        </w:rPr>
        <w:t>、</w:t>
      </w:r>
      <w:r>
        <w:rPr>
          <w:sz w:val="21"/>
        </w:rPr>
        <w:t>非本</w:t>
      </w:r>
      <w:r>
        <w:rPr>
          <w:spacing w:val="-3"/>
          <w:sz w:val="21"/>
        </w:rPr>
        <w:t>意</w:t>
      </w:r>
      <w:r>
        <w:rPr>
          <w:sz w:val="21"/>
        </w:rPr>
        <w:t>的</w:t>
      </w:r>
      <w:r>
        <w:rPr>
          <w:spacing w:val="-3"/>
          <w:sz w:val="21"/>
        </w:rPr>
        <w:t>、</w:t>
      </w:r>
      <w:r>
        <w:rPr>
          <w:sz w:val="21"/>
        </w:rPr>
        <w:t>非</w:t>
      </w:r>
      <w:r>
        <w:rPr>
          <w:spacing w:val="-3"/>
          <w:sz w:val="21"/>
        </w:rPr>
        <w:t>由</w:t>
      </w:r>
      <w:r>
        <w:rPr>
          <w:sz w:val="21"/>
        </w:rPr>
        <w:t>疾</w:t>
      </w:r>
      <w:r>
        <w:rPr>
          <w:spacing w:val="-3"/>
          <w:sz w:val="21"/>
        </w:rPr>
        <w:t>病</w:t>
      </w:r>
      <w:r>
        <w:rPr>
          <w:sz w:val="21"/>
        </w:rPr>
        <w:t>引</w:t>
      </w:r>
      <w:r>
        <w:rPr>
          <w:spacing w:val="-3"/>
          <w:sz w:val="21"/>
        </w:rPr>
        <w:t>起</w:t>
      </w:r>
      <w:r>
        <w:rPr>
          <w:sz w:val="21"/>
        </w:rPr>
        <w:t>的使</w:t>
      </w:r>
      <w:r>
        <w:rPr>
          <w:spacing w:val="-3"/>
          <w:sz w:val="21"/>
        </w:rPr>
        <w:t>身</w:t>
      </w:r>
      <w:r>
        <w:rPr>
          <w:sz w:val="21"/>
        </w:rPr>
        <w:t>体</w:t>
      </w:r>
      <w:r>
        <w:rPr>
          <w:spacing w:val="-3"/>
          <w:sz w:val="21"/>
        </w:rPr>
        <w:t>受</w:t>
      </w:r>
      <w:r>
        <w:rPr>
          <w:sz w:val="21"/>
        </w:rPr>
        <w:t>到</w:t>
      </w:r>
      <w:r>
        <w:rPr>
          <w:spacing w:val="-3"/>
          <w:sz w:val="21"/>
        </w:rPr>
        <w:t>伤</w:t>
      </w:r>
      <w:r>
        <w:rPr>
          <w:sz w:val="21"/>
        </w:rPr>
        <w:t>害</w:t>
      </w:r>
      <w:r>
        <w:rPr>
          <w:spacing w:val="-3"/>
          <w:sz w:val="21"/>
        </w:rPr>
        <w:t>的</w:t>
      </w:r>
      <w:r>
        <w:rPr>
          <w:sz w:val="21"/>
        </w:rPr>
        <w:t>客</w:t>
      </w:r>
      <w:r>
        <w:rPr>
          <w:spacing w:val="-3"/>
          <w:sz w:val="21"/>
        </w:rPr>
        <w:t>观</w:t>
      </w:r>
      <w:r>
        <w:rPr>
          <w:sz w:val="21"/>
        </w:rPr>
        <w:t>事 件。</w:t>
      </w:r>
    </w:p>
    <w:p>
      <w:pPr>
        <w:pStyle w:val="ListParagraph"/>
        <w:numPr>
          <w:ilvl w:val="1"/>
          <w:numId w:val="12"/>
        </w:numPr>
        <w:tabs>
          <w:tab w:pos="907" w:val="left" w:leader="none"/>
          <w:tab w:pos="908" w:val="left" w:leader="none"/>
          <w:tab w:pos="2436" w:val="left" w:leader="none"/>
        </w:tabs>
        <w:spacing w:line="273" w:lineRule="auto" w:before="164" w:after="0"/>
        <w:ind w:left="2436" w:right="98" w:hanging="2324"/>
        <w:jc w:val="left"/>
        <w:rPr>
          <w:sz w:val="21"/>
        </w:rPr>
      </w:pPr>
      <w:r>
        <w:rPr>
          <w:b/>
          <w:sz w:val="21"/>
        </w:rPr>
        <w:t>重大疾病</w:t>
        <w:tab/>
      </w:r>
      <w:r>
        <w:rPr>
          <w:sz w:val="21"/>
        </w:rPr>
        <w:t>本附</w:t>
      </w:r>
      <w:r>
        <w:rPr>
          <w:spacing w:val="-3"/>
          <w:sz w:val="21"/>
        </w:rPr>
        <w:t>加</w:t>
      </w:r>
      <w:r>
        <w:rPr>
          <w:sz w:val="21"/>
        </w:rPr>
        <w:t>合</w:t>
      </w:r>
      <w:r>
        <w:rPr>
          <w:spacing w:val="-3"/>
          <w:sz w:val="21"/>
        </w:rPr>
        <w:t>同</w:t>
      </w:r>
      <w:r>
        <w:rPr>
          <w:sz w:val="21"/>
        </w:rPr>
        <w:t>所</w:t>
      </w:r>
      <w:r>
        <w:rPr>
          <w:spacing w:val="-3"/>
          <w:sz w:val="21"/>
        </w:rPr>
        <w:t>列</w:t>
      </w:r>
      <w:r>
        <w:rPr>
          <w:sz w:val="21"/>
        </w:rPr>
        <w:t>的</w:t>
      </w:r>
      <w:r>
        <w:rPr>
          <w:spacing w:val="-45"/>
          <w:sz w:val="21"/>
        </w:rPr>
        <w:t> </w:t>
      </w:r>
      <w:r>
        <w:rPr>
          <w:sz w:val="21"/>
        </w:rPr>
        <w:t>70</w:t>
      </w:r>
      <w:r>
        <w:rPr>
          <w:spacing w:val="-46"/>
          <w:sz w:val="21"/>
        </w:rPr>
        <w:t> </w:t>
      </w:r>
      <w:r>
        <w:rPr>
          <w:spacing w:val="-3"/>
          <w:sz w:val="21"/>
        </w:rPr>
        <w:t>种重</w:t>
      </w:r>
      <w:r>
        <w:rPr>
          <w:sz w:val="21"/>
        </w:rPr>
        <w:t>大疾病</w:t>
      </w:r>
      <w:r>
        <w:rPr>
          <w:spacing w:val="-34"/>
          <w:sz w:val="21"/>
        </w:rPr>
        <w:t>，</w:t>
      </w:r>
      <w:r>
        <w:rPr>
          <w:sz w:val="21"/>
        </w:rPr>
        <w:t>其</w:t>
      </w:r>
      <w:r>
        <w:rPr>
          <w:spacing w:val="-3"/>
          <w:sz w:val="21"/>
        </w:rPr>
        <w:t>中本</w:t>
      </w:r>
      <w:r>
        <w:rPr>
          <w:sz w:val="21"/>
        </w:rPr>
        <w:t>款</w:t>
      </w:r>
      <w:r>
        <w:rPr>
          <w:spacing w:val="-46"/>
          <w:sz w:val="21"/>
        </w:rPr>
        <w:t> </w:t>
      </w:r>
      <w:r>
        <w:rPr>
          <w:sz w:val="21"/>
        </w:rPr>
        <w:t>1)至</w:t>
      </w:r>
      <w:r>
        <w:rPr>
          <w:spacing w:val="-46"/>
          <w:sz w:val="21"/>
        </w:rPr>
        <w:t> </w:t>
      </w:r>
      <w:r>
        <w:rPr>
          <w:sz w:val="21"/>
        </w:rPr>
        <w:t>25)项的重</w:t>
      </w:r>
      <w:r>
        <w:rPr>
          <w:spacing w:val="-3"/>
          <w:sz w:val="21"/>
        </w:rPr>
        <w:t>大</w:t>
      </w:r>
      <w:r>
        <w:rPr>
          <w:sz w:val="21"/>
        </w:rPr>
        <w:t>疾</w:t>
      </w:r>
      <w:r>
        <w:rPr>
          <w:spacing w:val="-3"/>
          <w:sz w:val="21"/>
        </w:rPr>
        <w:t>病</w:t>
      </w:r>
      <w:r>
        <w:rPr>
          <w:sz w:val="21"/>
        </w:rPr>
        <w:t>定</w:t>
      </w:r>
      <w:r>
        <w:rPr>
          <w:spacing w:val="-3"/>
          <w:sz w:val="21"/>
        </w:rPr>
        <w:t>义</w:t>
      </w:r>
      <w:r>
        <w:rPr>
          <w:sz w:val="21"/>
        </w:rPr>
        <w:t>采</w:t>
      </w:r>
      <w:r>
        <w:rPr>
          <w:spacing w:val="-3"/>
          <w:sz w:val="21"/>
        </w:rPr>
        <w:t>用</w:t>
      </w:r>
      <w:r>
        <w:rPr>
          <w:sz w:val="21"/>
        </w:rPr>
        <w:t>中国保</w:t>
      </w:r>
      <w:r>
        <w:rPr>
          <w:spacing w:val="-3"/>
          <w:sz w:val="21"/>
        </w:rPr>
        <w:t>险</w:t>
      </w:r>
      <w:r>
        <w:rPr>
          <w:sz w:val="21"/>
        </w:rPr>
        <w:t>行</w:t>
      </w:r>
      <w:r>
        <w:rPr>
          <w:spacing w:val="-3"/>
          <w:sz w:val="21"/>
        </w:rPr>
        <w:t>业</w:t>
      </w:r>
      <w:r>
        <w:rPr>
          <w:sz w:val="21"/>
        </w:rPr>
        <w:t>协</w:t>
      </w:r>
      <w:r>
        <w:rPr>
          <w:spacing w:val="-3"/>
          <w:sz w:val="21"/>
        </w:rPr>
        <w:t>会</w:t>
      </w:r>
      <w:r>
        <w:rPr>
          <w:sz w:val="21"/>
        </w:rPr>
        <w:t>颁</w:t>
      </w:r>
      <w:r>
        <w:rPr>
          <w:spacing w:val="-3"/>
          <w:sz w:val="21"/>
        </w:rPr>
        <w:t>布</w:t>
      </w:r>
      <w:r>
        <w:rPr>
          <w:sz w:val="21"/>
        </w:rPr>
        <w:t>的</w:t>
      </w:r>
      <w:r>
        <w:rPr>
          <w:spacing w:val="37"/>
          <w:sz w:val="21"/>
        </w:rPr>
        <w:t> </w:t>
      </w:r>
      <w:r>
        <w:rPr>
          <w:spacing w:val="-3"/>
          <w:sz w:val="21"/>
        </w:rPr>
        <w:t>《</w:t>
      </w:r>
      <w:r>
        <w:rPr>
          <w:sz w:val="21"/>
        </w:rPr>
        <w:t>重大</w:t>
      </w:r>
      <w:r>
        <w:rPr>
          <w:spacing w:val="-3"/>
          <w:sz w:val="21"/>
        </w:rPr>
        <w:t>疾</w:t>
      </w:r>
      <w:r>
        <w:rPr>
          <w:sz w:val="21"/>
        </w:rPr>
        <w:t>病</w:t>
      </w:r>
      <w:r>
        <w:rPr>
          <w:spacing w:val="-3"/>
          <w:sz w:val="21"/>
        </w:rPr>
        <w:t>保</w:t>
      </w:r>
      <w:r>
        <w:rPr>
          <w:sz w:val="21"/>
        </w:rPr>
        <w:t>险</w:t>
      </w:r>
      <w:r>
        <w:rPr>
          <w:spacing w:val="-3"/>
          <w:sz w:val="21"/>
        </w:rPr>
        <w:t>的</w:t>
      </w:r>
      <w:r>
        <w:rPr>
          <w:sz w:val="21"/>
        </w:rPr>
        <w:t>疾</w:t>
      </w:r>
      <w:r>
        <w:rPr>
          <w:spacing w:val="-3"/>
          <w:sz w:val="21"/>
        </w:rPr>
        <w:t>病</w:t>
      </w:r>
      <w:r>
        <w:rPr>
          <w:sz w:val="21"/>
        </w:rPr>
        <w:t>定</w:t>
      </w:r>
      <w:r>
        <w:rPr>
          <w:spacing w:val="-3"/>
          <w:sz w:val="21"/>
        </w:rPr>
        <w:t>义</w:t>
      </w:r>
      <w:r>
        <w:rPr>
          <w:sz w:val="21"/>
        </w:rPr>
        <w:t>使用</w:t>
      </w:r>
      <w:r>
        <w:rPr>
          <w:spacing w:val="-3"/>
          <w:sz w:val="21"/>
        </w:rPr>
        <w:t>规</w:t>
      </w:r>
      <w:r>
        <w:rPr>
          <w:sz w:val="21"/>
        </w:rPr>
        <w:t>范</w:t>
      </w:r>
      <w:r>
        <w:rPr>
          <w:spacing w:val="-3"/>
          <w:sz w:val="21"/>
        </w:rPr>
        <w:t>》</w:t>
      </w:r>
      <w:r>
        <w:rPr>
          <w:sz w:val="21"/>
        </w:rPr>
        <w:t>中</w:t>
      </w:r>
      <w:r>
        <w:rPr>
          <w:spacing w:val="-3"/>
          <w:sz w:val="21"/>
        </w:rPr>
        <w:t>的</w:t>
      </w:r>
      <w:r>
        <w:rPr>
          <w:sz w:val="21"/>
        </w:rPr>
        <w:t>疾</w:t>
      </w:r>
      <w:r>
        <w:rPr>
          <w:spacing w:val="-3"/>
          <w:sz w:val="21"/>
        </w:rPr>
        <w:t>病</w:t>
      </w:r>
      <w:r>
        <w:rPr>
          <w:sz w:val="21"/>
        </w:rPr>
        <w:t>定</w:t>
      </w:r>
      <w:r>
        <w:rPr>
          <w:spacing w:val="-3"/>
          <w:sz w:val="21"/>
        </w:rPr>
        <w:t>义</w:t>
      </w:r>
      <w:r>
        <w:rPr>
          <w:sz w:val="21"/>
        </w:rPr>
        <w:t>。</w:t>
      </w:r>
    </w:p>
    <w:p>
      <w:pPr>
        <w:pStyle w:val="BodyText"/>
        <w:spacing w:line="273" w:lineRule="auto" w:before="7"/>
        <w:ind w:left="2436" w:right="130"/>
      </w:pPr>
      <w:r>
        <w:rPr/>
        <w:t>“疾病”指约定的疾病、疾病状态或手术。本附加合同所列的重大疾病分为以下 A、B 两组：</w:t>
      </w:r>
    </w:p>
    <w:p>
      <w:pPr>
        <w:pStyle w:val="BodyText"/>
        <w:spacing w:before="5"/>
        <w:rPr>
          <w:sz w:val="13"/>
        </w:rPr>
      </w:pPr>
    </w:p>
    <w:tbl>
      <w:tblPr>
        <w:tblW w:w="0" w:type="auto"/>
        <w:jc w:val="left"/>
        <w:tblInd w:w="2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6"/>
        <w:gridCol w:w="2864"/>
        <w:gridCol w:w="572"/>
        <w:gridCol w:w="3143"/>
      </w:tblGrid>
      <w:tr>
        <w:trPr>
          <w:trHeight w:val="626" w:hRule="atLeast"/>
        </w:trPr>
        <w:tc>
          <w:tcPr>
            <w:tcW w:w="3520" w:type="dxa"/>
            <w:gridSpan w:val="2"/>
          </w:tcPr>
          <w:p>
            <w:pPr>
              <w:pStyle w:val="TableParagraph"/>
              <w:spacing w:line="486" w:lineRule="exact"/>
              <w:ind w:left="878"/>
              <w:rPr>
                <w:rFonts w:ascii="Microsoft JhengHei" w:eastAsia="Microsoft JhengHei" w:hint="eastAsia"/>
                <w:b/>
                <w:sz w:val="28"/>
              </w:rPr>
            </w:pPr>
            <w:r>
              <w:rPr>
                <w:rFonts w:ascii="Microsoft JhengHei" w:eastAsia="Microsoft JhengHei" w:hint="eastAsia"/>
                <w:b/>
                <w:sz w:val="28"/>
              </w:rPr>
              <w:t>A 组（35 种）</w:t>
            </w:r>
          </w:p>
        </w:tc>
        <w:tc>
          <w:tcPr>
            <w:tcW w:w="3715" w:type="dxa"/>
            <w:gridSpan w:val="2"/>
          </w:tcPr>
          <w:p>
            <w:pPr>
              <w:pStyle w:val="TableParagraph"/>
              <w:spacing w:line="486" w:lineRule="exact"/>
              <w:ind w:left="1012"/>
              <w:rPr>
                <w:rFonts w:ascii="Microsoft JhengHei" w:eastAsia="Microsoft JhengHei" w:hint="eastAsia"/>
                <w:b/>
                <w:sz w:val="28"/>
              </w:rPr>
            </w:pPr>
            <w:r>
              <w:rPr>
                <w:rFonts w:ascii="Microsoft JhengHei" w:eastAsia="Microsoft JhengHei" w:hint="eastAsia"/>
                <w:b/>
                <w:sz w:val="28"/>
              </w:rPr>
              <w:t>B 组（35 种）</w:t>
            </w:r>
          </w:p>
        </w:tc>
      </w:tr>
      <w:tr>
        <w:trPr>
          <w:trHeight w:val="311" w:hRule="atLeast"/>
        </w:trPr>
        <w:tc>
          <w:tcPr>
            <w:tcW w:w="656" w:type="dxa"/>
          </w:tcPr>
          <w:p>
            <w:pPr>
              <w:pStyle w:val="TableParagraph"/>
              <w:spacing w:line="262" w:lineRule="exact"/>
              <w:rPr>
                <w:sz w:val="21"/>
              </w:rPr>
            </w:pPr>
            <w:r>
              <w:rPr>
                <w:sz w:val="21"/>
              </w:rPr>
              <w:t>1）</w:t>
            </w:r>
          </w:p>
        </w:tc>
        <w:tc>
          <w:tcPr>
            <w:tcW w:w="2864" w:type="dxa"/>
          </w:tcPr>
          <w:p>
            <w:pPr>
              <w:pStyle w:val="TableParagraph"/>
              <w:spacing w:line="262" w:lineRule="exact"/>
              <w:rPr>
                <w:sz w:val="21"/>
              </w:rPr>
            </w:pPr>
            <w:r>
              <w:rPr>
                <w:sz w:val="21"/>
              </w:rPr>
              <w:t>恶性肿瘤</w:t>
            </w:r>
          </w:p>
        </w:tc>
        <w:tc>
          <w:tcPr>
            <w:tcW w:w="572" w:type="dxa"/>
          </w:tcPr>
          <w:p>
            <w:pPr>
              <w:pStyle w:val="TableParagraph"/>
              <w:spacing w:line="262" w:lineRule="exact"/>
              <w:rPr>
                <w:sz w:val="21"/>
              </w:rPr>
            </w:pPr>
            <w:r>
              <w:rPr>
                <w:sz w:val="21"/>
              </w:rPr>
              <w:t>2）</w:t>
            </w:r>
          </w:p>
        </w:tc>
        <w:tc>
          <w:tcPr>
            <w:tcW w:w="3143" w:type="dxa"/>
          </w:tcPr>
          <w:p>
            <w:pPr>
              <w:pStyle w:val="TableParagraph"/>
              <w:spacing w:line="262" w:lineRule="exact"/>
              <w:ind w:left="106"/>
              <w:rPr>
                <w:sz w:val="21"/>
              </w:rPr>
            </w:pPr>
            <w:r>
              <w:rPr>
                <w:sz w:val="21"/>
              </w:rPr>
              <w:t>急性心肌梗塞</w:t>
            </w:r>
          </w:p>
        </w:tc>
      </w:tr>
      <w:tr>
        <w:trPr>
          <w:trHeight w:val="623" w:hRule="atLeast"/>
        </w:trPr>
        <w:tc>
          <w:tcPr>
            <w:tcW w:w="656" w:type="dxa"/>
          </w:tcPr>
          <w:p>
            <w:pPr>
              <w:pStyle w:val="TableParagraph"/>
              <w:spacing w:before="143"/>
              <w:rPr>
                <w:sz w:val="21"/>
              </w:rPr>
            </w:pPr>
            <w:r>
              <w:rPr>
                <w:sz w:val="21"/>
              </w:rPr>
              <w:t>4）</w:t>
            </w:r>
          </w:p>
        </w:tc>
        <w:tc>
          <w:tcPr>
            <w:tcW w:w="2864" w:type="dxa"/>
          </w:tcPr>
          <w:p>
            <w:pPr>
              <w:pStyle w:val="TableParagraph"/>
              <w:spacing w:line="273" w:lineRule="auto"/>
              <w:ind w:right="100"/>
              <w:rPr>
                <w:sz w:val="21"/>
              </w:rPr>
            </w:pPr>
            <w:r>
              <w:rPr>
                <w:sz w:val="21"/>
              </w:rPr>
              <w:t>重大器官移植术或造血干细胞移植术</w:t>
            </w:r>
          </w:p>
        </w:tc>
        <w:tc>
          <w:tcPr>
            <w:tcW w:w="572" w:type="dxa"/>
          </w:tcPr>
          <w:p>
            <w:pPr>
              <w:pStyle w:val="TableParagraph"/>
              <w:spacing w:before="143"/>
              <w:rPr>
                <w:sz w:val="21"/>
              </w:rPr>
            </w:pPr>
            <w:r>
              <w:rPr>
                <w:sz w:val="21"/>
              </w:rPr>
              <w:t>3）</w:t>
            </w:r>
          </w:p>
        </w:tc>
        <w:tc>
          <w:tcPr>
            <w:tcW w:w="3143" w:type="dxa"/>
          </w:tcPr>
          <w:p>
            <w:pPr>
              <w:pStyle w:val="TableParagraph"/>
              <w:spacing w:before="143"/>
              <w:ind w:left="106"/>
              <w:rPr>
                <w:sz w:val="21"/>
              </w:rPr>
            </w:pPr>
            <w:r>
              <w:rPr>
                <w:sz w:val="21"/>
              </w:rPr>
              <w:t>脑中风后遗症</w:t>
            </w:r>
          </w:p>
        </w:tc>
      </w:tr>
      <w:tr>
        <w:trPr>
          <w:trHeight w:val="623" w:hRule="atLeast"/>
        </w:trPr>
        <w:tc>
          <w:tcPr>
            <w:tcW w:w="656" w:type="dxa"/>
          </w:tcPr>
          <w:p>
            <w:pPr>
              <w:pStyle w:val="TableParagraph"/>
              <w:spacing w:before="143"/>
              <w:rPr>
                <w:sz w:val="21"/>
              </w:rPr>
            </w:pPr>
            <w:r>
              <w:rPr>
                <w:sz w:val="21"/>
              </w:rPr>
              <w:t>6）</w:t>
            </w:r>
          </w:p>
        </w:tc>
        <w:tc>
          <w:tcPr>
            <w:tcW w:w="2864" w:type="dxa"/>
          </w:tcPr>
          <w:p>
            <w:pPr>
              <w:pStyle w:val="TableParagraph"/>
              <w:spacing w:line="273" w:lineRule="auto"/>
              <w:ind w:right="16"/>
              <w:rPr>
                <w:sz w:val="21"/>
              </w:rPr>
            </w:pPr>
            <w:r>
              <w:rPr>
                <w:sz w:val="21"/>
              </w:rPr>
              <w:t>终末期肾病（或称慢性肾功能衰竭尿毒症期）</w:t>
            </w:r>
          </w:p>
        </w:tc>
        <w:tc>
          <w:tcPr>
            <w:tcW w:w="572" w:type="dxa"/>
          </w:tcPr>
          <w:p>
            <w:pPr>
              <w:pStyle w:val="TableParagraph"/>
              <w:spacing w:before="143"/>
              <w:rPr>
                <w:sz w:val="21"/>
              </w:rPr>
            </w:pPr>
            <w:r>
              <w:rPr>
                <w:sz w:val="21"/>
              </w:rPr>
              <w:t>5）</w:t>
            </w:r>
          </w:p>
        </w:tc>
        <w:tc>
          <w:tcPr>
            <w:tcW w:w="3143" w:type="dxa"/>
          </w:tcPr>
          <w:p>
            <w:pPr>
              <w:pStyle w:val="TableParagraph"/>
              <w:spacing w:before="143"/>
              <w:ind w:left="106"/>
              <w:rPr>
                <w:sz w:val="21"/>
              </w:rPr>
            </w:pPr>
            <w:r>
              <w:rPr>
                <w:sz w:val="21"/>
              </w:rPr>
              <w:t>冠状动脉旁路移植术</w:t>
            </w:r>
          </w:p>
        </w:tc>
      </w:tr>
      <w:tr>
        <w:trPr>
          <w:trHeight w:val="312" w:hRule="atLeast"/>
        </w:trPr>
        <w:tc>
          <w:tcPr>
            <w:tcW w:w="656" w:type="dxa"/>
          </w:tcPr>
          <w:p>
            <w:pPr>
              <w:pStyle w:val="TableParagraph"/>
              <w:spacing w:line="263" w:lineRule="exact"/>
              <w:rPr>
                <w:sz w:val="21"/>
              </w:rPr>
            </w:pPr>
            <w:r>
              <w:rPr>
                <w:sz w:val="21"/>
              </w:rPr>
              <w:t>7）</w:t>
            </w:r>
          </w:p>
        </w:tc>
        <w:tc>
          <w:tcPr>
            <w:tcW w:w="2864" w:type="dxa"/>
          </w:tcPr>
          <w:p>
            <w:pPr>
              <w:pStyle w:val="TableParagraph"/>
              <w:spacing w:line="263" w:lineRule="exact"/>
              <w:rPr>
                <w:sz w:val="21"/>
              </w:rPr>
            </w:pPr>
            <w:r>
              <w:rPr>
                <w:sz w:val="21"/>
              </w:rPr>
              <w:t>多个肢体缺失</w:t>
            </w:r>
          </w:p>
        </w:tc>
        <w:tc>
          <w:tcPr>
            <w:tcW w:w="572" w:type="dxa"/>
          </w:tcPr>
          <w:p>
            <w:pPr>
              <w:pStyle w:val="TableParagraph"/>
              <w:spacing w:line="263" w:lineRule="exact"/>
              <w:rPr>
                <w:sz w:val="21"/>
              </w:rPr>
            </w:pPr>
            <w:r>
              <w:rPr>
                <w:sz w:val="21"/>
              </w:rPr>
              <w:t>9)</w:t>
            </w:r>
          </w:p>
        </w:tc>
        <w:tc>
          <w:tcPr>
            <w:tcW w:w="3143" w:type="dxa"/>
          </w:tcPr>
          <w:p>
            <w:pPr>
              <w:pStyle w:val="TableParagraph"/>
              <w:spacing w:line="263" w:lineRule="exact"/>
              <w:ind w:left="106"/>
              <w:rPr>
                <w:sz w:val="21"/>
              </w:rPr>
            </w:pPr>
            <w:r>
              <w:rPr>
                <w:sz w:val="21"/>
              </w:rPr>
              <w:t>良性脑肿瘤</w:t>
            </w:r>
          </w:p>
        </w:tc>
      </w:tr>
      <w:tr>
        <w:trPr>
          <w:trHeight w:val="311" w:hRule="atLeast"/>
        </w:trPr>
        <w:tc>
          <w:tcPr>
            <w:tcW w:w="656" w:type="dxa"/>
          </w:tcPr>
          <w:p>
            <w:pPr>
              <w:pStyle w:val="TableParagraph"/>
              <w:spacing w:line="262" w:lineRule="exact"/>
              <w:rPr>
                <w:sz w:val="21"/>
              </w:rPr>
            </w:pPr>
            <w:r>
              <w:rPr>
                <w:sz w:val="21"/>
              </w:rPr>
              <w:t>8）</w:t>
            </w:r>
          </w:p>
        </w:tc>
        <w:tc>
          <w:tcPr>
            <w:tcW w:w="2864" w:type="dxa"/>
          </w:tcPr>
          <w:p>
            <w:pPr>
              <w:pStyle w:val="TableParagraph"/>
              <w:spacing w:line="262" w:lineRule="exact"/>
              <w:rPr>
                <w:sz w:val="21"/>
              </w:rPr>
            </w:pPr>
            <w:r>
              <w:rPr>
                <w:sz w:val="21"/>
              </w:rPr>
              <w:t>急性或亚急性重症肝炎</w:t>
            </w:r>
          </w:p>
        </w:tc>
        <w:tc>
          <w:tcPr>
            <w:tcW w:w="572" w:type="dxa"/>
          </w:tcPr>
          <w:p>
            <w:pPr>
              <w:pStyle w:val="TableParagraph"/>
              <w:spacing w:line="262" w:lineRule="exact"/>
              <w:rPr>
                <w:sz w:val="21"/>
              </w:rPr>
            </w:pPr>
            <w:r>
              <w:rPr>
                <w:sz w:val="21"/>
              </w:rPr>
              <w:t>11）</w:t>
            </w:r>
          </w:p>
        </w:tc>
        <w:tc>
          <w:tcPr>
            <w:tcW w:w="3143" w:type="dxa"/>
          </w:tcPr>
          <w:p>
            <w:pPr>
              <w:pStyle w:val="TableParagraph"/>
              <w:spacing w:line="262" w:lineRule="exact"/>
              <w:ind w:left="106"/>
              <w:rPr>
                <w:sz w:val="21"/>
              </w:rPr>
            </w:pPr>
            <w:r>
              <w:rPr>
                <w:sz w:val="21"/>
              </w:rPr>
              <w:t>脑炎后遗症或脑膜炎后遗症</w:t>
            </w:r>
          </w:p>
        </w:tc>
      </w:tr>
      <w:tr>
        <w:trPr>
          <w:trHeight w:val="314" w:hRule="atLeast"/>
        </w:trPr>
        <w:tc>
          <w:tcPr>
            <w:tcW w:w="656" w:type="dxa"/>
          </w:tcPr>
          <w:p>
            <w:pPr>
              <w:pStyle w:val="TableParagraph"/>
              <w:spacing w:line="265" w:lineRule="exact"/>
              <w:rPr>
                <w:sz w:val="21"/>
              </w:rPr>
            </w:pPr>
            <w:r>
              <w:rPr>
                <w:sz w:val="21"/>
              </w:rPr>
              <w:t>10）</w:t>
            </w:r>
          </w:p>
        </w:tc>
        <w:tc>
          <w:tcPr>
            <w:tcW w:w="2864" w:type="dxa"/>
          </w:tcPr>
          <w:p>
            <w:pPr>
              <w:pStyle w:val="TableParagraph"/>
              <w:spacing w:line="265" w:lineRule="exact"/>
              <w:rPr>
                <w:sz w:val="21"/>
              </w:rPr>
            </w:pPr>
            <w:r>
              <w:rPr>
                <w:sz w:val="21"/>
              </w:rPr>
              <w:t>慢性肝功能衰竭失代偿期</w:t>
            </w:r>
          </w:p>
        </w:tc>
        <w:tc>
          <w:tcPr>
            <w:tcW w:w="572" w:type="dxa"/>
          </w:tcPr>
          <w:p>
            <w:pPr>
              <w:pStyle w:val="TableParagraph"/>
              <w:spacing w:line="265" w:lineRule="exact"/>
              <w:rPr>
                <w:sz w:val="21"/>
              </w:rPr>
            </w:pPr>
            <w:r>
              <w:rPr>
                <w:sz w:val="21"/>
              </w:rPr>
              <w:t>12)</w:t>
            </w:r>
          </w:p>
        </w:tc>
        <w:tc>
          <w:tcPr>
            <w:tcW w:w="3143" w:type="dxa"/>
          </w:tcPr>
          <w:p>
            <w:pPr>
              <w:pStyle w:val="TableParagraph"/>
              <w:spacing w:line="265" w:lineRule="exact"/>
              <w:ind w:left="106"/>
              <w:rPr>
                <w:sz w:val="21"/>
              </w:rPr>
            </w:pPr>
            <w:r>
              <w:rPr>
                <w:sz w:val="21"/>
              </w:rPr>
              <w:t>深度昏迷</w:t>
            </w:r>
          </w:p>
        </w:tc>
      </w:tr>
      <w:tr>
        <w:trPr>
          <w:trHeight w:val="311" w:hRule="atLeast"/>
        </w:trPr>
        <w:tc>
          <w:tcPr>
            <w:tcW w:w="656" w:type="dxa"/>
          </w:tcPr>
          <w:p>
            <w:pPr>
              <w:pStyle w:val="TableParagraph"/>
              <w:spacing w:line="262" w:lineRule="exact"/>
              <w:rPr>
                <w:sz w:val="21"/>
              </w:rPr>
            </w:pPr>
            <w:r>
              <w:rPr>
                <w:sz w:val="21"/>
              </w:rPr>
              <w:t>20）</w:t>
            </w:r>
          </w:p>
        </w:tc>
        <w:tc>
          <w:tcPr>
            <w:tcW w:w="2864" w:type="dxa"/>
          </w:tcPr>
          <w:p>
            <w:pPr>
              <w:pStyle w:val="TableParagraph"/>
              <w:spacing w:line="262" w:lineRule="exact"/>
              <w:rPr>
                <w:sz w:val="21"/>
              </w:rPr>
            </w:pPr>
            <w:r>
              <w:rPr>
                <w:sz w:val="21"/>
              </w:rPr>
              <w:t>严重Ⅲ度烧伤</w:t>
            </w:r>
          </w:p>
        </w:tc>
        <w:tc>
          <w:tcPr>
            <w:tcW w:w="572" w:type="dxa"/>
          </w:tcPr>
          <w:p>
            <w:pPr>
              <w:pStyle w:val="TableParagraph"/>
              <w:spacing w:line="262" w:lineRule="exact"/>
              <w:rPr>
                <w:sz w:val="21"/>
              </w:rPr>
            </w:pPr>
            <w:r>
              <w:rPr>
                <w:sz w:val="21"/>
              </w:rPr>
              <w:t>13)</w:t>
            </w:r>
          </w:p>
        </w:tc>
        <w:tc>
          <w:tcPr>
            <w:tcW w:w="3143" w:type="dxa"/>
          </w:tcPr>
          <w:p>
            <w:pPr>
              <w:pStyle w:val="TableParagraph"/>
              <w:spacing w:line="262" w:lineRule="exact"/>
              <w:ind w:left="106"/>
              <w:rPr>
                <w:sz w:val="21"/>
              </w:rPr>
            </w:pPr>
            <w:r>
              <w:rPr>
                <w:sz w:val="21"/>
              </w:rPr>
              <w:t>双耳失聪</w:t>
            </w:r>
          </w:p>
        </w:tc>
      </w:tr>
      <w:tr>
        <w:trPr>
          <w:trHeight w:val="311" w:hRule="atLeast"/>
        </w:trPr>
        <w:tc>
          <w:tcPr>
            <w:tcW w:w="656" w:type="dxa"/>
          </w:tcPr>
          <w:p>
            <w:pPr>
              <w:pStyle w:val="TableParagraph"/>
              <w:spacing w:line="262" w:lineRule="exact"/>
              <w:rPr>
                <w:sz w:val="21"/>
              </w:rPr>
            </w:pPr>
            <w:r>
              <w:rPr>
                <w:sz w:val="21"/>
              </w:rPr>
              <w:t>21）</w:t>
            </w:r>
          </w:p>
        </w:tc>
        <w:tc>
          <w:tcPr>
            <w:tcW w:w="2864" w:type="dxa"/>
          </w:tcPr>
          <w:p>
            <w:pPr>
              <w:pStyle w:val="TableParagraph"/>
              <w:spacing w:line="262" w:lineRule="exact"/>
              <w:rPr>
                <w:sz w:val="21"/>
              </w:rPr>
            </w:pPr>
            <w:r>
              <w:rPr>
                <w:sz w:val="21"/>
              </w:rPr>
              <w:t>严重原发性肺动脉高压</w:t>
            </w:r>
          </w:p>
        </w:tc>
        <w:tc>
          <w:tcPr>
            <w:tcW w:w="572" w:type="dxa"/>
          </w:tcPr>
          <w:p>
            <w:pPr>
              <w:pStyle w:val="TableParagraph"/>
              <w:spacing w:line="262" w:lineRule="exact"/>
              <w:rPr>
                <w:sz w:val="21"/>
              </w:rPr>
            </w:pPr>
            <w:r>
              <w:rPr>
                <w:sz w:val="21"/>
              </w:rPr>
              <w:t>14)</w:t>
            </w:r>
          </w:p>
        </w:tc>
        <w:tc>
          <w:tcPr>
            <w:tcW w:w="3143" w:type="dxa"/>
          </w:tcPr>
          <w:p>
            <w:pPr>
              <w:pStyle w:val="TableParagraph"/>
              <w:spacing w:line="262" w:lineRule="exact"/>
              <w:ind w:left="106"/>
              <w:rPr>
                <w:sz w:val="21"/>
              </w:rPr>
            </w:pPr>
            <w:r>
              <w:rPr>
                <w:sz w:val="21"/>
              </w:rPr>
              <w:t>双目失明</w:t>
            </w:r>
          </w:p>
        </w:tc>
      </w:tr>
      <w:tr>
        <w:trPr>
          <w:trHeight w:val="311" w:hRule="atLeast"/>
        </w:trPr>
        <w:tc>
          <w:tcPr>
            <w:tcW w:w="656" w:type="dxa"/>
          </w:tcPr>
          <w:p>
            <w:pPr>
              <w:pStyle w:val="TableParagraph"/>
              <w:spacing w:line="262" w:lineRule="exact"/>
              <w:rPr>
                <w:sz w:val="21"/>
              </w:rPr>
            </w:pPr>
            <w:r>
              <w:rPr>
                <w:sz w:val="21"/>
              </w:rPr>
              <w:t>24）</w:t>
            </w:r>
          </w:p>
        </w:tc>
        <w:tc>
          <w:tcPr>
            <w:tcW w:w="2864" w:type="dxa"/>
          </w:tcPr>
          <w:p>
            <w:pPr>
              <w:pStyle w:val="TableParagraph"/>
              <w:spacing w:line="262" w:lineRule="exact"/>
              <w:rPr>
                <w:sz w:val="21"/>
              </w:rPr>
            </w:pPr>
            <w:r>
              <w:rPr>
                <w:sz w:val="21"/>
              </w:rPr>
              <w:t>重型再生障碍性贫血</w:t>
            </w:r>
          </w:p>
        </w:tc>
        <w:tc>
          <w:tcPr>
            <w:tcW w:w="572" w:type="dxa"/>
          </w:tcPr>
          <w:p>
            <w:pPr>
              <w:pStyle w:val="TableParagraph"/>
              <w:spacing w:line="262" w:lineRule="exact"/>
              <w:rPr>
                <w:sz w:val="21"/>
              </w:rPr>
            </w:pPr>
            <w:r>
              <w:rPr>
                <w:sz w:val="21"/>
              </w:rPr>
              <w:t>15）</w:t>
            </w:r>
          </w:p>
        </w:tc>
        <w:tc>
          <w:tcPr>
            <w:tcW w:w="3143" w:type="dxa"/>
          </w:tcPr>
          <w:p>
            <w:pPr>
              <w:pStyle w:val="TableParagraph"/>
              <w:spacing w:line="262" w:lineRule="exact"/>
              <w:ind w:left="106"/>
              <w:rPr>
                <w:sz w:val="21"/>
              </w:rPr>
            </w:pPr>
            <w:r>
              <w:rPr>
                <w:sz w:val="21"/>
              </w:rPr>
              <w:t>瘫痪</w:t>
            </w:r>
          </w:p>
        </w:tc>
      </w:tr>
      <w:tr>
        <w:trPr>
          <w:trHeight w:val="311" w:hRule="atLeast"/>
        </w:trPr>
        <w:tc>
          <w:tcPr>
            <w:tcW w:w="656" w:type="dxa"/>
          </w:tcPr>
          <w:p>
            <w:pPr>
              <w:pStyle w:val="TableParagraph"/>
              <w:spacing w:line="262" w:lineRule="exact"/>
              <w:rPr>
                <w:sz w:val="21"/>
              </w:rPr>
            </w:pPr>
            <w:r>
              <w:rPr>
                <w:sz w:val="21"/>
              </w:rPr>
              <w:t>27）</w:t>
            </w:r>
          </w:p>
        </w:tc>
        <w:tc>
          <w:tcPr>
            <w:tcW w:w="2864" w:type="dxa"/>
          </w:tcPr>
          <w:p>
            <w:pPr>
              <w:pStyle w:val="TableParagraph"/>
              <w:spacing w:line="262" w:lineRule="exact"/>
              <w:rPr>
                <w:sz w:val="21"/>
              </w:rPr>
            </w:pPr>
            <w:r>
              <w:rPr>
                <w:sz w:val="21"/>
              </w:rPr>
              <w:t>终末期肺病</w:t>
            </w:r>
          </w:p>
        </w:tc>
        <w:tc>
          <w:tcPr>
            <w:tcW w:w="572" w:type="dxa"/>
          </w:tcPr>
          <w:p>
            <w:pPr>
              <w:pStyle w:val="TableParagraph"/>
              <w:spacing w:line="262" w:lineRule="exact"/>
              <w:rPr>
                <w:sz w:val="21"/>
              </w:rPr>
            </w:pPr>
            <w:r>
              <w:rPr>
                <w:sz w:val="21"/>
              </w:rPr>
              <w:t>16）</w:t>
            </w:r>
          </w:p>
        </w:tc>
        <w:tc>
          <w:tcPr>
            <w:tcW w:w="3143" w:type="dxa"/>
          </w:tcPr>
          <w:p>
            <w:pPr>
              <w:pStyle w:val="TableParagraph"/>
              <w:spacing w:line="262" w:lineRule="exact"/>
              <w:ind w:left="106"/>
              <w:rPr>
                <w:sz w:val="21"/>
              </w:rPr>
            </w:pPr>
            <w:r>
              <w:rPr>
                <w:sz w:val="21"/>
              </w:rPr>
              <w:t>心脏瓣膜手术</w:t>
            </w:r>
          </w:p>
        </w:tc>
      </w:tr>
      <w:tr>
        <w:trPr>
          <w:trHeight w:val="311" w:hRule="atLeast"/>
        </w:trPr>
        <w:tc>
          <w:tcPr>
            <w:tcW w:w="656" w:type="dxa"/>
          </w:tcPr>
          <w:p>
            <w:pPr>
              <w:pStyle w:val="TableParagraph"/>
              <w:spacing w:line="262" w:lineRule="exact"/>
              <w:rPr>
                <w:sz w:val="21"/>
              </w:rPr>
            </w:pPr>
            <w:r>
              <w:rPr>
                <w:sz w:val="21"/>
              </w:rPr>
              <w:t>29）</w:t>
            </w:r>
          </w:p>
        </w:tc>
        <w:tc>
          <w:tcPr>
            <w:tcW w:w="2864" w:type="dxa"/>
          </w:tcPr>
          <w:p>
            <w:pPr>
              <w:pStyle w:val="TableParagraph"/>
              <w:spacing w:line="262" w:lineRule="exact"/>
              <w:rPr>
                <w:sz w:val="21"/>
              </w:rPr>
            </w:pPr>
            <w:r>
              <w:rPr>
                <w:sz w:val="21"/>
              </w:rPr>
              <w:t>严重的脊髓灰质炎</w:t>
            </w:r>
          </w:p>
        </w:tc>
        <w:tc>
          <w:tcPr>
            <w:tcW w:w="572" w:type="dxa"/>
          </w:tcPr>
          <w:p>
            <w:pPr>
              <w:pStyle w:val="TableParagraph"/>
              <w:spacing w:line="262" w:lineRule="exact"/>
              <w:rPr>
                <w:sz w:val="21"/>
              </w:rPr>
            </w:pPr>
            <w:r>
              <w:rPr>
                <w:sz w:val="21"/>
              </w:rPr>
              <w:t>17)</w:t>
            </w:r>
          </w:p>
        </w:tc>
        <w:tc>
          <w:tcPr>
            <w:tcW w:w="3143" w:type="dxa"/>
          </w:tcPr>
          <w:p>
            <w:pPr>
              <w:pStyle w:val="TableParagraph"/>
              <w:spacing w:line="262" w:lineRule="exact"/>
              <w:ind w:left="106"/>
              <w:rPr>
                <w:sz w:val="21"/>
              </w:rPr>
            </w:pPr>
            <w:r>
              <w:rPr>
                <w:sz w:val="21"/>
              </w:rPr>
              <w:t>严重阿尔茨海默病</w:t>
            </w:r>
          </w:p>
        </w:tc>
      </w:tr>
      <w:tr>
        <w:trPr>
          <w:trHeight w:val="626" w:hRule="atLeast"/>
        </w:trPr>
        <w:tc>
          <w:tcPr>
            <w:tcW w:w="656" w:type="dxa"/>
          </w:tcPr>
          <w:p>
            <w:pPr>
              <w:pStyle w:val="TableParagraph"/>
              <w:spacing w:before="145"/>
              <w:rPr>
                <w:sz w:val="21"/>
              </w:rPr>
            </w:pPr>
            <w:r>
              <w:rPr>
                <w:sz w:val="21"/>
              </w:rPr>
              <w:t>32）</w:t>
            </w:r>
          </w:p>
        </w:tc>
        <w:tc>
          <w:tcPr>
            <w:tcW w:w="2864" w:type="dxa"/>
          </w:tcPr>
          <w:p>
            <w:pPr>
              <w:pStyle w:val="TableParagraph"/>
              <w:spacing w:line="265" w:lineRule="exact"/>
              <w:rPr>
                <w:sz w:val="21"/>
              </w:rPr>
            </w:pPr>
            <w:r>
              <w:rPr>
                <w:sz w:val="21"/>
              </w:rPr>
              <w:t>慢性肾上腺皮质功能减退症</w:t>
            </w:r>
          </w:p>
          <w:p>
            <w:pPr>
              <w:pStyle w:val="TableParagraph"/>
              <w:spacing w:before="37"/>
              <w:rPr>
                <w:sz w:val="21"/>
              </w:rPr>
            </w:pPr>
            <w:r>
              <w:rPr>
                <w:sz w:val="21"/>
              </w:rPr>
              <w:t>（或称阿狄森氏病）</w:t>
            </w:r>
          </w:p>
        </w:tc>
        <w:tc>
          <w:tcPr>
            <w:tcW w:w="572" w:type="dxa"/>
          </w:tcPr>
          <w:p>
            <w:pPr>
              <w:pStyle w:val="TableParagraph"/>
              <w:spacing w:before="145"/>
              <w:rPr>
                <w:sz w:val="21"/>
              </w:rPr>
            </w:pPr>
            <w:r>
              <w:rPr>
                <w:sz w:val="21"/>
              </w:rPr>
              <w:t>18)</w:t>
            </w:r>
          </w:p>
        </w:tc>
        <w:tc>
          <w:tcPr>
            <w:tcW w:w="3143" w:type="dxa"/>
          </w:tcPr>
          <w:p>
            <w:pPr>
              <w:pStyle w:val="TableParagraph"/>
              <w:spacing w:before="145"/>
              <w:ind w:left="106"/>
              <w:rPr>
                <w:sz w:val="21"/>
              </w:rPr>
            </w:pPr>
            <w:r>
              <w:rPr>
                <w:sz w:val="21"/>
              </w:rPr>
              <w:t>严重脑损伤</w:t>
            </w:r>
          </w:p>
        </w:tc>
      </w:tr>
      <w:tr>
        <w:trPr>
          <w:trHeight w:val="311" w:hRule="atLeast"/>
        </w:trPr>
        <w:tc>
          <w:tcPr>
            <w:tcW w:w="656" w:type="dxa"/>
          </w:tcPr>
          <w:p>
            <w:pPr>
              <w:pStyle w:val="TableParagraph"/>
              <w:spacing w:line="262" w:lineRule="exact"/>
              <w:rPr>
                <w:sz w:val="21"/>
              </w:rPr>
            </w:pPr>
            <w:r>
              <w:rPr>
                <w:sz w:val="21"/>
              </w:rPr>
              <w:t>33）</w:t>
            </w:r>
          </w:p>
        </w:tc>
        <w:tc>
          <w:tcPr>
            <w:tcW w:w="2864" w:type="dxa"/>
          </w:tcPr>
          <w:p>
            <w:pPr>
              <w:pStyle w:val="TableParagraph"/>
              <w:spacing w:line="262" w:lineRule="exact"/>
              <w:rPr>
                <w:sz w:val="21"/>
              </w:rPr>
            </w:pPr>
            <w:r>
              <w:rPr>
                <w:sz w:val="21"/>
              </w:rPr>
              <w:t>致死性筋膜炎</w:t>
            </w:r>
          </w:p>
        </w:tc>
        <w:tc>
          <w:tcPr>
            <w:tcW w:w="572" w:type="dxa"/>
          </w:tcPr>
          <w:p>
            <w:pPr>
              <w:pStyle w:val="TableParagraph"/>
              <w:spacing w:line="262" w:lineRule="exact"/>
              <w:rPr>
                <w:sz w:val="21"/>
              </w:rPr>
            </w:pPr>
            <w:r>
              <w:rPr>
                <w:sz w:val="21"/>
              </w:rPr>
              <w:t>19）</w:t>
            </w:r>
          </w:p>
        </w:tc>
        <w:tc>
          <w:tcPr>
            <w:tcW w:w="3143" w:type="dxa"/>
          </w:tcPr>
          <w:p>
            <w:pPr>
              <w:pStyle w:val="TableParagraph"/>
              <w:spacing w:line="262" w:lineRule="exact"/>
              <w:ind w:left="106"/>
              <w:rPr>
                <w:sz w:val="21"/>
              </w:rPr>
            </w:pPr>
            <w:r>
              <w:rPr>
                <w:sz w:val="21"/>
              </w:rPr>
              <w:t>严重帕金森病</w:t>
            </w:r>
          </w:p>
        </w:tc>
      </w:tr>
      <w:tr>
        <w:trPr>
          <w:trHeight w:val="311" w:hRule="atLeast"/>
        </w:trPr>
        <w:tc>
          <w:tcPr>
            <w:tcW w:w="656" w:type="dxa"/>
          </w:tcPr>
          <w:p>
            <w:pPr>
              <w:pStyle w:val="TableParagraph"/>
              <w:spacing w:line="262" w:lineRule="exact"/>
              <w:rPr>
                <w:sz w:val="21"/>
              </w:rPr>
            </w:pPr>
            <w:r>
              <w:rPr>
                <w:sz w:val="21"/>
              </w:rPr>
              <w:t>34）</w:t>
            </w:r>
          </w:p>
        </w:tc>
        <w:tc>
          <w:tcPr>
            <w:tcW w:w="2864" w:type="dxa"/>
          </w:tcPr>
          <w:p>
            <w:pPr>
              <w:pStyle w:val="TableParagraph"/>
              <w:spacing w:line="262" w:lineRule="exact"/>
              <w:rPr>
                <w:sz w:val="21"/>
              </w:rPr>
            </w:pPr>
            <w:r>
              <w:rPr>
                <w:sz w:val="21"/>
              </w:rPr>
              <w:t>严重克隆病</w:t>
            </w:r>
          </w:p>
        </w:tc>
        <w:tc>
          <w:tcPr>
            <w:tcW w:w="572" w:type="dxa"/>
          </w:tcPr>
          <w:p>
            <w:pPr>
              <w:pStyle w:val="TableParagraph"/>
              <w:spacing w:line="262" w:lineRule="exact"/>
              <w:rPr>
                <w:sz w:val="21"/>
              </w:rPr>
            </w:pPr>
            <w:r>
              <w:rPr>
                <w:sz w:val="21"/>
              </w:rPr>
              <w:t>22）</w:t>
            </w:r>
          </w:p>
        </w:tc>
        <w:tc>
          <w:tcPr>
            <w:tcW w:w="3143" w:type="dxa"/>
          </w:tcPr>
          <w:p>
            <w:pPr>
              <w:pStyle w:val="TableParagraph"/>
              <w:spacing w:line="262" w:lineRule="exact"/>
              <w:ind w:left="106"/>
              <w:rPr>
                <w:sz w:val="21"/>
              </w:rPr>
            </w:pPr>
            <w:r>
              <w:rPr>
                <w:sz w:val="21"/>
              </w:rPr>
              <w:t>严重运动神经元病</w:t>
            </w:r>
          </w:p>
        </w:tc>
      </w:tr>
      <w:tr>
        <w:trPr>
          <w:trHeight w:val="312" w:hRule="atLeast"/>
        </w:trPr>
        <w:tc>
          <w:tcPr>
            <w:tcW w:w="656" w:type="dxa"/>
          </w:tcPr>
          <w:p>
            <w:pPr>
              <w:pStyle w:val="TableParagraph"/>
              <w:spacing w:line="263" w:lineRule="exact"/>
              <w:rPr>
                <w:sz w:val="21"/>
              </w:rPr>
            </w:pPr>
            <w:r>
              <w:rPr>
                <w:sz w:val="21"/>
              </w:rPr>
              <w:t>35）</w:t>
            </w:r>
          </w:p>
        </w:tc>
        <w:tc>
          <w:tcPr>
            <w:tcW w:w="2864" w:type="dxa"/>
          </w:tcPr>
          <w:p>
            <w:pPr>
              <w:pStyle w:val="TableParagraph"/>
              <w:spacing w:line="263" w:lineRule="exact"/>
              <w:rPr>
                <w:sz w:val="21"/>
              </w:rPr>
            </w:pPr>
            <w:r>
              <w:rPr>
                <w:sz w:val="21"/>
              </w:rPr>
              <w:t>系统性红斑狼疮伴肾损害</w:t>
            </w:r>
          </w:p>
        </w:tc>
        <w:tc>
          <w:tcPr>
            <w:tcW w:w="572" w:type="dxa"/>
          </w:tcPr>
          <w:p>
            <w:pPr>
              <w:pStyle w:val="TableParagraph"/>
              <w:spacing w:line="263" w:lineRule="exact"/>
              <w:rPr>
                <w:sz w:val="21"/>
              </w:rPr>
            </w:pPr>
            <w:r>
              <w:rPr>
                <w:sz w:val="21"/>
              </w:rPr>
              <w:t>23)</w:t>
            </w:r>
          </w:p>
        </w:tc>
        <w:tc>
          <w:tcPr>
            <w:tcW w:w="3143" w:type="dxa"/>
          </w:tcPr>
          <w:p>
            <w:pPr>
              <w:pStyle w:val="TableParagraph"/>
              <w:spacing w:line="263" w:lineRule="exact"/>
              <w:ind w:left="106"/>
              <w:rPr>
                <w:sz w:val="21"/>
              </w:rPr>
            </w:pPr>
            <w:r>
              <w:rPr>
                <w:sz w:val="21"/>
              </w:rPr>
              <w:t>语言能力丧失</w:t>
            </w:r>
          </w:p>
        </w:tc>
      </w:tr>
      <w:tr>
        <w:trPr>
          <w:trHeight w:val="311" w:hRule="atLeast"/>
        </w:trPr>
        <w:tc>
          <w:tcPr>
            <w:tcW w:w="656" w:type="dxa"/>
          </w:tcPr>
          <w:p>
            <w:pPr>
              <w:pStyle w:val="TableParagraph"/>
              <w:spacing w:line="262" w:lineRule="exact"/>
              <w:rPr>
                <w:sz w:val="21"/>
              </w:rPr>
            </w:pPr>
            <w:r>
              <w:rPr>
                <w:sz w:val="21"/>
              </w:rPr>
              <w:t>36）</w:t>
            </w:r>
          </w:p>
        </w:tc>
        <w:tc>
          <w:tcPr>
            <w:tcW w:w="2864" w:type="dxa"/>
          </w:tcPr>
          <w:p>
            <w:pPr>
              <w:pStyle w:val="TableParagraph"/>
              <w:spacing w:line="262" w:lineRule="exact"/>
              <w:rPr>
                <w:sz w:val="21"/>
              </w:rPr>
            </w:pPr>
            <w:r>
              <w:rPr>
                <w:sz w:val="21"/>
              </w:rPr>
              <w:t>小肠移植</w:t>
            </w:r>
          </w:p>
        </w:tc>
        <w:tc>
          <w:tcPr>
            <w:tcW w:w="572" w:type="dxa"/>
          </w:tcPr>
          <w:p>
            <w:pPr>
              <w:pStyle w:val="TableParagraph"/>
              <w:spacing w:line="262" w:lineRule="exact"/>
              <w:rPr>
                <w:sz w:val="21"/>
              </w:rPr>
            </w:pPr>
            <w:r>
              <w:rPr>
                <w:sz w:val="21"/>
              </w:rPr>
              <w:t>25）</w:t>
            </w:r>
          </w:p>
        </w:tc>
        <w:tc>
          <w:tcPr>
            <w:tcW w:w="3143" w:type="dxa"/>
          </w:tcPr>
          <w:p>
            <w:pPr>
              <w:pStyle w:val="TableParagraph"/>
              <w:spacing w:line="262" w:lineRule="exact"/>
              <w:ind w:left="106"/>
              <w:rPr>
                <w:sz w:val="21"/>
              </w:rPr>
            </w:pPr>
            <w:r>
              <w:rPr>
                <w:sz w:val="21"/>
              </w:rPr>
              <w:t>主动脉手术</w:t>
            </w:r>
          </w:p>
        </w:tc>
      </w:tr>
      <w:tr>
        <w:trPr>
          <w:trHeight w:val="311" w:hRule="atLeast"/>
        </w:trPr>
        <w:tc>
          <w:tcPr>
            <w:tcW w:w="656" w:type="dxa"/>
          </w:tcPr>
          <w:p>
            <w:pPr>
              <w:pStyle w:val="TableParagraph"/>
              <w:spacing w:line="262" w:lineRule="exact"/>
              <w:rPr>
                <w:sz w:val="21"/>
              </w:rPr>
            </w:pPr>
            <w:r>
              <w:rPr>
                <w:sz w:val="21"/>
              </w:rPr>
              <w:t>37）</w:t>
            </w:r>
          </w:p>
        </w:tc>
        <w:tc>
          <w:tcPr>
            <w:tcW w:w="2864" w:type="dxa"/>
          </w:tcPr>
          <w:p>
            <w:pPr>
              <w:pStyle w:val="TableParagraph"/>
              <w:spacing w:line="262" w:lineRule="exact"/>
              <w:rPr>
                <w:sz w:val="21"/>
              </w:rPr>
            </w:pPr>
            <w:r>
              <w:rPr>
                <w:sz w:val="21"/>
              </w:rPr>
              <w:t>出血性登革热</w:t>
            </w:r>
          </w:p>
        </w:tc>
        <w:tc>
          <w:tcPr>
            <w:tcW w:w="572" w:type="dxa"/>
          </w:tcPr>
          <w:p>
            <w:pPr>
              <w:pStyle w:val="TableParagraph"/>
              <w:spacing w:line="262" w:lineRule="exact"/>
              <w:rPr>
                <w:sz w:val="21"/>
              </w:rPr>
            </w:pPr>
            <w:r>
              <w:rPr>
                <w:sz w:val="21"/>
              </w:rPr>
              <w:t>26）</w:t>
            </w:r>
          </w:p>
        </w:tc>
        <w:tc>
          <w:tcPr>
            <w:tcW w:w="3143" w:type="dxa"/>
          </w:tcPr>
          <w:p>
            <w:pPr>
              <w:pStyle w:val="TableParagraph"/>
              <w:spacing w:line="262" w:lineRule="exact"/>
              <w:ind w:left="106"/>
              <w:rPr>
                <w:sz w:val="21"/>
              </w:rPr>
            </w:pPr>
            <w:r>
              <w:rPr>
                <w:sz w:val="21"/>
              </w:rPr>
              <w:t>严重的原发性心肌病</w:t>
            </w:r>
          </w:p>
        </w:tc>
      </w:tr>
      <w:tr>
        <w:trPr>
          <w:trHeight w:val="314" w:hRule="atLeast"/>
        </w:trPr>
        <w:tc>
          <w:tcPr>
            <w:tcW w:w="656" w:type="dxa"/>
          </w:tcPr>
          <w:p>
            <w:pPr>
              <w:pStyle w:val="TableParagraph"/>
              <w:spacing w:line="265" w:lineRule="exact"/>
              <w:rPr>
                <w:sz w:val="21"/>
              </w:rPr>
            </w:pPr>
            <w:r>
              <w:rPr>
                <w:sz w:val="21"/>
              </w:rPr>
              <w:t>42）</w:t>
            </w:r>
          </w:p>
        </w:tc>
        <w:tc>
          <w:tcPr>
            <w:tcW w:w="2864" w:type="dxa"/>
          </w:tcPr>
          <w:p>
            <w:pPr>
              <w:pStyle w:val="TableParagraph"/>
              <w:spacing w:line="265" w:lineRule="exact"/>
              <w:rPr>
                <w:sz w:val="21"/>
              </w:rPr>
            </w:pPr>
            <w:r>
              <w:rPr>
                <w:sz w:val="21"/>
              </w:rPr>
              <w:t>溶血性链球菌引起的坏疽</w:t>
            </w:r>
          </w:p>
        </w:tc>
        <w:tc>
          <w:tcPr>
            <w:tcW w:w="572" w:type="dxa"/>
          </w:tcPr>
          <w:p>
            <w:pPr>
              <w:pStyle w:val="TableParagraph"/>
              <w:spacing w:line="265" w:lineRule="exact"/>
              <w:rPr>
                <w:sz w:val="21"/>
              </w:rPr>
            </w:pPr>
            <w:r>
              <w:rPr>
                <w:sz w:val="21"/>
              </w:rPr>
              <w:t>28）</w:t>
            </w:r>
          </w:p>
        </w:tc>
        <w:tc>
          <w:tcPr>
            <w:tcW w:w="3143" w:type="dxa"/>
          </w:tcPr>
          <w:p>
            <w:pPr>
              <w:pStyle w:val="TableParagraph"/>
              <w:spacing w:line="265" w:lineRule="exact"/>
              <w:ind w:left="106"/>
              <w:rPr>
                <w:sz w:val="21"/>
              </w:rPr>
            </w:pPr>
            <w:r>
              <w:rPr>
                <w:sz w:val="21"/>
              </w:rPr>
              <w:t>多发性硬化</w:t>
            </w:r>
          </w:p>
        </w:tc>
      </w:tr>
      <w:tr>
        <w:trPr>
          <w:trHeight w:val="311" w:hRule="atLeast"/>
        </w:trPr>
        <w:tc>
          <w:tcPr>
            <w:tcW w:w="656" w:type="dxa"/>
          </w:tcPr>
          <w:p>
            <w:pPr>
              <w:pStyle w:val="TableParagraph"/>
              <w:spacing w:line="262" w:lineRule="exact"/>
              <w:rPr>
                <w:sz w:val="21"/>
              </w:rPr>
            </w:pPr>
            <w:r>
              <w:rPr>
                <w:sz w:val="21"/>
              </w:rPr>
              <w:t>43）</w:t>
            </w:r>
          </w:p>
        </w:tc>
        <w:tc>
          <w:tcPr>
            <w:tcW w:w="2864" w:type="dxa"/>
          </w:tcPr>
          <w:p>
            <w:pPr>
              <w:pStyle w:val="TableParagraph"/>
              <w:spacing w:line="262" w:lineRule="exact"/>
              <w:rPr>
                <w:sz w:val="21"/>
              </w:rPr>
            </w:pPr>
            <w:r>
              <w:rPr>
                <w:sz w:val="21"/>
              </w:rPr>
              <w:t>丝虫病所致象皮肿</w:t>
            </w:r>
          </w:p>
        </w:tc>
        <w:tc>
          <w:tcPr>
            <w:tcW w:w="572" w:type="dxa"/>
          </w:tcPr>
          <w:p>
            <w:pPr>
              <w:pStyle w:val="TableParagraph"/>
              <w:spacing w:line="262" w:lineRule="exact"/>
              <w:rPr>
                <w:sz w:val="21"/>
              </w:rPr>
            </w:pPr>
            <w:r>
              <w:rPr>
                <w:sz w:val="21"/>
              </w:rPr>
              <w:t>30）</w:t>
            </w:r>
          </w:p>
        </w:tc>
        <w:tc>
          <w:tcPr>
            <w:tcW w:w="3143" w:type="dxa"/>
          </w:tcPr>
          <w:p>
            <w:pPr>
              <w:pStyle w:val="TableParagraph"/>
              <w:spacing w:line="262" w:lineRule="exact"/>
              <w:ind w:left="106"/>
              <w:rPr>
                <w:sz w:val="21"/>
              </w:rPr>
            </w:pPr>
            <w:r>
              <w:rPr>
                <w:sz w:val="21"/>
              </w:rPr>
              <w:t>严重类风湿性关节炎</w:t>
            </w:r>
          </w:p>
        </w:tc>
      </w:tr>
      <w:tr>
        <w:trPr>
          <w:trHeight w:val="311" w:hRule="atLeast"/>
        </w:trPr>
        <w:tc>
          <w:tcPr>
            <w:tcW w:w="656" w:type="dxa"/>
          </w:tcPr>
          <w:p>
            <w:pPr>
              <w:pStyle w:val="TableParagraph"/>
              <w:spacing w:line="262" w:lineRule="exact"/>
              <w:rPr>
                <w:sz w:val="21"/>
              </w:rPr>
            </w:pPr>
            <w:r>
              <w:rPr>
                <w:sz w:val="21"/>
              </w:rPr>
              <w:t>44）</w:t>
            </w:r>
          </w:p>
        </w:tc>
        <w:tc>
          <w:tcPr>
            <w:tcW w:w="2864" w:type="dxa"/>
          </w:tcPr>
          <w:p>
            <w:pPr>
              <w:pStyle w:val="TableParagraph"/>
              <w:spacing w:line="262" w:lineRule="exact"/>
              <w:rPr>
                <w:sz w:val="21"/>
              </w:rPr>
            </w:pPr>
            <w:r>
              <w:rPr>
                <w:sz w:val="21"/>
              </w:rPr>
              <w:t>埃博拉病毒感染</w:t>
            </w:r>
          </w:p>
        </w:tc>
        <w:tc>
          <w:tcPr>
            <w:tcW w:w="572" w:type="dxa"/>
          </w:tcPr>
          <w:p>
            <w:pPr>
              <w:pStyle w:val="TableParagraph"/>
              <w:spacing w:line="262" w:lineRule="exact"/>
              <w:rPr>
                <w:sz w:val="21"/>
              </w:rPr>
            </w:pPr>
            <w:r>
              <w:rPr>
                <w:sz w:val="21"/>
              </w:rPr>
              <w:t>31)</w:t>
            </w:r>
          </w:p>
        </w:tc>
        <w:tc>
          <w:tcPr>
            <w:tcW w:w="3143" w:type="dxa"/>
          </w:tcPr>
          <w:p>
            <w:pPr>
              <w:pStyle w:val="TableParagraph"/>
              <w:spacing w:line="262" w:lineRule="exact"/>
              <w:ind w:left="106"/>
              <w:rPr>
                <w:sz w:val="21"/>
              </w:rPr>
            </w:pPr>
            <w:r>
              <w:rPr>
                <w:sz w:val="21"/>
              </w:rPr>
              <w:t>重症肌无力</w:t>
            </w:r>
          </w:p>
        </w:tc>
      </w:tr>
      <w:tr>
        <w:trPr>
          <w:trHeight w:val="311" w:hRule="atLeast"/>
        </w:trPr>
        <w:tc>
          <w:tcPr>
            <w:tcW w:w="656" w:type="dxa"/>
          </w:tcPr>
          <w:p>
            <w:pPr>
              <w:pStyle w:val="TableParagraph"/>
              <w:spacing w:line="262" w:lineRule="exact"/>
              <w:rPr>
                <w:sz w:val="21"/>
              </w:rPr>
            </w:pPr>
            <w:r>
              <w:rPr>
                <w:sz w:val="21"/>
              </w:rPr>
              <w:t>47）</w:t>
            </w:r>
          </w:p>
        </w:tc>
        <w:tc>
          <w:tcPr>
            <w:tcW w:w="2864" w:type="dxa"/>
          </w:tcPr>
          <w:p>
            <w:pPr>
              <w:pStyle w:val="TableParagraph"/>
              <w:spacing w:line="262" w:lineRule="exact"/>
              <w:rPr>
                <w:sz w:val="21"/>
              </w:rPr>
            </w:pPr>
            <w:r>
              <w:rPr>
                <w:sz w:val="21"/>
              </w:rPr>
              <w:t>严重原发性骨髓纤维化</w:t>
            </w:r>
          </w:p>
        </w:tc>
        <w:tc>
          <w:tcPr>
            <w:tcW w:w="572" w:type="dxa"/>
          </w:tcPr>
          <w:p>
            <w:pPr>
              <w:pStyle w:val="TableParagraph"/>
              <w:spacing w:line="262" w:lineRule="exact"/>
              <w:rPr>
                <w:sz w:val="21"/>
              </w:rPr>
            </w:pPr>
            <w:r>
              <w:rPr>
                <w:sz w:val="21"/>
              </w:rPr>
              <w:t>38）</w:t>
            </w:r>
          </w:p>
        </w:tc>
        <w:tc>
          <w:tcPr>
            <w:tcW w:w="3143" w:type="dxa"/>
          </w:tcPr>
          <w:p>
            <w:pPr>
              <w:pStyle w:val="TableParagraph"/>
              <w:spacing w:line="262" w:lineRule="exact"/>
              <w:ind w:left="106"/>
              <w:rPr>
                <w:sz w:val="21"/>
              </w:rPr>
            </w:pPr>
            <w:r>
              <w:rPr>
                <w:sz w:val="21"/>
              </w:rPr>
              <w:t>严重心肌炎</w:t>
            </w:r>
          </w:p>
        </w:tc>
      </w:tr>
      <w:tr>
        <w:trPr>
          <w:trHeight w:val="311" w:hRule="atLeast"/>
        </w:trPr>
        <w:tc>
          <w:tcPr>
            <w:tcW w:w="656" w:type="dxa"/>
          </w:tcPr>
          <w:p>
            <w:pPr>
              <w:pStyle w:val="TableParagraph"/>
              <w:spacing w:line="262" w:lineRule="exact"/>
              <w:rPr>
                <w:sz w:val="21"/>
              </w:rPr>
            </w:pPr>
            <w:r>
              <w:rPr>
                <w:sz w:val="21"/>
              </w:rPr>
              <w:t>48）</w:t>
            </w:r>
          </w:p>
        </w:tc>
        <w:tc>
          <w:tcPr>
            <w:tcW w:w="2864" w:type="dxa"/>
          </w:tcPr>
          <w:p>
            <w:pPr>
              <w:pStyle w:val="TableParagraph"/>
              <w:spacing w:line="262" w:lineRule="exact"/>
              <w:rPr>
                <w:sz w:val="21"/>
              </w:rPr>
            </w:pPr>
            <w:r>
              <w:rPr>
                <w:sz w:val="21"/>
              </w:rPr>
              <w:t>胰腺移植</w:t>
            </w:r>
          </w:p>
        </w:tc>
        <w:tc>
          <w:tcPr>
            <w:tcW w:w="572" w:type="dxa"/>
          </w:tcPr>
          <w:p>
            <w:pPr>
              <w:pStyle w:val="TableParagraph"/>
              <w:spacing w:line="262" w:lineRule="exact"/>
              <w:rPr>
                <w:sz w:val="21"/>
              </w:rPr>
            </w:pPr>
            <w:r>
              <w:rPr>
                <w:sz w:val="21"/>
              </w:rPr>
              <w:t>39）</w:t>
            </w:r>
          </w:p>
        </w:tc>
        <w:tc>
          <w:tcPr>
            <w:tcW w:w="3143" w:type="dxa"/>
          </w:tcPr>
          <w:p>
            <w:pPr>
              <w:pStyle w:val="TableParagraph"/>
              <w:spacing w:line="262" w:lineRule="exact"/>
              <w:ind w:left="106"/>
              <w:rPr>
                <w:sz w:val="21"/>
              </w:rPr>
            </w:pPr>
            <w:r>
              <w:rPr>
                <w:sz w:val="21"/>
              </w:rPr>
              <w:t>进行性核上性麻痹</w:t>
            </w:r>
          </w:p>
        </w:tc>
      </w:tr>
    </w:tbl>
    <w:p>
      <w:pPr>
        <w:spacing w:after="0" w:line="262" w:lineRule="exact"/>
        <w:rPr>
          <w:sz w:val="21"/>
        </w:rPr>
        <w:sectPr>
          <w:pgSz w:w="11910" w:h="16840"/>
          <w:pgMar w:header="0" w:footer="925" w:top="1080" w:bottom="1180" w:left="1020" w:right="1100"/>
        </w:sectPr>
      </w:pPr>
    </w:p>
    <w:tbl>
      <w:tblPr>
        <w:tblW w:w="0" w:type="auto"/>
        <w:jc w:val="left"/>
        <w:tblInd w:w="1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6"/>
        <w:gridCol w:w="2864"/>
        <w:gridCol w:w="572"/>
        <w:gridCol w:w="3143"/>
      </w:tblGrid>
      <w:tr>
        <w:trPr>
          <w:trHeight w:val="313" w:hRule="atLeast"/>
        </w:trPr>
        <w:tc>
          <w:tcPr>
            <w:tcW w:w="656" w:type="dxa"/>
          </w:tcPr>
          <w:p>
            <w:pPr>
              <w:pStyle w:val="TableParagraph"/>
              <w:spacing w:line="259" w:lineRule="exact"/>
              <w:ind w:left="0" w:right="113"/>
              <w:jc w:val="right"/>
              <w:rPr>
                <w:sz w:val="21"/>
              </w:rPr>
            </w:pPr>
            <w:r>
              <w:rPr>
                <w:sz w:val="21"/>
              </w:rPr>
              <w:t>49）</w:t>
            </w:r>
          </w:p>
        </w:tc>
        <w:tc>
          <w:tcPr>
            <w:tcW w:w="2864" w:type="dxa"/>
          </w:tcPr>
          <w:p>
            <w:pPr>
              <w:pStyle w:val="TableParagraph"/>
              <w:spacing w:line="259" w:lineRule="exact"/>
              <w:rPr>
                <w:sz w:val="21"/>
              </w:rPr>
            </w:pPr>
            <w:r>
              <w:rPr>
                <w:sz w:val="21"/>
              </w:rPr>
              <w:t>嗜铬细胞瘤</w:t>
            </w:r>
          </w:p>
        </w:tc>
        <w:tc>
          <w:tcPr>
            <w:tcW w:w="572" w:type="dxa"/>
          </w:tcPr>
          <w:p>
            <w:pPr>
              <w:pStyle w:val="TableParagraph"/>
              <w:spacing w:line="259" w:lineRule="exact"/>
              <w:ind w:left="0" w:right="30"/>
              <w:jc w:val="right"/>
              <w:rPr>
                <w:sz w:val="21"/>
              </w:rPr>
            </w:pPr>
            <w:r>
              <w:rPr>
                <w:sz w:val="21"/>
              </w:rPr>
              <w:t>40）</w:t>
            </w:r>
          </w:p>
        </w:tc>
        <w:tc>
          <w:tcPr>
            <w:tcW w:w="3143" w:type="dxa"/>
          </w:tcPr>
          <w:p>
            <w:pPr>
              <w:pStyle w:val="TableParagraph"/>
              <w:spacing w:line="259" w:lineRule="exact"/>
              <w:ind w:left="106"/>
              <w:rPr>
                <w:sz w:val="21"/>
              </w:rPr>
            </w:pPr>
            <w:r>
              <w:rPr>
                <w:sz w:val="21"/>
              </w:rPr>
              <w:t>严重肌营养不良症</w:t>
            </w:r>
          </w:p>
        </w:tc>
      </w:tr>
      <w:tr>
        <w:trPr>
          <w:trHeight w:val="311" w:hRule="atLeast"/>
        </w:trPr>
        <w:tc>
          <w:tcPr>
            <w:tcW w:w="656" w:type="dxa"/>
          </w:tcPr>
          <w:p>
            <w:pPr>
              <w:pStyle w:val="TableParagraph"/>
              <w:spacing w:line="257" w:lineRule="exact"/>
              <w:ind w:left="0" w:right="113"/>
              <w:jc w:val="right"/>
              <w:rPr>
                <w:sz w:val="21"/>
              </w:rPr>
            </w:pPr>
            <w:r>
              <w:rPr>
                <w:sz w:val="21"/>
              </w:rPr>
              <w:t>50）</w:t>
            </w:r>
          </w:p>
        </w:tc>
        <w:tc>
          <w:tcPr>
            <w:tcW w:w="2864" w:type="dxa"/>
          </w:tcPr>
          <w:p>
            <w:pPr>
              <w:pStyle w:val="TableParagraph"/>
              <w:spacing w:line="257" w:lineRule="exact"/>
              <w:rPr>
                <w:sz w:val="21"/>
              </w:rPr>
            </w:pPr>
            <w:r>
              <w:rPr>
                <w:sz w:val="21"/>
              </w:rPr>
              <w:t>重症骨髓增生异常综合征</w:t>
            </w:r>
          </w:p>
        </w:tc>
        <w:tc>
          <w:tcPr>
            <w:tcW w:w="572" w:type="dxa"/>
          </w:tcPr>
          <w:p>
            <w:pPr>
              <w:pStyle w:val="TableParagraph"/>
              <w:spacing w:line="257" w:lineRule="exact"/>
              <w:ind w:left="0" w:right="30"/>
              <w:jc w:val="right"/>
              <w:rPr>
                <w:sz w:val="21"/>
              </w:rPr>
            </w:pPr>
            <w:r>
              <w:rPr>
                <w:sz w:val="21"/>
              </w:rPr>
              <w:t>41）</w:t>
            </w:r>
          </w:p>
        </w:tc>
        <w:tc>
          <w:tcPr>
            <w:tcW w:w="3143" w:type="dxa"/>
          </w:tcPr>
          <w:p>
            <w:pPr>
              <w:pStyle w:val="TableParagraph"/>
              <w:spacing w:line="257" w:lineRule="exact"/>
              <w:ind w:left="106"/>
              <w:rPr>
                <w:sz w:val="21"/>
              </w:rPr>
            </w:pPr>
            <w:r>
              <w:rPr>
                <w:sz w:val="21"/>
              </w:rPr>
              <w:t>植物人状态</w:t>
            </w:r>
          </w:p>
        </w:tc>
      </w:tr>
      <w:tr>
        <w:trPr>
          <w:trHeight w:val="623" w:hRule="atLeast"/>
        </w:trPr>
        <w:tc>
          <w:tcPr>
            <w:tcW w:w="656" w:type="dxa"/>
          </w:tcPr>
          <w:p>
            <w:pPr>
              <w:pStyle w:val="TableParagraph"/>
              <w:spacing w:before="6"/>
              <w:ind w:left="0"/>
              <w:rPr>
                <w:sz w:val="22"/>
              </w:rPr>
            </w:pPr>
          </w:p>
          <w:p>
            <w:pPr>
              <w:pStyle w:val="TableParagraph"/>
              <w:ind w:left="0" w:right="113"/>
              <w:jc w:val="right"/>
              <w:rPr>
                <w:sz w:val="21"/>
              </w:rPr>
            </w:pPr>
            <w:r>
              <w:rPr>
                <w:sz w:val="21"/>
              </w:rPr>
              <w:t>51）</w:t>
            </w:r>
          </w:p>
        </w:tc>
        <w:tc>
          <w:tcPr>
            <w:tcW w:w="2864" w:type="dxa"/>
          </w:tcPr>
          <w:p>
            <w:pPr>
              <w:pStyle w:val="TableParagraph"/>
              <w:spacing w:before="138"/>
              <w:rPr>
                <w:sz w:val="21"/>
              </w:rPr>
            </w:pPr>
            <w:r>
              <w:rPr>
                <w:sz w:val="21"/>
              </w:rPr>
              <w:t>自体造血干细胞移植</w:t>
            </w:r>
          </w:p>
        </w:tc>
        <w:tc>
          <w:tcPr>
            <w:tcW w:w="572" w:type="dxa"/>
          </w:tcPr>
          <w:p>
            <w:pPr>
              <w:pStyle w:val="TableParagraph"/>
              <w:spacing w:before="6"/>
              <w:ind w:left="0"/>
              <w:rPr>
                <w:sz w:val="22"/>
              </w:rPr>
            </w:pPr>
          </w:p>
          <w:p>
            <w:pPr>
              <w:pStyle w:val="TableParagraph"/>
              <w:ind w:left="0" w:right="30"/>
              <w:jc w:val="right"/>
              <w:rPr>
                <w:sz w:val="21"/>
              </w:rPr>
            </w:pPr>
            <w:r>
              <w:rPr>
                <w:sz w:val="21"/>
              </w:rPr>
              <w:t>45）</w:t>
            </w:r>
          </w:p>
        </w:tc>
        <w:tc>
          <w:tcPr>
            <w:tcW w:w="3143" w:type="dxa"/>
          </w:tcPr>
          <w:p>
            <w:pPr>
              <w:pStyle w:val="TableParagraph"/>
              <w:spacing w:line="257" w:lineRule="exact"/>
              <w:ind w:left="106"/>
              <w:rPr>
                <w:sz w:val="21"/>
              </w:rPr>
            </w:pPr>
            <w:r>
              <w:rPr>
                <w:sz w:val="21"/>
              </w:rPr>
              <w:t>经输血导致的人类免疫缺陷病</w:t>
            </w:r>
          </w:p>
          <w:p>
            <w:pPr>
              <w:pStyle w:val="TableParagraph"/>
              <w:spacing w:before="37"/>
              <w:ind w:left="106"/>
              <w:rPr>
                <w:sz w:val="21"/>
              </w:rPr>
            </w:pPr>
            <w:r>
              <w:rPr>
                <w:sz w:val="21"/>
              </w:rPr>
              <w:t>毒（HIV）感染</w:t>
            </w:r>
          </w:p>
        </w:tc>
      </w:tr>
      <w:tr>
        <w:trPr>
          <w:trHeight w:val="623" w:hRule="atLeast"/>
        </w:trPr>
        <w:tc>
          <w:tcPr>
            <w:tcW w:w="656" w:type="dxa"/>
          </w:tcPr>
          <w:p>
            <w:pPr>
              <w:pStyle w:val="TableParagraph"/>
              <w:spacing w:before="5"/>
              <w:ind w:left="0"/>
              <w:rPr>
                <w:sz w:val="22"/>
              </w:rPr>
            </w:pPr>
          </w:p>
          <w:p>
            <w:pPr>
              <w:pStyle w:val="TableParagraph"/>
              <w:spacing w:before="1"/>
              <w:ind w:left="0" w:right="113"/>
              <w:jc w:val="right"/>
              <w:rPr>
                <w:sz w:val="21"/>
              </w:rPr>
            </w:pPr>
            <w:r>
              <w:rPr>
                <w:sz w:val="21"/>
              </w:rPr>
              <w:t>52）</w:t>
            </w:r>
          </w:p>
        </w:tc>
        <w:tc>
          <w:tcPr>
            <w:tcW w:w="2864" w:type="dxa"/>
          </w:tcPr>
          <w:p>
            <w:pPr>
              <w:pStyle w:val="TableParagraph"/>
              <w:spacing w:before="137"/>
              <w:rPr>
                <w:sz w:val="21"/>
              </w:rPr>
            </w:pPr>
            <w:r>
              <w:rPr>
                <w:sz w:val="21"/>
              </w:rPr>
              <w:t>肾髓质囊性病</w:t>
            </w:r>
          </w:p>
        </w:tc>
        <w:tc>
          <w:tcPr>
            <w:tcW w:w="572" w:type="dxa"/>
          </w:tcPr>
          <w:p>
            <w:pPr>
              <w:pStyle w:val="TableParagraph"/>
              <w:spacing w:before="5"/>
              <w:ind w:left="0"/>
              <w:rPr>
                <w:sz w:val="22"/>
              </w:rPr>
            </w:pPr>
          </w:p>
          <w:p>
            <w:pPr>
              <w:pStyle w:val="TableParagraph"/>
              <w:spacing w:before="1"/>
              <w:ind w:left="0" w:right="30"/>
              <w:jc w:val="right"/>
              <w:rPr>
                <w:sz w:val="21"/>
              </w:rPr>
            </w:pPr>
            <w:r>
              <w:rPr>
                <w:sz w:val="21"/>
              </w:rPr>
              <w:t>46）</w:t>
            </w:r>
          </w:p>
        </w:tc>
        <w:tc>
          <w:tcPr>
            <w:tcW w:w="3143" w:type="dxa"/>
          </w:tcPr>
          <w:p>
            <w:pPr>
              <w:pStyle w:val="TableParagraph"/>
              <w:spacing w:line="257" w:lineRule="exact"/>
              <w:ind w:left="106"/>
              <w:rPr>
                <w:sz w:val="21"/>
              </w:rPr>
            </w:pPr>
            <w:r>
              <w:rPr>
                <w:sz w:val="21"/>
              </w:rPr>
              <w:t>因职业关系导致的人类免疫缺</w:t>
            </w:r>
          </w:p>
          <w:p>
            <w:pPr>
              <w:pStyle w:val="TableParagraph"/>
              <w:spacing w:before="37"/>
              <w:ind w:left="106"/>
              <w:rPr>
                <w:sz w:val="21"/>
              </w:rPr>
            </w:pPr>
            <w:r>
              <w:rPr>
                <w:sz w:val="21"/>
              </w:rPr>
              <w:t>陷病毒（HIV）感染</w:t>
            </w:r>
          </w:p>
        </w:tc>
      </w:tr>
      <w:tr>
        <w:trPr>
          <w:trHeight w:val="311" w:hRule="atLeast"/>
        </w:trPr>
        <w:tc>
          <w:tcPr>
            <w:tcW w:w="656" w:type="dxa"/>
          </w:tcPr>
          <w:p>
            <w:pPr>
              <w:pStyle w:val="TableParagraph"/>
              <w:spacing w:line="257" w:lineRule="exact"/>
              <w:ind w:left="0" w:right="113"/>
              <w:jc w:val="right"/>
              <w:rPr>
                <w:sz w:val="21"/>
              </w:rPr>
            </w:pPr>
            <w:r>
              <w:rPr>
                <w:sz w:val="21"/>
              </w:rPr>
              <w:t>53）</w:t>
            </w:r>
          </w:p>
        </w:tc>
        <w:tc>
          <w:tcPr>
            <w:tcW w:w="2864" w:type="dxa"/>
          </w:tcPr>
          <w:p>
            <w:pPr>
              <w:pStyle w:val="TableParagraph"/>
              <w:spacing w:line="257" w:lineRule="exact"/>
              <w:rPr>
                <w:sz w:val="21"/>
              </w:rPr>
            </w:pPr>
            <w:r>
              <w:rPr>
                <w:sz w:val="21"/>
              </w:rPr>
              <w:t>系统性硬皮病</w:t>
            </w:r>
          </w:p>
        </w:tc>
        <w:tc>
          <w:tcPr>
            <w:tcW w:w="572" w:type="dxa"/>
          </w:tcPr>
          <w:p>
            <w:pPr>
              <w:pStyle w:val="TableParagraph"/>
              <w:spacing w:line="257" w:lineRule="exact"/>
              <w:ind w:left="0" w:right="30"/>
              <w:jc w:val="right"/>
              <w:rPr>
                <w:sz w:val="21"/>
              </w:rPr>
            </w:pPr>
            <w:r>
              <w:rPr>
                <w:sz w:val="21"/>
              </w:rPr>
              <w:t>54）</w:t>
            </w:r>
          </w:p>
        </w:tc>
        <w:tc>
          <w:tcPr>
            <w:tcW w:w="3143" w:type="dxa"/>
          </w:tcPr>
          <w:p>
            <w:pPr>
              <w:pStyle w:val="TableParagraph"/>
              <w:spacing w:line="257" w:lineRule="exact"/>
              <w:ind w:left="106"/>
              <w:rPr>
                <w:sz w:val="21"/>
              </w:rPr>
            </w:pPr>
            <w:r>
              <w:rPr>
                <w:sz w:val="21"/>
              </w:rPr>
              <w:t>严重慢性缩窄型心包炎</w:t>
            </w:r>
          </w:p>
        </w:tc>
      </w:tr>
      <w:tr>
        <w:trPr>
          <w:trHeight w:val="311" w:hRule="atLeast"/>
        </w:trPr>
        <w:tc>
          <w:tcPr>
            <w:tcW w:w="656" w:type="dxa"/>
          </w:tcPr>
          <w:p>
            <w:pPr>
              <w:pStyle w:val="TableParagraph"/>
              <w:spacing w:line="257" w:lineRule="exact"/>
              <w:ind w:left="0" w:right="113"/>
              <w:jc w:val="right"/>
              <w:rPr>
                <w:sz w:val="21"/>
              </w:rPr>
            </w:pPr>
            <w:r>
              <w:rPr>
                <w:sz w:val="21"/>
              </w:rPr>
              <w:t>56）</w:t>
            </w:r>
          </w:p>
        </w:tc>
        <w:tc>
          <w:tcPr>
            <w:tcW w:w="2864" w:type="dxa"/>
          </w:tcPr>
          <w:p>
            <w:pPr>
              <w:pStyle w:val="TableParagraph"/>
              <w:spacing w:line="257" w:lineRule="exact"/>
              <w:rPr>
                <w:sz w:val="21"/>
              </w:rPr>
            </w:pPr>
            <w:r>
              <w:rPr>
                <w:sz w:val="21"/>
              </w:rPr>
              <w:t>严重瑞氏综合征</w:t>
            </w:r>
          </w:p>
        </w:tc>
        <w:tc>
          <w:tcPr>
            <w:tcW w:w="572" w:type="dxa"/>
          </w:tcPr>
          <w:p>
            <w:pPr>
              <w:pStyle w:val="TableParagraph"/>
              <w:spacing w:line="257" w:lineRule="exact"/>
              <w:ind w:left="0" w:right="30"/>
              <w:jc w:val="right"/>
              <w:rPr>
                <w:sz w:val="21"/>
              </w:rPr>
            </w:pPr>
            <w:r>
              <w:rPr>
                <w:sz w:val="21"/>
              </w:rPr>
              <w:t>55）</w:t>
            </w:r>
          </w:p>
        </w:tc>
        <w:tc>
          <w:tcPr>
            <w:tcW w:w="3143" w:type="dxa"/>
          </w:tcPr>
          <w:p>
            <w:pPr>
              <w:pStyle w:val="TableParagraph"/>
              <w:spacing w:line="257" w:lineRule="exact"/>
              <w:ind w:left="106"/>
              <w:rPr>
                <w:sz w:val="21"/>
              </w:rPr>
            </w:pPr>
            <w:r>
              <w:rPr>
                <w:sz w:val="21"/>
              </w:rPr>
              <w:t>严重传染性心内膜炎</w:t>
            </w:r>
          </w:p>
        </w:tc>
      </w:tr>
      <w:tr>
        <w:trPr>
          <w:trHeight w:val="314" w:hRule="atLeast"/>
        </w:trPr>
        <w:tc>
          <w:tcPr>
            <w:tcW w:w="656" w:type="dxa"/>
          </w:tcPr>
          <w:p>
            <w:pPr>
              <w:pStyle w:val="TableParagraph"/>
              <w:spacing w:line="259" w:lineRule="exact"/>
              <w:ind w:left="0" w:right="113"/>
              <w:jc w:val="right"/>
              <w:rPr>
                <w:sz w:val="21"/>
              </w:rPr>
            </w:pPr>
            <w:r>
              <w:rPr>
                <w:sz w:val="21"/>
              </w:rPr>
              <w:t>57）</w:t>
            </w:r>
          </w:p>
        </w:tc>
        <w:tc>
          <w:tcPr>
            <w:tcW w:w="2864" w:type="dxa"/>
          </w:tcPr>
          <w:p>
            <w:pPr>
              <w:pStyle w:val="TableParagraph"/>
              <w:spacing w:line="259" w:lineRule="exact"/>
              <w:rPr>
                <w:sz w:val="21"/>
              </w:rPr>
            </w:pPr>
            <w:r>
              <w:rPr>
                <w:sz w:val="21"/>
              </w:rPr>
              <w:t>慢性复发性胰腺炎</w:t>
            </w:r>
          </w:p>
        </w:tc>
        <w:tc>
          <w:tcPr>
            <w:tcW w:w="572" w:type="dxa"/>
          </w:tcPr>
          <w:p>
            <w:pPr>
              <w:pStyle w:val="TableParagraph"/>
              <w:spacing w:line="259" w:lineRule="exact"/>
              <w:ind w:left="0" w:right="30"/>
              <w:jc w:val="right"/>
              <w:rPr>
                <w:sz w:val="21"/>
              </w:rPr>
            </w:pPr>
            <w:r>
              <w:rPr>
                <w:sz w:val="21"/>
              </w:rPr>
              <w:t>62）</w:t>
            </w:r>
          </w:p>
        </w:tc>
        <w:tc>
          <w:tcPr>
            <w:tcW w:w="3143" w:type="dxa"/>
          </w:tcPr>
          <w:p>
            <w:pPr>
              <w:pStyle w:val="TableParagraph"/>
              <w:spacing w:line="259" w:lineRule="exact"/>
              <w:ind w:left="106"/>
              <w:rPr>
                <w:sz w:val="21"/>
              </w:rPr>
            </w:pPr>
            <w:r>
              <w:rPr>
                <w:sz w:val="21"/>
              </w:rPr>
              <w:t>疾病或外伤所致智力障碍</w:t>
            </w:r>
          </w:p>
        </w:tc>
      </w:tr>
      <w:tr>
        <w:trPr>
          <w:trHeight w:val="311" w:hRule="atLeast"/>
        </w:trPr>
        <w:tc>
          <w:tcPr>
            <w:tcW w:w="656" w:type="dxa"/>
          </w:tcPr>
          <w:p>
            <w:pPr>
              <w:pStyle w:val="TableParagraph"/>
              <w:spacing w:line="257" w:lineRule="exact"/>
              <w:ind w:left="0" w:right="113"/>
              <w:jc w:val="right"/>
              <w:rPr>
                <w:sz w:val="21"/>
              </w:rPr>
            </w:pPr>
            <w:r>
              <w:rPr>
                <w:sz w:val="21"/>
              </w:rPr>
              <w:t>58）</w:t>
            </w:r>
          </w:p>
        </w:tc>
        <w:tc>
          <w:tcPr>
            <w:tcW w:w="2864" w:type="dxa"/>
          </w:tcPr>
          <w:p>
            <w:pPr>
              <w:pStyle w:val="TableParagraph"/>
              <w:spacing w:line="257" w:lineRule="exact"/>
              <w:rPr>
                <w:sz w:val="21"/>
              </w:rPr>
            </w:pPr>
            <w:r>
              <w:rPr>
                <w:sz w:val="21"/>
              </w:rPr>
              <w:t>原发性硬化性胆管炎</w:t>
            </w:r>
          </w:p>
        </w:tc>
        <w:tc>
          <w:tcPr>
            <w:tcW w:w="572" w:type="dxa"/>
          </w:tcPr>
          <w:p>
            <w:pPr>
              <w:pStyle w:val="TableParagraph"/>
              <w:spacing w:line="257" w:lineRule="exact"/>
              <w:ind w:left="0" w:right="30"/>
              <w:jc w:val="right"/>
              <w:rPr>
                <w:sz w:val="21"/>
              </w:rPr>
            </w:pPr>
            <w:r>
              <w:rPr>
                <w:sz w:val="21"/>
              </w:rPr>
              <w:t>63）</w:t>
            </w:r>
          </w:p>
        </w:tc>
        <w:tc>
          <w:tcPr>
            <w:tcW w:w="3143" w:type="dxa"/>
          </w:tcPr>
          <w:p>
            <w:pPr>
              <w:pStyle w:val="TableParagraph"/>
              <w:spacing w:line="257" w:lineRule="exact"/>
              <w:ind w:left="106"/>
              <w:rPr>
                <w:sz w:val="21"/>
              </w:rPr>
            </w:pPr>
            <w:r>
              <w:rPr>
                <w:sz w:val="21"/>
              </w:rPr>
              <w:t>非阿尔茨海默病所致严重痴呆</w:t>
            </w:r>
          </w:p>
        </w:tc>
      </w:tr>
      <w:tr>
        <w:trPr>
          <w:trHeight w:val="623" w:hRule="atLeast"/>
        </w:trPr>
        <w:tc>
          <w:tcPr>
            <w:tcW w:w="656" w:type="dxa"/>
          </w:tcPr>
          <w:p>
            <w:pPr>
              <w:pStyle w:val="TableParagraph"/>
              <w:spacing w:before="137"/>
              <w:ind w:left="0" w:right="113"/>
              <w:jc w:val="right"/>
              <w:rPr>
                <w:sz w:val="21"/>
              </w:rPr>
            </w:pPr>
            <w:r>
              <w:rPr>
                <w:sz w:val="21"/>
              </w:rPr>
              <w:t>59）</w:t>
            </w:r>
          </w:p>
        </w:tc>
        <w:tc>
          <w:tcPr>
            <w:tcW w:w="2864" w:type="dxa"/>
          </w:tcPr>
          <w:p>
            <w:pPr>
              <w:pStyle w:val="TableParagraph"/>
              <w:spacing w:before="137"/>
              <w:rPr>
                <w:sz w:val="21"/>
              </w:rPr>
            </w:pPr>
            <w:r>
              <w:rPr>
                <w:sz w:val="21"/>
              </w:rPr>
              <w:t>严重溃疡性结肠炎</w:t>
            </w:r>
          </w:p>
        </w:tc>
        <w:tc>
          <w:tcPr>
            <w:tcW w:w="572" w:type="dxa"/>
          </w:tcPr>
          <w:p>
            <w:pPr>
              <w:pStyle w:val="TableParagraph"/>
              <w:spacing w:before="137"/>
              <w:ind w:left="0" w:right="30"/>
              <w:jc w:val="right"/>
              <w:rPr>
                <w:sz w:val="21"/>
              </w:rPr>
            </w:pPr>
            <w:r>
              <w:rPr>
                <w:sz w:val="21"/>
              </w:rPr>
              <w:t>64）</w:t>
            </w:r>
          </w:p>
        </w:tc>
        <w:tc>
          <w:tcPr>
            <w:tcW w:w="3143" w:type="dxa"/>
          </w:tcPr>
          <w:p>
            <w:pPr>
              <w:pStyle w:val="TableParagraph"/>
              <w:spacing w:line="257" w:lineRule="exact"/>
              <w:ind w:left="106"/>
              <w:rPr>
                <w:sz w:val="21"/>
              </w:rPr>
            </w:pPr>
            <w:r>
              <w:rPr>
                <w:sz w:val="21"/>
              </w:rPr>
              <w:t>艾森门格综合征（先天性心脏</w:t>
            </w:r>
          </w:p>
          <w:p>
            <w:pPr>
              <w:pStyle w:val="TableParagraph"/>
              <w:spacing w:before="37"/>
              <w:ind w:left="106"/>
              <w:rPr>
                <w:sz w:val="21"/>
              </w:rPr>
            </w:pPr>
            <w:r>
              <w:rPr>
                <w:sz w:val="21"/>
              </w:rPr>
              <w:t>病）</w:t>
            </w:r>
          </w:p>
        </w:tc>
      </w:tr>
      <w:tr>
        <w:trPr>
          <w:trHeight w:val="311" w:hRule="atLeast"/>
        </w:trPr>
        <w:tc>
          <w:tcPr>
            <w:tcW w:w="656" w:type="dxa"/>
          </w:tcPr>
          <w:p>
            <w:pPr>
              <w:pStyle w:val="TableParagraph"/>
              <w:spacing w:line="257" w:lineRule="exact"/>
              <w:ind w:left="0" w:right="113"/>
              <w:jc w:val="right"/>
              <w:rPr>
                <w:sz w:val="21"/>
              </w:rPr>
            </w:pPr>
            <w:r>
              <w:rPr>
                <w:sz w:val="21"/>
              </w:rPr>
              <w:t>60）</w:t>
            </w:r>
          </w:p>
        </w:tc>
        <w:tc>
          <w:tcPr>
            <w:tcW w:w="2864" w:type="dxa"/>
          </w:tcPr>
          <w:p>
            <w:pPr>
              <w:pStyle w:val="TableParagraph"/>
              <w:spacing w:line="257" w:lineRule="exact"/>
              <w:rPr>
                <w:sz w:val="21"/>
              </w:rPr>
            </w:pPr>
            <w:r>
              <w:rPr>
                <w:sz w:val="21"/>
              </w:rPr>
              <w:t>严重面部烧伤</w:t>
            </w:r>
          </w:p>
        </w:tc>
        <w:tc>
          <w:tcPr>
            <w:tcW w:w="572" w:type="dxa"/>
          </w:tcPr>
          <w:p>
            <w:pPr>
              <w:pStyle w:val="TableParagraph"/>
              <w:spacing w:line="257" w:lineRule="exact"/>
              <w:ind w:left="0" w:right="30"/>
              <w:jc w:val="right"/>
              <w:rPr>
                <w:sz w:val="21"/>
              </w:rPr>
            </w:pPr>
            <w:r>
              <w:rPr>
                <w:sz w:val="21"/>
              </w:rPr>
              <w:t>65）</w:t>
            </w:r>
          </w:p>
        </w:tc>
        <w:tc>
          <w:tcPr>
            <w:tcW w:w="3143" w:type="dxa"/>
          </w:tcPr>
          <w:p>
            <w:pPr>
              <w:pStyle w:val="TableParagraph"/>
              <w:spacing w:line="257" w:lineRule="exact"/>
              <w:ind w:left="106"/>
              <w:rPr>
                <w:sz w:val="21"/>
              </w:rPr>
            </w:pPr>
            <w:r>
              <w:rPr>
                <w:sz w:val="21"/>
              </w:rPr>
              <w:t>严重幼年型类风湿性关节炎</w:t>
            </w:r>
          </w:p>
        </w:tc>
      </w:tr>
      <w:tr>
        <w:trPr>
          <w:trHeight w:val="312" w:hRule="atLeast"/>
        </w:trPr>
        <w:tc>
          <w:tcPr>
            <w:tcW w:w="656" w:type="dxa"/>
          </w:tcPr>
          <w:p>
            <w:pPr>
              <w:pStyle w:val="TableParagraph"/>
              <w:spacing w:line="257" w:lineRule="exact"/>
              <w:ind w:left="0" w:right="113"/>
              <w:jc w:val="right"/>
              <w:rPr>
                <w:sz w:val="21"/>
              </w:rPr>
            </w:pPr>
            <w:r>
              <w:rPr>
                <w:sz w:val="21"/>
              </w:rPr>
              <w:t>61）</w:t>
            </w:r>
          </w:p>
        </w:tc>
        <w:tc>
          <w:tcPr>
            <w:tcW w:w="2864" w:type="dxa"/>
          </w:tcPr>
          <w:p>
            <w:pPr>
              <w:pStyle w:val="TableParagraph"/>
              <w:spacing w:line="257" w:lineRule="exact"/>
              <w:rPr>
                <w:sz w:val="21"/>
              </w:rPr>
            </w:pPr>
            <w:r>
              <w:rPr>
                <w:sz w:val="21"/>
              </w:rPr>
              <w:t>严重肠道疾病并发症</w:t>
            </w:r>
          </w:p>
        </w:tc>
        <w:tc>
          <w:tcPr>
            <w:tcW w:w="572" w:type="dxa"/>
          </w:tcPr>
          <w:p>
            <w:pPr>
              <w:pStyle w:val="TableParagraph"/>
              <w:spacing w:line="257" w:lineRule="exact"/>
              <w:ind w:left="0" w:right="30"/>
              <w:jc w:val="right"/>
              <w:rPr>
                <w:sz w:val="21"/>
              </w:rPr>
            </w:pPr>
            <w:r>
              <w:rPr>
                <w:sz w:val="21"/>
              </w:rPr>
              <w:t>66）</w:t>
            </w:r>
          </w:p>
        </w:tc>
        <w:tc>
          <w:tcPr>
            <w:tcW w:w="3143" w:type="dxa"/>
          </w:tcPr>
          <w:p>
            <w:pPr>
              <w:pStyle w:val="TableParagraph"/>
              <w:spacing w:line="257" w:lineRule="exact"/>
              <w:ind w:left="106"/>
              <w:rPr>
                <w:sz w:val="21"/>
              </w:rPr>
            </w:pPr>
            <w:r>
              <w:rPr>
                <w:sz w:val="21"/>
              </w:rPr>
              <w:t>肝豆状核变性</w:t>
            </w:r>
          </w:p>
        </w:tc>
      </w:tr>
      <w:tr>
        <w:trPr>
          <w:trHeight w:val="311" w:hRule="atLeast"/>
        </w:trPr>
        <w:tc>
          <w:tcPr>
            <w:tcW w:w="656" w:type="dxa"/>
          </w:tcPr>
          <w:p>
            <w:pPr>
              <w:pStyle w:val="TableParagraph"/>
              <w:spacing w:line="257" w:lineRule="exact"/>
              <w:ind w:left="0" w:right="113"/>
              <w:jc w:val="right"/>
              <w:rPr>
                <w:sz w:val="21"/>
              </w:rPr>
            </w:pPr>
            <w:r>
              <w:rPr>
                <w:sz w:val="21"/>
              </w:rPr>
              <w:t>68）</w:t>
            </w:r>
          </w:p>
        </w:tc>
        <w:tc>
          <w:tcPr>
            <w:tcW w:w="2864" w:type="dxa"/>
          </w:tcPr>
          <w:p>
            <w:pPr>
              <w:pStyle w:val="TableParagraph"/>
              <w:spacing w:line="257" w:lineRule="exact"/>
              <w:rPr>
                <w:sz w:val="21"/>
              </w:rPr>
            </w:pPr>
            <w:r>
              <w:rPr>
                <w:sz w:val="21"/>
              </w:rPr>
              <w:t>肺泡蛋白质沉积症</w:t>
            </w:r>
          </w:p>
        </w:tc>
        <w:tc>
          <w:tcPr>
            <w:tcW w:w="572" w:type="dxa"/>
          </w:tcPr>
          <w:p>
            <w:pPr>
              <w:pStyle w:val="TableParagraph"/>
              <w:spacing w:line="257" w:lineRule="exact"/>
              <w:ind w:left="0" w:right="30"/>
              <w:jc w:val="right"/>
              <w:rPr>
                <w:sz w:val="21"/>
              </w:rPr>
            </w:pPr>
            <w:r>
              <w:rPr>
                <w:sz w:val="21"/>
              </w:rPr>
              <w:t>67）</w:t>
            </w:r>
          </w:p>
        </w:tc>
        <w:tc>
          <w:tcPr>
            <w:tcW w:w="3143" w:type="dxa"/>
          </w:tcPr>
          <w:p>
            <w:pPr>
              <w:pStyle w:val="TableParagraph"/>
              <w:spacing w:line="257" w:lineRule="exact"/>
              <w:ind w:left="106"/>
              <w:rPr>
                <w:sz w:val="21"/>
              </w:rPr>
            </w:pPr>
            <w:r>
              <w:rPr>
                <w:sz w:val="21"/>
              </w:rPr>
              <w:t>疯牛病</w:t>
            </w:r>
          </w:p>
        </w:tc>
      </w:tr>
      <w:tr>
        <w:trPr>
          <w:trHeight w:val="314" w:hRule="atLeast"/>
        </w:trPr>
        <w:tc>
          <w:tcPr>
            <w:tcW w:w="656" w:type="dxa"/>
          </w:tcPr>
          <w:p>
            <w:pPr>
              <w:pStyle w:val="TableParagraph"/>
              <w:spacing w:line="259" w:lineRule="exact"/>
              <w:ind w:left="0" w:right="113"/>
              <w:jc w:val="right"/>
              <w:rPr>
                <w:sz w:val="21"/>
              </w:rPr>
            </w:pPr>
            <w:r>
              <w:rPr>
                <w:sz w:val="21"/>
              </w:rPr>
              <w:t>69）</w:t>
            </w:r>
          </w:p>
        </w:tc>
        <w:tc>
          <w:tcPr>
            <w:tcW w:w="2864" w:type="dxa"/>
          </w:tcPr>
          <w:p>
            <w:pPr>
              <w:pStyle w:val="TableParagraph"/>
              <w:spacing w:line="259" w:lineRule="exact"/>
              <w:rPr>
                <w:sz w:val="21"/>
              </w:rPr>
            </w:pPr>
            <w:r>
              <w:rPr>
                <w:sz w:val="21"/>
              </w:rPr>
              <w:t>肺淋巴管肌瘤病</w:t>
            </w:r>
          </w:p>
        </w:tc>
        <w:tc>
          <w:tcPr>
            <w:tcW w:w="572" w:type="dxa"/>
          </w:tcPr>
          <w:p>
            <w:pPr>
              <w:pStyle w:val="TableParagraph"/>
              <w:spacing w:line="259" w:lineRule="exact"/>
              <w:ind w:left="0" w:right="30"/>
              <w:jc w:val="right"/>
              <w:rPr>
                <w:sz w:val="21"/>
              </w:rPr>
            </w:pPr>
            <w:r>
              <w:rPr>
                <w:sz w:val="21"/>
              </w:rPr>
              <w:t>70）</w:t>
            </w:r>
          </w:p>
        </w:tc>
        <w:tc>
          <w:tcPr>
            <w:tcW w:w="3143" w:type="dxa"/>
          </w:tcPr>
          <w:p>
            <w:pPr>
              <w:pStyle w:val="TableParagraph"/>
              <w:spacing w:line="259" w:lineRule="exact"/>
              <w:ind w:left="106"/>
              <w:rPr>
                <w:sz w:val="21"/>
              </w:rPr>
            </w:pPr>
            <w:r>
              <w:rPr>
                <w:sz w:val="21"/>
              </w:rPr>
              <w:t>颅脑手术</w:t>
            </w:r>
          </w:p>
        </w:tc>
      </w:tr>
    </w:tbl>
    <w:p>
      <w:pPr>
        <w:pStyle w:val="BodyText"/>
        <w:spacing w:before="8"/>
        <w:rPr>
          <w:sz w:val="22"/>
        </w:rPr>
      </w:pPr>
    </w:p>
    <w:p>
      <w:pPr>
        <w:pStyle w:val="ListParagraph"/>
        <w:numPr>
          <w:ilvl w:val="2"/>
          <w:numId w:val="12"/>
        </w:numPr>
        <w:tabs>
          <w:tab w:pos="2399" w:val="left" w:leader="none"/>
        </w:tabs>
        <w:spacing w:line="340" w:lineRule="auto" w:before="36" w:after="0"/>
        <w:ind w:left="2189" w:right="417" w:hanging="211"/>
        <w:jc w:val="both"/>
        <w:rPr>
          <w:sz w:val="21"/>
        </w:rPr>
      </w:pPr>
      <w:r>
        <w:rPr>
          <w:spacing w:val="-3"/>
          <w:sz w:val="21"/>
        </w:rPr>
        <w:t>恶性肿瘤：指恶性细胞不受控制的进行性增长和扩散，浸润和破坏周围正常组织，可以经血管、淋巴管和体腔扩散转移到身体其它部位的疾病。经病理学检查结果明确诊断，临床诊断属于世界卫生组织《疾病和</w:t>
      </w:r>
      <w:r>
        <w:rPr>
          <w:spacing w:val="-11"/>
          <w:sz w:val="21"/>
        </w:rPr>
        <w:t>有关健康问题的国际统计分类》</w:t>
      </w:r>
      <w:r>
        <w:rPr>
          <w:sz w:val="21"/>
        </w:rPr>
        <w:t>（ICD-10）</w:t>
      </w:r>
      <w:r>
        <w:rPr>
          <w:spacing w:val="-3"/>
          <w:sz w:val="21"/>
        </w:rPr>
        <w:t>的恶性肿瘤范畴。</w:t>
      </w:r>
    </w:p>
    <w:p>
      <w:pPr>
        <w:pStyle w:val="BodyText"/>
        <w:rPr>
          <w:sz w:val="14"/>
        </w:rPr>
      </w:pPr>
    </w:p>
    <w:p>
      <w:pPr>
        <w:pStyle w:val="BodyText"/>
        <w:ind w:left="2189"/>
      </w:pPr>
      <w:r>
        <w:rPr/>
        <w:t>下列疾病不在保障范围内：</w:t>
      </w:r>
    </w:p>
    <w:p>
      <w:pPr>
        <w:pStyle w:val="BodyText"/>
        <w:spacing w:before="7"/>
        <w:rPr>
          <w:sz w:val="20"/>
        </w:rPr>
      </w:pPr>
    </w:p>
    <w:p>
      <w:pPr>
        <w:pStyle w:val="ListParagraph"/>
        <w:numPr>
          <w:ilvl w:val="3"/>
          <w:numId w:val="12"/>
        </w:numPr>
        <w:tabs>
          <w:tab w:pos="3273" w:val="left" w:leader="none"/>
        </w:tabs>
        <w:spacing w:line="240" w:lineRule="auto" w:before="0" w:after="0"/>
        <w:ind w:left="3272" w:right="0" w:hanging="394"/>
        <w:jc w:val="left"/>
        <w:rPr>
          <w:sz w:val="21"/>
        </w:rPr>
      </w:pPr>
      <w:r>
        <w:rPr>
          <w:spacing w:val="-2"/>
          <w:sz w:val="21"/>
        </w:rPr>
        <w:t>原位癌；</w:t>
      </w:r>
    </w:p>
    <w:p>
      <w:pPr>
        <w:pStyle w:val="BodyText"/>
        <w:spacing w:before="10"/>
        <w:rPr>
          <w:sz w:val="20"/>
        </w:rPr>
      </w:pPr>
    </w:p>
    <w:p>
      <w:pPr>
        <w:pStyle w:val="ListParagraph"/>
        <w:numPr>
          <w:ilvl w:val="3"/>
          <w:numId w:val="12"/>
        </w:numPr>
        <w:tabs>
          <w:tab w:pos="3273" w:val="left" w:leader="none"/>
        </w:tabs>
        <w:spacing w:line="240" w:lineRule="auto" w:before="0" w:after="0"/>
        <w:ind w:left="3272" w:right="0" w:hanging="394"/>
        <w:jc w:val="left"/>
        <w:rPr>
          <w:sz w:val="21"/>
        </w:rPr>
      </w:pPr>
      <w:r>
        <w:rPr>
          <w:spacing w:val="-2"/>
          <w:sz w:val="21"/>
        </w:rPr>
        <w:t>相当于</w:t>
      </w:r>
      <w:r>
        <w:rPr>
          <w:spacing w:val="-1"/>
          <w:sz w:val="21"/>
        </w:rPr>
        <w:t>Binet</w:t>
      </w:r>
      <w:r>
        <w:rPr>
          <w:spacing w:val="-3"/>
          <w:sz w:val="21"/>
        </w:rPr>
        <w:t>分期方案</w:t>
      </w:r>
      <w:r>
        <w:rPr>
          <w:sz w:val="21"/>
        </w:rPr>
        <w:t>A</w:t>
      </w:r>
      <w:r>
        <w:rPr>
          <w:spacing w:val="-3"/>
          <w:sz w:val="21"/>
        </w:rPr>
        <w:t>期程度的慢性淋巴细胞白血病；</w:t>
      </w:r>
    </w:p>
    <w:p>
      <w:pPr>
        <w:pStyle w:val="BodyText"/>
        <w:spacing w:before="7"/>
        <w:rPr>
          <w:sz w:val="20"/>
        </w:rPr>
      </w:pPr>
    </w:p>
    <w:p>
      <w:pPr>
        <w:pStyle w:val="ListParagraph"/>
        <w:numPr>
          <w:ilvl w:val="3"/>
          <w:numId w:val="12"/>
        </w:numPr>
        <w:tabs>
          <w:tab w:pos="3273" w:val="left" w:leader="none"/>
        </w:tabs>
        <w:spacing w:line="240" w:lineRule="auto" w:before="1" w:after="0"/>
        <w:ind w:left="3272" w:right="0" w:hanging="394"/>
        <w:jc w:val="left"/>
        <w:rPr>
          <w:sz w:val="21"/>
        </w:rPr>
      </w:pPr>
      <w:r>
        <w:rPr>
          <w:spacing w:val="-1"/>
          <w:sz w:val="21"/>
        </w:rPr>
        <w:t>相当于</w:t>
      </w:r>
      <w:r>
        <w:rPr>
          <w:sz w:val="21"/>
        </w:rPr>
        <w:t>Ann</w:t>
      </w:r>
      <w:r>
        <w:rPr>
          <w:spacing w:val="20"/>
          <w:sz w:val="21"/>
        </w:rPr>
        <w:t> </w:t>
      </w:r>
      <w:r>
        <w:rPr>
          <w:sz w:val="21"/>
        </w:rPr>
        <w:t>Arbor</w:t>
      </w:r>
      <w:r>
        <w:rPr>
          <w:spacing w:val="-3"/>
          <w:sz w:val="21"/>
        </w:rPr>
        <w:t>分期方案</w:t>
      </w:r>
      <w:r>
        <w:rPr>
          <w:sz w:val="21"/>
        </w:rPr>
        <w:t>I</w:t>
      </w:r>
      <w:r>
        <w:rPr>
          <w:spacing w:val="-3"/>
          <w:sz w:val="21"/>
        </w:rPr>
        <w:t>期程度的何杰金氏病；</w:t>
      </w:r>
    </w:p>
    <w:p>
      <w:pPr>
        <w:pStyle w:val="BodyText"/>
        <w:spacing w:before="10"/>
        <w:rPr>
          <w:sz w:val="20"/>
        </w:rPr>
      </w:pPr>
    </w:p>
    <w:p>
      <w:pPr>
        <w:pStyle w:val="ListParagraph"/>
        <w:numPr>
          <w:ilvl w:val="3"/>
          <w:numId w:val="12"/>
        </w:numPr>
        <w:tabs>
          <w:tab w:pos="3273" w:val="left" w:leader="none"/>
        </w:tabs>
        <w:spacing w:line="240" w:lineRule="auto" w:before="0" w:after="0"/>
        <w:ind w:left="3272" w:right="0" w:hanging="394"/>
        <w:jc w:val="left"/>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BodyText"/>
        <w:spacing w:before="7"/>
        <w:rPr>
          <w:sz w:val="20"/>
        </w:rPr>
      </w:pPr>
    </w:p>
    <w:p>
      <w:pPr>
        <w:pStyle w:val="ListParagraph"/>
        <w:numPr>
          <w:ilvl w:val="3"/>
          <w:numId w:val="12"/>
        </w:numPr>
        <w:tabs>
          <w:tab w:pos="3273" w:val="left" w:leader="none"/>
        </w:tabs>
        <w:spacing w:line="240" w:lineRule="auto" w:before="0" w:after="0"/>
        <w:ind w:left="3272" w:right="0" w:hanging="394"/>
        <w:jc w:val="left"/>
        <w:rPr>
          <w:sz w:val="21"/>
        </w:rPr>
      </w:pPr>
      <w:r>
        <w:rPr>
          <w:spacing w:val="-1"/>
          <w:position w:val="1"/>
          <w:sz w:val="21"/>
        </w:rPr>
        <w:t>TNM</w:t>
      </w:r>
      <w:r>
        <w:rPr>
          <w:spacing w:val="-2"/>
          <w:position w:val="1"/>
          <w:sz w:val="21"/>
        </w:rPr>
        <w:t>分期为</w:t>
      </w:r>
      <w:r>
        <w:rPr>
          <w:spacing w:val="-1"/>
          <w:position w:val="1"/>
          <w:sz w:val="21"/>
        </w:rPr>
        <w:t>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spacing w:val="-3"/>
          <w:position w:val="1"/>
          <w:sz w:val="21"/>
        </w:rPr>
        <w:t>期或更轻分期的前列腺癌；</w:t>
      </w:r>
    </w:p>
    <w:p>
      <w:pPr>
        <w:pStyle w:val="BodyText"/>
        <w:spacing w:before="10"/>
        <w:rPr>
          <w:sz w:val="20"/>
        </w:rPr>
      </w:pPr>
    </w:p>
    <w:p>
      <w:pPr>
        <w:pStyle w:val="ListParagraph"/>
        <w:numPr>
          <w:ilvl w:val="3"/>
          <w:numId w:val="12"/>
        </w:numPr>
        <w:tabs>
          <w:tab w:pos="3273" w:val="left" w:leader="none"/>
        </w:tabs>
        <w:spacing w:line="240" w:lineRule="auto" w:before="1" w:after="0"/>
        <w:ind w:left="3272" w:right="0" w:hanging="394"/>
        <w:jc w:val="left"/>
        <w:rPr>
          <w:sz w:val="21"/>
        </w:rPr>
      </w:pPr>
      <w:r>
        <w:rPr>
          <w:b/>
          <w:spacing w:val="-3"/>
          <w:sz w:val="21"/>
        </w:rPr>
        <w:t>感染艾滋病病毒或患艾滋病</w:t>
      </w:r>
      <w:r>
        <w:rPr>
          <w:sz w:val="21"/>
        </w:rPr>
        <w:t>（见7.19）</w:t>
      </w:r>
      <w:r>
        <w:rPr>
          <w:spacing w:val="-3"/>
          <w:sz w:val="21"/>
        </w:rPr>
        <w:t>期间所患恶性肿瘤。</w:t>
      </w:r>
    </w:p>
    <w:p>
      <w:pPr>
        <w:pStyle w:val="BodyText"/>
        <w:spacing w:before="8"/>
        <w:rPr>
          <w:sz w:val="20"/>
        </w:rPr>
      </w:pPr>
    </w:p>
    <w:p>
      <w:pPr>
        <w:pStyle w:val="ListParagraph"/>
        <w:numPr>
          <w:ilvl w:val="2"/>
          <w:numId w:val="12"/>
        </w:numPr>
        <w:tabs>
          <w:tab w:pos="2399" w:val="left" w:leader="none"/>
        </w:tabs>
        <w:spacing w:line="340" w:lineRule="auto" w:before="0" w:after="0"/>
        <w:ind w:left="2175" w:right="420" w:hanging="197"/>
        <w:jc w:val="both"/>
        <w:rPr>
          <w:sz w:val="21"/>
        </w:rPr>
      </w:pPr>
      <w:r>
        <w:rPr>
          <w:spacing w:val="-3"/>
          <w:sz w:val="21"/>
        </w:rPr>
        <w:t>急性心肌梗塞：指因冠状动脉阻塞导致的相应区域供血不足造成部分心肌坏死。须满足下列至少三项条件：</w:t>
      </w:r>
    </w:p>
    <w:p>
      <w:pPr>
        <w:pStyle w:val="BodyText"/>
        <w:spacing w:before="11"/>
        <w:rPr>
          <w:sz w:val="13"/>
        </w:rPr>
      </w:pPr>
    </w:p>
    <w:p>
      <w:pPr>
        <w:pStyle w:val="ListParagraph"/>
        <w:numPr>
          <w:ilvl w:val="3"/>
          <w:numId w:val="12"/>
        </w:numPr>
        <w:tabs>
          <w:tab w:pos="3273" w:val="left" w:leader="none"/>
        </w:tabs>
        <w:spacing w:line="240" w:lineRule="auto" w:before="1" w:after="0"/>
        <w:ind w:left="3272" w:right="0" w:hanging="394"/>
        <w:jc w:val="left"/>
        <w:rPr>
          <w:sz w:val="21"/>
        </w:rPr>
      </w:pPr>
      <w:r>
        <w:rPr>
          <w:spacing w:val="-3"/>
          <w:sz w:val="21"/>
        </w:rPr>
        <w:t>典型临床表现，例如急性胸痛等；</w:t>
      </w:r>
    </w:p>
    <w:p>
      <w:pPr>
        <w:pStyle w:val="BodyText"/>
        <w:spacing w:before="10"/>
        <w:rPr>
          <w:sz w:val="20"/>
        </w:rPr>
      </w:pPr>
    </w:p>
    <w:p>
      <w:pPr>
        <w:pStyle w:val="ListParagraph"/>
        <w:numPr>
          <w:ilvl w:val="3"/>
          <w:numId w:val="12"/>
        </w:numPr>
        <w:tabs>
          <w:tab w:pos="3273" w:val="left" w:leader="none"/>
        </w:tabs>
        <w:spacing w:line="240" w:lineRule="auto" w:before="0" w:after="0"/>
        <w:ind w:left="3272" w:right="0" w:hanging="394"/>
        <w:jc w:val="left"/>
        <w:rPr>
          <w:sz w:val="21"/>
        </w:rPr>
      </w:pPr>
      <w:r>
        <w:rPr>
          <w:spacing w:val="-3"/>
          <w:sz w:val="21"/>
        </w:rPr>
        <w:t>新近的心电图改变提示急性心肌梗塞；</w:t>
      </w:r>
    </w:p>
    <w:p>
      <w:pPr>
        <w:pStyle w:val="BodyText"/>
        <w:spacing w:before="7"/>
        <w:rPr>
          <w:sz w:val="20"/>
        </w:rPr>
      </w:pPr>
    </w:p>
    <w:p>
      <w:pPr>
        <w:pStyle w:val="ListParagraph"/>
        <w:numPr>
          <w:ilvl w:val="3"/>
          <w:numId w:val="12"/>
        </w:numPr>
        <w:tabs>
          <w:tab w:pos="3273" w:val="left" w:leader="none"/>
        </w:tabs>
        <w:spacing w:line="340" w:lineRule="auto" w:before="0" w:after="0"/>
        <w:ind w:left="3272" w:right="398" w:hanging="394"/>
        <w:jc w:val="left"/>
        <w:rPr>
          <w:sz w:val="21"/>
        </w:rPr>
      </w:pPr>
      <w:r>
        <w:rPr>
          <w:spacing w:val="-4"/>
          <w:sz w:val="21"/>
        </w:rPr>
        <w:t>心肌酶或肌钙蛋白有诊断意义的升高，或呈符合急性心肌梗</w:t>
      </w:r>
      <w:r>
        <w:rPr>
          <w:spacing w:val="-3"/>
          <w:sz w:val="21"/>
        </w:rPr>
        <w:t>塞的动态性变化；</w:t>
      </w:r>
    </w:p>
    <w:p>
      <w:pPr>
        <w:pStyle w:val="BodyText"/>
        <w:spacing w:before="11"/>
        <w:rPr>
          <w:sz w:val="13"/>
        </w:rPr>
      </w:pPr>
    </w:p>
    <w:p>
      <w:pPr>
        <w:pStyle w:val="ListParagraph"/>
        <w:numPr>
          <w:ilvl w:val="3"/>
          <w:numId w:val="12"/>
        </w:numPr>
        <w:tabs>
          <w:tab w:pos="3273" w:val="left" w:leader="none"/>
        </w:tabs>
        <w:spacing w:line="240" w:lineRule="auto" w:before="0" w:after="0"/>
        <w:ind w:left="3272" w:right="0" w:hanging="394"/>
        <w:jc w:val="left"/>
        <w:rPr>
          <w:sz w:val="21"/>
        </w:rPr>
      </w:pPr>
      <w:r>
        <w:rPr>
          <w:spacing w:val="-1"/>
          <w:sz w:val="21"/>
        </w:rPr>
        <w:t>发病90</w:t>
      </w:r>
      <w:r>
        <w:rPr>
          <w:spacing w:val="-4"/>
          <w:sz w:val="21"/>
        </w:rPr>
        <w:t>天后，经检查证实左心室功能降低，如左心室射血分</w:t>
      </w:r>
    </w:p>
    <w:p>
      <w:pPr>
        <w:spacing w:after="0" w:line="240" w:lineRule="auto"/>
        <w:jc w:val="left"/>
        <w:rPr>
          <w:sz w:val="21"/>
        </w:rPr>
        <w:sectPr>
          <w:pgSz w:w="11910" w:h="16840"/>
          <w:pgMar w:header="0" w:footer="925" w:top="1120" w:bottom="1200" w:left="1680" w:right="1100"/>
        </w:sectPr>
      </w:pPr>
    </w:p>
    <w:p>
      <w:pPr>
        <w:pStyle w:val="BodyText"/>
        <w:spacing w:before="20"/>
        <w:ind w:left="3272"/>
      </w:pPr>
      <w:r>
        <w:rPr/>
        <w:t>数低于50%。</w:t>
      </w:r>
    </w:p>
    <w:p>
      <w:pPr>
        <w:pStyle w:val="BodyText"/>
        <w:spacing w:before="10"/>
        <w:rPr>
          <w:sz w:val="20"/>
        </w:rPr>
      </w:pPr>
    </w:p>
    <w:p>
      <w:pPr>
        <w:pStyle w:val="ListParagraph"/>
        <w:numPr>
          <w:ilvl w:val="2"/>
          <w:numId w:val="12"/>
        </w:numPr>
        <w:tabs>
          <w:tab w:pos="2398" w:val="left" w:leader="none"/>
          <w:tab w:pos="2399" w:val="left" w:leader="none"/>
        </w:tabs>
        <w:spacing w:line="340" w:lineRule="auto" w:before="0" w:after="0"/>
        <w:ind w:left="2175" w:right="110" w:hanging="197"/>
        <w:jc w:val="left"/>
        <w:rPr>
          <w:sz w:val="21"/>
        </w:rPr>
      </w:pPr>
      <w:r>
        <w:rPr>
          <w:spacing w:val="-9"/>
          <w:sz w:val="21"/>
        </w:rPr>
        <w:t>脑中风后遗症：指因脑血管的突发病变引起脑血管出血、栓塞或梗塞， 并导致神经系统永久性的功能障碍。神经系统永久性的功能障碍，指疾</w:t>
      </w:r>
      <w:r>
        <w:rPr>
          <w:spacing w:val="-2"/>
          <w:sz w:val="21"/>
        </w:rPr>
        <w:t>病确诊</w:t>
      </w:r>
      <w:r>
        <w:rPr>
          <w:spacing w:val="-1"/>
          <w:sz w:val="21"/>
        </w:rPr>
        <w:t>180</w:t>
      </w:r>
      <w:r>
        <w:rPr>
          <w:spacing w:val="-3"/>
          <w:sz w:val="21"/>
        </w:rPr>
        <w:t>天后，仍遗留下列一种或一种以上障碍：</w:t>
      </w:r>
    </w:p>
    <w:p>
      <w:pPr>
        <w:pStyle w:val="BodyText"/>
        <w:spacing w:before="10"/>
        <w:rPr>
          <w:sz w:val="13"/>
        </w:rPr>
      </w:pPr>
    </w:p>
    <w:p>
      <w:pPr>
        <w:pStyle w:val="ListParagraph"/>
        <w:numPr>
          <w:ilvl w:val="3"/>
          <w:numId w:val="12"/>
        </w:numPr>
        <w:tabs>
          <w:tab w:pos="3273" w:val="left" w:leader="none"/>
        </w:tabs>
        <w:spacing w:line="240" w:lineRule="auto" w:before="1" w:after="0"/>
        <w:ind w:left="3272" w:right="0" w:hanging="394"/>
        <w:jc w:val="left"/>
        <w:rPr>
          <w:sz w:val="21"/>
        </w:rPr>
      </w:pPr>
      <w:r>
        <w:rPr>
          <w:spacing w:val="-3"/>
          <w:w w:val="100"/>
          <w:sz w:val="21"/>
        </w:rPr>
        <w:t>一肢或一肢以上</w:t>
      </w:r>
      <w:r>
        <w:rPr>
          <w:b/>
          <w:spacing w:val="-1"/>
          <w:w w:val="100"/>
          <w:sz w:val="21"/>
        </w:rPr>
        <w:t>肢体机能完全丧失</w:t>
      </w:r>
      <w:r>
        <w:rPr>
          <w:spacing w:val="-3"/>
          <w:w w:val="100"/>
          <w:sz w:val="21"/>
        </w:rPr>
        <w:t>（</w:t>
      </w:r>
      <w:r>
        <w:rPr>
          <w:w w:val="100"/>
          <w:sz w:val="21"/>
        </w:rPr>
        <w:t>见7.</w:t>
      </w:r>
      <w:r>
        <w:rPr>
          <w:spacing w:val="-3"/>
          <w:w w:val="100"/>
          <w:sz w:val="21"/>
        </w:rPr>
        <w:t>2</w:t>
      </w:r>
      <w:r>
        <w:rPr>
          <w:w w:val="100"/>
          <w:sz w:val="21"/>
        </w:rPr>
        <w:t>0</w:t>
      </w:r>
      <w:r>
        <w:rPr>
          <w:spacing w:val="-106"/>
          <w:w w:val="100"/>
          <w:sz w:val="21"/>
        </w:rPr>
        <w:t>）；</w:t>
      </w:r>
    </w:p>
    <w:p>
      <w:pPr>
        <w:pStyle w:val="BodyText"/>
        <w:spacing w:before="10"/>
        <w:rPr>
          <w:sz w:val="20"/>
        </w:rPr>
      </w:pPr>
    </w:p>
    <w:p>
      <w:pPr>
        <w:pStyle w:val="ListParagraph"/>
        <w:numPr>
          <w:ilvl w:val="3"/>
          <w:numId w:val="12"/>
        </w:numPr>
        <w:tabs>
          <w:tab w:pos="3273" w:val="left" w:leader="none"/>
        </w:tabs>
        <w:spacing w:line="240" w:lineRule="auto" w:before="0" w:after="0"/>
        <w:ind w:left="3272" w:right="0" w:hanging="394"/>
        <w:jc w:val="left"/>
        <w:rPr>
          <w:sz w:val="21"/>
        </w:rPr>
      </w:pPr>
      <w:r>
        <w:rPr>
          <w:b/>
          <w:spacing w:val="-2"/>
          <w:w w:val="100"/>
          <w:sz w:val="21"/>
        </w:rPr>
        <w:t>语言能力或咀嚼吞咽能力完全丧失</w:t>
      </w:r>
      <w:r>
        <w:rPr>
          <w:spacing w:val="-3"/>
          <w:w w:val="100"/>
          <w:sz w:val="21"/>
        </w:rPr>
        <w:t>（</w:t>
      </w:r>
      <w:r>
        <w:rPr>
          <w:w w:val="100"/>
          <w:sz w:val="21"/>
        </w:rPr>
        <w:t>见7.</w:t>
      </w:r>
      <w:r>
        <w:rPr>
          <w:spacing w:val="-3"/>
          <w:w w:val="100"/>
          <w:sz w:val="21"/>
        </w:rPr>
        <w:t>2</w:t>
      </w:r>
      <w:r>
        <w:rPr>
          <w:w w:val="100"/>
          <w:sz w:val="21"/>
        </w:rPr>
        <w:t>1</w:t>
      </w:r>
      <w:r>
        <w:rPr>
          <w:spacing w:val="-106"/>
          <w:w w:val="100"/>
          <w:sz w:val="21"/>
        </w:rPr>
        <w:t>）；</w:t>
      </w:r>
    </w:p>
    <w:p>
      <w:pPr>
        <w:pStyle w:val="BodyText"/>
        <w:spacing w:before="7"/>
        <w:rPr>
          <w:sz w:val="20"/>
        </w:rPr>
      </w:pPr>
    </w:p>
    <w:p>
      <w:pPr>
        <w:pStyle w:val="ListParagraph"/>
        <w:numPr>
          <w:ilvl w:val="3"/>
          <w:numId w:val="12"/>
        </w:numPr>
        <w:tabs>
          <w:tab w:pos="3273" w:val="left" w:leader="none"/>
        </w:tabs>
        <w:spacing w:line="340" w:lineRule="auto" w:before="0" w:after="0"/>
        <w:ind w:left="3272" w:right="218" w:hanging="394"/>
        <w:jc w:val="left"/>
        <w:rPr>
          <w:sz w:val="21"/>
        </w:rPr>
      </w:pPr>
      <w:r>
        <w:rPr>
          <w:spacing w:val="-4"/>
          <w:sz w:val="21"/>
        </w:rPr>
        <w:t>自主生活能力完全丧失，无法独立完成六项基本日常生活活</w:t>
      </w:r>
      <w:r>
        <w:rPr>
          <w:spacing w:val="-3"/>
          <w:sz w:val="21"/>
        </w:rPr>
        <w:t>动中的三项或三项以上。</w:t>
      </w:r>
    </w:p>
    <w:p>
      <w:pPr>
        <w:pStyle w:val="BodyText"/>
        <w:spacing w:before="11"/>
        <w:rPr>
          <w:sz w:val="13"/>
        </w:rPr>
      </w:pPr>
    </w:p>
    <w:p>
      <w:pPr>
        <w:pStyle w:val="ListParagraph"/>
        <w:numPr>
          <w:ilvl w:val="2"/>
          <w:numId w:val="12"/>
        </w:numPr>
        <w:tabs>
          <w:tab w:pos="2399" w:val="left" w:leader="none"/>
        </w:tabs>
        <w:spacing w:line="340" w:lineRule="auto" w:before="0" w:after="0"/>
        <w:ind w:left="2175" w:right="240" w:hanging="197"/>
        <w:jc w:val="both"/>
        <w:rPr>
          <w:sz w:val="21"/>
        </w:rPr>
      </w:pPr>
      <w:r>
        <w:rPr>
          <w:spacing w:val="-3"/>
          <w:sz w:val="21"/>
        </w:rPr>
        <w:t>重大器官移植术或造血干细胞移植术：重大器官移植术，指因相应器官功能衰竭，已经实施了肾脏、肝脏、心脏或肺脏的异体移植手术。造血干细胞移植术，指因造血功能损害或造血系统恶性肿瘤，已经实施了造血干细胞</w:t>
      </w:r>
      <w:r>
        <w:rPr>
          <w:sz w:val="21"/>
        </w:rPr>
        <w:t>（</w:t>
      </w:r>
      <w:r>
        <w:rPr>
          <w:spacing w:val="-3"/>
          <w:sz w:val="21"/>
        </w:rPr>
        <w:t>包括骨髓造血干细胞、外周血造血干细胞和脐血造血干细胞）的异体移植手术。</w:t>
      </w:r>
    </w:p>
    <w:p>
      <w:pPr>
        <w:pStyle w:val="BodyText"/>
        <w:rPr>
          <w:sz w:val="14"/>
        </w:rPr>
      </w:pPr>
    </w:p>
    <w:p>
      <w:pPr>
        <w:pStyle w:val="ListParagraph"/>
        <w:numPr>
          <w:ilvl w:val="2"/>
          <w:numId w:val="12"/>
        </w:numPr>
        <w:tabs>
          <w:tab w:pos="2398" w:val="left" w:leader="none"/>
          <w:tab w:pos="2399" w:val="left" w:leader="none"/>
        </w:tabs>
        <w:spacing w:line="340" w:lineRule="auto" w:before="1" w:after="0"/>
        <w:ind w:left="2175" w:right="112" w:hanging="197"/>
        <w:jc w:val="left"/>
        <w:rPr>
          <w:sz w:val="21"/>
        </w:rPr>
      </w:pPr>
      <w:r>
        <w:rPr>
          <w:spacing w:val="-16"/>
          <w:sz w:val="21"/>
        </w:rPr>
        <w:t>冠状动脉搭桥术</w:t>
      </w:r>
      <w:r>
        <w:rPr>
          <w:sz w:val="21"/>
        </w:rPr>
        <w:t>（</w:t>
      </w:r>
      <w:r>
        <w:rPr>
          <w:spacing w:val="-3"/>
          <w:sz w:val="21"/>
        </w:rPr>
        <w:t>或称冠状动脉旁路移植术</w:t>
      </w:r>
      <w:r>
        <w:rPr>
          <w:spacing w:val="-100"/>
          <w:sz w:val="21"/>
        </w:rPr>
        <w:t>）</w:t>
      </w:r>
      <w:r>
        <w:rPr>
          <w:spacing w:val="-12"/>
          <w:sz w:val="21"/>
        </w:rPr>
        <w:t>：指为治疗严重的冠心病， </w:t>
      </w:r>
      <w:r>
        <w:rPr>
          <w:spacing w:val="-6"/>
          <w:sz w:val="21"/>
        </w:rPr>
        <w:t>实际实施了开胸进行的冠状动脉血管旁路移植的手术。冠状动脉支架植</w:t>
      </w:r>
      <w:r>
        <w:rPr>
          <w:spacing w:val="-4"/>
          <w:sz w:val="21"/>
        </w:rPr>
        <w:t>入术、心导管球囊扩张术、激光射频技术及其它非开胸的介入手术、腔</w:t>
      </w:r>
      <w:r>
        <w:rPr>
          <w:spacing w:val="-3"/>
          <w:sz w:val="21"/>
        </w:rPr>
        <w:t>镜手术不在保障范围内。</w:t>
      </w:r>
    </w:p>
    <w:p>
      <w:pPr>
        <w:pStyle w:val="BodyText"/>
        <w:spacing w:before="1"/>
        <w:rPr>
          <w:sz w:val="14"/>
        </w:rPr>
      </w:pPr>
    </w:p>
    <w:p>
      <w:pPr>
        <w:pStyle w:val="ListParagraph"/>
        <w:numPr>
          <w:ilvl w:val="2"/>
          <w:numId w:val="12"/>
        </w:numPr>
        <w:tabs>
          <w:tab w:pos="2399" w:val="left" w:leader="none"/>
        </w:tabs>
        <w:spacing w:line="340" w:lineRule="auto" w:before="0" w:after="0"/>
        <w:ind w:left="2175" w:right="218" w:hanging="197"/>
        <w:jc w:val="both"/>
        <w:rPr>
          <w:sz w:val="21"/>
        </w:rPr>
      </w:pPr>
      <w:r>
        <w:rPr>
          <w:spacing w:val="-10"/>
          <w:sz w:val="21"/>
        </w:rPr>
        <w:t>终末期肾病</w:t>
      </w:r>
      <w:r>
        <w:rPr>
          <w:sz w:val="21"/>
        </w:rPr>
        <w:t>（</w:t>
      </w:r>
      <w:r>
        <w:rPr>
          <w:spacing w:val="-3"/>
          <w:sz w:val="21"/>
        </w:rPr>
        <w:t>或称慢性肾功能衰竭尿毒症期</w:t>
      </w:r>
      <w:r>
        <w:rPr>
          <w:spacing w:val="-75"/>
          <w:sz w:val="21"/>
        </w:rPr>
        <w:t>）</w:t>
      </w:r>
      <w:r>
        <w:rPr>
          <w:spacing w:val="-10"/>
          <w:sz w:val="21"/>
        </w:rPr>
        <w:t>：指双肾功能慢性不可逆</w:t>
      </w:r>
      <w:r>
        <w:rPr>
          <w:spacing w:val="-5"/>
          <w:sz w:val="21"/>
        </w:rPr>
        <w:t>性衰竭，达到尿毒症期，经诊断后已经进行了至少</w:t>
      </w:r>
      <w:r>
        <w:rPr>
          <w:sz w:val="21"/>
        </w:rPr>
        <w:t>90</w:t>
      </w:r>
      <w:r>
        <w:rPr>
          <w:spacing w:val="-3"/>
          <w:sz w:val="21"/>
        </w:rPr>
        <w:t>天的规律性透析治疗或实施了肾脏移植手术。</w:t>
      </w:r>
    </w:p>
    <w:p>
      <w:pPr>
        <w:pStyle w:val="BodyText"/>
        <w:spacing w:before="11"/>
        <w:rPr>
          <w:sz w:val="13"/>
        </w:rPr>
      </w:pPr>
    </w:p>
    <w:p>
      <w:pPr>
        <w:pStyle w:val="ListParagraph"/>
        <w:numPr>
          <w:ilvl w:val="2"/>
          <w:numId w:val="12"/>
        </w:numPr>
        <w:tabs>
          <w:tab w:pos="2398" w:val="left" w:leader="none"/>
          <w:tab w:pos="2399" w:val="left" w:leader="none"/>
        </w:tabs>
        <w:spacing w:line="340" w:lineRule="auto" w:before="0" w:after="0"/>
        <w:ind w:left="2175" w:right="224" w:hanging="197"/>
        <w:jc w:val="left"/>
        <w:rPr>
          <w:sz w:val="21"/>
        </w:rPr>
      </w:pPr>
      <w:r>
        <w:rPr>
          <w:sz w:val="21"/>
        </w:rPr>
        <w:t>多个肢体缺失:指因疾病或意外伤害导致两个或两个以上肢体自腕关</w:t>
      </w:r>
      <w:r>
        <w:rPr>
          <w:spacing w:val="-3"/>
          <w:sz w:val="21"/>
        </w:rPr>
        <w:t>节或踝关节近端</w:t>
      </w:r>
      <w:r>
        <w:rPr>
          <w:sz w:val="21"/>
        </w:rPr>
        <w:t>（</w:t>
      </w:r>
      <w:r>
        <w:rPr>
          <w:spacing w:val="-3"/>
          <w:sz w:val="21"/>
        </w:rPr>
        <w:t>靠近躯干端）以上完全性断离。</w:t>
      </w:r>
    </w:p>
    <w:p>
      <w:pPr>
        <w:pStyle w:val="BodyText"/>
        <w:spacing w:before="11"/>
        <w:rPr>
          <w:sz w:val="13"/>
        </w:rPr>
      </w:pPr>
    </w:p>
    <w:p>
      <w:pPr>
        <w:pStyle w:val="ListParagraph"/>
        <w:numPr>
          <w:ilvl w:val="2"/>
          <w:numId w:val="12"/>
        </w:numPr>
        <w:tabs>
          <w:tab w:pos="2398" w:val="left" w:leader="none"/>
          <w:tab w:pos="2399" w:val="left" w:leader="none"/>
        </w:tabs>
        <w:spacing w:line="340" w:lineRule="auto" w:before="0" w:after="0"/>
        <w:ind w:left="2175" w:right="112" w:hanging="197"/>
        <w:jc w:val="left"/>
        <w:rPr>
          <w:sz w:val="21"/>
        </w:rPr>
      </w:pPr>
      <w:r>
        <w:rPr>
          <w:spacing w:val="-11"/>
          <w:sz w:val="21"/>
        </w:rPr>
        <w:t>急性或亚急性重症肝炎：指因肝炎病毒感染引起肝脏组织弥漫性坏死， 导致急性肝功能衰竭，且经血清学或病毒学检查证实，并须满足下列全</w:t>
      </w:r>
      <w:r>
        <w:rPr>
          <w:spacing w:val="-7"/>
          <w:sz w:val="21"/>
        </w:rPr>
        <w:t>部条件：</w:t>
      </w:r>
    </w:p>
    <w:p>
      <w:pPr>
        <w:pStyle w:val="BodyText"/>
        <w:rPr>
          <w:sz w:val="14"/>
        </w:rPr>
      </w:pPr>
    </w:p>
    <w:p>
      <w:pPr>
        <w:pStyle w:val="ListParagraph"/>
        <w:numPr>
          <w:ilvl w:val="3"/>
          <w:numId w:val="12"/>
        </w:numPr>
        <w:tabs>
          <w:tab w:pos="3273" w:val="left" w:leader="none"/>
        </w:tabs>
        <w:spacing w:line="240" w:lineRule="auto" w:before="1" w:after="0"/>
        <w:ind w:left="3272" w:right="0" w:hanging="394"/>
        <w:jc w:val="left"/>
        <w:rPr>
          <w:sz w:val="21"/>
        </w:rPr>
      </w:pPr>
      <w:r>
        <w:rPr>
          <w:spacing w:val="-3"/>
          <w:sz w:val="21"/>
        </w:rPr>
        <w:t>重度黄疸或黄疸迅速加重；</w:t>
      </w:r>
    </w:p>
    <w:p>
      <w:pPr>
        <w:pStyle w:val="BodyText"/>
        <w:spacing w:before="9"/>
        <w:rPr>
          <w:sz w:val="20"/>
        </w:rPr>
      </w:pPr>
    </w:p>
    <w:p>
      <w:pPr>
        <w:pStyle w:val="ListParagraph"/>
        <w:numPr>
          <w:ilvl w:val="3"/>
          <w:numId w:val="12"/>
        </w:numPr>
        <w:tabs>
          <w:tab w:pos="3273" w:val="left" w:leader="none"/>
        </w:tabs>
        <w:spacing w:line="240" w:lineRule="auto" w:before="0" w:after="0"/>
        <w:ind w:left="3272" w:right="0" w:hanging="394"/>
        <w:jc w:val="left"/>
        <w:rPr>
          <w:sz w:val="21"/>
        </w:rPr>
      </w:pPr>
      <w:r>
        <w:rPr>
          <w:spacing w:val="-1"/>
          <w:sz w:val="21"/>
        </w:rPr>
        <w:t>肝性脑病；</w:t>
      </w:r>
    </w:p>
    <w:p>
      <w:pPr>
        <w:pStyle w:val="BodyText"/>
        <w:spacing w:before="10"/>
        <w:rPr>
          <w:sz w:val="20"/>
        </w:rPr>
      </w:pPr>
    </w:p>
    <w:p>
      <w:pPr>
        <w:pStyle w:val="ListParagraph"/>
        <w:numPr>
          <w:ilvl w:val="3"/>
          <w:numId w:val="12"/>
        </w:numPr>
        <w:tabs>
          <w:tab w:pos="3273" w:val="left" w:leader="none"/>
        </w:tabs>
        <w:spacing w:line="240" w:lineRule="auto" w:before="0" w:after="0"/>
        <w:ind w:left="3272" w:right="0" w:hanging="394"/>
        <w:jc w:val="left"/>
        <w:rPr>
          <w:sz w:val="21"/>
        </w:rPr>
      </w:pPr>
      <w:r>
        <w:rPr>
          <w:sz w:val="21"/>
        </w:rPr>
        <w:t>B</w:t>
      </w:r>
      <w:r>
        <w:rPr>
          <w:spacing w:val="-3"/>
          <w:sz w:val="21"/>
        </w:rPr>
        <w:t>超或其它影像学检查显示肝脏体积急速萎缩；</w:t>
      </w:r>
    </w:p>
    <w:p>
      <w:pPr>
        <w:pStyle w:val="BodyText"/>
        <w:spacing w:before="7"/>
        <w:rPr>
          <w:sz w:val="20"/>
        </w:rPr>
      </w:pPr>
    </w:p>
    <w:p>
      <w:pPr>
        <w:pStyle w:val="ListParagraph"/>
        <w:numPr>
          <w:ilvl w:val="3"/>
          <w:numId w:val="12"/>
        </w:numPr>
        <w:tabs>
          <w:tab w:pos="3273" w:val="left" w:leader="none"/>
        </w:tabs>
        <w:spacing w:line="240" w:lineRule="auto" w:before="0" w:after="0"/>
        <w:ind w:left="3272" w:right="0" w:hanging="394"/>
        <w:jc w:val="left"/>
        <w:rPr>
          <w:sz w:val="21"/>
        </w:rPr>
      </w:pPr>
      <w:r>
        <w:rPr>
          <w:spacing w:val="-3"/>
          <w:sz w:val="21"/>
        </w:rPr>
        <w:t>肝功能指标进行性恶化。</w:t>
      </w:r>
    </w:p>
    <w:p>
      <w:pPr>
        <w:pStyle w:val="BodyText"/>
        <w:spacing w:before="9"/>
        <w:rPr>
          <w:sz w:val="20"/>
        </w:rPr>
      </w:pPr>
    </w:p>
    <w:p>
      <w:pPr>
        <w:pStyle w:val="ListParagraph"/>
        <w:numPr>
          <w:ilvl w:val="2"/>
          <w:numId w:val="12"/>
        </w:numPr>
        <w:tabs>
          <w:tab w:pos="2398" w:val="left" w:leader="none"/>
          <w:tab w:pos="2399" w:val="left" w:leader="none"/>
        </w:tabs>
        <w:spacing w:line="338" w:lineRule="auto" w:before="1" w:after="0"/>
        <w:ind w:left="2175" w:right="219" w:hanging="197"/>
        <w:jc w:val="left"/>
        <w:rPr>
          <w:sz w:val="21"/>
        </w:rPr>
      </w:pPr>
      <w:r>
        <w:rPr>
          <w:spacing w:val="-3"/>
          <w:sz w:val="21"/>
        </w:rPr>
        <w:t>良性脑肿瘤：指脑的良性肿瘤，已经引起颅内压增高，临床表现为视神经乳头水肿、精神症状、癫痫及运动感觉障碍等，并危及生命。须由</w:t>
      </w:r>
    </w:p>
    <w:p>
      <w:pPr>
        <w:spacing w:after="0" w:line="338" w:lineRule="auto"/>
        <w:jc w:val="left"/>
        <w:rPr>
          <w:sz w:val="21"/>
        </w:rPr>
        <w:sectPr>
          <w:pgSz w:w="11910" w:h="16840"/>
          <w:pgMar w:header="0" w:footer="925" w:top="1120" w:bottom="1200" w:left="1680" w:right="1280"/>
        </w:sectPr>
      </w:pPr>
    </w:p>
    <w:p>
      <w:pPr>
        <w:pStyle w:val="BodyText"/>
        <w:spacing w:line="340" w:lineRule="auto" w:before="20"/>
        <w:ind w:left="2175" w:right="115"/>
      </w:pPr>
      <w:r>
        <w:rPr>
          <w:spacing w:val="-8"/>
          <w:w w:val="100"/>
        </w:rPr>
        <w:t>头颅断层扫描</w:t>
      </w:r>
      <w:r>
        <w:rPr>
          <w:spacing w:val="-1"/>
          <w:w w:val="100"/>
        </w:rPr>
        <w:t>（</w:t>
      </w:r>
      <w:r>
        <w:rPr>
          <w:w w:val="100"/>
        </w:rPr>
        <w:t>C</w:t>
      </w:r>
      <w:r>
        <w:rPr>
          <w:spacing w:val="-3"/>
          <w:w w:val="100"/>
        </w:rPr>
        <w:t>T</w:t>
      </w:r>
      <w:r>
        <w:rPr>
          <w:spacing w:val="-106"/>
          <w:w w:val="100"/>
        </w:rPr>
        <w:t>）</w:t>
      </w:r>
      <w:r>
        <w:rPr>
          <w:spacing w:val="-13"/>
          <w:w w:val="100"/>
        </w:rPr>
        <w:t>、核磁共振检查</w:t>
      </w:r>
      <w:r>
        <w:rPr>
          <w:spacing w:val="-1"/>
          <w:w w:val="100"/>
        </w:rPr>
        <w:t>（</w:t>
      </w:r>
      <w:r>
        <w:rPr>
          <w:w w:val="100"/>
        </w:rPr>
        <w:t>M</w:t>
      </w:r>
      <w:r>
        <w:rPr>
          <w:spacing w:val="-3"/>
          <w:w w:val="100"/>
        </w:rPr>
        <w:t>R</w:t>
      </w:r>
      <w:r>
        <w:rPr>
          <w:spacing w:val="-1"/>
          <w:w w:val="100"/>
        </w:rPr>
        <w:t>I</w:t>
      </w:r>
      <w:r>
        <w:rPr>
          <w:spacing w:val="-36"/>
          <w:w w:val="100"/>
        </w:rPr>
        <w:t>）</w:t>
      </w:r>
      <w:r>
        <w:rPr>
          <w:spacing w:val="-7"/>
          <w:w w:val="100"/>
        </w:rPr>
        <w:t>或正电子发射断层扫描</w:t>
      </w:r>
      <w:r>
        <w:rPr>
          <w:w w:val="100"/>
        </w:rPr>
        <w:t>（P</w:t>
      </w:r>
      <w:r>
        <w:rPr>
          <w:spacing w:val="-3"/>
          <w:w w:val="100"/>
        </w:rPr>
        <w:t>E</w:t>
      </w:r>
      <w:r>
        <w:rPr>
          <w:spacing w:val="-1"/>
          <w:w w:val="100"/>
        </w:rPr>
        <w:t>T</w:t>
      </w:r>
      <w:r>
        <w:rPr>
          <w:w w:val="100"/>
        </w:rPr>
        <w:t>）</w:t>
      </w:r>
      <w:r>
        <w:rPr>
          <w:spacing w:val="-3"/>
        </w:rPr>
        <w:t>等影像学检查证实，并须满足下列至少一项条件：</w:t>
      </w:r>
    </w:p>
    <w:p>
      <w:pPr>
        <w:pStyle w:val="BodyText"/>
        <w:spacing w:before="11"/>
        <w:rPr>
          <w:sz w:val="13"/>
        </w:rPr>
      </w:pPr>
    </w:p>
    <w:p>
      <w:pPr>
        <w:pStyle w:val="ListParagraph"/>
        <w:numPr>
          <w:ilvl w:val="3"/>
          <w:numId w:val="12"/>
        </w:numPr>
        <w:tabs>
          <w:tab w:pos="3239" w:val="left" w:leader="none"/>
        </w:tabs>
        <w:spacing w:line="240" w:lineRule="auto" w:before="0" w:after="0"/>
        <w:ind w:left="3238" w:right="0" w:hanging="360"/>
        <w:jc w:val="left"/>
        <w:rPr>
          <w:sz w:val="21"/>
        </w:rPr>
      </w:pPr>
      <w:r>
        <w:rPr>
          <w:spacing w:val="-3"/>
          <w:sz w:val="21"/>
        </w:rPr>
        <w:t>实际实施了开颅进行的脑肿瘤完全切除或部分切除的手术；</w:t>
      </w:r>
    </w:p>
    <w:p>
      <w:pPr>
        <w:pStyle w:val="BodyText"/>
        <w:spacing w:before="9"/>
        <w:rPr>
          <w:sz w:val="20"/>
        </w:rPr>
      </w:pPr>
    </w:p>
    <w:p>
      <w:pPr>
        <w:pStyle w:val="ListParagraph"/>
        <w:numPr>
          <w:ilvl w:val="3"/>
          <w:numId w:val="12"/>
        </w:numPr>
        <w:tabs>
          <w:tab w:pos="3239" w:val="left" w:leader="none"/>
        </w:tabs>
        <w:spacing w:line="240" w:lineRule="auto" w:before="1" w:after="0"/>
        <w:ind w:left="3238" w:right="0" w:hanging="360"/>
        <w:jc w:val="left"/>
        <w:rPr>
          <w:sz w:val="21"/>
        </w:rPr>
      </w:pPr>
      <w:r>
        <w:rPr>
          <w:spacing w:val="-3"/>
          <w:sz w:val="21"/>
        </w:rPr>
        <w:t>实际实施了对脑肿瘤进行的放射治疗。</w:t>
      </w:r>
    </w:p>
    <w:p>
      <w:pPr>
        <w:pStyle w:val="BodyText"/>
        <w:spacing w:before="8"/>
        <w:rPr>
          <w:sz w:val="20"/>
        </w:rPr>
      </w:pPr>
    </w:p>
    <w:p>
      <w:pPr>
        <w:pStyle w:val="BodyText"/>
        <w:ind w:left="2451"/>
      </w:pPr>
      <w:r>
        <w:rPr/>
        <w:t>脑垂体瘤、脑囊肿、脑血管性疾病不在保障范围内。</w:t>
      </w:r>
    </w:p>
    <w:p>
      <w:pPr>
        <w:pStyle w:val="BodyText"/>
        <w:spacing w:before="10"/>
        <w:rPr>
          <w:sz w:val="20"/>
        </w:rPr>
      </w:pPr>
    </w:p>
    <w:p>
      <w:pPr>
        <w:pStyle w:val="ListParagraph"/>
        <w:numPr>
          <w:ilvl w:val="2"/>
          <w:numId w:val="12"/>
        </w:numPr>
        <w:tabs>
          <w:tab w:pos="2399" w:val="left" w:leader="none"/>
        </w:tabs>
        <w:spacing w:line="338" w:lineRule="auto" w:before="0" w:after="0"/>
        <w:ind w:left="2398" w:right="221" w:hanging="420"/>
        <w:jc w:val="left"/>
        <w:rPr>
          <w:sz w:val="21"/>
        </w:rPr>
      </w:pPr>
      <w:r>
        <w:rPr>
          <w:spacing w:val="-3"/>
          <w:sz w:val="21"/>
        </w:rPr>
        <w:t>慢性肝功能衰竭失代偿期：指因慢性肝脏疾病导致肝功能衰竭。须满足下列全部条件：</w:t>
      </w:r>
    </w:p>
    <w:p>
      <w:pPr>
        <w:pStyle w:val="BodyText"/>
        <w:spacing w:before="2"/>
        <w:rPr>
          <w:sz w:val="14"/>
        </w:rPr>
      </w:pPr>
    </w:p>
    <w:p>
      <w:pPr>
        <w:pStyle w:val="ListParagraph"/>
        <w:numPr>
          <w:ilvl w:val="3"/>
          <w:numId w:val="12"/>
        </w:numPr>
        <w:tabs>
          <w:tab w:pos="3273" w:val="left" w:leader="none"/>
        </w:tabs>
        <w:spacing w:line="240" w:lineRule="auto" w:before="0" w:after="0"/>
        <w:ind w:left="2398" w:right="0" w:firstLine="480"/>
        <w:jc w:val="left"/>
        <w:rPr>
          <w:sz w:val="21"/>
        </w:rPr>
      </w:pPr>
      <w:r>
        <w:rPr>
          <w:spacing w:val="-2"/>
          <w:sz w:val="21"/>
        </w:rPr>
        <w:t>持续性黄疸；</w:t>
      </w:r>
    </w:p>
    <w:p>
      <w:pPr>
        <w:pStyle w:val="BodyText"/>
        <w:spacing w:before="7"/>
        <w:rPr>
          <w:sz w:val="20"/>
        </w:rPr>
      </w:pPr>
    </w:p>
    <w:p>
      <w:pPr>
        <w:pStyle w:val="ListParagraph"/>
        <w:numPr>
          <w:ilvl w:val="3"/>
          <w:numId w:val="12"/>
        </w:numPr>
        <w:tabs>
          <w:tab w:pos="3273" w:val="left" w:leader="none"/>
        </w:tabs>
        <w:spacing w:line="240" w:lineRule="auto" w:before="0" w:after="0"/>
        <w:ind w:left="2398" w:right="0" w:firstLine="480"/>
        <w:jc w:val="left"/>
        <w:rPr>
          <w:sz w:val="21"/>
        </w:rPr>
      </w:pPr>
      <w:r>
        <w:rPr>
          <w:sz w:val="21"/>
        </w:rPr>
        <w:t>腹水；</w:t>
      </w:r>
    </w:p>
    <w:p>
      <w:pPr>
        <w:pStyle w:val="BodyText"/>
        <w:spacing w:before="10"/>
        <w:rPr>
          <w:sz w:val="20"/>
        </w:rPr>
      </w:pPr>
    </w:p>
    <w:p>
      <w:pPr>
        <w:pStyle w:val="ListParagraph"/>
        <w:numPr>
          <w:ilvl w:val="3"/>
          <w:numId w:val="12"/>
        </w:numPr>
        <w:tabs>
          <w:tab w:pos="3273" w:val="left" w:leader="none"/>
        </w:tabs>
        <w:spacing w:line="240" w:lineRule="auto" w:before="0" w:after="0"/>
        <w:ind w:left="2398" w:right="0" w:firstLine="480"/>
        <w:jc w:val="left"/>
        <w:rPr>
          <w:sz w:val="21"/>
        </w:rPr>
      </w:pPr>
      <w:r>
        <w:rPr>
          <w:spacing w:val="-1"/>
          <w:sz w:val="21"/>
        </w:rPr>
        <w:t>肝性脑病；</w:t>
      </w:r>
    </w:p>
    <w:p>
      <w:pPr>
        <w:pStyle w:val="BodyText"/>
        <w:spacing w:before="7"/>
        <w:rPr>
          <w:sz w:val="20"/>
        </w:rPr>
      </w:pPr>
    </w:p>
    <w:p>
      <w:pPr>
        <w:pStyle w:val="ListParagraph"/>
        <w:numPr>
          <w:ilvl w:val="3"/>
          <w:numId w:val="12"/>
        </w:numPr>
        <w:tabs>
          <w:tab w:pos="3273" w:val="left" w:leader="none"/>
        </w:tabs>
        <w:spacing w:line="477" w:lineRule="auto" w:before="0" w:after="0"/>
        <w:ind w:left="2398" w:right="1046" w:firstLine="480"/>
        <w:jc w:val="left"/>
        <w:rPr>
          <w:sz w:val="21"/>
        </w:rPr>
      </w:pPr>
      <w:r>
        <w:rPr>
          <w:spacing w:val="-3"/>
          <w:sz w:val="21"/>
        </w:rPr>
        <w:t>充血性脾肿大伴脾功能亢进或食管胃底静脉曲张。因酗酒或药物滥用导致的肝功能衰竭不在保障范围内。</w:t>
      </w:r>
    </w:p>
    <w:p>
      <w:pPr>
        <w:pStyle w:val="ListParagraph"/>
        <w:numPr>
          <w:ilvl w:val="2"/>
          <w:numId w:val="12"/>
        </w:numPr>
        <w:tabs>
          <w:tab w:pos="2399" w:val="left" w:leader="none"/>
        </w:tabs>
        <w:spacing w:line="340" w:lineRule="auto" w:before="61" w:after="0"/>
        <w:ind w:left="2398" w:right="134" w:hanging="420"/>
        <w:jc w:val="left"/>
        <w:rPr>
          <w:sz w:val="21"/>
        </w:rPr>
      </w:pPr>
      <w:r>
        <w:rPr>
          <w:spacing w:val="-3"/>
          <w:sz w:val="21"/>
        </w:rPr>
        <w:t>脑炎后遗症或脑膜炎后遗症：指因患脑炎或脑膜炎导致的神经系统永久性的功能障碍。神经系统永久性的功能障碍，指疾病确诊</w:t>
      </w:r>
      <w:r>
        <w:rPr>
          <w:sz w:val="21"/>
        </w:rPr>
        <w:t>180</w:t>
      </w:r>
      <w:r>
        <w:rPr>
          <w:spacing w:val="-2"/>
          <w:sz w:val="21"/>
        </w:rPr>
        <w:t>天后， </w:t>
      </w:r>
      <w:r>
        <w:rPr>
          <w:spacing w:val="-3"/>
          <w:sz w:val="21"/>
        </w:rPr>
        <w:t>仍遗留下列一种或一种以上障碍：</w:t>
      </w:r>
    </w:p>
    <w:p>
      <w:pPr>
        <w:pStyle w:val="BodyText"/>
        <w:rPr>
          <w:sz w:val="14"/>
        </w:rPr>
      </w:pPr>
    </w:p>
    <w:p>
      <w:pPr>
        <w:pStyle w:val="ListParagraph"/>
        <w:numPr>
          <w:ilvl w:val="3"/>
          <w:numId w:val="12"/>
        </w:numPr>
        <w:tabs>
          <w:tab w:pos="3239" w:val="left" w:leader="none"/>
        </w:tabs>
        <w:spacing w:line="240" w:lineRule="auto" w:before="0" w:after="0"/>
        <w:ind w:left="3238" w:right="0" w:hanging="360"/>
        <w:jc w:val="left"/>
        <w:rPr>
          <w:sz w:val="21"/>
        </w:rPr>
      </w:pPr>
      <w:r>
        <w:rPr>
          <w:spacing w:val="-3"/>
          <w:sz w:val="21"/>
        </w:rPr>
        <w:t>一肢或一肢以上肢体机能完全丧失；</w:t>
      </w:r>
    </w:p>
    <w:p>
      <w:pPr>
        <w:pStyle w:val="BodyText"/>
        <w:spacing w:before="8"/>
        <w:rPr>
          <w:sz w:val="20"/>
        </w:rPr>
      </w:pPr>
    </w:p>
    <w:p>
      <w:pPr>
        <w:pStyle w:val="ListParagraph"/>
        <w:numPr>
          <w:ilvl w:val="3"/>
          <w:numId w:val="12"/>
        </w:numPr>
        <w:tabs>
          <w:tab w:pos="3239" w:val="left" w:leader="none"/>
        </w:tabs>
        <w:spacing w:line="240" w:lineRule="auto" w:before="0" w:after="0"/>
        <w:ind w:left="3238" w:right="0" w:hanging="360"/>
        <w:jc w:val="left"/>
        <w:rPr>
          <w:sz w:val="21"/>
        </w:rPr>
      </w:pPr>
      <w:r>
        <w:rPr>
          <w:spacing w:val="-3"/>
          <w:sz w:val="21"/>
        </w:rPr>
        <w:t>语言能力或咀嚼吞咽能力完全丧失；</w:t>
      </w:r>
    </w:p>
    <w:p>
      <w:pPr>
        <w:pStyle w:val="BodyText"/>
        <w:spacing w:before="10"/>
        <w:rPr>
          <w:sz w:val="20"/>
        </w:rPr>
      </w:pPr>
    </w:p>
    <w:p>
      <w:pPr>
        <w:pStyle w:val="ListParagraph"/>
        <w:numPr>
          <w:ilvl w:val="3"/>
          <w:numId w:val="12"/>
        </w:numPr>
        <w:tabs>
          <w:tab w:pos="3239" w:val="left" w:leader="none"/>
        </w:tabs>
        <w:spacing w:line="338" w:lineRule="auto" w:before="0" w:after="0"/>
        <w:ind w:left="3238" w:right="240" w:hanging="360"/>
        <w:jc w:val="left"/>
        <w:rPr>
          <w:sz w:val="21"/>
        </w:rPr>
      </w:pPr>
      <w:r>
        <w:rPr>
          <w:spacing w:val="-3"/>
          <w:sz w:val="21"/>
        </w:rPr>
        <w:t>自主生活能力完全丧失，无法独立完成六项基本日常生活活动中的三项或三项以上。</w:t>
      </w:r>
    </w:p>
    <w:p>
      <w:pPr>
        <w:pStyle w:val="BodyText"/>
        <w:spacing w:before="2"/>
        <w:rPr>
          <w:sz w:val="14"/>
        </w:rPr>
      </w:pPr>
    </w:p>
    <w:p>
      <w:pPr>
        <w:pStyle w:val="ListParagraph"/>
        <w:numPr>
          <w:ilvl w:val="2"/>
          <w:numId w:val="12"/>
        </w:numPr>
        <w:tabs>
          <w:tab w:pos="2399" w:val="left" w:leader="none"/>
        </w:tabs>
        <w:spacing w:line="340" w:lineRule="auto" w:before="0" w:after="0"/>
        <w:ind w:left="2398" w:right="218" w:hanging="420"/>
        <w:jc w:val="both"/>
        <w:rPr>
          <w:sz w:val="21"/>
        </w:rPr>
      </w:pPr>
      <w:r>
        <w:rPr>
          <w:spacing w:val="-11"/>
          <w:sz w:val="21"/>
        </w:rPr>
        <w:t>深度昏迷：指因疾病或意外伤害导致意识丧失,对外界刺激和体内需求</w:t>
      </w:r>
      <w:r>
        <w:rPr>
          <w:spacing w:val="-6"/>
          <w:sz w:val="21"/>
        </w:rPr>
        <w:t>均无反应,昏迷程度按照格拉斯哥昏迷分级</w:t>
      </w:r>
      <w:r>
        <w:rPr>
          <w:sz w:val="21"/>
        </w:rPr>
        <w:t>（Glasgow</w:t>
      </w:r>
      <w:r>
        <w:rPr>
          <w:spacing w:val="-34"/>
          <w:sz w:val="21"/>
        </w:rPr>
        <w:t> </w:t>
      </w:r>
      <w:r>
        <w:rPr>
          <w:sz w:val="21"/>
        </w:rPr>
        <w:t>coma</w:t>
      </w:r>
      <w:r>
        <w:rPr>
          <w:spacing w:val="-32"/>
          <w:sz w:val="21"/>
        </w:rPr>
        <w:t> </w:t>
      </w:r>
      <w:r>
        <w:rPr>
          <w:sz w:val="21"/>
        </w:rPr>
        <w:t>scale）结果为5分或5</w:t>
      </w:r>
      <w:r>
        <w:rPr>
          <w:spacing w:val="-3"/>
          <w:sz w:val="21"/>
        </w:rPr>
        <w:t>分以下，且已经持续使用呼吸机及其它生命维持系统</w:t>
      </w:r>
      <w:r>
        <w:rPr>
          <w:sz w:val="21"/>
        </w:rPr>
        <w:t>96小</w:t>
      </w:r>
      <w:r>
        <w:rPr>
          <w:spacing w:val="-1"/>
          <w:sz w:val="21"/>
        </w:rPr>
        <w:t>时以上。</w:t>
      </w:r>
    </w:p>
    <w:p>
      <w:pPr>
        <w:pStyle w:val="BodyText"/>
        <w:rPr>
          <w:sz w:val="14"/>
        </w:rPr>
      </w:pPr>
    </w:p>
    <w:p>
      <w:pPr>
        <w:pStyle w:val="BodyText"/>
        <w:ind w:left="2398"/>
      </w:pPr>
      <w:r>
        <w:rPr/>
        <w:t>因酗酒或药物滥用导致的深度昏迷不在保障范围内。</w:t>
      </w:r>
    </w:p>
    <w:p>
      <w:pPr>
        <w:pStyle w:val="BodyText"/>
        <w:spacing w:before="8"/>
        <w:rPr>
          <w:sz w:val="20"/>
        </w:rPr>
      </w:pPr>
    </w:p>
    <w:p>
      <w:pPr>
        <w:pStyle w:val="ListParagraph"/>
        <w:numPr>
          <w:ilvl w:val="2"/>
          <w:numId w:val="12"/>
        </w:numPr>
        <w:tabs>
          <w:tab w:pos="2399" w:val="left" w:leader="none"/>
        </w:tabs>
        <w:spacing w:line="240" w:lineRule="auto" w:before="0" w:after="0"/>
        <w:ind w:left="2189" w:right="0" w:hanging="211"/>
        <w:jc w:val="left"/>
        <w:rPr>
          <w:sz w:val="21"/>
        </w:rPr>
      </w:pPr>
      <w:r>
        <w:rPr>
          <w:spacing w:val="-3"/>
          <w:sz w:val="21"/>
        </w:rPr>
        <w:t>双耳失聪：指因疾病或意外伤害导致双耳听力永久不可逆性丧失，在</w:t>
      </w:r>
    </w:p>
    <w:p>
      <w:pPr>
        <w:pStyle w:val="BodyText"/>
        <w:spacing w:line="338" w:lineRule="auto" w:before="116"/>
        <w:ind w:left="2398" w:right="142"/>
      </w:pPr>
      <w:r>
        <w:rPr/>
        <w:t>500赫兹、1000赫兹和2000赫兹语音频率下，平均听阈大于90分贝，且经纯音听力测试、声导抗检测或听觉诱发电位检测等证实。</w:t>
      </w:r>
    </w:p>
    <w:p>
      <w:pPr>
        <w:pStyle w:val="BodyText"/>
        <w:spacing w:before="3"/>
        <w:rPr>
          <w:sz w:val="14"/>
        </w:rPr>
      </w:pPr>
    </w:p>
    <w:p>
      <w:pPr>
        <w:pStyle w:val="BodyText"/>
        <w:ind w:left="2432"/>
      </w:pPr>
      <w:r>
        <w:rPr/>
        <w:t>被保险人申请理赔时年龄必须在3周岁以上。</w:t>
      </w:r>
    </w:p>
    <w:p>
      <w:pPr>
        <w:pStyle w:val="BodyText"/>
        <w:spacing w:before="7"/>
        <w:rPr>
          <w:sz w:val="20"/>
        </w:rPr>
      </w:pPr>
    </w:p>
    <w:p>
      <w:pPr>
        <w:pStyle w:val="ListParagraph"/>
        <w:numPr>
          <w:ilvl w:val="2"/>
          <w:numId w:val="12"/>
        </w:numPr>
        <w:tabs>
          <w:tab w:pos="2399" w:val="left" w:leader="none"/>
        </w:tabs>
        <w:spacing w:line="240" w:lineRule="auto" w:before="1" w:after="0"/>
        <w:ind w:left="2189" w:right="0" w:hanging="211"/>
        <w:jc w:val="left"/>
        <w:rPr>
          <w:sz w:val="21"/>
        </w:rPr>
      </w:pPr>
      <w:r>
        <w:rPr>
          <w:spacing w:val="-3"/>
          <w:sz w:val="21"/>
        </w:rPr>
        <w:t>双目失明：指因疾病或意外伤害导致双眼视力永久不可逆性丧失，双</w:t>
      </w:r>
    </w:p>
    <w:p>
      <w:pPr>
        <w:spacing w:after="0" w:line="240" w:lineRule="auto"/>
        <w:jc w:val="left"/>
        <w:rPr>
          <w:sz w:val="21"/>
        </w:rPr>
        <w:sectPr>
          <w:pgSz w:w="11910" w:h="16840"/>
          <w:pgMar w:header="0" w:footer="925" w:top="1120" w:bottom="1200" w:left="1680" w:right="1280"/>
        </w:sectPr>
      </w:pPr>
    </w:p>
    <w:p>
      <w:pPr>
        <w:pStyle w:val="BodyText"/>
        <w:spacing w:before="20"/>
        <w:ind w:left="2398"/>
      </w:pPr>
      <w:r>
        <w:rPr/>
        <w:t>眼中较好眼须满足下列至少一项条件：</w:t>
      </w:r>
    </w:p>
    <w:p>
      <w:pPr>
        <w:pStyle w:val="BodyText"/>
        <w:spacing w:before="10"/>
        <w:rPr>
          <w:sz w:val="20"/>
        </w:rPr>
      </w:pPr>
    </w:p>
    <w:p>
      <w:pPr>
        <w:pStyle w:val="ListParagraph"/>
        <w:numPr>
          <w:ilvl w:val="3"/>
          <w:numId w:val="12"/>
        </w:numPr>
        <w:tabs>
          <w:tab w:pos="3239" w:val="left" w:leader="none"/>
        </w:tabs>
        <w:spacing w:line="240" w:lineRule="auto" w:before="0" w:after="0"/>
        <w:ind w:left="3238" w:right="0" w:hanging="360"/>
        <w:jc w:val="left"/>
        <w:rPr>
          <w:sz w:val="21"/>
        </w:rPr>
      </w:pPr>
      <w:r>
        <w:rPr>
          <w:spacing w:val="-3"/>
          <w:sz w:val="21"/>
        </w:rPr>
        <w:t>眼球缺失或摘除；</w:t>
      </w:r>
    </w:p>
    <w:p>
      <w:pPr>
        <w:pStyle w:val="BodyText"/>
        <w:spacing w:before="7"/>
        <w:rPr>
          <w:sz w:val="20"/>
        </w:rPr>
      </w:pPr>
    </w:p>
    <w:p>
      <w:pPr>
        <w:pStyle w:val="ListParagraph"/>
        <w:numPr>
          <w:ilvl w:val="3"/>
          <w:numId w:val="12"/>
        </w:numPr>
        <w:tabs>
          <w:tab w:pos="3239" w:val="left" w:leader="none"/>
        </w:tabs>
        <w:spacing w:line="340" w:lineRule="auto" w:before="0" w:after="0"/>
        <w:ind w:left="3238" w:right="218" w:hanging="360"/>
        <w:jc w:val="left"/>
        <w:rPr>
          <w:sz w:val="21"/>
        </w:rPr>
      </w:pPr>
      <w:r>
        <w:rPr>
          <w:sz w:val="21"/>
        </w:rPr>
        <w:t>矫正视力低于0.02（</w:t>
      </w:r>
      <w:r>
        <w:rPr>
          <w:spacing w:val="-3"/>
          <w:sz w:val="21"/>
        </w:rPr>
        <w:t>采用国际标准视力表，如果使用其它视</w:t>
      </w:r>
      <w:r>
        <w:rPr>
          <w:spacing w:val="-3"/>
          <w:w w:val="100"/>
          <w:sz w:val="21"/>
        </w:rPr>
        <w:t>力表应进行</w:t>
      </w:r>
      <w:r>
        <w:rPr>
          <w:spacing w:val="-2"/>
          <w:sz w:val="21"/>
        </w:rPr>
        <w:t> </w:t>
      </w:r>
      <w:r>
        <w:rPr>
          <w:spacing w:val="-2"/>
          <w:w w:val="100"/>
          <w:sz w:val="21"/>
        </w:rPr>
        <w:t>换算</w:t>
      </w:r>
      <w:r>
        <w:rPr>
          <w:spacing w:val="-106"/>
          <w:w w:val="100"/>
          <w:sz w:val="21"/>
        </w:rPr>
        <w:t>）</w:t>
      </w:r>
      <w:r>
        <w:rPr>
          <w:w w:val="100"/>
          <w:sz w:val="21"/>
        </w:rPr>
        <w:t>；</w:t>
      </w:r>
    </w:p>
    <w:p>
      <w:pPr>
        <w:pStyle w:val="BodyText"/>
        <w:spacing w:before="11"/>
        <w:rPr>
          <w:sz w:val="13"/>
        </w:rPr>
      </w:pPr>
    </w:p>
    <w:p>
      <w:pPr>
        <w:pStyle w:val="ListParagraph"/>
        <w:numPr>
          <w:ilvl w:val="3"/>
          <w:numId w:val="12"/>
        </w:numPr>
        <w:tabs>
          <w:tab w:pos="3239" w:val="left" w:leader="none"/>
        </w:tabs>
        <w:spacing w:line="240" w:lineRule="auto" w:before="0" w:after="0"/>
        <w:ind w:left="3238" w:right="0" w:hanging="360"/>
        <w:jc w:val="left"/>
        <w:rPr>
          <w:sz w:val="21"/>
        </w:rPr>
      </w:pPr>
      <w:r>
        <w:rPr>
          <w:spacing w:val="-3"/>
          <w:sz w:val="21"/>
        </w:rPr>
        <w:t>视野半径小于</w:t>
      </w:r>
      <w:r>
        <w:rPr>
          <w:sz w:val="21"/>
        </w:rPr>
        <w:t>5度。</w:t>
      </w:r>
    </w:p>
    <w:p>
      <w:pPr>
        <w:pStyle w:val="BodyText"/>
        <w:spacing w:before="10"/>
        <w:rPr>
          <w:sz w:val="20"/>
        </w:rPr>
      </w:pPr>
    </w:p>
    <w:p>
      <w:pPr>
        <w:pStyle w:val="BodyText"/>
        <w:ind w:left="2398"/>
      </w:pPr>
      <w:r>
        <w:rPr/>
        <w:t>被保险人申请理赔时年龄必须在3周岁以上。</w:t>
      </w:r>
    </w:p>
    <w:p>
      <w:pPr>
        <w:pStyle w:val="BodyText"/>
        <w:spacing w:before="7"/>
        <w:rPr>
          <w:sz w:val="20"/>
        </w:rPr>
      </w:pPr>
    </w:p>
    <w:p>
      <w:pPr>
        <w:pStyle w:val="ListParagraph"/>
        <w:numPr>
          <w:ilvl w:val="2"/>
          <w:numId w:val="12"/>
        </w:numPr>
        <w:tabs>
          <w:tab w:pos="2399" w:val="left" w:leader="none"/>
        </w:tabs>
        <w:spacing w:line="340" w:lineRule="auto" w:before="0" w:after="0"/>
        <w:ind w:left="2398" w:right="113" w:hanging="420"/>
        <w:jc w:val="both"/>
        <w:rPr>
          <w:sz w:val="21"/>
        </w:rPr>
      </w:pPr>
      <w:r>
        <w:rPr>
          <w:spacing w:val="-3"/>
          <w:sz w:val="21"/>
        </w:rPr>
        <w:t>瘫痪：指因疾病或意外伤害导致两肢或两肢以上肢体机能永久完全丧失。肢体机能永久完全丧失，指疾病确诊</w:t>
      </w:r>
      <w:r>
        <w:rPr>
          <w:sz w:val="21"/>
        </w:rPr>
        <w:t>180</w:t>
      </w:r>
      <w:r>
        <w:rPr>
          <w:spacing w:val="-3"/>
          <w:sz w:val="21"/>
        </w:rPr>
        <w:t>天后或意外伤害发生</w:t>
      </w:r>
      <w:r>
        <w:rPr>
          <w:sz w:val="21"/>
        </w:rPr>
        <w:t>180 </w:t>
      </w:r>
      <w:r>
        <w:rPr>
          <w:spacing w:val="-10"/>
          <w:sz w:val="21"/>
        </w:rPr>
        <w:t>天后，每肢三大关节中的两大关节仍然完全僵硬，或不能随意识活动。</w:t>
      </w:r>
    </w:p>
    <w:p>
      <w:pPr>
        <w:pStyle w:val="BodyText"/>
        <w:rPr>
          <w:sz w:val="14"/>
        </w:rPr>
      </w:pPr>
    </w:p>
    <w:p>
      <w:pPr>
        <w:pStyle w:val="ListParagraph"/>
        <w:numPr>
          <w:ilvl w:val="2"/>
          <w:numId w:val="12"/>
        </w:numPr>
        <w:tabs>
          <w:tab w:pos="2399" w:val="left" w:leader="none"/>
        </w:tabs>
        <w:spacing w:line="338" w:lineRule="auto" w:before="1" w:after="0"/>
        <w:ind w:left="2398" w:right="221" w:hanging="420"/>
        <w:jc w:val="left"/>
        <w:rPr>
          <w:sz w:val="21"/>
        </w:rPr>
      </w:pPr>
      <w:r>
        <w:rPr>
          <w:spacing w:val="-3"/>
          <w:sz w:val="21"/>
        </w:rPr>
        <w:t>心脏瓣膜手术：指为治疗心脏瓣膜疾病，实际实施了开胸进行的心脏瓣膜置换或修复的手术。</w:t>
      </w:r>
    </w:p>
    <w:p>
      <w:pPr>
        <w:pStyle w:val="BodyText"/>
        <w:spacing w:before="3"/>
        <w:rPr>
          <w:sz w:val="14"/>
        </w:rPr>
      </w:pPr>
    </w:p>
    <w:p>
      <w:pPr>
        <w:pStyle w:val="ListParagraph"/>
        <w:numPr>
          <w:ilvl w:val="2"/>
          <w:numId w:val="12"/>
        </w:numPr>
        <w:tabs>
          <w:tab w:pos="2399" w:val="left" w:leader="none"/>
        </w:tabs>
        <w:spacing w:line="340" w:lineRule="auto" w:before="0" w:after="0"/>
        <w:ind w:left="2398" w:right="115" w:hanging="420"/>
        <w:jc w:val="left"/>
        <w:rPr>
          <w:sz w:val="21"/>
        </w:rPr>
      </w:pPr>
      <w:r>
        <w:rPr>
          <w:spacing w:val="-3"/>
          <w:sz w:val="21"/>
        </w:rPr>
        <w:t>严重阿尔茨海默病：指因大脑进行性、不可逆性改变导致智能严重衰退或丧失，临床表现为明显的认知能力障碍、行为异常和社交能力减</w:t>
      </w:r>
      <w:r>
        <w:rPr>
          <w:spacing w:val="-8"/>
          <w:w w:val="100"/>
          <w:sz w:val="21"/>
        </w:rPr>
        <w:t>退，其日常生活必须持续受到他人监护。须由头颅断层扫描</w:t>
      </w:r>
      <w:r>
        <w:rPr>
          <w:spacing w:val="-1"/>
          <w:w w:val="100"/>
          <w:sz w:val="21"/>
        </w:rPr>
        <w:t>（</w:t>
      </w:r>
      <w:r>
        <w:rPr>
          <w:w w:val="100"/>
          <w:sz w:val="21"/>
        </w:rPr>
        <w:t>C</w:t>
      </w:r>
      <w:r>
        <w:rPr>
          <w:spacing w:val="-3"/>
          <w:w w:val="100"/>
          <w:sz w:val="21"/>
        </w:rPr>
        <w:t>T</w:t>
      </w:r>
      <w:r>
        <w:rPr>
          <w:spacing w:val="-108"/>
          <w:w w:val="100"/>
          <w:sz w:val="21"/>
        </w:rPr>
        <w:t>）</w:t>
      </w:r>
      <w:r>
        <w:rPr>
          <w:spacing w:val="-10"/>
          <w:w w:val="100"/>
          <w:sz w:val="21"/>
        </w:rPr>
        <w:t>、核</w:t>
      </w:r>
      <w:r>
        <w:rPr>
          <w:spacing w:val="-10"/>
          <w:sz w:val="21"/>
        </w:rPr>
        <w:t>磁共振检查</w:t>
      </w:r>
      <w:r>
        <w:rPr>
          <w:spacing w:val="-6"/>
          <w:sz w:val="21"/>
        </w:rPr>
        <w:t>（MRI）</w:t>
      </w:r>
      <w:r>
        <w:rPr>
          <w:spacing w:val="-5"/>
          <w:sz w:val="21"/>
        </w:rPr>
        <w:t>或正电子发射断层扫描</w:t>
      </w:r>
      <w:r>
        <w:rPr>
          <w:spacing w:val="-6"/>
          <w:sz w:val="21"/>
        </w:rPr>
        <w:t>（PET）</w:t>
      </w:r>
      <w:r>
        <w:rPr>
          <w:spacing w:val="-3"/>
          <w:sz w:val="21"/>
        </w:rPr>
        <w:t>等影像学检查证实， 且自主生活能力完全丧失，无法独立完成六项基本日常生活活动中的三项或三项以上。</w:t>
      </w:r>
    </w:p>
    <w:p>
      <w:pPr>
        <w:pStyle w:val="BodyText"/>
        <w:rPr>
          <w:sz w:val="14"/>
        </w:rPr>
      </w:pPr>
    </w:p>
    <w:p>
      <w:pPr>
        <w:pStyle w:val="BodyText"/>
        <w:ind w:left="2398"/>
      </w:pPr>
      <w:r>
        <w:rPr/>
        <w:t>神经官能症和精神疾病不在保障范围内。</w:t>
      </w:r>
    </w:p>
    <w:p>
      <w:pPr>
        <w:pStyle w:val="BodyText"/>
        <w:spacing w:before="7"/>
        <w:rPr>
          <w:sz w:val="20"/>
        </w:rPr>
      </w:pPr>
    </w:p>
    <w:p>
      <w:pPr>
        <w:pStyle w:val="ListParagraph"/>
        <w:numPr>
          <w:ilvl w:val="2"/>
          <w:numId w:val="12"/>
        </w:numPr>
        <w:tabs>
          <w:tab w:pos="2399" w:val="left" w:leader="none"/>
        </w:tabs>
        <w:spacing w:line="340" w:lineRule="auto" w:before="1" w:after="0"/>
        <w:ind w:left="2398" w:right="215" w:hanging="420"/>
        <w:jc w:val="left"/>
        <w:rPr>
          <w:sz w:val="21"/>
        </w:rPr>
      </w:pPr>
      <w:r>
        <w:rPr>
          <w:spacing w:val="-3"/>
          <w:sz w:val="21"/>
        </w:rPr>
        <w:t>严重脑损伤：指因头部遭受机械性外力，引起脑重要部位损伤，导致</w:t>
      </w:r>
      <w:r>
        <w:rPr>
          <w:spacing w:val="-7"/>
          <w:w w:val="100"/>
          <w:sz w:val="21"/>
        </w:rPr>
        <w:t>神经系统永久性的功能障碍。须由头颅断层扫描</w:t>
      </w:r>
      <w:r>
        <w:rPr>
          <w:spacing w:val="-1"/>
          <w:w w:val="100"/>
          <w:sz w:val="21"/>
        </w:rPr>
        <w:t>（</w:t>
      </w:r>
      <w:r>
        <w:rPr>
          <w:spacing w:val="-3"/>
          <w:w w:val="100"/>
          <w:sz w:val="21"/>
        </w:rPr>
        <w:t>C</w:t>
      </w:r>
      <w:r>
        <w:rPr>
          <w:w w:val="100"/>
          <w:sz w:val="21"/>
        </w:rPr>
        <w:t>T</w:t>
      </w:r>
      <w:r>
        <w:rPr>
          <w:spacing w:val="-106"/>
          <w:w w:val="100"/>
          <w:sz w:val="21"/>
        </w:rPr>
        <w:t>）</w:t>
      </w:r>
      <w:r>
        <w:rPr>
          <w:spacing w:val="-6"/>
          <w:w w:val="100"/>
          <w:sz w:val="21"/>
        </w:rPr>
        <w:t>、核磁共振检查</w:t>
      </w:r>
    </w:p>
    <w:p>
      <w:pPr>
        <w:pStyle w:val="BodyText"/>
        <w:spacing w:line="340" w:lineRule="auto" w:before="26"/>
        <w:ind w:left="2398" w:right="218"/>
        <w:jc w:val="both"/>
      </w:pPr>
      <w:r>
        <w:rPr/>
        <w:t>（MRI）</w:t>
      </w:r>
      <w:r>
        <w:rPr>
          <w:spacing w:val="-2"/>
        </w:rPr>
        <w:t>或正电子发射断层扫描</w:t>
      </w:r>
      <w:r>
        <w:rPr/>
        <w:t>（PET）</w:t>
      </w:r>
      <w:r>
        <w:rPr>
          <w:spacing w:val="-2"/>
        </w:rPr>
        <w:t>等影像学检查证实。神经系统</w:t>
      </w:r>
      <w:r>
        <w:rPr>
          <w:spacing w:val="-8"/>
        </w:rPr>
        <w:t>永久性的功能障碍，指脑损伤</w:t>
      </w:r>
      <w:r>
        <w:rPr/>
        <w:t>180</w:t>
      </w:r>
      <w:r>
        <w:rPr>
          <w:spacing w:val="-8"/>
        </w:rPr>
        <w:t>天后，仍遗留下列一种或一种以上障碍：</w:t>
      </w:r>
    </w:p>
    <w:p>
      <w:pPr>
        <w:pStyle w:val="BodyText"/>
        <w:spacing w:before="1"/>
        <w:rPr>
          <w:sz w:val="14"/>
        </w:rPr>
      </w:pPr>
    </w:p>
    <w:p>
      <w:pPr>
        <w:pStyle w:val="ListParagraph"/>
        <w:numPr>
          <w:ilvl w:val="3"/>
          <w:numId w:val="12"/>
        </w:numPr>
        <w:tabs>
          <w:tab w:pos="3273" w:val="left" w:leader="none"/>
        </w:tabs>
        <w:spacing w:line="240" w:lineRule="auto" w:before="0" w:after="0"/>
        <w:ind w:left="3272" w:right="0" w:hanging="394"/>
        <w:jc w:val="left"/>
        <w:rPr>
          <w:sz w:val="21"/>
        </w:rPr>
      </w:pPr>
      <w:r>
        <w:rPr>
          <w:spacing w:val="-3"/>
          <w:sz w:val="21"/>
        </w:rPr>
        <w:t>一肢或一肢以上肢体机能完全丧失；</w:t>
      </w:r>
    </w:p>
    <w:p>
      <w:pPr>
        <w:pStyle w:val="BodyText"/>
        <w:spacing w:before="8"/>
        <w:rPr>
          <w:sz w:val="20"/>
        </w:rPr>
      </w:pPr>
    </w:p>
    <w:p>
      <w:pPr>
        <w:pStyle w:val="ListParagraph"/>
        <w:numPr>
          <w:ilvl w:val="3"/>
          <w:numId w:val="12"/>
        </w:numPr>
        <w:tabs>
          <w:tab w:pos="3273" w:val="left" w:leader="none"/>
        </w:tabs>
        <w:spacing w:line="240" w:lineRule="auto" w:before="0" w:after="0"/>
        <w:ind w:left="3272" w:right="0" w:hanging="394"/>
        <w:jc w:val="left"/>
        <w:rPr>
          <w:sz w:val="21"/>
        </w:rPr>
      </w:pPr>
      <w:r>
        <w:rPr>
          <w:spacing w:val="-3"/>
          <w:sz w:val="21"/>
        </w:rPr>
        <w:t>语言能力或咀嚼吞咽能力完全丧失；</w:t>
      </w:r>
    </w:p>
    <w:p>
      <w:pPr>
        <w:pStyle w:val="BodyText"/>
        <w:spacing w:before="11"/>
        <w:rPr>
          <w:sz w:val="20"/>
        </w:rPr>
      </w:pPr>
    </w:p>
    <w:p>
      <w:pPr>
        <w:pStyle w:val="ListParagraph"/>
        <w:numPr>
          <w:ilvl w:val="3"/>
          <w:numId w:val="12"/>
        </w:numPr>
        <w:tabs>
          <w:tab w:pos="3273" w:val="left" w:leader="none"/>
        </w:tabs>
        <w:spacing w:line="338" w:lineRule="auto" w:before="0" w:after="0"/>
        <w:ind w:left="3272" w:right="218" w:hanging="394"/>
        <w:jc w:val="left"/>
        <w:rPr>
          <w:sz w:val="21"/>
        </w:rPr>
      </w:pPr>
      <w:r>
        <w:rPr>
          <w:spacing w:val="-4"/>
          <w:sz w:val="21"/>
        </w:rPr>
        <w:t>自主生活能力完全丧失，无法独立完成六项基本日常生活活</w:t>
      </w:r>
      <w:r>
        <w:rPr>
          <w:spacing w:val="-3"/>
          <w:sz w:val="21"/>
        </w:rPr>
        <w:t>动中的三项或三项以上。</w:t>
      </w:r>
    </w:p>
    <w:p>
      <w:pPr>
        <w:pStyle w:val="BodyText"/>
        <w:spacing w:before="2"/>
        <w:rPr>
          <w:sz w:val="14"/>
        </w:rPr>
      </w:pPr>
    </w:p>
    <w:p>
      <w:pPr>
        <w:pStyle w:val="ListParagraph"/>
        <w:numPr>
          <w:ilvl w:val="2"/>
          <w:numId w:val="12"/>
        </w:numPr>
        <w:tabs>
          <w:tab w:pos="2399" w:val="left" w:leader="none"/>
        </w:tabs>
        <w:spacing w:line="338" w:lineRule="auto" w:before="1" w:after="0"/>
        <w:ind w:left="2398" w:right="221" w:hanging="420"/>
        <w:jc w:val="left"/>
        <w:rPr>
          <w:sz w:val="21"/>
        </w:rPr>
      </w:pPr>
      <w:r>
        <w:rPr>
          <w:spacing w:val="-3"/>
          <w:sz w:val="21"/>
        </w:rPr>
        <w:t>严重帕金森病：是一种中枢神经系统的退行性疾病，临床表现为震颤麻痹、共济失调等。须满足下列全部条件：</w:t>
      </w:r>
    </w:p>
    <w:p>
      <w:pPr>
        <w:pStyle w:val="BodyText"/>
        <w:spacing w:before="3"/>
        <w:rPr>
          <w:sz w:val="14"/>
        </w:rPr>
      </w:pPr>
    </w:p>
    <w:p>
      <w:pPr>
        <w:pStyle w:val="ListParagraph"/>
        <w:numPr>
          <w:ilvl w:val="3"/>
          <w:numId w:val="12"/>
        </w:numPr>
        <w:tabs>
          <w:tab w:pos="3272" w:val="left" w:leader="none"/>
          <w:tab w:pos="3273" w:val="left" w:leader="none"/>
        </w:tabs>
        <w:spacing w:line="240" w:lineRule="auto" w:before="0" w:after="0"/>
        <w:ind w:left="3272" w:right="0" w:hanging="454"/>
        <w:jc w:val="left"/>
        <w:rPr>
          <w:sz w:val="21"/>
        </w:rPr>
      </w:pPr>
      <w:r>
        <w:rPr>
          <w:spacing w:val="-3"/>
          <w:sz w:val="21"/>
        </w:rPr>
        <w:t>药物治疗无法控制病情；</w:t>
      </w:r>
    </w:p>
    <w:p>
      <w:pPr>
        <w:pStyle w:val="BodyText"/>
        <w:spacing w:before="8"/>
        <w:rPr>
          <w:sz w:val="20"/>
        </w:rPr>
      </w:pPr>
    </w:p>
    <w:p>
      <w:pPr>
        <w:pStyle w:val="ListParagraph"/>
        <w:numPr>
          <w:ilvl w:val="3"/>
          <w:numId w:val="12"/>
        </w:numPr>
        <w:tabs>
          <w:tab w:pos="3272" w:val="left" w:leader="none"/>
          <w:tab w:pos="3273" w:val="left" w:leader="none"/>
        </w:tabs>
        <w:spacing w:line="240" w:lineRule="auto" w:before="0" w:after="0"/>
        <w:ind w:left="3272" w:right="0" w:hanging="454"/>
        <w:jc w:val="left"/>
        <w:rPr>
          <w:sz w:val="21"/>
        </w:rPr>
      </w:pPr>
      <w:r>
        <w:rPr>
          <w:spacing w:val="-4"/>
          <w:sz w:val="21"/>
        </w:rPr>
        <w:t>自主生活能力完全丧失，无法独立完成六项基本日常生活活</w:t>
      </w:r>
    </w:p>
    <w:p>
      <w:pPr>
        <w:spacing w:after="0" w:line="240" w:lineRule="auto"/>
        <w:jc w:val="left"/>
        <w:rPr>
          <w:sz w:val="21"/>
        </w:rPr>
        <w:sectPr>
          <w:pgSz w:w="11910" w:h="16840"/>
          <w:pgMar w:header="0" w:footer="925" w:top="1120" w:bottom="1200" w:left="1680" w:right="1280"/>
        </w:sectPr>
      </w:pPr>
    </w:p>
    <w:p>
      <w:pPr>
        <w:pStyle w:val="BodyText"/>
        <w:spacing w:before="20"/>
        <w:ind w:left="3272"/>
      </w:pPr>
      <w:r>
        <w:rPr/>
        <w:t>动中的三项或三项以上；</w:t>
      </w:r>
    </w:p>
    <w:p>
      <w:pPr>
        <w:pStyle w:val="BodyText"/>
        <w:spacing w:before="10"/>
        <w:rPr>
          <w:sz w:val="20"/>
        </w:rPr>
      </w:pPr>
    </w:p>
    <w:p>
      <w:pPr>
        <w:pStyle w:val="BodyText"/>
        <w:ind w:left="2398"/>
      </w:pPr>
      <w:r>
        <w:rPr/>
        <w:t>继发性帕金森综合征不在保障范围内。</w:t>
      </w:r>
    </w:p>
    <w:p>
      <w:pPr>
        <w:pStyle w:val="BodyText"/>
        <w:spacing w:before="7"/>
        <w:rPr>
          <w:sz w:val="20"/>
        </w:rPr>
      </w:pPr>
    </w:p>
    <w:p>
      <w:pPr>
        <w:pStyle w:val="ListParagraph"/>
        <w:numPr>
          <w:ilvl w:val="2"/>
          <w:numId w:val="12"/>
        </w:numPr>
        <w:tabs>
          <w:tab w:pos="2399" w:val="left" w:leader="none"/>
        </w:tabs>
        <w:spacing w:line="340" w:lineRule="auto" w:before="0" w:after="0"/>
        <w:ind w:left="2398" w:right="221" w:hanging="420"/>
        <w:jc w:val="both"/>
        <w:rPr>
          <w:sz w:val="21"/>
        </w:rPr>
      </w:pPr>
      <w:r>
        <w:rPr>
          <w:spacing w:val="-3"/>
          <w:sz w:val="21"/>
        </w:rPr>
        <w:t>严重Ⅲ度烧伤：指烧伤程度为Ⅲ度，且Ⅲ度烧伤的面积达到全身体表</w:t>
      </w:r>
      <w:r>
        <w:rPr>
          <w:spacing w:val="-2"/>
          <w:sz w:val="21"/>
        </w:rPr>
        <w:t>面积的</w:t>
      </w:r>
      <w:r>
        <w:rPr>
          <w:spacing w:val="-1"/>
          <w:sz w:val="21"/>
        </w:rPr>
        <w:t>20％或</w:t>
      </w:r>
      <w:r>
        <w:rPr>
          <w:sz w:val="21"/>
        </w:rPr>
        <w:t>20</w:t>
      </w:r>
      <w:r>
        <w:rPr>
          <w:spacing w:val="-3"/>
          <w:sz w:val="21"/>
        </w:rPr>
        <w:t>％以上。体表面积根据《中国新九分法》计算。</w:t>
      </w:r>
    </w:p>
    <w:p>
      <w:pPr>
        <w:pStyle w:val="BodyText"/>
        <w:spacing w:before="11"/>
        <w:rPr>
          <w:sz w:val="13"/>
        </w:rPr>
      </w:pPr>
    </w:p>
    <w:p>
      <w:pPr>
        <w:pStyle w:val="ListParagraph"/>
        <w:numPr>
          <w:ilvl w:val="2"/>
          <w:numId w:val="12"/>
        </w:numPr>
        <w:tabs>
          <w:tab w:pos="2399" w:val="left" w:leader="none"/>
        </w:tabs>
        <w:spacing w:line="340" w:lineRule="auto" w:before="0" w:after="0"/>
        <w:ind w:left="2398" w:right="221" w:hanging="420"/>
        <w:jc w:val="both"/>
        <w:rPr>
          <w:sz w:val="21"/>
        </w:rPr>
      </w:pPr>
      <w:r>
        <w:rPr>
          <w:spacing w:val="-3"/>
          <w:sz w:val="21"/>
        </w:rPr>
        <w:t>严重原发性肺动脉高压：指不明原因的肺动脉压力持续性增高，进行性发展而导致的慢性疾病，已经造成永久不可逆性的体力活动能力受限，达到美国纽约心脏病学会心功能状态分级</w:t>
      </w:r>
      <w:r>
        <w:rPr>
          <w:sz w:val="21"/>
        </w:rPr>
        <w:t>IV</w:t>
      </w:r>
      <w:r>
        <w:rPr>
          <w:spacing w:val="-3"/>
          <w:sz w:val="21"/>
        </w:rPr>
        <w:t>级，且静息状态下肺动脉平均压超过</w:t>
      </w:r>
      <w:r>
        <w:rPr>
          <w:sz w:val="21"/>
        </w:rPr>
        <w:t>30mmHg。</w:t>
      </w:r>
    </w:p>
    <w:p>
      <w:pPr>
        <w:pStyle w:val="BodyText"/>
        <w:spacing w:before="11"/>
        <w:rPr>
          <w:sz w:val="13"/>
        </w:rPr>
      </w:pPr>
    </w:p>
    <w:p>
      <w:pPr>
        <w:pStyle w:val="ListParagraph"/>
        <w:numPr>
          <w:ilvl w:val="2"/>
          <w:numId w:val="12"/>
        </w:numPr>
        <w:tabs>
          <w:tab w:pos="2399" w:val="left" w:leader="none"/>
        </w:tabs>
        <w:spacing w:line="340" w:lineRule="auto" w:before="0" w:after="0"/>
        <w:ind w:left="2398" w:right="112" w:hanging="420"/>
        <w:jc w:val="left"/>
        <w:rPr>
          <w:sz w:val="21"/>
        </w:rPr>
      </w:pPr>
      <w:r>
        <w:rPr>
          <w:spacing w:val="-3"/>
          <w:sz w:val="21"/>
        </w:rPr>
        <w:t>严重运动神经元病：是一组中枢神经系统运动神经元的进行性变性疾</w:t>
      </w:r>
      <w:r>
        <w:rPr>
          <w:spacing w:val="-10"/>
          <w:sz w:val="21"/>
        </w:rPr>
        <w:t>病，包括进行性脊肌萎缩症、进行性延髓麻痹症、原发性侧索硬化症、肌萎缩性侧索硬化症。须满足自主生活能力完全丧失，无法独立完成</w:t>
      </w:r>
      <w:r>
        <w:rPr>
          <w:spacing w:val="-3"/>
          <w:sz w:val="21"/>
        </w:rPr>
        <w:t>六项基本日常生活活动中的三项或三项以上的条件。</w:t>
      </w:r>
    </w:p>
    <w:p>
      <w:pPr>
        <w:pStyle w:val="BodyText"/>
        <w:spacing w:before="11"/>
        <w:rPr>
          <w:sz w:val="13"/>
        </w:rPr>
      </w:pPr>
    </w:p>
    <w:p>
      <w:pPr>
        <w:pStyle w:val="ListParagraph"/>
        <w:numPr>
          <w:ilvl w:val="2"/>
          <w:numId w:val="12"/>
        </w:numPr>
        <w:tabs>
          <w:tab w:pos="2399" w:val="left" w:leader="none"/>
        </w:tabs>
        <w:spacing w:line="340" w:lineRule="auto" w:before="0" w:after="0"/>
        <w:ind w:left="2398" w:right="218" w:hanging="420"/>
        <w:jc w:val="both"/>
        <w:rPr>
          <w:sz w:val="21"/>
        </w:rPr>
      </w:pPr>
      <w:r>
        <w:rPr>
          <w:spacing w:val="-3"/>
          <w:sz w:val="21"/>
        </w:rPr>
        <w:t>语言能力丧失：指因疾病或意外伤害导致完全丧失语言能力，经过积极治疗至少</w:t>
      </w:r>
      <w:r>
        <w:rPr>
          <w:sz w:val="21"/>
        </w:rPr>
        <w:t>12</w:t>
      </w:r>
      <w:r>
        <w:rPr>
          <w:spacing w:val="-22"/>
          <w:sz w:val="21"/>
        </w:rPr>
        <w:t>个月</w:t>
      </w:r>
      <w:r>
        <w:rPr>
          <w:spacing w:val="-3"/>
          <w:sz w:val="21"/>
        </w:rPr>
        <w:t>（声带完全切除不受此时间限制</w:t>
      </w:r>
      <w:r>
        <w:rPr>
          <w:spacing w:val="-75"/>
          <w:sz w:val="21"/>
        </w:rPr>
        <w:t>）</w:t>
      </w:r>
      <w:r>
        <w:rPr>
          <w:spacing w:val="-13"/>
          <w:sz w:val="21"/>
        </w:rPr>
        <w:t>，仍无法通过现有</w:t>
      </w:r>
      <w:r>
        <w:rPr>
          <w:spacing w:val="-6"/>
          <w:sz w:val="21"/>
        </w:rPr>
        <w:t>医疗手段恢复。</w:t>
      </w:r>
    </w:p>
    <w:p>
      <w:pPr>
        <w:pStyle w:val="BodyText"/>
        <w:rPr>
          <w:sz w:val="14"/>
        </w:rPr>
      </w:pPr>
    </w:p>
    <w:p>
      <w:pPr>
        <w:pStyle w:val="BodyText"/>
        <w:spacing w:line="475" w:lineRule="auto" w:before="1"/>
        <w:ind w:left="2398" w:right="1711"/>
      </w:pPr>
      <w:r>
        <w:rPr/>
        <w:t>精神心理因素所致的语言能力丧失不在保障范围内。被保险人申请理赔时年龄必须在3周岁以上。</w:t>
      </w:r>
    </w:p>
    <w:p>
      <w:pPr>
        <w:pStyle w:val="ListParagraph"/>
        <w:numPr>
          <w:ilvl w:val="2"/>
          <w:numId w:val="12"/>
        </w:numPr>
        <w:tabs>
          <w:tab w:pos="2399" w:val="left" w:leader="none"/>
        </w:tabs>
        <w:spacing w:line="340" w:lineRule="auto" w:before="66" w:after="0"/>
        <w:ind w:left="2398" w:right="112" w:hanging="420"/>
        <w:jc w:val="left"/>
        <w:rPr>
          <w:sz w:val="21"/>
        </w:rPr>
      </w:pPr>
      <w:r>
        <w:rPr>
          <w:spacing w:val="-11"/>
          <w:sz w:val="21"/>
        </w:rPr>
        <w:t>重型再生障碍性贫血：指因骨髓造血功能慢性持续性衰竭导致的贫血、</w:t>
      </w:r>
      <w:r>
        <w:rPr>
          <w:spacing w:val="-6"/>
          <w:sz w:val="21"/>
        </w:rPr>
        <w:t>中性粒细胞减少及血小板减少。须满足下列全部条件：</w:t>
      </w:r>
    </w:p>
    <w:p>
      <w:pPr>
        <w:pStyle w:val="BodyText"/>
        <w:rPr>
          <w:sz w:val="14"/>
        </w:rPr>
      </w:pPr>
    </w:p>
    <w:p>
      <w:pPr>
        <w:pStyle w:val="ListParagraph"/>
        <w:numPr>
          <w:ilvl w:val="3"/>
          <w:numId w:val="12"/>
        </w:numPr>
        <w:tabs>
          <w:tab w:pos="3272" w:val="left" w:leader="none"/>
          <w:tab w:pos="3273" w:val="left" w:leader="none"/>
        </w:tabs>
        <w:spacing w:line="240" w:lineRule="auto" w:before="0" w:after="0"/>
        <w:ind w:left="3272" w:right="0" w:hanging="454"/>
        <w:jc w:val="left"/>
        <w:rPr>
          <w:sz w:val="21"/>
        </w:rPr>
      </w:pPr>
      <w:r>
        <w:rPr>
          <w:spacing w:val="-3"/>
          <w:sz w:val="21"/>
        </w:rPr>
        <w:t>骨髓穿刺检查或骨髓活检结果支持诊断；</w:t>
      </w:r>
    </w:p>
    <w:p>
      <w:pPr>
        <w:pStyle w:val="BodyText"/>
        <w:spacing w:before="8"/>
        <w:rPr>
          <w:sz w:val="20"/>
        </w:rPr>
      </w:pPr>
    </w:p>
    <w:p>
      <w:pPr>
        <w:pStyle w:val="ListParagraph"/>
        <w:numPr>
          <w:ilvl w:val="3"/>
          <w:numId w:val="12"/>
        </w:numPr>
        <w:tabs>
          <w:tab w:pos="3272" w:val="left" w:leader="none"/>
          <w:tab w:pos="3273" w:val="left" w:leader="none"/>
        </w:tabs>
        <w:spacing w:line="240" w:lineRule="auto" w:before="0" w:after="0"/>
        <w:ind w:left="3272" w:right="0" w:hanging="454"/>
        <w:jc w:val="left"/>
        <w:rPr>
          <w:sz w:val="21"/>
        </w:rPr>
      </w:pPr>
      <w:r>
        <w:rPr>
          <w:spacing w:val="-3"/>
          <w:sz w:val="21"/>
        </w:rPr>
        <w:t>外周血象须具备以下三项条件：</w:t>
      </w:r>
    </w:p>
    <w:p>
      <w:pPr>
        <w:pStyle w:val="BodyText"/>
        <w:spacing w:before="10"/>
        <w:rPr>
          <w:sz w:val="20"/>
        </w:rPr>
      </w:pPr>
    </w:p>
    <w:p>
      <w:pPr>
        <w:pStyle w:val="BodyText"/>
        <w:ind w:left="3200"/>
      </w:pPr>
      <w:r>
        <w:rPr/>
        <w:t>① 中性粒细胞绝对值≤0.5×10</w:t>
      </w:r>
      <w:r>
        <w:rPr>
          <w:position w:val="11"/>
          <w:sz w:val="11"/>
        </w:rPr>
        <w:t>9</w:t>
      </w:r>
      <w:r>
        <w:rPr/>
        <w:t>/L ；</w:t>
      </w:r>
    </w:p>
    <w:p>
      <w:pPr>
        <w:pStyle w:val="BodyText"/>
        <w:spacing w:before="7"/>
        <w:rPr>
          <w:sz w:val="20"/>
        </w:rPr>
      </w:pPr>
    </w:p>
    <w:p>
      <w:pPr>
        <w:pStyle w:val="BodyText"/>
        <w:ind w:left="3184" w:right="3730"/>
        <w:jc w:val="center"/>
      </w:pPr>
      <w:r>
        <w:rPr/>
        <w:t>② 网织红细胞＜1%；</w:t>
      </w:r>
    </w:p>
    <w:p>
      <w:pPr>
        <w:pStyle w:val="BodyText"/>
        <w:spacing w:before="10"/>
        <w:rPr>
          <w:sz w:val="20"/>
        </w:rPr>
      </w:pPr>
    </w:p>
    <w:p>
      <w:pPr>
        <w:pStyle w:val="BodyText"/>
        <w:ind w:left="3185"/>
      </w:pPr>
      <w:r>
        <w:rPr/>
        <w:t>③ 血小板绝对值≤20×10</w:t>
      </w:r>
      <w:r>
        <w:rPr>
          <w:position w:val="11"/>
          <w:sz w:val="11"/>
        </w:rPr>
        <w:t>9</w:t>
      </w:r>
      <w:r>
        <w:rPr/>
        <w:t>/L。</w:t>
      </w:r>
    </w:p>
    <w:p>
      <w:pPr>
        <w:pStyle w:val="BodyText"/>
        <w:spacing w:before="8"/>
        <w:rPr>
          <w:sz w:val="20"/>
        </w:rPr>
      </w:pPr>
    </w:p>
    <w:p>
      <w:pPr>
        <w:pStyle w:val="ListParagraph"/>
        <w:numPr>
          <w:ilvl w:val="2"/>
          <w:numId w:val="12"/>
        </w:numPr>
        <w:tabs>
          <w:tab w:pos="2399" w:val="left" w:leader="none"/>
        </w:tabs>
        <w:spacing w:line="340" w:lineRule="auto" w:before="0" w:after="0"/>
        <w:ind w:left="2398" w:right="221" w:hanging="420"/>
        <w:jc w:val="both"/>
        <w:rPr>
          <w:sz w:val="21"/>
        </w:rPr>
      </w:pPr>
      <w:r>
        <w:rPr>
          <w:spacing w:val="-3"/>
          <w:sz w:val="21"/>
        </w:rPr>
        <w:t>主动脉手术：指为治疗主动脉疾病，实际实施了开胸或开腹进行的切除、置换、修补病损主动脉血管的手术。主动脉指胸主动脉和腹主动脉，不包括胸主动脉和腹主动脉的分支血管。</w:t>
      </w:r>
    </w:p>
    <w:p>
      <w:pPr>
        <w:pStyle w:val="BodyText"/>
        <w:rPr>
          <w:sz w:val="14"/>
        </w:rPr>
      </w:pPr>
    </w:p>
    <w:p>
      <w:pPr>
        <w:pStyle w:val="BodyText"/>
        <w:ind w:left="2398"/>
      </w:pPr>
      <w:r>
        <w:rPr/>
        <w:t>动脉内血管成形术不在保障范围内。</w:t>
      </w:r>
    </w:p>
    <w:p>
      <w:pPr>
        <w:pStyle w:val="BodyText"/>
        <w:spacing w:before="7"/>
        <w:rPr>
          <w:sz w:val="20"/>
        </w:rPr>
      </w:pPr>
    </w:p>
    <w:p>
      <w:pPr>
        <w:pStyle w:val="ListParagraph"/>
        <w:numPr>
          <w:ilvl w:val="2"/>
          <w:numId w:val="12"/>
        </w:numPr>
        <w:tabs>
          <w:tab w:pos="2399" w:val="left" w:leader="none"/>
        </w:tabs>
        <w:spacing w:line="340" w:lineRule="auto" w:before="0" w:after="0"/>
        <w:ind w:left="2398" w:right="221" w:hanging="420"/>
        <w:jc w:val="both"/>
        <w:rPr>
          <w:sz w:val="21"/>
        </w:rPr>
      </w:pPr>
      <w:r>
        <w:rPr>
          <w:spacing w:val="-3"/>
          <w:sz w:val="21"/>
        </w:rPr>
        <w:t>严重的原发性心肌病：指被保险人经本公司认可的医院的心脏专科医师确诊被保险人因原发性心肌病而出现的心室功能障碍而使其出现明</w:t>
      </w:r>
    </w:p>
    <w:p>
      <w:pPr>
        <w:spacing w:after="0" w:line="340" w:lineRule="auto"/>
        <w:jc w:val="both"/>
        <w:rPr>
          <w:sz w:val="21"/>
        </w:rPr>
        <w:sectPr>
          <w:pgSz w:w="11910" w:h="16840"/>
          <w:pgMar w:header="0" w:footer="925" w:top="1120" w:bottom="1200" w:left="1680" w:right="1280"/>
        </w:sectPr>
      </w:pPr>
    </w:p>
    <w:p>
      <w:pPr>
        <w:pStyle w:val="BodyText"/>
        <w:spacing w:line="340" w:lineRule="auto" w:before="20"/>
        <w:ind w:left="2398" w:right="36"/>
      </w:pPr>
      <w:r>
        <w:rPr/>
        <w:t>显的心功能衰竭(纽约心脏病协会分类标准心功能至少达四级)。本保障范围内的心肌病包括扩张型心肌病、肥厚型心肌病及限制型心肌病。</w:t>
      </w:r>
    </w:p>
    <w:p>
      <w:pPr>
        <w:pStyle w:val="BodyText"/>
        <w:spacing w:before="11"/>
        <w:rPr>
          <w:sz w:val="13"/>
        </w:rPr>
      </w:pPr>
    </w:p>
    <w:p>
      <w:pPr>
        <w:pStyle w:val="BodyText"/>
        <w:ind w:left="2403"/>
      </w:pPr>
      <w:r>
        <w:rPr/>
        <w:t>继发于酒精滥用性的心肌病不在保障范围之内。</w:t>
      </w:r>
    </w:p>
    <w:p>
      <w:pPr>
        <w:pStyle w:val="BodyText"/>
        <w:spacing w:before="9"/>
        <w:rPr>
          <w:sz w:val="20"/>
        </w:rPr>
      </w:pPr>
    </w:p>
    <w:p>
      <w:pPr>
        <w:pStyle w:val="BodyText"/>
        <w:spacing w:line="338" w:lineRule="auto" w:before="1"/>
        <w:ind w:left="2398" w:right="221"/>
      </w:pPr>
      <w:r>
        <w:rPr/>
        <w:t>纽约心脏病协会分类标准心功能四级是指不能从事任何体力活动。休息时亦有症状,体力活动后加重。</w:t>
      </w:r>
    </w:p>
    <w:p>
      <w:pPr>
        <w:pStyle w:val="BodyText"/>
        <w:spacing w:before="3"/>
        <w:rPr>
          <w:sz w:val="14"/>
        </w:rPr>
      </w:pPr>
    </w:p>
    <w:p>
      <w:pPr>
        <w:pStyle w:val="ListParagraph"/>
        <w:numPr>
          <w:ilvl w:val="2"/>
          <w:numId w:val="12"/>
        </w:numPr>
        <w:tabs>
          <w:tab w:pos="2399" w:val="left" w:leader="none"/>
        </w:tabs>
        <w:spacing w:line="340" w:lineRule="auto" w:before="0" w:after="0"/>
        <w:ind w:left="2398" w:right="221" w:hanging="420"/>
        <w:jc w:val="both"/>
        <w:rPr>
          <w:sz w:val="21"/>
        </w:rPr>
      </w:pPr>
      <w:r>
        <w:rPr>
          <w:spacing w:val="-3"/>
          <w:sz w:val="21"/>
        </w:rPr>
        <w:t>终末期肺病：指被保险人必须经本公司认可的医院的呼吸科专科医师确诊患有终末期肺病而出现慢性呼吸功能衰竭，其诊断标准包括以下各项：</w:t>
      </w:r>
    </w:p>
    <w:p>
      <w:pPr>
        <w:pStyle w:val="BodyText"/>
        <w:spacing w:before="11"/>
        <w:rPr>
          <w:sz w:val="13"/>
        </w:rPr>
      </w:pPr>
    </w:p>
    <w:p>
      <w:pPr>
        <w:pStyle w:val="ListParagraph"/>
        <w:numPr>
          <w:ilvl w:val="3"/>
          <w:numId w:val="12"/>
        </w:numPr>
        <w:tabs>
          <w:tab w:pos="3272" w:val="left" w:leader="none"/>
          <w:tab w:pos="3273" w:val="left" w:leader="none"/>
        </w:tabs>
        <w:spacing w:line="240" w:lineRule="auto" w:before="0" w:after="0"/>
        <w:ind w:left="3272" w:right="0" w:hanging="454"/>
        <w:jc w:val="left"/>
        <w:rPr>
          <w:sz w:val="21"/>
        </w:rPr>
      </w:pPr>
      <w:r>
        <w:rPr>
          <w:spacing w:val="-3"/>
          <w:sz w:val="21"/>
        </w:rPr>
        <w:t>肺功能测试其</w:t>
      </w:r>
      <w:r>
        <w:rPr>
          <w:spacing w:val="-1"/>
          <w:sz w:val="21"/>
        </w:rPr>
        <w:t>FEV1</w:t>
      </w:r>
      <w:r>
        <w:rPr>
          <w:spacing w:val="-3"/>
          <w:sz w:val="21"/>
        </w:rPr>
        <w:t>持续低于</w:t>
      </w:r>
      <w:r>
        <w:rPr>
          <w:sz w:val="21"/>
        </w:rPr>
        <w:t>1</w:t>
      </w:r>
      <w:r>
        <w:rPr>
          <w:spacing w:val="-2"/>
          <w:sz w:val="21"/>
        </w:rPr>
        <w:t>升；</w:t>
      </w:r>
    </w:p>
    <w:p>
      <w:pPr>
        <w:pStyle w:val="BodyText"/>
        <w:spacing w:before="10"/>
        <w:rPr>
          <w:sz w:val="20"/>
        </w:rPr>
      </w:pPr>
    </w:p>
    <w:p>
      <w:pPr>
        <w:pStyle w:val="ListParagraph"/>
        <w:numPr>
          <w:ilvl w:val="3"/>
          <w:numId w:val="12"/>
        </w:numPr>
        <w:tabs>
          <w:tab w:pos="3272" w:val="left" w:leader="none"/>
          <w:tab w:pos="3273" w:val="left" w:leader="none"/>
        </w:tabs>
        <w:spacing w:line="240" w:lineRule="auto" w:before="0" w:after="0"/>
        <w:ind w:left="3272" w:right="0" w:hanging="454"/>
        <w:jc w:val="left"/>
        <w:rPr>
          <w:sz w:val="21"/>
        </w:rPr>
      </w:pPr>
      <w:r>
        <w:rPr>
          <w:spacing w:val="-3"/>
          <w:sz w:val="21"/>
        </w:rPr>
        <w:t>病人血氧不足必须持续地进行输氧治疗；</w:t>
      </w:r>
    </w:p>
    <w:p>
      <w:pPr>
        <w:pStyle w:val="BodyText"/>
        <w:spacing w:before="7"/>
        <w:rPr>
          <w:sz w:val="20"/>
        </w:rPr>
      </w:pPr>
    </w:p>
    <w:p>
      <w:pPr>
        <w:pStyle w:val="ListParagraph"/>
        <w:numPr>
          <w:ilvl w:val="3"/>
          <w:numId w:val="12"/>
        </w:numPr>
        <w:tabs>
          <w:tab w:pos="3272" w:val="left" w:leader="none"/>
          <w:tab w:pos="3273" w:val="left" w:leader="none"/>
        </w:tabs>
        <w:spacing w:line="240" w:lineRule="auto" w:before="0" w:after="0"/>
        <w:ind w:left="3272" w:right="0" w:hanging="454"/>
        <w:jc w:val="left"/>
        <w:rPr>
          <w:sz w:val="21"/>
        </w:rPr>
      </w:pPr>
      <w:r>
        <w:rPr>
          <w:spacing w:val="-3"/>
          <w:sz w:val="21"/>
        </w:rPr>
        <w:t>动脉血气分析氧分压等于或低于</w:t>
      </w:r>
      <w:r>
        <w:rPr>
          <w:sz w:val="21"/>
        </w:rPr>
        <w:t>55mmHg；</w:t>
      </w:r>
    </w:p>
    <w:p>
      <w:pPr>
        <w:pStyle w:val="BodyText"/>
        <w:spacing w:before="10"/>
        <w:rPr>
          <w:sz w:val="20"/>
        </w:rPr>
      </w:pPr>
    </w:p>
    <w:p>
      <w:pPr>
        <w:pStyle w:val="ListParagraph"/>
        <w:numPr>
          <w:ilvl w:val="3"/>
          <w:numId w:val="12"/>
        </w:numPr>
        <w:tabs>
          <w:tab w:pos="3272" w:val="left" w:leader="none"/>
          <w:tab w:pos="3273" w:val="left" w:leader="none"/>
        </w:tabs>
        <w:spacing w:line="240" w:lineRule="auto" w:before="0" w:after="0"/>
        <w:ind w:left="3272" w:right="0" w:hanging="454"/>
        <w:jc w:val="left"/>
        <w:rPr>
          <w:sz w:val="21"/>
        </w:rPr>
      </w:pPr>
      <w:r>
        <w:rPr>
          <w:spacing w:val="-3"/>
          <w:sz w:val="21"/>
        </w:rPr>
        <w:t>休息时出现呼吸困难。</w:t>
      </w:r>
    </w:p>
    <w:p>
      <w:pPr>
        <w:pStyle w:val="BodyText"/>
        <w:spacing w:before="8"/>
        <w:rPr>
          <w:sz w:val="20"/>
        </w:rPr>
      </w:pPr>
    </w:p>
    <w:p>
      <w:pPr>
        <w:pStyle w:val="ListParagraph"/>
        <w:numPr>
          <w:ilvl w:val="2"/>
          <w:numId w:val="12"/>
        </w:numPr>
        <w:tabs>
          <w:tab w:pos="2399" w:val="left" w:leader="none"/>
        </w:tabs>
        <w:spacing w:line="340" w:lineRule="auto" w:before="0" w:after="0"/>
        <w:ind w:left="2398" w:right="218" w:hanging="420"/>
        <w:jc w:val="both"/>
        <w:rPr>
          <w:sz w:val="21"/>
        </w:rPr>
      </w:pPr>
      <w:r>
        <w:rPr>
          <w:spacing w:val="-3"/>
          <w:sz w:val="21"/>
        </w:rPr>
        <w:t>多发性硬化：指被保险人因脑及脊髓内的脱髓鞘病变而出现的时间超过至少</w:t>
      </w:r>
      <w:r>
        <w:rPr>
          <w:sz w:val="21"/>
        </w:rPr>
        <w:t>6</w:t>
      </w:r>
      <w:r>
        <w:rPr>
          <w:spacing w:val="-8"/>
          <w:sz w:val="21"/>
        </w:rPr>
        <w:t>个月以上的神经系统多部位的病变。该病必须经本公司认可的医院的神经科专科医师确诊，并且有神经系统一次以上的发作，而出现有永久性损害的证据，即出现累及视神经、脑干、脊髓，出现有共</w:t>
      </w:r>
      <w:r>
        <w:rPr>
          <w:spacing w:val="-3"/>
          <w:sz w:val="21"/>
        </w:rPr>
        <w:t>济失调或感觉障碍4种损害中的任何2种或两种以上的情形。</w:t>
      </w:r>
    </w:p>
    <w:p>
      <w:pPr>
        <w:pStyle w:val="BodyText"/>
        <w:spacing w:before="1"/>
        <w:rPr>
          <w:sz w:val="14"/>
        </w:rPr>
      </w:pPr>
    </w:p>
    <w:p>
      <w:pPr>
        <w:pStyle w:val="ListParagraph"/>
        <w:numPr>
          <w:ilvl w:val="2"/>
          <w:numId w:val="12"/>
        </w:numPr>
        <w:tabs>
          <w:tab w:pos="2399" w:val="left" w:leader="none"/>
        </w:tabs>
        <w:spacing w:line="340" w:lineRule="auto" w:before="0" w:after="0"/>
        <w:ind w:left="2398" w:right="218" w:hanging="420"/>
        <w:jc w:val="both"/>
        <w:rPr>
          <w:sz w:val="21"/>
        </w:rPr>
      </w:pPr>
      <w:r>
        <w:rPr>
          <w:spacing w:val="-3"/>
          <w:sz w:val="21"/>
        </w:rPr>
        <w:t>严重的脊髓灰质炎：指因感染脊髓灰质炎病毒而导致的瘫痪性疾病， 表现为运动功能受损或呼吸无力。须经认可医院的神经科医师确诊。必须有至少</w:t>
      </w:r>
      <w:r>
        <w:rPr>
          <w:sz w:val="21"/>
        </w:rPr>
        <w:t>3</w:t>
      </w:r>
      <w:r>
        <w:rPr>
          <w:spacing w:val="-10"/>
          <w:sz w:val="21"/>
        </w:rPr>
        <w:t>个月的医疗纪录。如无瘫痪性表现，则不能理赔。其他原</w:t>
      </w:r>
      <w:r>
        <w:rPr>
          <w:spacing w:val="-5"/>
          <w:sz w:val="21"/>
        </w:rPr>
        <w:t>因导致的瘫痪须除外。</w:t>
      </w:r>
    </w:p>
    <w:p>
      <w:pPr>
        <w:pStyle w:val="BodyText"/>
        <w:rPr>
          <w:sz w:val="14"/>
        </w:rPr>
      </w:pPr>
    </w:p>
    <w:p>
      <w:pPr>
        <w:pStyle w:val="ListParagraph"/>
        <w:numPr>
          <w:ilvl w:val="2"/>
          <w:numId w:val="12"/>
        </w:numPr>
        <w:tabs>
          <w:tab w:pos="2399" w:val="left" w:leader="none"/>
        </w:tabs>
        <w:spacing w:line="340" w:lineRule="auto" w:before="0" w:after="0"/>
        <w:ind w:left="2398" w:right="218" w:hanging="420"/>
        <w:jc w:val="both"/>
        <w:rPr>
          <w:sz w:val="21"/>
        </w:rPr>
      </w:pPr>
      <w:r>
        <w:rPr>
          <w:spacing w:val="-3"/>
          <w:sz w:val="21"/>
        </w:rPr>
        <w:t>严重类风湿性关节炎：指广泛的关节损坏，临床上存在三个或三个以</w:t>
      </w:r>
      <w:r>
        <w:rPr>
          <w:spacing w:val="-10"/>
          <w:sz w:val="21"/>
        </w:rPr>
        <w:t>上下列关节的畸形：手、腕、肘、颈椎、膝、踝、蹠-趾关节。并且由本公司认可医院的专科医师确认被保险人在无他人协助下无法独立完成六项基本日常生活活动中的至少三项。上述畸形及功能异常须持续</w:t>
      </w:r>
      <w:r>
        <w:rPr>
          <w:spacing w:val="-2"/>
          <w:sz w:val="21"/>
        </w:rPr>
        <w:t>至少达</w:t>
      </w:r>
      <w:r>
        <w:rPr>
          <w:spacing w:val="-1"/>
          <w:sz w:val="21"/>
        </w:rPr>
        <w:t>180</w:t>
      </w:r>
      <w:r>
        <w:rPr>
          <w:sz w:val="21"/>
        </w:rPr>
        <w:t>天。</w:t>
      </w:r>
    </w:p>
    <w:p>
      <w:pPr>
        <w:pStyle w:val="BodyText"/>
        <w:spacing w:before="11"/>
        <w:rPr>
          <w:sz w:val="13"/>
        </w:rPr>
      </w:pPr>
    </w:p>
    <w:p>
      <w:pPr>
        <w:pStyle w:val="ListParagraph"/>
        <w:numPr>
          <w:ilvl w:val="2"/>
          <w:numId w:val="12"/>
        </w:numPr>
        <w:tabs>
          <w:tab w:pos="2399" w:val="left" w:leader="none"/>
        </w:tabs>
        <w:spacing w:line="340" w:lineRule="auto" w:before="0" w:after="0"/>
        <w:ind w:left="2398" w:right="218" w:hanging="420"/>
        <w:jc w:val="both"/>
        <w:rPr>
          <w:sz w:val="21"/>
        </w:rPr>
      </w:pPr>
      <w:r>
        <w:rPr>
          <w:spacing w:val="-12"/>
          <w:sz w:val="21"/>
        </w:rPr>
        <w:t>重症肌无力：指一种神经与肌肉接头部位传递障碍的自身免疫性疾病, </w:t>
      </w:r>
      <w:r>
        <w:rPr>
          <w:sz w:val="21"/>
        </w:rPr>
        <w:t>临床特征是局部或全身横纹肌于活动时易于疲劳无力,颅神经眼外肌</w:t>
      </w:r>
      <w:r>
        <w:rPr>
          <w:spacing w:val="-3"/>
          <w:sz w:val="21"/>
        </w:rPr>
        <w:t>最易累及,也可涉及呼吸肌、下肢近端肌群乃至全身肌肉,须经本公司认可的神经科医师确诊。理赔时必须同时具有下列情况:</w:t>
      </w:r>
    </w:p>
    <w:p>
      <w:pPr>
        <w:pStyle w:val="BodyText"/>
        <w:spacing w:before="11"/>
        <w:rPr>
          <w:sz w:val="13"/>
        </w:rPr>
      </w:pPr>
    </w:p>
    <w:p>
      <w:pPr>
        <w:pStyle w:val="ListParagraph"/>
        <w:numPr>
          <w:ilvl w:val="3"/>
          <w:numId w:val="12"/>
        </w:numPr>
        <w:tabs>
          <w:tab w:pos="3272" w:val="left" w:leader="none"/>
          <w:tab w:pos="3273" w:val="left" w:leader="none"/>
        </w:tabs>
        <w:spacing w:line="240" w:lineRule="auto" w:before="0" w:after="0"/>
        <w:ind w:left="3272" w:right="0" w:hanging="454"/>
        <w:jc w:val="left"/>
        <w:rPr>
          <w:sz w:val="21"/>
        </w:rPr>
      </w:pPr>
      <w:r>
        <w:rPr>
          <w:spacing w:val="-3"/>
          <w:sz w:val="21"/>
        </w:rPr>
        <w:t>症状缓解、复发及恶化交替出现；</w:t>
      </w:r>
    </w:p>
    <w:p>
      <w:pPr>
        <w:spacing w:after="0" w:line="240" w:lineRule="auto"/>
        <w:jc w:val="left"/>
        <w:rPr>
          <w:sz w:val="21"/>
        </w:rPr>
        <w:sectPr>
          <w:pgSz w:w="11910" w:h="16840"/>
          <w:pgMar w:header="0" w:footer="925" w:top="1120" w:bottom="1200" w:left="1680" w:right="1280"/>
        </w:sectPr>
      </w:pPr>
    </w:p>
    <w:p>
      <w:pPr>
        <w:pStyle w:val="ListParagraph"/>
        <w:numPr>
          <w:ilvl w:val="3"/>
          <w:numId w:val="12"/>
        </w:numPr>
        <w:tabs>
          <w:tab w:pos="3272" w:val="left" w:leader="none"/>
          <w:tab w:pos="3273" w:val="left" w:leader="none"/>
        </w:tabs>
        <w:spacing w:line="340" w:lineRule="auto" w:before="20" w:after="0"/>
        <w:ind w:left="3272" w:right="119" w:hanging="454"/>
        <w:jc w:val="left"/>
        <w:rPr>
          <w:sz w:val="21"/>
        </w:rPr>
      </w:pPr>
      <w:r>
        <w:rPr>
          <w:sz w:val="21"/>
        </w:rPr>
        <w:t>经药物、胸腺手术治疗一年以上无法控制病情,丧失正常工</w:t>
      </w:r>
      <w:r>
        <w:rPr>
          <w:spacing w:val="-1"/>
          <w:sz w:val="21"/>
        </w:rPr>
        <w:t>作能力；</w:t>
      </w:r>
    </w:p>
    <w:p>
      <w:pPr>
        <w:pStyle w:val="BodyText"/>
        <w:spacing w:before="11"/>
        <w:rPr>
          <w:sz w:val="13"/>
        </w:rPr>
      </w:pPr>
    </w:p>
    <w:p>
      <w:pPr>
        <w:pStyle w:val="ListParagraph"/>
        <w:numPr>
          <w:ilvl w:val="3"/>
          <w:numId w:val="12"/>
        </w:numPr>
        <w:tabs>
          <w:tab w:pos="3272" w:val="left" w:leader="none"/>
          <w:tab w:pos="3273" w:val="left" w:leader="none"/>
        </w:tabs>
        <w:spacing w:line="340" w:lineRule="auto" w:before="0" w:after="0"/>
        <w:ind w:left="3272" w:right="118" w:hanging="454"/>
        <w:jc w:val="left"/>
        <w:rPr>
          <w:sz w:val="21"/>
        </w:rPr>
      </w:pPr>
      <w:r>
        <w:rPr>
          <w:spacing w:val="-4"/>
          <w:sz w:val="21"/>
        </w:rPr>
        <w:t>有过由于肌无力累及延髓肌、呼吸肌而致机体呼吸功能异常</w:t>
      </w:r>
      <w:r>
        <w:rPr>
          <w:spacing w:val="-3"/>
          <w:sz w:val="21"/>
        </w:rPr>
        <w:t>的危急状态即肌无力危象病史。</w:t>
      </w:r>
    </w:p>
    <w:p>
      <w:pPr>
        <w:pStyle w:val="BodyText"/>
        <w:spacing w:before="10"/>
        <w:rPr>
          <w:sz w:val="13"/>
        </w:rPr>
      </w:pPr>
    </w:p>
    <w:p>
      <w:pPr>
        <w:pStyle w:val="ListParagraph"/>
        <w:numPr>
          <w:ilvl w:val="2"/>
          <w:numId w:val="12"/>
        </w:numPr>
        <w:tabs>
          <w:tab w:pos="2399" w:val="left" w:leader="none"/>
        </w:tabs>
        <w:spacing w:line="340" w:lineRule="auto" w:before="1" w:after="0"/>
        <w:ind w:left="2398" w:right="115" w:hanging="420"/>
        <w:jc w:val="both"/>
        <w:rPr>
          <w:sz w:val="21"/>
        </w:rPr>
      </w:pPr>
      <w:r>
        <w:rPr>
          <w:spacing w:val="-7"/>
          <w:sz w:val="21"/>
        </w:rPr>
        <w:t>慢性肾上腺皮质功能减退症</w:t>
      </w:r>
      <w:r>
        <w:rPr>
          <w:sz w:val="21"/>
        </w:rPr>
        <w:t>（</w:t>
      </w:r>
      <w:r>
        <w:rPr>
          <w:spacing w:val="-3"/>
          <w:sz w:val="21"/>
        </w:rPr>
        <w:t>阿狄森氏病</w:t>
      </w:r>
      <w:r>
        <w:rPr>
          <w:spacing w:val="-74"/>
          <w:sz w:val="21"/>
        </w:rPr>
        <w:t>）</w:t>
      </w:r>
      <w:r>
        <w:rPr>
          <w:spacing w:val="-11"/>
          <w:sz w:val="21"/>
        </w:rPr>
        <w:t>：指因自身免疫紊乱导致肾上腺逐渐被破坏，从而需要长期接受糖皮质激素及肾上腺皮质激素替代疗法。诊断必须由认可医院的合格内分泌专科医师作出，理赔时必</w:t>
      </w:r>
      <w:r>
        <w:rPr>
          <w:spacing w:val="-6"/>
          <w:sz w:val="21"/>
        </w:rPr>
        <w:t>须出具以下报告：</w:t>
      </w:r>
    </w:p>
    <w:p>
      <w:pPr>
        <w:pStyle w:val="BodyText"/>
        <w:spacing w:before="11"/>
        <w:rPr>
          <w:sz w:val="13"/>
        </w:rPr>
      </w:pPr>
    </w:p>
    <w:p>
      <w:pPr>
        <w:pStyle w:val="ListParagraph"/>
        <w:numPr>
          <w:ilvl w:val="3"/>
          <w:numId w:val="12"/>
        </w:numPr>
        <w:tabs>
          <w:tab w:pos="3272" w:val="left" w:leader="none"/>
          <w:tab w:pos="3273" w:val="left" w:leader="none"/>
        </w:tabs>
        <w:spacing w:line="240" w:lineRule="auto" w:before="0" w:after="0"/>
        <w:ind w:left="3272" w:right="0" w:hanging="454"/>
        <w:jc w:val="left"/>
        <w:rPr>
          <w:sz w:val="21"/>
        </w:rPr>
      </w:pPr>
      <w:r>
        <w:rPr>
          <w:spacing w:val="-3"/>
          <w:w w:val="100"/>
          <w:sz w:val="21"/>
        </w:rPr>
        <w:t>促肾上腺皮质激素试验(AC</w:t>
      </w:r>
      <w:r>
        <w:rPr>
          <w:w w:val="100"/>
          <w:sz w:val="21"/>
        </w:rPr>
        <w:t>TH</w:t>
      </w:r>
      <w:r>
        <w:rPr>
          <w:spacing w:val="-2"/>
          <w:w w:val="100"/>
          <w:sz w:val="21"/>
        </w:rPr>
        <w:t>试验</w:t>
      </w:r>
      <w:r>
        <w:rPr>
          <w:spacing w:val="-106"/>
          <w:w w:val="100"/>
          <w:sz w:val="21"/>
        </w:rPr>
        <w:t>）</w:t>
      </w:r>
      <w:r>
        <w:rPr>
          <w:w w:val="100"/>
          <w:sz w:val="21"/>
        </w:rPr>
        <w:t>；</w:t>
      </w:r>
    </w:p>
    <w:p>
      <w:pPr>
        <w:pStyle w:val="BodyText"/>
        <w:spacing w:before="9"/>
        <w:rPr>
          <w:sz w:val="20"/>
        </w:rPr>
      </w:pPr>
    </w:p>
    <w:p>
      <w:pPr>
        <w:pStyle w:val="ListParagraph"/>
        <w:numPr>
          <w:ilvl w:val="3"/>
          <w:numId w:val="12"/>
        </w:numPr>
        <w:tabs>
          <w:tab w:pos="3272" w:val="left" w:leader="none"/>
          <w:tab w:pos="3273" w:val="left" w:leader="none"/>
        </w:tabs>
        <w:spacing w:line="240" w:lineRule="auto" w:before="1" w:after="0"/>
        <w:ind w:left="3272" w:right="0" w:hanging="454"/>
        <w:jc w:val="left"/>
        <w:rPr>
          <w:sz w:val="21"/>
        </w:rPr>
      </w:pPr>
      <w:r>
        <w:rPr>
          <w:spacing w:val="-3"/>
          <w:sz w:val="21"/>
        </w:rPr>
        <w:t>胰岛素诱导性低血糖试验；</w:t>
      </w:r>
    </w:p>
    <w:p>
      <w:pPr>
        <w:pStyle w:val="BodyText"/>
        <w:spacing w:before="8"/>
        <w:rPr>
          <w:sz w:val="20"/>
        </w:rPr>
      </w:pPr>
    </w:p>
    <w:p>
      <w:pPr>
        <w:pStyle w:val="ListParagraph"/>
        <w:numPr>
          <w:ilvl w:val="3"/>
          <w:numId w:val="12"/>
        </w:numPr>
        <w:tabs>
          <w:tab w:pos="3272" w:val="left" w:leader="none"/>
          <w:tab w:pos="3273" w:val="left" w:leader="none"/>
        </w:tabs>
        <w:spacing w:line="240" w:lineRule="auto" w:before="1" w:after="0"/>
        <w:ind w:left="3272" w:right="0" w:hanging="454"/>
        <w:jc w:val="left"/>
        <w:rPr>
          <w:sz w:val="21"/>
        </w:rPr>
      </w:pPr>
      <w:r>
        <w:rPr>
          <w:spacing w:val="-3"/>
          <w:sz w:val="21"/>
        </w:rPr>
        <w:t>血浆促肾上腺皮质激素测量；</w:t>
      </w:r>
    </w:p>
    <w:p>
      <w:pPr>
        <w:pStyle w:val="BodyText"/>
        <w:spacing w:before="10"/>
        <w:rPr>
          <w:sz w:val="20"/>
        </w:rPr>
      </w:pPr>
    </w:p>
    <w:p>
      <w:pPr>
        <w:pStyle w:val="ListParagraph"/>
        <w:numPr>
          <w:ilvl w:val="3"/>
          <w:numId w:val="12"/>
        </w:numPr>
        <w:tabs>
          <w:tab w:pos="3272" w:val="left" w:leader="none"/>
          <w:tab w:pos="3273" w:val="left" w:leader="none"/>
        </w:tabs>
        <w:spacing w:line="240" w:lineRule="auto" w:before="0" w:after="0"/>
        <w:ind w:left="3272" w:right="0" w:hanging="454"/>
        <w:jc w:val="left"/>
        <w:rPr>
          <w:sz w:val="21"/>
        </w:rPr>
      </w:pPr>
      <w:r>
        <w:rPr>
          <w:spacing w:val="-3"/>
          <w:sz w:val="21"/>
        </w:rPr>
        <w:t>血浆肾素活性</w:t>
      </w:r>
      <w:r>
        <w:rPr>
          <w:spacing w:val="-1"/>
          <w:sz w:val="21"/>
        </w:rPr>
        <w:t>（PRA）</w:t>
      </w:r>
      <w:r>
        <w:rPr>
          <w:spacing w:val="-2"/>
          <w:sz w:val="21"/>
        </w:rPr>
        <w:t>测量。</w:t>
      </w:r>
    </w:p>
    <w:p>
      <w:pPr>
        <w:pStyle w:val="BodyText"/>
        <w:spacing w:before="7"/>
        <w:rPr>
          <w:sz w:val="20"/>
        </w:rPr>
      </w:pPr>
    </w:p>
    <w:p>
      <w:pPr>
        <w:pStyle w:val="BodyText"/>
        <w:spacing w:line="340" w:lineRule="auto"/>
        <w:ind w:left="2398" w:right="121"/>
      </w:pPr>
      <w:r>
        <w:rPr/>
        <w:t>本保障只承保由自身免疫引起的慢性肾上腺皮质功能减退，其他病因导致的肾上腺功能减退不在本保障范围之内。</w:t>
      </w:r>
    </w:p>
    <w:p>
      <w:pPr>
        <w:pStyle w:val="BodyText"/>
        <w:spacing w:before="11"/>
        <w:rPr>
          <w:sz w:val="13"/>
        </w:rPr>
      </w:pPr>
    </w:p>
    <w:p>
      <w:pPr>
        <w:pStyle w:val="ListParagraph"/>
        <w:numPr>
          <w:ilvl w:val="2"/>
          <w:numId w:val="12"/>
        </w:numPr>
        <w:tabs>
          <w:tab w:pos="2399" w:val="left" w:leader="none"/>
        </w:tabs>
        <w:spacing w:line="340" w:lineRule="auto" w:before="0" w:after="0"/>
        <w:ind w:left="2398" w:right="116" w:hanging="420"/>
        <w:jc w:val="both"/>
        <w:rPr>
          <w:sz w:val="21"/>
        </w:rPr>
      </w:pPr>
      <w:r>
        <w:rPr>
          <w:spacing w:val="-3"/>
          <w:sz w:val="21"/>
        </w:rPr>
        <w:t>致死性筋膜炎：指致死性的坏死性筋膜炎，其坏死过程必须为暴发性</w:t>
      </w:r>
      <w:r>
        <w:rPr>
          <w:spacing w:val="-41"/>
          <w:sz w:val="21"/>
        </w:rPr>
        <w:t>的</w:t>
      </w:r>
      <w:r>
        <w:rPr>
          <w:sz w:val="21"/>
        </w:rPr>
        <w:t>（</w:t>
      </w:r>
      <w:r>
        <w:rPr>
          <w:spacing w:val="-3"/>
          <w:sz w:val="21"/>
        </w:rPr>
        <w:t>迅速传播</w:t>
      </w:r>
      <w:r>
        <w:rPr>
          <w:spacing w:val="-75"/>
          <w:sz w:val="21"/>
        </w:rPr>
        <w:t>）</w:t>
      </w:r>
      <w:r>
        <w:rPr>
          <w:spacing w:val="-10"/>
          <w:sz w:val="21"/>
        </w:rPr>
        <w:t>，且需进行紧急重要手术来清除坏死组织以及抗菌剂治</w:t>
      </w:r>
      <w:r>
        <w:rPr>
          <w:spacing w:val="-5"/>
          <w:sz w:val="21"/>
        </w:rPr>
        <w:t>疗。诊断必须由专科医生经重要手术后确诊。</w:t>
      </w:r>
    </w:p>
    <w:p>
      <w:pPr>
        <w:pStyle w:val="BodyText"/>
        <w:spacing w:before="146"/>
        <w:ind w:left="2432"/>
      </w:pPr>
      <w:r>
        <w:rPr/>
        <w:t>冻疮不在本保障范围内。</w:t>
      </w:r>
    </w:p>
    <w:p>
      <w:pPr>
        <w:pStyle w:val="BodyText"/>
        <w:spacing w:before="9"/>
        <w:rPr>
          <w:sz w:val="14"/>
        </w:rPr>
      </w:pPr>
    </w:p>
    <w:p>
      <w:pPr>
        <w:pStyle w:val="ListParagraph"/>
        <w:numPr>
          <w:ilvl w:val="2"/>
          <w:numId w:val="12"/>
        </w:numPr>
        <w:tabs>
          <w:tab w:pos="2399" w:val="left" w:leader="none"/>
        </w:tabs>
        <w:spacing w:line="273" w:lineRule="auto" w:before="1" w:after="0"/>
        <w:ind w:left="2398" w:right="140" w:hanging="420"/>
        <w:jc w:val="both"/>
        <w:rPr>
          <w:sz w:val="21"/>
        </w:rPr>
      </w:pPr>
      <w:r>
        <w:rPr>
          <w:spacing w:val="-3"/>
          <w:sz w:val="21"/>
        </w:rPr>
        <w:t>严重克隆病：克隆病是一种慢性肉芽肿性肠炎，具有特征性的克隆病病理组织学变化。疾病诊断必须由病理检查结果证实，并且必须经本公司认可的专科医师确认被保险人所患的克隆病已经造成瘘管形成并伴有肠梗阻或肠穿孔。</w:t>
      </w:r>
    </w:p>
    <w:p>
      <w:pPr>
        <w:pStyle w:val="ListParagraph"/>
        <w:numPr>
          <w:ilvl w:val="2"/>
          <w:numId w:val="12"/>
        </w:numPr>
        <w:tabs>
          <w:tab w:pos="2399" w:val="left" w:leader="none"/>
        </w:tabs>
        <w:spacing w:line="268" w:lineRule="auto" w:before="164" w:after="0"/>
        <w:ind w:left="2398" w:right="140" w:hanging="420"/>
        <w:jc w:val="left"/>
        <w:rPr>
          <w:sz w:val="21"/>
        </w:rPr>
      </w:pPr>
      <w:r>
        <w:rPr>
          <w:spacing w:val="-3"/>
          <w:sz w:val="21"/>
        </w:rPr>
        <w:t>系统性红斑狼疮伴肾损害：指以产生多种自身抗体，并由免疫反应介导的炎症为特征的自体免疫性疾病。系统性红斑狼疮的诊断必须由本公司认可医院合格的免疫学专科医师依据作出。本保单所保障的系统性红斑狼疮仅限于累及肾脏的状况</w:t>
      </w:r>
      <w:r>
        <w:rPr>
          <w:rFonts w:ascii="Times New Roman" w:eastAsia="Times New Roman"/>
          <w:spacing w:val="7"/>
          <w:sz w:val="21"/>
        </w:rPr>
        <w:t>, </w:t>
      </w:r>
      <w:r>
        <w:rPr>
          <w:spacing w:val="-3"/>
          <w:sz w:val="21"/>
        </w:rPr>
        <w:t>且经肾脏活检确认，符合世界卫</w:t>
      </w:r>
      <w:r>
        <w:rPr>
          <w:spacing w:val="-8"/>
          <w:sz w:val="21"/>
        </w:rPr>
        <w:t>生组织关于狼疮性肾炎 </w:t>
      </w:r>
      <w:r>
        <w:rPr>
          <w:sz w:val="21"/>
        </w:rPr>
        <w:t>III</w:t>
      </w:r>
      <w:r>
        <w:rPr>
          <w:spacing w:val="-13"/>
          <w:sz w:val="21"/>
        </w:rPr>
        <w:t> 型至 </w:t>
      </w:r>
      <w:r>
        <w:rPr>
          <w:sz w:val="21"/>
        </w:rPr>
        <w:t>V</w:t>
      </w:r>
      <w:r>
        <w:rPr>
          <w:spacing w:val="-3"/>
          <w:sz w:val="21"/>
        </w:rPr>
        <w:t> 型的诊断标准, 并伴有持续性蛋白尿（</w:t>
      </w:r>
      <w:r>
        <w:rPr>
          <w:spacing w:val="-2"/>
          <w:sz w:val="21"/>
        </w:rPr>
        <w:t>尿蛋白 ++ 以上</w:t>
      </w:r>
      <w:r>
        <w:rPr>
          <w:spacing w:val="-108"/>
          <w:sz w:val="21"/>
        </w:rPr>
        <w:t>）</w:t>
      </w:r>
      <w:r>
        <w:rPr>
          <w:sz w:val="21"/>
        </w:rPr>
        <w:t>。</w:t>
      </w:r>
    </w:p>
    <w:p>
      <w:pPr>
        <w:pStyle w:val="BodyText"/>
        <w:spacing w:line="273" w:lineRule="auto" w:before="168"/>
        <w:ind w:left="2432" w:right="315"/>
      </w:pPr>
      <w:r>
        <w:rPr/>
        <w:t>系统性红斑狼疮的诊断依据国际普遍认可的美国风湿病学会所修订的最新诊断标准。</w:t>
      </w:r>
    </w:p>
    <w:p>
      <w:pPr>
        <w:pStyle w:val="BodyText"/>
        <w:spacing w:before="5"/>
        <w:rPr>
          <w:sz w:val="15"/>
        </w:rPr>
      </w:pPr>
    </w:p>
    <w:p>
      <w:pPr>
        <w:pStyle w:val="BodyText"/>
        <w:spacing w:line="475" w:lineRule="auto"/>
        <w:ind w:left="2398" w:right="2451"/>
      </w:pPr>
      <w:r>
        <w:rPr/>
        <w:t>世界卫生组织关于狼疮性肾炎的分型标准： 第一型 微小病变型狼疮性肾炎</w:t>
      </w:r>
    </w:p>
    <w:p>
      <w:pPr>
        <w:pStyle w:val="BodyText"/>
        <w:spacing w:before="66"/>
        <w:ind w:left="2398"/>
      </w:pPr>
      <w:r>
        <w:rPr/>
        <w:t>第二型 系膜增生型狼疮性肾炎</w:t>
      </w:r>
    </w:p>
    <w:p>
      <w:pPr>
        <w:spacing w:after="0"/>
        <w:sectPr>
          <w:pgSz w:w="11910" w:h="16840"/>
          <w:pgMar w:header="0" w:footer="925" w:top="1120" w:bottom="1200" w:left="1680" w:right="1380"/>
        </w:sectPr>
      </w:pPr>
    </w:p>
    <w:p>
      <w:pPr>
        <w:pStyle w:val="BodyText"/>
        <w:spacing w:line="477" w:lineRule="auto" w:before="20"/>
        <w:ind w:left="2398" w:right="3288"/>
      </w:pPr>
      <w:r>
        <w:rPr/>
        <w:t>第三型 局灶节段增生型狼疮性肾炎第四型 弥漫增生型狼疮性肾炎</w:t>
      </w:r>
    </w:p>
    <w:p>
      <w:pPr>
        <w:pStyle w:val="BodyText"/>
        <w:spacing w:before="23"/>
        <w:ind w:left="2398"/>
      </w:pPr>
      <w:r>
        <w:rPr/>
        <w:t>第五型 膜型狼疮性肾炎</w:t>
      </w:r>
    </w:p>
    <w:p>
      <w:pPr>
        <w:pStyle w:val="BodyText"/>
        <w:spacing w:before="9"/>
        <w:rPr>
          <w:sz w:val="14"/>
        </w:rPr>
      </w:pPr>
    </w:p>
    <w:p>
      <w:pPr>
        <w:pStyle w:val="ListParagraph"/>
        <w:numPr>
          <w:ilvl w:val="2"/>
          <w:numId w:val="12"/>
        </w:numPr>
        <w:tabs>
          <w:tab w:pos="2399" w:val="left" w:leader="none"/>
        </w:tabs>
        <w:spacing w:line="273" w:lineRule="auto" w:before="0" w:after="0"/>
        <w:ind w:left="2398" w:right="240" w:hanging="420"/>
        <w:jc w:val="both"/>
        <w:rPr>
          <w:sz w:val="21"/>
        </w:rPr>
      </w:pPr>
      <w:r>
        <w:rPr>
          <w:spacing w:val="-3"/>
          <w:sz w:val="21"/>
        </w:rPr>
        <w:t>小肠移植：指因肠道疾病或外伤，已经实施了在全身麻醉下进行的小肠的异体器官移植手术。此手术必须由专科医生认为是医学上必需的情况下进行。</w:t>
      </w:r>
    </w:p>
    <w:p>
      <w:pPr>
        <w:pStyle w:val="ListParagraph"/>
        <w:numPr>
          <w:ilvl w:val="2"/>
          <w:numId w:val="12"/>
        </w:numPr>
        <w:tabs>
          <w:tab w:pos="2399" w:val="left" w:leader="none"/>
        </w:tabs>
        <w:spacing w:line="273" w:lineRule="auto" w:before="163" w:after="0"/>
        <w:ind w:left="2398" w:right="216" w:hanging="420"/>
        <w:jc w:val="left"/>
        <w:rPr>
          <w:sz w:val="21"/>
        </w:rPr>
      </w:pPr>
      <w:r>
        <w:rPr>
          <w:spacing w:val="-3"/>
          <w:sz w:val="21"/>
        </w:rPr>
        <w:t>出血性登革热：指因出血性登革热出现全部四种症状，包括高烧、出血现象、肝肿大和循环衰竭</w:t>
      </w:r>
      <w:r>
        <w:rPr>
          <w:sz w:val="21"/>
        </w:rPr>
        <w:t>（</w:t>
      </w:r>
      <w:r>
        <w:rPr>
          <w:spacing w:val="-3"/>
          <w:sz w:val="21"/>
        </w:rPr>
        <w:t>登革热休克综合征，即符合世界卫生组织(WHO</w:t>
      </w:r>
      <w:r>
        <w:rPr>
          <w:spacing w:val="-2"/>
          <w:sz w:val="21"/>
        </w:rPr>
        <w:t>)登革热第 </w:t>
      </w:r>
      <w:r>
        <w:rPr>
          <w:sz w:val="21"/>
        </w:rPr>
        <w:t>III 级及 第 IV</w:t>
      </w:r>
      <w:r>
        <w:rPr>
          <w:spacing w:val="0"/>
          <w:sz w:val="21"/>
        </w:rPr>
        <w:t> 级</w:t>
      </w:r>
      <w:r>
        <w:rPr>
          <w:spacing w:val="-106"/>
          <w:sz w:val="21"/>
        </w:rPr>
        <w:t>）</w:t>
      </w:r>
      <w:r>
        <w:rPr>
          <w:spacing w:val="-3"/>
          <w:sz w:val="21"/>
        </w:rPr>
        <w:t>。出血性登革热的诊断必须由本公司认可医院的专科医生确诊。 非出血性登革热不在本保障范围内。</w:t>
      </w:r>
    </w:p>
    <w:p>
      <w:pPr>
        <w:pStyle w:val="ListParagraph"/>
        <w:numPr>
          <w:ilvl w:val="2"/>
          <w:numId w:val="12"/>
        </w:numPr>
        <w:tabs>
          <w:tab w:pos="2399" w:val="left" w:leader="none"/>
        </w:tabs>
        <w:spacing w:line="273" w:lineRule="auto" w:before="164" w:after="0"/>
        <w:ind w:left="2398" w:right="240" w:hanging="420"/>
        <w:jc w:val="left"/>
        <w:rPr>
          <w:sz w:val="21"/>
        </w:rPr>
      </w:pPr>
      <w:r>
        <w:rPr>
          <w:spacing w:val="-3"/>
          <w:sz w:val="21"/>
        </w:rPr>
        <w:t>严重心肌炎：指被保险人因严重心肌炎性病变导致心功能损害造成持续的永久不可逆性的心功能衰竭。必须满足所有以下条件：</w:t>
      </w:r>
    </w:p>
    <w:p>
      <w:pPr>
        <w:pStyle w:val="ListParagraph"/>
        <w:numPr>
          <w:ilvl w:val="3"/>
          <w:numId w:val="12"/>
        </w:numPr>
        <w:tabs>
          <w:tab w:pos="3239" w:val="left" w:leader="none"/>
        </w:tabs>
        <w:spacing w:line="273" w:lineRule="auto" w:before="163" w:after="0"/>
        <w:ind w:left="3272" w:right="240" w:hanging="420"/>
        <w:jc w:val="left"/>
        <w:rPr>
          <w:sz w:val="21"/>
        </w:rPr>
      </w:pPr>
      <w:r>
        <w:rPr>
          <w:spacing w:val="-3"/>
          <w:sz w:val="21"/>
        </w:rPr>
        <w:t>心功能衰竭程度达到纽约心脏病学会的心功能分级标准之心</w:t>
      </w:r>
      <w:r>
        <w:rPr>
          <w:spacing w:val="-19"/>
          <w:sz w:val="21"/>
        </w:rPr>
        <w:t>功能 </w:t>
      </w:r>
      <w:r>
        <w:rPr>
          <w:sz w:val="21"/>
        </w:rPr>
        <w:t>IV</w:t>
      </w:r>
      <w:r>
        <w:rPr>
          <w:spacing w:val="-13"/>
          <w:sz w:val="21"/>
        </w:rPr>
        <w:t> 级，或左室射血分数低于 </w:t>
      </w:r>
      <w:r>
        <w:rPr>
          <w:sz w:val="21"/>
        </w:rPr>
        <w:t>30%；</w:t>
      </w:r>
    </w:p>
    <w:p>
      <w:pPr>
        <w:pStyle w:val="ListParagraph"/>
        <w:numPr>
          <w:ilvl w:val="3"/>
          <w:numId w:val="12"/>
        </w:numPr>
        <w:tabs>
          <w:tab w:pos="3239" w:val="left" w:leader="none"/>
        </w:tabs>
        <w:spacing w:line="240" w:lineRule="auto" w:before="163" w:after="0"/>
        <w:ind w:left="3272" w:right="0" w:hanging="420"/>
        <w:jc w:val="left"/>
        <w:rPr>
          <w:sz w:val="21"/>
        </w:rPr>
      </w:pPr>
      <w:r>
        <w:rPr>
          <w:spacing w:val="-8"/>
          <w:sz w:val="21"/>
        </w:rPr>
        <w:t>上述情况持续不间断 </w:t>
      </w:r>
      <w:r>
        <w:rPr>
          <w:sz w:val="21"/>
        </w:rPr>
        <w:t>180</w:t>
      </w:r>
      <w:r>
        <w:rPr>
          <w:spacing w:val="-11"/>
          <w:sz w:val="21"/>
        </w:rPr>
        <w:t> 天以上；</w:t>
      </w:r>
    </w:p>
    <w:p>
      <w:pPr>
        <w:pStyle w:val="BodyText"/>
        <w:spacing w:before="9"/>
        <w:rPr>
          <w:sz w:val="14"/>
        </w:rPr>
      </w:pPr>
    </w:p>
    <w:p>
      <w:pPr>
        <w:pStyle w:val="ListParagraph"/>
        <w:numPr>
          <w:ilvl w:val="3"/>
          <w:numId w:val="12"/>
        </w:numPr>
        <w:tabs>
          <w:tab w:pos="3239" w:val="left" w:leader="none"/>
        </w:tabs>
        <w:spacing w:line="273" w:lineRule="auto" w:before="0" w:after="0"/>
        <w:ind w:left="3272" w:right="240" w:hanging="420"/>
        <w:jc w:val="left"/>
        <w:rPr>
          <w:sz w:val="21"/>
        </w:rPr>
      </w:pPr>
      <w:r>
        <w:rPr>
          <w:spacing w:val="-3"/>
          <w:sz w:val="21"/>
        </w:rPr>
        <w:t>被保险人永久不可逆性的体力活动能力受限，不能从事任何体力活动。</w:t>
      </w:r>
    </w:p>
    <w:p>
      <w:pPr>
        <w:pStyle w:val="ListParagraph"/>
        <w:numPr>
          <w:ilvl w:val="2"/>
          <w:numId w:val="12"/>
        </w:numPr>
        <w:tabs>
          <w:tab w:pos="2399" w:val="left" w:leader="none"/>
        </w:tabs>
        <w:spacing w:line="273" w:lineRule="auto" w:before="163" w:after="0"/>
        <w:ind w:left="2398" w:right="110" w:hanging="420"/>
        <w:jc w:val="left"/>
        <w:rPr>
          <w:sz w:val="21"/>
        </w:rPr>
      </w:pPr>
      <w:r>
        <w:rPr>
          <w:spacing w:val="-10"/>
          <w:sz w:val="21"/>
        </w:rPr>
        <w:t>进行性核上性麻痹：指一种隐袭起病、逐渐加重的神经系统变性疾病， </w:t>
      </w:r>
      <w:r>
        <w:rPr>
          <w:spacing w:val="-5"/>
          <w:sz w:val="21"/>
        </w:rPr>
        <w:t>必须由本公司认可的神经内科专科医生确诊，且满足下列全部临床特征：</w:t>
      </w:r>
    </w:p>
    <w:p>
      <w:pPr>
        <w:pStyle w:val="ListParagraph"/>
        <w:numPr>
          <w:ilvl w:val="3"/>
          <w:numId w:val="12"/>
        </w:numPr>
        <w:tabs>
          <w:tab w:pos="3239" w:val="left" w:leader="none"/>
        </w:tabs>
        <w:spacing w:line="240" w:lineRule="auto" w:before="164" w:after="0"/>
        <w:ind w:left="3238" w:right="0" w:hanging="386"/>
        <w:jc w:val="left"/>
        <w:rPr>
          <w:sz w:val="21"/>
        </w:rPr>
      </w:pPr>
      <w:r>
        <w:rPr>
          <w:spacing w:val="-2"/>
          <w:sz w:val="21"/>
        </w:rPr>
        <w:t>步态共济失调；</w:t>
      </w:r>
    </w:p>
    <w:p>
      <w:pPr>
        <w:pStyle w:val="BodyText"/>
        <w:spacing w:before="9"/>
        <w:rPr>
          <w:sz w:val="14"/>
        </w:rPr>
      </w:pPr>
    </w:p>
    <w:p>
      <w:pPr>
        <w:pStyle w:val="ListParagraph"/>
        <w:numPr>
          <w:ilvl w:val="3"/>
          <w:numId w:val="12"/>
        </w:numPr>
        <w:tabs>
          <w:tab w:pos="3239" w:val="left" w:leader="none"/>
        </w:tabs>
        <w:spacing w:line="240" w:lineRule="auto" w:before="1" w:after="0"/>
        <w:ind w:left="3238" w:right="0" w:hanging="386"/>
        <w:jc w:val="left"/>
        <w:rPr>
          <w:sz w:val="21"/>
        </w:rPr>
      </w:pPr>
      <w:r>
        <w:rPr>
          <w:spacing w:val="-3"/>
          <w:sz w:val="21"/>
        </w:rPr>
        <w:t>对称性眼球垂直运动障碍；</w:t>
      </w:r>
    </w:p>
    <w:p>
      <w:pPr>
        <w:pStyle w:val="BodyText"/>
        <w:spacing w:before="10"/>
        <w:rPr>
          <w:sz w:val="14"/>
        </w:rPr>
      </w:pPr>
    </w:p>
    <w:p>
      <w:pPr>
        <w:pStyle w:val="ListParagraph"/>
        <w:numPr>
          <w:ilvl w:val="3"/>
          <w:numId w:val="12"/>
        </w:numPr>
        <w:tabs>
          <w:tab w:pos="3239" w:val="left" w:leader="none"/>
        </w:tabs>
        <w:spacing w:line="240" w:lineRule="auto" w:before="0" w:after="0"/>
        <w:ind w:left="3238" w:right="0" w:hanging="386"/>
        <w:jc w:val="left"/>
        <w:rPr>
          <w:sz w:val="21"/>
        </w:rPr>
      </w:pPr>
      <w:r>
        <w:rPr>
          <w:spacing w:val="-2"/>
          <w:sz w:val="21"/>
        </w:rPr>
        <w:t>假性球麻痹</w:t>
      </w:r>
      <w:r>
        <w:rPr>
          <w:sz w:val="21"/>
        </w:rPr>
        <w:t>（</w:t>
      </w:r>
      <w:r>
        <w:rPr>
          <w:spacing w:val="-3"/>
          <w:sz w:val="21"/>
        </w:rPr>
        <w:t>构音障碍和吞咽困难</w:t>
      </w:r>
      <w:r>
        <w:rPr>
          <w:spacing w:val="-108"/>
          <w:sz w:val="21"/>
        </w:rPr>
        <w:t>）</w:t>
      </w:r>
      <w:r>
        <w:rPr>
          <w:sz w:val="21"/>
        </w:rPr>
        <w:t>。</w:t>
      </w:r>
    </w:p>
    <w:p>
      <w:pPr>
        <w:pStyle w:val="BodyText"/>
        <w:spacing w:before="9"/>
        <w:rPr>
          <w:sz w:val="14"/>
        </w:rPr>
      </w:pPr>
    </w:p>
    <w:p>
      <w:pPr>
        <w:pStyle w:val="ListParagraph"/>
        <w:numPr>
          <w:ilvl w:val="2"/>
          <w:numId w:val="12"/>
        </w:numPr>
        <w:tabs>
          <w:tab w:pos="2399" w:val="left" w:leader="none"/>
        </w:tabs>
        <w:spacing w:line="273" w:lineRule="auto" w:before="1" w:after="0"/>
        <w:ind w:left="2398" w:right="240" w:hanging="420"/>
        <w:jc w:val="both"/>
        <w:rPr>
          <w:sz w:val="21"/>
        </w:rPr>
      </w:pPr>
      <w:r>
        <w:rPr>
          <w:spacing w:val="-3"/>
          <w:sz w:val="21"/>
        </w:rPr>
        <w:t>严重肌营养不良症：指一组遗传性肌肉变性病变，临床特征为与神经系统无关的骨骼肌肉对称地进行性无力和萎缩。此症必须由本公司认可的神经内科专科医生明确诊断，并且需满足下列全部条件：</w:t>
      </w:r>
    </w:p>
    <w:p>
      <w:pPr>
        <w:pStyle w:val="ListParagraph"/>
        <w:numPr>
          <w:ilvl w:val="3"/>
          <w:numId w:val="12"/>
        </w:numPr>
        <w:tabs>
          <w:tab w:pos="3239" w:val="left" w:leader="none"/>
        </w:tabs>
        <w:spacing w:line="240" w:lineRule="auto" w:before="164" w:after="0"/>
        <w:ind w:left="3272" w:right="0" w:hanging="420"/>
        <w:jc w:val="left"/>
        <w:rPr>
          <w:sz w:val="21"/>
        </w:rPr>
      </w:pPr>
      <w:r>
        <w:rPr>
          <w:spacing w:val="-3"/>
          <w:sz w:val="21"/>
        </w:rPr>
        <w:t>肌电图显示典型肌营养不良症的阳性改变；</w:t>
      </w:r>
    </w:p>
    <w:p>
      <w:pPr>
        <w:pStyle w:val="BodyText"/>
        <w:spacing w:before="10"/>
        <w:rPr>
          <w:sz w:val="14"/>
        </w:rPr>
      </w:pPr>
    </w:p>
    <w:p>
      <w:pPr>
        <w:pStyle w:val="ListParagraph"/>
        <w:numPr>
          <w:ilvl w:val="3"/>
          <w:numId w:val="12"/>
        </w:numPr>
        <w:tabs>
          <w:tab w:pos="3239" w:val="left" w:leader="none"/>
        </w:tabs>
        <w:spacing w:line="273" w:lineRule="auto" w:before="0" w:after="0"/>
        <w:ind w:left="3272" w:right="240" w:hanging="420"/>
        <w:jc w:val="left"/>
        <w:rPr>
          <w:sz w:val="21"/>
        </w:rPr>
      </w:pPr>
      <w:r>
        <w:rPr>
          <w:spacing w:val="-3"/>
          <w:sz w:val="21"/>
        </w:rPr>
        <w:t>肌肉活检的病理学诊断符合肌营养不良症的肌肉细胞变性、坏死等阳性改变；</w:t>
      </w:r>
    </w:p>
    <w:p>
      <w:pPr>
        <w:pStyle w:val="ListParagraph"/>
        <w:numPr>
          <w:ilvl w:val="3"/>
          <w:numId w:val="12"/>
        </w:numPr>
        <w:tabs>
          <w:tab w:pos="3239" w:val="left" w:leader="none"/>
        </w:tabs>
        <w:spacing w:line="273" w:lineRule="auto" w:before="164" w:after="0"/>
        <w:ind w:left="3272" w:right="240" w:hanging="420"/>
        <w:jc w:val="left"/>
        <w:rPr>
          <w:sz w:val="21"/>
        </w:rPr>
      </w:pPr>
      <w:r>
        <w:rPr>
          <w:spacing w:val="-3"/>
          <w:sz w:val="21"/>
        </w:rPr>
        <w:t>已导致被保险人持续超过三个月无法独立完成六项基本日常生活活动中的三项或三项以上。</w:t>
      </w:r>
    </w:p>
    <w:p>
      <w:pPr>
        <w:pStyle w:val="ListParagraph"/>
        <w:numPr>
          <w:ilvl w:val="2"/>
          <w:numId w:val="12"/>
        </w:numPr>
        <w:tabs>
          <w:tab w:pos="2399" w:val="left" w:leader="none"/>
        </w:tabs>
        <w:spacing w:line="273" w:lineRule="auto" w:before="163" w:after="0"/>
        <w:ind w:left="2398" w:right="112" w:hanging="420"/>
        <w:jc w:val="left"/>
        <w:rPr>
          <w:sz w:val="21"/>
        </w:rPr>
      </w:pPr>
      <w:r>
        <w:rPr>
          <w:spacing w:val="-3"/>
          <w:sz w:val="21"/>
        </w:rPr>
        <w:t>植物人状态：指脑皮质广泛性坏死而导致对自身及周边的认知能力完全丧失,但脑干功能依然存在。必须由神经专科医生明确诊断,并有头</w:t>
      </w:r>
      <w:r>
        <w:rPr>
          <w:spacing w:val="-11"/>
          <w:w w:val="100"/>
          <w:sz w:val="21"/>
        </w:rPr>
        <w:t>颅断层扫描</w:t>
      </w:r>
      <w:r>
        <w:rPr>
          <w:spacing w:val="-3"/>
          <w:w w:val="100"/>
          <w:sz w:val="21"/>
        </w:rPr>
        <w:t>（</w:t>
      </w:r>
      <w:r>
        <w:rPr>
          <w:w w:val="100"/>
          <w:sz w:val="21"/>
        </w:rPr>
        <w:t>CT</w:t>
      </w:r>
      <w:r>
        <w:rPr>
          <w:spacing w:val="-106"/>
          <w:w w:val="100"/>
          <w:sz w:val="21"/>
        </w:rPr>
        <w:t>）</w:t>
      </w:r>
      <w:r>
        <w:rPr>
          <w:spacing w:val="-14"/>
          <w:w w:val="100"/>
          <w:sz w:val="21"/>
        </w:rPr>
        <w:t>，核磁共振检查</w:t>
      </w:r>
      <w:r>
        <w:rPr>
          <w:spacing w:val="-3"/>
          <w:w w:val="100"/>
          <w:sz w:val="21"/>
        </w:rPr>
        <w:t>（</w:t>
      </w:r>
      <w:r>
        <w:rPr>
          <w:w w:val="100"/>
          <w:sz w:val="21"/>
        </w:rPr>
        <w:t>MRI</w:t>
      </w:r>
      <w:r>
        <w:rPr>
          <w:spacing w:val="-41"/>
          <w:w w:val="100"/>
          <w:sz w:val="21"/>
        </w:rPr>
        <w:t>）</w:t>
      </w:r>
      <w:r>
        <w:rPr>
          <w:spacing w:val="-7"/>
          <w:w w:val="100"/>
          <w:sz w:val="21"/>
        </w:rPr>
        <w:t>或正电子发射断层扫描</w:t>
      </w:r>
      <w:r>
        <w:rPr>
          <w:spacing w:val="-3"/>
          <w:w w:val="100"/>
          <w:sz w:val="21"/>
        </w:rPr>
        <w:t>（</w:t>
      </w:r>
      <w:r>
        <w:rPr>
          <w:w w:val="100"/>
          <w:sz w:val="21"/>
        </w:rPr>
        <w:t>PET）</w:t>
      </w:r>
      <w:r>
        <w:rPr>
          <w:spacing w:val="-12"/>
          <w:sz w:val="21"/>
        </w:rPr>
        <w:t>等影像学检查证实。上述情况必须有至少一个月的病历记录加以证实。</w:t>
      </w:r>
    </w:p>
    <w:p>
      <w:pPr>
        <w:spacing w:after="0" w:line="273" w:lineRule="auto"/>
        <w:jc w:val="left"/>
        <w:rPr>
          <w:sz w:val="21"/>
        </w:rPr>
        <w:sectPr>
          <w:pgSz w:w="11910" w:h="16840"/>
          <w:pgMar w:header="0" w:footer="925" w:top="1120" w:bottom="1200" w:left="1680" w:right="1280"/>
        </w:sectPr>
      </w:pPr>
    </w:p>
    <w:p>
      <w:pPr>
        <w:pStyle w:val="BodyText"/>
        <w:spacing w:before="22"/>
        <w:ind w:left="2432"/>
      </w:pPr>
      <w:r>
        <w:rPr/>
        <w:t>由于酗酒或滥用药物所致的植物人状态不在保障范围内。</w:t>
      </w:r>
    </w:p>
    <w:p>
      <w:pPr>
        <w:pStyle w:val="BodyText"/>
        <w:spacing w:before="10"/>
        <w:rPr>
          <w:sz w:val="14"/>
        </w:rPr>
      </w:pPr>
    </w:p>
    <w:p>
      <w:pPr>
        <w:pStyle w:val="ListParagraph"/>
        <w:numPr>
          <w:ilvl w:val="2"/>
          <w:numId w:val="12"/>
        </w:numPr>
        <w:tabs>
          <w:tab w:pos="2399" w:val="left" w:leader="none"/>
        </w:tabs>
        <w:spacing w:line="273" w:lineRule="auto" w:before="0" w:after="0"/>
        <w:ind w:left="2398" w:right="239" w:hanging="420"/>
        <w:jc w:val="both"/>
        <w:rPr>
          <w:sz w:val="21"/>
        </w:rPr>
      </w:pPr>
      <w:r>
        <w:rPr>
          <w:spacing w:val="-3"/>
          <w:sz w:val="21"/>
        </w:rPr>
        <w:t>溶血性链球菌引起的坏疽：指包围肢体或者躯干的浅筋膜或者深筋膜受到溶血性链球菌的感染，病情在短时间内急剧恶化，且已经立刻进行了手术及清创术。最后的诊断必须由微生物或者病理学专家进行相关检查后证实。</w:t>
      </w:r>
    </w:p>
    <w:p>
      <w:pPr>
        <w:pStyle w:val="ListParagraph"/>
        <w:numPr>
          <w:ilvl w:val="2"/>
          <w:numId w:val="12"/>
        </w:numPr>
        <w:tabs>
          <w:tab w:pos="2399" w:val="left" w:leader="none"/>
        </w:tabs>
        <w:spacing w:line="273" w:lineRule="auto" w:before="163" w:after="0"/>
        <w:ind w:left="2398" w:right="113" w:hanging="420"/>
        <w:jc w:val="left"/>
        <w:rPr>
          <w:sz w:val="21"/>
        </w:rPr>
      </w:pPr>
      <w:r>
        <w:rPr>
          <w:spacing w:val="-11"/>
          <w:sz w:val="21"/>
        </w:rPr>
        <w:t>丝虫病所致象皮肿：指因丝虫感染导致淋巴阻塞性出现严重淋巴水肿， </w:t>
      </w:r>
      <w:r>
        <w:rPr>
          <w:spacing w:val="-6"/>
          <w:sz w:val="21"/>
        </w:rPr>
        <w:t>达到国际淋巴学会淋巴水肿分期第Ⅲ期，临床表现为肢体象皮肿，患</w:t>
      </w:r>
      <w:r>
        <w:rPr>
          <w:spacing w:val="-9"/>
          <w:sz w:val="21"/>
        </w:rPr>
        <w:t>肢较健肢增粗 </w:t>
      </w:r>
      <w:r>
        <w:rPr>
          <w:sz w:val="21"/>
        </w:rPr>
        <w:t>30</w:t>
      </w:r>
      <w:r>
        <w:rPr>
          <w:spacing w:val="-3"/>
          <w:sz w:val="21"/>
        </w:rPr>
        <w:t>%以上，日常生活不能自理。此症必须由本公司认可的专科医生确诊，并且且以微丝蚴化验结果阳性确认。</w:t>
      </w:r>
    </w:p>
    <w:p>
      <w:pPr>
        <w:pStyle w:val="ListParagraph"/>
        <w:numPr>
          <w:ilvl w:val="2"/>
          <w:numId w:val="12"/>
        </w:numPr>
        <w:tabs>
          <w:tab w:pos="2399" w:val="left" w:leader="none"/>
        </w:tabs>
        <w:spacing w:line="273" w:lineRule="auto" w:before="163" w:after="0"/>
        <w:ind w:left="2398" w:right="240" w:hanging="420"/>
        <w:jc w:val="both"/>
        <w:rPr>
          <w:sz w:val="21"/>
        </w:rPr>
      </w:pPr>
      <w:r>
        <w:rPr>
          <w:spacing w:val="-3"/>
          <w:sz w:val="21"/>
        </w:rPr>
        <w:t>埃博拉病毒感染：受埃博拉病毒感染导致出血性发热。埃博拉病必须经传染病专科医生确诊，并且埃博拉病毒的存在必须经过实验室检查证实。该病必须从症状开始后三十天后持续出现并发症。</w:t>
      </w:r>
    </w:p>
    <w:p>
      <w:pPr>
        <w:pStyle w:val="ListParagraph"/>
        <w:numPr>
          <w:ilvl w:val="2"/>
          <w:numId w:val="12"/>
        </w:numPr>
        <w:tabs>
          <w:tab w:pos="2399" w:val="left" w:leader="none"/>
        </w:tabs>
        <w:spacing w:line="273" w:lineRule="auto" w:before="164" w:after="0"/>
        <w:ind w:left="2398" w:right="216" w:hanging="420"/>
        <w:jc w:val="both"/>
        <w:rPr>
          <w:sz w:val="21"/>
        </w:rPr>
      </w:pPr>
      <w:r>
        <w:rPr>
          <w:spacing w:val="-5"/>
          <w:sz w:val="21"/>
        </w:rPr>
        <w:t>经输血导致的人类免疫缺陷病毒</w:t>
      </w:r>
      <w:r>
        <w:rPr>
          <w:spacing w:val="-7"/>
          <w:sz w:val="21"/>
        </w:rPr>
        <w:t>（HIV）</w:t>
      </w:r>
      <w:r>
        <w:rPr>
          <w:spacing w:val="-6"/>
          <w:sz w:val="21"/>
        </w:rPr>
        <w:t>感染：被保险人感染上人类免</w:t>
      </w:r>
      <w:r>
        <w:rPr>
          <w:spacing w:val="-3"/>
          <w:sz w:val="21"/>
        </w:rPr>
        <w:t>疫缺陷病毒</w:t>
      </w:r>
      <w:r>
        <w:rPr>
          <w:spacing w:val="-1"/>
          <w:sz w:val="21"/>
        </w:rPr>
        <w:t>（HIV）</w:t>
      </w:r>
      <w:r>
        <w:rPr>
          <w:spacing w:val="-3"/>
          <w:sz w:val="21"/>
        </w:rPr>
        <w:t>并且满足下列全部条件：</w:t>
      </w:r>
    </w:p>
    <w:p>
      <w:pPr>
        <w:pStyle w:val="ListParagraph"/>
        <w:numPr>
          <w:ilvl w:val="3"/>
          <w:numId w:val="12"/>
        </w:numPr>
        <w:tabs>
          <w:tab w:pos="3239" w:val="left" w:leader="none"/>
        </w:tabs>
        <w:spacing w:line="240" w:lineRule="auto" w:before="163" w:after="0"/>
        <w:ind w:left="3272" w:right="0" w:hanging="420"/>
        <w:jc w:val="left"/>
        <w:rPr>
          <w:sz w:val="21"/>
        </w:rPr>
      </w:pPr>
      <w:r>
        <w:rPr>
          <w:spacing w:val="-3"/>
          <w:sz w:val="21"/>
        </w:rPr>
        <w:t>被保险人因疾病接受输血治疗而感染人类免疫缺陷病毒</w:t>
      </w:r>
    </w:p>
    <w:p>
      <w:pPr>
        <w:pStyle w:val="BodyText"/>
        <w:spacing w:before="36"/>
        <w:ind w:left="3272"/>
      </w:pPr>
      <w:r>
        <w:rPr>
          <w:w w:val="100"/>
        </w:rPr>
        <w:t>（HIV</w:t>
      </w:r>
      <w:r>
        <w:rPr>
          <w:spacing w:val="-108"/>
          <w:w w:val="100"/>
        </w:rPr>
        <w:t>）；</w:t>
      </w:r>
    </w:p>
    <w:p>
      <w:pPr>
        <w:pStyle w:val="BodyText"/>
        <w:spacing w:before="9"/>
        <w:rPr>
          <w:sz w:val="14"/>
        </w:rPr>
      </w:pPr>
    </w:p>
    <w:p>
      <w:pPr>
        <w:pStyle w:val="ListParagraph"/>
        <w:numPr>
          <w:ilvl w:val="3"/>
          <w:numId w:val="12"/>
        </w:numPr>
        <w:tabs>
          <w:tab w:pos="3239" w:val="left" w:leader="none"/>
        </w:tabs>
        <w:spacing w:line="273" w:lineRule="auto" w:before="0" w:after="0"/>
        <w:ind w:left="3272" w:right="240" w:hanging="420"/>
        <w:jc w:val="left"/>
        <w:rPr>
          <w:sz w:val="21"/>
        </w:rPr>
      </w:pPr>
      <w:r>
        <w:rPr>
          <w:spacing w:val="-3"/>
          <w:sz w:val="21"/>
        </w:rPr>
        <w:t>提供输血治疗的输血中心或医院出具该项输血感染属医疗责任事故的报告，或经法院终审判决为医疗责任；</w:t>
      </w:r>
    </w:p>
    <w:p>
      <w:pPr>
        <w:pStyle w:val="ListParagraph"/>
        <w:numPr>
          <w:ilvl w:val="3"/>
          <w:numId w:val="12"/>
        </w:numPr>
        <w:tabs>
          <w:tab w:pos="3239" w:val="left" w:leader="none"/>
        </w:tabs>
        <w:spacing w:line="240" w:lineRule="auto" w:before="163" w:after="0"/>
        <w:ind w:left="3272" w:right="0" w:hanging="420"/>
        <w:jc w:val="left"/>
        <w:rPr>
          <w:sz w:val="21"/>
        </w:rPr>
      </w:pPr>
      <w:r>
        <w:rPr>
          <w:spacing w:val="-3"/>
          <w:sz w:val="21"/>
        </w:rPr>
        <w:t>提供输血治疗的输血中心或医院必须拥有合法经营执照；</w:t>
      </w:r>
    </w:p>
    <w:p>
      <w:pPr>
        <w:pStyle w:val="BodyText"/>
        <w:spacing w:before="9"/>
        <w:rPr>
          <w:sz w:val="14"/>
        </w:rPr>
      </w:pPr>
    </w:p>
    <w:p>
      <w:pPr>
        <w:pStyle w:val="ListParagraph"/>
        <w:numPr>
          <w:ilvl w:val="3"/>
          <w:numId w:val="12"/>
        </w:numPr>
        <w:tabs>
          <w:tab w:pos="3239" w:val="left" w:leader="none"/>
        </w:tabs>
        <w:spacing w:line="240" w:lineRule="auto" w:before="0" w:after="0"/>
        <w:ind w:left="3272" w:right="0" w:hanging="420"/>
        <w:jc w:val="left"/>
        <w:rPr>
          <w:sz w:val="21"/>
        </w:rPr>
      </w:pPr>
      <w:r>
        <w:rPr>
          <w:spacing w:val="-3"/>
          <w:sz w:val="21"/>
        </w:rPr>
        <w:t>受感染的被保险人不是血友病患者。</w:t>
      </w:r>
    </w:p>
    <w:p>
      <w:pPr>
        <w:pStyle w:val="BodyText"/>
        <w:spacing w:before="9"/>
        <w:rPr>
          <w:sz w:val="14"/>
        </w:rPr>
      </w:pPr>
    </w:p>
    <w:p>
      <w:pPr>
        <w:pStyle w:val="BodyText"/>
        <w:spacing w:line="273" w:lineRule="auto"/>
        <w:ind w:left="2432" w:right="218"/>
      </w:pPr>
      <w:r>
        <w:rPr>
          <w:spacing w:val="-4"/>
        </w:rPr>
        <w:t>任何因其它传播方式</w:t>
      </w:r>
      <w:r>
        <w:rPr>
          <w:spacing w:val="-3"/>
        </w:rPr>
        <w:t>（包括：性传播或静脉注射毒品</w:t>
      </w:r>
      <w:r>
        <w:rPr>
          <w:spacing w:val="-5"/>
        </w:rPr>
        <w:t>）</w:t>
      </w:r>
      <w:r>
        <w:rPr>
          <w:spacing w:val="-3"/>
        </w:rPr>
        <w:t>导致的人类免疫缺陷病毒</w:t>
      </w:r>
      <w:r>
        <w:rPr/>
        <w:t>（HIV）</w:t>
      </w:r>
      <w:r>
        <w:rPr>
          <w:spacing w:val="-3"/>
        </w:rPr>
        <w:t>感染不在本附加合同保障范围内。我们必须拥有获得使用被保险人的所有血液样本的权利和能够对这些样本进行独 立检验的权利。</w:t>
      </w:r>
    </w:p>
    <w:p>
      <w:pPr>
        <w:pStyle w:val="ListParagraph"/>
        <w:numPr>
          <w:ilvl w:val="2"/>
          <w:numId w:val="12"/>
        </w:numPr>
        <w:tabs>
          <w:tab w:pos="2399" w:val="left" w:leader="none"/>
        </w:tabs>
        <w:spacing w:line="273" w:lineRule="auto" w:before="163" w:after="0"/>
        <w:ind w:left="2398" w:right="215" w:hanging="420"/>
        <w:jc w:val="both"/>
        <w:rPr>
          <w:sz w:val="21"/>
        </w:rPr>
      </w:pPr>
      <w:r>
        <w:rPr>
          <w:spacing w:val="-5"/>
          <w:sz w:val="21"/>
        </w:rPr>
        <w:t>因职业关系导致的人类免疫缺陷病毒</w:t>
      </w:r>
      <w:r>
        <w:rPr>
          <w:spacing w:val="-7"/>
          <w:sz w:val="21"/>
        </w:rPr>
        <w:t>（HIV）感染：被保险人在其常规</w:t>
      </w:r>
      <w:r>
        <w:rPr>
          <w:spacing w:val="-5"/>
          <w:sz w:val="21"/>
        </w:rPr>
        <w:t>职业工作过程中遭遇外伤，或职业需要处理血液或其它体液时感染上</w:t>
      </w:r>
      <w:r>
        <w:rPr>
          <w:spacing w:val="-4"/>
          <w:w w:val="100"/>
          <w:sz w:val="21"/>
        </w:rPr>
        <w:t>人类免疫缺陷病毒</w:t>
      </w:r>
      <w:r>
        <w:rPr>
          <w:spacing w:val="-3"/>
          <w:w w:val="100"/>
          <w:sz w:val="21"/>
        </w:rPr>
        <w:t>（</w:t>
      </w:r>
      <w:r>
        <w:rPr>
          <w:w w:val="100"/>
          <w:sz w:val="21"/>
        </w:rPr>
        <w:t>HIV</w:t>
      </w:r>
      <w:r>
        <w:rPr>
          <w:spacing w:val="-108"/>
          <w:w w:val="100"/>
          <w:sz w:val="21"/>
        </w:rPr>
        <w:t>）</w:t>
      </w:r>
      <w:r>
        <w:rPr>
          <w:spacing w:val="-3"/>
          <w:w w:val="100"/>
          <w:sz w:val="21"/>
        </w:rPr>
        <w:t>。必须满足下列全部条件：</w:t>
      </w:r>
    </w:p>
    <w:p>
      <w:pPr>
        <w:pStyle w:val="ListParagraph"/>
        <w:numPr>
          <w:ilvl w:val="3"/>
          <w:numId w:val="12"/>
        </w:numPr>
        <w:tabs>
          <w:tab w:pos="3239" w:val="left" w:leader="none"/>
        </w:tabs>
        <w:spacing w:line="273" w:lineRule="auto" w:before="163" w:after="0"/>
        <w:ind w:left="3272" w:right="240" w:hanging="420"/>
        <w:jc w:val="left"/>
        <w:rPr>
          <w:sz w:val="21"/>
        </w:rPr>
      </w:pPr>
      <w:r>
        <w:rPr>
          <w:spacing w:val="-3"/>
          <w:sz w:val="21"/>
        </w:rPr>
        <w:t>感染必须是在被保险人正在从事其职业工作中发生，该职业必须属于下列限定职业范围内的职业；</w:t>
      </w:r>
    </w:p>
    <w:p>
      <w:pPr>
        <w:pStyle w:val="ListParagraph"/>
        <w:numPr>
          <w:ilvl w:val="3"/>
          <w:numId w:val="12"/>
        </w:numPr>
        <w:tabs>
          <w:tab w:pos="3239" w:val="left" w:leader="none"/>
        </w:tabs>
        <w:spacing w:line="240" w:lineRule="auto" w:before="163" w:after="0"/>
        <w:ind w:left="3272" w:right="0" w:hanging="420"/>
        <w:jc w:val="left"/>
        <w:rPr>
          <w:sz w:val="21"/>
        </w:rPr>
      </w:pPr>
      <w:r>
        <w:rPr>
          <w:spacing w:val="-6"/>
          <w:sz w:val="21"/>
        </w:rPr>
        <w:t>血清转化必须出现在事故发生后的 </w:t>
      </w:r>
      <w:r>
        <w:rPr>
          <w:sz w:val="21"/>
        </w:rPr>
        <w:t>6</w:t>
      </w:r>
      <w:r>
        <w:rPr>
          <w:spacing w:val="-10"/>
          <w:sz w:val="21"/>
        </w:rPr>
        <w:t> 个月以内；</w:t>
      </w:r>
    </w:p>
    <w:p>
      <w:pPr>
        <w:pStyle w:val="BodyText"/>
        <w:spacing w:before="9"/>
        <w:rPr>
          <w:sz w:val="14"/>
        </w:rPr>
      </w:pPr>
    </w:p>
    <w:p>
      <w:pPr>
        <w:pStyle w:val="ListParagraph"/>
        <w:numPr>
          <w:ilvl w:val="3"/>
          <w:numId w:val="12"/>
        </w:numPr>
        <w:tabs>
          <w:tab w:pos="3239" w:val="left" w:leader="none"/>
        </w:tabs>
        <w:spacing w:line="273" w:lineRule="auto" w:before="0" w:after="0"/>
        <w:ind w:left="3272" w:right="239" w:hanging="420"/>
        <w:jc w:val="left"/>
        <w:rPr>
          <w:sz w:val="21"/>
        </w:rPr>
      </w:pPr>
      <w:r>
        <w:rPr>
          <w:spacing w:val="-6"/>
          <w:sz w:val="21"/>
        </w:rPr>
        <w:t>必须提供被保险人在所报事故发生后的 </w:t>
      </w:r>
      <w:r>
        <w:rPr>
          <w:sz w:val="21"/>
        </w:rPr>
        <w:t>5</w:t>
      </w:r>
      <w:r>
        <w:rPr>
          <w:spacing w:val="-8"/>
          <w:sz w:val="21"/>
        </w:rPr>
        <w:t> 天以内进行的检查</w:t>
      </w:r>
      <w:r>
        <w:rPr>
          <w:spacing w:val="-5"/>
          <w:sz w:val="21"/>
        </w:rPr>
        <w:t>报告，该报告必须显示被保险人血液人类免疫缺陷病毒</w:t>
      </w:r>
    </w:p>
    <w:p>
      <w:pPr>
        <w:pStyle w:val="BodyText"/>
        <w:spacing w:before="7"/>
        <w:ind w:left="3272"/>
      </w:pPr>
      <w:r>
        <w:rPr/>
        <w:t>（HIV）阴性和/或人类免疫缺陷病毒（HIV）抗体阴性；</w:t>
      </w:r>
    </w:p>
    <w:p>
      <w:pPr>
        <w:pStyle w:val="BodyText"/>
        <w:spacing w:before="9"/>
        <w:rPr>
          <w:sz w:val="14"/>
        </w:rPr>
      </w:pPr>
    </w:p>
    <w:p>
      <w:pPr>
        <w:pStyle w:val="ListParagraph"/>
        <w:numPr>
          <w:ilvl w:val="3"/>
          <w:numId w:val="12"/>
        </w:numPr>
        <w:tabs>
          <w:tab w:pos="3239" w:val="left" w:leader="none"/>
        </w:tabs>
        <w:spacing w:line="273" w:lineRule="auto" w:before="1" w:after="0"/>
        <w:ind w:left="3272" w:right="345" w:hanging="420"/>
        <w:jc w:val="left"/>
        <w:rPr>
          <w:sz w:val="21"/>
        </w:rPr>
      </w:pPr>
      <w:r>
        <w:rPr>
          <w:spacing w:val="-7"/>
          <w:sz w:val="21"/>
        </w:rPr>
        <w:t>必须在事故发生后的 </w:t>
      </w:r>
      <w:r>
        <w:rPr>
          <w:sz w:val="21"/>
        </w:rPr>
        <w:t>12</w:t>
      </w:r>
      <w:r>
        <w:rPr>
          <w:spacing w:val="-8"/>
          <w:sz w:val="21"/>
        </w:rPr>
        <w:t> 个月内证实被保险人体内存在人类</w:t>
      </w:r>
      <w:r>
        <w:rPr>
          <w:spacing w:val="-3"/>
          <w:sz w:val="21"/>
        </w:rPr>
        <w:t>免疫缺陷病毒</w:t>
      </w:r>
      <w:r>
        <w:rPr>
          <w:spacing w:val="-1"/>
          <w:sz w:val="21"/>
        </w:rPr>
        <w:t>（HIV）</w:t>
      </w:r>
      <w:r>
        <w:rPr>
          <w:spacing w:val="-3"/>
          <w:sz w:val="21"/>
        </w:rPr>
        <w:t>或人类免疫缺陷病毒</w:t>
      </w:r>
      <w:r>
        <w:rPr>
          <w:sz w:val="21"/>
        </w:rPr>
        <w:t>（HIV）</w:t>
      </w:r>
      <w:r>
        <w:rPr>
          <w:spacing w:val="-2"/>
          <w:sz w:val="21"/>
        </w:rPr>
        <w:t>抗体。</w:t>
      </w:r>
    </w:p>
    <w:p>
      <w:pPr>
        <w:pStyle w:val="BodyText"/>
        <w:spacing w:before="164"/>
        <w:ind w:left="2432"/>
      </w:pPr>
      <w:r>
        <w:rPr/>
        <w:t>限定职业：</w:t>
      </w:r>
    </w:p>
    <w:p>
      <w:pPr>
        <w:pStyle w:val="BodyText"/>
        <w:spacing w:before="10"/>
        <w:rPr>
          <w:sz w:val="14"/>
        </w:rPr>
      </w:pPr>
    </w:p>
    <w:p>
      <w:pPr>
        <w:pStyle w:val="BodyText"/>
        <w:ind w:left="2432"/>
      </w:pPr>
      <w:r>
        <w:rPr/>
        <w:t>医生和牙科医生、护士、实验室工作人员、医院护工、医生助理和牙</w:t>
      </w:r>
    </w:p>
    <w:p>
      <w:pPr>
        <w:spacing w:after="0"/>
        <w:sectPr>
          <w:pgSz w:w="11910" w:h="16840"/>
          <w:pgMar w:header="0" w:footer="925" w:top="1080" w:bottom="1200" w:left="1680" w:right="1280"/>
        </w:sectPr>
      </w:pPr>
    </w:p>
    <w:p>
      <w:pPr>
        <w:pStyle w:val="BodyText"/>
        <w:spacing w:before="22"/>
        <w:ind w:left="2432"/>
      </w:pPr>
      <w:r>
        <w:rPr/>
        <w:t>医助理、救护车工作人员、助产士、消防队员、警察、狱警。</w:t>
      </w:r>
    </w:p>
    <w:p>
      <w:pPr>
        <w:pStyle w:val="BodyText"/>
        <w:spacing w:before="10"/>
        <w:rPr>
          <w:sz w:val="14"/>
        </w:rPr>
      </w:pPr>
    </w:p>
    <w:p>
      <w:pPr>
        <w:pStyle w:val="BodyText"/>
        <w:spacing w:line="273" w:lineRule="auto"/>
        <w:ind w:left="2432" w:right="218"/>
      </w:pPr>
      <w:r>
        <w:rPr>
          <w:spacing w:val="-4"/>
        </w:rPr>
        <w:t>任何因其它传播方式</w:t>
      </w:r>
      <w:r>
        <w:rPr>
          <w:spacing w:val="-3"/>
        </w:rPr>
        <w:t>（包括：性传播或静脉注射毒品</w:t>
      </w:r>
      <w:r>
        <w:rPr>
          <w:spacing w:val="-5"/>
        </w:rPr>
        <w:t>）</w:t>
      </w:r>
      <w:r>
        <w:rPr>
          <w:spacing w:val="-3"/>
        </w:rPr>
        <w:t>导致的人类免疫缺陷病毒</w:t>
      </w:r>
      <w:r>
        <w:rPr/>
        <w:t>（HIV）</w:t>
      </w:r>
      <w:r>
        <w:rPr>
          <w:spacing w:val="-3"/>
        </w:rPr>
        <w:t>感染不在本附加合同保障范围内。我们必须拥有获得使用被保险人的所有血液样本的权利和能够对这些样本进行独 立检验的权利。</w:t>
      </w:r>
    </w:p>
    <w:p>
      <w:pPr>
        <w:pStyle w:val="ListParagraph"/>
        <w:numPr>
          <w:ilvl w:val="2"/>
          <w:numId w:val="12"/>
        </w:numPr>
        <w:tabs>
          <w:tab w:pos="2399" w:val="left" w:leader="none"/>
        </w:tabs>
        <w:spacing w:line="273" w:lineRule="auto" w:before="163" w:after="0"/>
        <w:ind w:left="2398" w:right="239" w:hanging="420"/>
        <w:jc w:val="both"/>
        <w:rPr>
          <w:sz w:val="21"/>
        </w:rPr>
      </w:pPr>
      <w:r>
        <w:rPr>
          <w:spacing w:val="-3"/>
          <w:sz w:val="21"/>
        </w:rPr>
        <w:t>严重原发性骨髓纤维化：原发性骨髓纤维化为原因不明的骨髓中成纤维细胞增殖，伴有髓外造血，表现为进行性贫血、脾肿大等症状。本病必须根据骨髓的活组织检查和周围血象检查由本公司认可的血液科专科医生明确诊断，至少符合下列条件中的三项，且符合条件的状态</w:t>
      </w:r>
      <w:r>
        <w:rPr>
          <w:spacing w:val="-16"/>
          <w:sz w:val="21"/>
        </w:rPr>
        <w:t>持续 </w:t>
      </w:r>
      <w:r>
        <w:rPr>
          <w:sz w:val="21"/>
        </w:rPr>
        <w:t>180</w:t>
      </w:r>
      <w:r>
        <w:rPr>
          <w:spacing w:val="-8"/>
          <w:sz w:val="21"/>
        </w:rPr>
        <w:t> 天及以上，并已经实际接受了针对此症的治疗：</w:t>
      </w:r>
    </w:p>
    <w:p>
      <w:pPr>
        <w:pStyle w:val="ListParagraph"/>
        <w:numPr>
          <w:ilvl w:val="3"/>
          <w:numId w:val="12"/>
        </w:numPr>
        <w:tabs>
          <w:tab w:pos="3239" w:val="left" w:leader="none"/>
        </w:tabs>
        <w:spacing w:line="240" w:lineRule="auto" w:before="163" w:after="0"/>
        <w:ind w:left="3238" w:right="0" w:hanging="386"/>
        <w:jc w:val="left"/>
        <w:rPr>
          <w:sz w:val="21"/>
        </w:rPr>
      </w:pPr>
      <w:r>
        <w:rPr>
          <w:spacing w:val="-2"/>
          <w:sz w:val="21"/>
        </w:rPr>
        <w:t>血红蛋白&lt;</w:t>
      </w:r>
      <w:r>
        <w:rPr>
          <w:spacing w:val="-1"/>
          <w:sz w:val="21"/>
        </w:rPr>
        <w:t>100g/L；</w:t>
      </w:r>
    </w:p>
    <w:p>
      <w:pPr>
        <w:pStyle w:val="BodyText"/>
        <w:spacing w:before="9"/>
        <w:rPr>
          <w:sz w:val="14"/>
        </w:rPr>
      </w:pPr>
    </w:p>
    <w:p>
      <w:pPr>
        <w:pStyle w:val="ListParagraph"/>
        <w:numPr>
          <w:ilvl w:val="3"/>
          <w:numId w:val="12"/>
        </w:numPr>
        <w:tabs>
          <w:tab w:pos="3239" w:val="left" w:leader="none"/>
        </w:tabs>
        <w:spacing w:line="240" w:lineRule="auto" w:before="1" w:after="0"/>
        <w:ind w:left="3238" w:right="0" w:hanging="386"/>
        <w:jc w:val="left"/>
        <w:rPr>
          <w:sz w:val="21"/>
        </w:rPr>
      </w:pPr>
      <w:r>
        <w:rPr>
          <w:spacing w:val="-2"/>
          <w:sz w:val="21"/>
        </w:rPr>
        <w:t>白细胞计数</w:t>
      </w:r>
      <w:r>
        <w:rPr>
          <w:sz w:val="21"/>
        </w:rPr>
        <w:t>&gt;25</w:t>
      </w:r>
      <w:r>
        <w:rPr>
          <w:spacing w:val="0"/>
          <w:sz w:val="21"/>
        </w:rPr>
        <w:t> </w:t>
      </w:r>
      <w:r>
        <w:rPr>
          <w:sz w:val="21"/>
        </w:rPr>
        <w:t>x</w:t>
      </w:r>
      <w:r>
        <w:rPr>
          <w:spacing w:val="2"/>
          <w:sz w:val="21"/>
        </w:rPr>
        <w:t> </w:t>
      </w:r>
      <w:r>
        <w:rPr>
          <w:sz w:val="21"/>
        </w:rPr>
        <w:t>10</w:t>
      </w:r>
      <w:r>
        <w:rPr>
          <w:position w:val="11"/>
          <w:sz w:val="11"/>
        </w:rPr>
        <w:t>9</w:t>
      </w:r>
      <w:r>
        <w:rPr>
          <w:sz w:val="21"/>
        </w:rPr>
        <w:t>/L；</w:t>
      </w:r>
    </w:p>
    <w:p>
      <w:pPr>
        <w:pStyle w:val="ListParagraph"/>
        <w:numPr>
          <w:ilvl w:val="3"/>
          <w:numId w:val="12"/>
        </w:numPr>
        <w:tabs>
          <w:tab w:pos="3239" w:val="left" w:leader="none"/>
        </w:tabs>
        <w:spacing w:line="240" w:lineRule="auto" w:before="194" w:after="0"/>
        <w:ind w:left="3238" w:right="0" w:hanging="386"/>
        <w:jc w:val="left"/>
        <w:rPr>
          <w:sz w:val="21"/>
        </w:rPr>
      </w:pPr>
      <w:r>
        <w:rPr>
          <w:spacing w:val="-2"/>
          <w:sz w:val="21"/>
        </w:rPr>
        <w:t>外周血原始细胞 ≥ </w:t>
      </w:r>
      <w:r>
        <w:rPr>
          <w:sz w:val="21"/>
        </w:rPr>
        <w:t>1%；</w:t>
      </w:r>
    </w:p>
    <w:p>
      <w:pPr>
        <w:pStyle w:val="BodyText"/>
        <w:spacing w:before="10"/>
        <w:rPr>
          <w:sz w:val="14"/>
        </w:rPr>
      </w:pPr>
    </w:p>
    <w:p>
      <w:pPr>
        <w:pStyle w:val="ListParagraph"/>
        <w:numPr>
          <w:ilvl w:val="3"/>
          <w:numId w:val="12"/>
        </w:numPr>
        <w:tabs>
          <w:tab w:pos="3239" w:val="left" w:leader="none"/>
        </w:tabs>
        <w:spacing w:line="240" w:lineRule="auto" w:before="0" w:after="0"/>
        <w:ind w:left="3238" w:right="0" w:hanging="386"/>
        <w:jc w:val="left"/>
        <w:rPr>
          <w:sz w:val="21"/>
        </w:rPr>
      </w:pPr>
      <w:r>
        <w:rPr>
          <w:spacing w:val="-2"/>
          <w:sz w:val="21"/>
        </w:rPr>
        <w:t>血小板计数</w:t>
      </w:r>
      <w:r>
        <w:rPr>
          <w:sz w:val="21"/>
        </w:rPr>
        <w:t>&lt;100</w:t>
      </w:r>
      <w:r>
        <w:rPr>
          <w:spacing w:val="0"/>
          <w:sz w:val="21"/>
        </w:rPr>
        <w:t> </w:t>
      </w:r>
      <w:r>
        <w:rPr>
          <w:sz w:val="21"/>
        </w:rPr>
        <w:t>x</w:t>
      </w:r>
      <w:r>
        <w:rPr>
          <w:spacing w:val="2"/>
          <w:sz w:val="21"/>
        </w:rPr>
        <w:t> </w:t>
      </w:r>
      <w:r>
        <w:rPr>
          <w:sz w:val="21"/>
        </w:rPr>
        <w:t>10</w:t>
      </w:r>
      <w:r>
        <w:rPr>
          <w:position w:val="11"/>
          <w:sz w:val="11"/>
        </w:rPr>
        <w:t>9</w:t>
      </w:r>
      <w:r>
        <w:rPr>
          <w:sz w:val="21"/>
        </w:rPr>
        <w:t>/L。</w:t>
      </w:r>
    </w:p>
    <w:p>
      <w:pPr>
        <w:pStyle w:val="BodyText"/>
        <w:spacing w:before="193"/>
        <w:ind w:left="2432"/>
      </w:pPr>
      <w:r>
        <w:rPr/>
        <w:t>任何其它病因导致的继发性骨髓纤维化不在保障范围内。</w:t>
      </w:r>
    </w:p>
    <w:p>
      <w:pPr>
        <w:pStyle w:val="BodyText"/>
        <w:spacing w:before="9"/>
        <w:rPr>
          <w:sz w:val="14"/>
        </w:rPr>
      </w:pPr>
    </w:p>
    <w:p>
      <w:pPr>
        <w:pStyle w:val="ListParagraph"/>
        <w:numPr>
          <w:ilvl w:val="2"/>
          <w:numId w:val="12"/>
        </w:numPr>
        <w:tabs>
          <w:tab w:pos="2399" w:val="left" w:leader="none"/>
        </w:tabs>
        <w:spacing w:line="273" w:lineRule="auto" w:before="1" w:after="0"/>
        <w:ind w:left="2398" w:right="240" w:hanging="420"/>
        <w:jc w:val="both"/>
        <w:rPr>
          <w:sz w:val="21"/>
        </w:rPr>
      </w:pPr>
      <w:r>
        <w:rPr>
          <w:spacing w:val="-3"/>
          <w:sz w:val="21"/>
        </w:rPr>
        <w:t>胰腺移植：指因胰腺功能衰竭，已经实施了在全身麻醉下进行的胰腺的异体器官移植手术</w:t>
      </w:r>
      <w:r>
        <w:rPr>
          <w:sz w:val="21"/>
        </w:rPr>
        <w:t>（</w:t>
      </w:r>
      <w:r>
        <w:rPr>
          <w:spacing w:val="-3"/>
          <w:sz w:val="21"/>
        </w:rPr>
        <w:t>供体必须是人体器官</w:t>
      </w:r>
      <w:r>
        <w:rPr>
          <w:spacing w:val="-108"/>
          <w:sz w:val="21"/>
        </w:rPr>
        <w:t>）</w:t>
      </w:r>
      <w:r>
        <w:rPr>
          <w:sz w:val="21"/>
        </w:rPr>
        <w:t>。</w:t>
      </w:r>
    </w:p>
    <w:p>
      <w:pPr>
        <w:pStyle w:val="BodyText"/>
        <w:spacing w:before="164"/>
        <w:ind w:left="2432"/>
      </w:pPr>
      <w:r>
        <w:rPr/>
        <w:t>单纯胰岛移植、部分胰腺组织或细胞的移植不在保障范围内。</w:t>
      </w:r>
    </w:p>
    <w:p>
      <w:pPr>
        <w:pStyle w:val="BodyText"/>
        <w:spacing w:before="10"/>
        <w:rPr>
          <w:sz w:val="14"/>
        </w:rPr>
      </w:pPr>
    </w:p>
    <w:p>
      <w:pPr>
        <w:pStyle w:val="ListParagraph"/>
        <w:numPr>
          <w:ilvl w:val="2"/>
          <w:numId w:val="12"/>
        </w:numPr>
        <w:tabs>
          <w:tab w:pos="2399" w:val="left" w:leader="none"/>
        </w:tabs>
        <w:spacing w:line="273" w:lineRule="auto" w:before="0" w:after="0"/>
        <w:ind w:left="2398" w:right="112" w:hanging="420"/>
        <w:jc w:val="left"/>
        <w:rPr>
          <w:sz w:val="21"/>
        </w:rPr>
      </w:pPr>
      <w:r>
        <w:rPr>
          <w:spacing w:val="-12"/>
          <w:sz w:val="21"/>
        </w:rPr>
        <w:t>嗜铬细胞瘤：指肾上腺或者肾上腺外嗜铬外组织出现神经内分泌肿瘤， </w:t>
      </w:r>
      <w:r>
        <w:rPr>
          <w:spacing w:val="-6"/>
          <w:sz w:val="21"/>
        </w:rPr>
        <w:t>并分泌过多的儿茶酚胺类，需要确实进行手术以切除肿瘤。</w:t>
      </w:r>
    </w:p>
    <w:p>
      <w:pPr>
        <w:pStyle w:val="ListParagraph"/>
        <w:numPr>
          <w:ilvl w:val="2"/>
          <w:numId w:val="12"/>
        </w:numPr>
        <w:tabs>
          <w:tab w:pos="2399" w:val="left" w:leader="none"/>
        </w:tabs>
        <w:spacing w:line="273" w:lineRule="auto" w:before="164" w:after="0"/>
        <w:ind w:left="2398" w:right="239" w:hanging="420"/>
        <w:jc w:val="both"/>
        <w:rPr>
          <w:sz w:val="21"/>
        </w:rPr>
      </w:pPr>
      <w:r>
        <w:rPr>
          <w:spacing w:val="-3"/>
          <w:sz w:val="21"/>
        </w:rPr>
        <w:t>重症骨髓增生异常综合征：骨髓增生异常综合征是起源于造血干细胞的一组骨髓克隆增生异常的疾病，表现为无效造血、难治性血细胞减少，有转化为急性髓系白血病的风险。被保险人根据外周血和骨髓活检被本公司认可的血液科专科医生明确诊断为骨髓增生异常综合征， 并且满足以下所有条件：</w:t>
      </w:r>
    </w:p>
    <w:p>
      <w:pPr>
        <w:pStyle w:val="ListParagraph"/>
        <w:numPr>
          <w:ilvl w:val="3"/>
          <w:numId w:val="12"/>
        </w:numPr>
        <w:tabs>
          <w:tab w:pos="3239" w:val="left" w:leader="none"/>
        </w:tabs>
        <w:spacing w:line="240" w:lineRule="auto" w:before="163" w:after="0"/>
        <w:ind w:left="3272" w:right="0" w:hanging="420"/>
        <w:jc w:val="left"/>
        <w:rPr>
          <w:sz w:val="21"/>
        </w:rPr>
      </w:pPr>
      <w:r>
        <w:rPr>
          <w:w w:val="100"/>
          <w:sz w:val="21"/>
        </w:rPr>
        <w:t>FAB</w:t>
      </w:r>
      <w:r>
        <w:rPr>
          <w:spacing w:val="-53"/>
          <w:sz w:val="21"/>
        </w:rPr>
        <w:t> </w:t>
      </w:r>
      <w:r>
        <w:rPr>
          <w:spacing w:val="-3"/>
          <w:w w:val="100"/>
          <w:sz w:val="21"/>
        </w:rPr>
        <w:t>分类为难治性贫血伴原始细胞增多（</w:t>
      </w:r>
      <w:r>
        <w:rPr>
          <w:w w:val="100"/>
          <w:sz w:val="21"/>
        </w:rPr>
        <w:t>RAE</w:t>
      </w:r>
      <w:r>
        <w:rPr>
          <w:spacing w:val="-2"/>
          <w:w w:val="100"/>
          <w:sz w:val="21"/>
        </w:rPr>
        <w:t>B</w:t>
      </w:r>
      <w:r>
        <w:rPr>
          <w:spacing w:val="-106"/>
          <w:w w:val="100"/>
          <w:sz w:val="21"/>
        </w:rPr>
        <w:t>）</w:t>
      </w:r>
      <w:r>
        <w:rPr>
          <w:w w:val="100"/>
          <w:sz w:val="21"/>
        </w:rPr>
        <w:t>；</w:t>
      </w:r>
    </w:p>
    <w:p>
      <w:pPr>
        <w:pStyle w:val="BodyText"/>
        <w:spacing w:before="9"/>
        <w:rPr>
          <w:sz w:val="14"/>
        </w:rPr>
      </w:pPr>
    </w:p>
    <w:p>
      <w:pPr>
        <w:pStyle w:val="ListParagraph"/>
        <w:numPr>
          <w:ilvl w:val="3"/>
          <w:numId w:val="12"/>
        </w:numPr>
        <w:tabs>
          <w:tab w:pos="3239" w:val="left" w:leader="none"/>
        </w:tabs>
        <w:spacing w:line="273" w:lineRule="auto" w:before="0" w:after="0"/>
        <w:ind w:left="3272" w:right="218" w:hanging="420"/>
        <w:jc w:val="left"/>
        <w:rPr>
          <w:sz w:val="21"/>
        </w:rPr>
      </w:pPr>
      <w:r>
        <w:rPr>
          <w:spacing w:val="-16"/>
          <w:w w:val="100"/>
          <w:sz w:val="21"/>
        </w:rPr>
        <w:t>根据“骨髓增生异常综合征修订国际预后积分系统</w:t>
      </w:r>
      <w:r>
        <w:rPr>
          <w:w w:val="100"/>
          <w:sz w:val="21"/>
        </w:rPr>
        <w:t>（</w:t>
      </w:r>
      <w:r>
        <w:rPr>
          <w:spacing w:val="-3"/>
          <w:w w:val="100"/>
          <w:sz w:val="21"/>
        </w:rPr>
        <w:t>IP</w:t>
      </w:r>
      <w:r>
        <w:rPr>
          <w:w w:val="100"/>
          <w:sz w:val="21"/>
        </w:rPr>
        <w:t>S</w:t>
      </w:r>
      <w:r>
        <w:rPr>
          <w:spacing w:val="-1"/>
          <w:w w:val="100"/>
          <w:sz w:val="21"/>
        </w:rPr>
        <w:t>S</w:t>
      </w:r>
      <w:r>
        <w:rPr>
          <w:w w:val="100"/>
          <w:sz w:val="21"/>
        </w:rPr>
        <w:t>-R</w:t>
      </w:r>
      <w:r>
        <w:rPr>
          <w:spacing w:val="-106"/>
          <w:w w:val="100"/>
          <w:sz w:val="21"/>
        </w:rPr>
        <w:t>）”</w:t>
      </w:r>
      <w:r>
        <w:rPr>
          <w:spacing w:val="-1"/>
          <w:sz w:val="21"/>
        </w:rPr>
        <w:t>积分≥3</w:t>
      </w:r>
      <w:r>
        <w:rPr>
          <w:spacing w:val="-3"/>
          <w:sz w:val="21"/>
        </w:rPr>
        <w:t>，属于中危及以上组。</w:t>
      </w:r>
    </w:p>
    <w:p>
      <w:pPr>
        <w:pStyle w:val="ListParagraph"/>
        <w:numPr>
          <w:ilvl w:val="2"/>
          <w:numId w:val="12"/>
        </w:numPr>
        <w:tabs>
          <w:tab w:pos="2399" w:val="left" w:leader="none"/>
        </w:tabs>
        <w:spacing w:line="273" w:lineRule="auto" w:before="163" w:after="0"/>
        <w:ind w:left="2398" w:right="240" w:hanging="420"/>
        <w:jc w:val="both"/>
        <w:rPr>
          <w:sz w:val="21"/>
        </w:rPr>
      </w:pPr>
      <w:r>
        <w:rPr>
          <w:spacing w:val="-3"/>
          <w:sz w:val="21"/>
        </w:rPr>
        <w:t>自体造血干细胞移植：指由于患者自身骨髓造血功能异常或为了达到治疗肿瘤的目的，采集患者自己的一部分造血干细胞，分离并深低温保存，再回输给患者使患者的造血功能和免疫功能重新恢复的一种治疗方法。该治疗须由本公司认可的血液科专科医生认为在临床上是必需的，并且已经实际实施了此项治疗。</w:t>
      </w:r>
    </w:p>
    <w:p>
      <w:pPr>
        <w:pStyle w:val="ListParagraph"/>
        <w:numPr>
          <w:ilvl w:val="2"/>
          <w:numId w:val="12"/>
        </w:numPr>
        <w:tabs>
          <w:tab w:pos="2399" w:val="left" w:leader="none"/>
        </w:tabs>
        <w:spacing w:line="273" w:lineRule="auto" w:before="163" w:after="0"/>
        <w:ind w:left="2398" w:right="240" w:hanging="420"/>
        <w:jc w:val="both"/>
        <w:rPr>
          <w:sz w:val="21"/>
        </w:rPr>
      </w:pPr>
      <w:r>
        <w:rPr>
          <w:spacing w:val="-3"/>
          <w:sz w:val="21"/>
        </w:rPr>
        <w:t>肾髓质囊性病：肾髓质囊性病的诊断必须由本公司认可的专科医生确诊，并且必须同时符合下列要求：</w:t>
      </w:r>
    </w:p>
    <w:p>
      <w:pPr>
        <w:pStyle w:val="ListParagraph"/>
        <w:numPr>
          <w:ilvl w:val="3"/>
          <w:numId w:val="12"/>
        </w:numPr>
        <w:tabs>
          <w:tab w:pos="3239" w:val="left" w:leader="none"/>
        </w:tabs>
        <w:spacing w:line="240" w:lineRule="auto" w:before="163" w:after="0"/>
        <w:ind w:left="2432" w:right="0" w:firstLine="420"/>
        <w:jc w:val="left"/>
        <w:rPr>
          <w:sz w:val="21"/>
        </w:rPr>
      </w:pPr>
      <w:r>
        <w:rPr>
          <w:spacing w:val="-3"/>
          <w:sz w:val="21"/>
        </w:rPr>
        <w:t>肾髓质有囊肿、肾小管萎缩及间质纤维化等病理改变；</w:t>
      </w:r>
    </w:p>
    <w:p>
      <w:pPr>
        <w:pStyle w:val="BodyText"/>
        <w:spacing w:before="9"/>
        <w:rPr>
          <w:sz w:val="14"/>
        </w:rPr>
      </w:pPr>
    </w:p>
    <w:p>
      <w:pPr>
        <w:pStyle w:val="ListParagraph"/>
        <w:numPr>
          <w:ilvl w:val="3"/>
          <w:numId w:val="12"/>
        </w:numPr>
        <w:tabs>
          <w:tab w:pos="3239" w:val="left" w:leader="none"/>
        </w:tabs>
        <w:spacing w:line="240" w:lineRule="auto" w:before="0" w:after="0"/>
        <w:ind w:left="2432" w:right="0" w:firstLine="420"/>
        <w:jc w:val="left"/>
        <w:rPr>
          <w:sz w:val="21"/>
        </w:rPr>
      </w:pPr>
      <w:r>
        <w:rPr>
          <w:spacing w:val="-2"/>
          <w:sz w:val="21"/>
        </w:rPr>
        <w:t>肾功能衰竭；</w:t>
      </w:r>
    </w:p>
    <w:p>
      <w:pPr>
        <w:spacing w:after="0" w:line="240" w:lineRule="auto"/>
        <w:jc w:val="left"/>
        <w:rPr>
          <w:sz w:val="21"/>
        </w:rPr>
        <w:sectPr>
          <w:pgSz w:w="11910" w:h="16840"/>
          <w:pgMar w:header="0" w:footer="925" w:top="1080" w:bottom="1200" w:left="1680" w:right="1280"/>
        </w:sectPr>
      </w:pPr>
    </w:p>
    <w:p>
      <w:pPr>
        <w:pStyle w:val="ListParagraph"/>
        <w:numPr>
          <w:ilvl w:val="3"/>
          <w:numId w:val="12"/>
        </w:numPr>
        <w:tabs>
          <w:tab w:pos="3239" w:val="left" w:leader="none"/>
        </w:tabs>
        <w:spacing w:line="408" w:lineRule="auto" w:before="22" w:after="0"/>
        <w:ind w:left="2432" w:right="2938" w:firstLine="420"/>
        <w:jc w:val="left"/>
        <w:rPr>
          <w:sz w:val="21"/>
        </w:rPr>
      </w:pPr>
      <w:r>
        <w:rPr>
          <w:spacing w:val="-3"/>
          <w:sz w:val="21"/>
        </w:rPr>
        <w:t>诊断须由肾组织活检确定。 其他的肾脏囊性病变不在保障范围内。</w:t>
      </w:r>
    </w:p>
    <w:p>
      <w:pPr>
        <w:pStyle w:val="ListParagraph"/>
        <w:numPr>
          <w:ilvl w:val="2"/>
          <w:numId w:val="12"/>
        </w:numPr>
        <w:tabs>
          <w:tab w:pos="2399" w:val="left" w:leader="none"/>
        </w:tabs>
        <w:spacing w:line="273" w:lineRule="auto" w:before="46" w:after="0"/>
        <w:ind w:left="2398" w:right="112" w:hanging="420"/>
        <w:jc w:val="left"/>
        <w:rPr>
          <w:sz w:val="21"/>
        </w:rPr>
      </w:pPr>
      <w:r>
        <w:rPr>
          <w:spacing w:val="-3"/>
          <w:sz w:val="21"/>
        </w:rPr>
        <w:t>系统性硬皮病：指一种以局限性或弥漫性皮肤增厚和皮肤、血管、内</w:t>
      </w:r>
      <w:r>
        <w:rPr>
          <w:spacing w:val="-8"/>
          <w:sz w:val="21"/>
        </w:rPr>
        <w:t>脏器官异常纤维化为特征的结缔组织病。本病须经专科医师明确诊断， </w:t>
      </w:r>
      <w:r>
        <w:rPr>
          <w:spacing w:val="-5"/>
          <w:sz w:val="21"/>
        </w:rPr>
        <w:t>并须满足下列至少一项条件：</w:t>
      </w:r>
    </w:p>
    <w:p>
      <w:pPr>
        <w:pStyle w:val="ListParagraph"/>
        <w:numPr>
          <w:ilvl w:val="3"/>
          <w:numId w:val="12"/>
        </w:numPr>
        <w:tabs>
          <w:tab w:pos="3239" w:val="left" w:leader="none"/>
        </w:tabs>
        <w:spacing w:line="240" w:lineRule="auto" w:before="163" w:after="0"/>
        <w:ind w:left="3272" w:right="0" w:hanging="420"/>
        <w:jc w:val="left"/>
        <w:rPr>
          <w:sz w:val="21"/>
        </w:rPr>
      </w:pPr>
      <w:r>
        <w:rPr>
          <w:spacing w:val="-3"/>
          <w:sz w:val="21"/>
        </w:rPr>
        <w:t>肺脏：肺部病变进而发展为肺间质纤维化和肺动脉高压；</w:t>
      </w:r>
    </w:p>
    <w:p>
      <w:pPr>
        <w:pStyle w:val="BodyText"/>
        <w:spacing w:before="9"/>
        <w:rPr>
          <w:sz w:val="14"/>
        </w:rPr>
      </w:pPr>
    </w:p>
    <w:p>
      <w:pPr>
        <w:pStyle w:val="ListParagraph"/>
        <w:numPr>
          <w:ilvl w:val="3"/>
          <w:numId w:val="12"/>
        </w:numPr>
        <w:tabs>
          <w:tab w:pos="3239" w:val="left" w:leader="none"/>
        </w:tabs>
        <w:spacing w:line="240" w:lineRule="auto" w:before="1" w:after="0"/>
        <w:ind w:left="3272" w:right="0" w:hanging="420"/>
        <w:jc w:val="left"/>
        <w:rPr>
          <w:sz w:val="21"/>
        </w:rPr>
      </w:pPr>
      <w:r>
        <w:rPr>
          <w:spacing w:val="-3"/>
          <w:sz w:val="21"/>
        </w:rPr>
        <w:t>心脏：心功能受损达到美国纽约心脏病学会心功能状态分级</w:t>
      </w:r>
    </w:p>
    <w:p>
      <w:pPr>
        <w:pStyle w:val="BodyText"/>
        <w:spacing w:before="37"/>
        <w:ind w:left="2012" w:right="3730"/>
        <w:jc w:val="center"/>
      </w:pPr>
      <w:r>
        <w:rPr/>
        <w:t>IV 级；</w:t>
      </w:r>
    </w:p>
    <w:p>
      <w:pPr>
        <w:pStyle w:val="BodyText"/>
        <w:spacing w:before="9"/>
        <w:rPr>
          <w:sz w:val="14"/>
        </w:rPr>
      </w:pPr>
    </w:p>
    <w:p>
      <w:pPr>
        <w:pStyle w:val="ListParagraph"/>
        <w:numPr>
          <w:ilvl w:val="3"/>
          <w:numId w:val="12"/>
        </w:numPr>
        <w:tabs>
          <w:tab w:pos="3239" w:val="left" w:leader="none"/>
        </w:tabs>
        <w:spacing w:line="273" w:lineRule="auto" w:before="0" w:after="0"/>
        <w:ind w:left="3272" w:right="240" w:hanging="420"/>
        <w:jc w:val="left"/>
        <w:rPr>
          <w:sz w:val="21"/>
        </w:rPr>
      </w:pPr>
      <w:r>
        <w:rPr>
          <w:spacing w:val="-3"/>
          <w:sz w:val="21"/>
        </w:rPr>
        <w:t>肾脏：肾脏受损导致双肾功能慢性不可逆衰竭，达到尿毒症期。</w:t>
      </w:r>
    </w:p>
    <w:p>
      <w:pPr>
        <w:pStyle w:val="BodyText"/>
        <w:spacing w:before="163"/>
        <w:ind w:left="2432"/>
      </w:pPr>
      <w:r>
        <w:rPr/>
        <w:t>下列疾病不在保障范围内：</w:t>
      </w:r>
    </w:p>
    <w:p>
      <w:pPr>
        <w:pStyle w:val="BodyText"/>
        <w:spacing w:before="10"/>
        <w:rPr>
          <w:sz w:val="14"/>
        </w:rPr>
      </w:pPr>
    </w:p>
    <w:p>
      <w:pPr>
        <w:pStyle w:val="ListParagraph"/>
        <w:numPr>
          <w:ilvl w:val="0"/>
          <w:numId w:val="13"/>
        </w:numPr>
        <w:tabs>
          <w:tab w:pos="3239" w:val="left" w:leader="none"/>
        </w:tabs>
        <w:spacing w:line="240" w:lineRule="auto" w:before="0" w:after="0"/>
        <w:ind w:left="3238" w:right="0" w:hanging="386"/>
        <w:jc w:val="left"/>
        <w:rPr>
          <w:sz w:val="21"/>
        </w:rPr>
      </w:pPr>
      <w:r>
        <w:rPr>
          <w:spacing w:val="-2"/>
          <w:w w:val="100"/>
          <w:sz w:val="21"/>
        </w:rPr>
        <w:t>局限性硬皮病</w:t>
      </w:r>
      <w:r>
        <w:rPr>
          <w:spacing w:val="-3"/>
          <w:w w:val="100"/>
          <w:sz w:val="21"/>
        </w:rPr>
        <w:t>（包括带状硬皮病、硬斑病</w:t>
      </w:r>
      <w:r>
        <w:rPr>
          <w:spacing w:val="-106"/>
          <w:w w:val="100"/>
          <w:sz w:val="21"/>
        </w:rPr>
        <w:t>）</w:t>
      </w:r>
      <w:r>
        <w:rPr>
          <w:w w:val="100"/>
          <w:sz w:val="21"/>
        </w:rPr>
        <w:t>；</w:t>
      </w:r>
    </w:p>
    <w:p>
      <w:pPr>
        <w:pStyle w:val="BodyText"/>
        <w:spacing w:before="9"/>
        <w:rPr>
          <w:sz w:val="14"/>
        </w:rPr>
      </w:pPr>
    </w:p>
    <w:p>
      <w:pPr>
        <w:pStyle w:val="ListParagraph"/>
        <w:numPr>
          <w:ilvl w:val="0"/>
          <w:numId w:val="13"/>
        </w:numPr>
        <w:tabs>
          <w:tab w:pos="3239" w:val="left" w:leader="none"/>
        </w:tabs>
        <w:spacing w:line="240" w:lineRule="auto" w:before="0" w:after="0"/>
        <w:ind w:left="3238" w:right="0" w:hanging="386"/>
        <w:jc w:val="left"/>
        <w:rPr>
          <w:sz w:val="21"/>
        </w:rPr>
      </w:pPr>
      <w:r>
        <w:rPr>
          <w:spacing w:val="-3"/>
          <w:sz w:val="21"/>
        </w:rPr>
        <w:t>嗜酸细胞性筋膜炎；</w:t>
      </w:r>
    </w:p>
    <w:p>
      <w:pPr>
        <w:pStyle w:val="BodyText"/>
        <w:spacing w:before="9"/>
        <w:rPr>
          <w:sz w:val="14"/>
        </w:rPr>
      </w:pPr>
    </w:p>
    <w:p>
      <w:pPr>
        <w:pStyle w:val="ListParagraph"/>
        <w:numPr>
          <w:ilvl w:val="0"/>
          <w:numId w:val="13"/>
        </w:numPr>
        <w:tabs>
          <w:tab w:pos="3239" w:val="left" w:leader="none"/>
        </w:tabs>
        <w:spacing w:line="240" w:lineRule="auto" w:before="0" w:after="0"/>
        <w:ind w:left="3238" w:right="0" w:hanging="386"/>
        <w:jc w:val="left"/>
        <w:rPr>
          <w:sz w:val="21"/>
        </w:rPr>
      </w:pPr>
      <w:r>
        <w:rPr>
          <w:sz w:val="21"/>
        </w:rPr>
        <w:t>CREST</w:t>
      </w:r>
      <w:r>
        <w:rPr>
          <w:spacing w:val="-11"/>
          <w:sz w:val="21"/>
        </w:rPr>
        <w:t> 综合征。</w:t>
      </w:r>
    </w:p>
    <w:p>
      <w:pPr>
        <w:pStyle w:val="BodyText"/>
        <w:spacing w:before="9"/>
        <w:rPr>
          <w:sz w:val="14"/>
        </w:rPr>
      </w:pPr>
    </w:p>
    <w:p>
      <w:pPr>
        <w:pStyle w:val="ListParagraph"/>
        <w:numPr>
          <w:ilvl w:val="2"/>
          <w:numId w:val="12"/>
        </w:numPr>
        <w:tabs>
          <w:tab w:pos="2399" w:val="left" w:leader="none"/>
        </w:tabs>
        <w:spacing w:line="273" w:lineRule="auto" w:before="0" w:after="0"/>
        <w:ind w:left="2398" w:right="239" w:hanging="420"/>
        <w:jc w:val="both"/>
        <w:rPr>
          <w:sz w:val="21"/>
        </w:rPr>
      </w:pPr>
      <w:r>
        <w:rPr>
          <w:spacing w:val="-3"/>
          <w:sz w:val="21"/>
        </w:rPr>
        <w:t>严重慢性缩窄型心包炎：由于慢性心包炎症导致心包脏层和壁层广泛瘢痕粘连、增厚和钙化，心包腔闭塞，形成一个纤维瘢痕外壳，使心脏和大血管根部受压，阻碍心脏的舒张。</w:t>
      </w:r>
    </w:p>
    <w:p>
      <w:pPr>
        <w:pStyle w:val="BodyText"/>
        <w:spacing w:line="273" w:lineRule="auto" w:before="163"/>
        <w:ind w:left="2432" w:right="415"/>
      </w:pPr>
      <w:r>
        <w:rPr/>
        <w:t>被保险人被本公司认可的专科医生明确诊断为慢性缩窄性心包炎且必须满足以下所有条件：</w:t>
      </w:r>
    </w:p>
    <w:p>
      <w:pPr>
        <w:pStyle w:val="ListParagraph"/>
        <w:numPr>
          <w:ilvl w:val="3"/>
          <w:numId w:val="12"/>
        </w:numPr>
        <w:tabs>
          <w:tab w:pos="3239" w:val="left" w:leader="none"/>
        </w:tabs>
        <w:spacing w:line="273" w:lineRule="auto" w:before="163" w:after="0"/>
        <w:ind w:left="3272" w:right="134" w:hanging="420"/>
        <w:jc w:val="left"/>
        <w:rPr>
          <w:sz w:val="21"/>
        </w:rPr>
      </w:pPr>
      <w:r>
        <w:rPr>
          <w:spacing w:val="-5"/>
          <w:sz w:val="21"/>
        </w:rPr>
        <w:t>心功能衰竭达到美国纽约心脏病学会心功能状态分级 </w:t>
      </w:r>
      <w:r>
        <w:rPr>
          <w:sz w:val="21"/>
        </w:rPr>
        <w:t>IV</w:t>
      </w:r>
      <w:r>
        <w:rPr>
          <w:spacing w:val="-15"/>
          <w:sz w:val="21"/>
        </w:rPr>
        <w:t> 级， </w:t>
      </w:r>
      <w:r>
        <w:rPr>
          <w:spacing w:val="-17"/>
          <w:sz w:val="21"/>
        </w:rPr>
        <w:t>并持续 </w:t>
      </w:r>
      <w:r>
        <w:rPr>
          <w:sz w:val="21"/>
        </w:rPr>
        <w:t>180</w:t>
      </w:r>
      <w:r>
        <w:rPr>
          <w:spacing w:val="-12"/>
          <w:sz w:val="21"/>
        </w:rPr>
        <w:t> 天以上；</w:t>
      </w:r>
    </w:p>
    <w:p>
      <w:pPr>
        <w:pStyle w:val="ListParagraph"/>
        <w:numPr>
          <w:ilvl w:val="3"/>
          <w:numId w:val="12"/>
        </w:numPr>
        <w:tabs>
          <w:tab w:pos="3239" w:val="left" w:leader="none"/>
        </w:tabs>
        <w:spacing w:line="273" w:lineRule="auto" w:before="163" w:after="0"/>
        <w:ind w:left="3272" w:right="240" w:hanging="420"/>
        <w:jc w:val="left"/>
        <w:rPr>
          <w:sz w:val="21"/>
        </w:rPr>
      </w:pPr>
      <w:r>
        <w:rPr>
          <w:spacing w:val="-3"/>
          <w:sz w:val="21"/>
        </w:rPr>
        <w:t>实际接受了以下任何一种手术路径的心包剥脱或心包切除手术；胸骨正中切口；双侧前胸切口；左前胸肋间切口。</w:t>
      </w:r>
    </w:p>
    <w:p>
      <w:pPr>
        <w:pStyle w:val="BodyText"/>
        <w:spacing w:before="163"/>
        <w:ind w:left="2432"/>
      </w:pPr>
      <w:r>
        <w:rPr/>
        <w:t>经胸腔镜、胸壁打孔进行的手术、心包粘连松解手术不在保障范围内。</w:t>
      </w:r>
    </w:p>
    <w:p>
      <w:pPr>
        <w:pStyle w:val="BodyText"/>
        <w:spacing w:before="9"/>
        <w:rPr>
          <w:sz w:val="14"/>
        </w:rPr>
      </w:pPr>
    </w:p>
    <w:p>
      <w:pPr>
        <w:pStyle w:val="ListParagraph"/>
        <w:numPr>
          <w:ilvl w:val="2"/>
          <w:numId w:val="12"/>
        </w:numPr>
        <w:tabs>
          <w:tab w:pos="2399" w:val="left" w:leader="none"/>
        </w:tabs>
        <w:spacing w:line="273" w:lineRule="auto" w:before="0" w:after="0"/>
        <w:ind w:left="2398" w:right="240" w:hanging="420"/>
        <w:jc w:val="left"/>
        <w:rPr>
          <w:sz w:val="21"/>
        </w:rPr>
      </w:pPr>
      <w:r>
        <w:rPr>
          <w:spacing w:val="-3"/>
          <w:sz w:val="21"/>
        </w:rPr>
        <w:t>严重传染性心内膜炎：指因感染性微生物造成心脏内膜发炎，经由专科医生确诊，并符合下</w:t>
      </w:r>
      <w:r>
        <w:rPr>
          <w:rFonts w:ascii="Arial" w:eastAsia="Arial"/>
          <w:w w:val="115"/>
          <w:sz w:val="21"/>
        </w:rPr>
        <w:t>列</w:t>
      </w:r>
      <w:r>
        <w:rPr>
          <w:spacing w:val="-1"/>
          <w:sz w:val="21"/>
        </w:rPr>
        <w:t>所有条件:</w:t>
      </w:r>
    </w:p>
    <w:p>
      <w:pPr>
        <w:pStyle w:val="ListParagraph"/>
        <w:numPr>
          <w:ilvl w:val="3"/>
          <w:numId w:val="12"/>
        </w:numPr>
        <w:tabs>
          <w:tab w:pos="3239" w:val="left" w:leader="none"/>
        </w:tabs>
        <w:spacing w:line="273" w:lineRule="auto" w:before="145" w:after="0"/>
        <w:ind w:left="3272" w:right="240" w:hanging="420"/>
        <w:jc w:val="left"/>
        <w:rPr>
          <w:sz w:val="21"/>
        </w:rPr>
      </w:pPr>
      <w:r>
        <w:rPr>
          <w:spacing w:val="-3"/>
          <w:sz w:val="21"/>
        </w:rPr>
        <w:t>以下方法之一血液培养测试结果为阳性，证实存在感染性微生物：</w:t>
      </w:r>
    </w:p>
    <w:p>
      <w:pPr>
        <w:pStyle w:val="BodyText"/>
        <w:tabs>
          <w:tab w:pos="3653" w:val="left" w:leader="none"/>
        </w:tabs>
        <w:spacing w:line="273" w:lineRule="auto" w:before="164"/>
        <w:ind w:left="3653" w:right="245" w:hanging="483"/>
      </w:pPr>
      <w:r>
        <w:rPr/>
        <w:t>①</w:t>
        <w:tab/>
      </w:r>
      <w:r>
        <w:rPr>
          <w:spacing w:val="-3"/>
        </w:rPr>
        <w:t>微生物：在赘生物或心脏内脓疡经培养或组织检查证实 有微生物；</w:t>
      </w:r>
    </w:p>
    <w:p>
      <w:pPr>
        <w:pStyle w:val="BodyText"/>
        <w:tabs>
          <w:tab w:pos="3653" w:val="left" w:leader="none"/>
        </w:tabs>
        <w:spacing w:line="259" w:lineRule="auto" w:before="164"/>
        <w:ind w:left="3653" w:right="245" w:hanging="483"/>
      </w:pPr>
      <w:r>
        <w:rPr/>
        <w:t>②</w:t>
        <w:tab/>
        <w:t>病</w:t>
      </w:r>
      <w:r>
        <w:rPr>
          <w:rFonts w:ascii="Arial" w:hAnsi="Arial" w:eastAsia="Arial"/>
          <w:w w:val="115"/>
        </w:rPr>
        <w:t>理</w:t>
      </w:r>
      <w:r>
        <w:rPr>
          <w:spacing w:val="-7"/>
        </w:rPr>
        <w:t>性病灶：组织检查证实赘生物或心脏内脓疡有活动  </w:t>
      </w:r>
      <w:r>
        <w:rPr>
          <w:spacing w:val="-2"/>
        </w:rPr>
        <w:t>性心内膜炎；</w:t>
      </w:r>
    </w:p>
    <w:p>
      <w:pPr>
        <w:pStyle w:val="BodyText"/>
        <w:tabs>
          <w:tab w:pos="3653" w:val="left" w:leader="none"/>
        </w:tabs>
        <w:spacing w:before="176"/>
        <w:ind w:left="3171"/>
      </w:pPr>
      <w:r>
        <w:rPr/>
        <w:t>③</w:t>
        <w:tab/>
      </w:r>
      <w:r>
        <w:rPr>
          <w:spacing w:val="-3"/>
        </w:rPr>
        <w:t>分别两次血液培养证实有微生物，且与心内膜炎符合；</w:t>
      </w:r>
    </w:p>
    <w:p>
      <w:pPr>
        <w:pStyle w:val="BodyText"/>
        <w:spacing w:before="9"/>
        <w:rPr>
          <w:sz w:val="14"/>
        </w:rPr>
      </w:pPr>
    </w:p>
    <w:p>
      <w:pPr>
        <w:pStyle w:val="ListParagraph"/>
        <w:numPr>
          <w:ilvl w:val="3"/>
          <w:numId w:val="12"/>
        </w:numPr>
        <w:tabs>
          <w:tab w:pos="3239" w:val="left" w:leader="none"/>
        </w:tabs>
        <w:spacing w:line="273" w:lineRule="auto" w:before="0" w:after="0"/>
        <w:ind w:left="3272" w:right="240" w:hanging="420"/>
        <w:jc w:val="left"/>
        <w:rPr>
          <w:sz w:val="21"/>
        </w:rPr>
      </w:pPr>
      <w:r>
        <w:rPr>
          <w:spacing w:val="-3"/>
          <w:sz w:val="21"/>
        </w:rPr>
        <w:t>出现明显的心功能衰竭（指按照美国纽约心脏病学会提出的心功能状态分级的标准判定，心功能状态已达Ⅳ级</w:t>
      </w:r>
      <w:r>
        <w:rPr>
          <w:spacing w:val="-108"/>
          <w:sz w:val="21"/>
        </w:rPr>
        <w:t>）</w:t>
      </w:r>
      <w:r>
        <w:rPr>
          <w:sz w:val="21"/>
        </w:rPr>
        <w:t>。</w:t>
      </w:r>
    </w:p>
    <w:p>
      <w:pPr>
        <w:spacing w:after="0" w:line="273" w:lineRule="auto"/>
        <w:jc w:val="left"/>
        <w:rPr>
          <w:sz w:val="21"/>
        </w:rPr>
        <w:sectPr>
          <w:pgSz w:w="11910" w:h="16840"/>
          <w:pgMar w:header="0" w:footer="925" w:top="1080" w:bottom="1200" w:left="1680" w:right="1280"/>
        </w:sectPr>
      </w:pPr>
    </w:p>
    <w:p>
      <w:pPr>
        <w:pStyle w:val="ListParagraph"/>
        <w:numPr>
          <w:ilvl w:val="2"/>
          <w:numId w:val="12"/>
        </w:numPr>
        <w:tabs>
          <w:tab w:pos="2399" w:val="left" w:leader="none"/>
        </w:tabs>
        <w:spacing w:line="273" w:lineRule="auto" w:before="22" w:after="0"/>
        <w:ind w:left="2398" w:right="240" w:hanging="420"/>
        <w:jc w:val="both"/>
        <w:rPr>
          <w:sz w:val="21"/>
        </w:rPr>
      </w:pPr>
      <w:r>
        <w:rPr>
          <w:spacing w:val="-3"/>
          <w:sz w:val="21"/>
        </w:rPr>
        <w:t>严重瑞氏综合征：瑞氏综合征是线粒体功能障碍性疾病。导致脂肪代谢障碍，引起短链脂肪酸、血氨升高，造成脑水肿。主要临床表现为急性发热、反复呕吐、惊厥及意识障碍等等。肝脏活检是确诊的重要手段。此症必须由本公司认可医院的儿科专科医生确诊，并符合下列所有条件：</w:t>
      </w:r>
    </w:p>
    <w:p>
      <w:pPr>
        <w:pStyle w:val="ListParagraph"/>
        <w:numPr>
          <w:ilvl w:val="3"/>
          <w:numId w:val="12"/>
        </w:numPr>
        <w:tabs>
          <w:tab w:pos="3239" w:val="left" w:leader="none"/>
        </w:tabs>
        <w:spacing w:line="240" w:lineRule="auto" w:before="164" w:after="0"/>
        <w:ind w:left="3238" w:right="0" w:hanging="386"/>
        <w:jc w:val="left"/>
        <w:rPr>
          <w:sz w:val="21"/>
        </w:rPr>
      </w:pPr>
      <w:r>
        <w:rPr>
          <w:spacing w:val="-3"/>
          <w:sz w:val="21"/>
        </w:rPr>
        <w:t>有脑水肿和颅内压升高的脑脊液检查和影像学检查证据；</w:t>
      </w:r>
    </w:p>
    <w:p>
      <w:pPr>
        <w:pStyle w:val="BodyText"/>
        <w:spacing w:before="10"/>
        <w:rPr>
          <w:sz w:val="14"/>
        </w:rPr>
      </w:pPr>
    </w:p>
    <w:p>
      <w:pPr>
        <w:pStyle w:val="ListParagraph"/>
        <w:numPr>
          <w:ilvl w:val="3"/>
          <w:numId w:val="12"/>
        </w:numPr>
        <w:tabs>
          <w:tab w:pos="3239" w:val="left" w:leader="none"/>
        </w:tabs>
        <w:spacing w:line="240" w:lineRule="auto" w:before="0" w:after="0"/>
        <w:ind w:left="3238" w:right="0" w:hanging="386"/>
        <w:jc w:val="left"/>
        <w:rPr>
          <w:sz w:val="21"/>
        </w:rPr>
      </w:pPr>
      <w:r>
        <w:rPr>
          <w:spacing w:val="-8"/>
          <w:sz w:val="21"/>
        </w:rPr>
        <w:t>血氨超过正常值的 </w:t>
      </w:r>
      <w:r>
        <w:rPr>
          <w:sz w:val="21"/>
        </w:rPr>
        <w:t>3</w:t>
      </w:r>
      <w:r>
        <w:rPr>
          <w:spacing w:val="-17"/>
          <w:sz w:val="21"/>
        </w:rPr>
        <w:t> 倍；</w:t>
      </w:r>
    </w:p>
    <w:p>
      <w:pPr>
        <w:pStyle w:val="BodyText"/>
        <w:spacing w:before="9"/>
        <w:rPr>
          <w:sz w:val="14"/>
        </w:rPr>
      </w:pPr>
    </w:p>
    <w:p>
      <w:pPr>
        <w:pStyle w:val="ListParagraph"/>
        <w:numPr>
          <w:ilvl w:val="3"/>
          <w:numId w:val="12"/>
        </w:numPr>
        <w:tabs>
          <w:tab w:pos="3239" w:val="left" w:leader="none"/>
        </w:tabs>
        <w:spacing w:line="240" w:lineRule="auto" w:before="1" w:after="0"/>
        <w:ind w:left="3238" w:right="0" w:hanging="386"/>
        <w:jc w:val="left"/>
        <w:rPr>
          <w:sz w:val="21"/>
        </w:rPr>
      </w:pPr>
      <w:r>
        <w:rPr>
          <w:spacing w:val="-5"/>
          <w:sz w:val="21"/>
        </w:rPr>
        <w:t>临床出现昏迷，病程至少达到疾病分期第 </w:t>
      </w:r>
      <w:r>
        <w:rPr>
          <w:sz w:val="21"/>
        </w:rPr>
        <w:t>3</w:t>
      </w:r>
      <w:r>
        <w:rPr>
          <w:spacing w:val="-16"/>
          <w:sz w:val="21"/>
        </w:rPr>
        <w:t> 期。</w:t>
      </w:r>
    </w:p>
    <w:p>
      <w:pPr>
        <w:pStyle w:val="BodyText"/>
        <w:spacing w:before="10"/>
        <w:rPr>
          <w:sz w:val="14"/>
        </w:rPr>
      </w:pPr>
    </w:p>
    <w:p>
      <w:pPr>
        <w:pStyle w:val="ListParagraph"/>
        <w:numPr>
          <w:ilvl w:val="2"/>
          <w:numId w:val="12"/>
        </w:numPr>
        <w:tabs>
          <w:tab w:pos="2399" w:val="left" w:leader="none"/>
        </w:tabs>
        <w:spacing w:line="273" w:lineRule="auto" w:before="0" w:after="0"/>
        <w:ind w:left="2398" w:right="216" w:hanging="420"/>
        <w:jc w:val="both"/>
        <w:rPr>
          <w:sz w:val="21"/>
        </w:rPr>
      </w:pPr>
      <w:r>
        <w:rPr>
          <w:spacing w:val="-3"/>
          <w:sz w:val="21"/>
        </w:rPr>
        <w:t>慢性复发性胰腺炎：有腹痛等典型症状的胰腺炎反复发作，导致胰腺进行性破坏，并导致胰腺功能紊乱而导致严重糖尿病以及营养不良、</w:t>
      </w:r>
      <w:r>
        <w:rPr>
          <w:spacing w:val="-6"/>
          <w:sz w:val="21"/>
        </w:rPr>
        <w:t>恶液质。</w:t>
      </w:r>
      <w:r>
        <w:rPr>
          <w:sz w:val="21"/>
        </w:rPr>
        <w:t>CT</w:t>
      </w:r>
      <w:r>
        <w:rPr>
          <w:spacing w:val="-8"/>
          <w:sz w:val="21"/>
        </w:rPr>
        <w:t> 检查证实胰腺存在广泛钙化，且必须接受酶替代以及胰岛</w:t>
      </w:r>
      <w:r>
        <w:rPr>
          <w:spacing w:val="-11"/>
          <w:sz w:val="21"/>
        </w:rPr>
        <w:t>素替代治疗 </w:t>
      </w:r>
      <w:r>
        <w:rPr>
          <w:sz w:val="21"/>
        </w:rPr>
        <w:t>6</w:t>
      </w:r>
      <w:r>
        <w:rPr>
          <w:spacing w:val="-7"/>
          <w:sz w:val="21"/>
        </w:rPr>
        <w:t> 个月以上。诊断必须由消化科专科医生确诊。</w:t>
      </w:r>
    </w:p>
    <w:p>
      <w:pPr>
        <w:pStyle w:val="BodyText"/>
        <w:spacing w:before="164"/>
        <w:ind w:left="2432"/>
      </w:pPr>
      <w:r>
        <w:rPr/>
        <w:t>酒精导致的慢性复发性胰腺炎除外。</w:t>
      </w:r>
    </w:p>
    <w:p>
      <w:pPr>
        <w:pStyle w:val="BodyText"/>
        <w:spacing w:before="9"/>
        <w:rPr>
          <w:sz w:val="14"/>
        </w:rPr>
      </w:pPr>
    </w:p>
    <w:p>
      <w:pPr>
        <w:pStyle w:val="ListParagraph"/>
        <w:numPr>
          <w:ilvl w:val="2"/>
          <w:numId w:val="12"/>
        </w:numPr>
        <w:tabs>
          <w:tab w:pos="2399" w:val="left" w:leader="none"/>
        </w:tabs>
        <w:spacing w:line="273" w:lineRule="auto" w:before="0" w:after="0"/>
        <w:ind w:left="2398" w:right="112" w:hanging="420"/>
        <w:jc w:val="left"/>
        <w:rPr>
          <w:sz w:val="21"/>
        </w:rPr>
      </w:pPr>
      <w:r>
        <w:rPr>
          <w:spacing w:val="-3"/>
          <w:sz w:val="21"/>
        </w:rPr>
        <w:t>原发性硬化性胆管炎：指一种胆汁淤积综合征，其特征是肝内、肝外</w:t>
      </w:r>
      <w:r>
        <w:rPr>
          <w:spacing w:val="-9"/>
          <w:sz w:val="21"/>
        </w:rPr>
        <w:t>胆道因纤维化性炎症逐渐狭窄，并最终导致完全阻塞而发展为肝硬化。</w:t>
      </w:r>
      <w:r>
        <w:rPr>
          <w:spacing w:val="-5"/>
          <w:sz w:val="21"/>
        </w:rPr>
        <w:t>本病须经内镜逆行胰胆管造影等影像学检查证实，并须满足下列全部条件：</w:t>
      </w:r>
    </w:p>
    <w:p>
      <w:pPr>
        <w:pStyle w:val="ListParagraph"/>
        <w:numPr>
          <w:ilvl w:val="3"/>
          <w:numId w:val="12"/>
        </w:numPr>
        <w:tabs>
          <w:tab w:pos="3239" w:val="left" w:leader="none"/>
        </w:tabs>
        <w:spacing w:line="240" w:lineRule="auto" w:before="163" w:after="0"/>
        <w:ind w:left="3238" w:right="0" w:hanging="386"/>
        <w:jc w:val="left"/>
        <w:rPr>
          <w:sz w:val="21"/>
        </w:rPr>
      </w:pPr>
      <w:r>
        <w:rPr>
          <w:spacing w:val="-5"/>
          <w:sz w:val="21"/>
        </w:rPr>
        <w:t>总胆红素和直接胆红素同时升高，血清 </w:t>
      </w:r>
      <w:r>
        <w:rPr>
          <w:sz w:val="21"/>
        </w:rPr>
        <w:t>ALP&gt;200U/L；</w:t>
      </w:r>
    </w:p>
    <w:p>
      <w:pPr>
        <w:pStyle w:val="BodyText"/>
        <w:spacing w:before="9"/>
        <w:rPr>
          <w:sz w:val="14"/>
        </w:rPr>
      </w:pPr>
    </w:p>
    <w:p>
      <w:pPr>
        <w:pStyle w:val="ListParagraph"/>
        <w:numPr>
          <w:ilvl w:val="3"/>
          <w:numId w:val="12"/>
        </w:numPr>
        <w:tabs>
          <w:tab w:pos="3239" w:val="left" w:leader="none"/>
        </w:tabs>
        <w:spacing w:line="240" w:lineRule="auto" w:before="1" w:after="0"/>
        <w:ind w:left="3238" w:right="0" w:hanging="386"/>
        <w:jc w:val="left"/>
        <w:rPr>
          <w:sz w:val="21"/>
        </w:rPr>
      </w:pPr>
      <w:r>
        <w:rPr>
          <w:spacing w:val="-3"/>
          <w:sz w:val="21"/>
        </w:rPr>
        <w:t>持续性黄疸病史；</w:t>
      </w:r>
    </w:p>
    <w:p>
      <w:pPr>
        <w:pStyle w:val="BodyText"/>
        <w:spacing w:before="10"/>
        <w:rPr>
          <w:sz w:val="14"/>
        </w:rPr>
      </w:pPr>
    </w:p>
    <w:p>
      <w:pPr>
        <w:pStyle w:val="ListParagraph"/>
        <w:numPr>
          <w:ilvl w:val="3"/>
          <w:numId w:val="12"/>
        </w:numPr>
        <w:tabs>
          <w:tab w:pos="3239" w:val="left" w:leader="none"/>
        </w:tabs>
        <w:spacing w:line="240" w:lineRule="auto" w:before="0" w:after="0"/>
        <w:ind w:left="3238" w:right="0" w:hanging="386"/>
        <w:jc w:val="left"/>
        <w:rPr>
          <w:sz w:val="21"/>
        </w:rPr>
      </w:pPr>
      <w:r>
        <w:rPr>
          <w:spacing w:val="-3"/>
          <w:sz w:val="21"/>
        </w:rPr>
        <w:t>出现胆汁性肝硬化或门脉高压。</w:t>
      </w:r>
    </w:p>
    <w:p>
      <w:pPr>
        <w:pStyle w:val="BodyText"/>
        <w:spacing w:before="9"/>
        <w:rPr>
          <w:sz w:val="14"/>
        </w:rPr>
      </w:pPr>
    </w:p>
    <w:p>
      <w:pPr>
        <w:pStyle w:val="BodyText"/>
        <w:spacing w:before="1"/>
        <w:ind w:left="2432"/>
      </w:pPr>
      <w:r>
        <w:rPr/>
        <w:t>因肿瘤或胆管损伤等继发性的硬化性胆管炎不在保障范围内。</w:t>
      </w:r>
    </w:p>
    <w:p>
      <w:pPr>
        <w:pStyle w:val="BodyText"/>
        <w:spacing w:before="10"/>
        <w:rPr>
          <w:sz w:val="14"/>
        </w:rPr>
      </w:pPr>
    </w:p>
    <w:p>
      <w:pPr>
        <w:pStyle w:val="ListParagraph"/>
        <w:numPr>
          <w:ilvl w:val="2"/>
          <w:numId w:val="12"/>
        </w:numPr>
        <w:tabs>
          <w:tab w:pos="2399" w:val="left" w:leader="none"/>
        </w:tabs>
        <w:spacing w:line="273" w:lineRule="auto" w:before="0" w:after="0"/>
        <w:ind w:left="2398" w:right="240" w:hanging="420"/>
        <w:jc w:val="both"/>
        <w:rPr>
          <w:sz w:val="21"/>
        </w:rPr>
      </w:pPr>
      <w:r>
        <w:rPr>
          <w:spacing w:val="-3"/>
          <w:sz w:val="21"/>
        </w:rPr>
        <w:t>严重溃疡性结肠炎：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pStyle w:val="ListParagraph"/>
        <w:numPr>
          <w:ilvl w:val="2"/>
          <w:numId w:val="12"/>
        </w:numPr>
        <w:tabs>
          <w:tab w:pos="2399" w:val="left" w:leader="none"/>
        </w:tabs>
        <w:spacing w:line="273" w:lineRule="auto" w:before="163" w:after="0"/>
        <w:ind w:left="2398" w:right="240" w:hanging="420"/>
        <w:jc w:val="both"/>
        <w:rPr>
          <w:sz w:val="21"/>
        </w:rPr>
      </w:pPr>
      <w:r>
        <w:rPr>
          <w:spacing w:val="-3"/>
          <w:sz w:val="21"/>
        </w:rPr>
        <w:t>严重面部烧伤：指面部烧伤程度为Ⅲ度，且Ⅲ度烧伤的面积达到面部</w:t>
      </w:r>
      <w:r>
        <w:rPr>
          <w:spacing w:val="-13"/>
          <w:sz w:val="21"/>
        </w:rPr>
        <w:t>表面积的 </w:t>
      </w:r>
      <w:r>
        <w:rPr>
          <w:sz w:val="21"/>
        </w:rPr>
        <w:t>80</w:t>
      </w:r>
      <w:r>
        <w:rPr>
          <w:spacing w:val="-13"/>
          <w:sz w:val="21"/>
        </w:rPr>
        <w:t>％或者 </w:t>
      </w:r>
      <w:r>
        <w:rPr>
          <w:sz w:val="21"/>
        </w:rPr>
        <w:t>80</w:t>
      </w:r>
      <w:r>
        <w:rPr>
          <w:spacing w:val="-2"/>
          <w:sz w:val="21"/>
        </w:rPr>
        <w:t>％以上。</w:t>
      </w:r>
    </w:p>
    <w:p>
      <w:pPr>
        <w:pStyle w:val="ListParagraph"/>
        <w:numPr>
          <w:ilvl w:val="2"/>
          <w:numId w:val="12"/>
        </w:numPr>
        <w:tabs>
          <w:tab w:pos="2399" w:val="left" w:leader="none"/>
        </w:tabs>
        <w:spacing w:line="273" w:lineRule="auto" w:before="163" w:after="0"/>
        <w:ind w:left="2398" w:right="239" w:hanging="420"/>
        <w:jc w:val="both"/>
        <w:rPr>
          <w:sz w:val="21"/>
        </w:rPr>
      </w:pPr>
      <w:r>
        <w:rPr>
          <w:spacing w:val="-3"/>
          <w:sz w:val="21"/>
        </w:rPr>
        <w:t>严重肠道疾病并发症：因严重肠道疾病或外伤导致小肠损害，并且必须同时满足以下所有条件：</w:t>
      </w:r>
    </w:p>
    <w:p>
      <w:pPr>
        <w:pStyle w:val="ListParagraph"/>
        <w:numPr>
          <w:ilvl w:val="3"/>
          <w:numId w:val="12"/>
        </w:numPr>
        <w:tabs>
          <w:tab w:pos="3239" w:val="left" w:leader="none"/>
        </w:tabs>
        <w:spacing w:line="240" w:lineRule="auto" w:before="163" w:after="0"/>
        <w:ind w:left="3238" w:right="0" w:hanging="386"/>
        <w:jc w:val="left"/>
        <w:rPr>
          <w:sz w:val="21"/>
        </w:rPr>
      </w:pPr>
      <w:r>
        <w:rPr>
          <w:spacing w:val="-3"/>
          <w:sz w:val="21"/>
        </w:rPr>
        <w:t>至少切除了三分之二长度的小肠；</w:t>
      </w:r>
    </w:p>
    <w:p>
      <w:pPr>
        <w:pStyle w:val="BodyText"/>
        <w:spacing w:before="10"/>
        <w:rPr>
          <w:sz w:val="14"/>
        </w:rPr>
      </w:pPr>
    </w:p>
    <w:p>
      <w:pPr>
        <w:pStyle w:val="ListParagraph"/>
        <w:numPr>
          <w:ilvl w:val="3"/>
          <w:numId w:val="12"/>
        </w:numPr>
        <w:tabs>
          <w:tab w:pos="3239" w:val="left" w:leader="none"/>
        </w:tabs>
        <w:spacing w:line="240" w:lineRule="auto" w:before="0" w:after="0"/>
        <w:ind w:left="3238" w:right="0" w:hanging="386"/>
        <w:jc w:val="left"/>
        <w:rPr>
          <w:sz w:val="21"/>
        </w:rPr>
      </w:pPr>
      <w:r>
        <w:rPr>
          <w:spacing w:val="-6"/>
          <w:sz w:val="21"/>
        </w:rPr>
        <w:t>施行完全场外营养支持的治疗超过 </w:t>
      </w:r>
      <w:r>
        <w:rPr>
          <w:sz w:val="21"/>
        </w:rPr>
        <w:t>90</w:t>
      </w:r>
      <w:r>
        <w:rPr>
          <w:spacing w:val="-17"/>
          <w:sz w:val="21"/>
        </w:rPr>
        <w:t> 天。</w:t>
      </w:r>
    </w:p>
    <w:p>
      <w:pPr>
        <w:pStyle w:val="BodyText"/>
        <w:spacing w:before="9"/>
        <w:rPr>
          <w:sz w:val="14"/>
        </w:rPr>
      </w:pPr>
    </w:p>
    <w:p>
      <w:pPr>
        <w:pStyle w:val="ListParagraph"/>
        <w:numPr>
          <w:ilvl w:val="2"/>
          <w:numId w:val="12"/>
        </w:numPr>
        <w:tabs>
          <w:tab w:pos="2399" w:val="left" w:leader="none"/>
        </w:tabs>
        <w:spacing w:line="273" w:lineRule="auto" w:before="0" w:after="0"/>
        <w:ind w:left="2398" w:right="221" w:hanging="420"/>
        <w:jc w:val="both"/>
        <w:rPr>
          <w:sz w:val="21"/>
        </w:rPr>
      </w:pPr>
      <w:r>
        <w:rPr>
          <w:spacing w:val="-3"/>
          <w:sz w:val="21"/>
        </w:rPr>
        <w:t>疾病或外伤所致智力障碍：因严重头部创伤或疾病造成被保险人智力低下或智力残疾。根据智商</w:t>
      </w:r>
      <w:r>
        <w:rPr>
          <w:sz w:val="21"/>
        </w:rPr>
        <w:t>（IQ）</w:t>
      </w:r>
      <w:r>
        <w:rPr>
          <w:spacing w:val="-3"/>
          <w:sz w:val="21"/>
        </w:rPr>
        <w:t>智力低下分为轻度</w:t>
      </w:r>
      <w:r>
        <w:rPr>
          <w:sz w:val="21"/>
        </w:rPr>
        <w:t>（IQ50-69</w:t>
      </w:r>
      <w:r>
        <w:rPr>
          <w:spacing w:val="-1"/>
          <w:sz w:val="21"/>
        </w:rPr>
        <w:t>)；中</w:t>
      </w:r>
      <w:r>
        <w:rPr>
          <w:spacing w:val="-15"/>
          <w:w w:val="100"/>
          <w:sz w:val="21"/>
        </w:rPr>
        <w:t>度</w:t>
      </w:r>
      <w:r>
        <w:rPr>
          <w:w w:val="100"/>
          <w:sz w:val="21"/>
        </w:rPr>
        <w:t>（IQ</w:t>
      </w:r>
      <w:r>
        <w:rPr>
          <w:spacing w:val="-3"/>
          <w:w w:val="100"/>
          <w:sz w:val="21"/>
        </w:rPr>
        <w:t>3</w:t>
      </w:r>
      <w:r>
        <w:rPr>
          <w:spacing w:val="-1"/>
          <w:w w:val="100"/>
          <w:sz w:val="21"/>
        </w:rPr>
        <w:t>5</w:t>
      </w:r>
      <w:r>
        <w:rPr>
          <w:w w:val="100"/>
          <w:sz w:val="21"/>
        </w:rPr>
        <w:t>-4</w:t>
      </w:r>
      <w:r>
        <w:rPr>
          <w:spacing w:val="-3"/>
          <w:w w:val="100"/>
          <w:sz w:val="21"/>
        </w:rPr>
        <w:t>9</w:t>
      </w:r>
      <w:r>
        <w:rPr>
          <w:spacing w:val="-106"/>
          <w:w w:val="100"/>
          <w:sz w:val="21"/>
        </w:rPr>
        <w:t>）</w:t>
      </w:r>
      <w:r>
        <w:rPr>
          <w:spacing w:val="-11"/>
          <w:w w:val="100"/>
          <w:sz w:val="21"/>
        </w:rPr>
        <w:t>；重度</w:t>
      </w:r>
      <w:r>
        <w:rPr>
          <w:spacing w:val="-1"/>
          <w:w w:val="100"/>
          <w:sz w:val="21"/>
        </w:rPr>
        <w:t>（</w:t>
      </w:r>
      <w:r>
        <w:rPr>
          <w:w w:val="100"/>
          <w:sz w:val="21"/>
        </w:rPr>
        <w:t>I</w:t>
      </w:r>
      <w:r>
        <w:rPr>
          <w:spacing w:val="-3"/>
          <w:w w:val="100"/>
          <w:sz w:val="21"/>
        </w:rPr>
        <w:t>Q2</w:t>
      </w:r>
      <w:r>
        <w:rPr>
          <w:w w:val="100"/>
          <w:sz w:val="21"/>
        </w:rPr>
        <w:t>0-34</w:t>
      </w:r>
      <w:r>
        <w:rPr>
          <w:spacing w:val="-17"/>
          <w:w w:val="100"/>
          <w:sz w:val="21"/>
        </w:rPr>
        <w:t>）</w:t>
      </w:r>
      <w:r>
        <w:rPr>
          <w:spacing w:val="-6"/>
          <w:w w:val="100"/>
          <w:sz w:val="21"/>
        </w:rPr>
        <w:t>和极重度</w:t>
      </w:r>
      <w:r>
        <w:rPr>
          <w:spacing w:val="-1"/>
          <w:w w:val="100"/>
          <w:sz w:val="21"/>
        </w:rPr>
        <w:t>（</w:t>
      </w:r>
      <w:r>
        <w:rPr>
          <w:spacing w:val="-3"/>
          <w:w w:val="100"/>
          <w:sz w:val="21"/>
        </w:rPr>
        <w:t>I</w:t>
      </w:r>
      <w:r>
        <w:rPr>
          <w:w w:val="100"/>
          <w:sz w:val="21"/>
        </w:rPr>
        <w:t>Q&lt;2</w:t>
      </w:r>
      <w:r>
        <w:rPr>
          <w:spacing w:val="-3"/>
          <w:w w:val="100"/>
          <w:sz w:val="21"/>
        </w:rPr>
        <w:t>0</w:t>
      </w:r>
      <w:r>
        <w:rPr>
          <w:spacing w:val="-108"/>
          <w:w w:val="100"/>
          <w:sz w:val="21"/>
        </w:rPr>
        <w:t>）</w:t>
      </w:r>
      <w:r>
        <w:rPr>
          <w:spacing w:val="-5"/>
          <w:w w:val="100"/>
          <w:sz w:val="21"/>
        </w:rPr>
        <w:t>。智商的检测须由</w:t>
      </w:r>
      <w:r>
        <w:rPr>
          <w:spacing w:val="-4"/>
          <w:sz w:val="21"/>
        </w:rPr>
        <w:t>本公司认可的医院的儿童或成人精神卫生科、心理科或神经科专科医</w:t>
      </w:r>
      <w:r>
        <w:rPr>
          <w:spacing w:val="-3"/>
          <w:sz w:val="21"/>
        </w:rPr>
        <w:t>生进行。根据被保险人年龄采用对应的智力量表如韦克斯勒智力量表</w:t>
      </w:r>
    </w:p>
    <w:p>
      <w:pPr>
        <w:spacing w:after="0" w:line="273" w:lineRule="auto"/>
        <w:jc w:val="both"/>
        <w:rPr>
          <w:sz w:val="21"/>
        </w:rPr>
        <w:sectPr>
          <w:pgSz w:w="11910" w:h="16840"/>
          <w:pgMar w:header="0" w:footer="925" w:top="1080" w:bottom="1200" w:left="1680" w:right="1280"/>
        </w:sectPr>
      </w:pPr>
    </w:p>
    <w:p>
      <w:pPr>
        <w:pStyle w:val="BodyText"/>
        <w:spacing w:line="408" w:lineRule="auto" w:before="22"/>
        <w:ind w:left="2432" w:right="3286" w:hanging="34"/>
      </w:pPr>
      <w:r>
        <w:rPr/>
        <w:t>（</w:t>
      </w:r>
      <w:r>
        <w:rPr>
          <w:spacing w:val="-3"/>
        </w:rPr>
        <w:t>儿童智力量表或成人智力量表</w:t>
      </w:r>
      <w:r>
        <w:rPr>
          <w:spacing w:val="-106"/>
        </w:rPr>
        <w:t>）</w:t>
      </w:r>
      <w:r>
        <w:rPr/>
        <w:t>。</w:t>
      </w:r>
      <w:r>
        <w:rPr>
          <w:spacing w:val="-3"/>
        </w:rPr>
        <w:t>理赔时必须满足下列全部条件：</w:t>
      </w:r>
    </w:p>
    <w:p>
      <w:pPr>
        <w:pStyle w:val="ListParagraph"/>
        <w:numPr>
          <w:ilvl w:val="3"/>
          <w:numId w:val="12"/>
        </w:numPr>
        <w:tabs>
          <w:tab w:pos="3239" w:val="left" w:leader="none"/>
        </w:tabs>
        <w:spacing w:line="240" w:lineRule="auto" w:before="46" w:after="0"/>
        <w:ind w:left="3272" w:right="0" w:hanging="420"/>
        <w:jc w:val="left"/>
        <w:rPr>
          <w:sz w:val="21"/>
        </w:rPr>
      </w:pPr>
      <w:r>
        <w:rPr>
          <w:spacing w:val="-3"/>
          <w:sz w:val="21"/>
        </w:rPr>
        <w:t>造成被保险人智力低下或智力残疾的严重头部创伤或疾病</w:t>
      </w:r>
    </w:p>
    <w:p>
      <w:pPr>
        <w:pStyle w:val="BodyText"/>
        <w:spacing w:before="36"/>
        <w:ind w:left="3272"/>
      </w:pPr>
      <w:r>
        <w:rPr/>
        <w:t>（以诊断日期为准）发生在被保险人六周岁以后；</w:t>
      </w:r>
    </w:p>
    <w:p>
      <w:pPr>
        <w:pStyle w:val="BodyText"/>
        <w:spacing w:before="9"/>
        <w:rPr>
          <w:sz w:val="14"/>
        </w:rPr>
      </w:pPr>
    </w:p>
    <w:p>
      <w:pPr>
        <w:pStyle w:val="ListParagraph"/>
        <w:numPr>
          <w:ilvl w:val="3"/>
          <w:numId w:val="12"/>
        </w:numPr>
        <w:tabs>
          <w:tab w:pos="3239" w:val="left" w:leader="none"/>
        </w:tabs>
        <w:spacing w:line="273" w:lineRule="auto" w:before="0" w:after="0"/>
        <w:ind w:left="3272" w:right="240" w:hanging="420"/>
        <w:jc w:val="left"/>
        <w:rPr>
          <w:sz w:val="21"/>
        </w:rPr>
      </w:pPr>
      <w:r>
        <w:rPr>
          <w:spacing w:val="-3"/>
          <w:sz w:val="21"/>
        </w:rPr>
        <w:t>本公司认可医院的专科医生确诊被保险人由于严重头部创伤或疾病造成智力低下或智力残疾；</w:t>
      </w:r>
    </w:p>
    <w:p>
      <w:pPr>
        <w:pStyle w:val="ListParagraph"/>
        <w:numPr>
          <w:ilvl w:val="3"/>
          <w:numId w:val="12"/>
        </w:numPr>
        <w:tabs>
          <w:tab w:pos="3239" w:val="left" w:leader="none"/>
        </w:tabs>
        <w:spacing w:line="273" w:lineRule="auto" w:before="163" w:after="0"/>
        <w:ind w:left="3272" w:right="240" w:hanging="420"/>
        <w:jc w:val="left"/>
        <w:rPr>
          <w:sz w:val="21"/>
        </w:rPr>
      </w:pPr>
      <w:r>
        <w:rPr>
          <w:spacing w:val="-3"/>
          <w:sz w:val="21"/>
        </w:rPr>
        <w:t>本公司认可医院的儿童或成人精神卫生科、心理科或神经科专科医生做的检测证实被保险人智力低下或智力残疾</w:t>
      </w:r>
      <w:r>
        <w:rPr>
          <w:sz w:val="21"/>
        </w:rPr>
        <w:t>（轻</w:t>
      </w:r>
      <w:r>
        <w:rPr>
          <w:w w:val="100"/>
          <w:sz w:val="21"/>
        </w:rPr>
        <w:t>度</w:t>
      </w:r>
      <w:r>
        <w:rPr>
          <w:spacing w:val="-3"/>
          <w:w w:val="100"/>
          <w:sz w:val="21"/>
        </w:rPr>
        <w:t>、中度、重度或极重度</w:t>
      </w:r>
      <w:r>
        <w:rPr>
          <w:spacing w:val="-108"/>
          <w:w w:val="100"/>
          <w:sz w:val="21"/>
        </w:rPr>
        <w:t>）</w:t>
      </w:r>
      <w:r>
        <w:rPr>
          <w:w w:val="100"/>
          <w:sz w:val="21"/>
        </w:rPr>
        <w:t>；</w:t>
      </w:r>
    </w:p>
    <w:p>
      <w:pPr>
        <w:pStyle w:val="ListParagraph"/>
        <w:numPr>
          <w:ilvl w:val="3"/>
          <w:numId w:val="12"/>
        </w:numPr>
        <w:tabs>
          <w:tab w:pos="3239" w:val="left" w:leader="none"/>
        </w:tabs>
        <w:spacing w:line="273" w:lineRule="auto" w:before="163" w:after="0"/>
        <w:ind w:left="3272" w:right="451" w:hanging="420"/>
        <w:jc w:val="left"/>
        <w:rPr>
          <w:sz w:val="21"/>
        </w:rPr>
      </w:pPr>
      <w:r>
        <w:rPr>
          <w:spacing w:val="-5"/>
          <w:sz w:val="21"/>
        </w:rPr>
        <w:t>被保险人的智力低下或智力残疾自确诊日起持续 </w:t>
      </w:r>
      <w:r>
        <w:rPr>
          <w:sz w:val="21"/>
        </w:rPr>
        <w:t>180</w:t>
      </w:r>
      <w:r>
        <w:rPr>
          <w:spacing w:val="-15"/>
          <w:sz w:val="21"/>
        </w:rPr>
        <w:t> 天以上。</w:t>
      </w:r>
    </w:p>
    <w:p>
      <w:pPr>
        <w:pStyle w:val="ListParagraph"/>
        <w:numPr>
          <w:ilvl w:val="2"/>
          <w:numId w:val="12"/>
        </w:numPr>
        <w:tabs>
          <w:tab w:pos="2399" w:val="left" w:leader="none"/>
        </w:tabs>
        <w:spacing w:line="273" w:lineRule="auto" w:before="164" w:after="0"/>
        <w:ind w:left="2398" w:right="112" w:hanging="420"/>
        <w:jc w:val="left"/>
        <w:rPr>
          <w:sz w:val="21"/>
        </w:rPr>
      </w:pPr>
      <w:r>
        <w:rPr>
          <w:spacing w:val="-3"/>
          <w:sz w:val="21"/>
        </w:rPr>
        <w:t>非阿尔茨海默病所致严重痴呆：指因阿尔茨海默病以外的脑的器质性疾病造成脑功能衰竭导致永久不可逆性的严重痴呆，临床表现为明显的认知能力障碍、行为异常和社交能力减退。被保险人自主生活能力</w:t>
      </w:r>
      <w:r>
        <w:rPr>
          <w:spacing w:val="-12"/>
          <w:sz w:val="21"/>
        </w:rPr>
        <w:t>完全丧失，无法独立完成六项基本日常生活活动中的三项或三项以上， </w:t>
      </w:r>
      <w:r>
        <w:rPr>
          <w:spacing w:val="-6"/>
          <w:sz w:val="21"/>
        </w:rPr>
        <w:t>日常生活必须持续受到他人监护。导致痴呆的疾病必须明确诊断，并</w:t>
      </w:r>
      <w:r>
        <w:rPr>
          <w:spacing w:val="-11"/>
          <w:sz w:val="21"/>
        </w:rPr>
        <w:t>且由完整的临床、实验室和影像学检查结果证实。神经官能症,精神疾</w:t>
      </w:r>
      <w:r>
        <w:rPr>
          <w:spacing w:val="-6"/>
          <w:sz w:val="21"/>
        </w:rPr>
        <w:t>病及酒精中毒所致脑损害不在保障范围内。</w:t>
      </w:r>
    </w:p>
    <w:p>
      <w:pPr>
        <w:pStyle w:val="ListParagraph"/>
        <w:numPr>
          <w:ilvl w:val="2"/>
          <w:numId w:val="12"/>
        </w:numPr>
        <w:tabs>
          <w:tab w:pos="2399" w:val="left" w:leader="none"/>
        </w:tabs>
        <w:spacing w:line="273" w:lineRule="auto" w:before="164" w:after="0"/>
        <w:ind w:left="2398" w:right="218" w:hanging="420"/>
        <w:jc w:val="both"/>
        <w:rPr>
          <w:sz w:val="21"/>
        </w:rPr>
      </w:pPr>
      <w:r>
        <w:rPr>
          <w:spacing w:val="-8"/>
          <w:sz w:val="21"/>
        </w:rPr>
        <w:t>艾森门格综合征</w:t>
      </w:r>
      <w:r>
        <w:rPr>
          <w:sz w:val="21"/>
        </w:rPr>
        <w:t>（</w:t>
      </w:r>
      <w:r>
        <w:rPr>
          <w:spacing w:val="-3"/>
          <w:sz w:val="21"/>
        </w:rPr>
        <w:t>先天性心脏病</w:t>
      </w:r>
      <w:r>
        <w:rPr>
          <w:spacing w:val="-75"/>
          <w:sz w:val="21"/>
        </w:rPr>
        <w:t>）</w:t>
      </w:r>
      <w:r>
        <w:rPr>
          <w:spacing w:val="-11"/>
          <w:sz w:val="21"/>
        </w:rPr>
        <w:t>：因先天性心脏病而引起严重肺动脉</w:t>
      </w:r>
      <w:r>
        <w:rPr>
          <w:spacing w:val="-6"/>
          <w:sz w:val="21"/>
        </w:rPr>
        <w:t>高血压及右向左分流，皮肤粘膜从无青紫发展至有青紫。本病的诊断</w:t>
      </w:r>
      <w:r>
        <w:rPr>
          <w:spacing w:val="-4"/>
          <w:sz w:val="21"/>
        </w:rPr>
        <w:t>必须由本公司认可的专科医生经超声波心动图和心导管等检查确诊， </w:t>
      </w:r>
      <w:r>
        <w:rPr>
          <w:spacing w:val="-3"/>
          <w:sz w:val="21"/>
        </w:rPr>
        <w:t>并且心功能衰竭程度达到纽约心脏病学会的心功能分级标准之心功能</w:t>
      </w:r>
    </w:p>
    <w:p>
      <w:pPr>
        <w:pStyle w:val="BodyText"/>
        <w:spacing w:before="8"/>
        <w:ind w:left="2398"/>
      </w:pPr>
      <w:r>
        <w:rPr/>
        <w:t>IV 级。</w:t>
      </w:r>
    </w:p>
    <w:p>
      <w:pPr>
        <w:pStyle w:val="BodyText"/>
        <w:spacing w:before="9"/>
        <w:rPr>
          <w:sz w:val="14"/>
        </w:rPr>
      </w:pPr>
    </w:p>
    <w:p>
      <w:pPr>
        <w:pStyle w:val="ListParagraph"/>
        <w:numPr>
          <w:ilvl w:val="2"/>
          <w:numId w:val="12"/>
        </w:numPr>
        <w:tabs>
          <w:tab w:pos="2399" w:val="left" w:leader="none"/>
        </w:tabs>
        <w:spacing w:line="273" w:lineRule="auto" w:before="0" w:after="0"/>
        <w:ind w:left="2398" w:right="112" w:hanging="420"/>
        <w:jc w:val="left"/>
        <w:rPr>
          <w:sz w:val="21"/>
        </w:rPr>
      </w:pPr>
      <w:r>
        <w:rPr>
          <w:spacing w:val="-3"/>
          <w:sz w:val="21"/>
        </w:rPr>
        <w:t>严重幼年型类风湿性关节炎：是指小儿及青少年时期的一种全身结缔组织病。可表现为驰张热、皮疹、关节炎、脾肿大、淋巴结肿大、浆</w:t>
      </w:r>
      <w:r>
        <w:rPr>
          <w:spacing w:val="-11"/>
          <w:sz w:val="21"/>
        </w:rPr>
        <w:t>膜炎、体重减轻、中性粒细胞增多等，全身症状可以先于关节炎出现。</w:t>
      </w:r>
      <w:r>
        <w:rPr>
          <w:spacing w:val="-6"/>
          <w:sz w:val="21"/>
        </w:rPr>
        <w:t>本病须经本公司认可的儿科类风湿病专家出具医学诊断证明，保障仅</w:t>
      </w:r>
      <w:r>
        <w:rPr>
          <w:spacing w:val="-10"/>
          <w:sz w:val="21"/>
        </w:rPr>
        <w:t>限于症状持续 </w:t>
      </w:r>
      <w:r>
        <w:rPr>
          <w:sz w:val="21"/>
        </w:rPr>
        <w:t>6</w:t>
      </w:r>
      <w:r>
        <w:rPr>
          <w:spacing w:val="-8"/>
          <w:sz w:val="21"/>
        </w:rPr>
        <w:t> 个月以上，并因病情严重在医生的建议下已接受以治</w:t>
      </w:r>
      <w:r>
        <w:rPr>
          <w:spacing w:val="-5"/>
          <w:sz w:val="21"/>
        </w:rPr>
        <w:t>疗为目的的膝或髋关节的置换手术。其他类型的儿童类风湿性关节炎除外。</w:t>
      </w:r>
    </w:p>
    <w:p>
      <w:pPr>
        <w:pStyle w:val="ListParagraph"/>
        <w:numPr>
          <w:ilvl w:val="2"/>
          <w:numId w:val="12"/>
        </w:numPr>
        <w:tabs>
          <w:tab w:pos="2399" w:val="left" w:leader="none"/>
        </w:tabs>
        <w:spacing w:line="273" w:lineRule="auto" w:before="163" w:after="0"/>
        <w:ind w:left="2398" w:right="240" w:hanging="420"/>
        <w:jc w:val="both"/>
        <w:rPr>
          <w:sz w:val="21"/>
        </w:rPr>
      </w:pPr>
      <w:r>
        <w:rPr>
          <w:spacing w:val="-3"/>
          <w:sz w:val="21"/>
        </w:rPr>
        <w:t>肝豆状核变性：由于先天性铜代谢障碍所引起的一种疾病，其特点为肝硬化与双侧脑基底神经节变性同时存在。理赔须经本公司认可的专科医生确认并同时具备下列情况：</w:t>
      </w:r>
    </w:p>
    <w:p>
      <w:pPr>
        <w:pStyle w:val="ListParagraph"/>
        <w:numPr>
          <w:ilvl w:val="3"/>
          <w:numId w:val="12"/>
        </w:numPr>
        <w:tabs>
          <w:tab w:pos="3239" w:val="left" w:leader="none"/>
        </w:tabs>
        <w:spacing w:line="273" w:lineRule="auto" w:before="164" w:after="0"/>
        <w:ind w:left="3272" w:right="240" w:hanging="420"/>
        <w:jc w:val="left"/>
        <w:rPr>
          <w:sz w:val="21"/>
        </w:rPr>
      </w:pPr>
      <w:r>
        <w:rPr>
          <w:spacing w:val="-3"/>
          <w:sz w:val="21"/>
        </w:rPr>
        <w:t>临床表现包括：进行性加剧的肢体震颤，肌强直，吞咽及发音困难，精神异常；</w:t>
      </w:r>
    </w:p>
    <w:p>
      <w:pPr>
        <w:pStyle w:val="ListParagraph"/>
        <w:numPr>
          <w:ilvl w:val="3"/>
          <w:numId w:val="12"/>
        </w:numPr>
        <w:tabs>
          <w:tab w:pos="3239" w:val="left" w:leader="none"/>
        </w:tabs>
        <w:spacing w:line="240" w:lineRule="auto" w:before="163" w:after="0"/>
        <w:ind w:left="3272" w:right="0" w:hanging="420"/>
        <w:jc w:val="left"/>
        <w:rPr>
          <w:sz w:val="21"/>
        </w:rPr>
      </w:pPr>
      <w:r>
        <w:rPr>
          <w:spacing w:val="-2"/>
          <w:w w:val="100"/>
          <w:sz w:val="21"/>
        </w:rPr>
        <w:t>角膜色素环</w:t>
      </w:r>
      <w:r>
        <w:rPr>
          <w:spacing w:val="-1"/>
          <w:w w:val="100"/>
          <w:sz w:val="21"/>
        </w:rPr>
        <w:t>（</w:t>
      </w:r>
      <w:r>
        <w:rPr>
          <w:w w:val="100"/>
          <w:sz w:val="21"/>
        </w:rPr>
        <w:t>K</w:t>
      </w:r>
      <w:r>
        <w:rPr>
          <w:spacing w:val="-3"/>
          <w:w w:val="100"/>
          <w:sz w:val="21"/>
        </w:rPr>
        <w:t>-</w:t>
      </w:r>
      <w:r>
        <w:rPr>
          <w:w w:val="100"/>
          <w:sz w:val="21"/>
        </w:rPr>
        <w:t>F</w:t>
      </w:r>
      <w:r>
        <w:rPr>
          <w:spacing w:val="-53"/>
          <w:sz w:val="21"/>
        </w:rPr>
        <w:t> </w:t>
      </w:r>
      <w:r>
        <w:rPr>
          <w:spacing w:val="-3"/>
          <w:w w:val="100"/>
          <w:sz w:val="21"/>
        </w:rPr>
        <w:t>环</w:t>
      </w:r>
      <w:r>
        <w:rPr>
          <w:spacing w:val="-106"/>
          <w:w w:val="100"/>
          <w:sz w:val="21"/>
        </w:rPr>
        <w:t>）</w:t>
      </w:r>
      <w:r>
        <w:rPr>
          <w:w w:val="100"/>
          <w:sz w:val="21"/>
        </w:rPr>
        <w:t>；</w:t>
      </w:r>
    </w:p>
    <w:p>
      <w:pPr>
        <w:pStyle w:val="BodyText"/>
        <w:spacing w:before="9"/>
        <w:rPr>
          <w:sz w:val="14"/>
        </w:rPr>
      </w:pPr>
    </w:p>
    <w:p>
      <w:pPr>
        <w:pStyle w:val="ListParagraph"/>
        <w:numPr>
          <w:ilvl w:val="3"/>
          <w:numId w:val="12"/>
        </w:numPr>
        <w:tabs>
          <w:tab w:pos="3239" w:val="left" w:leader="none"/>
        </w:tabs>
        <w:spacing w:line="240" w:lineRule="auto" w:before="0" w:after="0"/>
        <w:ind w:left="3272" w:right="0" w:hanging="420"/>
        <w:jc w:val="left"/>
        <w:rPr>
          <w:sz w:val="21"/>
        </w:rPr>
      </w:pPr>
      <w:r>
        <w:rPr>
          <w:spacing w:val="-3"/>
          <w:sz w:val="21"/>
        </w:rPr>
        <w:t>血清铜和血清铜蓝蛋白降低，尿铜增加；</w:t>
      </w:r>
    </w:p>
    <w:p>
      <w:pPr>
        <w:pStyle w:val="BodyText"/>
        <w:spacing w:before="9"/>
        <w:rPr>
          <w:sz w:val="14"/>
        </w:rPr>
      </w:pPr>
    </w:p>
    <w:p>
      <w:pPr>
        <w:pStyle w:val="ListParagraph"/>
        <w:numPr>
          <w:ilvl w:val="3"/>
          <w:numId w:val="12"/>
        </w:numPr>
        <w:tabs>
          <w:tab w:pos="3239" w:val="left" w:leader="none"/>
        </w:tabs>
        <w:spacing w:line="240" w:lineRule="auto" w:before="0" w:after="0"/>
        <w:ind w:left="3272" w:right="0" w:hanging="420"/>
        <w:jc w:val="left"/>
        <w:rPr>
          <w:sz w:val="21"/>
        </w:rPr>
      </w:pPr>
      <w:r>
        <w:rPr>
          <w:spacing w:val="-1"/>
          <w:sz w:val="21"/>
        </w:rPr>
        <w:t>食管静脉曲张 ；</w:t>
      </w:r>
    </w:p>
    <w:p>
      <w:pPr>
        <w:spacing w:after="0" w:line="240" w:lineRule="auto"/>
        <w:jc w:val="left"/>
        <w:rPr>
          <w:sz w:val="21"/>
        </w:rPr>
        <w:sectPr>
          <w:pgSz w:w="11910" w:h="16840"/>
          <w:pgMar w:header="0" w:footer="925" w:top="1080" w:bottom="1200" w:left="1680" w:right="12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581"/>
      </w:tblGrid>
      <w:tr>
        <w:trPr>
          <w:trHeight w:val="9313"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581" w:type="dxa"/>
          </w:tcPr>
          <w:p>
            <w:pPr>
              <w:pStyle w:val="TableParagraph"/>
              <w:spacing w:line="211" w:lineRule="exact"/>
              <w:ind w:left="1205"/>
              <w:rPr>
                <w:sz w:val="21"/>
              </w:rPr>
            </w:pPr>
            <w:r>
              <w:rPr>
                <w:sz w:val="21"/>
              </w:rPr>
              <w:t>e) 腹水。</w:t>
            </w:r>
          </w:p>
          <w:p>
            <w:pPr>
              <w:pStyle w:val="TableParagraph"/>
              <w:spacing w:before="9"/>
              <w:ind w:left="0"/>
              <w:rPr>
                <w:sz w:val="14"/>
              </w:rPr>
            </w:pPr>
          </w:p>
          <w:p>
            <w:pPr>
              <w:pStyle w:val="TableParagraph"/>
              <w:numPr>
                <w:ilvl w:val="0"/>
                <w:numId w:val="14"/>
              </w:numPr>
              <w:tabs>
                <w:tab w:pos="752" w:val="left" w:leader="none"/>
              </w:tabs>
              <w:spacing w:line="240" w:lineRule="auto" w:before="1" w:after="0"/>
              <w:ind w:left="751" w:right="0" w:hanging="420"/>
              <w:jc w:val="left"/>
              <w:rPr>
                <w:sz w:val="21"/>
              </w:rPr>
            </w:pPr>
            <w:r>
              <w:rPr>
                <w:spacing w:val="-3"/>
                <w:sz w:val="21"/>
              </w:rPr>
              <w:t>疯牛病：神经系统疾病及致命的成胶质状脑病，并有以下症状：</w:t>
            </w:r>
          </w:p>
          <w:p>
            <w:pPr>
              <w:pStyle w:val="TableParagraph"/>
              <w:spacing w:before="10"/>
              <w:ind w:left="0"/>
              <w:rPr>
                <w:sz w:val="14"/>
              </w:rPr>
            </w:pPr>
          </w:p>
          <w:p>
            <w:pPr>
              <w:pStyle w:val="TableParagraph"/>
              <w:numPr>
                <w:ilvl w:val="1"/>
                <w:numId w:val="14"/>
              </w:numPr>
              <w:tabs>
                <w:tab w:pos="1592" w:val="left" w:leader="none"/>
              </w:tabs>
              <w:spacing w:line="240" w:lineRule="auto" w:before="0" w:after="0"/>
              <w:ind w:left="1591" w:right="0" w:hanging="386"/>
              <w:jc w:val="left"/>
              <w:rPr>
                <w:sz w:val="21"/>
              </w:rPr>
            </w:pPr>
            <w:r>
              <w:rPr>
                <w:spacing w:val="-3"/>
                <w:sz w:val="21"/>
              </w:rPr>
              <w:t>不能控制的肌肉痉挛及震颤；</w:t>
            </w:r>
          </w:p>
          <w:p>
            <w:pPr>
              <w:pStyle w:val="TableParagraph"/>
              <w:spacing w:before="9"/>
              <w:ind w:left="0"/>
              <w:rPr>
                <w:sz w:val="14"/>
              </w:rPr>
            </w:pPr>
          </w:p>
          <w:p>
            <w:pPr>
              <w:pStyle w:val="TableParagraph"/>
              <w:numPr>
                <w:ilvl w:val="1"/>
                <w:numId w:val="14"/>
              </w:numPr>
              <w:tabs>
                <w:tab w:pos="1592" w:val="left" w:leader="none"/>
              </w:tabs>
              <w:spacing w:line="240" w:lineRule="auto" w:before="0" w:after="0"/>
              <w:ind w:left="1591" w:right="0" w:hanging="386"/>
              <w:jc w:val="left"/>
              <w:rPr>
                <w:sz w:val="21"/>
              </w:rPr>
            </w:pPr>
            <w:r>
              <w:rPr>
                <w:spacing w:val="-1"/>
                <w:sz w:val="21"/>
              </w:rPr>
              <w:t>逐渐痴呆；</w:t>
            </w:r>
          </w:p>
          <w:p>
            <w:pPr>
              <w:pStyle w:val="TableParagraph"/>
              <w:spacing w:before="9"/>
              <w:ind w:left="0"/>
              <w:rPr>
                <w:sz w:val="14"/>
              </w:rPr>
            </w:pPr>
          </w:p>
          <w:p>
            <w:pPr>
              <w:pStyle w:val="TableParagraph"/>
              <w:numPr>
                <w:ilvl w:val="1"/>
                <w:numId w:val="14"/>
              </w:numPr>
              <w:tabs>
                <w:tab w:pos="1592" w:val="left" w:leader="none"/>
              </w:tabs>
              <w:spacing w:line="240" w:lineRule="auto" w:before="0" w:after="0"/>
              <w:ind w:left="1591" w:right="0" w:hanging="386"/>
              <w:jc w:val="left"/>
              <w:rPr>
                <w:sz w:val="21"/>
              </w:rPr>
            </w:pPr>
            <w:r>
              <w:rPr>
                <w:spacing w:val="-3"/>
                <w:sz w:val="21"/>
              </w:rPr>
              <w:t>小脑功能不良，共济失调；</w:t>
            </w:r>
          </w:p>
          <w:p>
            <w:pPr>
              <w:pStyle w:val="TableParagraph"/>
              <w:spacing w:before="9"/>
              <w:ind w:left="0"/>
              <w:rPr>
                <w:sz w:val="14"/>
              </w:rPr>
            </w:pPr>
          </w:p>
          <w:p>
            <w:pPr>
              <w:pStyle w:val="TableParagraph"/>
              <w:numPr>
                <w:ilvl w:val="1"/>
                <w:numId w:val="14"/>
              </w:numPr>
              <w:tabs>
                <w:tab w:pos="1592" w:val="left" w:leader="none"/>
              </w:tabs>
              <w:spacing w:line="240" w:lineRule="auto" w:before="0" w:after="0"/>
              <w:ind w:left="1591" w:right="0" w:hanging="386"/>
              <w:jc w:val="left"/>
              <w:rPr>
                <w:sz w:val="21"/>
              </w:rPr>
            </w:pPr>
            <w:r>
              <w:rPr>
                <w:spacing w:val="-2"/>
                <w:sz w:val="21"/>
              </w:rPr>
              <w:t>手足徐动症。</w:t>
            </w:r>
          </w:p>
          <w:p>
            <w:pPr>
              <w:pStyle w:val="TableParagraph"/>
              <w:spacing w:before="9"/>
              <w:ind w:left="0"/>
              <w:rPr>
                <w:sz w:val="14"/>
              </w:rPr>
            </w:pPr>
          </w:p>
          <w:p>
            <w:pPr>
              <w:pStyle w:val="TableParagraph"/>
              <w:spacing w:line="273" w:lineRule="auto"/>
              <w:ind w:left="785" w:right="467"/>
              <w:rPr>
                <w:sz w:val="21"/>
              </w:rPr>
            </w:pPr>
            <w:r>
              <w:rPr>
                <w:sz w:val="21"/>
              </w:rPr>
              <w:t>诊断必须由神经科专科医生基于以下检查报告作出：脑电图、脑脊液报告、电脑断层扫描(CT)及核磁共振(MRI)。</w:t>
            </w:r>
          </w:p>
          <w:p>
            <w:pPr>
              <w:pStyle w:val="TableParagraph"/>
              <w:numPr>
                <w:ilvl w:val="0"/>
                <w:numId w:val="14"/>
              </w:numPr>
              <w:tabs>
                <w:tab w:pos="752" w:val="left" w:leader="none"/>
              </w:tabs>
              <w:spacing w:line="273" w:lineRule="auto" w:before="163" w:after="0"/>
              <w:ind w:left="751" w:right="500" w:hanging="420"/>
              <w:jc w:val="both"/>
              <w:rPr>
                <w:sz w:val="21"/>
              </w:rPr>
            </w:pPr>
            <w:r>
              <w:rPr>
                <w:spacing w:val="-3"/>
                <w:sz w:val="21"/>
              </w:rPr>
              <w:t>肺泡蛋白质沉积症：指肺泡和细支气管腔内充满不可溶性富磷脂蛋白</w:t>
            </w:r>
            <w:r>
              <w:rPr>
                <w:spacing w:val="-9"/>
                <w:sz w:val="21"/>
              </w:rPr>
              <w:t>的疾病，胸部 </w:t>
            </w:r>
            <w:r>
              <w:rPr>
                <w:sz w:val="21"/>
              </w:rPr>
              <w:t>X</w:t>
            </w:r>
            <w:r>
              <w:rPr>
                <w:spacing w:val="-8"/>
                <w:sz w:val="21"/>
              </w:rPr>
              <w:t> 线呈双肺弥漫性肺部磨玻璃影，病理学检查肺泡内充</w:t>
            </w:r>
            <w:r>
              <w:rPr>
                <w:spacing w:val="-9"/>
                <w:sz w:val="21"/>
              </w:rPr>
              <w:t>满有过碘酸雪夫</w:t>
            </w:r>
            <w:r>
              <w:rPr>
                <w:spacing w:val="-7"/>
                <w:sz w:val="21"/>
              </w:rPr>
              <w:t>（PAS）</w:t>
            </w:r>
            <w:r>
              <w:rPr>
                <w:spacing w:val="-6"/>
                <w:sz w:val="21"/>
              </w:rPr>
              <w:t>染色阳性的蛋白样物质，本病必须由本公司认</w:t>
            </w:r>
            <w:r>
              <w:rPr>
                <w:spacing w:val="-4"/>
                <w:sz w:val="21"/>
              </w:rPr>
              <w:t>可的专科医生确诊，并且已经接受了肺灌洗治疗。</w:t>
            </w:r>
          </w:p>
          <w:p>
            <w:pPr>
              <w:pStyle w:val="TableParagraph"/>
              <w:numPr>
                <w:ilvl w:val="0"/>
                <w:numId w:val="14"/>
              </w:numPr>
              <w:tabs>
                <w:tab w:pos="752" w:val="left" w:leader="none"/>
              </w:tabs>
              <w:spacing w:line="273" w:lineRule="auto" w:before="163" w:after="0"/>
              <w:ind w:left="751" w:right="521" w:hanging="420"/>
              <w:jc w:val="both"/>
              <w:rPr>
                <w:sz w:val="21"/>
              </w:rPr>
            </w:pPr>
            <w:r>
              <w:rPr>
                <w:spacing w:val="-3"/>
                <w:sz w:val="21"/>
              </w:rPr>
              <w:t>肺淋巴管肌瘤病：肺淋巴管肌瘤病是一种弥漫性肺部疾病，主要病理改变为肺间质、支气管、血管和淋巴管内出现未成熟的平滑肌异常增生，本病必须由本公司认可的专科医生确诊，并且同时须满足下列全部条件：</w:t>
            </w:r>
          </w:p>
          <w:p>
            <w:pPr>
              <w:pStyle w:val="TableParagraph"/>
              <w:numPr>
                <w:ilvl w:val="1"/>
                <w:numId w:val="14"/>
              </w:numPr>
              <w:tabs>
                <w:tab w:pos="1592" w:val="left" w:leader="none"/>
              </w:tabs>
              <w:spacing w:line="240" w:lineRule="auto" w:before="163" w:after="0"/>
              <w:ind w:left="1591" w:right="0" w:hanging="386"/>
              <w:jc w:val="left"/>
              <w:rPr>
                <w:sz w:val="21"/>
              </w:rPr>
            </w:pPr>
            <w:r>
              <w:rPr>
                <w:spacing w:val="-3"/>
                <w:sz w:val="21"/>
              </w:rPr>
              <w:t>经组织病理学诊断；</w:t>
            </w:r>
          </w:p>
          <w:p>
            <w:pPr>
              <w:pStyle w:val="TableParagraph"/>
              <w:spacing w:before="9"/>
              <w:ind w:left="0"/>
              <w:rPr>
                <w:sz w:val="14"/>
              </w:rPr>
            </w:pPr>
          </w:p>
          <w:p>
            <w:pPr>
              <w:pStyle w:val="TableParagraph"/>
              <w:numPr>
                <w:ilvl w:val="1"/>
                <w:numId w:val="14"/>
              </w:numPr>
              <w:tabs>
                <w:tab w:pos="1592" w:val="left" w:leader="none"/>
              </w:tabs>
              <w:spacing w:line="240" w:lineRule="auto" w:before="0" w:after="0"/>
              <w:ind w:left="1591" w:right="0" w:hanging="386"/>
              <w:jc w:val="left"/>
              <w:rPr>
                <w:sz w:val="21"/>
              </w:rPr>
            </w:pPr>
            <w:r>
              <w:rPr>
                <w:sz w:val="21"/>
              </w:rPr>
              <w:t>CT</w:t>
            </w:r>
            <w:r>
              <w:rPr>
                <w:spacing w:val="-8"/>
                <w:sz w:val="21"/>
              </w:rPr>
              <w:t> 显示双肺弥漫性囊性改变；</w:t>
            </w:r>
          </w:p>
          <w:p>
            <w:pPr>
              <w:pStyle w:val="TableParagraph"/>
              <w:spacing w:before="9"/>
              <w:ind w:left="0"/>
              <w:rPr>
                <w:sz w:val="14"/>
              </w:rPr>
            </w:pPr>
          </w:p>
          <w:p>
            <w:pPr>
              <w:pStyle w:val="TableParagraph"/>
              <w:numPr>
                <w:ilvl w:val="1"/>
                <w:numId w:val="14"/>
              </w:numPr>
              <w:tabs>
                <w:tab w:pos="1592" w:val="left" w:leader="none"/>
              </w:tabs>
              <w:spacing w:line="240" w:lineRule="auto" w:before="0" w:after="0"/>
              <w:ind w:left="1591" w:right="0" w:hanging="386"/>
              <w:jc w:val="left"/>
              <w:rPr>
                <w:sz w:val="21"/>
              </w:rPr>
            </w:pPr>
            <w:r>
              <w:rPr>
                <w:spacing w:val="-3"/>
                <w:sz w:val="21"/>
              </w:rPr>
              <w:t>血气提示低氧血症。</w:t>
            </w:r>
          </w:p>
          <w:p>
            <w:pPr>
              <w:pStyle w:val="TableParagraph"/>
              <w:spacing w:before="9"/>
              <w:ind w:left="0"/>
              <w:rPr>
                <w:sz w:val="14"/>
              </w:rPr>
            </w:pPr>
          </w:p>
          <w:p>
            <w:pPr>
              <w:pStyle w:val="TableParagraph"/>
              <w:numPr>
                <w:ilvl w:val="0"/>
                <w:numId w:val="14"/>
              </w:numPr>
              <w:tabs>
                <w:tab w:pos="752" w:val="left" w:leader="none"/>
              </w:tabs>
              <w:spacing w:line="273" w:lineRule="auto" w:before="0" w:after="0"/>
              <w:ind w:left="751" w:right="521" w:hanging="420"/>
              <w:jc w:val="both"/>
              <w:rPr>
                <w:sz w:val="21"/>
              </w:rPr>
            </w:pPr>
            <w:r>
              <w:rPr>
                <w:spacing w:val="-3"/>
                <w:sz w:val="21"/>
              </w:rPr>
              <w:t>颅脑手术：被保险人确已实施全麻下的开颅手术（不包括颅骨钻孔手术和经鼻蝶窦入颅手术</w:t>
            </w:r>
            <w:r>
              <w:rPr>
                <w:spacing w:val="-108"/>
                <w:sz w:val="21"/>
              </w:rPr>
              <w:t>）</w:t>
            </w:r>
            <w:r>
              <w:rPr>
                <w:sz w:val="21"/>
              </w:rPr>
              <w:t>。</w:t>
            </w:r>
          </w:p>
          <w:p>
            <w:pPr>
              <w:pStyle w:val="TableParagraph"/>
              <w:spacing w:line="273" w:lineRule="auto" w:before="163"/>
              <w:ind w:left="785" w:right="457"/>
              <w:rPr>
                <w:sz w:val="21"/>
              </w:rPr>
            </w:pPr>
            <w:r>
              <w:rPr>
                <w:sz w:val="21"/>
              </w:rPr>
              <w:t>因外伤而实施的脑外科手术不在保障范围之内。理赔时必须提供由神经外科医生出具的诊断书及手术报告。</w:t>
            </w:r>
          </w:p>
        </w:tc>
      </w:tr>
      <w:tr>
        <w:trPr>
          <w:trHeight w:val="1484" w:hRule="atLeast"/>
        </w:trPr>
        <w:tc>
          <w:tcPr>
            <w:tcW w:w="809" w:type="dxa"/>
          </w:tcPr>
          <w:p>
            <w:pPr>
              <w:pStyle w:val="TableParagraph"/>
              <w:spacing w:before="145"/>
              <w:ind w:left="200"/>
              <w:rPr>
                <w:b/>
                <w:sz w:val="21"/>
              </w:rPr>
            </w:pPr>
            <w:r>
              <w:rPr>
                <w:b/>
                <w:sz w:val="21"/>
              </w:rPr>
              <w:t>7.10</w:t>
            </w:r>
          </w:p>
        </w:tc>
        <w:tc>
          <w:tcPr>
            <w:tcW w:w="1585" w:type="dxa"/>
          </w:tcPr>
          <w:p>
            <w:pPr>
              <w:pStyle w:val="TableParagraph"/>
              <w:spacing w:before="145"/>
              <w:ind w:left="185"/>
              <w:rPr>
                <w:b/>
                <w:sz w:val="21"/>
              </w:rPr>
            </w:pPr>
            <w:r>
              <w:rPr>
                <w:b/>
                <w:sz w:val="21"/>
              </w:rPr>
              <w:t>毒品</w:t>
            </w:r>
          </w:p>
        </w:tc>
        <w:tc>
          <w:tcPr>
            <w:tcW w:w="7581" w:type="dxa"/>
          </w:tcPr>
          <w:p>
            <w:pPr>
              <w:pStyle w:val="TableParagraph"/>
              <w:spacing w:line="273" w:lineRule="auto" w:before="145"/>
              <w:ind w:left="129" w:right="19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092" w:hRule="atLeast"/>
        </w:trPr>
        <w:tc>
          <w:tcPr>
            <w:tcW w:w="809" w:type="dxa"/>
          </w:tcPr>
          <w:p>
            <w:pPr>
              <w:pStyle w:val="TableParagraph"/>
              <w:spacing w:before="64"/>
              <w:ind w:left="200"/>
              <w:rPr>
                <w:b/>
                <w:sz w:val="21"/>
              </w:rPr>
            </w:pPr>
            <w:r>
              <w:rPr>
                <w:b/>
                <w:sz w:val="21"/>
              </w:rPr>
              <w:t>7.11</w:t>
            </w:r>
          </w:p>
        </w:tc>
        <w:tc>
          <w:tcPr>
            <w:tcW w:w="1585" w:type="dxa"/>
          </w:tcPr>
          <w:p>
            <w:pPr>
              <w:pStyle w:val="TableParagraph"/>
              <w:spacing w:before="64"/>
              <w:ind w:left="185"/>
              <w:rPr>
                <w:b/>
                <w:sz w:val="21"/>
              </w:rPr>
            </w:pPr>
            <w:r>
              <w:rPr>
                <w:b/>
                <w:sz w:val="21"/>
              </w:rPr>
              <w:t>酒后驾驶</w:t>
            </w:r>
          </w:p>
        </w:tc>
        <w:tc>
          <w:tcPr>
            <w:tcW w:w="7581" w:type="dxa"/>
          </w:tcPr>
          <w:p>
            <w:pPr>
              <w:pStyle w:val="TableParagraph"/>
              <w:spacing w:line="273" w:lineRule="auto" w:before="64"/>
              <w:ind w:left="129" w:right="30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211" w:hRule="atLeast"/>
        </w:trPr>
        <w:tc>
          <w:tcPr>
            <w:tcW w:w="809" w:type="dxa"/>
          </w:tcPr>
          <w:p>
            <w:pPr>
              <w:pStyle w:val="TableParagraph"/>
              <w:spacing w:before="65"/>
              <w:ind w:left="200"/>
              <w:rPr>
                <w:b/>
                <w:sz w:val="21"/>
              </w:rPr>
            </w:pPr>
            <w:r>
              <w:rPr>
                <w:b/>
                <w:sz w:val="21"/>
              </w:rPr>
              <w:t>7.12</w:t>
            </w:r>
          </w:p>
        </w:tc>
        <w:tc>
          <w:tcPr>
            <w:tcW w:w="1585" w:type="dxa"/>
          </w:tcPr>
          <w:p>
            <w:pPr>
              <w:pStyle w:val="TableParagraph"/>
              <w:spacing w:line="273" w:lineRule="auto" w:before="65"/>
              <w:ind w:left="185" w:right="129"/>
              <w:rPr>
                <w:b/>
                <w:sz w:val="21"/>
              </w:rPr>
            </w:pPr>
            <w:r>
              <w:rPr>
                <w:b/>
                <w:sz w:val="21"/>
              </w:rPr>
              <w:t>无合法有效驾驶证驾驶</w:t>
            </w:r>
          </w:p>
        </w:tc>
        <w:tc>
          <w:tcPr>
            <w:tcW w:w="7581" w:type="dxa"/>
          </w:tcPr>
          <w:p>
            <w:pPr>
              <w:pStyle w:val="TableParagraph"/>
              <w:spacing w:before="65"/>
              <w:ind w:left="129"/>
              <w:rPr>
                <w:sz w:val="21"/>
              </w:rPr>
            </w:pPr>
            <w:r>
              <w:rPr>
                <w:sz w:val="21"/>
              </w:rPr>
              <w:t>指下列情形之一：</w:t>
            </w:r>
          </w:p>
          <w:p>
            <w:pPr>
              <w:pStyle w:val="TableParagraph"/>
              <w:spacing w:before="10"/>
              <w:ind w:left="0"/>
              <w:rPr>
                <w:sz w:val="14"/>
              </w:rPr>
            </w:pPr>
          </w:p>
          <w:p>
            <w:pPr>
              <w:pStyle w:val="TableParagraph"/>
              <w:ind w:left="129"/>
              <w:rPr>
                <w:sz w:val="21"/>
              </w:rPr>
            </w:pPr>
            <w:r>
              <w:rPr>
                <w:sz w:val="21"/>
              </w:rPr>
              <w:t>1.没有取得中华人民共和国有关主管部门颁发或者认可的驾驶资格；</w:t>
            </w:r>
          </w:p>
          <w:p>
            <w:pPr>
              <w:pStyle w:val="TableParagraph"/>
              <w:spacing w:before="9"/>
              <w:ind w:left="0"/>
              <w:rPr>
                <w:sz w:val="14"/>
              </w:rPr>
            </w:pPr>
          </w:p>
          <w:p>
            <w:pPr>
              <w:pStyle w:val="TableParagraph"/>
              <w:spacing w:before="1"/>
              <w:ind w:left="129"/>
              <w:rPr>
                <w:sz w:val="21"/>
              </w:rPr>
            </w:pPr>
            <w:r>
              <w:rPr>
                <w:sz w:val="21"/>
              </w:rPr>
              <w:t>2.驾驶与合法有效驾驶证准驾车型不相符合的车辆；</w:t>
            </w:r>
          </w:p>
          <w:p>
            <w:pPr>
              <w:pStyle w:val="TableParagraph"/>
              <w:spacing w:before="10"/>
              <w:ind w:left="0"/>
              <w:rPr>
                <w:sz w:val="14"/>
              </w:rPr>
            </w:pPr>
          </w:p>
          <w:p>
            <w:pPr>
              <w:pStyle w:val="TableParagraph"/>
              <w:ind w:left="129"/>
              <w:rPr>
                <w:sz w:val="21"/>
              </w:rPr>
            </w:pPr>
            <w:r>
              <w:rPr>
                <w:sz w:val="21"/>
              </w:rPr>
              <w:t>3.持审验不合格或已过期的驾驶证驾驶；</w:t>
            </w:r>
          </w:p>
          <w:p>
            <w:pPr>
              <w:pStyle w:val="TableParagraph"/>
              <w:spacing w:before="9"/>
              <w:ind w:left="0"/>
              <w:rPr>
                <w:sz w:val="14"/>
              </w:rPr>
            </w:pPr>
          </w:p>
          <w:p>
            <w:pPr>
              <w:pStyle w:val="TableParagraph"/>
              <w:spacing w:line="255" w:lineRule="exact" w:before="1"/>
              <w:ind w:left="129"/>
              <w:rPr>
                <w:sz w:val="21"/>
              </w:rPr>
            </w:pPr>
            <w:r>
              <w:rPr>
                <w:sz w:val="21"/>
              </w:rPr>
              <w:t>4.持学习驾驶证学习驾车时，无教练员随车指导，或不按指定时间、路线学习</w:t>
            </w:r>
          </w:p>
        </w:tc>
      </w:tr>
    </w:tbl>
    <w:p>
      <w:pPr>
        <w:spacing w:after="0" w:line="255" w:lineRule="exact"/>
        <w:rPr>
          <w:sz w:val="21"/>
        </w:rPr>
        <w:sectPr>
          <w:pgSz w:w="11910" w:h="16840"/>
          <w:pgMar w:header="0" w:footer="925" w:top="1160" w:bottom="1120" w:left="820" w:right="9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4"/>
        <w:gridCol w:w="7619"/>
      </w:tblGrid>
      <w:tr>
        <w:trPr>
          <w:trHeight w:val="1120" w:hRule="atLeast"/>
        </w:trPr>
        <w:tc>
          <w:tcPr>
            <w:tcW w:w="809" w:type="dxa"/>
          </w:tcPr>
          <w:p>
            <w:pPr>
              <w:pStyle w:val="TableParagraph"/>
              <w:ind w:left="0"/>
              <w:rPr>
                <w:rFonts w:ascii="Times New Roman"/>
                <w:sz w:val="20"/>
              </w:rPr>
            </w:pPr>
          </w:p>
        </w:tc>
        <w:tc>
          <w:tcPr>
            <w:tcW w:w="1584" w:type="dxa"/>
          </w:tcPr>
          <w:p>
            <w:pPr>
              <w:pStyle w:val="TableParagraph"/>
              <w:ind w:left="0"/>
              <w:rPr>
                <w:rFonts w:ascii="Times New Roman"/>
                <w:sz w:val="20"/>
              </w:rPr>
            </w:pPr>
          </w:p>
        </w:tc>
        <w:tc>
          <w:tcPr>
            <w:tcW w:w="7619" w:type="dxa"/>
          </w:tcPr>
          <w:p>
            <w:pPr>
              <w:pStyle w:val="TableParagraph"/>
              <w:spacing w:line="211" w:lineRule="exact"/>
              <w:ind w:left="130"/>
              <w:rPr>
                <w:sz w:val="21"/>
              </w:rPr>
            </w:pPr>
            <w:r>
              <w:rPr>
                <w:sz w:val="21"/>
              </w:rPr>
              <w:t>驾车；</w:t>
            </w:r>
          </w:p>
          <w:p>
            <w:pPr>
              <w:pStyle w:val="TableParagraph"/>
              <w:spacing w:before="9"/>
              <w:ind w:left="0"/>
              <w:rPr>
                <w:sz w:val="14"/>
              </w:rPr>
            </w:pPr>
          </w:p>
          <w:p>
            <w:pPr>
              <w:pStyle w:val="TableParagraph"/>
              <w:spacing w:line="273" w:lineRule="auto" w:before="1"/>
              <w:ind w:left="130" w:right="307"/>
              <w:rPr>
                <w:sz w:val="21"/>
              </w:rPr>
            </w:pPr>
            <w:r>
              <w:rPr>
                <w:spacing w:val="-13"/>
                <w:sz w:val="21"/>
              </w:rPr>
              <w:t>5</w:t>
            </w:r>
            <w:r>
              <w:rPr>
                <w:spacing w:val="-7"/>
                <w:sz w:val="21"/>
              </w:rPr>
              <w:t>．在驾驶证有效期内未按照中华人民共和国法律、行政法规的规定，定期对机</w:t>
            </w:r>
            <w:r>
              <w:rPr>
                <w:spacing w:val="-5"/>
                <w:sz w:val="21"/>
              </w:rPr>
              <w:t>动车驾驶证实施审验的。</w:t>
            </w:r>
          </w:p>
        </w:tc>
      </w:tr>
      <w:tr>
        <w:trPr>
          <w:trHeight w:val="1872" w:hRule="atLeast"/>
        </w:trPr>
        <w:tc>
          <w:tcPr>
            <w:tcW w:w="809" w:type="dxa"/>
          </w:tcPr>
          <w:p>
            <w:pPr>
              <w:pStyle w:val="TableParagraph"/>
              <w:spacing w:before="64"/>
              <w:ind w:left="200"/>
              <w:rPr>
                <w:b/>
                <w:sz w:val="21"/>
              </w:rPr>
            </w:pPr>
            <w:r>
              <w:rPr>
                <w:b/>
                <w:sz w:val="21"/>
              </w:rPr>
              <w:t>7.13</w:t>
            </w:r>
          </w:p>
        </w:tc>
        <w:tc>
          <w:tcPr>
            <w:tcW w:w="1584" w:type="dxa"/>
          </w:tcPr>
          <w:p>
            <w:pPr>
              <w:pStyle w:val="TableParagraph"/>
              <w:spacing w:before="64"/>
              <w:ind w:left="185"/>
              <w:rPr>
                <w:b/>
                <w:sz w:val="21"/>
              </w:rPr>
            </w:pPr>
            <w:r>
              <w:rPr>
                <w:b/>
                <w:sz w:val="21"/>
              </w:rPr>
              <w:t>无有效行驶证</w:t>
            </w:r>
          </w:p>
        </w:tc>
        <w:tc>
          <w:tcPr>
            <w:tcW w:w="7619" w:type="dxa"/>
          </w:tcPr>
          <w:p>
            <w:pPr>
              <w:pStyle w:val="TableParagraph"/>
              <w:spacing w:before="64"/>
              <w:ind w:left="130"/>
              <w:rPr>
                <w:sz w:val="21"/>
              </w:rPr>
            </w:pPr>
            <w:r>
              <w:rPr>
                <w:sz w:val="21"/>
              </w:rPr>
              <w:t>指下列情形之一：</w:t>
            </w:r>
          </w:p>
          <w:p>
            <w:pPr>
              <w:pStyle w:val="TableParagraph"/>
              <w:spacing w:before="9"/>
              <w:ind w:left="0"/>
              <w:rPr>
                <w:sz w:val="14"/>
              </w:rPr>
            </w:pPr>
          </w:p>
          <w:p>
            <w:pPr>
              <w:pStyle w:val="TableParagraph"/>
              <w:ind w:left="130"/>
              <w:rPr>
                <w:sz w:val="21"/>
              </w:rPr>
            </w:pPr>
            <w:r>
              <w:rPr>
                <w:sz w:val="21"/>
              </w:rPr>
              <w:t>1.机动车行驶证被依法注销登记的；</w:t>
            </w:r>
          </w:p>
          <w:p>
            <w:pPr>
              <w:pStyle w:val="TableParagraph"/>
              <w:spacing w:before="9"/>
              <w:ind w:left="0"/>
              <w:rPr>
                <w:sz w:val="14"/>
              </w:rPr>
            </w:pPr>
          </w:p>
          <w:p>
            <w:pPr>
              <w:pStyle w:val="TableParagraph"/>
              <w:ind w:left="130"/>
              <w:rPr>
                <w:sz w:val="21"/>
              </w:rPr>
            </w:pPr>
            <w:r>
              <w:rPr>
                <w:sz w:val="21"/>
              </w:rPr>
              <w:t>2.未办理行驶证或者行驶证在申办过程中；</w:t>
            </w:r>
          </w:p>
          <w:p>
            <w:pPr>
              <w:pStyle w:val="TableParagraph"/>
              <w:spacing w:before="9"/>
              <w:ind w:left="0"/>
              <w:rPr>
                <w:sz w:val="14"/>
              </w:rPr>
            </w:pPr>
          </w:p>
          <w:p>
            <w:pPr>
              <w:pStyle w:val="TableParagraph"/>
              <w:ind w:left="130"/>
              <w:rPr>
                <w:sz w:val="21"/>
              </w:rPr>
            </w:pPr>
            <w:r>
              <w:rPr>
                <w:sz w:val="21"/>
              </w:rPr>
              <w:t>3.未在行驶证检验有效期内依法按时进行或通过机动车安全技术检验。</w:t>
            </w:r>
          </w:p>
        </w:tc>
      </w:tr>
      <w:tr>
        <w:trPr>
          <w:trHeight w:val="815" w:hRule="atLeast"/>
        </w:trPr>
        <w:tc>
          <w:tcPr>
            <w:tcW w:w="809" w:type="dxa"/>
          </w:tcPr>
          <w:p>
            <w:pPr>
              <w:pStyle w:val="TableParagraph"/>
              <w:spacing w:before="64"/>
              <w:ind w:left="200"/>
              <w:rPr>
                <w:b/>
                <w:sz w:val="21"/>
              </w:rPr>
            </w:pPr>
            <w:r>
              <w:rPr>
                <w:b/>
                <w:sz w:val="21"/>
              </w:rPr>
              <w:t>7.14</w:t>
            </w:r>
          </w:p>
        </w:tc>
        <w:tc>
          <w:tcPr>
            <w:tcW w:w="1584" w:type="dxa"/>
          </w:tcPr>
          <w:p>
            <w:pPr>
              <w:pStyle w:val="TableParagraph"/>
              <w:spacing w:before="64"/>
              <w:ind w:left="185"/>
              <w:rPr>
                <w:b/>
                <w:sz w:val="21"/>
              </w:rPr>
            </w:pPr>
            <w:r>
              <w:rPr>
                <w:b/>
                <w:sz w:val="21"/>
              </w:rPr>
              <w:t>机动车</w:t>
            </w:r>
          </w:p>
        </w:tc>
        <w:tc>
          <w:tcPr>
            <w:tcW w:w="7619" w:type="dxa"/>
          </w:tcPr>
          <w:p>
            <w:pPr>
              <w:pStyle w:val="TableParagraph"/>
              <w:spacing w:line="273" w:lineRule="auto" w:before="64"/>
              <w:ind w:left="130" w:right="340"/>
              <w:rPr>
                <w:sz w:val="21"/>
              </w:rPr>
            </w:pPr>
            <w:r>
              <w:rPr>
                <w:sz w:val="21"/>
              </w:rPr>
              <w:t>指以动力装置驱动或者牵引，上道路行驶的供人员乘用或者用于运送物品以及进行工程专项作业的轮式车辆。</w:t>
            </w:r>
          </w:p>
        </w:tc>
      </w:tr>
      <w:tr>
        <w:trPr>
          <w:trHeight w:val="859" w:hRule="atLeast"/>
        </w:trPr>
        <w:tc>
          <w:tcPr>
            <w:tcW w:w="809" w:type="dxa"/>
          </w:tcPr>
          <w:p>
            <w:pPr>
              <w:pStyle w:val="TableParagraph"/>
              <w:spacing w:before="100"/>
              <w:ind w:left="200"/>
              <w:rPr>
                <w:b/>
                <w:sz w:val="21"/>
              </w:rPr>
            </w:pPr>
            <w:r>
              <w:rPr>
                <w:b/>
                <w:sz w:val="21"/>
              </w:rPr>
              <w:t>7.15</w:t>
            </w:r>
          </w:p>
        </w:tc>
        <w:tc>
          <w:tcPr>
            <w:tcW w:w="1584" w:type="dxa"/>
          </w:tcPr>
          <w:p>
            <w:pPr>
              <w:pStyle w:val="TableParagraph"/>
              <w:spacing w:before="100"/>
              <w:ind w:left="185"/>
              <w:rPr>
                <w:b/>
                <w:sz w:val="21"/>
              </w:rPr>
            </w:pPr>
            <w:r>
              <w:rPr>
                <w:b/>
                <w:sz w:val="21"/>
              </w:rPr>
              <w:t>遗传性疾病</w:t>
            </w:r>
          </w:p>
        </w:tc>
        <w:tc>
          <w:tcPr>
            <w:tcW w:w="7619" w:type="dxa"/>
          </w:tcPr>
          <w:p>
            <w:pPr>
              <w:pStyle w:val="TableParagraph"/>
              <w:spacing w:line="273" w:lineRule="auto" w:before="100"/>
              <w:ind w:left="130" w:right="340"/>
              <w:rPr>
                <w:sz w:val="21"/>
              </w:rPr>
            </w:pPr>
            <w:r>
              <w:rPr>
                <w:sz w:val="21"/>
              </w:rPr>
              <w:t>指生殖细胞或受精卵的遗传物质（染色体和基因）发生突变或畸变所引起的疾病，通常具有由亲代传至后代的垂直传递的特征。</w:t>
            </w:r>
          </w:p>
        </w:tc>
      </w:tr>
      <w:tr>
        <w:trPr>
          <w:trHeight w:val="1155" w:hRule="atLeast"/>
        </w:trPr>
        <w:tc>
          <w:tcPr>
            <w:tcW w:w="809" w:type="dxa"/>
          </w:tcPr>
          <w:p>
            <w:pPr>
              <w:pStyle w:val="TableParagraph"/>
              <w:spacing w:before="108"/>
              <w:ind w:left="200"/>
              <w:rPr>
                <w:b/>
                <w:sz w:val="21"/>
              </w:rPr>
            </w:pPr>
            <w:r>
              <w:rPr>
                <w:b/>
                <w:sz w:val="21"/>
              </w:rPr>
              <w:t>7.16</w:t>
            </w:r>
          </w:p>
        </w:tc>
        <w:tc>
          <w:tcPr>
            <w:tcW w:w="1584" w:type="dxa"/>
          </w:tcPr>
          <w:p>
            <w:pPr>
              <w:pStyle w:val="TableParagraph"/>
              <w:spacing w:line="273" w:lineRule="auto" w:before="108"/>
              <w:ind w:left="185" w:right="128"/>
              <w:jc w:val="both"/>
              <w:rPr>
                <w:b/>
                <w:sz w:val="21"/>
              </w:rPr>
            </w:pPr>
            <w:r>
              <w:rPr>
                <w:b/>
                <w:sz w:val="21"/>
              </w:rPr>
              <w:t>先天性畸形、变形或染色体异常</w:t>
            </w:r>
          </w:p>
        </w:tc>
        <w:tc>
          <w:tcPr>
            <w:tcW w:w="7619" w:type="dxa"/>
          </w:tcPr>
          <w:p>
            <w:pPr>
              <w:pStyle w:val="TableParagraph"/>
              <w:spacing w:line="273" w:lineRule="auto" w:before="108"/>
              <w:ind w:left="130" w:right="236"/>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（ICD-10） 确定。</w:t>
            </w:r>
          </w:p>
        </w:tc>
      </w:tr>
      <w:tr>
        <w:trPr>
          <w:trHeight w:val="1424" w:hRule="atLeast"/>
        </w:trPr>
        <w:tc>
          <w:tcPr>
            <w:tcW w:w="809" w:type="dxa"/>
          </w:tcPr>
          <w:p>
            <w:pPr>
              <w:pStyle w:val="TableParagraph"/>
              <w:spacing w:before="85"/>
              <w:ind w:left="200"/>
              <w:rPr>
                <w:b/>
                <w:sz w:val="21"/>
              </w:rPr>
            </w:pPr>
            <w:r>
              <w:rPr>
                <w:b/>
                <w:sz w:val="21"/>
              </w:rPr>
              <w:t>7.17</w:t>
            </w:r>
          </w:p>
        </w:tc>
        <w:tc>
          <w:tcPr>
            <w:tcW w:w="1584" w:type="dxa"/>
          </w:tcPr>
          <w:p>
            <w:pPr>
              <w:pStyle w:val="TableParagraph"/>
              <w:spacing w:line="273" w:lineRule="auto" w:before="85"/>
              <w:ind w:left="185" w:right="128"/>
              <w:rPr>
                <w:b/>
                <w:sz w:val="21"/>
              </w:rPr>
            </w:pPr>
            <w:r>
              <w:rPr>
                <w:b/>
                <w:sz w:val="21"/>
              </w:rPr>
              <w:t>六项基本日常生活活动</w:t>
            </w:r>
          </w:p>
        </w:tc>
        <w:tc>
          <w:tcPr>
            <w:tcW w:w="7619" w:type="dxa"/>
          </w:tcPr>
          <w:p>
            <w:pPr>
              <w:pStyle w:val="TableParagraph"/>
              <w:spacing w:before="85"/>
              <w:ind w:left="130"/>
              <w:rPr>
                <w:sz w:val="21"/>
              </w:rPr>
            </w:pPr>
            <w:r>
              <w:rPr>
                <w:w w:val="100"/>
                <w:sz w:val="21"/>
              </w:rPr>
              <w:t>（1</w:t>
            </w:r>
            <w:r>
              <w:rPr>
                <w:spacing w:val="-3"/>
                <w:w w:val="100"/>
                <w:sz w:val="21"/>
              </w:rPr>
              <w:t>）</w:t>
            </w:r>
            <w:r>
              <w:rPr>
                <w:spacing w:val="-11"/>
                <w:w w:val="100"/>
                <w:sz w:val="21"/>
              </w:rPr>
              <w:t>穿衣：自己能够穿衣及脱衣；</w:t>
            </w:r>
            <w:r>
              <w:rPr>
                <w:spacing w:val="-1"/>
                <w:w w:val="100"/>
                <w:sz w:val="21"/>
              </w:rPr>
              <w:t>（</w:t>
            </w:r>
            <w:r>
              <w:rPr>
                <w:spacing w:val="-3"/>
                <w:w w:val="100"/>
                <w:sz w:val="21"/>
              </w:rPr>
              <w:t>2</w:t>
            </w:r>
            <w:r>
              <w:rPr>
                <w:w w:val="100"/>
                <w:sz w:val="21"/>
              </w:rPr>
              <w:t>）</w:t>
            </w:r>
            <w:r>
              <w:rPr>
                <w:spacing w:val="-3"/>
                <w:w w:val="100"/>
                <w:sz w:val="21"/>
              </w:rPr>
              <w:t>移动：自己从一个房间到另一个房间；</w:t>
            </w:r>
          </w:p>
          <w:p>
            <w:pPr>
              <w:pStyle w:val="TableParagraph"/>
              <w:spacing w:line="273" w:lineRule="auto" w:before="37"/>
              <w:ind w:left="130" w:right="320"/>
              <w:jc w:val="both"/>
              <w:rPr>
                <w:sz w:val="21"/>
              </w:rPr>
            </w:pPr>
            <w:r>
              <w:rPr>
                <w:w w:val="100"/>
                <w:sz w:val="21"/>
              </w:rPr>
              <w:t>（3</w:t>
            </w:r>
            <w:r>
              <w:rPr>
                <w:spacing w:val="-13"/>
                <w:w w:val="100"/>
                <w:sz w:val="21"/>
              </w:rPr>
              <w:t>）</w:t>
            </w:r>
            <w:r>
              <w:rPr>
                <w:spacing w:val="-4"/>
                <w:w w:val="100"/>
                <w:sz w:val="21"/>
              </w:rPr>
              <w:t>行动：自己上下床或上下轮椅</w:t>
            </w:r>
            <w:r>
              <w:rPr>
                <w:spacing w:val="-118"/>
                <w:w w:val="100"/>
                <w:sz w:val="21"/>
              </w:rPr>
              <w:t>；</w:t>
            </w:r>
            <w:r>
              <w:rPr>
                <w:spacing w:val="-1"/>
                <w:w w:val="100"/>
                <w:sz w:val="21"/>
              </w:rPr>
              <w:t>（</w:t>
            </w:r>
            <w:r>
              <w:rPr>
                <w:spacing w:val="-3"/>
                <w:w w:val="100"/>
                <w:sz w:val="21"/>
              </w:rPr>
              <w:t>4</w:t>
            </w:r>
            <w:r>
              <w:rPr>
                <w:spacing w:val="-10"/>
                <w:w w:val="100"/>
                <w:sz w:val="21"/>
              </w:rPr>
              <w:t>）</w:t>
            </w:r>
            <w:r>
              <w:rPr>
                <w:spacing w:val="-14"/>
                <w:w w:val="100"/>
                <w:sz w:val="21"/>
              </w:rPr>
              <w:t>如厕：自己控制进行大小便；</w:t>
            </w:r>
            <w:r>
              <w:rPr>
                <w:w w:val="100"/>
                <w:sz w:val="21"/>
              </w:rPr>
              <w:t>（</w:t>
            </w:r>
            <w:r>
              <w:rPr>
                <w:spacing w:val="-3"/>
                <w:w w:val="100"/>
                <w:sz w:val="21"/>
              </w:rPr>
              <w:t>5</w:t>
            </w:r>
            <w:r>
              <w:rPr>
                <w:spacing w:val="-12"/>
                <w:w w:val="100"/>
                <w:sz w:val="21"/>
              </w:rPr>
              <w:t>）进</w:t>
            </w:r>
            <w:r>
              <w:rPr>
                <w:spacing w:val="-8"/>
                <w:w w:val="100"/>
                <w:sz w:val="21"/>
              </w:rPr>
              <w:t>食：自己从已准备好的碗或碟中取食物放入口中；</w:t>
            </w:r>
            <w:r>
              <w:rPr>
                <w:spacing w:val="-3"/>
                <w:w w:val="100"/>
                <w:sz w:val="21"/>
              </w:rPr>
              <w:t>（</w:t>
            </w:r>
            <w:r>
              <w:rPr>
                <w:w w:val="100"/>
                <w:sz w:val="21"/>
              </w:rPr>
              <w:t>6）</w:t>
            </w:r>
            <w:r>
              <w:rPr>
                <w:spacing w:val="-3"/>
                <w:w w:val="100"/>
                <w:sz w:val="21"/>
              </w:rPr>
              <w:t>洗澡：自己进行淋浴或</w:t>
            </w:r>
            <w:r>
              <w:rPr>
                <w:spacing w:val="-3"/>
                <w:sz w:val="21"/>
              </w:rPr>
              <w:t>盆浴。</w:t>
            </w:r>
          </w:p>
        </w:tc>
      </w:tr>
      <w:tr>
        <w:trPr>
          <w:trHeight w:val="818" w:hRule="atLeast"/>
        </w:trPr>
        <w:tc>
          <w:tcPr>
            <w:tcW w:w="809" w:type="dxa"/>
          </w:tcPr>
          <w:p>
            <w:pPr>
              <w:pStyle w:val="TableParagraph"/>
              <w:spacing w:before="64"/>
              <w:ind w:left="200"/>
              <w:rPr>
                <w:b/>
                <w:sz w:val="21"/>
              </w:rPr>
            </w:pPr>
            <w:r>
              <w:rPr>
                <w:b/>
                <w:sz w:val="21"/>
              </w:rPr>
              <w:t>7.18</w:t>
            </w:r>
          </w:p>
        </w:tc>
        <w:tc>
          <w:tcPr>
            <w:tcW w:w="1584" w:type="dxa"/>
          </w:tcPr>
          <w:p>
            <w:pPr>
              <w:pStyle w:val="TableParagraph"/>
              <w:spacing w:before="64"/>
              <w:ind w:left="185"/>
              <w:rPr>
                <w:b/>
                <w:sz w:val="21"/>
              </w:rPr>
            </w:pPr>
            <w:r>
              <w:rPr>
                <w:b/>
                <w:sz w:val="21"/>
              </w:rPr>
              <w:t>永久不可逆</w:t>
            </w:r>
          </w:p>
        </w:tc>
        <w:tc>
          <w:tcPr>
            <w:tcW w:w="7619" w:type="dxa"/>
          </w:tcPr>
          <w:p>
            <w:pPr>
              <w:pStyle w:val="TableParagraph"/>
              <w:spacing w:line="273" w:lineRule="auto" w:before="64"/>
              <w:ind w:left="130" w:right="339"/>
              <w:rPr>
                <w:sz w:val="21"/>
              </w:rPr>
            </w:pPr>
            <w:r>
              <w:rPr>
                <w:spacing w:val="-5"/>
                <w:sz w:val="21"/>
              </w:rPr>
              <w:t>指自疾病确诊或意外伤害发生之日起，经过积极治疗 </w:t>
            </w:r>
            <w:r>
              <w:rPr>
                <w:sz w:val="21"/>
              </w:rPr>
              <w:t>180</w:t>
            </w:r>
            <w:r>
              <w:rPr>
                <w:spacing w:val="-8"/>
                <w:sz w:val="21"/>
              </w:rPr>
              <w:t> 天后，仍无法通过现</w:t>
            </w:r>
            <w:r>
              <w:rPr>
                <w:spacing w:val="-5"/>
                <w:sz w:val="21"/>
              </w:rPr>
              <w:t>有医疗手段恢复。</w:t>
            </w:r>
          </w:p>
        </w:tc>
      </w:tr>
      <w:tr>
        <w:trPr>
          <w:trHeight w:val="1442" w:hRule="atLeast"/>
        </w:trPr>
        <w:tc>
          <w:tcPr>
            <w:tcW w:w="809" w:type="dxa"/>
          </w:tcPr>
          <w:p>
            <w:pPr>
              <w:pStyle w:val="TableParagraph"/>
              <w:spacing w:before="103"/>
              <w:ind w:left="200"/>
              <w:rPr>
                <w:b/>
                <w:sz w:val="21"/>
              </w:rPr>
            </w:pPr>
            <w:r>
              <w:rPr>
                <w:b/>
                <w:sz w:val="21"/>
              </w:rPr>
              <w:t>7.19</w:t>
            </w:r>
          </w:p>
        </w:tc>
        <w:tc>
          <w:tcPr>
            <w:tcW w:w="1584" w:type="dxa"/>
          </w:tcPr>
          <w:p>
            <w:pPr>
              <w:pStyle w:val="TableParagraph"/>
              <w:spacing w:line="273" w:lineRule="auto" w:before="103"/>
              <w:ind w:left="185" w:right="128"/>
              <w:rPr>
                <w:b/>
                <w:sz w:val="21"/>
              </w:rPr>
            </w:pPr>
            <w:r>
              <w:rPr>
                <w:b/>
                <w:sz w:val="21"/>
              </w:rPr>
              <w:t>感染艾滋病病毒或患艾滋病</w:t>
            </w:r>
          </w:p>
        </w:tc>
        <w:tc>
          <w:tcPr>
            <w:tcW w:w="7619" w:type="dxa"/>
          </w:tcPr>
          <w:p>
            <w:pPr>
              <w:pStyle w:val="TableParagraph"/>
              <w:spacing w:line="273" w:lineRule="auto" w:before="103"/>
              <w:ind w:left="130" w:right="306"/>
              <w:rPr>
                <w:sz w:val="21"/>
              </w:rPr>
            </w:pPr>
            <w:r>
              <w:rPr>
                <w:spacing w:val="-5"/>
                <w:sz w:val="21"/>
              </w:rPr>
              <w:t>艾滋病病毒指人类免疫缺陷病毒，英文缩写为 </w:t>
            </w:r>
            <w:r>
              <w:rPr>
                <w:sz w:val="21"/>
              </w:rPr>
              <w:t>HIV</w:t>
            </w:r>
            <w:r>
              <w:rPr>
                <w:spacing w:val="-3"/>
                <w:sz w:val="21"/>
              </w:rPr>
              <w:t>。艾滋病指人类免疫缺陷病</w:t>
            </w:r>
            <w:r>
              <w:rPr>
                <w:spacing w:val="-6"/>
                <w:sz w:val="21"/>
              </w:rPr>
              <w:t>毒引起的获得性免疫缺陷综合征，英文缩写为 </w:t>
            </w:r>
            <w:r>
              <w:rPr>
                <w:sz w:val="21"/>
              </w:rPr>
              <w:t>AIDS</w:t>
            </w:r>
            <w:r>
              <w:rPr>
                <w:spacing w:val="-4"/>
                <w:sz w:val="21"/>
              </w:rPr>
              <w:t>。在人体血液或其它样本中</w:t>
            </w:r>
            <w:r>
              <w:rPr>
                <w:spacing w:val="-3"/>
                <w:sz w:val="21"/>
              </w:rPr>
              <w:t>检测到艾滋病病毒或其抗体呈阳性，没有出现临床症状或体征的，为感染艾滋病病毒；如果同时出现了明显临床症状或体征的，为患艾滋病。</w:t>
            </w:r>
          </w:p>
        </w:tc>
      </w:tr>
      <w:tr>
        <w:trPr>
          <w:trHeight w:val="903" w:hRule="atLeast"/>
        </w:trPr>
        <w:tc>
          <w:tcPr>
            <w:tcW w:w="809" w:type="dxa"/>
          </w:tcPr>
          <w:p>
            <w:pPr>
              <w:pStyle w:val="TableParagraph"/>
              <w:spacing w:before="64"/>
              <w:ind w:left="200"/>
              <w:rPr>
                <w:b/>
                <w:sz w:val="21"/>
              </w:rPr>
            </w:pPr>
            <w:r>
              <w:rPr>
                <w:b/>
                <w:sz w:val="21"/>
              </w:rPr>
              <w:t>7.20</w:t>
            </w:r>
          </w:p>
        </w:tc>
        <w:tc>
          <w:tcPr>
            <w:tcW w:w="1584" w:type="dxa"/>
          </w:tcPr>
          <w:p>
            <w:pPr>
              <w:pStyle w:val="TableParagraph"/>
              <w:spacing w:line="273" w:lineRule="auto" w:before="64"/>
              <w:ind w:left="185" w:right="128"/>
              <w:rPr>
                <w:b/>
                <w:sz w:val="21"/>
              </w:rPr>
            </w:pPr>
            <w:r>
              <w:rPr>
                <w:b/>
                <w:sz w:val="21"/>
              </w:rPr>
              <w:t>肢体机能完全丧失</w:t>
            </w:r>
          </w:p>
        </w:tc>
        <w:tc>
          <w:tcPr>
            <w:tcW w:w="7619" w:type="dxa"/>
          </w:tcPr>
          <w:p>
            <w:pPr>
              <w:pStyle w:val="TableParagraph"/>
              <w:spacing w:line="273" w:lineRule="auto" w:before="64"/>
              <w:ind w:left="130" w:right="340"/>
              <w:rPr>
                <w:sz w:val="21"/>
              </w:rPr>
            </w:pPr>
            <w:r>
              <w:rPr>
                <w:sz w:val="21"/>
              </w:rPr>
              <w:t>指肢体的三大关节中的两大关节僵硬，或不能随意识活动。肢体是指包括肩关节的整个上肢或包括髋关节的整个下肢。</w:t>
            </w:r>
          </w:p>
        </w:tc>
      </w:tr>
      <w:tr>
        <w:trPr>
          <w:trHeight w:val="1399" w:hRule="atLeast"/>
        </w:trPr>
        <w:tc>
          <w:tcPr>
            <w:tcW w:w="809" w:type="dxa"/>
          </w:tcPr>
          <w:p>
            <w:pPr>
              <w:pStyle w:val="TableParagraph"/>
              <w:spacing w:before="5"/>
              <w:ind w:left="0"/>
              <w:rPr>
                <w:sz w:val="14"/>
              </w:rPr>
            </w:pPr>
          </w:p>
          <w:p>
            <w:pPr>
              <w:pStyle w:val="TableParagraph"/>
              <w:ind w:left="200"/>
              <w:rPr>
                <w:b/>
                <w:sz w:val="21"/>
              </w:rPr>
            </w:pPr>
            <w:r>
              <w:rPr>
                <w:b/>
                <w:sz w:val="21"/>
              </w:rPr>
              <w:t>7.21</w:t>
            </w:r>
          </w:p>
        </w:tc>
        <w:tc>
          <w:tcPr>
            <w:tcW w:w="1584" w:type="dxa"/>
          </w:tcPr>
          <w:p>
            <w:pPr>
              <w:pStyle w:val="TableParagraph"/>
              <w:spacing w:before="5"/>
              <w:ind w:left="0"/>
              <w:rPr>
                <w:sz w:val="14"/>
              </w:rPr>
            </w:pPr>
          </w:p>
          <w:p>
            <w:pPr>
              <w:pStyle w:val="TableParagraph"/>
              <w:spacing w:line="273" w:lineRule="auto"/>
              <w:ind w:left="185" w:right="128"/>
              <w:jc w:val="both"/>
              <w:rPr>
                <w:b/>
                <w:sz w:val="21"/>
              </w:rPr>
            </w:pPr>
            <w:r>
              <w:rPr>
                <w:b/>
                <w:sz w:val="21"/>
              </w:rPr>
              <w:t>语言能力或咀嚼吞咽能力完全丧失</w:t>
            </w:r>
          </w:p>
        </w:tc>
        <w:tc>
          <w:tcPr>
            <w:tcW w:w="7619" w:type="dxa"/>
          </w:tcPr>
          <w:p>
            <w:pPr>
              <w:pStyle w:val="TableParagraph"/>
              <w:spacing w:line="310" w:lineRule="atLeast" w:before="153"/>
              <w:ind w:left="130" w:right="198"/>
              <w:rPr>
                <w:sz w:val="21"/>
              </w:rPr>
            </w:pPr>
            <w:r>
              <w:rPr>
                <w:spacing w:val="-3"/>
                <w:sz w:val="21"/>
              </w:rPr>
              <w:t>语言能力完全丧失，指无法发出四种语音</w:t>
            </w:r>
            <w:r>
              <w:rPr>
                <w:sz w:val="21"/>
              </w:rPr>
              <w:t>（</w:t>
            </w:r>
            <w:r>
              <w:rPr>
                <w:spacing w:val="-3"/>
                <w:sz w:val="21"/>
              </w:rPr>
              <w:t>包括口唇音、齿舌音、口盖音和喉头音</w:t>
            </w:r>
            <w:r>
              <w:rPr>
                <w:spacing w:val="-22"/>
                <w:sz w:val="21"/>
              </w:rPr>
              <w:t>）</w:t>
            </w:r>
            <w:r>
              <w:rPr>
                <w:spacing w:val="-8"/>
                <w:sz w:val="21"/>
              </w:rPr>
              <w:t>中的任何三种、或声带全部切除，或因大脑语言中枢受伤害而患失语症。</w:t>
            </w:r>
            <w:r>
              <w:rPr>
                <w:spacing w:val="-5"/>
                <w:sz w:val="21"/>
              </w:rPr>
              <w:t>咀嚼吞咽能力完全丧失，指因牙齿以外的原因导致器质障碍或机能障碍，以致</w:t>
            </w:r>
            <w:r>
              <w:rPr>
                <w:spacing w:val="-4"/>
                <w:sz w:val="21"/>
              </w:rPr>
              <w:t>不能做咀嚼吞咽运动，除流质食物外不能摄取或吞咽的状态。</w:t>
            </w:r>
          </w:p>
        </w:tc>
      </w:tr>
    </w:tbl>
    <w:p>
      <w:pPr>
        <w:pStyle w:val="BodyText"/>
        <w:rPr>
          <w:sz w:val="20"/>
        </w:rPr>
      </w:pPr>
    </w:p>
    <w:p>
      <w:pPr>
        <w:pStyle w:val="BodyText"/>
        <w:rPr>
          <w:sz w:val="20"/>
        </w:rPr>
      </w:pPr>
    </w:p>
    <w:p>
      <w:pPr>
        <w:pStyle w:val="BodyText"/>
        <w:spacing w:before="13"/>
        <w:rPr>
          <w:sz w:val="23"/>
        </w:rPr>
      </w:pPr>
    </w:p>
    <w:p>
      <w:pPr>
        <w:pStyle w:val="BodyText"/>
        <w:spacing w:before="36"/>
        <w:ind w:left="3972" w:right="4117"/>
        <w:jc w:val="center"/>
      </w:pPr>
      <w:r>
        <w:rPr/>
        <w:t>（保险条款内容结束）</w:t>
      </w:r>
    </w:p>
    <w:sectPr>
      <w:pgSz w:w="11910" w:h="16840"/>
      <w:pgMar w:header="0" w:footer="925" w:top="1160" w:bottom="1120" w:left="8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69995pt;margin-top:780.675964pt;width:78.7pt;height:12pt;mso-position-horizontal-relative:page;mso-position-vertical-relative:page;z-index:-4343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28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67"/>
      <w:numFmt w:val="decimal"/>
      <w:lvlText w:val="%1."/>
      <w:lvlJc w:val="left"/>
      <w:pPr>
        <w:ind w:left="751" w:hanging="421"/>
        <w:jc w:val="left"/>
      </w:pPr>
      <w:rPr>
        <w:rFonts w:hint="default" w:ascii="宋体" w:hAnsi="宋体" w:eastAsia="宋体" w:cs="宋体"/>
        <w:w w:val="100"/>
        <w:sz w:val="21"/>
        <w:szCs w:val="21"/>
      </w:rPr>
    </w:lvl>
    <w:lvl w:ilvl="1">
      <w:start w:val="1"/>
      <w:numFmt w:val="lowerLetter"/>
      <w:lvlText w:val="%2)"/>
      <w:lvlJc w:val="left"/>
      <w:pPr>
        <w:ind w:left="1591" w:hanging="387"/>
        <w:jc w:val="left"/>
      </w:pPr>
      <w:rPr>
        <w:rFonts w:hint="default" w:ascii="宋体" w:hAnsi="宋体" w:eastAsia="宋体" w:cs="宋体"/>
        <w:w w:val="100"/>
        <w:sz w:val="21"/>
        <w:szCs w:val="21"/>
      </w:rPr>
    </w:lvl>
    <w:lvl w:ilvl="2">
      <w:start w:val="0"/>
      <w:numFmt w:val="bullet"/>
      <w:lvlText w:val="•"/>
      <w:lvlJc w:val="left"/>
      <w:pPr>
        <w:ind w:left="2264" w:hanging="387"/>
      </w:pPr>
      <w:rPr>
        <w:rFonts w:hint="default"/>
      </w:rPr>
    </w:lvl>
    <w:lvl w:ilvl="3">
      <w:start w:val="0"/>
      <w:numFmt w:val="bullet"/>
      <w:lvlText w:val="•"/>
      <w:lvlJc w:val="left"/>
      <w:pPr>
        <w:ind w:left="2929" w:hanging="387"/>
      </w:pPr>
      <w:rPr>
        <w:rFonts w:hint="default"/>
      </w:rPr>
    </w:lvl>
    <w:lvl w:ilvl="4">
      <w:start w:val="0"/>
      <w:numFmt w:val="bullet"/>
      <w:lvlText w:val="•"/>
      <w:lvlJc w:val="left"/>
      <w:pPr>
        <w:ind w:left="3593" w:hanging="387"/>
      </w:pPr>
      <w:rPr>
        <w:rFonts w:hint="default"/>
      </w:rPr>
    </w:lvl>
    <w:lvl w:ilvl="5">
      <w:start w:val="0"/>
      <w:numFmt w:val="bullet"/>
      <w:lvlText w:val="•"/>
      <w:lvlJc w:val="left"/>
      <w:pPr>
        <w:ind w:left="4258" w:hanging="387"/>
      </w:pPr>
      <w:rPr>
        <w:rFonts w:hint="default"/>
      </w:rPr>
    </w:lvl>
    <w:lvl w:ilvl="6">
      <w:start w:val="0"/>
      <w:numFmt w:val="bullet"/>
      <w:lvlText w:val="•"/>
      <w:lvlJc w:val="left"/>
      <w:pPr>
        <w:ind w:left="4922" w:hanging="387"/>
      </w:pPr>
      <w:rPr>
        <w:rFonts w:hint="default"/>
      </w:rPr>
    </w:lvl>
    <w:lvl w:ilvl="7">
      <w:start w:val="0"/>
      <w:numFmt w:val="bullet"/>
      <w:lvlText w:val="•"/>
      <w:lvlJc w:val="left"/>
      <w:pPr>
        <w:ind w:left="5587" w:hanging="387"/>
      </w:pPr>
      <w:rPr>
        <w:rFonts w:hint="default"/>
      </w:rPr>
    </w:lvl>
    <w:lvl w:ilvl="8">
      <w:start w:val="0"/>
      <w:numFmt w:val="bullet"/>
      <w:lvlText w:val="•"/>
      <w:lvlJc w:val="left"/>
      <w:pPr>
        <w:ind w:left="6251" w:hanging="387"/>
      </w:pPr>
      <w:rPr>
        <w:rFonts w:hint="default"/>
      </w:rPr>
    </w:lvl>
  </w:abstractNum>
  <w:abstractNum w:abstractNumId="12">
    <w:multiLevelType w:val="hybridMultilevel"/>
    <w:lvl w:ilvl="0">
      <w:start w:val="1"/>
      <w:numFmt w:val="lowerLetter"/>
      <w:lvlText w:val="%1)"/>
      <w:lvlJc w:val="left"/>
      <w:pPr>
        <w:ind w:left="3238" w:hanging="387"/>
        <w:jc w:val="left"/>
      </w:pPr>
      <w:rPr>
        <w:rFonts w:hint="default" w:ascii="宋体" w:hAnsi="宋体" w:eastAsia="宋体" w:cs="宋体"/>
        <w:w w:val="100"/>
        <w:sz w:val="21"/>
        <w:szCs w:val="21"/>
      </w:rPr>
    </w:lvl>
    <w:lvl w:ilvl="1">
      <w:start w:val="0"/>
      <w:numFmt w:val="bullet"/>
      <w:lvlText w:val="•"/>
      <w:lvlJc w:val="left"/>
      <w:pPr>
        <w:ind w:left="3810" w:hanging="387"/>
      </w:pPr>
      <w:rPr>
        <w:rFonts w:hint="default"/>
      </w:rPr>
    </w:lvl>
    <w:lvl w:ilvl="2">
      <w:start w:val="0"/>
      <w:numFmt w:val="bullet"/>
      <w:lvlText w:val="•"/>
      <w:lvlJc w:val="left"/>
      <w:pPr>
        <w:ind w:left="4381" w:hanging="387"/>
      </w:pPr>
      <w:rPr>
        <w:rFonts w:hint="default"/>
      </w:rPr>
    </w:lvl>
    <w:lvl w:ilvl="3">
      <w:start w:val="0"/>
      <w:numFmt w:val="bullet"/>
      <w:lvlText w:val="•"/>
      <w:lvlJc w:val="left"/>
      <w:pPr>
        <w:ind w:left="4951" w:hanging="387"/>
      </w:pPr>
      <w:rPr>
        <w:rFonts w:hint="default"/>
      </w:rPr>
    </w:lvl>
    <w:lvl w:ilvl="4">
      <w:start w:val="0"/>
      <w:numFmt w:val="bullet"/>
      <w:lvlText w:val="•"/>
      <w:lvlJc w:val="left"/>
      <w:pPr>
        <w:ind w:left="5522" w:hanging="387"/>
      </w:pPr>
      <w:rPr>
        <w:rFonts w:hint="default"/>
      </w:rPr>
    </w:lvl>
    <w:lvl w:ilvl="5">
      <w:start w:val="0"/>
      <w:numFmt w:val="bullet"/>
      <w:lvlText w:val="•"/>
      <w:lvlJc w:val="left"/>
      <w:pPr>
        <w:ind w:left="6093" w:hanging="387"/>
      </w:pPr>
      <w:rPr>
        <w:rFonts w:hint="default"/>
      </w:rPr>
    </w:lvl>
    <w:lvl w:ilvl="6">
      <w:start w:val="0"/>
      <w:numFmt w:val="bullet"/>
      <w:lvlText w:val="•"/>
      <w:lvlJc w:val="left"/>
      <w:pPr>
        <w:ind w:left="6663" w:hanging="387"/>
      </w:pPr>
      <w:rPr>
        <w:rFonts w:hint="default"/>
      </w:rPr>
    </w:lvl>
    <w:lvl w:ilvl="7">
      <w:start w:val="0"/>
      <w:numFmt w:val="bullet"/>
      <w:lvlText w:val="•"/>
      <w:lvlJc w:val="left"/>
      <w:pPr>
        <w:ind w:left="7234" w:hanging="387"/>
      </w:pPr>
      <w:rPr>
        <w:rFonts w:hint="default"/>
      </w:rPr>
    </w:lvl>
    <w:lvl w:ilvl="8">
      <w:start w:val="0"/>
      <w:numFmt w:val="bullet"/>
      <w:lvlText w:val="•"/>
      <w:lvlJc w:val="left"/>
      <w:pPr>
        <w:ind w:left="7805" w:hanging="387"/>
      </w:pPr>
      <w:rPr>
        <w:rFonts w:hint="default"/>
      </w:rPr>
    </w:lvl>
  </w:abstractNum>
  <w:abstractNum w:abstractNumId="11">
    <w:multiLevelType w:val="hybridMultilevel"/>
    <w:lvl w:ilvl="0">
      <w:start w:val="7"/>
      <w:numFmt w:val="decimal"/>
      <w:lvlText w:val="%1"/>
      <w:lvlJc w:val="left"/>
      <w:pPr>
        <w:ind w:left="2436" w:hanging="795"/>
        <w:jc w:val="left"/>
      </w:pPr>
      <w:rPr>
        <w:rFonts w:hint="default"/>
      </w:rPr>
    </w:lvl>
    <w:lvl w:ilvl="1">
      <w:start w:val="8"/>
      <w:numFmt w:val="decimal"/>
      <w:lvlText w:val="%1.%2"/>
      <w:lvlJc w:val="left"/>
      <w:pPr>
        <w:ind w:left="2436" w:hanging="795"/>
        <w:jc w:val="left"/>
      </w:pPr>
      <w:rPr>
        <w:rFonts w:hint="default" w:ascii="宋体" w:hAnsi="宋体" w:eastAsia="宋体" w:cs="宋体"/>
        <w:b/>
        <w:bCs/>
        <w:w w:val="99"/>
        <w:sz w:val="21"/>
        <w:szCs w:val="21"/>
      </w:rPr>
    </w:lvl>
    <w:lvl w:ilvl="2">
      <w:start w:val="1"/>
      <w:numFmt w:val="decimal"/>
      <w:lvlText w:val="%3."/>
      <w:lvlJc w:val="left"/>
      <w:pPr>
        <w:ind w:left="2189" w:hanging="421"/>
        <w:jc w:val="left"/>
      </w:pPr>
      <w:rPr>
        <w:rFonts w:hint="default" w:ascii="宋体" w:hAnsi="宋体" w:eastAsia="宋体" w:cs="宋体"/>
        <w:w w:val="100"/>
        <w:sz w:val="21"/>
        <w:szCs w:val="21"/>
      </w:rPr>
    </w:lvl>
    <w:lvl w:ilvl="3">
      <w:start w:val="1"/>
      <w:numFmt w:val="lowerLetter"/>
      <w:lvlText w:val="%4)"/>
      <w:lvlJc w:val="left"/>
      <w:pPr>
        <w:ind w:left="3272" w:hanging="394"/>
        <w:jc w:val="left"/>
      </w:pPr>
      <w:rPr>
        <w:rFonts w:hint="default" w:ascii="宋体" w:hAnsi="宋体" w:eastAsia="宋体" w:cs="宋体"/>
        <w:w w:val="100"/>
        <w:sz w:val="21"/>
        <w:szCs w:val="21"/>
      </w:rPr>
    </w:lvl>
    <w:lvl w:ilvl="4">
      <w:start w:val="0"/>
      <w:numFmt w:val="bullet"/>
      <w:lvlText w:val="•"/>
      <w:lvlJc w:val="left"/>
      <w:pPr>
        <w:ind w:left="3280" w:hanging="394"/>
      </w:pPr>
      <w:rPr>
        <w:rFonts w:hint="default"/>
      </w:rPr>
    </w:lvl>
    <w:lvl w:ilvl="5">
      <w:start w:val="0"/>
      <w:numFmt w:val="bullet"/>
      <w:lvlText w:val="•"/>
      <w:lvlJc w:val="left"/>
      <w:pPr>
        <w:ind w:left="4207" w:hanging="394"/>
      </w:pPr>
      <w:rPr>
        <w:rFonts w:hint="default"/>
      </w:rPr>
    </w:lvl>
    <w:lvl w:ilvl="6">
      <w:start w:val="0"/>
      <w:numFmt w:val="bullet"/>
      <w:lvlText w:val="•"/>
      <w:lvlJc w:val="left"/>
      <w:pPr>
        <w:ind w:left="5135" w:hanging="394"/>
      </w:pPr>
      <w:rPr>
        <w:rFonts w:hint="default"/>
      </w:rPr>
    </w:lvl>
    <w:lvl w:ilvl="7">
      <w:start w:val="0"/>
      <w:numFmt w:val="bullet"/>
      <w:lvlText w:val="•"/>
      <w:lvlJc w:val="left"/>
      <w:pPr>
        <w:ind w:left="6063" w:hanging="394"/>
      </w:pPr>
      <w:rPr>
        <w:rFonts w:hint="default"/>
      </w:rPr>
    </w:lvl>
    <w:lvl w:ilvl="8">
      <w:start w:val="0"/>
      <w:numFmt w:val="bullet"/>
      <w:lvlText w:val="•"/>
      <w:lvlJc w:val="left"/>
      <w:pPr>
        <w:ind w:left="6990" w:hanging="394"/>
      </w:pPr>
      <w:rPr>
        <w:rFonts w:hint="default"/>
      </w:rPr>
    </w:lvl>
  </w:abstractNum>
  <w:abstractNum w:abstractNumId="10">
    <w:multiLevelType w:val="hybridMultilevel"/>
    <w:lvl w:ilvl="0">
      <w:start w:val="5"/>
      <w:numFmt w:val="decimal"/>
      <w:lvlText w:val="%1."/>
      <w:lvlJc w:val="left"/>
      <w:pPr>
        <w:ind w:left="2197" w:hanging="421"/>
        <w:jc w:val="right"/>
      </w:pPr>
      <w:rPr>
        <w:rFonts w:hint="default" w:ascii="宋体" w:hAnsi="宋体" w:eastAsia="宋体" w:cs="宋体"/>
        <w:w w:val="100"/>
        <w:sz w:val="21"/>
        <w:szCs w:val="21"/>
      </w:rPr>
    </w:lvl>
    <w:lvl w:ilvl="1">
      <w:start w:val="1"/>
      <w:numFmt w:val="lowerLetter"/>
      <w:lvlText w:val="%2)"/>
      <w:lvlJc w:val="left"/>
      <w:pPr>
        <w:ind w:left="3037" w:hanging="420"/>
        <w:jc w:val="left"/>
      </w:pPr>
      <w:rPr>
        <w:rFonts w:hint="default" w:ascii="宋体" w:hAnsi="宋体" w:eastAsia="宋体" w:cs="宋体"/>
        <w:w w:val="100"/>
        <w:sz w:val="21"/>
        <w:szCs w:val="21"/>
      </w:rPr>
    </w:lvl>
    <w:lvl w:ilvl="2">
      <w:start w:val="0"/>
      <w:numFmt w:val="bullet"/>
      <w:lvlText w:val="•"/>
      <w:lvlJc w:val="left"/>
      <w:pPr>
        <w:ind w:left="3140" w:hanging="420"/>
      </w:pPr>
      <w:rPr>
        <w:rFonts w:hint="default"/>
      </w:rPr>
    </w:lvl>
    <w:lvl w:ilvl="3">
      <w:start w:val="0"/>
      <w:numFmt w:val="bullet"/>
      <w:lvlText w:val="•"/>
      <w:lvlJc w:val="left"/>
      <w:pPr>
        <w:ind w:left="3898" w:hanging="420"/>
      </w:pPr>
      <w:rPr>
        <w:rFonts w:hint="default"/>
      </w:rPr>
    </w:lvl>
    <w:lvl w:ilvl="4">
      <w:start w:val="0"/>
      <w:numFmt w:val="bullet"/>
      <w:lvlText w:val="•"/>
      <w:lvlJc w:val="left"/>
      <w:pPr>
        <w:ind w:left="4656" w:hanging="420"/>
      </w:pPr>
      <w:rPr>
        <w:rFonts w:hint="default"/>
      </w:rPr>
    </w:lvl>
    <w:lvl w:ilvl="5">
      <w:start w:val="0"/>
      <w:numFmt w:val="bullet"/>
      <w:lvlText w:val="•"/>
      <w:lvlJc w:val="left"/>
      <w:pPr>
        <w:ind w:left="5414" w:hanging="420"/>
      </w:pPr>
      <w:rPr>
        <w:rFonts w:hint="default"/>
      </w:rPr>
    </w:lvl>
    <w:lvl w:ilvl="6">
      <w:start w:val="0"/>
      <w:numFmt w:val="bullet"/>
      <w:lvlText w:val="•"/>
      <w:lvlJc w:val="left"/>
      <w:pPr>
        <w:ind w:left="6173" w:hanging="420"/>
      </w:pPr>
      <w:rPr>
        <w:rFonts w:hint="default"/>
      </w:rPr>
    </w:lvl>
    <w:lvl w:ilvl="7">
      <w:start w:val="0"/>
      <w:numFmt w:val="bullet"/>
      <w:lvlText w:val="•"/>
      <w:lvlJc w:val="left"/>
      <w:pPr>
        <w:ind w:left="6931" w:hanging="420"/>
      </w:pPr>
      <w:rPr>
        <w:rFonts w:hint="default"/>
      </w:rPr>
    </w:lvl>
    <w:lvl w:ilvl="8">
      <w:start w:val="0"/>
      <w:numFmt w:val="bullet"/>
      <w:lvlText w:val="•"/>
      <w:lvlJc w:val="left"/>
      <w:pPr>
        <w:ind w:left="7689" w:hanging="420"/>
      </w:pPr>
      <w:rPr>
        <w:rFonts w:hint="default"/>
      </w:rPr>
    </w:lvl>
  </w:abstractNum>
  <w:abstractNum w:abstractNumId="9">
    <w:multiLevelType w:val="hybridMultilevel"/>
    <w:lvl w:ilvl="0">
      <w:start w:val="0"/>
      <w:numFmt w:val="decimal"/>
      <w:lvlText w:val="%1"/>
      <w:lvlJc w:val="left"/>
      <w:pPr>
        <w:ind w:left="2355" w:hanging="159"/>
        <w:jc w:val="left"/>
      </w:pPr>
      <w:rPr>
        <w:rFonts w:hint="default" w:ascii="宋体" w:hAnsi="宋体" w:eastAsia="宋体" w:cs="宋体"/>
        <w:w w:val="100"/>
        <w:sz w:val="21"/>
        <w:szCs w:val="21"/>
      </w:rPr>
    </w:lvl>
    <w:lvl w:ilvl="1">
      <w:start w:val="0"/>
      <w:numFmt w:val="bullet"/>
      <w:lvlText w:val="•"/>
      <w:lvlJc w:val="left"/>
      <w:pPr>
        <w:ind w:left="3044" w:hanging="159"/>
      </w:pPr>
      <w:rPr>
        <w:rFonts w:hint="default"/>
      </w:rPr>
    </w:lvl>
    <w:lvl w:ilvl="2">
      <w:start w:val="0"/>
      <w:numFmt w:val="bullet"/>
      <w:lvlText w:val="•"/>
      <w:lvlJc w:val="left"/>
      <w:pPr>
        <w:ind w:left="3729" w:hanging="159"/>
      </w:pPr>
      <w:rPr>
        <w:rFonts w:hint="default"/>
      </w:rPr>
    </w:lvl>
    <w:lvl w:ilvl="3">
      <w:start w:val="0"/>
      <w:numFmt w:val="bullet"/>
      <w:lvlText w:val="•"/>
      <w:lvlJc w:val="left"/>
      <w:pPr>
        <w:ind w:left="4413" w:hanging="159"/>
      </w:pPr>
      <w:rPr>
        <w:rFonts w:hint="default"/>
      </w:rPr>
    </w:lvl>
    <w:lvl w:ilvl="4">
      <w:start w:val="0"/>
      <w:numFmt w:val="bullet"/>
      <w:lvlText w:val="•"/>
      <w:lvlJc w:val="left"/>
      <w:pPr>
        <w:ind w:left="5098" w:hanging="159"/>
      </w:pPr>
      <w:rPr>
        <w:rFonts w:hint="default"/>
      </w:rPr>
    </w:lvl>
    <w:lvl w:ilvl="5">
      <w:start w:val="0"/>
      <w:numFmt w:val="bullet"/>
      <w:lvlText w:val="•"/>
      <w:lvlJc w:val="left"/>
      <w:pPr>
        <w:ind w:left="5783" w:hanging="159"/>
      </w:pPr>
      <w:rPr>
        <w:rFonts w:hint="default"/>
      </w:rPr>
    </w:lvl>
    <w:lvl w:ilvl="6">
      <w:start w:val="0"/>
      <w:numFmt w:val="bullet"/>
      <w:lvlText w:val="•"/>
      <w:lvlJc w:val="left"/>
      <w:pPr>
        <w:ind w:left="6467" w:hanging="159"/>
      </w:pPr>
      <w:rPr>
        <w:rFonts w:hint="default"/>
      </w:rPr>
    </w:lvl>
    <w:lvl w:ilvl="7">
      <w:start w:val="0"/>
      <w:numFmt w:val="bullet"/>
      <w:lvlText w:val="•"/>
      <w:lvlJc w:val="left"/>
      <w:pPr>
        <w:ind w:left="7152" w:hanging="159"/>
      </w:pPr>
      <w:rPr>
        <w:rFonts w:hint="default"/>
      </w:rPr>
    </w:lvl>
    <w:lvl w:ilvl="8">
      <w:start w:val="0"/>
      <w:numFmt w:val="bullet"/>
      <w:lvlText w:val="•"/>
      <w:lvlJc w:val="left"/>
      <w:pPr>
        <w:ind w:left="7837" w:hanging="159"/>
      </w:pPr>
      <w:rPr>
        <w:rFonts w:hint="default"/>
      </w:rPr>
    </w:lvl>
  </w:abstractNum>
  <w:abstractNum w:abstractNumId="8">
    <w:multiLevelType w:val="hybridMultilevel"/>
    <w:lvl w:ilvl="0">
      <w:start w:val="1"/>
      <w:numFmt w:val="lowerLetter"/>
      <w:lvlText w:val="%1)"/>
      <w:lvlJc w:val="left"/>
      <w:pPr>
        <w:ind w:left="3037" w:hanging="420"/>
        <w:jc w:val="left"/>
      </w:pPr>
      <w:rPr>
        <w:rFonts w:hint="default" w:ascii="宋体" w:hAnsi="宋体" w:eastAsia="宋体" w:cs="宋体"/>
        <w:w w:val="100"/>
        <w:sz w:val="21"/>
        <w:szCs w:val="21"/>
      </w:rPr>
    </w:lvl>
    <w:lvl w:ilvl="1">
      <w:start w:val="0"/>
      <w:numFmt w:val="bullet"/>
      <w:lvlText w:val="•"/>
      <w:lvlJc w:val="left"/>
      <w:pPr>
        <w:ind w:left="3656" w:hanging="420"/>
      </w:pPr>
      <w:rPr>
        <w:rFonts w:hint="default"/>
      </w:rPr>
    </w:lvl>
    <w:lvl w:ilvl="2">
      <w:start w:val="0"/>
      <w:numFmt w:val="bullet"/>
      <w:lvlText w:val="•"/>
      <w:lvlJc w:val="left"/>
      <w:pPr>
        <w:ind w:left="4273" w:hanging="420"/>
      </w:pPr>
      <w:rPr>
        <w:rFonts w:hint="default"/>
      </w:rPr>
    </w:lvl>
    <w:lvl w:ilvl="3">
      <w:start w:val="0"/>
      <w:numFmt w:val="bullet"/>
      <w:lvlText w:val="•"/>
      <w:lvlJc w:val="left"/>
      <w:pPr>
        <w:ind w:left="4889" w:hanging="420"/>
      </w:pPr>
      <w:rPr>
        <w:rFonts w:hint="default"/>
      </w:rPr>
    </w:lvl>
    <w:lvl w:ilvl="4">
      <w:start w:val="0"/>
      <w:numFmt w:val="bullet"/>
      <w:lvlText w:val="•"/>
      <w:lvlJc w:val="left"/>
      <w:pPr>
        <w:ind w:left="5506" w:hanging="420"/>
      </w:pPr>
      <w:rPr>
        <w:rFonts w:hint="default"/>
      </w:rPr>
    </w:lvl>
    <w:lvl w:ilvl="5">
      <w:start w:val="0"/>
      <w:numFmt w:val="bullet"/>
      <w:lvlText w:val="•"/>
      <w:lvlJc w:val="left"/>
      <w:pPr>
        <w:ind w:left="6123" w:hanging="420"/>
      </w:pPr>
      <w:rPr>
        <w:rFonts w:hint="default"/>
      </w:rPr>
    </w:lvl>
    <w:lvl w:ilvl="6">
      <w:start w:val="0"/>
      <w:numFmt w:val="bullet"/>
      <w:lvlText w:val="•"/>
      <w:lvlJc w:val="left"/>
      <w:pPr>
        <w:ind w:left="6739" w:hanging="420"/>
      </w:pPr>
      <w:rPr>
        <w:rFonts w:hint="default"/>
      </w:rPr>
    </w:lvl>
    <w:lvl w:ilvl="7">
      <w:start w:val="0"/>
      <w:numFmt w:val="bullet"/>
      <w:lvlText w:val="•"/>
      <w:lvlJc w:val="left"/>
      <w:pPr>
        <w:ind w:left="7356" w:hanging="420"/>
      </w:pPr>
      <w:rPr>
        <w:rFonts w:hint="default"/>
      </w:rPr>
    </w:lvl>
    <w:lvl w:ilvl="8">
      <w:start w:val="0"/>
      <w:numFmt w:val="bullet"/>
      <w:lvlText w:val="•"/>
      <w:lvlJc w:val="left"/>
      <w:pPr>
        <w:ind w:left="7973" w:hanging="420"/>
      </w:pPr>
      <w:rPr>
        <w:rFonts w:hint="default"/>
      </w:rPr>
    </w:lvl>
  </w:abstractNum>
  <w:abstractNum w:abstractNumId="7">
    <w:multiLevelType w:val="hybridMultilevel"/>
    <w:lvl w:ilvl="0">
      <w:start w:val="1"/>
      <w:numFmt w:val="lowerLetter"/>
      <w:lvlText w:val="%1)"/>
      <w:lvlJc w:val="left"/>
      <w:pPr>
        <w:ind w:left="1603" w:hanging="420"/>
        <w:jc w:val="left"/>
      </w:pPr>
      <w:rPr>
        <w:rFonts w:hint="default" w:ascii="宋体" w:hAnsi="宋体" w:eastAsia="宋体" w:cs="宋体"/>
        <w:w w:val="100"/>
        <w:sz w:val="21"/>
        <w:szCs w:val="21"/>
      </w:rPr>
    </w:lvl>
    <w:lvl w:ilvl="1">
      <w:start w:val="0"/>
      <w:numFmt w:val="bullet"/>
      <w:lvlText w:val="•"/>
      <w:lvlJc w:val="left"/>
      <w:pPr>
        <w:ind w:left="2226" w:hanging="420"/>
      </w:pPr>
      <w:rPr>
        <w:rFonts w:hint="default"/>
      </w:rPr>
    </w:lvl>
    <w:lvl w:ilvl="2">
      <w:start w:val="0"/>
      <w:numFmt w:val="bullet"/>
      <w:lvlText w:val="•"/>
      <w:lvlJc w:val="left"/>
      <w:pPr>
        <w:ind w:left="2853" w:hanging="420"/>
      </w:pPr>
      <w:rPr>
        <w:rFonts w:hint="default"/>
      </w:rPr>
    </w:lvl>
    <w:lvl w:ilvl="3">
      <w:start w:val="0"/>
      <w:numFmt w:val="bullet"/>
      <w:lvlText w:val="•"/>
      <w:lvlJc w:val="left"/>
      <w:pPr>
        <w:ind w:left="3480" w:hanging="420"/>
      </w:pPr>
      <w:rPr>
        <w:rFonts w:hint="default"/>
      </w:rPr>
    </w:lvl>
    <w:lvl w:ilvl="4">
      <w:start w:val="0"/>
      <w:numFmt w:val="bullet"/>
      <w:lvlText w:val="•"/>
      <w:lvlJc w:val="left"/>
      <w:pPr>
        <w:ind w:left="4107" w:hanging="420"/>
      </w:pPr>
      <w:rPr>
        <w:rFonts w:hint="default"/>
      </w:rPr>
    </w:lvl>
    <w:lvl w:ilvl="5">
      <w:start w:val="0"/>
      <w:numFmt w:val="bullet"/>
      <w:lvlText w:val="•"/>
      <w:lvlJc w:val="left"/>
      <w:pPr>
        <w:ind w:left="4734" w:hanging="420"/>
      </w:pPr>
      <w:rPr>
        <w:rFonts w:hint="default"/>
      </w:rPr>
    </w:lvl>
    <w:lvl w:ilvl="6">
      <w:start w:val="0"/>
      <w:numFmt w:val="bullet"/>
      <w:lvlText w:val="•"/>
      <w:lvlJc w:val="left"/>
      <w:pPr>
        <w:ind w:left="5360" w:hanging="420"/>
      </w:pPr>
      <w:rPr>
        <w:rFonts w:hint="default"/>
      </w:rPr>
    </w:lvl>
    <w:lvl w:ilvl="7">
      <w:start w:val="0"/>
      <w:numFmt w:val="bullet"/>
      <w:lvlText w:val="•"/>
      <w:lvlJc w:val="left"/>
      <w:pPr>
        <w:ind w:left="5987" w:hanging="420"/>
      </w:pPr>
      <w:rPr>
        <w:rFonts w:hint="default"/>
      </w:rPr>
    </w:lvl>
    <w:lvl w:ilvl="8">
      <w:start w:val="0"/>
      <w:numFmt w:val="bullet"/>
      <w:lvlText w:val="•"/>
      <w:lvlJc w:val="left"/>
      <w:pPr>
        <w:ind w:left="6614" w:hanging="420"/>
      </w:pPr>
      <w:rPr>
        <w:rFonts w:hint="default"/>
      </w:rPr>
    </w:lvl>
  </w:abstractNum>
  <w:abstractNum w:abstractNumId="6">
    <w:multiLevelType w:val="hybridMultilevel"/>
    <w:lvl w:ilvl="0">
      <w:start w:val="1"/>
      <w:numFmt w:val="decimal"/>
      <w:lvlText w:val="%1."/>
      <w:lvlJc w:val="left"/>
      <w:pPr>
        <w:ind w:left="763" w:hanging="421"/>
        <w:jc w:val="left"/>
      </w:pPr>
      <w:rPr>
        <w:rFonts w:hint="default" w:ascii="宋体" w:hAnsi="宋体" w:eastAsia="宋体" w:cs="宋体"/>
        <w:w w:val="100"/>
        <w:sz w:val="21"/>
        <w:szCs w:val="21"/>
      </w:rPr>
    </w:lvl>
    <w:lvl w:ilvl="1">
      <w:start w:val="1"/>
      <w:numFmt w:val="lowerLetter"/>
      <w:lvlText w:val="%2)"/>
      <w:lvlJc w:val="left"/>
      <w:pPr>
        <w:ind w:left="1603" w:hanging="420"/>
        <w:jc w:val="left"/>
      </w:pPr>
      <w:rPr>
        <w:rFonts w:hint="default" w:ascii="宋体" w:hAnsi="宋体" w:eastAsia="宋体" w:cs="宋体"/>
        <w:w w:val="100"/>
        <w:sz w:val="21"/>
        <w:szCs w:val="21"/>
      </w:rPr>
    </w:lvl>
    <w:lvl w:ilvl="2">
      <w:start w:val="0"/>
      <w:numFmt w:val="bullet"/>
      <w:lvlText w:val="•"/>
      <w:lvlJc w:val="left"/>
      <w:pPr>
        <w:ind w:left="2296" w:hanging="420"/>
      </w:pPr>
      <w:rPr>
        <w:rFonts w:hint="default"/>
      </w:rPr>
    </w:lvl>
    <w:lvl w:ilvl="3">
      <w:start w:val="0"/>
      <w:numFmt w:val="bullet"/>
      <w:lvlText w:val="•"/>
      <w:lvlJc w:val="left"/>
      <w:pPr>
        <w:ind w:left="2992" w:hanging="420"/>
      </w:pPr>
      <w:rPr>
        <w:rFonts w:hint="default"/>
      </w:rPr>
    </w:lvl>
    <w:lvl w:ilvl="4">
      <w:start w:val="0"/>
      <w:numFmt w:val="bullet"/>
      <w:lvlText w:val="•"/>
      <w:lvlJc w:val="left"/>
      <w:pPr>
        <w:ind w:left="3689" w:hanging="420"/>
      </w:pPr>
      <w:rPr>
        <w:rFonts w:hint="default"/>
      </w:rPr>
    </w:lvl>
    <w:lvl w:ilvl="5">
      <w:start w:val="0"/>
      <w:numFmt w:val="bullet"/>
      <w:lvlText w:val="•"/>
      <w:lvlJc w:val="left"/>
      <w:pPr>
        <w:ind w:left="4385" w:hanging="420"/>
      </w:pPr>
      <w:rPr>
        <w:rFonts w:hint="default"/>
      </w:rPr>
    </w:lvl>
    <w:lvl w:ilvl="6">
      <w:start w:val="0"/>
      <w:numFmt w:val="bullet"/>
      <w:lvlText w:val="•"/>
      <w:lvlJc w:val="left"/>
      <w:pPr>
        <w:ind w:left="5082" w:hanging="420"/>
      </w:pPr>
      <w:rPr>
        <w:rFonts w:hint="default"/>
      </w:rPr>
    </w:lvl>
    <w:lvl w:ilvl="7">
      <w:start w:val="0"/>
      <w:numFmt w:val="bullet"/>
      <w:lvlText w:val="•"/>
      <w:lvlJc w:val="left"/>
      <w:pPr>
        <w:ind w:left="5778" w:hanging="420"/>
      </w:pPr>
      <w:rPr>
        <w:rFonts w:hint="default"/>
      </w:rPr>
    </w:lvl>
    <w:lvl w:ilvl="8">
      <w:start w:val="0"/>
      <w:numFmt w:val="bullet"/>
      <w:lvlText w:val="•"/>
      <w:lvlJc w:val="left"/>
      <w:pPr>
        <w:ind w:left="6475" w:hanging="420"/>
      </w:pPr>
      <w:rPr>
        <w:rFonts w:hint="default"/>
      </w:rPr>
    </w:lvl>
  </w:abstractNum>
  <w:abstractNum w:abstractNumId="1">
    <w:multiLevelType w:val="hybridMultilevel"/>
    <w:lvl w:ilvl="0">
      <w:start w:val="0"/>
      <w:numFmt w:val="bullet"/>
      <w:lvlText w:val=""/>
      <w:lvlJc w:val="left"/>
      <w:pPr>
        <w:ind w:left="398" w:hanging="399"/>
      </w:pPr>
      <w:rPr>
        <w:rFonts w:hint="default" w:ascii="Wingdings" w:hAnsi="Wingdings" w:eastAsia="Wingdings" w:cs="Wingdings"/>
        <w:w w:val="100"/>
        <w:sz w:val="21"/>
        <w:szCs w:val="21"/>
      </w:rPr>
    </w:lvl>
    <w:lvl w:ilvl="1">
      <w:start w:val="0"/>
      <w:numFmt w:val="bullet"/>
      <w:lvlText w:val="•"/>
      <w:lvlJc w:val="left"/>
      <w:pPr>
        <w:ind w:left="1231" w:hanging="399"/>
      </w:pPr>
      <w:rPr>
        <w:rFonts w:hint="default"/>
      </w:rPr>
    </w:lvl>
    <w:lvl w:ilvl="2">
      <w:start w:val="0"/>
      <w:numFmt w:val="bullet"/>
      <w:lvlText w:val="•"/>
      <w:lvlJc w:val="left"/>
      <w:pPr>
        <w:ind w:left="2063" w:hanging="399"/>
      </w:pPr>
      <w:rPr>
        <w:rFonts w:hint="default"/>
      </w:rPr>
    </w:lvl>
    <w:lvl w:ilvl="3">
      <w:start w:val="0"/>
      <w:numFmt w:val="bullet"/>
      <w:lvlText w:val="•"/>
      <w:lvlJc w:val="left"/>
      <w:pPr>
        <w:ind w:left="2895" w:hanging="399"/>
      </w:pPr>
      <w:rPr>
        <w:rFonts w:hint="default"/>
      </w:rPr>
    </w:lvl>
    <w:lvl w:ilvl="4">
      <w:start w:val="0"/>
      <w:numFmt w:val="bullet"/>
      <w:lvlText w:val="•"/>
      <w:lvlJc w:val="left"/>
      <w:pPr>
        <w:ind w:left="3726" w:hanging="399"/>
      </w:pPr>
      <w:rPr>
        <w:rFonts w:hint="default"/>
      </w:rPr>
    </w:lvl>
    <w:lvl w:ilvl="5">
      <w:start w:val="0"/>
      <w:numFmt w:val="bullet"/>
      <w:lvlText w:val="•"/>
      <w:lvlJc w:val="left"/>
      <w:pPr>
        <w:ind w:left="4558" w:hanging="399"/>
      </w:pPr>
      <w:rPr>
        <w:rFonts w:hint="default"/>
      </w:rPr>
    </w:lvl>
    <w:lvl w:ilvl="6">
      <w:start w:val="0"/>
      <w:numFmt w:val="bullet"/>
      <w:lvlText w:val="•"/>
      <w:lvlJc w:val="left"/>
      <w:pPr>
        <w:ind w:left="5390" w:hanging="399"/>
      </w:pPr>
      <w:rPr>
        <w:rFonts w:hint="default"/>
      </w:rPr>
    </w:lvl>
    <w:lvl w:ilvl="7">
      <w:start w:val="0"/>
      <w:numFmt w:val="bullet"/>
      <w:lvlText w:val="•"/>
      <w:lvlJc w:val="left"/>
      <w:pPr>
        <w:ind w:left="6221" w:hanging="399"/>
      </w:pPr>
      <w:rPr>
        <w:rFonts w:hint="default"/>
      </w:rPr>
    </w:lvl>
    <w:lvl w:ilvl="8">
      <w:start w:val="0"/>
      <w:numFmt w:val="bullet"/>
      <w:lvlText w:val="•"/>
      <w:lvlJc w:val="left"/>
      <w:pPr>
        <w:ind w:left="7053" w:hanging="399"/>
      </w:pPr>
      <w:rPr>
        <w:rFonts w:hint="default"/>
      </w:rPr>
    </w:lvl>
  </w:abstractNum>
  <w:abstractNum w:abstractNumId="0">
    <w:multiLevelType w:val="hybridMultilevel"/>
    <w:lvl w:ilvl="0">
      <w:start w:val="0"/>
      <w:numFmt w:val="bullet"/>
      <w:lvlText w:val=""/>
      <w:lvlJc w:val="left"/>
      <w:pPr>
        <w:ind w:left="398" w:hanging="399"/>
      </w:pPr>
      <w:rPr>
        <w:rFonts w:hint="default" w:ascii="Wingdings" w:hAnsi="Wingdings" w:eastAsia="Wingdings" w:cs="Wingdings"/>
        <w:w w:val="100"/>
        <w:sz w:val="21"/>
        <w:szCs w:val="21"/>
      </w:rPr>
    </w:lvl>
    <w:lvl w:ilvl="1">
      <w:start w:val="0"/>
      <w:numFmt w:val="bullet"/>
      <w:lvlText w:val="•"/>
      <w:lvlJc w:val="left"/>
      <w:pPr>
        <w:ind w:left="1231" w:hanging="399"/>
      </w:pPr>
      <w:rPr>
        <w:rFonts w:hint="default"/>
      </w:rPr>
    </w:lvl>
    <w:lvl w:ilvl="2">
      <w:start w:val="0"/>
      <w:numFmt w:val="bullet"/>
      <w:lvlText w:val="•"/>
      <w:lvlJc w:val="left"/>
      <w:pPr>
        <w:ind w:left="2063" w:hanging="399"/>
      </w:pPr>
      <w:rPr>
        <w:rFonts w:hint="default"/>
      </w:rPr>
    </w:lvl>
    <w:lvl w:ilvl="3">
      <w:start w:val="0"/>
      <w:numFmt w:val="bullet"/>
      <w:lvlText w:val="•"/>
      <w:lvlJc w:val="left"/>
      <w:pPr>
        <w:ind w:left="2895" w:hanging="399"/>
      </w:pPr>
      <w:rPr>
        <w:rFonts w:hint="default"/>
      </w:rPr>
    </w:lvl>
    <w:lvl w:ilvl="4">
      <w:start w:val="0"/>
      <w:numFmt w:val="bullet"/>
      <w:lvlText w:val="•"/>
      <w:lvlJc w:val="left"/>
      <w:pPr>
        <w:ind w:left="3726" w:hanging="399"/>
      </w:pPr>
      <w:rPr>
        <w:rFonts w:hint="default"/>
      </w:rPr>
    </w:lvl>
    <w:lvl w:ilvl="5">
      <w:start w:val="0"/>
      <w:numFmt w:val="bullet"/>
      <w:lvlText w:val="•"/>
      <w:lvlJc w:val="left"/>
      <w:pPr>
        <w:ind w:left="4558" w:hanging="399"/>
      </w:pPr>
      <w:rPr>
        <w:rFonts w:hint="default"/>
      </w:rPr>
    </w:lvl>
    <w:lvl w:ilvl="6">
      <w:start w:val="0"/>
      <w:numFmt w:val="bullet"/>
      <w:lvlText w:val="•"/>
      <w:lvlJc w:val="left"/>
      <w:pPr>
        <w:ind w:left="5390" w:hanging="399"/>
      </w:pPr>
      <w:rPr>
        <w:rFonts w:hint="default"/>
      </w:rPr>
    </w:lvl>
    <w:lvl w:ilvl="7">
      <w:start w:val="0"/>
      <w:numFmt w:val="bullet"/>
      <w:lvlText w:val="•"/>
      <w:lvlJc w:val="left"/>
      <w:pPr>
        <w:ind w:left="6221" w:hanging="399"/>
      </w:pPr>
      <w:rPr>
        <w:rFonts w:hint="default"/>
      </w:rPr>
    </w:lvl>
    <w:lvl w:ilvl="8">
      <w:start w:val="0"/>
      <w:numFmt w:val="bullet"/>
      <w:lvlText w:val="•"/>
      <w:lvlJc w:val="left"/>
      <w:pPr>
        <w:ind w:left="7053" w:hanging="399"/>
      </w:pPr>
      <w:rPr>
        <w:rFonts w:hint="default"/>
      </w:rPr>
    </w:lvl>
  </w:abstractNum>
  <w:abstractNum w:abstractNumId="5">
    <w:multiLevelType w:val="hybridMultilevel"/>
    <w:lvl w:ilvl="0">
      <w:start w:val="7"/>
      <w:numFmt w:val="decimal"/>
      <w:lvlText w:val="%1"/>
      <w:lvlJc w:val="left"/>
      <w:pPr>
        <w:ind w:left="578" w:hanging="370"/>
        <w:jc w:val="left"/>
      </w:pPr>
      <w:rPr>
        <w:rFonts w:hint="default"/>
      </w:rPr>
    </w:lvl>
    <w:lvl w:ilvl="1">
      <w:start w:val="7"/>
      <w:numFmt w:val="decimal"/>
      <w:lvlText w:val="%1.%2"/>
      <w:lvlJc w:val="left"/>
      <w:pPr>
        <w:ind w:left="578" w:hanging="370"/>
        <w:jc w:val="left"/>
      </w:pPr>
      <w:rPr>
        <w:rFonts w:hint="default" w:ascii="宋体" w:hAnsi="宋体" w:eastAsia="宋体" w:cs="宋体"/>
        <w:w w:val="100"/>
        <w:sz w:val="21"/>
        <w:szCs w:val="21"/>
      </w:rPr>
    </w:lvl>
    <w:lvl w:ilvl="2">
      <w:start w:val="0"/>
      <w:numFmt w:val="bullet"/>
      <w:lvlText w:val="•"/>
      <w:lvlJc w:val="left"/>
      <w:pPr>
        <w:ind w:left="1235" w:hanging="370"/>
      </w:pPr>
      <w:rPr>
        <w:rFonts w:hint="default"/>
      </w:rPr>
    </w:lvl>
    <w:lvl w:ilvl="3">
      <w:start w:val="0"/>
      <w:numFmt w:val="bullet"/>
      <w:lvlText w:val="•"/>
      <w:lvlJc w:val="left"/>
      <w:pPr>
        <w:ind w:left="1563" w:hanging="370"/>
      </w:pPr>
      <w:rPr>
        <w:rFonts w:hint="default"/>
      </w:rPr>
    </w:lvl>
    <w:lvl w:ilvl="4">
      <w:start w:val="0"/>
      <w:numFmt w:val="bullet"/>
      <w:lvlText w:val="•"/>
      <w:lvlJc w:val="left"/>
      <w:pPr>
        <w:ind w:left="1891" w:hanging="370"/>
      </w:pPr>
      <w:rPr>
        <w:rFonts w:hint="default"/>
      </w:rPr>
    </w:lvl>
    <w:lvl w:ilvl="5">
      <w:start w:val="0"/>
      <w:numFmt w:val="bullet"/>
      <w:lvlText w:val="•"/>
      <w:lvlJc w:val="left"/>
      <w:pPr>
        <w:ind w:left="2219" w:hanging="370"/>
      </w:pPr>
      <w:rPr>
        <w:rFonts w:hint="default"/>
      </w:rPr>
    </w:lvl>
    <w:lvl w:ilvl="6">
      <w:start w:val="0"/>
      <w:numFmt w:val="bullet"/>
      <w:lvlText w:val="•"/>
      <w:lvlJc w:val="left"/>
      <w:pPr>
        <w:ind w:left="2546" w:hanging="370"/>
      </w:pPr>
      <w:rPr>
        <w:rFonts w:hint="default"/>
      </w:rPr>
    </w:lvl>
    <w:lvl w:ilvl="7">
      <w:start w:val="0"/>
      <w:numFmt w:val="bullet"/>
      <w:lvlText w:val="•"/>
      <w:lvlJc w:val="left"/>
      <w:pPr>
        <w:ind w:left="2874" w:hanging="370"/>
      </w:pPr>
      <w:rPr>
        <w:rFonts w:hint="default"/>
      </w:rPr>
    </w:lvl>
    <w:lvl w:ilvl="8">
      <w:start w:val="0"/>
      <w:numFmt w:val="bullet"/>
      <w:lvlText w:val="•"/>
      <w:lvlJc w:val="left"/>
      <w:pPr>
        <w:ind w:left="3202" w:hanging="370"/>
      </w:pPr>
      <w:rPr>
        <w:rFonts w:hint="default"/>
      </w:rPr>
    </w:lvl>
  </w:abstractNum>
  <w:abstractNum w:abstractNumId="4">
    <w:multiLevelType w:val="hybridMultilevel"/>
    <w:lvl w:ilvl="0">
      <w:start w:val="5"/>
      <w:numFmt w:val="decimal"/>
      <w:lvlText w:val="%1."/>
      <w:lvlJc w:val="left"/>
      <w:pPr>
        <w:ind w:left="468" w:hanging="317"/>
        <w:jc w:val="left"/>
      </w:pPr>
      <w:rPr>
        <w:rFonts w:hint="default" w:ascii="宋体" w:hAnsi="宋体" w:eastAsia="宋体" w:cs="宋体"/>
        <w:b/>
        <w:bCs/>
        <w:w w:val="99"/>
        <w:sz w:val="21"/>
        <w:szCs w:val="21"/>
      </w:rPr>
    </w:lvl>
    <w:lvl w:ilvl="1">
      <w:start w:val="1"/>
      <w:numFmt w:val="decimal"/>
      <w:lvlText w:val="%1.%2"/>
      <w:lvlJc w:val="left"/>
      <w:pPr>
        <w:ind w:left="677" w:hanging="420"/>
        <w:jc w:val="left"/>
      </w:pPr>
      <w:rPr>
        <w:rFonts w:hint="default" w:ascii="宋体" w:hAnsi="宋体" w:eastAsia="宋体" w:cs="宋体"/>
        <w:w w:val="100"/>
        <w:sz w:val="21"/>
        <w:szCs w:val="21"/>
      </w:rPr>
    </w:lvl>
    <w:lvl w:ilvl="2">
      <w:start w:val="0"/>
      <w:numFmt w:val="bullet"/>
      <w:lvlText w:val="•"/>
      <w:lvlJc w:val="left"/>
      <w:pPr>
        <w:ind w:left="959" w:hanging="420"/>
      </w:pPr>
      <w:rPr>
        <w:rFonts w:hint="default"/>
      </w:rPr>
    </w:lvl>
    <w:lvl w:ilvl="3">
      <w:start w:val="0"/>
      <w:numFmt w:val="bullet"/>
      <w:lvlText w:val="•"/>
      <w:lvlJc w:val="left"/>
      <w:pPr>
        <w:ind w:left="1239" w:hanging="420"/>
      </w:pPr>
      <w:rPr>
        <w:rFonts w:hint="default"/>
      </w:rPr>
    </w:lvl>
    <w:lvl w:ilvl="4">
      <w:start w:val="0"/>
      <w:numFmt w:val="bullet"/>
      <w:lvlText w:val="•"/>
      <w:lvlJc w:val="left"/>
      <w:pPr>
        <w:ind w:left="1519" w:hanging="420"/>
      </w:pPr>
      <w:rPr>
        <w:rFonts w:hint="default"/>
      </w:rPr>
    </w:lvl>
    <w:lvl w:ilvl="5">
      <w:start w:val="0"/>
      <w:numFmt w:val="bullet"/>
      <w:lvlText w:val="•"/>
      <w:lvlJc w:val="left"/>
      <w:pPr>
        <w:ind w:left="1798" w:hanging="420"/>
      </w:pPr>
      <w:rPr>
        <w:rFonts w:hint="default"/>
      </w:rPr>
    </w:lvl>
    <w:lvl w:ilvl="6">
      <w:start w:val="0"/>
      <w:numFmt w:val="bullet"/>
      <w:lvlText w:val="•"/>
      <w:lvlJc w:val="left"/>
      <w:pPr>
        <w:ind w:left="2078" w:hanging="420"/>
      </w:pPr>
      <w:rPr>
        <w:rFonts w:hint="default"/>
      </w:rPr>
    </w:lvl>
    <w:lvl w:ilvl="7">
      <w:start w:val="0"/>
      <w:numFmt w:val="bullet"/>
      <w:lvlText w:val="•"/>
      <w:lvlJc w:val="left"/>
      <w:pPr>
        <w:ind w:left="2358" w:hanging="420"/>
      </w:pPr>
      <w:rPr>
        <w:rFonts w:hint="default"/>
      </w:rPr>
    </w:lvl>
    <w:lvl w:ilvl="8">
      <w:start w:val="0"/>
      <w:numFmt w:val="bullet"/>
      <w:lvlText w:val="•"/>
      <w:lvlJc w:val="left"/>
      <w:pPr>
        <w:ind w:left="2637" w:hanging="420"/>
      </w:pPr>
      <w:rPr>
        <w:rFonts w:hint="default"/>
      </w:rPr>
    </w:lvl>
  </w:abstractNum>
  <w:abstractNum w:abstractNumId="3">
    <w:multiLevelType w:val="hybridMultilevel"/>
    <w:lvl w:ilvl="0">
      <w:start w:val="4"/>
      <w:numFmt w:val="decimal"/>
      <w:lvlText w:val="%1"/>
      <w:lvlJc w:val="left"/>
      <w:pPr>
        <w:ind w:left="677" w:hanging="420"/>
        <w:jc w:val="left"/>
      </w:pPr>
      <w:rPr>
        <w:rFonts w:hint="default"/>
      </w:rPr>
    </w:lvl>
    <w:lvl w:ilvl="1">
      <w:start w:val="1"/>
      <w:numFmt w:val="decimal"/>
      <w:lvlText w:val="%1.%2"/>
      <w:lvlJc w:val="left"/>
      <w:pPr>
        <w:ind w:left="677" w:hanging="420"/>
        <w:jc w:val="left"/>
      </w:pPr>
      <w:rPr>
        <w:rFonts w:hint="default" w:ascii="宋体" w:hAnsi="宋体" w:eastAsia="宋体" w:cs="宋体"/>
        <w:w w:val="100"/>
        <w:sz w:val="21"/>
        <w:szCs w:val="21"/>
      </w:rPr>
    </w:lvl>
    <w:lvl w:ilvl="2">
      <w:start w:val="0"/>
      <w:numFmt w:val="bullet"/>
      <w:lvlText w:val="•"/>
      <w:lvlJc w:val="left"/>
      <w:pPr>
        <w:ind w:left="1183" w:hanging="420"/>
      </w:pPr>
      <w:rPr>
        <w:rFonts w:hint="default"/>
      </w:rPr>
    </w:lvl>
    <w:lvl w:ilvl="3">
      <w:start w:val="0"/>
      <w:numFmt w:val="bullet"/>
      <w:lvlText w:val="•"/>
      <w:lvlJc w:val="left"/>
      <w:pPr>
        <w:ind w:left="1435" w:hanging="420"/>
      </w:pPr>
      <w:rPr>
        <w:rFonts w:hint="default"/>
      </w:rPr>
    </w:lvl>
    <w:lvl w:ilvl="4">
      <w:start w:val="0"/>
      <w:numFmt w:val="bullet"/>
      <w:lvlText w:val="•"/>
      <w:lvlJc w:val="left"/>
      <w:pPr>
        <w:ind w:left="1686" w:hanging="420"/>
      </w:pPr>
      <w:rPr>
        <w:rFonts w:hint="default"/>
      </w:rPr>
    </w:lvl>
    <w:lvl w:ilvl="5">
      <w:start w:val="0"/>
      <w:numFmt w:val="bullet"/>
      <w:lvlText w:val="•"/>
      <w:lvlJc w:val="left"/>
      <w:pPr>
        <w:ind w:left="1938" w:hanging="420"/>
      </w:pPr>
      <w:rPr>
        <w:rFonts w:hint="default"/>
      </w:rPr>
    </w:lvl>
    <w:lvl w:ilvl="6">
      <w:start w:val="0"/>
      <w:numFmt w:val="bullet"/>
      <w:lvlText w:val="•"/>
      <w:lvlJc w:val="left"/>
      <w:pPr>
        <w:ind w:left="2190" w:hanging="420"/>
      </w:pPr>
      <w:rPr>
        <w:rFonts w:hint="default"/>
      </w:rPr>
    </w:lvl>
    <w:lvl w:ilvl="7">
      <w:start w:val="0"/>
      <w:numFmt w:val="bullet"/>
      <w:lvlText w:val="•"/>
      <w:lvlJc w:val="left"/>
      <w:pPr>
        <w:ind w:left="2441" w:hanging="420"/>
      </w:pPr>
      <w:rPr>
        <w:rFonts w:hint="default"/>
      </w:rPr>
    </w:lvl>
    <w:lvl w:ilvl="8">
      <w:start w:val="0"/>
      <w:numFmt w:val="bullet"/>
      <w:lvlText w:val="•"/>
      <w:lvlJc w:val="left"/>
      <w:pPr>
        <w:ind w:left="2693" w:hanging="420"/>
      </w:pPr>
      <w:rPr>
        <w:rFonts w:hint="default"/>
      </w:rPr>
    </w:lvl>
  </w:abstractNum>
  <w:abstractNum w:abstractNumId="2">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0"/>
        <w:jc w:val="left"/>
      </w:pPr>
      <w:rPr>
        <w:rFonts w:hint="default" w:ascii="宋体" w:hAnsi="宋体" w:eastAsia="宋体" w:cs="宋体"/>
        <w:w w:val="100"/>
        <w:sz w:val="21"/>
        <w:szCs w:val="21"/>
      </w:rPr>
    </w:lvl>
    <w:lvl w:ilvl="2">
      <w:start w:val="0"/>
      <w:numFmt w:val="bullet"/>
      <w:lvlText w:val="•"/>
      <w:lvlJc w:val="left"/>
      <w:pPr>
        <w:ind w:left="925" w:hanging="420"/>
      </w:pPr>
      <w:rPr>
        <w:rFonts w:hint="default"/>
      </w:rPr>
    </w:lvl>
    <w:lvl w:ilvl="3">
      <w:start w:val="0"/>
      <w:numFmt w:val="bullet"/>
      <w:lvlText w:val="•"/>
      <w:lvlJc w:val="left"/>
      <w:pPr>
        <w:ind w:left="1130" w:hanging="420"/>
      </w:pPr>
      <w:rPr>
        <w:rFonts w:hint="default"/>
      </w:rPr>
    </w:lvl>
    <w:lvl w:ilvl="4">
      <w:start w:val="0"/>
      <w:numFmt w:val="bullet"/>
      <w:lvlText w:val="•"/>
      <w:lvlJc w:val="left"/>
      <w:pPr>
        <w:ind w:left="1336" w:hanging="420"/>
      </w:pPr>
      <w:rPr>
        <w:rFonts w:hint="default"/>
      </w:rPr>
    </w:lvl>
    <w:lvl w:ilvl="5">
      <w:start w:val="0"/>
      <w:numFmt w:val="bullet"/>
      <w:lvlText w:val="•"/>
      <w:lvlJc w:val="left"/>
      <w:pPr>
        <w:ind w:left="1541" w:hanging="420"/>
      </w:pPr>
      <w:rPr>
        <w:rFonts w:hint="default"/>
      </w:rPr>
    </w:lvl>
    <w:lvl w:ilvl="6">
      <w:start w:val="0"/>
      <w:numFmt w:val="bullet"/>
      <w:lvlText w:val="•"/>
      <w:lvlJc w:val="left"/>
      <w:pPr>
        <w:ind w:left="1747" w:hanging="420"/>
      </w:pPr>
      <w:rPr>
        <w:rFonts w:hint="default"/>
      </w:rPr>
    </w:lvl>
    <w:lvl w:ilvl="7">
      <w:start w:val="0"/>
      <w:numFmt w:val="bullet"/>
      <w:lvlText w:val="•"/>
      <w:lvlJc w:val="left"/>
      <w:pPr>
        <w:ind w:left="1952" w:hanging="420"/>
      </w:pPr>
      <w:rPr>
        <w:rFonts w:hint="default"/>
      </w:rPr>
    </w:lvl>
    <w:lvl w:ilvl="8">
      <w:start w:val="0"/>
      <w:numFmt w:val="bullet"/>
      <w:lvlText w:val="•"/>
      <w:lvlJc w:val="left"/>
      <w:pPr>
        <w:ind w:left="2158" w:hanging="4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2">
    <w:abstractNumId w:val="1"/>
  </w:num>
  <w:num w:numId="1">
    <w:abstractNumId w:val="0"/>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536"/>
      <w:outlineLvl w:val="1"/>
    </w:pPr>
    <w:rPr>
      <w:rFonts w:ascii="微软雅黑" w:hAnsi="微软雅黑" w:eastAsia="微软雅黑" w:cs="微软雅黑"/>
      <w:b/>
      <w:bCs/>
      <w:sz w:val="32"/>
      <w:szCs w:val="32"/>
    </w:rPr>
  </w:style>
  <w:style w:styleId="ListParagraph" w:type="paragraph">
    <w:name w:val="List Paragraph"/>
    <w:basedOn w:val="Normal"/>
    <w:uiPriority w:val="1"/>
    <w:qFormat/>
    <w:pPr>
      <w:ind w:left="3272"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董沛涌</dc:creator>
  <dcterms:created xsi:type="dcterms:W3CDTF">2018-10-20T04:56:02Z</dcterms:created>
  <dcterms:modified xsi:type="dcterms:W3CDTF">2018-10-20T04:56:02Z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2016-06-07T00:00:00Z</vt:filetime>
  </property>
  <property fmtid="{D5CDD505-2E9C-101B-9397-08002B2CF9AE}" pid="3" name="Creator">
    <vt:lpwstr>Microsoft® Office Word 2007</vt:lpwstr>
  </property>
  <property fmtid="{D5CDD505-2E9C-101B-9397-08002B2CF9AE}" pid="4" name="LastSaved">
    <vt:filetime>2018-10-19T00:00:00Z</vt:filetime>
  </property>
</Properties>
</file>