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7"/>
        <w:ind w:left="1080" w:right="0" w:firstLine="0"/>
        <w:jc w:val="left"/>
        <w:rPr>
          <w:sz w:val="24"/>
        </w:rPr>
      </w:pPr>
      <w:r>
        <w:rPr>
          <w:spacing w:val="-25"/>
          <w:sz w:val="24"/>
        </w:rPr>
        <w:t>附件 </w:t>
      </w:r>
      <w:r>
        <w:rPr>
          <w:sz w:val="24"/>
        </w:rPr>
        <w:t>2-2</w:t>
      </w:r>
    </w:p>
    <w:p>
      <w:pPr>
        <w:pStyle w:val="BodyText"/>
        <w:spacing w:before="8"/>
        <w:ind w:left="5094"/>
        <w:rPr>
          <w:rFonts w:ascii="仿宋" w:eastAsia="仿宋" w:hint="eastAsia"/>
        </w:rPr>
      </w:pPr>
      <w:r>
        <w:rPr/>
        <w:br w:type="column"/>
      </w:r>
      <w:r>
        <w:rPr>
          <w:rFonts w:ascii="仿宋" w:eastAsia="仿宋" w:hint="eastAsia"/>
        </w:rPr>
        <w:t>长城人寿[2010]疾病保险 028 号</w:t>
      </w:r>
    </w:p>
    <w:p>
      <w:pPr>
        <w:tabs>
          <w:tab w:pos="5994" w:val="left" w:leader="none"/>
        </w:tabs>
        <w:spacing w:line="954" w:lineRule="exact" w:before="105"/>
        <w:ind w:left="-1" w:right="0" w:firstLine="0"/>
        <w:jc w:val="left"/>
        <w:rPr>
          <w:rFonts w:ascii="微软雅黑" w:eastAsia="微软雅黑" w:hint="eastAsia"/>
          <w:b/>
          <w:sz w:val="32"/>
        </w:rPr>
      </w:pPr>
      <w:r>
        <w:rPr>
          <w:rFonts w:ascii="微软雅黑" w:eastAsia="微软雅黑" w:hint="eastAsia"/>
          <w:b/>
          <w:sz w:val="32"/>
        </w:rPr>
        <w:t>长城附加鸿盛提前给付重大疾病保险条款</w:t>
        <w:tab/>
      </w:r>
      <w:r>
        <w:rPr>
          <w:rFonts w:ascii="微软雅黑" w:eastAsia="微软雅黑" w:hint="eastAsia"/>
          <w:b/>
          <w:position w:val="-40"/>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微软雅黑" w:eastAsia="微软雅黑" w:hint="eastAsia"/>
          <w:b/>
          <w:position w:val="-40"/>
          <w:sz w:val="32"/>
        </w:rPr>
      </w:r>
    </w:p>
    <w:p>
      <w:pPr>
        <w:spacing w:line="289" w:lineRule="exact" w:before="0"/>
        <w:ind w:left="2002" w:right="0" w:firstLine="0"/>
        <w:jc w:val="left"/>
        <w:rPr>
          <w:rFonts w:ascii="微软雅黑" w:eastAsia="微软雅黑" w:hint="eastAsia"/>
          <w:b/>
          <w:sz w:val="32"/>
        </w:rPr>
      </w:pPr>
      <w:r>
        <w:rPr>
          <w:rFonts w:ascii="微软雅黑" w:eastAsia="微软雅黑" w:hint="eastAsia"/>
          <w:b/>
          <w:sz w:val="32"/>
        </w:rPr>
        <w:t>阅  读  指 引</w:t>
      </w:r>
    </w:p>
    <w:p>
      <w:pPr>
        <w:spacing w:after="0" w:line="289" w:lineRule="exact"/>
        <w:jc w:val="left"/>
        <w:rPr>
          <w:rFonts w:ascii="微软雅黑" w:eastAsia="微软雅黑" w:hint="eastAsia"/>
          <w:sz w:val="32"/>
        </w:rPr>
        <w:sectPr>
          <w:footerReference w:type="default" r:id="rId5"/>
          <w:type w:val="continuous"/>
          <w:pgSz w:w="11910" w:h="16840"/>
          <w:pgMar w:footer="994" w:top="780" w:bottom="1180" w:left="1020" w:right="700"/>
          <w:pgNumType w:start="1"/>
          <w:cols w:num="2" w:equalWidth="0">
            <w:col w:w="1968" w:space="40"/>
            <w:col w:w="8182"/>
          </w:cols>
        </w:sectPr>
      </w:pPr>
    </w:p>
    <w:p>
      <w:pPr>
        <w:pStyle w:val="BodyText"/>
        <w:spacing w:line="210" w:lineRule="exact" w:before="0"/>
        <w:ind w:right="563"/>
        <w:jc w:val="right"/>
        <w:rPr>
          <w:rFonts w:ascii="仿宋" w:eastAsia="仿宋" w:hint="eastAsia"/>
        </w:rPr>
      </w:pPr>
      <w:r>
        <w:rPr>
          <w:rFonts w:ascii="仿宋" w:eastAsia="仿宋" w:hint="eastAsia"/>
        </w:rPr>
        <w:t>请扫描以查询验证条款</w:t>
      </w:r>
    </w:p>
    <w:p>
      <w:pPr>
        <w:pStyle w:val="BodyText"/>
        <w:spacing w:before="89"/>
        <w:ind w:left="1530"/>
      </w:pPr>
      <w:r>
        <w:rPr/>
        <w:pict>
          <v:group style="position:absolute;margin-left:56.220001pt;margin-top:24.213646pt;width:498.6pt;height:568.2pt;mso-position-horizontal-relative:page;mso-position-vertical-relative:paragraph;z-index:-49792" coordorigin="1124,484" coordsize="9972,11364">
            <v:shape style="position:absolute;left:1262;top:5890;width:10;height:10" type="#_x0000_t75" stroked="false">
              <v:imagedata r:id="rId7" o:title=""/>
            </v:shape>
            <v:shape style="position:absolute;left:1262;top:5890;width:29;height:10" type="#_x0000_t75" stroked="false">
              <v:imagedata r:id="rId8" o:title=""/>
            </v:shape>
            <v:shape style="position:absolute;left:1291;top:5890;width:20;height:10" type="#_x0000_t75" stroked="false">
              <v:imagedata r:id="rId9" o:title=""/>
            </v:shape>
            <v:shape style="position:absolute;left:1310;top:5890;width:20;height:10" type="#_x0000_t75" stroked="false">
              <v:imagedata r:id="rId7" o:title=""/>
            </v:shape>
            <v:shape style="position:absolute;left:1329;top:5890;width:20;height:10" type="#_x0000_t75" stroked="false">
              <v:imagedata r:id="rId9" o:title=""/>
            </v:shape>
            <v:shape style="position:absolute;left:1348;top:5890;width:39;height:10" type="#_x0000_t75" stroked="false">
              <v:imagedata r:id="rId10" o:title=""/>
            </v:shape>
            <v:shape style="position:absolute;left:1387;top:5890;width:20;height:10" type="#_x0000_t75" stroked="false">
              <v:imagedata r:id="rId9" o:title=""/>
            </v:shape>
            <v:shape style="position:absolute;left:1406;top:5890;width:39;height:10" type="#_x0000_t75" stroked="false">
              <v:imagedata r:id="rId10" o:title=""/>
            </v:shape>
            <v:shape style="position:absolute;left:1444;top:5890;width:39;height:10" type="#_x0000_t75" stroked="false">
              <v:imagedata r:id="rId10" o:title=""/>
            </v:shape>
            <v:shape style="position:absolute;left:1483;top:5890;width:39;height:10" type="#_x0000_t75" stroked="false">
              <v:imagedata r:id="rId10" o:title=""/>
            </v:shape>
            <v:shape style="position:absolute;left:1521;top:5890;width:39;height:10" type="#_x0000_t75" stroked="false">
              <v:imagedata r:id="rId10" o:title=""/>
            </v:shape>
            <v:shape style="position:absolute;left:1560;top:5890;width:20;height:10" type="#_x0000_t75" stroked="false">
              <v:imagedata r:id="rId9" o:title=""/>
            </v:shape>
            <v:shape style="position:absolute;left:1579;top:5890;width:39;height:10" type="#_x0000_t75" stroked="false">
              <v:imagedata r:id="rId10" o:title=""/>
            </v:shape>
            <v:shape style="position:absolute;left:1617;top:5890;width:39;height:10" type="#_x0000_t75" stroked="false">
              <v:imagedata r:id="rId10" o:title=""/>
            </v:shape>
            <v:shape style="position:absolute;left:1656;top:5890;width:39;height:10" type="#_x0000_t75" stroked="false">
              <v:imagedata r:id="rId10" o:title=""/>
            </v:shape>
            <v:shape style="position:absolute;left:1694;top:5890;width:39;height:10" type="#_x0000_t75" stroked="false">
              <v:imagedata r:id="rId10" o:title=""/>
            </v:shape>
            <v:shape style="position:absolute;left:1732;top:5890;width:20;height:10" type="#_x0000_t75" stroked="false">
              <v:imagedata r:id="rId9" o:title=""/>
            </v:shape>
            <v:shape style="position:absolute;left:1752;top:5890;width:39;height:10" type="#_x0000_t75" stroked="false">
              <v:imagedata r:id="rId10" o:title=""/>
            </v:shape>
            <v:shape style="position:absolute;left:1790;top:5890;width:20;height:10" type="#_x0000_t75" stroked="false">
              <v:imagedata r:id="rId7" o:title=""/>
            </v:shape>
            <v:shape style="position:absolute;left:1809;top:5890;width:20;height:10" type="#_x0000_t75" stroked="false">
              <v:imagedata r:id="rId9" o:title=""/>
            </v:shape>
            <v:shape style="position:absolute;left:1828;top:5890;width:39;height:10" type="#_x0000_t75" stroked="false">
              <v:imagedata r:id="rId10" o:title=""/>
            </v:shape>
            <v:shape style="position:absolute;left:1867;top:5890;width:20;height:10" type="#_x0000_t75" stroked="false">
              <v:imagedata r:id="rId9" o:title=""/>
            </v:shape>
            <v:shape style="position:absolute;left:1886;top:5890;width:39;height:10" type="#_x0000_t75" stroked="false">
              <v:imagedata r:id="rId10" o:title=""/>
            </v:shape>
            <v:shape style="position:absolute;left:1924;top:5890;width:39;height:10" type="#_x0000_t75" stroked="false">
              <v:imagedata r:id="rId10" o:title=""/>
            </v:shape>
            <v:shape style="position:absolute;left:1963;top:5890;width:39;height:10" type="#_x0000_t75" stroked="false">
              <v:imagedata r:id="rId10" o:title=""/>
            </v:shape>
            <v:shape style="position:absolute;left:2001;top:5890;width:39;height:10" type="#_x0000_t75" stroked="false">
              <v:imagedata r:id="rId10" o:title=""/>
            </v:shape>
            <v:shape style="position:absolute;left:2040;top:5890;width:20;height:10" type="#_x0000_t75" stroked="false">
              <v:imagedata r:id="rId9" o:title=""/>
            </v:shape>
            <v:shape style="position:absolute;left:2059;top:5890;width:39;height:10" type="#_x0000_t75" stroked="false">
              <v:imagedata r:id="rId10" o:title=""/>
            </v:shape>
            <v:shape style="position:absolute;left:2097;top:5890;width:39;height:10" type="#_x0000_t75" stroked="false">
              <v:imagedata r:id="rId10" o:title=""/>
            </v:shape>
            <v:shape style="position:absolute;left:2136;top:5890;width:39;height:10" type="#_x0000_t75" stroked="false">
              <v:imagedata r:id="rId10" o:title=""/>
            </v:shape>
            <v:shape style="position:absolute;left:2174;top:5890;width:39;height:10" type="#_x0000_t75" stroked="false">
              <v:imagedata r:id="rId10" o:title=""/>
            </v:shape>
            <v:shape style="position:absolute;left:2212;top:5890;width:20;height:10" type="#_x0000_t75" stroked="false">
              <v:imagedata r:id="rId9" o:title=""/>
            </v:shape>
            <v:shape style="position:absolute;left:2232;top:5890;width:39;height:10" type="#_x0000_t75" stroked="false">
              <v:imagedata r:id="rId10" o:title=""/>
            </v:shape>
            <v:shape style="position:absolute;left:2270;top:5890;width:20;height:10" type="#_x0000_t75" stroked="false">
              <v:imagedata r:id="rId7" o:title=""/>
            </v:shape>
            <v:shape style="position:absolute;left:2289;top:5890;width:20;height:10" type="#_x0000_t75" stroked="false">
              <v:imagedata r:id="rId9" o:title=""/>
            </v:shape>
            <v:shape style="position:absolute;left:2308;top:5890;width:39;height:10" type="#_x0000_t75" stroked="false">
              <v:imagedata r:id="rId10" o:title=""/>
            </v:shape>
            <v:shape style="position:absolute;left:2347;top:5890;width:20;height:10" type="#_x0000_t75" stroked="false">
              <v:imagedata r:id="rId9" o:title=""/>
            </v:shape>
            <v:shape style="position:absolute;left:2366;top:5890;width:39;height:10" type="#_x0000_t75" stroked="false">
              <v:imagedata r:id="rId10" o:title=""/>
            </v:shape>
            <v:shape style="position:absolute;left:2404;top:5890;width:39;height:10" type="#_x0000_t75" stroked="false">
              <v:imagedata r:id="rId10" o:title=""/>
            </v:shape>
            <v:shape style="position:absolute;left:2443;top:5890;width:39;height:10" type="#_x0000_t75" stroked="false">
              <v:imagedata r:id="rId10" o:title=""/>
            </v:shape>
            <v:shape style="position:absolute;left:2482;top:5890;width:39;height:10" type="#_x0000_t75" stroked="false">
              <v:imagedata r:id="rId10" o:title=""/>
            </v:shape>
            <v:shape style="position:absolute;left:2520;top:5890;width:20;height:10" type="#_x0000_t75" stroked="false">
              <v:imagedata r:id="rId9" o:title=""/>
            </v:shape>
            <v:shape style="position:absolute;left:2539;top:5890;width:20;height:10" type="#_x0000_t75" stroked="false">
              <v:imagedata r:id="rId7" o:title=""/>
            </v:shape>
            <v:shape style="position:absolute;left:2558;top:5890;width:39;height:10" type="#_x0000_t75" stroked="false">
              <v:imagedata r:id="rId10" o:title=""/>
            </v:shape>
            <v:shape style="position:absolute;left:2597;top:5890;width:20;height:10" type="#_x0000_t75" stroked="false">
              <v:imagedata r:id="rId9" o:title=""/>
            </v:shape>
            <v:shape style="position:absolute;left:2616;top:5890;width:39;height:10" type="#_x0000_t75" stroked="false">
              <v:imagedata r:id="rId10" o:title=""/>
            </v:shape>
            <v:shape style="position:absolute;left:2654;top:5890;width:39;height:10" type="#_x0000_t75" stroked="false">
              <v:imagedata r:id="rId10" o:title=""/>
            </v:shape>
            <v:shape style="position:absolute;left:2693;top:5890;width:39;height:10" type="#_x0000_t75" stroked="false">
              <v:imagedata r:id="rId10" o:title=""/>
            </v:shape>
            <v:shape style="position:absolute;left:2731;top:5890;width:39;height:10" type="#_x0000_t75" stroked="false">
              <v:imagedata r:id="rId10" o:title=""/>
            </v:shape>
            <v:shape style="position:absolute;left:2770;top:5890;width:20;height:10" type="#_x0000_t75" stroked="false">
              <v:imagedata r:id="rId9" o:title=""/>
            </v:shape>
            <v:shape style="position:absolute;left:2789;top:5890;width:39;height:10" type="#_x0000_t75" stroked="false">
              <v:imagedata r:id="rId10" o:title=""/>
            </v:shape>
            <v:shape style="position:absolute;left:2827;top:5890;width:39;height:10" type="#_x0000_t75" stroked="false">
              <v:imagedata r:id="rId10" o:title=""/>
            </v:shape>
            <v:shape style="position:absolute;left:2866;top:5890;width:39;height:10" type="#_x0000_t75" stroked="false">
              <v:imagedata r:id="rId10" o:title=""/>
            </v:shape>
            <v:shape style="position:absolute;left:2904;top:5890;width:39;height:10" type="#_x0000_t75" stroked="false">
              <v:imagedata r:id="rId10" o:title=""/>
            </v:shape>
            <v:shape style="position:absolute;left:2942;top:5890;width:20;height:10" type="#_x0000_t75" stroked="false">
              <v:imagedata r:id="rId9" o:title=""/>
            </v:shape>
            <v:shape style="position:absolute;left:2962;top:5890;width:39;height:10" type="#_x0000_t75" stroked="false">
              <v:imagedata r:id="rId10" o:title=""/>
            </v:shape>
            <v:shape style="position:absolute;left:3000;top:5890;width:39;height:10" type="#_x0000_t75" stroked="false">
              <v:imagedata r:id="rId10" o:title=""/>
            </v:shape>
            <v:shape style="position:absolute;left:3038;top:5890;width:39;height:10" type="#_x0000_t75" stroked="false">
              <v:imagedata r:id="rId10" o:title=""/>
            </v:shape>
            <v:shape style="position:absolute;left:3077;top:5890;width:20;height:10" type="#_x0000_t75" stroked="false">
              <v:imagedata r:id="rId9" o:title=""/>
            </v:shape>
            <v:shape style="position:absolute;left:3096;top:5890;width:39;height:10" type="#_x0000_t75" stroked="false">
              <v:imagedata r:id="rId10" o:title=""/>
            </v:shape>
            <v:shape style="position:absolute;left:3134;top:5890;width:39;height:10" type="#_x0000_t75" stroked="false">
              <v:imagedata r:id="rId10" o:title=""/>
            </v:shape>
            <v:shape style="position:absolute;left:3173;top:5890;width:39;height:10" type="#_x0000_t75" stroked="false">
              <v:imagedata r:id="rId10" o:title=""/>
            </v:shape>
            <v:shape style="position:absolute;left:3211;top:5890;width:39;height:10" type="#_x0000_t75" stroked="false">
              <v:imagedata r:id="rId10" o:title=""/>
            </v:shape>
            <v:shape style="position:absolute;left:3250;top:5890;width:20;height:10" type="#_x0000_t75" stroked="false">
              <v:imagedata r:id="rId9" o:title=""/>
            </v:shape>
            <v:shape style="position:absolute;left:3269;top:5890;width:39;height:10" type="#_x0000_t75" stroked="false">
              <v:imagedata r:id="rId10" o:title=""/>
            </v:shape>
            <v:shape style="position:absolute;left:3307;top:5890;width:39;height:10" type="#_x0000_t75" stroked="false">
              <v:imagedata r:id="rId10" o:title=""/>
            </v:shape>
            <v:shape style="position:absolute;left:3346;top:5890;width:39;height:10" type="#_x0000_t75" stroked="false">
              <v:imagedata r:id="rId10" o:title=""/>
            </v:shape>
            <v:shape style="position:absolute;left:3384;top:5890;width:39;height:10" type="#_x0000_t75" stroked="false">
              <v:imagedata r:id="rId10" o:title=""/>
            </v:shape>
            <v:shape style="position:absolute;left:3422;top:5890;width:20;height:10" type="#_x0000_t75" stroked="false">
              <v:imagedata r:id="rId9" o:title=""/>
            </v:shape>
            <v:shape style="position:absolute;left:3442;top:5890;width:39;height:10" type="#_x0000_t75" stroked="false">
              <v:imagedata r:id="rId10" o:title=""/>
            </v:shape>
            <v:shape style="position:absolute;left:3480;top:5890;width:39;height:10" type="#_x0000_t75" stroked="false">
              <v:imagedata r:id="rId10" o:title=""/>
            </v:shape>
            <v:shape style="position:absolute;left:3518;top:5890;width:39;height:10" type="#_x0000_t75" stroked="false">
              <v:imagedata r:id="rId10" o:title=""/>
            </v:shape>
            <v:shape style="position:absolute;left:3557;top:5890;width:20;height:10" type="#_x0000_t75" stroked="false">
              <v:imagedata r:id="rId9" o:title=""/>
            </v:shape>
            <v:shape style="position:absolute;left:3576;top:5890;width:39;height:10" type="#_x0000_t75" stroked="false">
              <v:imagedata r:id="rId10" o:title=""/>
            </v:shape>
            <v:shape style="position:absolute;left:3614;top:5890;width:39;height:10" type="#_x0000_t75" stroked="false">
              <v:imagedata r:id="rId10" o:title=""/>
            </v:shape>
            <v:shape style="position:absolute;left:3653;top:5890;width:39;height:10" type="#_x0000_t75" stroked="false">
              <v:imagedata r:id="rId10" o:title=""/>
            </v:shape>
            <v:shape style="position:absolute;left:3691;top:5890;width:8;height:10" type="#_x0000_t75" stroked="false">
              <v:imagedata r:id="rId11" o:title=""/>
            </v:shape>
            <v:shape style="position:absolute;left:3698;top:5890;width:10;height:10" type="#_x0000_t75" stroked="false">
              <v:imagedata r:id="rId11" o:title=""/>
            </v:shape>
            <v:shape style="position:absolute;left:3708;top:5890;width:20;height:10" type="#_x0000_t75" stroked="false">
              <v:imagedata r:id="rId9" o:title=""/>
            </v:shape>
            <v:shape style="position:absolute;left:3727;top:5890;width:39;height:10" type="#_x0000_t75" stroked="false">
              <v:imagedata r:id="rId10" o:title=""/>
            </v:shape>
            <v:shape style="position:absolute;left:3766;top:5890;width:39;height:10" type="#_x0000_t75" stroked="false">
              <v:imagedata r:id="rId10" o:title=""/>
            </v:shape>
            <v:shape style="position:absolute;left:3804;top:5890;width:39;height:10" type="#_x0000_t75" stroked="false">
              <v:imagedata r:id="rId10" o:title=""/>
            </v:shape>
            <v:shape style="position:absolute;left:3842;top:5890;width:20;height:10" type="#_x0000_t75" stroked="false">
              <v:imagedata r:id="rId9" o:title=""/>
            </v:shape>
            <v:shape style="position:absolute;left:3862;top:5890;width:39;height:10" type="#_x0000_t75" stroked="false">
              <v:imagedata r:id="rId10" o:title=""/>
            </v:shape>
            <v:shape style="position:absolute;left:3900;top:5890;width:39;height:10" type="#_x0000_t75" stroked="false">
              <v:imagedata r:id="rId10" o:title=""/>
            </v:shape>
            <v:shape style="position:absolute;left:3938;top:5890;width:39;height:10" type="#_x0000_t75" stroked="false">
              <v:imagedata r:id="rId10" o:title=""/>
            </v:shape>
            <v:shape style="position:absolute;left:3977;top:5890;width:20;height:10" type="#_x0000_t75" stroked="false">
              <v:imagedata r:id="rId9" o:title=""/>
            </v:shape>
            <v:shape style="position:absolute;left:3996;top:5890;width:39;height:10" type="#_x0000_t75" stroked="false">
              <v:imagedata r:id="rId10" o:title=""/>
            </v:shape>
            <v:shape style="position:absolute;left:4034;top:5890;width:39;height:10" type="#_x0000_t75" stroked="false">
              <v:imagedata r:id="rId10" o:title=""/>
            </v:shape>
            <v:shape style="position:absolute;left:4073;top:5890;width:39;height:10" type="#_x0000_t75" stroked="false">
              <v:imagedata r:id="rId10" o:title=""/>
            </v:shape>
            <v:shape style="position:absolute;left:4111;top:5890;width:39;height:10" type="#_x0000_t75" stroked="false">
              <v:imagedata r:id="rId10" o:title=""/>
            </v:shape>
            <v:shape style="position:absolute;left:4150;top:5890;width:20;height:10" type="#_x0000_t75" stroked="false">
              <v:imagedata r:id="rId9" o:title=""/>
            </v:shape>
            <v:shape style="position:absolute;left:4169;top:5890;width:39;height:10" type="#_x0000_t75" stroked="false">
              <v:imagedata r:id="rId10" o:title=""/>
            </v:shape>
            <v:shape style="position:absolute;left:4207;top:5890;width:39;height:10" type="#_x0000_t75" stroked="false">
              <v:imagedata r:id="rId10" o:title=""/>
            </v:shape>
            <v:shape style="position:absolute;left:4246;top:5890;width:39;height:10" type="#_x0000_t75" stroked="false">
              <v:imagedata r:id="rId10" o:title=""/>
            </v:shape>
            <v:shape style="position:absolute;left:4284;top:5890;width:39;height:10" type="#_x0000_t75" stroked="false">
              <v:imagedata r:id="rId10" o:title=""/>
            </v:shape>
            <v:shape style="position:absolute;left:4322;top:5890;width:20;height:10" type="#_x0000_t75" stroked="false">
              <v:imagedata r:id="rId9" o:title=""/>
            </v:shape>
            <v:shape style="position:absolute;left:4342;top:5890;width:39;height:10" type="#_x0000_t75" stroked="false">
              <v:imagedata r:id="rId10" o:title=""/>
            </v:shape>
            <v:shape style="position:absolute;left:4380;top:5890;width:39;height:10" type="#_x0000_t75" stroked="false">
              <v:imagedata r:id="rId10" o:title=""/>
            </v:shape>
            <v:shape style="position:absolute;left:4418;top:5890;width:39;height:10" type="#_x0000_t75" stroked="false">
              <v:imagedata r:id="rId10" o:title=""/>
            </v:shape>
            <v:shape style="position:absolute;left:4457;top:5890;width:20;height:10" type="#_x0000_t75" stroked="false">
              <v:imagedata r:id="rId9" o:title=""/>
            </v:shape>
            <v:shape style="position:absolute;left:4476;top:5890;width:39;height:10" type="#_x0000_t75" stroked="false">
              <v:imagedata r:id="rId10" o:title=""/>
            </v:shape>
            <v:shape style="position:absolute;left:4514;top:5890;width:39;height:10" type="#_x0000_t75" stroked="false">
              <v:imagedata r:id="rId10" o:title=""/>
            </v:shape>
            <v:shape style="position:absolute;left:4553;top:5890;width:39;height:10" type="#_x0000_t75" stroked="false">
              <v:imagedata r:id="rId10" o:title=""/>
            </v:shape>
            <v:shape style="position:absolute;left:4591;top:5890;width:39;height:10" type="#_x0000_t75" stroked="false">
              <v:imagedata r:id="rId10" o:title=""/>
            </v:shape>
            <v:shape style="position:absolute;left:4630;top:5890;width:20;height:10" type="#_x0000_t75" stroked="false">
              <v:imagedata r:id="rId9" o:title=""/>
            </v:shape>
            <v:shape style="position:absolute;left:4649;top:5890;width:39;height:10" type="#_x0000_t75" stroked="false">
              <v:imagedata r:id="rId10" o:title=""/>
            </v:shape>
            <v:shape style="position:absolute;left:4687;top:5890;width:39;height:10" type="#_x0000_t75" stroked="false">
              <v:imagedata r:id="rId10" o:title=""/>
            </v:shape>
            <v:shape style="position:absolute;left:4726;top:5890;width:39;height:10" type="#_x0000_t75" stroked="false">
              <v:imagedata r:id="rId10" o:title=""/>
            </v:shape>
            <v:shape style="position:absolute;left:4764;top:5890;width:39;height:10" type="#_x0000_t75" stroked="false">
              <v:imagedata r:id="rId10" o:title=""/>
            </v:shape>
            <v:shape style="position:absolute;left:4802;top:5890;width:20;height:10" type="#_x0000_t75" stroked="false">
              <v:imagedata r:id="rId9" o:title=""/>
            </v:shape>
            <v:shape style="position:absolute;left:4822;top:5890;width:39;height:10" type="#_x0000_t75" stroked="false">
              <v:imagedata r:id="rId10" o:title=""/>
            </v:shape>
            <v:shape style="position:absolute;left:4860;top:5890;width:39;height:10" type="#_x0000_t75" stroked="false">
              <v:imagedata r:id="rId10" o:title=""/>
            </v:shape>
            <v:shape style="position:absolute;left:4898;top:5890;width:39;height:10" type="#_x0000_t75" stroked="false">
              <v:imagedata r:id="rId10" o:title=""/>
            </v:shape>
            <v:shape style="position:absolute;left:4937;top:5890;width:20;height:10" type="#_x0000_t75" stroked="false">
              <v:imagedata r:id="rId9" o:title=""/>
            </v:shape>
            <v:shape style="position:absolute;left:4956;top:5890;width:39;height:10" type="#_x0000_t75" stroked="false">
              <v:imagedata r:id="rId10" o:title=""/>
            </v:shape>
            <v:shape style="position:absolute;left:4994;top:5890;width:39;height:10" type="#_x0000_t75" stroked="false">
              <v:imagedata r:id="rId10" o:title=""/>
            </v:shape>
            <v:shape style="position:absolute;left:5033;top:5890;width:39;height:10" type="#_x0000_t75" stroked="false">
              <v:imagedata r:id="rId10" o:title=""/>
            </v:shape>
            <v:shape style="position:absolute;left:5071;top:5890;width:39;height:10" type="#_x0000_t75" stroked="false">
              <v:imagedata r:id="rId10" o:title=""/>
            </v:shape>
            <v:shape style="position:absolute;left:5110;top:5890;width:39;height:10" type="#_x0000_t75" stroked="false">
              <v:imagedata r:id="rId10" o:title=""/>
            </v:shape>
            <v:shape style="position:absolute;left:5148;top:5890;width:77;height:10" type="#_x0000_t75" stroked="false">
              <v:imagedata r:id="rId12" o:title=""/>
            </v:shape>
            <v:shape style="position:absolute;left:5225;top:5890;width:58;height:10" type="#_x0000_t75" stroked="false">
              <v:imagedata r:id="rId13" o:title=""/>
            </v:shape>
            <v:shape style="position:absolute;left:5282;top:5890;width:77;height:10" type="#_x0000_t75" stroked="false">
              <v:imagedata r:id="rId12" o:title=""/>
            </v:shape>
            <v:shape style="position:absolute;left:5359;top:5890;width:77;height:10" type="#_x0000_t75" stroked="false">
              <v:imagedata r:id="rId14" o:title=""/>
            </v:shape>
            <v:shape style="position:absolute;left:5436;top:5890;width:58;height:10" type="#_x0000_t75" stroked="false">
              <v:imagedata r:id="rId15" o:title=""/>
            </v:shape>
            <v:shape style="position:absolute;left:5494;top:5890;width:77;height:10" type="#_x0000_t75" stroked="false">
              <v:imagedata r:id="rId14" o:title=""/>
            </v:shape>
            <v:shape style="position:absolute;left:5570;top:5890;width:58;height:10" type="#_x0000_t75" stroked="false">
              <v:imagedata r:id="rId13" o:title=""/>
            </v:shape>
            <v:shape style="position:absolute;left:5628;top:5890;width:77;height:10" type="#_x0000_t75" stroked="false">
              <v:imagedata r:id="rId12" o:title=""/>
            </v:shape>
            <v:shape style="position:absolute;left:5705;top:5890;width:58;height:10" type="#_x0000_t75" stroked="false">
              <v:imagedata r:id="rId13" o:title=""/>
            </v:shape>
            <v:shape style="position:absolute;left:5762;top:5890;width:77;height:10" type="#_x0000_t75" stroked="false">
              <v:imagedata r:id="rId12" o:title=""/>
            </v:shape>
            <v:shape style="position:absolute;left:5839;top:5890;width:77;height:10" type="#_x0000_t75" stroked="false">
              <v:imagedata r:id="rId14" o:title=""/>
            </v:shape>
            <v:shape style="position:absolute;left:5916;top:5890;width:58;height:10" type="#_x0000_t75" stroked="false">
              <v:imagedata r:id="rId15" o:title=""/>
            </v:shape>
            <v:shape style="position:absolute;left:5974;top:5890;width:77;height:10" type="#_x0000_t75" stroked="false">
              <v:imagedata r:id="rId14" o:title=""/>
            </v:shape>
            <v:shape style="position:absolute;left:6050;top:5890;width:58;height:10" type="#_x0000_t75" stroked="false">
              <v:imagedata r:id="rId13" o:title=""/>
            </v:shape>
            <v:shape style="position:absolute;left:6108;top:5890;width:77;height:10" type="#_x0000_t75" stroked="false">
              <v:imagedata r:id="rId12" o:title=""/>
            </v:shape>
            <v:shape style="position:absolute;left:6185;top:5890;width:58;height:10" type="#_x0000_t75" stroked="false">
              <v:imagedata r:id="rId13" o:title=""/>
            </v:shape>
            <v:shape style="position:absolute;left:6242;top:5890;width:77;height:10" type="#_x0000_t75" stroked="false">
              <v:imagedata r:id="rId12" o:title=""/>
            </v:shape>
            <v:shape style="position:absolute;left:6319;top:5890;width:77;height:10" type="#_x0000_t75" stroked="false">
              <v:imagedata r:id="rId14" o:title=""/>
            </v:shape>
            <v:shape style="position:absolute;left:6396;top:5890;width:58;height:10" type="#_x0000_t75" stroked="false">
              <v:imagedata r:id="rId15" o:title=""/>
            </v:shape>
            <v:shape style="position:absolute;left:6454;top:5890;width:77;height:10" type="#_x0000_t75" stroked="false">
              <v:imagedata r:id="rId14" o:title=""/>
            </v:shape>
            <v:shape style="position:absolute;left:6530;top:5890;width:58;height:10" type="#_x0000_t75" stroked="false">
              <v:imagedata r:id="rId13" o:title=""/>
            </v:shape>
            <v:shape style="position:absolute;left:6588;top:5890;width:77;height:10" type="#_x0000_t75" stroked="false">
              <v:imagedata r:id="rId12" o:title=""/>
            </v:shape>
            <v:shape style="position:absolute;left:6665;top:5890;width:58;height:10" type="#_x0000_t75" stroked="false">
              <v:imagedata r:id="rId13" o:title=""/>
            </v:shape>
            <v:shape style="position:absolute;left:6722;top:5890;width:77;height:10" type="#_x0000_t75" stroked="false">
              <v:imagedata r:id="rId12" o:title=""/>
            </v:shape>
            <v:shape style="position:absolute;left:6799;top:5890;width:77;height:10" type="#_x0000_t75" stroked="false">
              <v:imagedata r:id="rId14" o:title=""/>
            </v:shape>
            <v:shape style="position:absolute;left:6876;top:5890;width:58;height:10" type="#_x0000_t75" stroked="false">
              <v:imagedata r:id="rId15" o:title=""/>
            </v:shape>
            <v:shape style="position:absolute;left:6934;top:5890;width:77;height:10" type="#_x0000_t75" stroked="false">
              <v:imagedata r:id="rId14" o:title=""/>
            </v:shape>
            <v:shape style="position:absolute;left:7010;top:5890;width:34;height:10" type="#_x0000_t75" stroked="false">
              <v:imagedata r:id="rId8" o:title=""/>
            </v:shape>
            <v:shape style="position:absolute;left:7044;top:5890;width:39;height:10" type="#_x0000_t75" stroked="false">
              <v:imagedata r:id="rId10" o:title=""/>
            </v:shape>
            <v:shape style="position:absolute;left:7082;top:5890;width:77;height:10" type="#_x0000_t75" stroked="false">
              <v:imagedata r:id="rId12" o:title=""/>
            </v:shape>
            <v:shape style="position:absolute;left:7159;top:5890;width:77;height:10" type="#_x0000_t75" stroked="false">
              <v:imagedata r:id="rId14" o:title=""/>
            </v:shape>
            <v:shape style="position:absolute;left:7236;top:5890;width:58;height:10" type="#_x0000_t75" stroked="false">
              <v:imagedata r:id="rId15" o:title=""/>
            </v:shape>
            <v:shape style="position:absolute;left:7294;top:5890;width:77;height:10" type="#_x0000_t75" stroked="false">
              <v:imagedata r:id="rId14" o:title=""/>
            </v:shape>
            <v:shape style="position:absolute;left:7370;top:5890;width:39;height:10" type="#_x0000_t75" stroked="false">
              <v:imagedata r:id="rId10" o:title=""/>
            </v:shape>
            <v:shape style="position:absolute;left:7409;top:5890;width:77;height:10" type="#_x0000_t75" stroked="false">
              <v:imagedata r:id="rId14" o:title=""/>
            </v:shape>
            <v:shape style="position:absolute;left:7486;top:5890;width:58;height:10" type="#_x0000_t75" stroked="false">
              <v:imagedata r:id="rId15" o:title=""/>
            </v:shape>
            <v:shape style="position:absolute;left:7544;top:5890;width:77;height:10" type="#_x0000_t75" stroked="false">
              <v:imagedata r:id="rId14" o:title=""/>
            </v:shape>
            <v:shape style="position:absolute;left:7620;top:5890;width:58;height:10" type="#_x0000_t75" stroked="false">
              <v:imagedata r:id="rId15" o:title=""/>
            </v:shape>
            <v:shape style="position:absolute;left:7678;top:5890;width:77;height:10" type="#_x0000_t75" stroked="false">
              <v:imagedata r:id="rId14" o:title=""/>
            </v:shape>
            <v:shape style="position:absolute;left:7755;top:5890;width:58;height:10" type="#_x0000_t75" stroked="false">
              <v:imagedata r:id="rId15" o:title=""/>
            </v:shape>
            <v:shape style="position:absolute;left:7812;top:5890;width:77;height:10" type="#_x0000_t75" stroked="false">
              <v:imagedata r:id="rId14" o:title=""/>
            </v:shape>
            <v:shape style="position:absolute;left:7889;top:5890;width:77;height:10" type="#_x0000_t75" stroked="false">
              <v:imagedata r:id="rId14" o:title=""/>
            </v:shape>
            <v:shape style="position:absolute;left:7966;top:5890;width:58;height:10" type="#_x0000_t75" stroked="false">
              <v:imagedata r:id="rId15" o:title=""/>
            </v:shape>
            <v:shape style="position:absolute;left:8024;top:5890;width:77;height:10" type="#_x0000_t75" stroked="false">
              <v:imagedata r:id="rId14" o:title=""/>
            </v:shape>
            <v:shape style="position:absolute;left:8100;top:5890;width:58;height:10" type="#_x0000_t75" stroked="false">
              <v:imagedata r:id="rId15" o:title=""/>
            </v:shape>
            <v:shape style="position:absolute;left:8158;top:5890;width:77;height:10" type="#_x0000_t75" stroked="false">
              <v:imagedata r:id="rId14" o:title=""/>
            </v:shape>
            <v:shape style="position:absolute;left:8235;top:5890;width:58;height:10" type="#_x0000_t75" stroked="false">
              <v:imagedata r:id="rId15" o:title=""/>
            </v:shape>
            <v:shape style="position:absolute;left:8292;top:5890;width:77;height:10" type="#_x0000_t75" stroked="false">
              <v:imagedata r:id="rId14" o:title=""/>
            </v:shape>
            <v:shape style="position:absolute;left:8369;top:5890;width:77;height:10" type="#_x0000_t75" stroked="false">
              <v:imagedata r:id="rId14" o:title=""/>
            </v:shape>
            <v:shape style="position:absolute;left:8446;top:5890;width:58;height:10" type="#_x0000_t75" stroked="false">
              <v:imagedata r:id="rId15" o:title=""/>
            </v:shape>
            <v:shape style="position:absolute;left:8504;top:5890;width:77;height:10" type="#_x0000_t75" stroked="false">
              <v:imagedata r:id="rId14" o:title=""/>
            </v:shape>
            <v:shape style="position:absolute;left:8580;top:5890;width:58;height:10" type="#_x0000_t75" stroked="false">
              <v:imagedata r:id="rId15" o:title=""/>
            </v:shape>
            <v:shape style="position:absolute;left:8638;top:5890;width:77;height:10" type="#_x0000_t75" stroked="false">
              <v:imagedata r:id="rId14" o:title=""/>
            </v:shape>
            <v:shape style="position:absolute;left:8715;top:5890;width:58;height:10" type="#_x0000_t75" stroked="false">
              <v:imagedata r:id="rId15" o:title=""/>
            </v:shape>
            <v:shape style="position:absolute;left:8772;top:5890;width:77;height:10" type="#_x0000_t75" stroked="false">
              <v:imagedata r:id="rId14" o:title=""/>
            </v:shape>
            <v:shape style="position:absolute;left:8849;top:5890;width:77;height:10" type="#_x0000_t75" stroked="false">
              <v:imagedata r:id="rId14" o:title=""/>
            </v:shape>
            <v:shape style="position:absolute;left:8926;top:5890;width:58;height:10" type="#_x0000_t75" stroked="false">
              <v:imagedata r:id="rId15" o:title=""/>
            </v:shape>
            <v:shape style="position:absolute;left:8984;top:5890;width:77;height:10" type="#_x0000_t75" stroked="false">
              <v:imagedata r:id="rId14" o:title=""/>
            </v:shape>
            <v:shape style="position:absolute;left:9060;top:5890;width:58;height:10" type="#_x0000_t75" stroked="false">
              <v:imagedata r:id="rId15" o:title=""/>
            </v:shape>
            <v:shape style="position:absolute;left:9118;top:5890;width:77;height:10" type="#_x0000_t75" stroked="false">
              <v:imagedata r:id="rId14" o:title=""/>
            </v:shape>
            <v:shape style="position:absolute;left:9195;top:5890;width:58;height:10" type="#_x0000_t75" stroked="false">
              <v:imagedata r:id="rId15" o:title=""/>
            </v:shape>
            <v:shape style="position:absolute;left:9252;top:5890;width:77;height:10" type="#_x0000_t75" stroked="false">
              <v:imagedata r:id="rId14" o:title=""/>
            </v:shape>
            <v:shape style="position:absolute;left:9329;top:5890;width:77;height:10" type="#_x0000_t75" stroked="false">
              <v:imagedata r:id="rId14" o:title=""/>
            </v:shape>
            <v:shape style="position:absolute;left:9406;top:5890;width:58;height:10" type="#_x0000_t75" stroked="false">
              <v:imagedata r:id="rId15" o:title=""/>
            </v:shape>
            <v:shape style="position:absolute;left:9464;top:5890;width:77;height:10" type="#_x0000_t75" stroked="false">
              <v:imagedata r:id="rId14" o:title=""/>
            </v:shape>
            <v:shape style="position:absolute;left:9540;top:5890;width:58;height:10" type="#_x0000_t75" stroked="false">
              <v:imagedata r:id="rId15" o:title=""/>
            </v:shape>
            <v:shape style="position:absolute;left:9598;top:5890;width:77;height:10" type="#_x0000_t75" stroked="false">
              <v:imagedata r:id="rId14" o:title=""/>
            </v:shape>
            <v:shape style="position:absolute;left:9675;top:5890;width:58;height:10" type="#_x0000_t75" stroked="false">
              <v:imagedata r:id="rId15" o:title=""/>
            </v:shape>
            <v:shape style="position:absolute;left:9732;top:5890;width:77;height:10" type="#_x0000_t75" stroked="false">
              <v:imagedata r:id="rId14" o:title=""/>
            </v:shape>
            <v:shape style="position:absolute;left:9809;top:5890;width:77;height:10" type="#_x0000_t75" stroked="false">
              <v:imagedata r:id="rId14" o:title=""/>
            </v:shape>
            <v:shape style="position:absolute;left:9886;top:5890;width:58;height:10" type="#_x0000_t75" stroked="false">
              <v:imagedata r:id="rId15" o:title=""/>
            </v:shape>
            <v:shape style="position:absolute;left:9944;top:5890;width:77;height:10" type="#_x0000_t75" stroked="false">
              <v:imagedata r:id="rId14" o:title=""/>
            </v:shape>
            <v:shape style="position:absolute;left:10020;top:5890;width:58;height:10" type="#_x0000_t75" stroked="false">
              <v:imagedata r:id="rId15" o:title=""/>
            </v:shape>
            <v:shape style="position:absolute;left:10078;top:5890;width:77;height:10" type="#_x0000_t75" stroked="false">
              <v:imagedata r:id="rId14" o:title=""/>
            </v:shape>
            <v:shape style="position:absolute;left:10155;top:5890;width:58;height:10" type="#_x0000_t75" stroked="false">
              <v:imagedata r:id="rId15" o:title=""/>
            </v:shape>
            <v:shape style="position:absolute;left:10212;top:5890;width:58;height:10" type="#_x0000_t75" stroked="false">
              <v:imagedata r:id="rId13" o:title=""/>
            </v:shape>
            <v:shape style="position:absolute;left:10270;top:5890;width:39;height:10" type="#_x0000_t75" stroked="false">
              <v:imagedata r:id="rId16" o:title=""/>
            </v:shape>
            <v:shape style="position:absolute;left:10308;top:5890;width:20;height:10" type="#_x0000_t75" stroked="false">
              <v:imagedata r:id="rId7" o:title=""/>
            </v:shape>
            <v:shape style="position:absolute;left:10328;top:5890;width:39;height:10" type="#_x0000_t75" stroked="false">
              <v:imagedata r:id="rId10" o:title=""/>
            </v:shape>
            <v:shape style="position:absolute;left:10366;top:5890;width:20;height:10" type="#_x0000_t75" stroked="false">
              <v:imagedata r:id="rId9" o:title=""/>
            </v:shape>
            <v:shape style="position:absolute;left:10385;top:5890;width:39;height:10" type="#_x0000_t75" stroked="false">
              <v:imagedata r:id="rId10" o:title=""/>
            </v:shape>
            <v:shape style="position:absolute;left:10424;top:5890;width:39;height:10" type="#_x0000_t75" stroked="false">
              <v:imagedata r:id="rId10" o:title=""/>
            </v:shape>
            <v:shape style="position:absolute;left:10462;top:5890;width:20;height:10" type="#_x0000_t75" stroked="false">
              <v:imagedata r:id="rId9" o:title=""/>
            </v:shape>
            <v:shape style="position:absolute;left:10481;top:5890;width:39;height:10" type="#_x0000_t75" stroked="false">
              <v:imagedata r:id="rId10" o:title=""/>
            </v:shape>
            <v:shape style="position:absolute;left:10520;top:5890;width:20;height:10" type="#_x0000_t75" stroked="false">
              <v:imagedata r:id="rId7" o:title=""/>
            </v:shape>
            <v:shape style="position:absolute;left:10539;top:5890;width:39;height:10" type="#_x0000_t75" stroked="false">
              <v:imagedata r:id="rId10" o:title=""/>
            </v:shape>
            <v:shape style="position:absolute;left:10577;top:5890;width:20;height:10" type="#_x0000_t75" stroked="false">
              <v:imagedata r:id="rId9" o:title=""/>
            </v:shape>
            <v:shape style="position:absolute;left:10596;top:5890;width:39;height:10" type="#_x0000_t75" stroked="false">
              <v:imagedata r:id="rId10" o:title=""/>
            </v:shape>
            <v:shape style="position:absolute;left:10635;top:5890;width:39;height:10" type="#_x0000_t75" stroked="false">
              <v:imagedata r:id="rId10" o:title=""/>
            </v:shape>
            <v:shape style="position:absolute;left:10673;top:5890;width:20;height:10" type="#_x0000_t75" stroked="false">
              <v:imagedata r:id="rId9" o:title=""/>
            </v:shape>
            <v:shape style="position:absolute;left:10692;top:5890;width:39;height:10" type="#_x0000_t75" stroked="false">
              <v:imagedata r:id="rId10" o:title=""/>
            </v:shape>
            <v:shape style="position:absolute;left:10731;top:5890;width:20;height:10" type="#_x0000_t75" stroked="false">
              <v:imagedata r:id="rId7" o:title=""/>
            </v:shape>
            <v:shape style="position:absolute;left:10750;top:5890;width:39;height:10" type="#_x0000_t75" stroked="false">
              <v:imagedata r:id="rId16" o:title=""/>
            </v:shape>
            <v:shape style="position:absolute;left:10788;top:5890;width:20;height:10" type="#_x0000_t75" stroked="false">
              <v:imagedata r:id="rId7" o:title=""/>
            </v:shape>
            <v:shape style="position:absolute;left:10808;top:5890;width:39;height:10" type="#_x0000_t75" stroked="false">
              <v:imagedata r:id="rId10" o:title=""/>
            </v:shape>
            <v:shape style="position:absolute;left:10846;top:5890;width:20;height:10" type="#_x0000_t75" stroked="false">
              <v:imagedata r:id="rId9" o:title=""/>
            </v:shape>
            <v:shape style="position:absolute;left:10865;top:5890;width:39;height:10" type="#_x0000_t75" stroked="false">
              <v:imagedata r:id="rId10" o:title=""/>
            </v:shape>
            <v:shape style="position:absolute;left:10904;top:5890;width:39;height:10" type="#_x0000_t75" stroked="false">
              <v:imagedata r:id="rId10" o:title=""/>
            </v:shape>
            <v:shape style="position:absolute;left:10942;top:5890;width:15;height:10" type="#_x0000_t75" stroked="false">
              <v:imagedata r:id="rId7" o:title=""/>
            </v:shape>
            <v:shape style="position:absolute;left:10947;top:5890;width:10;height:10" type="#_x0000_t75" stroked="false">
              <v:imagedata r:id="rId11" o:title=""/>
            </v:shape>
            <v:shape style="position:absolute;left:10947;top:5900;width:10;height:1245" coordorigin="10947,5900" coordsize="10,1245" path="m10957,7125l10947,7125,10947,7145,10957,7145,10957,7125m10957,7087l10947,7087,10947,7106,10947,7125,10957,7125,10957,7106,10957,7087m10957,7068l10947,7068,10947,7087,10957,7087,10957,7068m10957,7049l10947,7049,10947,7068,10957,7068,10957,7049m10957,7010l10947,7010,10947,7029,10947,7049,10957,7049,10957,7029,10957,7010m10957,6991l10947,6991,10947,7010,10957,7010,10957,6991m10957,6972l10947,6972,10947,6991,10957,6991,10957,6972m10957,6933l10947,6933,10947,6953,10947,6972,10957,6972,10957,6953,10957,6933m10957,6914l10947,6914,10947,6933,10957,6933,10957,6914m10957,6876l10947,6876,10947,6895,10947,6914,10957,6914,10957,6895,10957,6876m10957,6857l10947,6857,10947,6876,10957,6876,10957,6857m10957,6837l10947,6837,10947,6857,10957,6857,10957,6837m10957,6813l10947,6813,10947,6833,10947,6837,10957,6837,10957,6833,10957,6813m10957,6794l10947,6794,10947,6813,10957,6813,10957,6794m10957,6756l10947,6756,10947,6775,10947,6794,10957,6794,10957,6775,10957,6756m10957,6737l10947,6737,10947,6756,10957,6756,10957,6737m10957,6717l10947,6717,10947,6737,10957,6737,10957,6717m10957,6679l10947,6679,10947,6698,10947,6717,10957,6717,10957,6698,10957,6679m10957,6660l10947,6660,10947,6679,10957,6679,10957,6660m10957,6621l10947,6621,10947,6641,10947,6660,10957,6660,10957,6641,10957,6621m10957,6602l10947,6602,10947,6621,10957,6621,10957,6602m10957,6583l10947,6583,10947,6602,10957,6602,10957,6583m10957,6545l10947,6545,10947,6564,10947,6583,10957,6583,10957,6564,10957,6545m10957,6525l10947,6525,10947,6545,10957,6545,10957,6525m10957,6501l10947,6501,10947,6521,10947,6525,10957,6525,10957,6521,10957,6501m10957,6482l10947,6482,10947,6501,10957,6501,10957,6482m10957,6463l10947,6463,10947,6482,10957,6482,10957,6463m10957,6425l10947,6425,10947,6444,10947,6463,10957,6463,10957,6444,10957,6425m10957,6405l10947,6405,10947,6425,10957,6425,10957,6405m10957,6367l10947,6367,10947,6386,10947,6405,10957,6405,10957,6386,10957,6367m10957,6348l10947,6348,10947,6367,10957,6367,10957,6348m10957,6329l10947,6329,10947,6348,10957,6348,10957,6329m10957,6290l10947,6290,10947,6309,10947,6329,10957,6329,10957,6309,10957,6290m10957,6271l10947,6271,10947,6290,10957,6290,10957,6271m10957,6252l10947,6252,10947,6271,10957,6271,10957,6252m10957,6213l10947,6213,10947,6233,10947,6252,10957,6252,10957,6233,10957,6213m10957,6207l10947,6207,10947,6213,10957,6213,10957,6207m10957,6169l10947,6169,10947,6188,10947,6207,10957,6207,10957,6188,10957,6169m10957,6150l10947,6150,10947,6169,10957,6169,10957,6150m10957,6111l10947,6111,10947,6131,10947,6150,10957,6150,10957,6131,10957,6111m10957,6092l10947,6092,10947,6111,10957,6111,10957,6092m10957,6073l10947,6073,10947,6092,10957,6092,10957,6073m10957,6035l10947,6035,10947,6054,10947,6073,10957,6073,10957,6054,10957,6035m10957,6015l10947,6015,10947,6035,10957,6035,10957,6015m10957,5977l10947,5977,10947,5996,10947,6015,10957,6015,10957,5996,10957,5977m10957,5958l10947,5958,10947,5977,10957,5977,10957,5958m10957,5939l10947,5939,10947,5958,10957,5958,10957,5939m10957,5900l10947,5900,10947,5919,10947,5939,10957,5939,10957,5919,10957,5900e" filled="true" fillcolor="#000000" stroked="false">
              <v:path arrowok="t"/>
              <v:fill type="solid"/>
            </v:shape>
            <v:shape style="position:absolute;left:10947;top:7149;width:10;height:308" coordorigin="10947,7149" coordsize="10,308" path="m10957,7437l10947,7437,10947,7457,10957,7457,10957,7437m10957,7399l10947,7399,10947,7418,10947,7437,10957,7437,10957,7418,10957,7399m10957,7380l10947,7380,10947,7399,10957,7399,10957,7380m10957,7341l10947,7341,10947,7361,10947,7380,10957,7380,10957,7361,10957,7341m10957,7322l10947,7322,10947,7341,10957,7341,10957,7322m10957,7303l10947,7303,10947,7322,10957,7322,10957,7303m10957,7265l10947,7265,10947,7284,10947,7303,10957,7303,10957,7284,10957,7265m10957,7245l10947,7245,10947,7265,10957,7265,10957,7245m10957,7207l10947,7207,10947,7226,10947,7245,10957,7245,10957,7226,10957,7207m10957,7188l10947,7188,10947,7207,10957,7207,10957,7188m10957,7169l10947,7169,10947,7188,10957,7188,10957,7169m10957,7149l10947,7149,10947,7169,10957,7169,10957,7149e" filled="true" fillcolor="#000000" stroked="false">
              <v:path arrowok="t"/>
              <v:fill type="solid"/>
            </v:shape>
            <v:shape style="position:absolute;left:10947;top:7461;width:10;height:308" coordorigin="10947,7461" coordsize="10,308" path="m10957,7749l10947,7749,10947,7769,10957,7769,10957,7749m10957,7692l10947,7692,10947,7711,10947,7730,10947,7749,10957,7749,10957,7730,10957,7711,10957,7692m10957,7634l10947,7634,10947,7653,10947,7673,10947,7692,10957,7692,10957,7673,10957,7653,10957,7634m10957,7596l10947,7596,10947,7615,10947,7634,10957,7634,10957,7615,10957,7596m10957,7577l10947,7577,10947,7596,10957,7596,10957,7577m10957,7557l10947,7557,10947,7577,10957,7577,10957,7557m10957,7519l10947,7519,10947,7538,10947,7557,10957,7557,10957,7538,10957,7519m10957,7500l10947,7500,10947,7519,10957,7519,10957,7500m10957,7461l10947,7461,10947,7481,10947,7500,10957,7500,10957,7481,10957,7461e" filled="true" fillcolor="#000000" stroked="false">
              <v:path arrowok="t"/>
              <v:fill type="solid"/>
            </v:shape>
            <v:shape style="position:absolute;left:10947;top:7773;width:10;height:308" coordorigin="10947,7773" coordsize="10,308" path="m10957,8023l10947,8023,10947,8042,10947,8061,10947,8081,10957,8081,10957,8061,10957,8042,10957,8023m10957,7985l10947,7985,10947,8004,10947,8023,10957,8023,10957,8004,10957,7985m10957,7927l10947,7927,10947,7946,10947,7965,10947,7985,10957,7985,10957,7965,10957,7946,10957,7927m10957,7869l10947,7869,10947,7889,10947,7908,10947,7927,10957,7927,10957,7908,10957,7889,10957,7869m10957,7812l10947,7812,10947,7831,10947,7850,10947,7869,10957,7869,10957,7850,10957,7831,10957,7812m10957,7773l10947,7773,10947,7793,10947,7812,10957,7812,10957,7793,10957,7773e" filled="true" fillcolor="#000000" stroked="false">
              <v:path arrowok="t"/>
              <v:fill type="solid"/>
            </v:shape>
            <v:shape style="position:absolute;left:10947;top:8085;width:10;height:308" coordorigin="10947,8085" coordsize="10,308" path="m10957,8354l10947,8354,10947,8373,10947,8393,10957,8393,10957,8373,10957,8354m10957,8316l10947,8316,10947,8335,10947,8354,10957,8354,10957,8335,10957,8316m10957,8258l10947,8258,10947,8277,10947,8297,10947,8316,10957,8316,10957,8297,10957,8277,10957,8258m10957,8201l10947,8201,10947,8220,10947,8239,10947,8258,10957,8258,10957,8239,10957,8220,10957,8201m10957,8143l10947,8143,10947,8162,10947,8181,10947,8201,10957,8201,10957,8181,10957,8162,10957,8143m10957,8105l10947,8105,10947,8124,10947,8143,10957,8143,10957,8124,10957,8105m10957,8085l10947,8085,10947,8105,10957,8105,10957,8085e" filled="true" fillcolor="#000000" stroked="false">
              <v:path arrowok="t"/>
              <v:fill type="solid"/>
            </v:shape>
            <v:shape style="position:absolute;left:10947;top:8397;width:10;height:308" coordorigin="10947,8397" coordsize="10,308" path="m10957,8647l10947,8647,10947,8666,10947,8685,10947,8705,10957,8705,10957,8685,10957,8666,10957,8647m10957,8589l10947,8589,10947,8609,10947,8628,10947,8647,10957,8647,10957,8628,10957,8609,10957,8589m10957,8532l10947,8532,10947,8551,10947,8570,10947,8589,10957,8589,10957,8570,10957,8551,10957,8532m10957,8474l10947,8474,10947,8493,10947,8513,10947,8532,10957,8532,10957,8513,10957,8493,10957,8474m10957,8436l10947,8436,10947,8455,10947,8474,10957,8474,10957,8455,10957,8436m10957,8397l10947,8397,10947,8417,10947,8436,10957,8436,10957,8417,10957,8397e" filled="true" fillcolor="#000000" stroked="false">
              <v:path arrowok="t"/>
              <v:fill type="solid"/>
            </v:shape>
            <v:shape style="position:absolute;left:10947;top:8709;width:10;height:308" coordorigin="10947,8709" coordsize="10,308" path="m10957,8921l10947,8921,10947,8940,10947,8959,10947,8978,10947,8997,10947,9017,10957,9017,10957,8997,10957,8978,10957,8959,10957,8940,10957,8921m10957,8863l10947,8863,10947,8882,10947,8901,10947,8921,10957,8921,10957,8901,10957,8882,10957,8863m10957,8825l10947,8825,10947,8844,10947,8863,10957,8863,10957,8844,10957,8825m10957,8767l10947,8767,10947,8786,10947,8805,10947,8825,10957,8825,10957,8805,10957,8786,10957,8767m10957,8709l10947,8709,10947,8729,10947,8748,10947,8767,10957,8767,10957,8748,10957,8729,10957,8709e" filled="true" fillcolor="#000000" stroked="false">
              <v:path arrowok="t"/>
              <v:fill type="solid"/>
            </v:shape>
            <v:shape style="position:absolute;left:10947;top:9021;width:10;height:308" coordorigin="10947,9021" coordsize="10,308" path="m10957,9309l10947,9309,10947,9329,10957,9329,10957,9309m10957,9252l10947,9252,10947,9271,10947,9290,10947,9309,10957,9309,10957,9290,10957,9271,10957,9252m10957,9194l10947,9194,10947,9213,10947,9233,10947,9252,10957,9252,10957,9233,10957,9213,10957,9194m10957,9156l10947,9156,10947,9175,10947,9194,10957,9194,10957,9175,10957,9156m10957,9098l10947,9098,10947,9117,10947,9137,10947,9156,10957,9156,10957,9137,10957,9117,10957,9098m10957,9021l10947,9021,10947,9041,10947,9060,10947,9079,10947,9098,10957,9098,10957,9079,10957,9060,10957,9041,10957,9021e" filled="true" fillcolor="#000000" stroked="false">
              <v:path arrowok="t"/>
              <v:fill type="solid"/>
            </v:shape>
            <v:shape style="position:absolute;left:10947;top:9333;width:10;height:308" coordorigin="10947,9333" coordsize="10,308" path="m10957,9583l10947,9583,10947,9602,10947,9621,10947,9641,10957,9641,10957,9621,10957,9602,10957,9583m10957,9545l10947,9545,10947,9564,10947,9583,10957,9583,10957,9564,10957,9545m10957,9487l10947,9487,10947,9506,10947,9525,10947,9545,10957,9545,10957,9525,10957,9506,10957,9487m10957,9429l10947,9429,10947,9449,10947,9468,10947,9487,10957,9487,10957,9468,10957,9449,10957,9429m10957,9372l10947,9372,10947,9391,10947,9410,10947,9429,10957,9429,10957,9410,10957,9391,10957,9372m10957,9333l10947,9333,10947,9353,10947,9372,10957,9372,10957,9353,10957,9333e" filled="true" fillcolor="#000000" stroked="false">
              <v:path arrowok="t"/>
              <v:fill type="solid"/>
            </v:shape>
            <v:shape style="position:absolute;left:10947;top:9645;width:10;height:308" coordorigin="10947,9645" coordsize="10,308" path="m10957,9914l10947,9914,10947,9933,10947,9953,10957,9953,10957,9933,10957,9914m10957,9876l10947,9876,10947,9895,10947,9914,10957,9914,10957,9895,10957,9876m10957,9818l10947,9818,10947,9837,10947,9857,10947,9876,10957,9876,10957,9857,10957,9837,10957,9818m10957,9761l10947,9761,10947,9780,10947,9799,10947,9818,10957,9818,10957,9799,10957,9780,10957,9761m10957,9703l10947,9703,10947,9722,10947,9741,10947,9761,10957,9761,10957,9741,10957,9722,10957,9703m10957,9665l10947,9665,10947,9684,10947,9703,10957,9703,10957,9684,10957,9665m10957,9645l10947,9645,10947,9665,10957,9665,10957,9645e" filled="true" fillcolor="#000000" stroked="false">
              <v:path arrowok="t"/>
              <v:fill type="solid"/>
            </v:shape>
            <v:shape style="position:absolute;left:10947;top:9957;width:10;height:308" coordorigin="10947,9957" coordsize="10,308" path="m10957,10207l10947,10207,10947,10226,10947,10245,10947,10265,10957,10265,10957,10245,10957,10226,10957,10207m10957,10149l10947,10149,10947,10169,10947,10188,10947,10207,10957,10207,10957,10188,10957,10169,10957,10149m10957,10092l10947,10092,10947,10111,10947,10130,10947,10149,10957,10149,10957,10130,10957,10111,10957,10092m10957,10034l10947,10034,10947,10053,10947,10073,10947,10092,10957,10092,10957,10073,10957,10053,10957,10034m10957,9996l10947,9996,10947,10015,10947,10034,10957,10034,10957,10015,10957,9996m10957,9957l10947,9957,10947,9977,10947,9996,10957,9996,10957,9977,10957,9957e" filled="true" fillcolor="#000000" stroked="false">
              <v:path arrowok="t"/>
              <v:fill type="solid"/>
            </v:shape>
            <v:shape style="position:absolute;left:10947;top:10269;width:10;height:308" coordorigin="10947,10269" coordsize="10,308" path="m10957,10538l10947,10538,10947,10557,10947,10577,10957,10577,10957,10557,10957,10538m10957,10481l10947,10481,10947,10500,10947,10519,10947,10538,10957,10538,10957,10519,10957,10500,10957,10481m10957,10423l10947,10423,10947,10442,10947,10461,10947,10481,10957,10481,10957,10461,10957,10442,10957,10423m10957,10385l10947,10385,10947,10404,10947,10423,10957,10423,10957,10404,10957,10385m10957,10327l10947,10327,10947,10346,10947,10365,10947,10385,10957,10385,10957,10365,10957,10346,10957,10327m10957,10269l10947,10269,10947,10289,10947,10308,10947,10327,10957,10327,10957,10308,10957,10289,10957,10269e" filled="true" fillcolor="#000000" stroked="false">
              <v:path arrowok="t"/>
              <v:fill type="solid"/>
            </v:shape>
            <v:shape style="position:absolute;left:10947;top:10581;width:10;height:308" coordorigin="10947,10581" coordsize="10,308" path="m10957,10869l10947,10869,10947,10889,10957,10889,10957,10869m10957,10812l10947,10812,10947,10831,10947,10850,10947,10869,10957,10869,10957,10850,10957,10831,10957,10812m10957,10754l10947,10754,10947,10773,10947,10793,10947,10812,10957,10812,10957,10793,10957,10773,10957,10754m10957,10716l10947,10716,10947,10735,10947,10754,10957,10754,10957,10735,10957,10716m10957,10658l10947,10658,10947,10677,10947,10697,10947,10716,10957,10716,10957,10697,10957,10677,10957,10658m10957,10601l10947,10601,10947,10620,10947,10639,10947,10658,10957,10658,10957,10639,10957,10620,10957,10601m10957,10581l10947,10581,10947,10601,10957,10601,10957,10581e" filled="true" fillcolor="#000000" stroked="false">
              <v:path arrowok="t"/>
              <v:fill type="solid"/>
            </v:shape>
            <v:shape style="position:absolute;left:10947;top:10893;width:10;height:308" coordorigin="10947,10893" coordsize="10,308" path="m10957,11143l10947,11143,10947,11162,10947,11181,10947,11201,10957,11201,10957,11181,10957,11162,10957,11143m10957,11105l10947,11105,10947,11124,10947,11143,10957,11143,10957,11124,10957,11105m10957,11047l10947,11047,10947,11066,10947,11085,10947,11105,10957,11105,10957,11085,10957,11066,10957,11047m10957,10989l10947,10989,10947,11009,10947,11028,10947,11047,10957,11047,10957,11028,10957,11009,10957,10989m10957,10932l10947,10932,10947,10951,10947,10970,10947,10989,10957,10989,10957,10970,10957,10951,10957,10932m10957,10893l10947,10893,10947,10913,10947,10932,10957,10932,10957,10913,10957,10893e" filled="true" fillcolor="#000000" stroked="false">
              <v:path arrowok="t"/>
              <v:fill type="solid"/>
            </v:shape>
            <v:shape style="position:absolute;left:10947;top:11205;width:10;height:308" coordorigin="10947,11205" coordsize="10,308" path="m10957,11475l10947,11475,10947,11494,10947,11513,10957,11513,10957,11494,10957,11475m10957,11417l10947,11417,10947,11436,10947,11455,10947,11475,10957,11475,10957,11455,10957,11436,10957,11417m10957,11378l10947,11378,10947,11398,10947,11417,10957,11417,10957,11398,10957,11378m10957,11321l10947,11321,10947,11340,10947,11359,10947,11378,10957,11378,10957,11359,10957,11340,10957,11321m10957,11263l10947,11263,10947,11282,10947,11301,10947,11321,10957,11321,10957,11301,10957,11282,10957,11263m10957,11225l10947,11225,10947,11244,10947,11263,10957,11263,10957,11244,10957,11225m10957,11205l10947,11205,10947,11225,10957,11225,10957,11205e" filled="true" fillcolor="#000000" stroked="false">
              <v:path arrowok="t"/>
              <v:fill type="solid"/>
            </v:shape>
            <v:shape style="position:absolute;left:1262;top:11513;width:10;height:15" type="#_x0000_t75" stroked="false">
              <v:imagedata r:id="rId17" o:title=""/>
            </v:shape>
            <v:shape style="position:absolute;left:1272;top:11513;width:9685;height:15" type="#_x0000_t75" stroked="false">
              <v:imagedata r:id="rId18" o:title=""/>
            </v:shape>
            <v:rect style="position:absolute;left:10947;top:11517;width:10;height:10" filled="true" fillcolor="#000000" stroked="false">
              <v:fill type="solid"/>
            </v:rect>
            <v:shape style="position:absolute;left:1124;top:484;width:9972;height:11364" type="#_x0000_t75" stroked="false">
              <v:imagedata r:id="rId19" o:title=""/>
            </v:shape>
            <w10:wrap type="none"/>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6"/>
        <w:rPr>
          <w:sz w:val="19"/>
        </w:rPr>
      </w:pPr>
    </w:p>
    <w:p>
      <w:pPr>
        <w:spacing w:before="0"/>
        <w:ind w:left="242" w:right="0" w:firstLine="0"/>
        <w:jc w:val="left"/>
        <w:rPr>
          <w:b/>
          <w:sz w:val="21"/>
        </w:rPr>
      </w:pPr>
      <w:r>
        <w:rPr>
          <w:rFonts w:ascii="Wingdings" w:hAnsi="Wingdings" w:eastAsia="Wingdings"/>
          <w:b/>
          <w:sz w:val="32"/>
        </w:rPr>
        <w:t></w:t>
      </w:r>
      <w:r>
        <w:rPr>
          <w:rFonts w:ascii="Times New Roman" w:hAnsi="Times New Roman" w:eastAsia="Times New Roman"/>
          <w:b/>
          <w:spacing w:val="78"/>
          <w:sz w:val="32"/>
        </w:rPr>
        <w:t> </w:t>
      </w:r>
      <w:r>
        <w:rPr>
          <w:b/>
          <w:sz w:val="21"/>
        </w:rPr>
        <w:t>您拥有的重要权益</w:t>
      </w:r>
    </w:p>
    <w:p>
      <w:pPr>
        <w:pStyle w:val="ListParagraph"/>
        <w:numPr>
          <w:ilvl w:val="0"/>
          <w:numId w:val="1"/>
        </w:numPr>
        <w:tabs>
          <w:tab w:pos="1064" w:val="left" w:leader="none"/>
          <w:tab w:pos="1065" w:val="left" w:leader="none"/>
          <w:tab w:pos="9566" w:val="right" w:leader="dot"/>
        </w:tabs>
        <w:spacing w:line="240" w:lineRule="auto" w:before="169" w:after="0"/>
        <w:ind w:left="1064" w:right="0" w:hanging="400"/>
        <w:jc w:val="left"/>
        <w:rPr>
          <w:sz w:val="21"/>
        </w:rPr>
      </w:pPr>
      <w:r>
        <w:rPr>
          <w:sz w:val="21"/>
        </w:rPr>
        <w:t>收到保险单后</w:t>
      </w:r>
      <w:r>
        <w:rPr>
          <w:spacing w:val="-53"/>
          <w:sz w:val="21"/>
        </w:rPr>
        <w:t> </w:t>
      </w:r>
      <w:r>
        <w:rPr>
          <w:sz w:val="21"/>
        </w:rPr>
        <w:t>10</w:t>
      </w:r>
      <w:r>
        <w:rPr>
          <w:spacing w:val="-53"/>
          <w:sz w:val="21"/>
        </w:rPr>
        <w:t> </w:t>
      </w:r>
      <w:r>
        <w:rPr>
          <w:sz w:val="21"/>
        </w:rPr>
        <w:t>日内您可以要求退还保险费</w:t>
        <w:tab/>
        <w:t>1.4</w:t>
      </w:r>
    </w:p>
    <w:p>
      <w:pPr>
        <w:pStyle w:val="ListParagraph"/>
        <w:numPr>
          <w:ilvl w:val="0"/>
          <w:numId w:val="1"/>
        </w:numPr>
        <w:tabs>
          <w:tab w:pos="1064" w:val="left" w:leader="none"/>
          <w:tab w:pos="1065" w:val="left" w:leader="none"/>
          <w:tab w:pos="9566" w:val="right" w:leader="dot"/>
        </w:tabs>
        <w:spacing w:line="240" w:lineRule="auto" w:before="31" w:after="0"/>
        <w:ind w:left="1064" w:right="0" w:hanging="400"/>
        <w:jc w:val="left"/>
        <w:rPr>
          <w:sz w:val="21"/>
        </w:rPr>
      </w:pPr>
      <w:r>
        <w:rPr>
          <w:sz w:val="21"/>
        </w:rPr>
        <w:t>被保险人可以享受本附加险合同提供的保障</w:t>
        <w:tab/>
        <w:t>2.1</w:t>
      </w:r>
    </w:p>
    <w:p>
      <w:pPr>
        <w:pStyle w:val="ListParagraph"/>
        <w:numPr>
          <w:ilvl w:val="0"/>
          <w:numId w:val="1"/>
        </w:numPr>
        <w:tabs>
          <w:tab w:pos="1084" w:val="left" w:leader="none"/>
          <w:tab w:pos="1085" w:val="left" w:leader="none"/>
          <w:tab w:pos="9586" w:val="right" w:leader="dot"/>
        </w:tabs>
        <w:spacing w:line="240" w:lineRule="auto" w:before="31" w:after="0"/>
        <w:ind w:left="1084" w:right="0" w:hanging="420"/>
        <w:jc w:val="left"/>
        <w:rPr>
          <w:sz w:val="21"/>
        </w:rPr>
      </w:pPr>
      <w:r>
        <w:rPr>
          <w:sz w:val="21"/>
        </w:rPr>
        <w:t>您有退保的权利</w:t>
        <w:tab/>
        <w:t>7.1</w:t>
      </w:r>
    </w:p>
    <w:p>
      <w:pPr>
        <w:spacing w:before="16"/>
        <w:ind w:left="242"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84" w:val="left" w:leader="none"/>
          <w:tab w:pos="1085" w:val="left" w:leader="none"/>
          <w:tab w:pos="9588" w:val="right" w:leader="dot"/>
        </w:tabs>
        <w:spacing w:line="240" w:lineRule="auto" w:before="169" w:after="0"/>
        <w:ind w:left="1084" w:right="0" w:hanging="420"/>
        <w:jc w:val="left"/>
        <w:rPr>
          <w:sz w:val="21"/>
        </w:rPr>
      </w:pPr>
      <w:r>
        <w:rPr>
          <w:sz w:val="21"/>
        </w:rPr>
        <w:t>在某些情况下，我们不承担保险责任</w:t>
        <w:tab/>
        <w:t>2.3</w:t>
      </w:r>
    </w:p>
    <w:p>
      <w:pPr>
        <w:pStyle w:val="ListParagraph"/>
        <w:numPr>
          <w:ilvl w:val="0"/>
          <w:numId w:val="1"/>
        </w:numPr>
        <w:tabs>
          <w:tab w:pos="1064" w:val="left" w:leader="none"/>
          <w:tab w:pos="1065" w:val="left" w:leader="none"/>
          <w:tab w:pos="9566" w:val="right" w:leader="dot"/>
        </w:tabs>
        <w:spacing w:line="240" w:lineRule="auto" w:before="30" w:after="0"/>
        <w:ind w:left="1064" w:right="0" w:hanging="400"/>
        <w:jc w:val="left"/>
        <w:rPr>
          <w:sz w:val="21"/>
        </w:rPr>
      </w:pPr>
      <w:r>
        <w:rPr>
          <w:sz w:val="21"/>
        </w:rPr>
        <w:t>您有及时向我们通知保险事故的责任</w:t>
        <w:tab/>
        <w:t>3.2</w:t>
      </w:r>
    </w:p>
    <w:p>
      <w:pPr>
        <w:pStyle w:val="ListParagraph"/>
        <w:numPr>
          <w:ilvl w:val="0"/>
          <w:numId w:val="1"/>
        </w:numPr>
        <w:tabs>
          <w:tab w:pos="1064" w:val="left" w:leader="none"/>
          <w:tab w:pos="1065" w:val="left" w:leader="none"/>
          <w:tab w:pos="9567" w:val="right" w:leader="dot"/>
        </w:tabs>
        <w:spacing w:line="240" w:lineRule="auto" w:before="29" w:after="0"/>
        <w:ind w:left="1064" w:right="0" w:hanging="400"/>
        <w:jc w:val="left"/>
        <w:rPr>
          <w:sz w:val="21"/>
        </w:rPr>
      </w:pPr>
      <w:r>
        <w:rPr>
          <w:sz w:val="21"/>
        </w:rPr>
        <w:t>您应当按时交纳保险费</w:t>
        <w:tab/>
        <w:t>4.1</w:t>
      </w:r>
    </w:p>
    <w:p>
      <w:pPr>
        <w:pStyle w:val="ListParagraph"/>
        <w:numPr>
          <w:ilvl w:val="0"/>
          <w:numId w:val="1"/>
        </w:numPr>
        <w:tabs>
          <w:tab w:pos="1064" w:val="left" w:leader="none"/>
          <w:tab w:pos="1065" w:val="left" w:leader="none"/>
          <w:tab w:pos="9566" w:val="right" w:leader="dot"/>
        </w:tabs>
        <w:spacing w:line="240" w:lineRule="auto" w:before="30" w:after="0"/>
        <w:ind w:left="1064" w:right="0" w:hanging="400"/>
        <w:jc w:val="left"/>
        <w:rPr>
          <w:sz w:val="21"/>
        </w:rPr>
      </w:pPr>
      <w:r>
        <w:rPr>
          <w:sz w:val="21"/>
        </w:rPr>
        <w:t>退保会给您造成一定的损失，请您慎重决策</w:t>
        <w:tab/>
        <w:t>7.1</w:t>
      </w:r>
    </w:p>
    <w:p>
      <w:pPr>
        <w:pStyle w:val="ListParagraph"/>
        <w:numPr>
          <w:ilvl w:val="0"/>
          <w:numId w:val="1"/>
        </w:numPr>
        <w:tabs>
          <w:tab w:pos="1064" w:val="left" w:leader="none"/>
          <w:tab w:pos="1065" w:val="left" w:leader="none"/>
          <w:tab w:pos="9566" w:val="right" w:leader="dot"/>
        </w:tabs>
        <w:spacing w:line="240" w:lineRule="auto" w:before="30" w:after="0"/>
        <w:ind w:left="1064" w:right="0" w:hanging="400"/>
        <w:jc w:val="left"/>
        <w:rPr>
          <w:sz w:val="21"/>
        </w:rPr>
      </w:pPr>
      <w:r>
        <w:rPr>
          <w:sz w:val="21"/>
        </w:rPr>
        <w:t>您有如实告知的义务</w:t>
        <w:tab/>
        <w:t>8.1</w:t>
      </w:r>
    </w:p>
    <w:p>
      <w:pPr>
        <w:pStyle w:val="ListParagraph"/>
        <w:numPr>
          <w:ilvl w:val="0"/>
          <w:numId w:val="1"/>
        </w:numPr>
        <w:tabs>
          <w:tab w:pos="1084" w:val="left" w:leader="none"/>
          <w:tab w:pos="1085" w:val="left" w:leader="none"/>
          <w:tab w:pos="9379" w:val="right" w:leader="dot"/>
        </w:tabs>
        <w:spacing w:line="240" w:lineRule="auto" w:before="29" w:after="0"/>
        <w:ind w:left="1084" w:right="0" w:hanging="420"/>
        <w:jc w:val="left"/>
        <w:rPr>
          <w:sz w:val="21"/>
        </w:rPr>
      </w:pPr>
      <w:r>
        <w:rPr>
          <w:sz w:val="21"/>
        </w:rPr>
        <w:t>我们对一些重要术语进行了解释，并作了显著标识，请您注意</w:t>
        <w:tab/>
        <w:t>9</w:t>
      </w:r>
    </w:p>
    <w:p>
      <w:pPr>
        <w:pStyle w:val="ListParagraph"/>
        <w:numPr>
          <w:ilvl w:val="0"/>
          <w:numId w:val="1"/>
        </w:numPr>
        <w:tabs>
          <w:tab w:pos="1084" w:val="left" w:leader="none"/>
          <w:tab w:pos="1085" w:val="left" w:leader="none"/>
          <w:tab w:pos="9588" w:val="right" w:leader="dot"/>
        </w:tabs>
        <w:spacing w:line="240" w:lineRule="auto" w:before="30" w:after="0"/>
        <w:ind w:left="1084" w:right="0" w:hanging="420"/>
        <w:jc w:val="left"/>
        <w:rPr>
          <w:sz w:val="21"/>
        </w:rPr>
      </w:pPr>
      <w:r>
        <w:rPr>
          <w:sz w:val="21"/>
        </w:rPr>
        <w:t>保险条款有关于重大疾病的释义，请您留意</w:t>
        <w:tab/>
        <w:t>9.3</w:t>
      </w:r>
    </w:p>
    <w:p>
      <w:pPr>
        <w:spacing w:before="17"/>
        <w:ind w:left="242" w:right="0" w:firstLine="0"/>
        <w:jc w:val="left"/>
        <w:rPr>
          <w:b/>
          <w:sz w:val="21"/>
        </w:rPr>
      </w:pPr>
      <w:r>
        <w:rPr>
          <w:rFonts w:ascii="Wingdings" w:hAnsi="Wingdings" w:eastAsia="Wingdings"/>
          <w:b/>
          <w:sz w:val="32"/>
        </w:rPr>
        <w:t></w:t>
      </w:r>
      <w:r>
        <w:rPr>
          <w:rFonts w:ascii="Times New Roman" w:hAnsi="Times New Roman" w:eastAsia="Times New Roman"/>
          <w:b/>
          <w:spacing w:val="73"/>
          <w:sz w:val="32"/>
        </w:rPr>
        <w:t> </w:t>
      </w:r>
      <w:r>
        <w:rPr>
          <w:b/>
          <w:sz w:val="21"/>
        </w:rPr>
        <w:t>条款是保险合同的重要内容，为充分保障您的权益，请您仔细阅读本条款。</w:t>
      </w:r>
    </w:p>
    <w:p>
      <w:pPr>
        <w:spacing w:before="0"/>
        <w:ind w:left="242" w:right="0" w:firstLine="0"/>
        <w:jc w:val="left"/>
        <w:rPr>
          <w:b/>
          <w:sz w:val="21"/>
        </w:rPr>
      </w:pPr>
      <w:r>
        <w:rPr>
          <w:rFonts w:ascii="Wingdings" w:hAnsi="Wingdings" w:eastAsia="Wingdings"/>
          <w:b/>
          <w:sz w:val="32"/>
        </w:rPr>
        <w:t></w:t>
      </w:r>
      <w:r>
        <w:rPr>
          <w:rFonts w:ascii="Times New Roman" w:hAnsi="Times New Roman" w:eastAsia="Times New Roman"/>
          <w:b/>
          <w:spacing w:val="77"/>
          <w:sz w:val="32"/>
        </w:rPr>
        <w:t> </w:t>
      </w:r>
      <w:r>
        <w:rPr>
          <w:b/>
          <w:sz w:val="21"/>
        </w:rPr>
        <w:t>条款目录</w:t>
      </w:r>
    </w:p>
    <w:p>
      <w:pPr>
        <w:pStyle w:val="BodyText"/>
        <w:spacing w:before="5"/>
        <w:rPr>
          <w:b/>
          <w:sz w:val="20"/>
        </w:rPr>
      </w:pPr>
    </w:p>
    <w:tbl>
      <w:tblPr>
        <w:tblW w:w="0" w:type="auto"/>
        <w:jc w:val="left"/>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3352"/>
        <w:gridCol w:w="4038"/>
      </w:tblGrid>
      <w:tr>
        <w:trPr>
          <w:trHeight w:val="312" w:hRule="atLeast"/>
        </w:trPr>
        <w:tc>
          <w:tcPr>
            <w:tcW w:w="2431" w:type="dxa"/>
            <w:tcBorders>
              <w:left w:val="single" w:sz="4" w:space="0" w:color="000000"/>
            </w:tcBorders>
          </w:tcPr>
          <w:p>
            <w:pPr>
              <w:pStyle w:val="TableParagraph"/>
              <w:spacing w:line="261" w:lineRule="exact"/>
              <w:ind w:left="108"/>
              <w:rPr>
                <w:b/>
                <w:sz w:val="21"/>
              </w:rPr>
            </w:pPr>
            <w:r>
              <w:rPr>
                <w:b/>
                <w:w w:val="95"/>
                <w:sz w:val="21"/>
              </w:rPr>
              <w:t>1．您与我们的合同</w:t>
            </w:r>
          </w:p>
        </w:tc>
        <w:tc>
          <w:tcPr>
            <w:tcW w:w="3352" w:type="dxa"/>
          </w:tcPr>
          <w:p>
            <w:pPr>
              <w:pStyle w:val="TableParagraph"/>
              <w:spacing w:line="261" w:lineRule="exact"/>
              <w:ind w:left="323"/>
              <w:rPr>
                <w:sz w:val="21"/>
              </w:rPr>
            </w:pPr>
            <w:r>
              <w:rPr>
                <w:sz w:val="21"/>
              </w:rPr>
              <w:t>4.2 宽限期</w:t>
            </w:r>
          </w:p>
        </w:tc>
        <w:tc>
          <w:tcPr>
            <w:tcW w:w="4038" w:type="dxa"/>
          </w:tcPr>
          <w:p>
            <w:pPr>
              <w:pStyle w:val="TableParagraph"/>
              <w:spacing w:line="261" w:lineRule="exact"/>
              <w:ind w:left="307"/>
              <w:rPr>
                <w:sz w:val="21"/>
              </w:rPr>
            </w:pPr>
            <w:r>
              <w:rPr>
                <w:sz w:val="21"/>
              </w:rPr>
              <w:t>9.2 有效身份证件</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1.1 合同订立</w:t>
            </w:r>
          </w:p>
        </w:tc>
        <w:tc>
          <w:tcPr>
            <w:tcW w:w="3352" w:type="dxa"/>
          </w:tcPr>
          <w:p>
            <w:pPr>
              <w:pStyle w:val="TableParagraph"/>
              <w:spacing w:line="261" w:lineRule="exact"/>
              <w:ind w:left="113"/>
              <w:rPr>
                <w:b/>
                <w:sz w:val="21"/>
              </w:rPr>
            </w:pPr>
            <w:r>
              <w:rPr>
                <w:b/>
                <w:w w:val="95"/>
                <w:sz w:val="21"/>
              </w:rPr>
              <w:t>5．现金价值权益</w:t>
            </w:r>
          </w:p>
        </w:tc>
        <w:tc>
          <w:tcPr>
            <w:tcW w:w="4038" w:type="dxa"/>
          </w:tcPr>
          <w:p>
            <w:pPr>
              <w:pStyle w:val="TableParagraph"/>
              <w:spacing w:line="261" w:lineRule="exact"/>
              <w:ind w:left="307"/>
              <w:rPr>
                <w:sz w:val="21"/>
              </w:rPr>
            </w:pPr>
            <w:r>
              <w:rPr>
                <w:sz w:val="21"/>
              </w:rPr>
              <w:t>9.3 重大疾病</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1.2 合同成立与生效</w:t>
            </w:r>
          </w:p>
        </w:tc>
        <w:tc>
          <w:tcPr>
            <w:tcW w:w="3352" w:type="dxa"/>
          </w:tcPr>
          <w:p>
            <w:pPr>
              <w:pStyle w:val="TableParagraph"/>
              <w:spacing w:line="261" w:lineRule="exact"/>
              <w:ind w:left="323"/>
              <w:rPr>
                <w:sz w:val="21"/>
              </w:rPr>
            </w:pPr>
            <w:r>
              <w:rPr>
                <w:sz w:val="21"/>
              </w:rPr>
              <w:t>5.1 现金价值</w:t>
            </w:r>
          </w:p>
        </w:tc>
        <w:tc>
          <w:tcPr>
            <w:tcW w:w="4038" w:type="dxa"/>
          </w:tcPr>
          <w:p>
            <w:pPr>
              <w:pStyle w:val="TableParagraph"/>
              <w:spacing w:line="261" w:lineRule="exact"/>
              <w:ind w:left="307"/>
              <w:rPr>
                <w:sz w:val="21"/>
              </w:rPr>
            </w:pPr>
            <w:r>
              <w:rPr>
                <w:sz w:val="21"/>
              </w:rPr>
              <w:t>9.4 意外伤害</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1.3 投保年龄</w:t>
            </w:r>
          </w:p>
        </w:tc>
        <w:tc>
          <w:tcPr>
            <w:tcW w:w="3352" w:type="dxa"/>
          </w:tcPr>
          <w:p>
            <w:pPr>
              <w:pStyle w:val="TableParagraph"/>
              <w:spacing w:line="261" w:lineRule="exact"/>
              <w:ind w:left="323"/>
              <w:rPr>
                <w:sz w:val="21"/>
              </w:rPr>
            </w:pPr>
            <w:r>
              <w:rPr>
                <w:sz w:val="21"/>
              </w:rPr>
              <w:t>5.2 保险单借款</w:t>
            </w:r>
          </w:p>
        </w:tc>
        <w:tc>
          <w:tcPr>
            <w:tcW w:w="4038" w:type="dxa"/>
          </w:tcPr>
          <w:p>
            <w:pPr>
              <w:pStyle w:val="TableParagraph"/>
              <w:spacing w:line="261" w:lineRule="exact"/>
              <w:ind w:left="307"/>
              <w:rPr>
                <w:sz w:val="21"/>
              </w:rPr>
            </w:pPr>
            <w:r>
              <w:rPr>
                <w:sz w:val="21"/>
              </w:rPr>
              <w:t>9.5 专科医生</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1.4 犹豫期</w:t>
            </w:r>
          </w:p>
        </w:tc>
        <w:tc>
          <w:tcPr>
            <w:tcW w:w="3352" w:type="dxa"/>
          </w:tcPr>
          <w:p>
            <w:pPr>
              <w:pStyle w:val="TableParagraph"/>
              <w:spacing w:line="261" w:lineRule="exact"/>
              <w:ind w:left="113"/>
              <w:rPr>
                <w:b/>
                <w:sz w:val="21"/>
              </w:rPr>
            </w:pPr>
            <w:r>
              <w:rPr>
                <w:b/>
                <w:sz w:val="21"/>
              </w:rPr>
              <w:t>6. 合同效力的中止及恢复</w:t>
            </w:r>
          </w:p>
        </w:tc>
        <w:tc>
          <w:tcPr>
            <w:tcW w:w="4038" w:type="dxa"/>
          </w:tcPr>
          <w:p>
            <w:pPr>
              <w:pStyle w:val="TableParagraph"/>
              <w:spacing w:line="261" w:lineRule="exact"/>
              <w:ind w:left="307"/>
              <w:rPr>
                <w:sz w:val="21"/>
              </w:rPr>
            </w:pPr>
            <w:r>
              <w:rPr>
                <w:sz w:val="21"/>
              </w:rPr>
              <w:t>9.6 毒品</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1.5 保险期间</w:t>
            </w:r>
          </w:p>
        </w:tc>
        <w:tc>
          <w:tcPr>
            <w:tcW w:w="3352" w:type="dxa"/>
          </w:tcPr>
          <w:p>
            <w:pPr>
              <w:pStyle w:val="TableParagraph"/>
              <w:spacing w:line="261" w:lineRule="exact"/>
              <w:ind w:left="323"/>
              <w:rPr>
                <w:sz w:val="21"/>
              </w:rPr>
            </w:pPr>
            <w:r>
              <w:rPr>
                <w:sz w:val="21"/>
              </w:rPr>
              <w:t>6.1 效力中止</w:t>
            </w:r>
          </w:p>
        </w:tc>
        <w:tc>
          <w:tcPr>
            <w:tcW w:w="4038" w:type="dxa"/>
          </w:tcPr>
          <w:p>
            <w:pPr>
              <w:pStyle w:val="TableParagraph"/>
              <w:spacing w:line="261" w:lineRule="exact"/>
              <w:ind w:left="307"/>
              <w:rPr>
                <w:sz w:val="21"/>
              </w:rPr>
            </w:pPr>
            <w:r>
              <w:rPr>
                <w:sz w:val="21"/>
              </w:rPr>
              <w:t>9.7 酒后驾驶</w:t>
            </w:r>
          </w:p>
        </w:tc>
      </w:tr>
      <w:tr>
        <w:trPr>
          <w:trHeight w:val="312" w:hRule="atLeast"/>
        </w:trPr>
        <w:tc>
          <w:tcPr>
            <w:tcW w:w="2431" w:type="dxa"/>
            <w:tcBorders>
              <w:left w:val="single" w:sz="4" w:space="0" w:color="000000"/>
            </w:tcBorders>
          </w:tcPr>
          <w:p>
            <w:pPr>
              <w:pStyle w:val="TableParagraph"/>
              <w:spacing w:line="261" w:lineRule="exact"/>
              <w:ind w:left="108"/>
              <w:rPr>
                <w:b/>
                <w:sz w:val="21"/>
              </w:rPr>
            </w:pPr>
            <w:r>
              <w:rPr>
                <w:b/>
                <w:w w:val="95"/>
                <w:sz w:val="21"/>
              </w:rPr>
              <w:t>2．我们提供的保障</w:t>
            </w:r>
          </w:p>
        </w:tc>
        <w:tc>
          <w:tcPr>
            <w:tcW w:w="3352" w:type="dxa"/>
          </w:tcPr>
          <w:p>
            <w:pPr>
              <w:pStyle w:val="TableParagraph"/>
              <w:spacing w:line="261" w:lineRule="exact"/>
              <w:ind w:left="323"/>
              <w:rPr>
                <w:sz w:val="21"/>
              </w:rPr>
            </w:pPr>
            <w:r>
              <w:rPr>
                <w:sz w:val="21"/>
              </w:rPr>
              <w:t>6.2 效力恢复</w:t>
            </w:r>
          </w:p>
        </w:tc>
        <w:tc>
          <w:tcPr>
            <w:tcW w:w="4038" w:type="dxa"/>
          </w:tcPr>
          <w:p>
            <w:pPr>
              <w:pStyle w:val="TableParagraph"/>
              <w:spacing w:line="261" w:lineRule="exact"/>
              <w:ind w:left="307"/>
              <w:rPr>
                <w:sz w:val="21"/>
              </w:rPr>
            </w:pPr>
            <w:r>
              <w:rPr>
                <w:sz w:val="21"/>
              </w:rPr>
              <w:t>9.8 无合法有效驾驶证驾驶</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2.1 基本保险金额</w:t>
            </w:r>
          </w:p>
        </w:tc>
        <w:tc>
          <w:tcPr>
            <w:tcW w:w="3352" w:type="dxa"/>
          </w:tcPr>
          <w:p>
            <w:pPr>
              <w:pStyle w:val="TableParagraph"/>
              <w:spacing w:line="261" w:lineRule="exact"/>
              <w:ind w:left="113"/>
              <w:rPr>
                <w:b/>
                <w:sz w:val="21"/>
              </w:rPr>
            </w:pPr>
            <w:r>
              <w:rPr>
                <w:b/>
                <w:w w:val="95"/>
                <w:sz w:val="21"/>
              </w:rPr>
              <w:t>7．如何解除保险合同</w:t>
            </w:r>
          </w:p>
        </w:tc>
        <w:tc>
          <w:tcPr>
            <w:tcW w:w="4038" w:type="dxa"/>
          </w:tcPr>
          <w:p>
            <w:pPr>
              <w:pStyle w:val="TableParagraph"/>
              <w:spacing w:line="261" w:lineRule="exact"/>
              <w:ind w:left="307"/>
              <w:rPr>
                <w:sz w:val="21"/>
              </w:rPr>
            </w:pPr>
            <w:r>
              <w:rPr>
                <w:sz w:val="21"/>
              </w:rPr>
              <w:t>9.9 无有效行驶证</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2.2 保险责任</w:t>
            </w:r>
          </w:p>
        </w:tc>
        <w:tc>
          <w:tcPr>
            <w:tcW w:w="3352" w:type="dxa"/>
          </w:tcPr>
          <w:p>
            <w:pPr>
              <w:pStyle w:val="TableParagraph"/>
              <w:spacing w:line="261" w:lineRule="exact"/>
              <w:ind w:left="323"/>
              <w:rPr>
                <w:sz w:val="21"/>
              </w:rPr>
            </w:pPr>
            <w:r>
              <w:rPr>
                <w:sz w:val="21"/>
              </w:rPr>
              <w:t>7.1 您解除合同的手续及风险</w:t>
            </w:r>
          </w:p>
        </w:tc>
        <w:tc>
          <w:tcPr>
            <w:tcW w:w="4038" w:type="dxa"/>
          </w:tcPr>
          <w:p>
            <w:pPr>
              <w:pStyle w:val="TableParagraph"/>
              <w:spacing w:line="261" w:lineRule="exact"/>
              <w:ind w:left="307"/>
              <w:rPr>
                <w:sz w:val="21"/>
              </w:rPr>
            </w:pPr>
            <w:r>
              <w:rPr>
                <w:sz w:val="21"/>
              </w:rPr>
              <w:t>9.10 感染艾滋病病毒或患艾滋病</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2.3 责任免除</w:t>
            </w:r>
          </w:p>
        </w:tc>
        <w:tc>
          <w:tcPr>
            <w:tcW w:w="3352" w:type="dxa"/>
          </w:tcPr>
          <w:p>
            <w:pPr>
              <w:pStyle w:val="TableParagraph"/>
              <w:spacing w:line="261" w:lineRule="exact"/>
              <w:ind w:left="113"/>
              <w:rPr>
                <w:b/>
                <w:sz w:val="21"/>
              </w:rPr>
            </w:pPr>
            <w:r>
              <w:rPr>
                <w:b/>
                <w:sz w:val="21"/>
              </w:rPr>
              <w:t>8. 其他需要关注的事项</w:t>
            </w:r>
          </w:p>
        </w:tc>
        <w:tc>
          <w:tcPr>
            <w:tcW w:w="4038" w:type="dxa"/>
          </w:tcPr>
          <w:p>
            <w:pPr>
              <w:pStyle w:val="TableParagraph"/>
              <w:spacing w:line="261" w:lineRule="exact"/>
              <w:ind w:left="307"/>
              <w:rPr>
                <w:sz w:val="21"/>
              </w:rPr>
            </w:pPr>
            <w:r>
              <w:rPr>
                <w:sz w:val="21"/>
              </w:rPr>
              <w:t>9.11 遗传性疾病</w:t>
            </w:r>
          </w:p>
        </w:tc>
      </w:tr>
      <w:tr>
        <w:trPr>
          <w:trHeight w:val="311" w:hRule="atLeast"/>
        </w:trPr>
        <w:tc>
          <w:tcPr>
            <w:tcW w:w="2431" w:type="dxa"/>
            <w:tcBorders>
              <w:left w:val="single" w:sz="4" w:space="0" w:color="000000"/>
            </w:tcBorders>
          </w:tcPr>
          <w:p>
            <w:pPr>
              <w:pStyle w:val="TableParagraph"/>
              <w:spacing w:line="261" w:lineRule="exact"/>
              <w:ind w:left="108"/>
              <w:rPr>
                <w:b/>
                <w:sz w:val="21"/>
              </w:rPr>
            </w:pPr>
            <w:r>
              <w:rPr>
                <w:b/>
                <w:w w:val="95"/>
                <w:sz w:val="21"/>
              </w:rPr>
              <w:t>3．如何申请领取保险金</w:t>
            </w:r>
          </w:p>
        </w:tc>
        <w:tc>
          <w:tcPr>
            <w:tcW w:w="3352" w:type="dxa"/>
          </w:tcPr>
          <w:p>
            <w:pPr>
              <w:pStyle w:val="TableParagraph"/>
              <w:spacing w:line="261" w:lineRule="exact"/>
              <w:ind w:left="323"/>
              <w:rPr>
                <w:sz w:val="21"/>
              </w:rPr>
            </w:pPr>
            <w:r>
              <w:rPr>
                <w:sz w:val="21"/>
              </w:rPr>
              <w:t>8.1 明确说明与如实告知</w:t>
            </w:r>
          </w:p>
        </w:tc>
        <w:tc>
          <w:tcPr>
            <w:tcW w:w="4038" w:type="dxa"/>
          </w:tcPr>
          <w:p>
            <w:pPr>
              <w:pStyle w:val="TableParagraph"/>
              <w:spacing w:line="261" w:lineRule="exact"/>
              <w:ind w:left="307"/>
              <w:rPr>
                <w:sz w:val="21"/>
              </w:rPr>
            </w:pPr>
            <w:r>
              <w:rPr>
                <w:sz w:val="21"/>
              </w:rPr>
              <w:t>9.12 先天性畸形、变形或染色体异常</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3.1 受益人</w:t>
            </w:r>
          </w:p>
        </w:tc>
        <w:tc>
          <w:tcPr>
            <w:tcW w:w="3352" w:type="dxa"/>
          </w:tcPr>
          <w:p>
            <w:pPr>
              <w:pStyle w:val="TableParagraph"/>
              <w:spacing w:line="261" w:lineRule="exact"/>
              <w:ind w:left="323"/>
              <w:rPr>
                <w:sz w:val="21"/>
              </w:rPr>
            </w:pPr>
            <w:r>
              <w:rPr>
                <w:sz w:val="21"/>
              </w:rPr>
              <w:t>8.2 我们合同解除权的限制</w:t>
            </w:r>
          </w:p>
        </w:tc>
        <w:tc>
          <w:tcPr>
            <w:tcW w:w="4038" w:type="dxa"/>
          </w:tcPr>
          <w:p>
            <w:pPr>
              <w:pStyle w:val="TableParagraph"/>
              <w:spacing w:line="261" w:lineRule="exact"/>
              <w:ind w:left="307"/>
              <w:rPr>
                <w:sz w:val="21"/>
              </w:rPr>
            </w:pPr>
            <w:r>
              <w:rPr>
                <w:sz w:val="21"/>
              </w:rPr>
              <w:t>9.13 现金价值</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3.2 保险事故通知</w:t>
            </w:r>
          </w:p>
        </w:tc>
        <w:tc>
          <w:tcPr>
            <w:tcW w:w="3352" w:type="dxa"/>
          </w:tcPr>
          <w:p>
            <w:pPr>
              <w:pStyle w:val="TableParagraph"/>
              <w:spacing w:line="261" w:lineRule="exact"/>
              <w:ind w:left="323"/>
              <w:rPr>
                <w:sz w:val="21"/>
              </w:rPr>
            </w:pPr>
            <w:r>
              <w:rPr>
                <w:sz w:val="21"/>
              </w:rPr>
              <w:t>8.3 年龄错误</w:t>
            </w:r>
          </w:p>
        </w:tc>
        <w:tc>
          <w:tcPr>
            <w:tcW w:w="4038" w:type="dxa"/>
          </w:tcPr>
          <w:p>
            <w:pPr>
              <w:pStyle w:val="TableParagraph"/>
              <w:spacing w:line="261" w:lineRule="exact"/>
              <w:ind w:left="307"/>
              <w:rPr>
                <w:sz w:val="21"/>
              </w:rPr>
            </w:pPr>
            <w:r>
              <w:rPr>
                <w:sz w:val="21"/>
              </w:rPr>
              <w:t>9.14 医院</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3.3 保险金申请</w:t>
            </w:r>
          </w:p>
        </w:tc>
        <w:tc>
          <w:tcPr>
            <w:tcW w:w="3352" w:type="dxa"/>
          </w:tcPr>
          <w:p>
            <w:pPr>
              <w:pStyle w:val="TableParagraph"/>
              <w:spacing w:line="261" w:lineRule="exact"/>
              <w:ind w:left="323"/>
              <w:rPr>
                <w:sz w:val="21"/>
              </w:rPr>
            </w:pPr>
            <w:r>
              <w:rPr>
                <w:sz w:val="21"/>
              </w:rPr>
              <w:t>8.4 未还款项</w:t>
            </w:r>
          </w:p>
        </w:tc>
        <w:tc>
          <w:tcPr>
            <w:tcW w:w="4038" w:type="dxa"/>
          </w:tcPr>
          <w:p>
            <w:pPr>
              <w:pStyle w:val="TableParagraph"/>
              <w:spacing w:line="261" w:lineRule="exact"/>
              <w:ind w:left="307"/>
              <w:rPr>
                <w:sz w:val="21"/>
              </w:rPr>
            </w:pPr>
            <w:r>
              <w:rPr>
                <w:sz w:val="21"/>
              </w:rPr>
              <w:t>9.15 肢体机能完全丧失</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3.4 保险金的给付</w:t>
            </w:r>
          </w:p>
        </w:tc>
        <w:tc>
          <w:tcPr>
            <w:tcW w:w="3352" w:type="dxa"/>
          </w:tcPr>
          <w:p>
            <w:pPr>
              <w:pStyle w:val="TableParagraph"/>
              <w:spacing w:line="261" w:lineRule="exact"/>
              <w:ind w:left="319"/>
              <w:rPr>
                <w:sz w:val="21"/>
              </w:rPr>
            </w:pPr>
            <w:r>
              <w:rPr>
                <w:sz w:val="21"/>
              </w:rPr>
              <w:t>8.5 效力终止</w:t>
            </w:r>
          </w:p>
        </w:tc>
        <w:tc>
          <w:tcPr>
            <w:tcW w:w="4038" w:type="dxa"/>
          </w:tcPr>
          <w:p>
            <w:pPr>
              <w:pStyle w:val="TableParagraph"/>
              <w:spacing w:line="261" w:lineRule="exact"/>
              <w:ind w:left="307"/>
              <w:rPr>
                <w:sz w:val="21"/>
              </w:rPr>
            </w:pPr>
            <w:r>
              <w:rPr>
                <w:sz w:val="21"/>
              </w:rPr>
              <w:t>9.16 语言能力或咀嚼吞咽能力完全</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3.5 诉讼时效</w:t>
            </w:r>
          </w:p>
        </w:tc>
        <w:tc>
          <w:tcPr>
            <w:tcW w:w="3352" w:type="dxa"/>
          </w:tcPr>
          <w:p>
            <w:pPr>
              <w:pStyle w:val="TableParagraph"/>
              <w:spacing w:line="261" w:lineRule="exact"/>
              <w:ind w:left="323"/>
              <w:rPr>
                <w:sz w:val="21"/>
              </w:rPr>
            </w:pPr>
            <w:r>
              <w:rPr>
                <w:sz w:val="21"/>
              </w:rPr>
              <w:t>8.6 适用主险合同条款</w:t>
            </w:r>
          </w:p>
        </w:tc>
        <w:tc>
          <w:tcPr>
            <w:tcW w:w="4038" w:type="dxa"/>
          </w:tcPr>
          <w:p>
            <w:pPr>
              <w:pStyle w:val="TableParagraph"/>
              <w:spacing w:line="261" w:lineRule="exact"/>
              <w:ind w:left="850"/>
              <w:rPr>
                <w:sz w:val="21"/>
              </w:rPr>
            </w:pPr>
            <w:r>
              <w:rPr>
                <w:sz w:val="21"/>
              </w:rPr>
              <w:t>丧失</w:t>
            </w:r>
          </w:p>
        </w:tc>
      </w:tr>
      <w:tr>
        <w:trPr>
          <w:trHeight w:val="312" w:hRule="atLeast"/>
        </w:trPr>
        <w:tc>
          <w:tcPr>
            <w:tcW w:w="2431" w:type="dxa"/>
            <w:tcBorders>
              <w:left w:val="single" w:sz="4" w:space="0" w:color="000000"/>
            </w:tcBorders>
          </w:tcPr>
          <w:p>
            <w:pPr>
              <w:pStyle w:val="TableParagraph"/>
              <w:spacing w:line="261" w:lineRule="exact"/>
              <w:ind w:left="108"/>
              <w:rPr>
                <w:b/>
                <w:sz w:val="21"/>
              </w:rPr>
            </w:pPr>
            <w:r>
              <w:rPr>
                <w:b/>
                <w:w w:val="95"/>
                <w:sz w:val="21"/>
              </w:rPr>
              <w:t>4．如何交纳保险费</w:t>
            </w:r>
          </w:p>
        </w:tc>
        <w:tc>
          <w:tcPr>
            <w:tcW w:w="3352" w:type="dxa"/>
          </w:tcPr>
          <w:p>
            <w:pPr>
              <w:pStyle w:val="TableParagraph"/>
              <w:spacing w:line="261" w:lineRule="exact"/>
              <w:ind w:left="113"/>
              <w:rPr>
                <w:b/>
                <w:sz w:val="21"/>
              </w:rPr>
            </w:pPr>
            <w:r>
              <w:rPr>
                <w:b/>
                <w:w w:val="95"/>
                <w:sz w:val="21"/>
              </w:rPr>
              <w:t>9．释义</w:t>
            </w:r>
          </w:p>
        </w:tc>
        <w:tc>
          <w:tcPr>
            <w:tcW w:w="4038" w:type="dxa"/>
          </w:tcPr>
          <w:p>
            <w:pPr>
              <w:pStyle w:val="TableParagraph"/>
              <w:spacing w:line="261" w:lineRule="exact"/>
              <w:ind w:left="307"/>
              <w:rPr>
                <w:sz w:val="21"/>
              </w:rPr>
            </w:pPr>
            <w:r>
              <w:rPr>
                <w:sz w:val="21"/>
              </w:rPr>
              <w:t>9.17 六项基本日常生活活动</w:t>
            </w:r>
          </w:p>
        </w:tc>
      </w:tr>
      <w:tr>
        <w:trPr>
          <w:trHeight w:val="322" w:hRule="atLeast"/>
        </w:trPr>
        <w:tc>
          <w:tcPr>
            <w:tcW w:w="2431" w:type="dxa"/>
            <w:tcBorders>
              <w:left w:val="single" w:sz="4" w:space="0" w:color="000000"/>
            </w:tcBorders>
          </w:tcPr>
          <w:p>
            <w:pPr>
              <w:pStyle w:val="TableParagraph"/>
              <w:spacing w:line="261" w:lineRule="exact"/>
              <w:ind w:left="318"/>
              <w:rPr>
                <w:sz w:val="21"/>
              </w:rPr>
            </w:pPr>
            <w:r>
              <w:rPr>
                <w:sz w:val="21"/>
              </w:rPr>
              <w:t>4.1 保险费的交纳</w:t>
            </w:r>
          </w:p>
        </w:tc>
        <w:tc>
          <w:tcPr>
            <w:tcW w:w="3352" w:type="dxa"/>
          </w:tcPr>
          <w:p>
            <w:pPr>
              <w:pStyle w:val="TableParagraph"/>
              <w:spacing w:line="261" w:lineRule="exact"/>
              <w:ind w:left="323"/>
              <w:rPr>
                <w:sz w:val="21"/>
              </w:rPr>
            </w:pPr>
            <w:r>
              <w:rPr>
                <w:sz w:val="21"/>
              </w:rPr>
              <w:t>9.1 周岁</w:t>
            </w:r>
          </w:p>
        </w:tc>
        <w:tc>
          <w:tcPr>
            <w:tcW w:w="4038" w:type="dxa"/>
          </w:tcPr>
          <w:p>
            <w:pPr>
              <w:pStyle w:val="TableParagraph"/>
              <w:spacing w:line="261" w:lineRule="exact"/>
              <w:ind w:left="307"/>
              <w:rPr>
                <w:sz w:val="21"/>
              </w:rPr>
            </w:pPr>
            <w:r>
              <w:rPr>
                <w:sz w:val="21"/>
              </w:rPr>
              <w:t>9.18 永久不可逆</w:t>
            </w:r>
          </w:p>
        </w:tc>
      </w:tr>
    </w:tbl>
    <w:p>
      <w:pPr>
        <w:spacing w:after="0" w:line="261" w:lineRule="exact"/>
        <w:rPr>
          <w:sz w:val="21"/>
        </w:rPr>
        <w:sectPr>
          <w:type w:val="continuous"/>
          <w:pgSz w:w="11910" w:h="16840"/>
          <w:pgMar w:top="780" w:bottom="1180" w:left="1020" w:right="700"/>
        </w:sectPr>
      </w:pPr>
    </w:p>
    <w:p>
      <w:pPr>
        <w:pStyle w:val="BodyText"/>
        <w:spacing w:before="8"/>
        <w:rPr>
          <w:b/>
          <w:sz w:val="19"/>
        </w:rPr>
      </w:pPr>
    </w:p>
    <w:p>
      <w:pPr>
        <w:spacing w:line="564" w:lineRule="exact" w:before="0"/>
        <w:ind w:left="1095" w:right="1099" w:firstLine="0"/>
        <w:jc w:val="center"/>
        <w:rPr>
          <w:rFonts w:ascii="Microsoft JhengHei" w:eastAsia="Microsoft JhengHei" w:hint="eastAsia"/>
          <w:b/>
          <w:sz w:val="44"/>
        </w:rPr>
      </w:pPr>
      <w:r>
        <w:rPr>
          <w:rFonts w:ascii="Microsoft JhengHei" w:eastAsia="Microsoft JhengHei" w:hint="eastAsia"/>
          <w:b/>
          <w:sz w:val="44"/>
        </w:rPr>
        <w:t>长城人寿保险股份有限公司</w:t>
      </w:r>
    </w:p>
    <w:p>
      <w:pPr>
        <w:pStyle w:val="BodyText"/>
        <w:spacing w:before="0"/>
        <w:rPr>
          <w:rFonts w:ascii="Microsoft JhengHei"/>
          <w:b/>
          <w:sz w:val="39"/>
        </w:rPr>
      </w:pPr>
    </w:p>
    <w:p>
      <w:pPr>
        <w:spacing w:before="0"/>
        <w:ind w:left="1095" w:right="1099" w:firstLine="0"/>
        <w:jc w:val="center"/>
        <w:rPr>
          <w:rFonts w:ascii="微软雅黑" w:eastAsia="微软雅黑" w:hint="eastAsia"/>
          <w:b/>
          <w:sz w:val="30"/>
        </w:rPr>
      </w:pPr>
      <w:r>
        <w:rPr>
          <w:rFonts w:ascii="微软雅黑" w:eastAsia="微软雅黑" w:hint="eastAsia"/>
          <w:b/>
          <w:sz w:val="30"/>
        </w:rPr>
        <w:t>长城附加鸿盛提前给付重大疾病保险条款</w:t>
      </w:r>
    </w:p>
    <w:p>
      <w:pPr>
        <w:pStyle w:val="BodyText"/>
        <w:spacing w:before="0"/>
        <w:rPr>
          <w:rFonts w:ascii="微软雅黑"/>
          <w:b/>
          <w:sz w:val="40"/>
        </w:rPr>
      </w:pPr>
    </w:p>
    <w:p>
      <w:pPr>
        <w:pStyle w:val="BodyText"/>
        <w:spacing w:before="15"/>
        <w:rPr>
          <w:rFonts w:ascii="微软雅黑"/>
          <w:b/>
          <w:sz w:val="20"/>
        </w:rPr>
      </w:pPr>
    </w:p>
    <w:p>
      <w:pPr>
        <w:pStyle w:val="BodyText"/>
        <w:spacing w:before="0"/>
        <w:ind w:left="1195" w:right="1099"/>
        <w:jc w:val="center"/>
      </w:pPr>
      <w:r>
        <w:rPr>
          <w:spacing w:val="-24"/>
        </w:rPr>
        <w:t>在本条款中，“您”指投保人，“我们”、“本公司”均指长城人寿保险股份有限公司。</w:t>
      </w:r>
    </w:p>
    <w:p>
      <w:pPr>
        <w:pStyle w:val="BodyText"/>
        <w:spacing w:before="0"/>
        <w:rPr>
          <w:sz w:val="20"/>
        </w:rPr>
      </w:pPr>
    </w:p>
    <w:p>
      <w:pPr>
        <w:pStyle w:val="BodyText"/>
        <w:spacing w:before="9"/>
        <w:rPr>
          <w:sz w:val="10"/>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2"/>
      </w:tblGrid>
      <w:tr>
        <w:trPr>
          <w:trHeight w:val="586" w:hRule="atLeast"/>
        </w:trPr>
        <w:tc>
          <w:tcPr>
            <w:tcW w:w="768" w:type="dxa"/>
            <w:tcBorders>
              <w:bottom w:val="single" w:sz="6" w:space="0" w:color="000000"/>
            </w:tcBorders>
          </w:tcPr>
          <w:p>
            <w:pPr>
              <w:pStyle w:val="TableParagraph"/>
              <w:spacing w:line="548" w:lineRule="exact"/>
              <w:ind w:left="107"/>
              <w:rPr>
                <w:rFonts w:ascii="Arial" w:hAnsi="Arial"/>
                <w:b/>
                <w:sz w:val="52"/>
              </w:rPr>
            </w:pPr>
            <w:r>
              <w:rPr>
                <w:rFonts w:ascii="Arial" w:hAnsi="Arial"/>
                <w:b/>
                <w:w w:val="118"/>
                <w:sz w:val="52"/>
              </w:rPr>
              <w:t></w:t>
            </w:r>
          </w:p>
        </w:tc>
        <w:tc>
          <w:tcPr>
            <w:tcW w:w="8601" w:type="dxa"/>
            <w:gridSpan w:val="2"/>
            <w:tcBorders>
              <w:bottom w:val="single" w:sz="6" w:space="0" w:color="000000"/>
            </w:tcBorders>
          </w:tcPr>
          <w:p>
            <w:pPr>
              <w:pStyle w:val="TableParagraph"/>
              <w:spacing w:before="46"/>
              <w:ind w:left="196"/>
              <w:rPr>
                <w:b/>
                <w:sz w:val="28"/>
              </w:rPr>
            </w:pPr>
            <w:r>
              <w:rPr>
                <w:b/>
                <w:w w:val="95"/>
                <w:sz w:val="28"/>
              </w:rPr>
              <w:t>您与我们的合同</w:t>
            </w:r>
          </w:p>
        </w:tc>
      </w:tr>
      <w:tr>
        <w:trPr>
          <w:trHeight w:val="1699" w:hRule="atLeast"/>
        </w:trPr>
        <w:tc>
          <w:tcPr>
            <w:tcW w:w="768" w:type="dxa"/>
            <w:tcBorders>
              <w:top w:val="single" w:sz="6" w:space="0" w:color="000000"/>
            </w:tcBorders>
          </w:tcPr>
          <w:p>
            <w:pPr>
              <w:pStyle w:val="TableParagraph"/>
              <w:spacing w:before="6"/>
              <w:rPr>
                <w:sz w:val="21"/>
              </w:rPr>
            </w:pPr>
          </w:p>
          <w:p>
            <w:pPr>
              <w:pStyle w:val="TableParagraph"/>
              <w:ind w:left="107"/>
              <w:rPr>
                <w:b/>
                <w:sz w:val="21"/>
              </w:rPr>
            </w:pPr>
            <w:r>
              <w:rPr>
                <w:b/>
                <w:sz w:val="21"/>
              </w:rPr>
              <w:t>1.1</w:t>
            </w:r>
          </w:p>
        </w:tc>
        <w:tc>
          <w:tcPr>
            <w:tcW w:w="1669" w:type="dxa"/>
            <w:tcBorders>
              <w:top w:val="single" w:sz="6" w:space="0" w:color="000000"/>
            </w:tcBorders>
          </w:tcPr>
          <w:p>
            <w:pPr>
              <w:pStyle w:val="TableParagraph"/>
              <w:spacing w:before="6"/>
              <w:rPr>
                <w:sz w:val="21"/>
              </w:rPr>
            </w:pPr>
          </w:p>
          <w:p>
            <w:pPr>
              <w:pStyle w:val="TableParagraph"/>
              <w:ind w:left="196"/>
              <w:rPr>
                <w:b/>
                <w:sz w:val="21"/>
              </w:rPr>
            </w:pPr>
            <w:r>
              <w:rPr>
                <w:b/>
                <w:sz w:val="21"/>
              </w:rPr>
              <w:t>合同订立</w:t>
            </w:r>
          </w:p>
        </w:tc>
        <w:tc>
          <w:tcPr>
            <w:tcW w:w="6932" w:type="dxa"/>
            <w:tcBorders>
              <w:top w:val="single" w:sz="6" w:space="0" w:color="000000"/>
            </w:tcBorders>
          </w:tcPr>
          <w:p>
            <w:pPr>
              <w:pStyle w:val="TableParagraph"/>
              <w:spacing w:before="6"/>
              <w:rPr>
                <w:sz w:val="21"/>
              </w:rPr>
            </w:pPr>
          </w:p>
          <w:p>
            <w:pPr>
              <w:pStyle w:val="TableParagraph"/>
              <w:spacing w:line="273" w:lineRule="auto"/>
              <w:ind w:left="208" w:right="1"/>
              <w:rPr>
                <w:sz w:val="21"/>
              </w:rPr>
            </w:pPr>
            <w:r>
              <w:rPr>
                <w:sz w:val="21"/>
              </w:rPr>
              <w:t>“长城附加鸿盛提前给付重大疾病保险合同</w:t>
            </w:r>
            <w:r>
              <w:rPr>
                <w:spacing w:val="-209"/>
                <w:sz w:val="21"/>
              </w:rPr>
              <w:t>”</w:t>
            </w:r>
            <w:r>
              <w:rPr>
                <w:spacing w:val="-2"/>
                <w:sz w:val="21"/>
              </w:rPr>
              <w:t>（</w:t>
            </w:r>
            <w:r>
              <w:rPr>
                <w:spacing w:val="-20"/>
                <w:sz w:val="21"/>
              </w:rPr>
              <w:t>以下简称“本附加险合同”</w:t>
            </w:r>
            <w:r>
              <w:rPr>
                <w:sz w:val="21"/>
              </w:rPr>
              <w:t>）由主保险合同（</w:t>
            </w:r>
            <w:r>
              <w:rPr>
                <w:spacing w:val="-11"/>
                <w:sz w:val="21"/>
              </w:rPr>
              <w:t>以下简称“主险合同”</w:t>
            </w:r>
            <w:r>
              <w:rPr>
                <w:sz w:val="21"/>
              </w:rPr>
              <w:t>）</w:t>
            </w:r>
            <w:r>
              <w:rPr>
                <w:spacing w:val="-1"/>
                <w:sz w:val="21"/>
              </w:rPr>
              <w:t>投保人提出申请，经我们同意而订立。</w:t>
            </w:r>
          </w:p>
          <w:p>
            <w:pPr>
              <w:pStyle w:val="TableParagraph"/>
              <w:spacing w:before="7"/>
              <w:ind w:left="208"/>
              <w:rPr>
                <w:sz w:val="21"/>
              </w:rPr>
            </w:pPr>
            <w:r>
              <w:rPr>
                <w:sz w:val="21"/>
              </w:rPr>
              <w:t>本附加险合同仅可附加于“长城鸿盛两全保险（分红型</w:t>
            </w:r>
            <w:r>
              <w:rPr>
                <w:spacing w:val="-105"/>
                <w:sz w:val="21"/>
              </w:rPr>
              <w:t>）</w:t>
            </w:r>
            <w:r>
              <w:rPr>
                <w:spacing w:val="-1"/>
                <w:sz w:val="21"/>
              </w:rPr>
              <w:t>”合同。</w:t>
            </w:r>
          </w:p>
        </w:tc>
      </w:tr>
      <w:tr>
        <w:trPr>
          <w:trHeight w:val="936" w:hRule="atLeast"/>
        </w:trPr>
        <w:tc>
          <w:tcPr>
            <w:tcW w:w="768" w:type="dxa"/>
          </w:tcPr>
          <w:p>
            <w:pPr>
              <w:pStyle w:val="TableParagraph"/>
              <w:spacing w:before="142"/>
              <w:ind w:left="107"/>
              <w:rPr>
                <w:b/>
                <w:sz w:val="21"/>
              </w:rPr>
            </w:pPr>
            <w:r>
              <w:rPr>
                <w:b/>
                <w:sz w:val="21"/>
              </w:rPr>
              <w:t>1.2</w:t>
            </w:r>
          </w:p>
        </w:tc>
        <w:tc>
          <w:tcPr>
            <w:tcW w:w="1669" w:type="dxa"/>
          </w:tcPr>
          <w:p>
            <w:pPr>
              <w:pStyle w:val="TableParagraph"/>
              <w:spacing w:line="273" w:lineRule="auto" w:before="142"/>
              <w:ind w:left="196" w:right="206"/>
              <w:rPr>
                <w:b/>
                <w:sz w:val="21"/>
              </w:rPr>
            </w:pPr>
            <w:r>
              <w:rPr>
                <w:b/>
                <w:sz w:val="21"/>
              </w:rPr>
              <w:t>合同成立与生效</w:t>
            </w:r>
          </w:p>
        </w:tc>
        <w:tc>
          <w:tcPr>
            <w:tcW w:w="6932" w:type="dxa"/>
          </w:tcPr>
          <w:p>
            <w:pPr>
              <w:pStyle w:val="TableParagraph"/>
              <w:spacing w:line="273" w:lineRule="auto" w:before="142"/>
              <w:ind w:left="208" w:right="104"/>
              <w:rPr>
                <w:sz w:val="21"/>
              </w:rPr>
            </w:pPr>
            <w:r>
              <w:rPr>
                <w:spacing w:val="-6"/>
                <w:sz w:val="21"/>
              </w:rPr>
              <w:t>本附加险合同应与主险合同同时投保，本附加险合同的成立日、生效日与主险合同的成立日、生效日相同。</w:t>
            </w:r>
          </w:p>
        </w:tc>
      </w:tr>
      <w:tr>
        <w:trPr>
          <w:trHeight w:val="936" w:hRule="atLeast"/>
        </w:trPr>
        <w:tc>
          <w:tcPr>
            <w:tcW w:w="768" w:type="dxa"/>
          </w:tcPr>
          <w:p>
            <w:pPr>
              <w:pStyle w:val="TableParagraph"/>
              <w:spacing w:before="142"/>
              <w:ind w:left="107"/>
              <w:rPr>
                <w:b/>
                <w:sz w:val="21"/>
              </w:rPr>
            </w:pPr>
            <w:r>
              <w:rPr>
                <w:b/>
                <w:sz w:val="21"/>
              </w:rPr>
              <w:t>1.3</w:t>
            </w:r>
          </w:p>
        </w:tc>
        <w:tc>
          <w:tcPr>
            <w:tcW w:w="1669" w:type="dxa"/>
          </w:tcPr>
          <w:p>
            <w:pPr>
              <w:pStyle w:val="TableParagraph"/>
              <w:spacing w:before="142"/>
              <w:ind w:left="196"/>
              <w:rPr>
                <w:b/>
                <w:sz w:val="21"/>
              </w:rPr>
            </w:pPr>
            <w:r>
              <w:rPr>
                <w:b/>
                <w:sz w:val="21"/>
              </w:rPr>
              <w:t>投保年龄</w:t>
            </w:r>
          </w:p>
        </w:tc>
        <w:tc>
          <w:tcPr>
            <w:tcW w:w="6932" w:type="dxa"/>
          </w:tcPr>
          <w:p>
            <w:pPr>
              <w:pStyle w:val="TableParagraph"/>
              <w:spacing w:line="273" w:lineRule="auto" w:before="142"/>
              <w:ind w:left="214" w:right="205" w:hanging="6"/>
              <w:rPr>
                <w:sz w:val="21"/>
              </w:rPr>
            </w:pPr>
            <w:r>
              <w:rPr>
                <w:sz w:val="21"/>
              </w:rPr>
              <w:t>指投保时被保险人的年龄，投保年龄以</w:t>
            </w:r>
            <w:r>
              <w:rPr>
                <w:b/>
                <w:sz w:val="21"/>
              </w:rPr>
              <w:t>周岁</w:t>
            </w:r>
            <w:r>
              <w:rPr>
                <w:sz w:val="21"/>
              </w:rPr>
              <w:t>计算，本附加险合同接受的</w:t>
            </w:r>
            <w:r>
              <w:rPr>
                <w:spacing w:val="-9"/>
                <w:sz w:val="21"/>
              </w:rPr>
              <w:t>投保年龄为 </w:t>
            </w:r>
            <w:r>
              <w:rPr>
                <w:sz w:val="21"/>
              </w:rPr>
              <w:t>0</w:t>
            </w:r>
            <w:r>
              <w:rPr>
                <w:spacing w:val="-18"/>
                <w:sz w:val="21"/>
              </w:rPr>
              <w:t> 周岁</w:t>
            </w:r>
            <w:r>
              <w:rPr>
                <w:sz w:val="21"/>
              </w:rPr>
              <w:t>（</w:t>
            </w:r>
            <w:r>
              <w:rPr>
                <w:spacing w:val="-11"/>
                <w:sz w:val="21"/>
              </w:rPr>
              <w:t>指出生满 </w:t>
            </w:r>
            <w:r>
              <w:rPr>
                <w:sz w:val="21"/>
              </w:rPr>
              <w:t>30</w:t>
            </w:r>
            <w:r>
              <w:rPr>
                <w:spacing w:val="-8"/>
                <w:sz w:val="21"/>
              </w:rPr>
              <w:t> 日且已健康出院的婴儿</w:t>
            </w:r>
            <w:r>
              <w:rPr>
                <w:sz w:val="21"/>
              </w:rPr>
              <w:t>）</w:t>
            </w:r>
            <w:r>
              <w:rPr>
                <w:spacing w:val="-27"/>
                <w:sz w:val="21"/>
              </w:rPr>
              <w:t>至 </w:t>
            </w:r>
            <w:r>
              <w:rPr>
                <w:sz w:val="21"/>
              </w:rPr>
              <w:t>60</w:t>
            </w:r>
            <w:r>
              <w:rPr>
                <w:spacing w:val="-14"/>
                <w:sz w:val="21"/>
              </w:rPr>
              <w:t> 周岁。</w:t>
            </w:r>
          </w:p>
        </w:tc>
      </w:tr>
      <w:tr>
        <w:trPr>
          <w:trHeight w:val="2495" w:hRule="atLeast"/>
        </w:trPr>
        <w:tc>
          <w:tcPr>
            <w:tcW w:w="768" w:type="dxa"/>
          </w:tcPr>
          <w:p>
            <w:pPr>
              <w:pStyle w:val="TableParagraph"/>
              <w:spacing w:before="142"/>
              <w:ind w:left="107"/>
              <w:rPr>
                <w:b/>
                <w:sz w:val="21"/>
              </w:rPr>
            </w:pPr>
            <w:r>
              <w:rPr>
                <w:b/>
                <w:sz w:val="21"/>
              </w:rPr>
              <w:t>1.4</w:t>
            </w:r>
          </w:p>
        </w:tc>
        <w:tc>
          <w:tcPr>
            <w:tcW w:w="1669" w:type="dxa"/>
          </w:tcPr>
          <w:p>
            <w:pPr>
              <w:pStyle w:val="TableParagraph"/>
              <w:spacing w:before="142"/>
              <w:ind w:left="196"/>
              <w:rPr>
                <w:b/>
                <w:sz w:val="21"/>
              </w:rPr>
            </w:pPr>
            <w:r>
              <w:rPr>
                <w:b/>
                <w:sz w:val="21"/>
              </w:rPr>
              <w:t>犹豫期</w:t>
            </w:r>
          </w:p>
        </w:tc>
        <w:tc>
          <w:tcPr>
            <w:tcW w:w="6932" w:type="dxa"/>
          </w:tcPr>
          <w:p>
            <w:pPr>
              <w:pStyle w:val="TableParagraph"/>
              <w:spacing w:line="273" w:lineRule="auto" w:before="142"/>
              <w:ind w:left="208" w:right="105"/>
              <w:jc w:val="both"/>
              <w:rPr>
                <w:sz w:val="21"/>
              </w:rPr>
            </w:pPr>
            <w:r>
              <w:rPr>
                <w:spacing w:val="-4"/>
                <w:sz w:val="21"/>
              </w:rPr>
              <w:t>自您签收本附加险合同之日起，有 </w:t>
            </w:r>
            <w:r>
              <w:rPr>
                <w:sz w:val="21"/>
              </w:rPr>
              <w:t>10</w:t>
            </w:r>
            <w:r>
              <w:rPr>
                <w:spacing w:val="-8"/>
                <w:sz w:val="21"/>
              </w:rPr>
              <w:t> 日的犹豫期。在此期间请您认真审</w:t>
            </w:r>
            <w:r>
              <w:rPr>
                <w:spacing w:val="-13"/>
                <w:sz w:val="21"/>
              </w:rPr>
              <w:t>视本附加险合同，如果您认为本附加险合同与您的需求不相符，您可以在</w:t>
            </w:r>
            <w:r>
              <w:rPr>
                <w:spacing w:val="-15"/>
                <w:sz w:val="21"/>
              </w:rPr>
              <w:t>此期间提出解除本附加险合同，我们扣除不超过 </w:t>
            </w:r>
            <w:r>
              <w:rPr>
                <w:sz w:val="21"/>
              </w:rPr>
              <w:t>10</w:t>
            </w:r>
            <w:r>
              <w:rPr>
                <w:spacing w:val="-8"/>
                <w:sz w:val="21"/>
              </w:rPr>
              <w:t> 元的合同工本费后无息退还您所交纳的保险费。</w:t>
            </w:r>
          </w:p>
          <w:p>
            <w:pPr>
              <w:pStyle w:val="TableParagraph"/>
              <w:spacing w:line="273" w:lineRule="auto" w:before="7"/>
              <w:ind w:left="208" w:right="208"/>
              <w:jc w:val="both"/>
              <w:rPr>
                <w:sz w:val="21"/>
              </w:rPr>
            </w:pPr>
            <w:r>
              <w:rPr>
                <w:sz w:val="21"/>
              </w:rPr>
              <w:t>解除本附加险合同时，您需要填写申请书，并提供您的保险合同及</w:t>
            </w:r>
            <w:r>
              <w:rPr>
                <w:b/>
                <w:sz w:val="21"/>
              </w:rPr>
              <w:t>有效身份证件</w:t>
            </w:r>
            <w:r>
              <w:rPr>
                <w:sz w:val="21"/>
              </w:rPr>
              <w:t>。自我们收到您解除合同的书面申请时起，本附加险合同即被解除，合同解除前发生的保险事故我们不承担保险责任。</w:t>
            </w:r>
          </w:p>
        </w:tc>
      </w:tr>
      <w:tr>
        <w:trPr>
          <w:trHeight w:val="1242" w:hRule="atLeast"/>
        </w:trPr>
        <w:tc>
          <w:tcPr>
            <w:tcW w:w="768" w:type="dxa"/>
          </w:tcPr>
          <w:p>
            <w:pPr>
              <w:pStyle w:val="TableParagraph"/>
              <w:spacing w:before="142"/>
              <w:ind w:left="107"/>
              <w:rPr>
                <w:b/>
                <w:sz w:val="21"/>
              </w:rPr>
            </w:pPr>
            <w:r>
              <w:rPr>
                <w:b/>
                <w:sz w:val="21"/>
              </w:rPr>
              <w:t>1.5</w:t>
            </w:r>
          </w:p>
        </w:tc>
        <w:tc>
          <w:tcPr>
            <w:tcW w:w="1669" w:type="dxa"/>
          </w:tcPr>
          <w:p>
            <w:pPr>
              <w:pStyle w:val="TableParagraph"/>
              <w:spacing w:before="142"/>
              <w:ind w:left="196"/>
              <w:rPr>
                <w:b/>
                <w:sz w:val="21"/>
              </w:rPr>
            </w:pPr>
            <w:r>
              <w:rPr>
                <w:b/>
                <w:sz w:val="21"/>
              </w:rPr>
              <w:t>保险期间</w:t>
            </w:r>
          </w:p>
        </w:tc>
        <w:tc>
          <w:tcPr>
            <w:tcW w:w="6932" w:type="dxa"/>
          </w:tcPr>
          <w:p>
            <w:pPr>
              <w:pStyle w:val="TableParagraph"/>
              <w:spacing w:before="142"/>
              <w:ind w:left="208"/>
              <w:rPr>
                <w:sz w:val="21"/>
              </w:rPr>
            </w:pPr>
            <w:r>
              <w:rPr>
                <w:sz w:val="21"/>
              </w:rPr>
              <w:t>本附加险合同的保险期间与主险合同一致。</w:t>
            </w:r>
          </w:p>
          <w:p>
            <w:pPr>
              <w:pStyle w:val="TableParagraph"/>
              <w:spacing w:line="273" w:lineRule="auto" w:before="37"/>
              <w:ind w:left="208" w:right="105"/>
              <w:rPr>
                <w:sz w:val="21"/>
              </w:rPr>
            </w:pPr>
            <w:r>
              <w:rPr>
                <w:spacing w:val="-7"/>
                <w:sz w:val="21"/>
              </w:rPr>
              <w:t>本附加险合同的保险单周年日、保险单月度日、保险单年度、保险费到期日和保险单满期日均以主险合同的生效日为基础计算。</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我们提供的保障</w:t>
            </w:r>
          </w:p>
        </w:tc>
      </w:tr>
      <w:tr>
        <w:trPr>
          <w:trHeight w:val="1092" w:hRule="atLeast"/>
        </w:trPr>
        <w:tc>
          <w:tcPr>
            <w:tcW w:w="768" w:type="dxa"/>
            <w:tcBorders>
              <w:top w:val="single" w:sz="4" w:space="0" w:color="000000"/>
            </w:tcBorders>
          </w:tcPr>
          <w:p>
            <w:pPr>
              <w:pStyle w:val="TableParagraph"/>
              <w:spacing w:before="10"/>
              <w:rPr>
                <w:sz w:val="22"/>
              </w:rPr>
            </w:pPr>
          </w:p>
          <w:p>
            <w:pPr>
              <w:pStyle w:val="TableParagraph"/>
              <w:ind w:left="107"/>
              <w:rPr>
                <w:b/>
                <w:sz w:val="21"/>
              </w:rPr>
            </w:pPr>
            <w:r>
              <w:rPr>
                <w:b/>
                <w:sz w:val="21"/>
              </w:rPr>
              <w:t>2.1</w:t>
            </w:r>
          </w:p>
        </w:tc>
        <w:tc>
          <w:tcPr>
            <w:tcW w:w="1669" w:type="dxa"/>
            <w:tcBorders>
              <w:top w:val="single" w:sz="4" w:space="0" w:color="000000"/>
            </w:tcBorders>
          </w:tcPr>
          <w:p>
            <w:pPr>
              <w:pStyle w:val="TableParagraph"/>
              <w:spacing w:before="10"/>
              <w:rPr>
                <w:sz w:val="22"/>
              </w:rPr>
            </w:pPr>
          </w:p>
          <w:p>
            <w:pPr>
              <w:pStyle w:val="TableParagraph"/>
              <w:ind w:left="196"/>
              <w:rPr>
                <w:b/>
                <w:sz w:val="21"/>
              </w:rPr>
            </w:pPr>
            <w:r>
              <w:rPr>
                <w:b/>
                <w:w w:val="95"/>
                <w:sz w:val="21"/>
              </w:rPr>
              <w:t>基本保险金额</w:t>
            </w:r>
          </w:p>
        </w:tc>
        <w:tc>
          <w:tcPr>
            <w:tcW w:w="6932" w:type="dxa"/>
            <w:tcBorders>
              <w:top w:val="single" w:sz="4" w:space="0" w:color="000000"/>
            </w:tcBorders>
          </w:tcPr>
          <w:p>
            <w:pPr>
              <w:pStyle w:val="TableParagraph"/>
              <w:spacing w:before="10"/>
              <w:rPr>
                <w:sz w:val="22"/>
              </w:rPr>
            </w:pPr>
          </w:p>
          <w:p>
            <w:pPr>
              <w:pStyle w:val="TableParagraph"/>
              <w:spacing w:line="273" w:lineRule="auto"/>
              <w:ind w:left="208" w:right="211"/>
              <w:rPr>
                <w:sz w:val="21"/>
              </w:rPr>
            </w:pPr>
            <w:r>
              <w:rPr>
                <w:sz w:val="21"/>
              </w:rPr>
              <w:t>本附加险合同的基本保险金额由您在投保时与我们约定并在保险单上载明。本附加险合同的基本保险金额与主险合同保持一致。</w:t>
            </w:r>
          </w:p>
        </w:tc>
      </w:tr>
      <w:tr>
        <w:trPr>
          <w:trHeight w:val="416" w:hRule="atLeast"/>
        </w:trPr>
        <w:tc>
          <w:tcPr>
            <w:tcW w:w="768" w:type="dxa"/>
          </w:tcPr>
          <w:p>
            <w:pPr>
              <w:pStyle w:val="TableParagraph"/>
              <w:spacing w:line="255" w:lineRule="exact" w:before="142"/>
              <w:ind w:left="107"/>
              <w:rPr>
                <w:b/>
                <w:sz w:val="21"/>
              </w:rPr>
            </w:pPr>
            <w:r>
              <w:rPr>
                <w:b/>
                <w:sz w:val="21"/>
              </w:rPr>
              <w:t>2.2</w:t>
            </w:r>
          </w:p>
        </w:tc>
        <w:tc>
          <w:tcPr>
            <w:tcW w:w="1669" w:type="dxa"/>
          </w:tcPr>
          <w:p>
            <w:pPr>
              <w:pStyle w:val="TableParagraph"/>
              <w:spacing w:line="255" w:lineRule="exact" w:before="142"/>
              <w:ind w:left="196"/>
              <w:rPr>
                <w:b/>
                <w:sz w:val="21"/>
              </w:rPr>
            </w:pPr>
            <w:r>
              <w:rPr>
                <w:b/>
                <w:sz w:val="21"/>
              </w:rPr>
              <w:t>保险责任</w:t>
            </w:r>
          </w:p>
        </w:tc>
        <w:tc>
          <w:tcPr>
            <w:tcW w:w="6932" w:type="dxa"/>
          </w:tcPr>
          <w:p>
            <w:pPr>
              <w:pStyle w:val="TableParagraph"/>
              <w:spacing w:line="255" w:lineRule="exact" w:before="142"/>
              <w:ind w:left="208"/>
              <w:rPr>
                <w:sz w:val="21"/>
              </w:rPr>
            </w:pPr>
            <w:r>
              <w:rPr>
                <w:sz w:val="21"/>
              </w:rPr>
              <w:t>在本附加险合同有效期内，我们承担如下保险责任：</w:t>
            </w:r>
          </w:p>
        </w:tc>
      </w:tr>
    </w:tbl>
    <w:p>
      <w:pPr>
        <w:spacing w:after="0" w:line="255" w:lineRule="exact"/>
        <w:rPr>
          <w:sz w:val="21"/>
        </w:rPr>
        <w:sectPr>
          <w:headerReference w:type="default" r:id="rId20"/>
          <w:pgSz w:w="11910" w:h="16840"/>
          <w:pgMar w:header="899" w:footer="994" w:top="1220" w:bottom="1180" w:left="1120" w:right="1200"/>
        </w:sectPr>
      </w:pPr>
    </w:p>
    <w:p>
      <w:pPr>
        <w:pStyle w:val="BodyText"/>
        <w:spacing w:before="0"/>
        <w:rPr>
          <w:rFonts w:ascii="Times New Roman"/>
          <w:sz w:val="20"/>
        </w:rPr>
      </w:pPr>
    </w:p>
    <w:p>
      <w:pPr>
        <w:pStyle w:val="BodyText"/>
        <w:spacing w:before="0"/>
        <w:rPr>
          <w:rFonts w:ascii="Times New Roman"/>
          <w:sz w:val="20"/>
        </w:rPr>
      </w:pPr>
    </w:p>
    <w:p>
      <w:pPr>
        <w:pStyle w:val="BodyText"/>
        <w:spacing w:before="5"/>
        <w:rPr>
          <w:rFonts w:ascii="Times New Roman"/>
          <w:sz w:val="1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7"/>
        <w:gridCol w:w="6934"/>
      </w:tblGrid>
      <w:tr>
        <w:trPr>
          <w:trHeight w:val="3069" w:hRule="atLeast"/>
        </w:trPr>
        <w:tc>
          <w:tcPr>
            <w:tcW w:w="768" w:type="dxa"/>
          </w:tcPr>
          <w:p>
            <w:pPr>
              <w:pStyle w:val="TableParagraph"/>
              <w:rPr>
                <w:rFonts w:ascii="Times New Roman"/>
                <w:sz w:val="20"/>
              </w:rPr>
            </w:pPr>
          </w:p>
        </w:tc>
        <w:tc>
          <w:tcPr>
            <w:tcW w:w="1667" w:type="dxa"/>
          </w:tcPr>
          <w:p>
            <w:pPr>
              <w:pStyle w:val="TableParagraph"/>
              <w:spacing w:before="34"/>
              <w:ind w:left="196"/>
              <w:rPr>
                <w:rFonts w:ascii="Microsoft JhengHei" w:eastAsia="Microsoft JhengHei" w:hint="eastAsia"/>
                <w:b/>
                <w:sz w:val="21"/>
              </w:rPr>
            </w:pPr>
            <w:r>
              <w:rPr>
                <w:rFonts w:ascii="Microsoft JhengHei" w:eastAsia="Microsoft JhengHei" w:hint="eastAsia"/>
                <w:b/>
                <w:sz w:val="21"/>
              </w:rPr>
              <w:t>等待期</w:t>
            </w:r>
          </w:p>
        </w:tc>
        <w:tc>
          <w:tcPr>
            <w:tcW w:w="6934" w:type="dxa"/>
          </w:tcPr>
          <w:p>
            <w:pPr>
              <w:pStyle w:val="TableParagraph"/>
              <w:spacing w:line="210" w:lineRule="exact"/>
              <w:ind w:left="210"/>
              <w:rPr>
                <w:sz w:val="21"/>
              </w:rPr>
            </w:pPr>
            <w:r>
              <w:rPr>
                <w:sz w:val="21"/>
              </w:rPr>
              <w:t>自本附加险合同生效（或最后复效）之日起一年内（含</w:t>
            </w:r>
            <w:r>
              <w:rPr>
                <w:spacing w:val="-105"/>
                <w:sz w:val="21"/>
              </w:rPr>
              <w:t>）</w:t>
            </w:r>
            <w:r>
              <w:rPr>
                <w:sz w:val="21"/>
              </w:rPr>
              <w:t>，被保险人发生</w:t>
            </w:r>
          </w:p>
          <w:p>
            <w:pPr>
              <w:pStyle w:val="TableParagraph"/>
              <w:spacing w:line="273" w:lineRule="auto" w:before="37"/>
              <w:ind w:left="210" w:right="104"/>
              <w:jc w:val="both"/>
              <w:rPr>
                <w:sz w:val="21"/>
              </w:rPr>
            </w:pPr>
            <w:r>
              <w:rPr>
                <w:sz w:val="21"/>
              </w:rPr>
              <w:t>本附加险合同约定的</w:t>
            </w:r>
            <w:r>
              <w:rPr>
                <w:b/>
                <w:spacing w:val="0"/>
                <w:sz w:val="21"/>
              </w:rPr>
              <w:t>重大疾病</w:t>
            </w:r>
            <w:r>
              <w:rPr>
                <w:sz w:val="21"/>
              </w:rPr>
              <w:t>或因导致重大疾病的相关疾病就诊，我们</w:t>
            </w:r>
            <w:r>
              <w:rPr>
                <w:spacing w:val="-9"/>
                <w:sz w:val="21"/>
              </w:rPr>
              <w:t>不承担保险责任，但无息退还您已交本附加险保险费，同时退还主险合同</w:t>
            </w:r>
            <w:r>
              <w:rPr>
                <w:spacing w:val="-13"/>
                <w:sz w:val="21"/>
              </w:rPr>
              <w:t>已交保险费，主险合同与本附加险合同同时终止。如果主险合同有累积红</w:t>
            </w:r>
            <w:hyperlink r:id="rId21">
              <w:r>
                <w:rPr>
                  <w:spacing w:val="-13"/>
                  <w:sz w:val="21"/>
                </w:rPr>
                <w:t>利保险金额</w:t>
              </w:r>
            </w:hyperlink>
            <w:r>
              <w:rPr>
                <w:spacing w:val="-14"/>
                <w:sz w:val="21"/>
              </w:rPr>
              <w:t>和终了红利，我们按主险合同的约定给付其累积红利</w:t>
            </w:r>
            <w:hyperlink r:id="rId21">
              <w:r>
                <w:rPr>
                  <w:sz w:val="21"/>
                </w:rPr>
                <w:t>保险金额</w:t>
              </w:r>
            </w:hyperlink>
            <w:r>
              <w:rPr>
                <w:sz w:val="21"/>
              </w:rPr>
              <w:t>所对应的现金价值，终了红利将以特别红利的形式给付。</w:t>
            </w:r>
          </w:p>
          <w:p>
            <w:pPr>
              <w:pStyle w:val="TableParagraph"/>
              <w:spacing w:line="273" w:lineRule="auto" w:before="7"/>
              <w:ind w:left="210" w:right="108"/>
              <w:jc w:val="both"/>
              <w:rPr>
                <w:sz w:val="21"/>
              </w:rPr>
            </w:pPr>
            <w:r>
              <w:rPr>
                <w:sz w:val="21"/>
              </w:rPr>
              <w:t>这一年的时间称为等待期；被保险人因</w:t>
            </w:r>
            <w:r>
              <w:rPr>
                <w:b/>
                <w:sz w:val="21"/>
              </w:rPr>
              <w:t>意外伤害</w:t>
            </w:r>
            <w:r>
              <w:rPr>
                <w:sz w:val="21"/>
              </w:rPr>
              <w:t>事故发生上述情形之一的，无等待期。</w:t>
            </w:r>
          </w:p>
          <w:p>
            <w:pPr>
              <w:pStyle w:val="TableParagraph"/>
              <w:spacing w:before="7"/>
              <w:ind w:left="210"/>
              <w:jc w:val="both"/>
              <w:rPr>
                <w:sz w:val="21"/>
              </w:rPr>
            </w:pPr>
            <w:r>
              <w:rPr>
                <w:sz w:val="21"/>
              </w:rPr>
              <w:t>如果在等待期后发生重大疾病，我们按照下列方式给付保险金：</w:t>
            </w:r>
          </w:p>
        </w:tc>
      </w:tr>
      <w:tr>
        <w:trPr>
          <w:trHeight w:val="2652" w:hRule="atLeast"/>
        </w:trPr>
        <w:tc>
          <w:tcPr>
            <w:tcW w:w="768" w:type="dxa"/>
          </w:tcPr>
          <w:p>
            <w:pPr>
              <w:pStyle w:val="TableParagraph"/>
              <w:rPr>
                <w:rFonts w:ascii="Times New Roman"/>
                <w:sz w:val="20"/>
              </w:rPr>
            </w:pPr>
          </w:p>
        </w:tc>
        <w:tc>
          <w:tcPr>
            <w:tcW w:w="1667" w:type="dxa"/>
          </w:tcPr>
          <w:p>
            <w:pPr>
              <w:pStyle w:val="TableParagraph"/>
              <w:spacing w:before="6"/>
              <w:rPr>
                <w:rFonts w:ascii="Times New Roman"/>
                <w:sz w:val="34"/>
              </w:rPr>
            </w:pPr>
          </w:p>
          <w:p>
            <w:pPr>
              <w:pStyle w:val="TableParagraph"/>
              <w:spacing w:line="410" w:lineRule="auto"/>
              <w:ind w:left="196" w:right="208"/>
              <w:rPr>
                <w:rFonts w:ascii="Microsoft JhengHei" w:eastAsia="Microsoft JhengHei" w:hint="eastAsia"/>
                <w:b/>
                <w:sz w:val="21"/>
              </w:rPr>
            </w:pPr>
            <w:r>
              <w:rPr>
                <w:rFonts w:ascii="Microsoft JhengHei" w:eastAsia="Microsoft JhengHei" w:hint="eastAsia"/>
                <w:b/>
                <w:sz w:val="21"/>
              </w:rPr>
              <w:t>重大疾病保险金</w:t>
            </w:r>
          </w:p>
        </w:tc>
        <w:tc>
          <w:tcPr>
            <w:tcW w:w="6934" w:type="dxa"/>
          </w:tcPr>
          <w:p>
            <w:pPr>
              <w:pStyle w:val="TableParagraph"/>
              <w:spacing w:before="10"/>
              <w:rPr>
                <w:rFonts w:ascii="Times New Roman"/>
                <w:sz w:val="25"/>
              </w:rPr>
            </w:pPr>
          </w:p>
          <w:p>
            <w:pPr>
              <w:pStyle w:val="TableParagraph"/>
              <w:spacing w:line="273" w:lineRule="auto"/>
              <w:ind w:left="210" w:right="105"/>
              <w:jc w:val="both"/>
              <w:rPr>
                <w:sz w:val="21"/>
              </w:rPr>
            </w:pPr>
            <w:r>
              <w:rPr>
                <w:sz w:val="21"/>
              </w:rPr>
              <w:t>被保险人在本附加险合同有效期内经</w:t>
            </w:r>
            <w:r>
              <w:rPr>
                <w:b/>
                <w:spacing w:val="0"/>
                <w:sz w:val="21"/>
              </w:rPr>
              <w:t>专科医生</w:t>
            </w:r>
            <w:r>
              <w:rPr>
                <w:sz w:val="21"/>
              </w:rPr>
              <w:t>明确诊断初次发生本附加</w:t>
            </w:r>
            <w:r>
              <w:rPr>
                <w:spacing w:val="-11"/>
                <w:sz w:val="21"/>
              </w:rPr>
              <w:t>险合同约定的重大疾病</w:t>
            </w:r>
            <w:r>
              <w:rPr>
                <w:sz w:val="21"/>
              </w:rPr>
              <w:t>（在本附加险合同生效日之前已患的有关疾病或症状除外），</w:t>
            </w:r>
            <w:r>
              <w:rPr>
                <w:spacing w:val="-14"/>
                <w:sz w:val="21"/>
              </w:rPr>
              <w:t>且确诊 </w:t>
            </w:r>
            <w:r>
              <w:rPr>
                <w:sz w:val="21"/>
              </w:rPr>
              <w:t>15</w:t>
            </w:r>
            <w:r>
              <w:rPr>
                <w:spacing w:val="-8"/>
                <w:sz w:val="21"/>
              </w:rPr>
              <w:t> 天后仍生存，我们按保险单载明的基本保险金额向</w:t>
            </w:r>
            <w:r>
              <w:rPr>
                <w:spacing w:val="-14"/>
                <w:sz w:val="21"/>
              </w:rPr>
              <w:t>重大疾病保险金受益人给付“重大疾病保险金”，本附加险合同终止，主</w:t>
            </w:r>
            <w:r>
              <w:rPr>
                <w:sz w:val="21"/>
              </w:rPr>
              <w:t>险合同也同时终止。</w:t>
            </w:r>
          </w:p>
          <w:p>
            <w:pPr>
              <w:pStyle w:val="TableParagraph"/>
              <w:spacing w:line="273" w:lineRule="auto" w:before="7"/>
              <w:ind w:left="210" w:right="106"/>
              <w:jc w:val="both"/>
              <w:rPr>
                <w:sz w:val="21"/>
              </w:rPr>
            </w:pPr>
            <w:r>
              <w:rPr>
                <w:spacing w:val="-11"/>
                <w:sz w:val="21"/>
              </w:rPr>
              <w:t>在任何情形下，我们仅给付本附加险合同约定的重大疾病保险金和主险合同约定的高度残疾保险金中的一项，不再给付另一项保险金。</w:t>
            </w:r>
          </w:p>
        </w:tc>
      </w:tr>
      <w:tr>
        <w:trPr>
          <w:trHeight w:val="5688" w:hRule="atLeast"/>
        </w:trPr>
        <w:tc>
          <w:tcPr>
            <w:tcW w:w="768" w:type="dxa"/>
          </w:tcPr>
          <w:p>
            <w:pPr>
              <w:pStyle w:val="TableParagraph"/>
              <w:spacing w:before="142"/>
              <w:ind w:left="107"/>
              <w:rPr>
                <w:b/>
                <w:sz w:val="21"/>
              </w:rPr>
            </w:pPr>
            <w:r>
              <w:rPr>
                <w:b/>
                <w:sz w:val="21"/>
              </w:rPr>
              <w:t>2.3</w:t>
            </w:r>
          </w:p>
        </w:tc>
        <w:tc>
          <w:tcPr>
            <w:tcW w:w="1667" w:type="dxa"/>
          </w:tcPr>
          <w:p>
            <w:pPr>
              <w:pStyle w:val="TableParagraph"/>
              <w:spacing w:before="142"/>
              <w:ind w:left="196"/>
              <w:rPr>
                <w:rFonts w:ascii="黑体" w:eastAsia="黑体" w:hint="eastAsia"/>
                <w:b/>
                <w:sz w:val="21"/>
              </w:rPr>
            </w:pPr>
            <w:r>
              <w:rPr>
                <w:rFonts w:ascii="黑体" w:eastAsia="黑体" w:hint="eastAsia"/>
                <w:b/>
                <w:sz w:val="21"/>
              </w:rPr>
              <w:t>责任免除</w:t>
            </w:r>
          </w:p>
        </w:tc>
        <w:tc>
          <w:tcPr>
            <w:tcW w:w="6934" w:type="dxa"/>
          </w:tcPr>
          <w:p>
            <w:pPr>
              <w:pStyle w:val="TableParagraph"/>
              <w:spacing w:line="273" w:lineRule="auto" w:before="142"/>
              <w:ind w:left="210" w:right="104"/>
              <w:rPr>
                <w:rFonts w:ascii="黑体" w:eastAsia="黑体" w:hint="eastAsia"/>
                <w:sz w:val="21"/>
              </w:rPr>
            </w:pPr>
            <w:r>
              <w:rPr>
                <w:rFonts w:ascii="黑体" w:eastAsia="黑体" w:hint="eastAsia"/>
                <w:spacing w:val="-7"/>
                <w:sz w:val="21"/>
              </w:rPr>
              <w:t>因下列情形之一，导致被保险人初次发</w:t>
            </w:r>
            <w:r>
              <w:rPr>
                <w:rFonts w:ascii="黑体" w:eastAsia="黑体" w:hint="eastAsia"/>
                <w:sz w:val="21"/>
              </w:rPr>
              <w:t>Th</w:t>
            </w:r>
            <w:r>
              <w:rPr>
                <w:rFonts w:ascii="黑体" w:eastAsia="黑体" w:hint="eastAsia"/>
                <w:spacing w:val="-8"/>
                <w:sz w:val="21"/>
              </w:rPr>
              <w:t>疾病、达到疾病状态或进行手术的，我们不承担保险责任：</w:t>
            </w:r>
          </w:p>
          <w:p>
            <w:pPr>
              <w:pStyle w:val="TableParagraph"/>
              <w:numPr>
                <w:ilvl w:val="0"/>
                <w:numId w:val="2"/>
              </w:numPr>
              <w:tabs>
                <w:tab w:pos="841" w:val="left" w:leader="none"/>
              </w:tabs>
              <w:spacing w:line="240" w:lineRule="auto" w:before="8" w:after="0"/>
              <w:ind w:left="840" w:right="0" w:hanging="630"/>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2"/>
              </w:numPr>
              <w:tabs>
                <w:tab w:pos="841" w:val="left" w:leader="none"/>
              </w:tabs>
              <w:spacing w:line="240" w:lineRule="auto" w:before="37" w:after="0"/>
              <w:ind w:left="840" w:right="0" w:hanging="630"/>
              <w:jc w:val="left"/>
              <w:rPr>
                <w:rFonts w:ascii="黑体" w:eastAsia="黑体" w:hint="eastAsia"/>
                <w:sz w:val="21"/>
              </w:rPr>
            </w:pPr>
            <w:r>
              <w:rPr>
                <w:rFonts w:ascii="黑体" w:eastAsia="黑体" w:hint="eastAsia"/>
                <w:sz w:val="21"/>
              </w:rPr>
              <w:t>被保险人故意自伤、故意犯罪或抗拒依法采取的刑事强制措施；</w:t>
            </w:r>
          </w:p>
          <w:p>
            <w:pPr>
              <w:pStyle w:val="TableParagraph"/>
              <w:numPr>
                <w:ilvl w:val="0"/>
                <w:numId w:val="2"/>
              </w:numPr>
              <w:tabs>
                <w:tab w:pos="841" w:val="left" w:leader="none"/>
              </w:tabs>
              <w:spacing w:line="240" w:lineRule="auto" w:before="37" w:after="0"/>
              <w:ind w:left="840" w:right="0" w:hanging="630"/>
              <w:jc w:val="left"/>
              <w:rPr>
                <w:rFonts w:ascii="黑体" w:eastAsia="黑体" w:hint="eastAsia"/>
                <w:sz w:val="21"/>
              </w:rPr>
            </w:pPr>
            <w:r>
              <w:rPr>
                <w:rFonts w:ascii="黑体" w:eastAsia="黑体" w:hint="eastAsia"/>
                <w:sz w:val="21"/>
              </w:rPr>
              <w:t>被保险人服用、吸食或注射</w:t>
            </w:r>
            <w:r>
              <w:rPr>
                <w:rFonts w:ascii="黑体" w:eastAsia="黑体" w:hint="eastAsia"/>
                <w:b/>
                <w:sz w:val="21"/>
              </w:rPr>
              <w:t>毒品</w:t>
            </w:r>
            <w:r>
              <w:rPr>
                <w:rFonts w:ascii="黑体" w:eastAsia="黑体" w:hint="eastAsia"/>
                <w:sz w:val="21"/>
              </w:rPr>
              <w:t>；</w:t>
            </w:r>
          </w:p>
          <w:p>
            <w:pPr>
              <w:pStyle w:val="TableParagraph"/>
              <w:numPr>
                <w:ilvl w:val="0"/>
                <w:numId w:val="2"/>
              </w:numPr>
              <w:tabs>
                <w:tab w:pos="853" w:val="left" w:leader="none"/>
              </w:tabs>
              <w:spacing w:line="273" w:lineRule="auto" w:before="37" w:after="0"/>
              <w:ind w:left="840" w:right="102" w:hanging="630"/>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numPr>
                <w:ilvl w:val="0"/>
                <w:numId w:val="2"/>
              </w:numPr>
              <w:tabs>
                <w:tab w:pos="841" w:val="left" w:leader="none"/>
              </w:tabs>
              <w:spacing w:line="240" w:lineRule="auto" w:before="7" w:after="0"/>
              <w:ind w:left="840" w:right="0" w:hanging="63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p>
          <w:p>
            <w:pPr>
              <w:pStyle w:val="TableParagraph"/>
              <w:numPr>
                <w:ilvl w:val="0"/>
                <w:numId w:val="2"/>
              </w:numPr>
              <w:tabs>
                <w:tab w:pos="841" w:val="left" w:leader="none"/>
              </w:tabs>
              <w:spacing w:line="240" w:lineRule="auto" w:before="36" w:after="0"/>
              <w:ind w:left="840" w:right="0" w:hanging="630"/>
              <w:jc w:val="left"/>
              <w:rPr>
                <w:rFonts w:ascii="黑体" w:eastAsia="黑体" w:hint="eastAsia"/>
                <w:sz w:val="21"/>
              </w:rPr>
            </w:pPr>
            <w:r>
              <w:rPr>
                <w:rFonts w:ascii="黑体" w:eastAsia="黑体" w:hint="eastAsia"/>
                <w:sz w:val="21"/>
              </w:rPr>
              <w:t>战争、军事冲突、暴乱或武装叛乱；</w:t>
            </w:r>
          </w:p>
          <w:p>
            <w:pPr>
              <w:pStyle w:val="TableParagraph"/>
              <w:numPr>
                <w:ilvl w:val="0"/>
                <w:numId w:val="2"/>
              </w:numPr>
              <w:tabs>
                <w:tab w:pos="841" w:val="left" w:leader="none"/>
              </w:tabs>
              <w:spacing w:line="240" w:lineRule="auto" w:before="36" w:after="0"/>
              <w:ind w:left="840" w:right="0" w:hanging="630"/>
              <w:jc w:val="left"/>
              <w:rPr>
                <w:rFonts w:ascii="黑体" w:eastAsia="黑体" w:hint="eastAsia"/>
                <w:sz w:val="21"/>
              </w:rPr>
            </w:pPr>
            <w:r>
              <w:rPr>
                <w:rFonts w:ascii="黑体" w:eastAsia="黑体" w:hint="eastAsia"/>
                <w:sz w:val="21"/>
              </w:rPr>
              <w:t>核爆炸、核辐射或核污染；</w:t>
            </w:r>
          </w:p>
          <w:p>
            <w:pPr>
              <w:pStyle w:val="TableParagraph"/>
              <w:numPr>
                <w:ilvl w:val="0"/>
                <w:numId w:val="2"/>
              </w:numPr>
              <w:tabs>
                <w:tab w:pos="841" w:val="left" w:leader="none"/>
              </w:tabs>
              <w:spacing w:line="240" w:lineRule="auto" w:before="36" w:after="0"/>
              <w:ind w:left="840" w:right="0" w:hanging="630"/>
              <w:jc w:val="left"/>
              <w:rPr>
                <w:rFonts w:ascii="黑体" w:eastAsia="黑体" w:hint="eastAsia"/>
                <w:sz w:val="21"/>
              </w:rPr>
            </w:pP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TableParagraph"/>
              <w:spacing w:before="8"/>
              <w:rPr>
                <w:rFonts w:ascii="Times New Roman"/>
                <w:sz w:val="16"/>
              </w:rPr>
            </w:pPr>
          </w:p>
          <w:p>
            <w:pPr>
              <w:pStyle w:val="TableParagraph"/>
              <w:spacing w:line="273" w:lineRule="auto"/>
              <w:ind w:left="210" w:right="104"/>
              <w:jc w:val="both"/>
              <w:rPr>
                <w:rFonts w:ascii="黑体" w:eastAsia="黑体" w:hint="eastAsia"/>
                <w:sz w:val="21"/>
              </w:rPr>
            </w:pPr>
            <w:r>
              <w:rPr>
                <w:rFonts w:ascii="黑体" w:eastAsia="黑体" w:hint="eastAsia"/>
                <w:sz w:val="21"/>
              </w:rPr>
              <w:t>发Th上述第（1）项情形导致被保险人发Th重大疾病的，本附加险合同终</w:t>
            </w:r>
            <w:r>
              <w:rPr>
                <w:rFonts w:ascii="黑体" w:eastAsia="黑体" w:hint="eastAsia"/>
                <w:spacing w:val="-11"/>
                <w:sz w:val="21"/>
              </w:rPr>
              <w:t>止，您已交足两年以上保险费的，我们向其他权利人退还本附加险合同的</w:t>
            </w:r>
            <w:r>
              <w:rPr>
                <w:rFonts w:ascii="黑体" w:eastAsia="黑体" w:hint="eastAsia"/>
                <w:b/>
                <w:spacing w:val="-11"/>
                <w:sz w:val="21"/>
              </w:rPr>
              <w:t>现金价值</w:t>
            </w:r>
            <w:r>
              <w:rPr>
                <w:rFonts w:ascii="黑体" w:eastAsia="黑体" w:hint="eastAsia"/>
                <w:spacing w:val="-11"/>
                <w:sz w:val="21"/>
              </w:rPr>
              <w:t>。</w:t>
            </w:r>
          </w:p>
          <w:p>
            <w:pPr>
              <w:pStyle w:val="TableParagraph"/>
              <w:spacing w:line="273" w:lineRule="auto" w:before="163"/>
              <w:ind w:left="210" w:right="104"/>
              <w:rPr>
                <w:rFonts w:ascii="黑体" w:eastAsia="黑体" w:hint="eastAsia"/>
                <w:sz w:val="21"/>
              </w:rPr>
            </w:pPr>
            <w:r>
              <w:rPr>
                <w:rFonts w:ascii="黑体" w:eastAsia="黑体" w:hint="eastAsia"/>
                <w:sz w:val="21"/>
              </w:rPr>
              <w:t>发Th上述其他情形导致被保险人发Th</w:t>
            </w:r>
            <w:r>
              <w:rPr>
                <w:rFonts w:ascii="黑体" w:eastAsia="黑体" w:hint="eastAsia"/>
                <w:spacing w:val="-10"/>
                <w:sz w:val="21"/>
              </w:rPr>
              <w:t>重大疾病的，本附加险合同终止，我们向投保人退还本附加险合同的现金价值。</w:t>
            </w:r>
          </w:p>
        </w:tc>
      </w:tr>
      <w:tr>
        <w:trPr>
          <w:trHeight w:val="865" w:hRule="atLeast"/>
        </w:trPr>
        <w:tc>
          <w:tcPr>
            <w:tcW w:w="768" w:type="dxa"/>
            <w:tcBorders>
              <w:bottom w:val="single" w:sz="4" w:space="0" w:color="000000"/>
            </w:tcBorders>
          </w:tcPr>
          <w:p>
            <w:pPr>
              <w:pStyle w:val="TableParagraph"/>
              <w:spacing w:before="229"/>
              <w:ind w:left="107"/>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3"/>
              <w:rPr>
                <w:rFonts w:ascii="Times New Roman"/>
                <w:sz w:val="28"/>
              </w:rPr>
            </w:pPr>
          </w:p>
          <w:p>
            <w:pPr>
              <w:pStyle w:val="TableParagraph"/>
              <w:ind w:left="196"/>
              <w:rPr>
                <w:b/>
                <w:sz w:val="28"/>
              </w:rPr>
            </w:pPr>
            <w:r>
              <w:rPr>
                <w:b/>
                <w:w w:val="95"/>
                <w:sz w:val="28"/>
              </w:rPr>
              <w:t>如何申请领取保险金</w:t>
            </w:r>
          </w:p>
        </w:tc>
      </w:tr>
      <w:tr>
        <w:trPr>
          <w:trHeight w:val="884"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3.1</w:t>
            </w:r>
          </w:p>
        </w:tc>
        <w:tc>
          <w:tcPr>
            <w:tcW w:w="1667"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sz w:val="21"/>
              </w:rPr>
              <w:t>受益人</w:t>
            </w:r>
          </w:p>
        </w:tc>
        <w:tc>
          <w:tcPr>
            <w:tcW w:w="6934" w:type="dxa"/>
            <w:tcBorders>
              <w:top w:val="single" w:sz="4" w:space="0" w:color="000000"/>
            </w:tcBorders>
          </w:tcPr>
          <w:p>
            <w:pPr>
              <w:pStyle w:val="TableParagraph"/>
              <w:spacing w:before="9"/>
              <w:rPr>
                <w:rFonts w:ascii="Times New Roman"/>
                <w:sz w:val="22"/>
              </w:rPr>
            </w:pPr>
          </w:p>
          <w:p>
            <w:pPr>
              <w:pStyle w:val="TableParagraph"/>
              <w:spacing w:line="310" w:lineRule="atLeast" w:before="1"/>
              <w:ind w:left="210" w:right="106"/>
              <w:rPr>
                <w:sz w:val="21"/>
              </w:rPr>
            </w:pPr>
            <w:r>
              <w:rPr>
                <w:spacing w:val="-5"/>
                <w:sz w:val="21"/>
              </w:rPr>
              <w:t>本附加险合同重大疾病保险金受益人为被保险人本人，经被保险人或被保险人的监护人同意，我们受理指定或变更。</w:t>
            </w:r>
          </w:p>
        </w:tc>
      </w:tr>
    </w:tbl>
    <w:p>
      <w:pPr>
        <w:spacing w:after="0" w:line="310" w:lineRule="atLeast"/>
        <w:rPr>
          <w:sz w:val="21"/>
        </w:rPr>
        <w:sectPr>
          <w:pgSz w:w="11910" w:h="16840"/>
          <w:pgMar w:header="899" w:footer="994" w:top="1220" w:bottom="1180" w:left="1120" w:right="1200"/>
        </w:sectPr>
      </w:pPr>
    </w:p>
    <w:p>
      <w:pPr>
        <w:pStyle w:val="BodyText"/>
        <w:spacing w:after="1"/>
        <w:rPr>
          <w:rFonts w:ascii="Times New Roman"/>
          <w:sz w:val="28"/>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2"/>
      </w:tblGrid>
      <w:tr>
        <w:trPr>
          <w:trHeight w:val="1976" w:hRule="atLeast"/>
        </w:trPr>
        <w:tc>
          <w:tcPr>
            <w:tcW w:w="768" w:type="dxa"/>
          </w:tcPr>
          <w:p>
            <w:pPr>
              <w:pStyle w:val="TableParagraph"/>
              <w:spacing w:line="210" w:lineRule="exact"/>
              <w:ind w:left="107"/>
              <w:rPr>
                <w:b/>
                <w:sz w:val="21"/>
              </w:rPr>
            </w:pPr>
            <w:r>
              <w:rPr>
                <w:b/>
                <w:sz w:val="21"/>
              </w:rPr>
              <w:t>3.2</w:t>
            </w:r>
          </w:p>
        </w:tc>
        <w:tc>
          <w:tcPr>
            <w:tcW w:w="1668" w:type="dxa"/>
          </w:tcPr>
          <w:p>
            <w:pPr>
              <w:pStyle w:val="TableParagraph"/>
              <w:spacing w:line="210" w:lineRule="exact"/>
              <w:ind w:left="196"/>
              <w:rPr>
                <w:b/>
                <w:sz w:val="21"/>
              </w:rPr>
            </w:pPr>
            <w:r>
              <w:rPr>
                <w:b/>
                <w:w w:val="95"/>
                <w:sz w:val="21"/>
              </w:rPr>
              <w:t>保险事故通知</w:t>
            </w:r>
          </w:p>
        </w:tc>
        <w:tc>
          <w:tcPr>
            <w:tcW w:w="6932" w:type="dxa"/>
          </w:tcPr>
          <w:p>
            <w:pPr>
              <w:pStyle w:val="TableParagraph"/>
              <w:spacing w:line="210" w:lineRule="exact"/>
              <w:ind w:left="209"/>
              <w:rPr>
                <w:sz w:val="21"/>
              </w:rPr>
            </w:pPr>
            <w:r>
              <w:rPr>
                <w:sz w:val="21"/>
              </w:rPr>
              <w:t>您或受益人应在知道保险事故发生之日起 10 日内通知我们。</w:t>
            </w:r>
          </w:p>
          <w:p>
            <w:pPr>
              <w:pStyle w:val="TableParagraph"/>
              <w:spacing w:line="273" w:lineRule="auto" w:before="36"/>
              <w:ind w:left="209"/>
              <w:rPr>
                <w:sz w:val="21"/>
              </w:rPr>
            </w:pPr>
            <w:r>
              <w:rPr>
                <w:sz w:val="21"/>
              </w:rPr>
              <w:t>如果您或受益人故意或者因重大过失未及时通知，致使保险事故的性质、</w:t>
            </w:r>
            <w:r>
              <w:rPr>
                <w:spacing w:val="-11"/>
                <w:sz w:val="21"/>
              </w:rPr>
              <w:t>原因、损失程度等难以确定的，我们对无法确定的部分，不承担给付保险</w:t>
            </w:r>
            <w:r>
              <w:rPr>
                <w:spacing w:val="-13"/>
                <w:sz w:val="21"/>
              </w:rPr>
              <w:t>金的责任，但我们通过其他途径已经及时知道或者应当及时知道保险事故</w:t>
            </w:r>
            <w:r>
              <w:rPr>
                <w:spacing w:val="-17"/>
                <w:sz w:val="21"/>
              </w:rPr>
              <w:t>发生或者虽未及时通知但不影响本公司确定保险事故的性质、原因、损失程度的除外。</w:t>
            </w:r>
          </w:p>
        </w:tc>
      </w:tr>
      <w:tr>
        <w:trPr>
          <w:trHeight w:val="613" w:hRule="atLeast"/>
        </w:trPr>
        <w:tc>
          <w:tcPr>
            <w:tcW w:w="768" w:type="dxa"/>
          </w:tcPr>
          <w:p>
            <w:pPr>
              <w:pStyle w:val="TableParagraph"/>
              <w:spacing w:before="142"/>
              <w:ind w:left="107"/>
              <w:rPr>
                <w:b/>
                <w:sz w:val="21"/>
              </w:rPr>
            </w:pPr>
            <w:r>
              <w:rPr>
                <w:b/>
                <w:sz w:val="21"/>
              </w:rPr>
              <w:t>3.3</w:t>
            </w:r>
          </w:p>
        </w:tc>
        <w:tc>
          <w:tcPr>
            <w:tcW w:w="1668" w:type="dxa"/>
          </w:tcPr>
          <w:p>
            <w:pPr>
              <w:pStyle w:val="TableParagraph"/>
              <w:spacing w:before="142"/>
              <w:ind w:left="196"/>
              <w:rPr>
                <w:b/>
                <w:sz w:val="21"/>
              </w:rPr>
            </w:pPr>
            <w:r>
              <w:rPr>
                <w:b/>
                <w:w w:val="95"/>
                <w:sz w:val="21"/>
              </w:rPr>
              <w:t>保险金申请</w:t>
            </w:r>
          </w:p>
        </w:tc>
        <w:tc>
          <w:tcPr>
            <w:tcW w:w="6932" w:type="dxa"/>
          </w:tcPr>
          <w:p>
            <w:pPr>
              <w:pStyle w:val="TableParagraph"/>
              <w:spacing w:before="142"/>
              <w:ind w:left="209"/>
              <w:rPr>
                <w:sz w:val="21"/>
              </w:rPr>
            </w:pPr>
            <w:r>
              <w:rPr>
                <w:sz w:val="21"/>
              </w:rPr>
              <w:t>在申请保险金时，请按照下列方式办理：</w:t>
            </w:r>
          </w:p>
        </w:tc>
      </w:tr>
      <w:tr>
        <w:trPr>
          <w:trHeight w:val="2310" w:hRule="atLeast"/>
        </w:trPr>
        <w:tc>
          <w:tcPr>
            <w:tcW w:w="768" w:type="dxa"/>
          </w:tcPr>
          <w:p>
            <w:pPr>
              <w:pStyle w:val="TableParagraph"/>
              <w:rPr>
                <w:rFonts w:ascii="Times New Roman"/>
                <w:sz w:val="20"/>
              </w:rPr>
            </w:pPr>
          </w:p>
        </w:tc>
        <w:tc>
          <w:tcPr>
            <w:tcW w:w="1668" w:type="dxa"/>
          </w:tcPr>
          <w:p>
            <w:pPr>
              <w:pStyle w:val="TableParagraph"/>
              <w:spacing w:line="410" w:lineRule="auto" w:before="251"/>
              <w:ind w:left="196" w:right="209"/>
              <w:rPr>
                <w:rFonts w:ascii="Microsoft JhengHei" w:eastAsia="Microsoft JhengHei" w:hint="eastAsia"/>
                <w:b/>
                <w:sz w:val="21"/>
              </w:rPr>
            </w:pPr>
            <w:r>
              <w:rPr>
                <w:rFonts w:ascii="Microsoft JhengHei" w:eastAsia="Microsoft JhengHei" w:hint="eastAsia"/>
                <w:b/>
                <w:sz w:val="21"/>
              </w:rPr>
              <w:t>重大疾病保险金申请</w:t>
            </w:r>
          </w:p>
        </w:tc>
        <w:tc>
          <w:tcPr>
            <w:tcW w:w="6932" w:type="dxa"/>
          </w:tcPr>
          <w:p>
            <w:pPr>
              <w:pStyle w:val="TableParagraph"/>
              <w:spacing w:before="132"/>
              <w:ind w:left="209"/>
              <w:rPr>
                <w:sz w:val="21"/>
              </w:rPr>
            </w:pPr>
            <w:r>
              <w:rPr>
                <w:sz w:val="21"/>
              </w:rPr>
              <w:t>由被保险人填写理赔申请书，并须提供下列证明和资料：</w:t>
            </w:r>
          </w:p>
          <w:p>
            <w:pPr>
              <w:pStyle w:val="TableParagraph"/>
              <w:numPr>
                <w:ilvl w:val="0"/>
                <w:numId w:val="3"/>
              </w:numPr>
              <w:tabs>
                <w:tab w:pos="841" w:val="left" w:leader="none"/>
              </w:tabs>
              <w:spacing w:line="240" w:lineRule="auto" w:before="18" w:after="0"/>
              <w:ind w:left="845" w:right="0" w:hanging="636"/>
              <w:jc w:val="left"/>
              <w:rPr>
                <w:sz w:val="21"/>
              </w:rPr>
            </w:pPr>
            <w:r>
              <w:rPr>
                <w:spacing w:val="-1"/>
                <w:sz w:val="21"/>
              </w:rPr>
              <w:t>保险合同；</w:t>
            </w:r>
          </w:p>
          <w:p>
            <w:pPr>
              <w:pStyle w:val="TableParagraph"/>
              <w:numPr>
                <w:ilvl w:val="0"/>
                <w:numId w:val="3"/>
              </w:numPr>
              <w:tabs>
                <w:tab w:pos="841" w:val="left" w:leader="none"/>
              </w:tabs>
              <w:spacing w:line="240" w:lineRule="auto" w:before="37" w:after="0"/>
              <w:ind w:left="845" w:right="0" w:hanging="636"/>
              <w:jc w:val="left"/>
              <w:rPr>
                <w:sz w:val="21"/>
              </w:rPr>
            </w:pPr>
            <w:r>
              <w:rPr>
                <w:spacing w:val="-1"/>
                <w:sz w:val="21"/>
              </w:rPr>
              <w:t>受益人的有效身份证件；</w:t>
            </w:r>
          </w:p>
          <w:p>
            <w:pPr>
              <w:pStyle w:val="TableParagraph"/>
              <w:numPr>
                <w:ilvl w:val="0"/>
                <w:numId w:val="3"/>
              </w:numPr>
              <w:tabs>
                <w:tab w:pos="855" w:val="left" w:leader="none"/>
              </w:tabs>
              <w:spacing w:line="273" w:lineRule="auto" w:before="37" w:after="0"/>
              <w:ind w:left="845" w:right="110" w:hanging="634"/>
              <w:jc w:val="left"/>
              <w:rPr>
                <w:sz w:val="21"/>
              </w:rPr>
            </w:pPr>
            <w:r>
              <w:rPr>
                <w:b/>
                <w:spacing w:val="0"/>
                <w:sz w:val="21"/>
              </w:rPr>
              <w:t>医院</w:t>
            </w:r>
            <w:r>
              <w:rPr>
                <w:sz w:val="21"/>
              </w:rPr>
              <w:t>出具的附有病理显微镜检查、血液检验及其他科学方法检验报告的被保险人疾病诊断证明；</w:t>
            </w:r>
          </w:p>
          <w:p>
            <w:pPr>
              <w:pStyle w:val="TableParagraph"/>
              <w:numPr>
                <w:ilvl w:val="0"/>
                <w:numId w:val="3"/>
              </w:numPr>
              <w:tabs>
                <w:tab w:pos="844" w:val="left" w:leader="none"/>
              </w:tabs>
              <w:spacing w:line="240" w:lineRule="auto" w:before="7" w:after="0"/>
              <w:ind w:left="844" w:right="0" w:hanging="629"/>
              <w:jc w:val="left"/>
              <w:rPr>
                <w:sz w:val="21"/>
              </w:rPr>
            </w:pPr>
            <w:r>
              <w:rPr>
                <w:spacing w:val="-2"/>
                <w:sz w:val="21"/>
              </w:rPr>
              <w:t>所能提供的与确认保险事故性质、原因等有关的其他证明和资料。</w:t>
            </w:r>
          </w:p>
        </w:tc>
      </w:tr>
      <w:tr>
        <w:trPr>
          <w:trHeight w:val="1092"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32" w:type="dxa"/>
          </w:tcPr>
          <w:p>
            <w:pPr>
              <w:pStyle w:val="TableParagraph"/>
              <w:spacing w:before="10"/>
              <w:rPr>
                <w:rFonts w:ascii="Times New Roman"/>
                <w:sz w:val="25"/>
              </w:rPr>
            </w:pPr>
          </w:p>
          <w:p>
            <w:pPr>
              <w:pStyle w:val="TableParagraph"/>
              <w:spacing w:line="273" w:lineRule="auto"/>
              <w:ind w:left="209" w:right="104"/>
              <w:rPr>
                <w:sz w:val="21"/>
              </w:rPr>
            </w:pPr>
            <w:r>
              <w:rPr>
                <w:spacing w:val="-5"/>
                <w:sz w:val="21"/>
              </w:rPr>
              <w:t>以上重大疾病保险金申请所需证明和资料不完整的，我们将及时一次性书面通知受益人补充提供有关的证明和资料。</w:t>
            </w:r>
          </w:p>
        </w:tc>
      </w:tr>
      <w:tr>
        <w:trPr>
          <w:trHeight w:val="3744" w:hRule="atLeast"/>
        </w:trPr>
        <w:tc>
          <w:tcPr>
            <w:tcW w:w="768" w:type="dxa"/>
          </w:tcPr>
          <w:p>
            <w:pPr>
              <w:pStyle w:val="TableParagraph"/>
              <w:spacing w:before="142"/>
              <w:ind w:left="107"/>
              <w:rPr>
                <w:b/>
                <w:sz w:val="21"/>
              </w:rPr>
            </w:pPr>
            <w:r>
              <w:rPr>
                <w:b/>
                <w:sz w:val="21"/>
              </w:rPr>
              <w:t>3.4</w:t>
            </w:r>
          </w:p>
        </w:tc>
        <w:tc>
          <w:tcPr>
            <w:tcW w:w="1668" w:type="dxa"/>
          </w:tcPr>
          <w:p>
            <w:pPr>
              <w:pStyle w:val="TableParagraph"/>
              <w:spacing w:before="142"/>
              <w:ind w:left="196"/>
              <w:rPr>
                <w:b/>
                <w:sz w:val="21"/>
              </w:rPr>
            </w:pPr>
            <w:r>
              <w:rPr>
                <w:b/>
                <w:w w:val="95"/>
                <w:sz w:val="21"/>
              </w:rPr>
              <w:t>保险金的给付</w:t>
            </w:r>
          </w:p>
        </w:tc>
        <w:tc>
          <w:tcPr>
            <w:tcW w:w="6932" w:type="dxa"/>
          </w:tcPr>
          <w:p>
            <w:pPr>
              <w:pStyle w:val="TableParagraph"/>
              <w:spacing w:line="273" w:lineRule="auto" w:before="142"/>
              <w:ind w:left="209"/>
              <w:rPr>
                <w:sz w:val="21"/>
              </w:rPr>
            </w:pPr>
            <w:r>
              <w:rPr>
                <w:sz w:val="21"/>
              </w:rPr>
              <w:t>我们在收到受益人的理赔申请书及有关证明和资料后，将及时作出核定； 情形复杂的，在 30 日内作出核定。</w:t>
            </w:r>
          </w:p>
          <w:p>
            <w:pPr>
              <w:pStyle w:val="TableParagraph"/>
              <w:spacing w:line="273" w:lineRule="auto" w:before="8"/>
              <w:ind w:left="209" w:right="106"/>
              <w:jc w:val="both"/>
              <w:rPr>
                <w:sz w:val="21"/>
              </w:rPr>
            </w:pPr>
            <w:r>
              <w:rPr>
                <w:spacing w:val="-2"/>
                <w:sz w:val="21"/>
              </w:rPr>
              <w:t>对属于保险责任的，我们在与受益人达成给付保险金的协议后 </w:t>
            </w:r>
            <w:r>
              <w:rPr>
                <w:sz w:val="21"/>
              </w:rPr>
              <w:t>10</w:t>
            </w:r>
            <w:r>
              <w:rPr>
                <w:spacing w:val="-14"/>
                <w:sz w:val="21"/>
              </w:rPr>
              <w:t> 日内， 履行给付保险金义务。</w:t>
            </w:r>
          </w:p>
          <w:p>
            <w:pPr>
              <w:pStyle w:val="TableParagraph"/>
              <w:spacing w:line="273" w:lineRule="auto" w:before="7"/>
              <w:ind w:left="209" w:right="104"/>
              <w:jc w:val="both"/>
              <w:rPr>
                <w:sz w:val="21"/>
              </w:rPr>
            </w:pPr>
            <w:r>
              <w:rPr>
                <w:spacing w:val="-7"/>
                <w:sz w:val="21"/>
              </w:rPr>
              <w:t>我们未及时履行前款规定义务的，除支付保险金外，应当赔偿受益人因此受到的损失。</w:t>
            </w:r>
          </w:p>
          <w:p>
            <w:pPr>
              <w:pStyle w:val="TableParagraph"/>
              <w:spacing w:line="273" w:lineRule="auto" w:before="7"/>
              <w:ind w:left="209" w:right="104"/>
              <w:jc w:val="both"/>
              <w:rPr>
                <w:sz w:val="21"/>
              </w:rPr>
            </w:pPr>
            <w:r>
              <w:rPr>
                <w:spacing w:val="-12"/>
                <w:sz w:val="21"/>
              </w:rPr>
              <w:t>对不属于保险责任的，我们自作出核定之日起 </w:t>
            </w:r>
            <w:r>
              <w:rPr>
                <w:sz w:val="21"/>
              </w:rPr>
              <w:t>3</w:t>
            </w:r>
            <w:r>
              <w:rPr>
                <w:spacing w:val="-8"/>
                <w:sz w:val="21"/>
              </w:rPr>
              <w:t> 日内向受益人发出拒绝给付保险金通知书并说明理由。</w:t>
            </w:r>
          </w:p>
          <w:p>
            <w:pPr>
              <w:pStyle w:val="TableParagraph"/>
              <w:spacing w:line="273" w:lineRule="auto" w:before="7"/>
              <w:ind w:left="209" w:right="104"/>
              <w:jc w:val="both"/>
              <w:rPr>
                <w:sz w:val="21"/>
              </w:rPr>
            </w:pPr>
            <w:r>
              <w:rPr>
                <w:spacing w:val="-3"/>
                <w:sz w:val="21"/>
              </w:rPr>
              <w:t>我们在收到理赔申请书及有关证明和资料之日起 </w:t>
            </w:r>
            <w:r>
              <w:rPr>
                <w:sz w:val="21"/>
              </w:rPr>
              <w:t>60</w:t>
            </w:r>
            <w:r>
              <w:rPr>
                <w:spacing w:val="-8"/>
                <w:sz w:val="21"/>
              </w:rPr>
              <w:t> 日内，对给付保险金</w:t>
            </w:r>
            <w:r>
              <w:rPr>
                <w:spacing w:val="-13"/>
                <w:sz w:val="21"/>
              </w:rPr>
              <w:t>的数额不能确定的，根据已有证明和资料可以确定的数额先予支付；我们最终确定给付保险金的数额后，将支付相应的差额。</w:t>
            </w:r>
          </w:p>
        </w:tc>
      </w:tr>
      <w:tr>
        <w:trPr>
          <w:trHeight w:val="930" w:hRule="atLeast"/>
        </w:trPr>
        <w:tc>
          <w:tcPr>
            <w:tcW w:w="768" w:type="dxa"/>
          </w:tcPr>
          <w:p>
            <w:pPr>
              <w:pStyle w:val="TableParagraph"/>
              <w:spacing w:before="142"/>
              <w:ind w:left="107"/>
              <w:rPr>
                <w:b/>
                <w:sz w:val="21"/>
              </w:rPr>
            </w:pPr>
            <w:r>
              <w:rPr>
                <w:b/>
                <w:sz w:val="21"/>
              </w:rPr>
              <w:t>3.5</w:t>
            </w:r>
          </w:p>
        </w:tc>
        <w:tc>
          <w:tcPr>
            <w:tcW w:w="1668" w:type="dxa"/>
          </w:tcPr>
          <w:p>
            <w:pPr>
              <w:pStyle w:val="TableParagraph"/>
              <w:spacing w:before="142"/>
              <w:ind w:left="196"/>
              <w:rPr>
                <w:b/>
                <w:sz w:val="21"/>
              </w:rPr>
            </w:pPr>
            <w:r>
              <w:rPr>
                <w:b/>
                <w:sz w:val="21"/>
              </w:rPr>
              <w:t>诉讼时效</w:t>
            </w:r>
          </w:p>
        </w:tc>
        <w:tc>
          <w:tcPr>
            <w:tcW w:w="6932" w:type="dxa"/>
          </w:tcPr>
          <w:p>
            <w:pPr>
              <w:pStyle w:val="TableParagraph"/>
              <w:spacing w:line="273" w:lineRule="auto" w:before="142"/>
              <w:ind w:left="209" w:right="104"/>
              <w:rPr>
                <w:sz w:val="21"/>
              </w:rPr>
            </w:pPr>
            <w:r>
              <w:rPr>
                <w:spacing w:val="-3"/>
                <w:sz w:val="21"/>
              </w:rPr>
              <w:t>受益人对我们请求给付保险金的诉讼时效期间为 </w:t>
            </w:r>
            <w:r>
              <w:rPr>
                <w:sz w:val="21"/>
              </w:rPr>
              <w:t>5</w:t>
            </w:r>
            <w:r>
              <w:rPr>
                <w:spacing w:val="-17"/>
                <w:sz w:val="21"/>
              </w:rPr>
              <w:t> 年，自其知道或者应当知道保险事故发生之日起计算。</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84"/>
                <w:sz w:val="52"/>
              </w:rPr>
              <w:t></w:t>
            </w:r>
          </w:p>
        </w:tc>
        <w:tc>
          <w:tcPr>
            <w:tcW w:w="8600" w:type="dxa"/>
            <w:gridSpan w:val="2"/>
            <w:tcBorders>
              <w:bottom w:val="single" w:sz="4" w:space="0" w:color="000000"/>
            </w:tcBorders>
          </w:tcPr>
          <w:p>
            <w:pPr>
              <w:pStyle w:val="TableParagraph"/>
              <w:spacing w:before="247"/>
              <w:ind w:left="196"/>
              <w:rPr>
                <w:b/>
                <w:sz w:val="28"/>
              </w:rPr>
            </w:pPr>
            <w:r>
              <w:rPr>
                <w:b/>
                <w:w w:val="95"/>
                <w:sz w:val="28"/>
              </w:rPr>
              <w:t>如何交纳保险费</w:t>
            </w:r>
          </w:p>
        </w:tc>
      </w:tr>
      <w:tr>
        <w:trPr>
          <w:trHeight w:val="1716"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4.1</w:t>
            </w:r>
          </w:p>
        </w:tc>
        <w:tc>
          <w:tcPr>
            <w:tcW w:w="1668"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w w:val="95"/>
                <w:sz w:val="21"/>
              </w:rPr>
              <w:t>保险费的交纳</w:t>
            </w:r>
          </w:p>
        </w:tc>
        <w:tc>
          <w:tcPr>
            <w:tcW w:w="6932" w:type="dxa"/>
            <w:tcBorders>
              <w:top w:val="single" w:sz="4" w:space="0" w:color="000000"/>
            </w:tcBorders>
          </w:tcPr>
          <w:p>
            <w:pPr>
              <w:pStyle w:val="TableParagraph"/>
              <w:spacing w:before="10"/>
              <w:rPr>
                <w:rFonts w:ascii="Times New Roman"/>
                <w:sz w:val="25"/>
              </w:rPr>
            </w:pPr>
          </w:p>
          <w:p>
            <w:pPr>
              <w:pStyle w:val="TableParagraph"/>
              <w:spacing w:line="273" w:lineRule="auto"/>
              <w:ind w:left="209"/>
              <w:rPr>
                <w:sz w:val="21"/>
              </w:rPr>
            </w:pPr>
            <w:r>
              <w:rPr>
                <w:sz w:val="21"/>
              </w:rPr>
              <w:t>本附加险合同的交费方式和交费期间由您和我们约定并在保险单上载明。</w:t>
            </w:r>
            <w:r>
              <w:rPr>
                <w:spacing w:val="-9"/>
                <w:sz w:val="21"/>
              </w:rPr>
              <w:t>分期交纳保险费的，在交纳首期保险费后，您应当按约定的交费日期交纳其余各期的保险费。</w:t>
            </w:r>
          </w:p>
          <w:p>
            <w:pPr>
              <w:pStyle w:val="TableParagraph"/>
              <w:spacing w:before="7"/>
              <w:ind w:left="209"/>
              <w:rPr>
                <w:sz w:val="21"/>
              </w:rPr>
            </w:pPr>
            <w:r>
              <w:rPr>
                <w:sz w:val="21"/>
              </w:rPr>
              <w:t>本附加险合同的保险费必须随主险合同保险费一同支付，不能单独交纳。</w:t>
            </w:r>
          </w:p>
        </w:tc>
      </w:tr>
      <w:tr>
        <w:trPr>
          <w:trHeight w:val="416" w:hRule="atLeast"/>
        </w:trPr>
        <w:tc>
          <w:tcPr>
            <w:tcW w:w="768" w:type="dxa"/>
          </w:tcPr>
          <w:p>
            <w:pPr>
              <w:pStyle w:val="TableParagraph"/>
              <w:spacing w:line="255" w:lineRule="exact" w:before="142"/>
              <w:ind w:left="107"/>
              <w:rPr>
                <w:b/>
                <w:sz w:val="21"/>
              </w:rPr>
            </w:pPr>
            <w:r>
              <w:rPr>
                <w:b/>
                <w:sz w:val="21"/>
              </w:rPr>
              <w:t>4.2</w:t>
            </w:r>
          </w:p>
        </w:tc>
        <w:tc>
          <w:tcPr>
            <w:tcW w:w="1668" w:type="dxa"/>
          </w:tcPr>
          <w:p>
            <w:pPr>
              <w:pStyle w:val="TableParagraph"/>
              <w:spacing w:line="255" w:lineRule="exact" w:before="142"/>
              <w:ind w:left="196"/>
              <w:rPr>
                <w:b/>
                <w:sz w:val="21"/>
              </w:rPr>
            </w:pPr>
            <w:r>
              <w:rPr>
                <w:b/>
                <w:sz w:val="21"/>
              </w:rPr>
              <w:t>宽限期</w:t>
            </w:r>
          </w:p>
        </w:tc>
        <w:tc>
          <w:tcPr>
            <w:tcW w:w="6932" w:type="dxa"/>
          </w:tcPr>
          <w:p>
            <w:pPr>
              <w:pStyle w:val="TableParagraph"/>
              <w:spacing w:line="255" w:lineRule="exact" w:before="142"/>
              <w:ind w:left="209"/>
              <w:rPr>
                <w:sz w:val="21"/>
              </w:rPr>
            </w:pPr>
            <w:r>
              <w:rPr>
                <w:sz w:val="21"/>
              </w:rPr>
              <w:t>如果您到期未交纳保险费，自保险单所约定的交费日的次日零时起 60 天</w:t>
            </w:r>
          </w:p>
        </w:tc>
      </w:tr>
    </w:tbl>
    <w:p>
      <w:pPr>
        <w:spacing w:after="0" w:line="255" w:lineRule="exact"/>
        <w:rPr>
          <w:sz w:val="21"/>
        </w:rPr>
        <w:sectPr>
          <w:pgSz w:w="11910" w:h="16840"/>
          <w:pgMar w:header="899" w:footer="994" w:top="1220" w:bottom="1180" w:left="1120" w:right="1200"/>
        </w:sectPr>
      </w:pPr>
    </w:p>
    <w:p>
      <w:pPr>
        <w:pStyle w:val="BodyText"/>
        <w:spacing w:after="1"/>
        <w:rPr>
          <w:rFonts w:ascii="Times New Roman"/>
          <w:sz w:val="28"/>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2"/>
      </w:tblGrid>
      <w:tr>
        <w:trPr>
          <w:trHeight w:val="1346"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32" w:type="dxa"/>
          </w:tcPr>
          <w:p>
            <w:pPr>
              <w:pStyle w:val="TableParagraph"/>
              <w:spacing w:line="210" w:lineRule="exact"/>
              <w:ind w:left="209"/>
              <w:rPr>
                <w:sz w:val="21"/>
              </w:rPr>
            </w:pPr>
            <w:r>
              <w:rPr>
                <w:sz w:val="21"/>
              </w:rPr>
              <w:t>为宽限期。宽限期内发生的保险事故，我们仍会承担保险责任，但在给付</w:t>
            </w:r>
          </w:p>
          <w:p>
            <w:pPr>
              <w:pStyle w:val="TableParagraph"/>
              <w:spacing w:before="36"/>
              <w:ind w:left="209"/>
              <w:rPr>
                <w:sz w:val="21"/>
              </w:rPr>
            </w:pPr>
            <w:r>
              <w:rPr>
                <w:sz w:val="21"/>
              </w:rPr>
              <w:t>保险金时会扣除您欠交的保险费。</w:t>
            </w:r>
          </w:p>
          <w:p>
            <w:pPr>
              <w:pStyle w:val="TableParagraph"/>
              <w:spacing w:line="273" w:lineRule="auto" w:before="37"/>
              <w:ind w:left="209"/>
              <w:rPr>
                <w:sz w:val="21"/>
              </w:rPr>
            </w:pPr>
            <w:r>
              <w:rPr>
                <w:sz w:val="21"/>
              </w:rPr>
              <w:t>如果您在宽限期结束之时仍未交纳保险费，除非本附加险合同另有约定， 否则本附加险合同自宽限期满的次日零时起效力中止。</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84"/>
                <w:sz w:val="52"/>
              </w:rPr>
              <w:t></w:t>
            </w:r>
          </w:p>
        </w:tc>
        <w:tc>
          <w:tcPr>
            <w:tcW w:w="8600" w:type="dxa"/>
            <w:gridSpan w:val="2"/>
            <w:tcBorders>
              <w:bottom w:val="single" w:sz="4" w:space="0" w:color="000000"/>
            </w:tcBorders>
          </w:tcPr>
          <w:p>
            <w:pPr>
              <w:pStyle w:val="TableParagraph"/>
              <w:spacing w:before="247"/>
              <w:ind w:left="196"/>
              <w:rPr>
                <w:b/>
                <w:sz w:val="28"/>
              </w:rPr>
            </w:pPr>
            <w:r>
              <w:rPr>
                <w:b/>
                <w:w w:val="95"/>
                <w:sz w:val="28"/>
              </w:rPr>
              <w:t>现金价值权益</w:t>
            </w:r>
          </w:p>
        </w:tc>
      </w:tr>
      <w:tr>
        <w:trPr>
          <w:trHeight w:val="1091"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5.1</w:t>
            </w:r>
          </w:p>
        </w:tc>
        <w:tc>
          <w:tcPr>
            <w:tcW w:w="1668"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sz w:val="21"/>
              </w:rPr>
              <w:t>现金价值</w:t>
            </w:r>
          </w:p>
        </w:tc>
        <w:tc>
          <w:tcPr>
            <w:tcW w:w="6932" w:type="dxa"/>
            <w:tcBorders>
              <w:top w:val="single" w:sz="4" w:space="0" w:color="000000"/>
            </w:tcBorders>
          </w:tcPr>
          <w:p>
            <w:pPr>
              <w:pStyle w:val="TableParagraph"/>
              <w:spacing w:before="10"/>
              <w:rPr>
                <w:rFonts w:ascii="Times New Roman"/>
                <w:sz w:val="25"/>
              </w:rPr>
            </w:pPr>
          </w:p>
          <w:p>
            <w:pPr>
              <w:pStyle w:val="TableParagraph"/>
              <w:spacing w:line="273" w:lineRule="auto"/>
              <w:ind w:left="209" w:right="105"/>
              <w:rPr>
                <w:sz w:val="21"/>
              </w:rPr>
            </w:pPr>
            <w:r>
              <w:rPr>
                <w:spacing w:val="-5"/>
                <w:sz w:val="21"/>
              </w:rPr>
              <w:t>本附加险合同保险单年度末的现金价值会在保险单上载明，保险单年度内的现金价值，您可以向我们咨询。</w:t>
            </w:r>
          </w:p>
        </w:tc>
      </w:tr>
      <w:tr>
        <w:trPr>
          <w:trHeight w:val="1242" w:hRule="atLeast"/>
        </w:trPr>
        <w:tc>
          <w:tcPr>
            <w:tcW w:w="768" w:type="dxa"/>
          </w:tcPr>
          <w:p>
            <w:pPr>
              <w:pStyle w:val="TableParagraph"/>
              <w:spacing w:before="142"/>
              <w:ind w:left="107"/>
              <w:rPr>
                <w:b/>
                <w:sz w:val="21"/>
              </w:rPr>
            </w:pPr>
            <w:r>
              <w:rPr>
                <w:b/>
                <w:sz w:val="21"/>
              </w:rPr>
              <w:t>5.2</w:t>
            </w:r>
          </w:p>
        </w:tc>
        <w:tc>
          <w:tcPr>
            <w:tcW w:w="1668" w:type="dxa"/>
          </w:tcPr>
          <w:p>
            <w:pPr>
              <w:pStyle w:val="TableParagraph"/>
              <w:spacing w:before="142"/>
              <w:ind w:left="196"/>
              <w:rPr>
                <w:b/>
                <w:sz w:val="21"/>
              </w:rPr>
            </w:pPr>
            <w:r>
              <w:rPr>
                <w:b/>
                <w:w w:val="95"/>
                <w:sz w:val="21"/>
              </w:rPr>
              <w:t>保险单借款</w:t>
            </w:r>
          </w:p>
        </w:tc>
        <w:tc>
          <w:tcPr>
            <w:tcW w:w="6932" w:type="dxa"/>
          </w:tcPr>
          <w:p>
            <w:pPr>
              <w:pStyle w:val="TableParagraph"/>
              <w:spacing w:line="273" w:lineRule="auto" w:before="142"/>
              <w:ind w:left="209"/>
              <w:rPr>
                <w:sz w:val="21"/>
              </w:rPr>
            </w:pPr>
            <w:r>
              <w:rPr>
                <w:sz w:val="21"/>
              </w:rPr>
              <w:t>您对主险合同申请保险单借款时，本附加险合同应同时进行保险单借款， 借款比例和利息计算方式与主险一致，并适用主险合同“保险单借款”的相关规定。您不能单独对本附加险合同进行保险单借款。</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0" w:type="dxa"/>
            <w:gridSpan w:val="2"/>
            <w:tcBorders>
              <w:bottom w:val="single" w:sz="8" w:space="0" w:color="000000"/>
            </w:tcBorders>
          </w:tcPr>
          <w:p>
            <w:pPr>
              <w:pStyle w:val="TableParagraph"/>
              <w:spacing w:before="247"/>
              <w:ind w:left="196"/>
              <w:rPr>
                <w:b/>
                <w:sz w:val="28"/>
              </w:rPr>
            </w:pPr>
            <w:r>
              <w:rPr>
                <w:b/>
                <w:w w:val="95"/>
                <w:sz w:val="28"/>
              </w:rPr>
              <w:t>合同效力的中止及恢复</w:t>
            </w:r>
          </w:p>
        </w:tc>
      </w:tr>
      <w:tr>
        <w:trPr>
          <w:trHeight w:val="778" w:hRule="atLeast"/>
        </w:trPr>
        <w:tc>
          <w:tcPr>
            <w:tcW w:w="768" w:type="dxa"/>
            <w:tcBorders>
              <w:top w:val="single" w:sz="8" w:space="0" w:color="000000"/>
            </w:tcBorders>
          </w:tcPr>
          <w:p>
            <w:pPr>
              <w:pStyle w:val="TableParagraph"/>
              <w:spacing w:before="9"/>
              <w:rPr>
                <w:rFonts w:ascii="Times New Roman"/>
                <w:sz w:val="25"/>
              </w:rPr>
            </w:pPr>
          </w:p>
          <w:p>
            <w:pPr>
              <w:pStyle w:val="TableParagraph"/>
              <w:ind w:left="107"/>
              <w:rPr>
                <w:b/>
                <w:sz w:val="21"/>
              </w:rPr>
            </w:pPr>
            <w:r>
              <w:rPr>
                <w:b/>
                <w:sz w:val="21"/>
              </w:rPr>
              <w:t>6.1</w:t>
            </w:r>
          </w:p>
        </w:tc>
        <w:tc>
          <w:tcPr>
            <w:tcW w:w="1668" w:type="dxa"/>
            <w:tcBorders>
              <w:top w:val="single" w:sz="8" w:space="0" w:color="000000"/>
            </w:tcBorders>
          </w:tcPr>
          <w:p>
            <w:pPr>
              <w:pStyle w:val="TableParagraph"/>
              <w:spacing w:before="9"/>
              <w:rPr>
                <w:rFonts w:ascii="Times New Roman"/>
                <w:sz w:val="25"/>
              </w:rPr>
            </w:pPr>
          </w:p>
          <w:p>
            <w:pPr>
              <w:pStyle w:val="TableParagraph"/>
              <w:ind w:left="196"/>
              <w:rPr>
                <w:b/>
                <w:sz w:val="21"/>
              </w:rPr>
            </w:pPr>
            <w:r>
              <w:rPr>
                <w:b/>
                <w:sz w:val="21"/>
              </w:rPr>
              <w:t>效力中止</w:t>
            </w:r>
          </w:p>
        </w:tc>
        <w:tc>
          <w:tcPr>
            <w:tcW w:w="6932" w:type="dxa"/>
            <w:tcBorders>
              <w:top w:val="single" w:sz="8" w:space="0" w:color="000000"/>
            </w:tcBorders>
          </w:tcPr>
          <w:p>
            <w:pPr>
              <w:pStyle w:val="TableParagraph"/>
              <w:spacing w:before="9"/>
              <w:rPr>
                <w:rFonts w:ascii="Times New Roman"/>
                <w:sz w:val="25"/>
              </w:rPr>
            </w:pPr>
          </w:p>
          <w:p>
            <w:pPr>
              <w:pStyle w:val="TableParagraph"/>
              <w:ind w:left="209"/>
              <w:rPr>
                <w:sz w:val="21"/>
              </w:rPr>
            </w:pPr>
            <w:r>
              <w:rPr>
                <w:sz w:val="21"/>
              </w:rPr>
              <w:t>在本附加险合同效力中止期间，我们不承担保险责任。</w:t>
            </w:r>
          </w:p>
        </w:tc>
      </w:tr>
      <w:tr>
        <w:trPr>
          <w:trHeight w:val="2490" w:hRule="atLeast"/>
        </w:trPr>
        <w:tc>
          <w:tcPr>
            <w:tcW w:w="768" w:type="dxa"/>
          </w:tcPr>
          <w:p>
            <w:pPr>
              <w:pStyle w:val="TableParagraph"/>
              <w:spacing w:before="142"/>
              <w:ind w:left="107"/>
              <w:rPr>
                <w:b/>
                <w:sz w:val="21"/>
              </w:rPr>
            </w:pPr>
            <w:r>
              <w:rPr>
                <w:b/>
                <w:sz w:val="21"/>
              </w:rPr>
              <w:t>6.2</w:t>
            </w:r>
          </w:p>
        </w:tc>
        <w:tc>
          <w:tcPr>
            <w:tcW w:w="1668" w:type="dxa"/>
          </w:tcPr>
          <w:p>
            <w:pPr>
              <w:pStyle w:val="TableParagraph"/>
              <w:spacing w:before="142"/>
              <w:ind w:left="196"/>
              <w:rPr>
                <w:b/>
                <w:sz w:val="21"/>
              </w:rPr>
            </w:pPr>
            <w:r>
              <w:rPr>
                <w:b/>
                <w:sz w:val="21"/>
              </w:rPr>
              <w:t>效力恢复</w:t>
            </w:r>
          </w:p>
        </w:tc>
        <w:tc>
          <w:tcPr>
            <w:tcW w:w="6932" w:type="dxa"/>
          </w:tcPr>
          <w:p>
            <w:pPr>
              <w:pStyle w:val="TableParagraph"/>
              <w:spacing w:line="273" w:lineRule="auto" w:before="142"/>
              <w:ind w:left="209" w:right="103"/>
              <w:jc w:val="both"/>
              <w:rPr>
                <w:sz w:val="21"/>
              </w:rPr>
            </w:pPr>
            <w:r>
              <w:rPr>
                <w:spacing w:val="-5"/>
                <w:sz w:val="21"/>
              </w:rPr>
              <w:t>本附加险合同效力中止后 </w:t>
            </w:r>
            <w:r>
              <w:rPr>
                <w:sz w:val="21"/>
              </w:rPr>
              <w:t>2</w:t>
            </w:r>
            <w:r>
              <w:rPr>
                <w:spacing w:val="-14"/>
                <w:sz w:val="21"/>
              </w:rPr>
              <w:t> 年内，您可以申请恢复本附加险合同效力。经</w:t>
            </w:r>
            <w:r>
              <w:rPr>
                <w:spacing w:val="-17"/>
                <w:sz w:val="21"/>
              </w:rPr>
              <w:t>我们与您协商并达成协议，在您补交保险费之日起，本附加险合同效力恢复。</w:t>
            </w:r>
          </w:p>
          <w:p>
            <w:pPr>
              <w:pStyle w:val="TableParagraph"/>
              <w:spacing w:line="273" w:lineRule="auto" w:before="7"/>
              <w:ind w:left="209" w:right="104"/>
              <w:jc w:val="both"/>
              <w:rPr>
                <w:sz w:val="21"/>
              </w:rPr>
            </w:pPr>
            <w:r>
              <w:rPr>
                <w:spacing w:val="-4"/>
                <w:sz w:val="21"/>
              </w:rPr>
              <w:t>自本附加险合同效力中止之日起满 </w:t>
            </w:r>
            <w:r>
              <w:rPr>
                <w:sz w:val="21"/>
              </w:rPr>
              <w:t>2</w:t>
            </w:r>
            <w:r>
              <w:rPr>
                <w:spacing w:val="-14"/>
                <w:sz w:val="21"/>
              </w:rPr>
              <w:t> 年您和我们未达成协议的，我们有权</w:t>
            </w:r>
            <w:r>
              <w:rPr>
                <w:spacing w:val="-16"/>
                <w:sz w:val="21"/>
              </w:rPr>
              <w:t>解除本附加险合同。我们解除本附加险合同的，向您退还本附加险合同效力中止日的现金价值。</w:t>
            </w:r>
          </w:p>
          <w:p>
            <w:pPr>
              <w:pStyle w:val="TableParagraph"/>
              <w:spacing w:before="7"/>
              <w:ind w:left="209"/>
              <w:jc w:val="both"/>
              <w:rPr>
                <w:sz w:val="21"/>
              </w:rPr>
            </w:pPr>
            <w:r>
              <w:rPr>
                <w:sz w:val="21"/>
              </w:rPr>
              <w:t>主险合同效力中止期间，本附加险合同不得单独申请复效。</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0" w:type="dxa"/>
            <w:gridSpan w:val="2"/>
            <w:tcBorders>
              <w:bottom w:val="single" w:sz="4" w:space="0" w:color="000000"/>
            </w:tcBorders>
          </w:tcPr>
          <w:p>
            <w:pPr>
              <w:pStyle w:val="TableParagraph"/>
              <w:spacing w:before="247"/>
              <w:ind w:left="196"/>
              <w:rPr>
                <w:b/>
                <w:sz w:val="28"/>
              </w:rPr>
            </w:pPr>
            <w:r>
              <w:rPr>
                <w:b/>
                <w:w w:val="95"/>
                <w:sz w:val="28"/>
              </w:rPr>
              <w:t>如何解除保险合同</w:t>
            </w:r>
          </w:p>
        </w:tc>
      </w:tr>
      <w:tr>
        <w:trPr>
          <w:trHeight w:val="3331"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7.1</w:t>
            </w:r>
          </w:p>
        </w:tc>
        <w:tc>
          <w:tcPr>
            <w:tcW w:w="1668" w:type="dxa"/>
            <w:tcBorders>
              <w:top w:val="single" w:sz="4" w:space="0" w:color="000000"/>
            </w:tcBorders>
          </w:tcPr>
          <w:p>
            <w:pPr>
              <w:pStyle w:val="TableParagraph"/>
              <w:spacing w:before="10"/>
              <w:rPr>
                <w:rFonts w:ascii="Times New Roman"/>
                <w:sz w:val="25"/>
              </w:rPr>
            </w:pPr>
          </w:p>
          <w:p>
            <w:pPr>
              <w:pStyle w:val="TableParagraph"/>
              <w:spacing w:line="273" w:lineRule="auto"/>
              <w:ind w:left="196" w:right="206"/>
              <w:rPr>
                <w:b/>
                <w:sz w:val="21"/>
              </w:rPr>
            </w:pPr>
            <w:r>
              <w:rPr>
                <w:b/>
                <w:sz w:val="21"/>
              </w:rPr>
              <w:t>您解除合同的</w:t>
            </w:r>
            <w:r>
              <w:rPr>
                <w:b/>
                <w:w w:val="95"/>
                <w:sz w:val="21"/>
              </w:rPr>
              <w:t>手续及风险</w:t>
            </w:r>
          </w:p>
        </w:tc>
        <w:tc>
          <w:tcPr>
            <w:tcW w:w="6932" w:type="dxa"/>
            <w:tcBorders>
              <w:top w:val="single" w:sz="4" w:space="0" w:color="000000"/>
            </w:tcBorders>
          </w:tcPr>
          <w:p>
            <w:pPr>
              <w:pStyle w:val="TableParagraph"/>
              <w:spacing w:before="10"/>
              <w:rPr>
                <w:rFonts w:ascii="Times New Roman"/>
                <w:sz w:val="25"/>
              </w:rPr>
            </w:pPr>
          </w:p>
          <w:p>
            <w:pPr>
              <w:pStyle w:val="TableParagraph"/>
              <w:ind w:left="209"/>
              <w:rPr>
                <w:sz w:val="21"/>
              </w:rPr>
            </w:pPr>
            <w:r>
              <w:rPr>
                <w:sz w:val="21"/>
              </w:rPr>
              <w:t>您不能单独解除本附加险合同，只能与主险合同一并解除。</w:t>
            </w:r>
          </w:p>
          <w:p>
            <w:pPr>
              <w:pStyle w:val="TableParagraph"/>
              <w:spacing w:line="271" w:lineRule="auto" w:before="99"/>
              <w:ind w:left="209" w:right="1"/>
              <w:rPr>
                <w:sz w:val="21"/>
              </w:rPr>
            </w:pPr>
            <w:r>
              <w:rPr>
                <w:spacing w:val="-16"/>
                <w:sz w:val="21"/>
              </w:rPr>
              <w:t>您在犹豫期后，书面通知要求解除主险合同时，本附加险合同将同时解除， 您应向我们提供下列证明和资料：</w:t>
            </w:r>
          </w:p>
          <w:p>
            <w:pPr>
              <w:pStyle w:val="TableParagraph"/>
              <w:numPr>
                <w:ilvl w:val="0"/>
                <w:numId w:val="4"/>
              </w:numPr>
              <w:tabs>
                <w:tab w:pos="841" w:val="left" w:leader="none"/>
              </w:tabs>
              <w:spacing w:line="240" w:lineRule="auto" w:before="10" w:after="0"/>
              <w:ind w:left="840" w:right="0" w:hanging="631"/>
              <w:jc w:val="left"/>
              <w:rPr>
                <w:sz w:val="21"/>
              </w:rPr>
            </w:pPr>
            <w:r>
              <w:rPr>
                <w:spacing w:val="-1"/>
                <w:sz w:val="21"/>
              </w:rPr>
              <w:t>保险合同；</w:t>
            </w:r>
          </w:p>
          <w:p>
            <w:pPr>
              <w:pStyle w:val="TableParagraph"/>
              <w:numPr>
                <w:ilvl w:val="0"/>
                <w:numId w:val="4"/>
              </w:numPr>
              <w:tabs>
                <w:tab w:pos="841" w:val="left" w:leader="none"/>
              </w:tabs>
              <w:spacing w:line="240" w:lineRule="auto" w:before="37" w:after="0"/>
              <w:ind w:left="840" w:right="0" w:hanging="631"/>
              <w:jc w:val="left"/>
              <w:rPr>
                <w:sz w:val="21"/>
              </w:rPr>
            </w:pPr>
            <w:r>
              <w:rPr>
                <w:spacing w:val="-1"/>
                <w:sz w:val="21"/>
              </w:rPr>
              <w:t>解除合同申请书；</w:t>
            </w:r>
          </w:p>
          <w:p>
            <w:pPr>
              <w:pStyle w:val="TableParagraph"/>
              <w:numPr>
                <w:ilvl w:val="0"/>
                <w:numId w:val="4"/>
              </w:numPr>
              <w:tabs>
                <w:tab w:pos="841" w:val="left" w:leader="none"/>
              </w:tabs>
              <w:spacing w:line="240" w:lineRule="auto" w:before="37" w:after="0"/>
              <w:ind w:left="840" w:right="0" w:hanging="631"/>
              <w:jc w:val="left"/>
              <w:rPr>
                <w:sz w:val="21"/>
              </w:rPr>
            </w:pPr>
            <w:r>
              <w:rPr>
                <w:spacing w:val="-1"/>
                <w:sz w:val="21"/>
              </w:rPr>
              <w:t>您的有效身份证件。</w:t>
            </w:r>
          </w:p>
          <w:p>
            <w:pPr>
              <w:pStyle w:val="TableParagraph"/>
              <w:spacing w:line="273" w:lineRule="auto" w:before="37"/>
              <w:ind w:left="209" w:right="103"/>
              <w:rPr>
                <w:sz w:val="21"/>
              </w:rPr>
            </w:pPr>
            <w:r>
              <w:rPr>
                <w:spacing w:val="-6"/>
                <w:sz w:val="21"/>
              </w:rPr>
              <w:t>自我们收到解除合同申请书时起，本附加险合同终止，我们在收到上述证</w:t>
            </w:r>
            <w:r>
              <w:rPr>
                <w:spacing w:val="-13"/>
                <w:sz w:val="21"/>
              </w:rPr>
              <w:t>明和资料之日起 </w:t>
            </w:r>
            <w:r>
              <w:rPr>
                <w:sz w:val="21"/>
              </w:rPr>
              <w:t>30</w:t>
            </w:r>
            <w:r>
              <w:rPr>
                <w:spacing w:val="-8"/>
                <w:sz w:val="21"/>
              </w:rPr>
              <w:t> 日内向您退还本附加险合同现金价值。</w:t>
            </w:r>
          </w:p>
          <w:p>
            <w:pPr>
              <w:pStyle w:val="TableParagraph"/>
              <w:spacing w:before="7"/>
              <w:ind w:left="209"/>
              <w:rPr>
                <w:sz w:val="21"/>
              </w:rPr>
            </w:pPr>
            <w:r>
              <w:rPr>
                <w:sz w:val="21"/>
              </w:rPr>
              <w:t>您在犹豫期后解除本附加险合同会遭受一定损失。</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0" w:type="dxa"/>
            <w:gridSpan w:val="2"/>
            <w:tcBorders>
              <w:bottom w:val="single" w:sz="4" w:space="0" w:color="000000"/>
            </w:tcBorders>
          </w:tcPr>
          <w:p>
            <w:pPr>
              <w:pStyle w:val="TableParagraph"/>
              <w:spacing w:before="247"/>
              <w:ind w:left="196"/>
              <w:rPr>
                <w:b/>
                <w:sz w:val="28"/>
              </w:rPr>
            </w:pPr>
            <w:r>
              <w:rPr>
                <w:b/>
                <w:w w:val="95"/>
                <w:sz w:val="28"/>
              </w:rPr>
              <w:t>其他需要关注的事项</w:t>
            </w:r>
          </w:p>
        </w:tc>
      </w:tr>
    </w:tbl>
    <w:p>
      <w:pPr>
        <w:spacing w:after="0"/>
        <w:rPr>
          <w:sz w:val="28"/>
        </w:rPr>
        <w:sectPr>
          <w:pgSz w:w="11910" w:h="16840"/>
          <w:pgMar w:header="899" w:footer="994" w:top="1220" w:bottom="1180" w:left="1120" w:right="1200"/>
        </w:sectPr>
      </w:pPr>
    </w:p>
    <w:p>
      <w:pPr>
        <w:pStyle w:val="BodyText"/>
        <w:spacing w:after="1"/>
        <w:rPr>
          <w:rFonts w:ascii="Times New Roman"/>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42"/>
        <w:gridCol w:w="7130"/>
      </w:tblGrid>
      <w:tr>
        <w:trPr>
          <w:trHeight w:val="4784" w:hRule="atLeast"/>
        </w:trPr>
        <w:tc>
          <w:tcPr>
            <w:tcW w:w="787" w:type="dxa"/>
          </w:tcPr>
          <w:p>
            <w:pPr>
              <w:pStyle w:val="TableParagraph"/>
              <w:spacing w:line="210" w:lineRule="exact"/>
              <w:ind w:left="181" w:right="248"/>
              <w:jc w:val="center"/>
              <w:rPr>
                <w:b/>
                <w:sz w:val="21"/>
              </w:rPr>
            </w:pPr>
            <w:r>
              <w:rPr>
                <w:b/>
                <w:sz w:val="21"/>
              </w:rPr>
              <w:t>8.1</w:t>
            </w:r>
          </w:p>
        </w:tc>
        <w:tc>
          <w:tcPr>
            <w:tcW w:w="1742" w:type="dxa"/>
          </w:tcPr>
          <w:p>
            <w:pPr>
              <w:pStyle w:val="TableParagraph"/>
              <w:spacing w:line="210" w:lineRule="exact"/>
              <w:ind w:left="269"/>
              <w:rPr>
                <w:b/>
                <w:sz w:val="21"/>
              </w:rPr>
            </w:pPr>
            <w:r>
              <w:rPr>
                <w:b/>
                <w:w w:val="95"/>
                <w:sz w:val="21"/>
              </w:rPr>
              <w:t>明确说明与如</w:t>
            </w:r>
          </w:p>
          <w:p>
            <w:pPr>
              <w:pStyle w:val="TableParagraph"/>
              <w:spacing w:before="36"/>
              <w:ind w:left="269"/>
              <w:rPr>
                <w:b/>
                <w:sz w:val="21"/>
              </w:rPr>
            </w:pPr>
            <w:r>
              <w:rPr>
                <w:b/>
                <w:sz w:val="21"/>
              </w:rPr>
              <w:t>实告知</w:t>
            </w:r>
          </w:p>
        </w:tc>
        <w:tc>
          <w:tcPr>
            <w:tcW w:w="7130" w:type="dxa"/>
          </w:tcPr>
          <w:p>
            <w:pPr>
              <w:pStyle w:val="TableParagraph"/>
              <w:spacing w:line="210" w:lineRule="exact"/>
              <w:ind w:left="208"/>
              <w:rPr>
                <w:sz w:val="21"/>
              </w:rPr>
            </w:pPr>
            <w:r>
              <w:rPr>
                <w:sz w:val="21"/>
              </w:rPr>
              <w:t>订立本附加险合同时，我们应向您说明本附加险合同的内容。</w:t>
            </w:r>
          </w:p>
          <w:p>
            <w:pPr>
              <w:pStyle w:val="TableParagraph"/>
              <w:spacing w:line="273" w:lineRule="auto" w:before="36"/>
              <w:ind w:left="208" w:right="303"/>
              <w:jc w:val="both"/>
              <w:rPr>
                <w:sz w:val="21"/>
              </w:rPr>
            </w:pPr>
            <w:r>
              <w:rPr>
                <w:spacing w:val="-7"/>
                <w:sz w:val="21"/>
              </w:rPr>
              <w:t>对保险条款中免除我们责任的条款，我们在订立本附加险合同时应当在投</w:t>
            </w:r>
            <w:r>
              <w:rPr>
                <w:spacing w:val="-11"/>
                <w:sz w:val="21"/>
              </w:rPr>
              <w:t>保单、保险单或者其他保险凭证上作出足以引起您注意的提示，并对该条</w:t>
            </w:r>
            <w:r>
              <w:rPr>
                <w:spacing w:val="-16"/>
                <w:sz w:val="21"/>
              </w:rPr>
              <w:t>款的内容以书面或者口头形式向您作出明确说明，未作提示或者明确说明的，该条款不产生效力。</w:t>
            </w:r>
          </w:p>
          <w:p>
            <w:pPr>
              <w:pStyle w:val="TableParagraph"/>
              <w:spacing w:before="7"/>
              <w:ind w:left="208"/>
              <w:rPr>
                <w:sz w:val="21"/>
              </w:rPr>
            </w:pPr>
            <w:r>
              <w:rPr>
                <w:sz w:val="21"/>
              </w:rPr>
              <w:t>我们就您和被保险人的有关情况提出询问，您应当如实告知。</w:t>
            </w:r>
          </w:p>
          <w:p>
            <w:pPr>
              <w:pStyle w:val="TableParagraph"/>
              <w:spacing w:line="273" w:lineRule="auto" w:before="36"/>
              <w:ind w:left="208" w:right="199"/>
              <w:rPr>
                <w:sz w:val="21"/>
              </w:rPr>
            </w:pPr>
            <w:r>
              <w:rPr>
                <w:spacing w:val="-4"/>
                <w:sz w:val="21"/>
              </w:rPr>
              <w:t>如果您故意或者因重大过失未履行前款规定的如实告知义务，足以影响我们决定是否同意承保或者提高保险费率的，我们有权解除本附加险合同。</w:t>
            </w:r>
            <w:r>
              <w:rPr>
                <w:spacing w:val="-11"/>
                <w:sz w:val="21"/>
              </w:rPr>
              <w:t>如果您故意不履行如实告知义务，对于本附加险合同解除前发生的保险事故，我们不承担给付保险金的责任，并不退还保险费。</w:t>
            </w:r>
          </w:p>
          <w:p>
            <w:pPr>
              <w:pStyle w:val="TableParagraph"/>
              <w:spacing w:line="273" w:lineRule="auto" w:before="7"/>
              <w:ind w:left="208" w:right="303"/>
              <w:rPr>
                <w:sz w:val="21"/>
              </w:rPr>
            </w:pPr>
            <w:r>
              <w:rPr>
                <w:sz w:val="21"/>
              </w:rPr>
              <w:t>如果您因重大过失未履行如实告知义务，对保险事故的发生有严重影响</w:t>
            </w:r>
            <w:r>
              <w:rPr>
                <w:spacing w:val="-11"/>
                <w:sz w:val="21"/>
              </w:rPr>
              <w:t>的，对于本附加险合同解除前发生的保险事故，我们不承担给付保险金的责任，但应当退还保险费。</w:t>
            </w:r>
          </w:p>
          <w:p>
            <w:pPr>
              <w:pStyle w:val="TableParagraph"/>
              <w:spacing w:line="273" w:lineRule="auto" w:before="7"/>
              <w:ind w:left="208" w:right="304"/>
              <w:rPr>
                <w:sz w:val="21"/>
              </w:rPr>
            </w:pPr>
            <w:r>
              <w:rPr>
                <w:spacing w:val="-4"/>
                <w:sz w:val="21"/>
              </w:rPr>
              <w:t>我们在本附加险合同订立时已经知道您未如实告知的情况的，我们不得解除本附加险合同；发生保险事故的，我们承担给付保险金的责任。</w:t>
            </w:r>
          </w:p>
        </w:tc>
      </w:tr>
      <w:tr>
        <w:trPr>
          <w:trHeight w:val="1247" w:hRule="atLeast"/>
        </w:trPr>
        <w:tc>
          <w:tcPr>
            <w:tcW w:w="787" w:type="dxa"/>
          </w:tcPr>
          <w:p>
            <w:pPr>
              <w:pStyle w:val="TableParagraph"/>
              <w:spacing w:before="142"/>
              <w:ind w:left="181" w:right="248"/>
              <w:jc w:val="center"/>
              <w:rPr>
                <w:b/>
                <w:sz w:val="21"/>
              </w:rPr>
            </w:pPr>
            <w:r>
              <w:rPr>
                <w:b/>
                <w:sz w:val="21"/>
              </w:rPr>
              <w:t>8.2</w:t>
            </w:r>
          </w:p>
        </w:tc>
        <w:tc>
          <w:tcPr>
            <w:tcW w:w="1742" w:type="dxa"/>
          </w:tcPr>
          <w:p>
            <w:pPr>
              <w:pStyle w:val="TableParagraph"/>
              <w:spacing w:line="273" w:lineRule="auto" w:before="142"/>
              <w:ind w:left="269" w:right="207"/>
              <w:rPr>
                <w:b/>
                <w:sz w:val="21"/>
              </w:rPr>
            </w:pPr>
            <w:r>
              <w:rPr>
                <w:b/>
                <w:sz w:val="21"/>
              </w:rPr>
              <w:t>我们合同解除权的限制</w:t>
            </w:r>
          </w:p>
        </w:tc>
        <w:tc>
          <w:tcPr>
            <w:tcW w:w="7130" w:type="dxa"/>
          </w:tcPr>
          <w:p>
            <w:pPr>
              <w:pStyle w:val="TableParagraph"/>
              <w:spacing w:before="142"/>
              <w:ind w:left="208"/>
              <w:rPr>
                <w:sz w:val="21"/>
              </w:rPr>
            </w:pPr>
            <w:r>
              <w:rPr>
                <w:sz w:val="21"/>
              </w:rPr>
              <w:t>前条规定的合同解除权，自我们知道有解除事由之日起，超过 30 日不行</w:t>
            </w:r>
          </w:p>
          <w:p>
            <w:pPr>
              <w:pStyle w:val="TableParagraph"/>
              <w:spacing w:line="273" w:lineRule="auto" w:before="37"/>
              <w:ind w:left="214" w:right="198"/>
              <w:rPr>
                <w:sz w:val="21"/>
              </w:rPr>
            </w:pPr>
            <w:r>
              <w:rPr>
                <w:spacing w:val="-4"/>
                <w:sz w:val="21"/>
              </w:rPr>
              <w:t>使而消灭。自本附加险合同成立之日起超过 </w:t>
            </w:r>
            <w:r>
              <w:rPr>
                <w:sz w:val="21"/>
              </w:rPr>
              <w:t>2</w:t>
            </w:r>
            <w:r>
              <w:rPr>
                <w:spacing w:val="-8"/>
                <w:sz w:val="21"/>
              </w:rPr>
              <w:t> 年的，我们不得解除合同； 发生保险事故的，我们承担给付保险金的责任。</w:t>
            </w:r>
          </w:p>
        </w:tc>
      </w:tr>
      <w:tr>
        <w:trPr>
          <w:trHeight w:val="3744" w:hRule="atLeast"/>
        </w:trPr>
        <w:tc>
          <w:tcPr>
            <w:tcW w:w="787" w:type="dxa"/>
          </w:tcPr>
          <w:p>
            <w:pPr>
              <w:pStyle w:val="TableParagraph"/>
              <w:spacing w:before="142"/>
              <w:ind w:left="181" w:right="248"/>
              <w:jc w:val="center"/>
              <w:rPr>
                <w:b/>
                <w:sz w:val="21"/>
              </w:rPr>
            </w:pPr>
            <w:r>
              <w:rPr>
                <w:b/>
                <w:sz w:val="21"/>
              </w:rPr>
              <w:t>8.3</w:t>
            </w:r>
          </w:p>
        </w:tc>
        <w:tc>
          <w:tcPr>
            <w:tcW w:w="1742" w:type="dxa"/>
          </w:tcPr>
          <w:p>
            <w:pPr>
              <w:pStyle w:val="TableParagraph"/>
              <w:spacing w:before="142"/>
              <w:ind w:left="269"/>
              <w:rPr>
                <w:b/>
                <w:sz w:val="21"/>
              </w:rPr>
            </w:pPr>
            <w:r>
              <w:rPr>
                <w:b/>
                <w:sz w:val="21"/>
              </w:rPr>
              <w:t>年龄错误</w:t>
            </w:r>
          </w:p>
        </w:tc>
        <w:tc>
          <w:tcPr>
            <w:tcW w:w="7130" w:type="dxa"/>
          </w:tcPr>
          <w:p>
            <w:pPr>
              <w:pStyle w:val="TableParagraph"/>
              <w:spacing w:line="273" w:lineRule="auto" w:before="142"/>
              <w:ind w:left="208" w:right="304"/>
              <w:rPr>
                <w:sz w:val="21"/>
              </w:rPr>
            </w:pPr>
            <w:r>
              <w:rPr>
                <w:spacing w:val="-11"/>
                <w:sz w:val="21"/>
              </w:rPr>
              <w:t>您在申请投保时，应将与有效身份证件相符的被保险人的出生日期在投保书上填明，如果发生错误按照下列方式办理：</w:t>
            </w:r>
          </w:p>
          <w:p>
            <w:pPr>
              <w:pStyle w:val="TableParagraph"/>
              <w:numPr>
                <w:ilvl w:val="0"/>
                <w:numId w:val="5"/>
              </w:numPr>
              <w:tabs>
                <w:tab w:pos="788" w:val="left" w:leader="none"/>
              </w:tabs>
              <w:spacing w:line="273" w:lineRule="auto" w:before="8" w:after="0"/>
              <w:ind w:left="786" w:right="252" w:hanging="578"/>
              <w:jc w:val="both"/>
              <w:rPr>
                <w:sz w:val="21"/>
              </w:rPr>
            </w:pPr>
            <w:r>
              <w:rPr>
                <w:spacing w:val="-4"/>
                <w:sz w:val="21"/>
              </w:rPr>
              <w:t>您申报的被保险人年龄不真实，并且其真实年龄不符合本附加险合同约定投保年龄限制的，在保险事故发生之前我们有权解除合同。</w:t>
            </w:r>
            <w:r>
              <w:rPr>
                <w:spacing w:val="-8"/>
                <w:sz w:val="21"/>
              </w:rPr>
              <w:t>我们行使合同解除权适用“我们合同解除权的限制”的规定。对于解除合同的，我们向您退还本附加险合同的现金价值。</w:t>
            </w:r>
          </w:p>
          <w:p>
            <w:pPr>
              <w:pStyle w:val="TableParagraph"/>
              <w:numPr>
                <w:ilvl w:val="0"/>
                <w:numId w:val="5"/>
              </w:numPr>
              <w:tabs>
                <w:tab w:pos="788" w:val="left" w:leader="none"/>
              </w:tabs>
              <w:spacing w:line="273" w:lineRule="auto" w:before="7" w:after="0"/>
              <w:ind w:left="786" w:right="251" w:hanging="578"/>
              <w:jc w:val="both"/>
              <w:rPr>
                <w:sz w:val="21"/>
              </w:rPr>
            </w:pPr>
            <w:r>
              <w:rPr>
                <w:spacing w:val="-4"/>
                <w:sz w:val="21"/>
              </w:rPr>
              <w:t>您申报的被保险人年龄不真实，致使您支付的保险费少于应交保险费的，我们有权更正并要求您补交保险费。若已经发生保险事故， 在给付保险金时按实交保险费和应交保险费的比例给付。</w:t>
            </w:r>
          </w:p>
          <w:p>
            <w:pPr>
              <w:pStyle w:val="TableParagraph"/>
              <w:numPr>
                <w:ilvl w:val="0"/>
                <w:numId w:val="5"/>
              </w:numPr>
              <w:tabs>
                <w:tab w:pos="788" w:val="left" w:leader="none"/>
              </w:tabs>
              <w:spacing w:line="273" w:lineRule="auto" w:before="7" w:after="0"/>
              <w:ind w:left="786" w:right="303" w:hanging="578"/>
              <w:jc w:val="both"/>
              <w:rPr>
                <w:sz w:val="21"/>
              </w:rPr>
            </w:pPr>
            <w:r>
              <w:rPr>
                <w:spacing w:val="-4"/>
                <w:sz w:val="21"/>
              </w:rPr>
              <w:t>您申报的被保险人年龄不真实，致使您支付的保险费多于应交保险费的，我们会将多收的保险费无息退还给您。</w:t>
            </w:r>
          </w:p>
        </w:tc>
      </w:tr>
      <w:tr>
        <w:trPr>
          <w:trHeight w:val="936" w:hRule="atLeast"/>
        </w:trPr>
        <w:tc>
          <w:tcPr>
            <w:tcW w:w="787" w:type="dxa"/>
          </w:tcPr>
          <w:p>
            <w:pPr>
              <w:pStyle w:val="TableParagraph"/>
              <w:spacing w:before="142"/>
              <w:ind w:left="181" w:right="248"/>
              <w:jc w:val="center"/>
              <w:rPr>
                <w:b/>
                <w:sz w:val="21"/>
              </w:rPr>
            </w:pPr>
            <w:r>
              <w:rPr>
                <w:b/>
                <w:sz w:val="21"/>
              </w:rPr>
              <w:t>8.4</w:t>
            </w:r>
          </w:p>
        </w:tc>
        <w:tc>
          <w:tcPr>
            <w:tcW w:w="1742" w:type="dxa"/>
          </w:tcPr>
          <w:p>
            <w:pPr>
              <w:pStyle w:val="TableParagraph"/>
              <w:spacing w:before="142"/>
              <w:ind w:left="269"/>
              <w:rPr>
                <w:b/>
                <w:sz w:val="21"/>
              </w:rPr>
            </w:pPr>
            <w:r>
              <w:rPr>
                <w:b/>
                <w:sz w:val="21"/>
              </w:rPr>
              <w:t>未还款项</w:t>
            </w:r>
          </w:p>
        </w:tc>
        <w:tc>
          <w:tcPr>
            <w:tcW w:w="7130" w:type="dxa"/>
          </w:tcPr>
          <w:p>
            <w:pPr>
              <w:pStyle w:val="TableParagraph"/>
              <w:spacing w:line="273" w:lineRule="auto" w:before="142"/>
              <w:ind w:left="208" w:right="303"/>
              <w:rPr>
                <w:sz w:val="21"/>
              </w:rPr>
            </w:pPr>
            <w:r>
              <w:rPr>
                <w:spacing w:val="-8"/>
                <w:sz w:val="21"/>
              </w:rPr>
              <w:t>我们在给付保险金、退还现金价值或返还保险费时，如果您有欠交的保险费或其他未还清款项，我们会在扣除上述欠款后给付。</w:t>
            </w:r>
          </w:p>
        </w:tc>
      </w:tr>
      <w:tr>
        <w:trPr>
          <w:trHeight w:val="2184" w:hRule="atLeast"/>
        </w:trPr>
        <w:tc>
          <w:tcPr>
            <w:tcW w:w="787" w:type="dxa"/>
          </w:tcPr>
          <w:p>
            <w:pPr>
              <w:pStyle w:val="TableParagraph"/>
              <w:spacing w:before="142"/>
              <w:ind w:left="181" w:right="248"/>
              <w:jc w:val="center"/>
              <w:rPr>
                <w:b/>
                <w:sz w:val="21"/>
              </w:rPr>
            </w:pPr>
            <w:r>
              <w:rPr>
                <w:b/>
                <w:sz w:val="21"/>
              </w:rPr>
              <w:t>8.5</w:t>
            </w:r>
          </w:p>
        </w:tc>
        <w:tc>
          <w:tcPr>
            <w:tcW w:w="1742" w:type="dxa"/>
          </w:tcPr>
          <w:p>
            <w:pPr>
              <w:pStyle w:val="TableParagraph"/>
              <w:spacing w:before="142"/>
              <w:ind w:left="269"/>
              <w:rPr>
                <w:b/>
                <w:sz w:val="21"/>
              </w:rPr>
            </w:pPr>
            <w:r>
              <w:rPr>
                <w:b/>
                <w:sz w:val="21"/>
              </w:rPr>
              <w:t>效力终止</w:t>
            </w:r>
          </w:p>
        </w:tc>
        <w:tc>
          <w:tcPr>
            <w:tcW w:w="7130" w:type="dxa"/>
          </w:tcPr>
          <w:p>
            <w:pPr>
              <w:pStyle w:val="TableParagraph"/>
              <w:spacing w:before="142"/>
              <w:ind w:left="208"/>
              <w:rPr>
                <w:sz w:val="21"/>
              </w:rPr>
            </w:pPr>
            <w:r>
              <w:rPr>
                <w:sz w:val="21"/>
              </w:rPr>
              <w:t>发生下列情况之一时，本附加险合同效力终止：</w:t>
            </w:r>
          </w:p>
          <w:p>
            <w:pPr>
              <w:pStyle w:val="TableParagraph"/>
              <w:numPr>
                <w:ilvl w:val="0"/>
                <w:numId w:val="6"/>
              </w:numPr>
              <w:tabs>
                <w:tab w:pos="846" w:val="left" w:leader="none"/>
              </w:tabs>
              <w:spacing w:line="240" w:lineRule="auto" w:before="37" w:after="0"/>
              <w:ind w:left="845" w:right="0" w:hanging="631"/>
              <w:jc w:val="left"/>
              <w:rPr>
                <w:sz w:val="21"/>
              </w:rPr>
            </w:pPr>
            <w:r>
              <w:rPr>
                <w:spacing w:val="-1"/>
                <w:sz w:val="21"/>
              </w:rPr>
              <w:t>主险合同效力终止；</w:t>
            </w:r>
          </w:p>
          <w:p>
            <w:pPr>
              <w:pStyle w:val="TableParagraph"/>
              <w:numPr>
                <w:ilvl w:val="0"/>
                <w:numId w:val="6"/>
              </w:numPr>
              <w:tabs>
                <w:tab w:pos="846" w:val="left" w:leader="none"/>
              </w:tabs>
              <w:spacing w:line="240" w:lineRule="auto" w:before="37" w:after="0"/>
              <w:ind w:left="845" w:right="0" w:hanging="631"/>
              <w:jc w:val="left"/>
              <w:rPr>
                <w:sz w:val="21"/>
              </w:rPr>
            </w:pPr>
            <w:r>
              <w:rPr>
                <w:spacing w:val="-1"/>
                <w:sz w:val="21"/>
              </w:rPr>
              <w:t>您申请解除主险合同；</w:t>
            </w:r>
          </w:p>
          <w:p>
            <w:pPr>
              <w:pStyle w:val="TableParagraph"/>
              <w:numPr>
                <w:ilvl w:val="0"/>
                <w:numId w:val="6"/>
              </w:numPr>
              <w:tabs>
                <w:tab w:pos="840" w:val="left" w:leader="none"/>
              </w:tabs>
              <w:spacing w:line="240" w:lineRule="auto" w:before="37" w:after="0"/>
              <w:ind w:left="839" w:right="0" w:hanging="631"/>
              <w:jc w:val="left"/>
              <w:rPr>
                <w:sz w:val="21"/>
              </w:rPr>
            </w:pPr>
            <w:r>
              <w:rPr>
                <w:spacing w:val="-1"/>
                <w:sz w:val="21"/>
              </w:rPr>
              <w:t>被保险人初次发生本附加险合同约定的重大疾病；</w:t>
            </w:r>
          </w:p>
          <w:p>
            <w:pPr>
              <w:pStyle w:val="TableParagraph"/>
              <w:numPr>
                <w:ilvl w:val="0"/>
                <w:numId w:val="6"/>
              </w:numPr>
              <w:tabs>
                <w:tab w:pos="840" w:val="left" w:leader="none"/>
              </w:tabs>
              <w:spacing w:line="240" w:lineRule="auto" w:before="37" w:after="0"/>
              <w:ind w:left="839" w:right="0" w:hanging="631"/>
              <w:jc w:val="left"/>
              <w:rPr>
                <w:sz w:val="21"/>
              </w:rPr>
            </w:pPr>
            <w:r>
              <w:rPr>
                <w:spacing w:val="-4"/>
                <w:sz w:val="21"/>
              </w:rPr>
              <w:t>自本附加险合同效力中止之日起满 </w:t>
            </w:r>
            <w:r>
              <w:rPr>
                <w:sz w:val="21"/>
              </w:rPr>
              <w:t>2</w:t>
            </w:r>
            <w:r>
              <w:rPr>
                <w:spacing w:val="-8"/>
                <w:sz w:val="21"/>
              </w:rPr>
              <w:t> 年双方未达成复效协议；</w:t>
            </w:r>
          </w:p>
          <w:p>
            <w:pPr>
              <w:pStyle w:val="TableParagraph"/>
              <w:numPr>
                <w:ilvl w:val="0"/>
                <w:numId w:val="6"/>
              </w:numPr>
              <w:tabs>
                <w:tab w:pos="840" w:val="left" w:leader="none"/>
              </w:tabs>
              <w:spacing w:line="240" w:lineRule="auto" w:before="37" w:after="0"/>
              <w:ind w:left="839" w:right="0" w:hanging="631"/>
              <w:jc w:val="left"/>
              <w:rPr>
                <w:sz w:val="21"/>
              </w:rPr>
            </w:pPr>
            <w:r>
              <w:rPr>
                <w:spacing w:val="-1"/>
                <w:sz w:val="21"/>
              </w:rPr>
              <w:t>其他可导致本附加险合同效力终止的情况。</w:t>
            </w:r>
          </w:p>
        </w:tc>
      </w:tr>
      <w:tr>
        <w:trPr>
          <w:trHeight w:val="729" w:hRule="atLeast"/>
        </w:trPr>
        <w:tc>
          <w:tcPr>
            <w:tcW w:w="787" w:type="dxa"/>
          </w:tcPr>
          <w:p>
            <w:pPr>
              <w:pStyle w:val="TableParagraph"/>
              <w:spacing w:before="142"/>
              <w:ind w:left="181" w:right="248"/>
              <w:jc w:val="center"/>
              <w:rPr>
                <w:b/>
                <w:sz w:val="21"/>
              </w:rPr>
            </w:pPr>
            <w:r>
              <w:rPr>
                <w:b/>
                <w:sz w:val="21"/>
              </w:rPr>
              <w:t>8.6</w:t>
            </w:r>
          </w:p>
        </w:tc>
        <w:tc>
          <w:tcPr>
            <w:tcW w:w="1742" w:type="dxa"/>
          </w:tcPr>
          <w:p>
            <w:pPr>
              <w:pStyle w:val="TableParagraph"/>
              <w:spacing w:line="310" w:lineRule="atLeast" w:before="107"/>
              <w:ind w:left="269" w:right="207"/>
              <w:rPr>
                <w:b/>
                <w:sz w:val="21"/>
              </w:rPr>
            </w:pPr>
            <w:r>
              <w:rPr>
                <w:b/>
                <w:sz w:val="21"/>
              </w:rPr>
              <w:t>适用主险合同条款</w:t>
            </w:r>
          </w:p>
        </w:tc>
        <w:tc>
          <w:tcPr>
            <w:tcW w:w="7130" w:type="dxa"/>
          </w:tcPr>
          <w:p>
            <w:pPr>
              <w:pStyle w:val="TableParagraph"/>
              <w:spacing w:before="142"/>
              <w:ind w:left="208"/>
              <w:rPr>
                <w:sz w:val="21"/>
              </w:rPr>
            </w:pPr>
            <w:r>
              <w:rPr>
                <w:sz w:val="21"/>
              </w:rPr>
              <w:t>下列各项条款，适用主险合同条款：</w:t>
            </w:r>
          </w:p>
          <w:p>
            <w:pPr>
              <w:pStyle w:val="TableParagraph"/>
              <w:spacing w:line="255" w:lineRule="exact" w:before="37"/>
              <w:ind w:left="208"/>
              <w:rPr>
                <w:sz w:val="21"/>
              </w:rPr>
            </w:pPr>
            <w:r>
              <w:rPr>
                <w:sz w:val="21"/>
              </w:rPr>
              <w:t>（1） 合同内容变更；</w:t>
            </w:r>
          </w:p>
        </w:tc>
      </w:tr>
    </w:tbl>
    <w:p>
      <w:pPr>
        <w:spacing w:after="0" w:line="255" w:lineRule="exact"/>
        <w:rPr>
          <w:sz w:val="21"/>
        </w:rPr>
        <w:sectPr>
          <w:pgSz w:w="11910" w:h="16840"/>
          <w:pgMar w:header="899" w:footer="994" w:top="1220" w:bottom="1180" w:left="1020" w:right="1000"/>
        </w:sectPr>
      </w:pPr>
    </w:p>
    <w:p>
      <w:pPr>
        <w:pStyle w:val="BodyText"/>
        <w:spacing w:after="1"/>
        <w:rPr>
          <w:rFonts w:ascii="Times New Roman"/>
          <w:sz w:val="28"/>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2"/>
      </w:tblGrid>
      <w:tr>
        <w:trPr>
          <w:trHeight w:val="1346"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32" w:type="dxa"/>
          </w:tcPr>
          <w:p>
            <w:pPr>
              <w:pStyle w:val="TableParagraph"/>
              <w:numPr>
                <w:ilvl w:val="0"/>
                <w:numId w:val="7"/>
              </w:numPr>
              <w:tabs>
                <w:tab w:pos="841" w:val="left" w:leader="none"/>
              </w:tabs>
              <w:spacing w:line="210" w:lineRule="exact" w:before="0" w:after="0"/>
              <w:ind w:left="840" w:right="0" w:hanging="631"/>
              <w:jc w:val="left"/>
              <w:rPr>
                <w:sz w:val="21"/>
              </w:rPr>
            </w:pPr>
            <w:r>
              <w:rPr>
                <w:spacing w:val="-1"/>
                <w:sz w:val="21"/>
              </w:rPr>
              <w:t>联系方式变更；</w:t>
            </w:r>
          </w:p>
          <w:p>
            <w:pPr>
              <w:pStyle w:val="TableParagraph"/>
              <w:numPr>
                <w:ilvl w:val="0"/>
                <w:numId w:val="7"/>
              </w:numPr>
              <w:tabs>
                <w:tab w:pos="841" w:val="left" w:leader="none"/>
              </w:tabs>
              <w:spacing w:line="240" w:lineRule="auto" w:before="36" w:after="0"/>
              <w:ind w:left="840" w:right="0" w:hanging="631"/>
              <w:jc w:val="left"/>
              <w:rPr>
                <w:sz w:val="21"/>
              </w:rPr>
            </w:pPr>
            <w:r>
              <w:rPr>
                <w:spacing w:val="-1"/>
                <w:sz w:val="21"/>
              </w:rPr>
              <w:t>利率与利息；</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争议处理；</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本附加险合同中其他未明事项。</w:t>
            </w:r>
          </w:p>
        </w:tc>
      </w:tr>
      <w:tr>
        <w:trPr>
          <w:trHeight w:val="786" w:hRule="atLeast"/>
        </w:trPr>
        <w:tc>
          <w:tcPr>
            <w:tcW w:w="768" w:type="dxa"/>
            <w:tcBorders>
              <w:bottom w:val="single" w:sz="8" w:space="0" w:color="000000"/>
            </w:tcBorders>
          </w:tcPr>
          <w:p>
            <w:pPr>
              <w:pStyle w:val="TableParagraph"/>
              <w:spacing w:before="151"/>
              <w:ind w:left="107"/>
              <w:rPr>
                <w:rFonts w:ascii="Arial" w:hAnsi="Arial"/>
                <w:b/>
                <w:sz w:val="52"/>
              </w:rPr>
            </w:pPr>
            <w:r>
              <w:rPr>
                <w:rFonts w:ascii="Arial" w:hAnsi="Arial"/>
                <w:b/>
                <w:w w:val="118"/>
                <w:sz w:val="52"/>
              </w:rPr>
              <w:t></w:t>
            </w:r>
          </w:p>
        </w:tc>
        <w:tc>
          <w:tcPr>
            <w:tcW w:w="1668" w:type="dxa"/>
            <w:tcBorders>
              <w:bottom w:val="single" w:sz="8" w:space="0" w:color="000000"/>
            </w:tcBorders>
          </w:tcPr>
          <w:p>
            <w:pPr>
              <w:pStyle w:val="TableParagraph"/>
              <w:spacing w:before="247"/>
              <w:ind w:left="196"/>
              <w:rPr>
                <w:b/>
                <w:sz w:val="28"/>
              </w:rPr>
            </w:pPr>
            <w:r>
              <w:rPr>
                <w:b/>
                <w:w w:val="95"/>
                <w:sz w:val="28"/>
              </w:rPr>
              <w:t>释义</w:t>
            </w:r>
          </w:p>
        </w:tc>
        <w:tc>
          <w:tcPr>
            <w:tcW w:w="6932" w:type="dxa"/>
            <w:tcBorders>
              <w:bottom w:val="single" w:sz="8" w:space="0" w:color="000000"/>
            </w:tcBorders>
          </w:tcPr>
          <w:p>
            <w:pPr>
              <w:pStyle w:val="TableParagraph"/>
              <w:rPr>
                <w:rFonts w:ascii="Times New Roman"/>
                <w:sz w:val="20"/>
              </w:rPr>
            </w:pPr>
          </w:p>
        </w:tc>
      </w:tr>
      <w:tr>
        <w:trPr>
          <w:trHeight w:val="1091"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9.1</w:t>
            </w:r>
          </w:p>
        </w:tc>
        <w:tc>
          <w:tcPr>
            <w:tcW w:w="1668"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sz w:val="21"/>
              </w:rPr>
              <w:t>周岁</w:t>
            </w:r>
          </w:p>
        </w:tc>
        <w:tc>
          <w:tcPr>
            <w:tcW w:w="6932" w:type="dxa"/>
            <w:tcBorders>
              <w:top w:val="single" w:sz="8" w:space="0" w:color="000000"/>
            </w:tcBorders>
          </w:tcPr>
          <w:p>
            <w:pPr>
              <w:pStyle w:val="TableParagraph"/>
              <w:spacing w:before="10"/>
              <w:rPr>
                <w:rFonts w:ascii="Times New Roman"/>
                <w:sz w:val="25"/>
              </w:rPr>
            </w:pPr>
          </w:p>
          <w:p>
            <w:pPr>
              <w:pStyle w:val="TableParagraph"/>
              <w:spacing w:line="273" w:lineRule="auto"/>
              <w:ind w:left="209" w:right="210"/>
              <w:rPr>
                <w:sz w:val="21"/>
              </w:rPr>
            </w:pPr>
            <w:r>
              <w:rPr>
                <w:sz w:val="21"/>
              </w:rPr>
              <w:t>指按有效身份证件中记载的出生日期计算的年龄，自出生之日起为零周岁，每经过一年增加一岁，不足一年的不计。</w:t>
            </w:r>
          </w:p>
        </w:tc>
      </w:tr>
      <w:tr>
        <w:trPr>
          <w:trHeight w:val="1247" w:hRule="atLeast"/>
        </w:trPr>
        <w:tc>
          <w:tcPr>
            <w:tcW w:w="768" w:type="dxa"/>
          </w:tcPr>
          <w:p>
            <w:pPr>
              <w:pStyle w:val="TableParagraph"/>
              <w:spacing w:before="142"/>
              <w:ind w:left="107"/>
              <w:rPr>
                <w:b/>
                <w:sz w:val="21"/>
              </w:rPr>
            </w:pPr>
            <w:r>
              <w:rPr>
                <w:b/>
                <w:sz w:val="21"/>
              </w:rPr>
              <w:t>9.2</w:t>
            </w:r>
          </w:p>
        </w:tc>
        <w:tc>
          <w:tcPr>
            <w:tcW w:w="1668" w:type="dxa"/>
          </w:tcPr>
          <w:p>
            <w:pPr>
              <w:pStyle w:val="TableParagraph"/>
              <w:spacing w:before="142"/>
              <w:ind w:left="196"/>
              <w:rPr>
                <w:b/>
                <w:sz w:val="21"/>
              </w:rPr>
            </w:pPr>
            <w:r>
              <w:rPr>
                <w:b/>
                <w:w w:val="95"/>
                <w:sz w:val="21"/>
              </w:rPr>
              <w:t>有效身份证件</w:t>
            </w:r>
          </w:p>
        </w:tc>
        <w:tc>
          <w:tcPr>
            <w:tcW w:w="6932" w:type="dxa"/>
          </w:tcPr>
          <w:p>
            <w:pPr>
              <w:pStyle w:val="TableParagraph"/>
              <w:spacing w:line="273" w:lineRule="auto" w:before="142"/>
              <w:ind w:left="209"/>
              <w:rPr>
                <w:sz w:val="21"/>
              </w:rPr>
            </w:pPr>
            <w:r>
              <w:rPr>
                <w:spacing w:val="-6"/>
                <w:sz w:val="21"/>
              </w:rPr>
              <w:t>指由政府主管部门规定的证明其身份的证件，如：居民身份证、按规定可</w:t>
            </w:r>
            <w:r>
              <w:rPr>
                <w:spacing w:val="-18"/>
                <w:sz w:val="21"/>
              </w:rPr>
              <w:t>使用的有效护照、军官证、警官证、士兵证、居民户口簿</w:t>
            </w:r>
            <w:r>
              <w:rPr>
                <w:sz w:val="21"/>
              </w:rPr>
              <w:t>（仅限未成年人） 等证件。</w:t>
            </w:r>
          </w:p>
        </w:tc>
      </w:tr>
      <w:tr>
        <w:trPr>
          <w:trHeight w:val="702" w:hRule="atLeast"/>
        </w:trPr>
        <w:tc>
          <w:tcPr>
            <w:tcW w:w="768" w:type="dxa"/>
          </w:tcPr>
          <w:p>
            <w:pPr>
              <w:pStyle w:val="TableParagraph"/>
              <w:spacing w:before="142"/>
              <w:ind w:left="107"/>
              <w:rPr>
                <w:b/>
                <w:sz w:val="21"/>
              </w:rPr>
            </w:pPr>
            <w:r>
              <w:rPr>
                <w:b/>
                <w:sz w:val="21"/>
              </w:rPr>
              <w:t>9.3</w:t>
            </w:r>
          </w:p>
        </w:tc>
        <w:tc>
          <w:tcPr>
            <w:tcW w:w="1668" w:type="dxa"/>
          </w:tcPr>
          <w:p>
            <w:pPr>
              <w:pStyle w:val="TableParagraph"/>
              <w:spacing w:before="142"/>
              <w:ind w:left="196"/>
              <w:rPr>
                <w:b/>
                <w:sz w:val="21"/>
              </w:rPr>
            </w:pPr>
            <w:r>
              <w:rPr>
                <w:b/>
                <w:sz w:val="21"/>
              </w:rPr>
              <w:t>重大疾病</w:t>
            </w:r>
          </w:p>
        </w:tc>
        <w:tc>
          <w:tcPr>
            <w:tcW w:w="6932" w:type="dxa"/>
          </w:tcPr>
          <w:p>
            <w:pPr>
              <w:pStyle w:val="TableParagraph"/>
              <w:spacing w:before="142"/>
              <w:ind w:left="209"/>
              <w:rPr>
                <w:sz w:val="21"/>
              </w:rPr>
            </w:pPr>
            <w:r>
              <w:rPr>
                <w:sz w:val="21"/>
              </w:rPr>
              <w:t>指下面列出的 50 种重大疾病：</w:t>
            </w:r>
          </w:p>
        </w:tc>
      </w:tr>
      <w:tr>
        <w:trPr>
          <w:trHeight w:val="3978" w:hRule="atLeast"/>
        </w:trPr>
        <w:tc>
          <w:tcPr>
            <w:tcW w:w="768" w:type="dxa"/>
          </w:tcPr>
          <w:p>
            <w:pPr>
              <w:pStyle w:val="TableParagraph"/>
              <w:rPr>
                <w:rFonts w:ascii="Times New Roman"/>
                <w:sz w:val="20"/>
              </w:rPr>
            </w:pPr>
          </w:p>
        </w:tc>
        <w:tc>
          <w:tcPr>
            <w:tcW w:w="1668" w:type="dxa"/>
          </w:tcPr>
          <w:p>
            <w:pPr>
              <w:pStyle w:val="TableParagraph"/>
              <w:spacing w:before="8"/>
              <w:rPr>
                <w:rFonts w:ascii="Times New Roman"/>
                <w:sz w:val="27"/>
              </w:rPr>
            </w:pPr>
          </w:p>
          <w:p>
            <w:pPr>
              <w:pStyle w:val="TableParagraph"/>
              <w:ind w:left="196"/>
              <w:rPr>
                <w:rFonts w:ascii="Microsoft JhengHei" w:eastAsia="Microsoft JhengHei" w:hint="eastAsia"/>
                <w:b/>
                <w:sz w:val="21"/>
              </w:rPr>
            </w:pPr>
            <w:r>
              <w:rPr>
                <w:rFonts w:ascii="Microsoft JhengHei" w:eastAsia="Microsoft JhengHei" w:hint="eastAsia"/>
                <w:b/>
                <w:sz w:val="21"/>
              </w:rPr>
              <w:t>恶性肿瘤</w:t>
            </w:r>
          </w:p>
        </w:tc>
        <w:tc>
          <w:tcPr>
            <w:tcW w:w="6932" w:type="dxa"/>
          </w:tcPr>
          <w:p>
            <w:pPr>
              <w:pStyle w:val="TableParagraph"/>
              <w:spacing w:before="1"/>
              <w:rPr>
                <w:rFonts w:ascii="Times New Roman"/>
                <w:sz w:val="19"/>
              </w:rPr>
            </w:pPr>
          </w:p>
          <w:p>
            <w:pPr>
              <w:pStyle w:val="TableParagraph"/>
              <w:spacing w:line="273" w:lineRule="auto"/>
              <w:ind w:left="209" w:right="104"/>
              <w:jc w:val="both"/>
              <w:rPr>
                <w:sz w:val="21"/>
              </w:rPr>
            </w:pPr>
            <w:r>
              <w:rPr>
                <w:spacing w:val="-5"/>
                <w:sz w:val="21"/>
              </w:rPr>
              <w:t>指恶性细胞不受控制的进行性增长和扩散，浸润和破坏周围正常组织，可</w:t>
            </w:r>
            <w:r>
              <w:rPr>
                <w:spacing w:val="-11"/>
                <w:sz w:val="21"/>
              </w:rPr>
              <w:t>以经血管、淋巴管和体腔扩散转移到身体其它部位的疾病。经病理学检查</w:t>
            </w:r>
            <w:r>
              <w:rPr>
                <w:spacing w:val="-14"/>
                <w:sz w:val="21"/>
              </w:rPr>
              <w:t>结果明确诊断，临床诊断属于世界卫生组织《疾病和有关健康问题的国际</w:t>
            </w:r>
            <w:r>
              <w:rPr>
                <w:spacing w:val="-1"/>
                <w:sz w:val="21"/>
              </w:rPr>
              <w:t>统计分类》</w:t>
            </w:r>
            <w:r>
              <w:rPr>
                <w:sz w:val="21"/>
              </w:rPr>
              <w:t>（ICD-10）的恶性肿瘤范畴。</w:t>
            </w:r>
          </w:p>
          <w:p>
            <w:pPr>
              <w:pStyle w:val="TableParagraph"/>
              <w:spacing w:before="7"/>
              <w:ind w:left="209"/>
              <w:jc w:val="both"/>
              <w:rPr>
                <w:sz w:val="21"/>
              </w:rPr>
            </w:pPr>
            <w:r>
              <w:rPr>
                <w:sz w:val="21"/>
              </w:rPr>
              <w:t>下列疾病不在保障范围内：</w:t>
            </w:r>
          </w:p>
          <w:p>
            <w:pPr>
              <w:pStyle w:val="TableParagraph"/>
              <w:numPr>
                <w:ilvl w:val="0"/>
                <w:numId w:val="8"/>
              </w:numPr>
              <w:tabs>
                <w:tab w:pos="841" w:val="left" w:leader="none"/>
              </w:tabs>
              <w:spacing w:line="240" w:lineRule="auto" w:before="36" w:after="0"/>
              <w:ind w:left="840" w:right="0" w:hanging="631"/>
              <w:jc w:val="both"/>
              <w:rPr>
                <w:sz w:val="21"/>
              </w:rPr>
            </w:pPr>
            <w:r>
              <w:rPr>
                <w:spacing w:val="-1"/>
                <w:sz w:val="21"/>
              </w:rPr>
              <w:t>原位癌；</w:t>
            </w:r>
          </w:p>
          <w:p>
            <w:pPr>
              <w:pStyle w:val="TableParagraph"/>
              <w:numPr>
                <w:ilvl w:val="0"/>
                <w:numId w:val="8"/>
              </w:numPr>
              <w:tabs>
                <w:tab w:pos="841" w:val="left" w:leader="none"/>
              </w:tabs>
              <w:spacing w:line="240" w:lineRule="auto" w:before="36" w:after="0"/>
              <w:ind w:left="840" w:right="0" w:hanging="631"/>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8"/>
              </w:numPr>
              <w:tabs>
                <w:tab w:pos="841" w:val="left" w:leader="none"/>
              </w:tabs>
              <w:spacing w:line="240" w:lineRule="auto" w:before="36" w:after="0"/>
              <w:ind w:left="840" w:right="0" w:hanging="631"/>
              <w:jc w:val="both"/>
              <w:rPr>
                <w:sz w:val="21"/>
              </w:rPr>
            </w:pPr>
            <w:r>
              <w:rPr>
                <w:spacing w:val="-14"/>
                <w:sz w:val="21"/>
              </w:rPr>
              <w:t>相当于 </w:t>
            </w:r>
            <w:r>
              <w:rPr>
                <w:sz w:val="21"/>
              </w:rPr>
              <w:t>Ann</w:t>
            </w:r>
            <w:r>
              <w:rPr>
                <w:spacing w:val="-1"/>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8"/>
              </w:numPr>
              <w:tabs>
                <w:tab w:pos="841" w:val="left" w:leader="none"/>
              </w:tabs>
              <w:spacing w:line="240" w:lineRule="auto" w:before="36" w:after="0"/>
              <w:ind w:left="840" w:right="0" w:hanging="631"/>
              <w:jc w:val="both"/>
              <w:rPr>
                <w:sz w:val="21"/>
              </w:rPr>
            </w:pPr>
            <w:r>
              <w:rPr>
                <w:spacing w:val="-1"/>
                <w:sz w:val="21"/>
              </w:rPr>
              <w:t>皮肤癌</w:t>
            </w:r>
            <w:r>
              <w:rPr>
                <w:sz w:val="21"/>
              </w:rPr>
              <w:t>（不包括恶性黑色素瘤及已发生转移的皮肤癌）；</w:t>
            </w:r>
          </w:p>
          <w:p>
            <w:pPr>
              <w:pStyle w:val="TableParagraph"/>
              <w:numPr>
                <w:ilvl w:val="0"/>
                <w:numId w:val="8"/>
              </w:numPr>
              <w:tabs>
                <w:tab w:pos="840" w:val="left" w:leader="none"/>
              </w:tabs>
              <w:spacing w:line="240" w:lineRule="auto" w:before="36" w:after="0"/>
              <w:ind w:left="839" w:right="0" w:hanging="630"/>
              <w:jc w:val="both"/>
              <w:rPr>
                <w:sz w:val="21"/>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p>
          <w:p>
            <w:pPr>
              <w:pStyle w:val="TableParagraph"/>
              <w:numPr>
                <w:ilvl w:val="0"/>
                <w:numId w:val="8"/>
              </w:numPr>
              <w:tabs>
                <w:tab w:pos="841" w:val="left" w:leader="none"/>
              </w:tabs>
              <w:spacing w:line="240" w:lineRule="auto" w:before="37" w:after="0"/>
              <w:ind w:left="840" w:right="0" w:hanging="631"/>
              <w:jc w:val="both"/>
              <w:rPr>
                <w:sz w:val="21"/>
              </w:rPr>
            </w:pPr>
            <w:r>
              <w:rPr>
                <w:spacing w:val="-1"/>
                <w:sz w:val="21"/>
              </w:rPr>
              <w:t>感染艾滋病病毒或患艾滋病期间所患恶性肿瘤。</w:t>
            </w:r>
          </w:p>
        </w:tc>
      </w:tr>
      <w:tr>
        <w:trPr>
          <w:trHeight w:val="3120"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ind w:left="196"/>
              <w:rPr>
                <w:rFonts w:ascii="Microsoft JhengHei" w:eastAsia="Microsoft JhengHei" w:hint="eastAsia"/>
                <w:b/>
                <w:sz w:val="21"/>
              </w:rPr>
            </w:pPr>
            <w:r>
              <w:rPr>
                <w:rFonts w:ascii="Microsoft JhengHei" w:eastAsia="Microsoft JhengHei" w:hint="eastAsia"/>
                <w:b/>
                <w:sz w:val="21"/>
              </w:rPr>
              <w:t>急性心肌梗塞</w:t>
            </w:r>
          </w:p>
        </w:tc>
        <w:tc>
          <w:tcPr>
            <w:tcW w:w="6932" w:type="dxa"/>
          </w:tcPr>
          <w:p>
            <w:pPr>
              <w:pStyle w:val="TableParagraph"/>
              <w:spacing w:before="10"/>
              <w:rPr>
                <w:rFonts w:ascii="Times New Roman"/>
                <w:sz w:val="25"/>
              </w:rPr>
            </w:pPr>
          </w:p>
          <w:p>
            <w:pPr>
              <w:pStyle w:val="TableParagraph"/>
              <w:spacing w:line="273" w:lineRule="auto"/>
              <w:ind w:left="209" w:right="105"/>
              <w:rPr>
                <w:sz w:val="21"/>
              </w:rPr>
            </w:pPr>
            <w:r>
              <w:rPr>
                <w:spacing w:val="-4"/>
                <w:sz w:val="21"/>
              </w:rPr>
              <w:t>指因冠状动脉阻塞导致的相应区域供血不足造成部分心肌坏死。须满足下列至少三项条件：</w:t>
            </w:r>
          </w:p>
          <w:p>
            <w:pPr>
              <w:pStyle w:val="TableParagraph"/>
              <w:numPr>
                <w:ilvl w:val="0"/>
                <w:numId w:val="9"/>
              </w:numPr>
              <w:tabs>
                <w:tab w:pos="841" w:val="left" w:leader="none"/>
              </w:tabs>
              <w:spacing w:line="240" w:lineRule="auto" w:before="7" w:after="0"/>
              <w:ind w:left="845" w:right="0" w:hanging="636"/>
              <w:jc w:val="left"/>
              <w:rPr>
                <w:sz w:val="21"/>
              </w:rPr>
            </w:pPr>
            <w:r>
              <w:rPr>
                <w:spacing w:val="-1"/>
                <w:sz w:val="21"/>
              </w:rPr>
              <w:t>典型临床表现，例如急性胸痛等；</w:t>
            </w:r>
          </w:p>
          <w:p>
            <w:pPr>
              <w:pStyle w:val="TableParagraph"/>
              <w:numPr>
                <w:ilvl w:val="0"/>
                <w:numId w:val="9"/>
              </w:numPr>
              <w:tabs>
                <w:tab w:pos="841" w:val="left" w:leader="none"/>
              </w:tabs>
              <w:spacing w:line="240" w:lineRule="auto" w:before="37" w:after="0"/>
              <w:ind w:left="845" w:right="0" w:hanging="636"/>
              <w:jc w:val="left"/>
              <w:rPr>
                <w:sz w:val="21"/>
              </w:rPr>
            </w:pPr>
            <w:r>
              <w:rPr>
                <w:spacing w:val="-1"/>
                <w:sz w:val="21"/>
              </w:rPr>
              <w:t>新近的心电图改变提示急性心肌梗塞；</w:t>
            </w:r>
          </w:p>
          <w:p>
            <w:pPr>
              <w:pStyle w:val="TableParagraph"/>
              <w:numPr>
                <w:ilvl w:val="0"/>
                <w:numId w:val="9"/>
              </w:numPr>
              <w:tabs>
                <w:tab w:pos="789" w:val="left" w:leader="none"/>
              </w:tabs>
              <w:spacing w:line="273" w:lineRule="auto" w:before="37" w:after="0"/>
              <w:ind w:left="845" w:right="104" w:hanging="636"/>
              <w:jc w:val="left"/>
              <w:rPr>
                <w:sz w:val="21"/>
              </w:rPr>
            </w:pPr>
            <w:r>
              <w:rPr>
                <w:spacing w:val="-4"/>
                <w:sz w:val="21"/>
              </w:rPr>
              <w:t>心肌酶或肌钙蛋白有诊断意义的升高，或呈符合急性心肌梗塞的动态性变化；</w:t>
            </w:r>
          </w:p>
          <w:p>
            <w:pPr>
              <w:pStyle w:val="TableParagraph"/>
              <w:numPr>
                <w:ilvl w:val="0"/>
                <w:numId w:val="9"/>
              </w:numPr>
              <w:tabs>
                <w:tab w:pos="841" w:val="left" w:leader="none"/>
              </w:tabs>
              <w:spacing w:line="273" w:lineRule="auto" w:before="7" w:after="0"/>
              <w:ind w:left="845" w:right="105" w:hanging="636"/>
              <w:jc w:val="left"/>
              <w:rPr>
                <w:sz w:val="21"/>
              </w:rPr>
            </w:pPr>
            <w:r>
              <w:rPr>
                <w:spacing w:val="-18"/>
                <w:sz w:val="21"/>
              </w:rPr>
              <w:t>发病 </w:t>
            </w:r>
            <w:r>
              <w:rPr>
                <w:sz w:val="21"/>
              </w:rPr>
              <w:t>90</w:t>
            </w:r>
            <w:r>
              <w:rPr>
                <w:spacing w:val="-8"/>
                <w:sz w:val="21"/>
              </w:rPr>
              <w:t> 天后，经检查证实左心室功能降低，如左心室射血分数低</w:t>
            </w:r>
            <w:r>
              <w:rPr>
                <w:spacing w:val="-31"/>
                <w:sz w:val="21"/>
              </w:rPr>
              <w:t>于 </w:t>
            </w:r>
            <w:r>
              <w:rPr>
                <w:sz w:val="21"/>
              </w:rPr>
              <w:t>50%。</w:t>
            </w:r>
          </w:p>
        </w:tc>
      </w:tr>
      <w:tr>
        <w:trPr>
          <w:trHeight w:val="1197"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ind w:left="196"/>
              <w:rPr>
                <w:rFonts w:ascii="Microsoft JhengHei" w:eastAsia="Microsoft JhengHei" w:hint="eastAsia"/>
                <w:b/>
                <w:sz w:val="21"/>
              </w:rPr>
            </w:pPr>
            <w:r>
              <w:rPr>
                <w:rFonts w:ascii="Microsoft JhengHei" w:eastAsia="Microsoft JhengHei" w:hint="eastAsia"/>
                <w:b/>
                <w:sz w:val="21"/>
              </w:rPr>
              <w:t>脑中风后遗症</w:t>
            </w:r>
          </w:p>
        </w:tc>
        <w:tc>
          <w:tcPr>
            <w:tcW w:w="6932" w:type="dxa"/>
          </w:tcPr>
          <w:p>
            <w:pPr>
              <w:pStyle w:val="TableParagraph"/>
              <w:spacing w:before="10"/>
              <w:rPr>
                <w:rFonts w:ascii="Times New Roman"/>
                <w:sz w:val="22"/>
              </w:rPr>
            </w:pPr>
          </w:p>
          <w:p>
            <w:pPr>
              <w:pStyle w:val="TableParagraph"/>
              <w:spacing w:line="310" w:lineRule="atLeast"/>
              <w:ind w:left="209" w:right="103"/>
              <w:jc w:val="both"/>
              <w:rPr>
                <w:sz w:val="21"/>
              </w:rPr>
            </w:pPr>
            <w:r>
              <w:rPr>
                <w:spacing w:val="-6"/>
                <w:sz w:val="21"/>
              </w:rPr>
              <w:t>指因脑血管的突发病变引起脑血管出血、栓塞或梗塞，并导致神经系统永</w:t>
            </w:r>
            <w:r>
              <w:rPr>
                <w:spacing w:val="-13"/>
                <w:sz w:val="21"/>
              </w:rPr>
              <w:t>久性的功能障碍。神经系统永久性的功能障碍，指疾病确诊 </w:t>
            </w:r>
            <w:r>
              <w:rPr>
                <w:sz w:val="21"/>
              </w:rPr>
              <w:t>180</w:t>
            </w:r>
            <w:r>
              <w:rPr>
                <w:spacing w:val="-19"/>
                <w:sz w:val="21"/>
              </w:rPr>
              <w:t> 天后，仍遗留下列一种或一种以上障碍：</w:t>
            </w:r>
          </w:p>
        </w:tc>
      </w:tr>
    </w:tbl>
    <w:p>
      <w:pPr>
        <w:spacing w:after="0" w:line="310" w:lineRule="atLeast"/>
        <w:jc w:val="both"/>
        <w:rPr>
          <w:sz w:val="21"/>
        </w:rPr>
        <w:sectPr>
          <w:pgSz w:w="11910" w:h="16840"/>
          <w:pgMar w:header="899" w:footer="994" w:top="1220" w:bottom="1180" w:left="1120" w:right="1200"/>
        </w:sectPr>
      </w:pPr>
    </w:p>
    <w:p>
      <w:pPr>
        <w:pStyle w:val="BodyText"/>
        <w:spacing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026"/>
      </w:tblGrid>
      <w:tr>
        <w:trPr>
          <w:trHeight w:val="1507" w:hRule="atLeast"/>
        </w:trPr>
        <w:tc>
          <w:tcPr>
            <w:tcW w:w="1776" w:type="dxa"/>
          </w:tcPr>
          <w:p>
            <w:pPr>
              <w:pStyle w:val="TableParagraph"/>
              <w:rPr>
                <w:rFonts w:ascii="Times New Roman"/>
                <w:sz w:val="20"/>
              </w:rPr>
            </w:pPr>
          </w:p>
        </w:tc>
        <w:tc>
          <w:tcPr>
            <w:tcW w:w="7026" w:type="dxa"/>
          </w:tcPr>
          <w:p>
            <w:pPr>
              <w:pStyle w:val="TableParagraph"/>
              <w:numPr>
                <w:ilvl w:val="0"/>
                <w:numId w:val="10"/>
              </w:numPr>
              <w:tabs>
                <w:tab w:pos="736" w:val="left" w:leader="none"/>
              </w:tabs>
              <w:spacing w:line="210" w:lineRule="exact" w:before="0" w:after="0"/>
              <w:ind w:left="740" w:right="0" w:hanging="636"/>
              <w:jc w:val="left"/>
              <w:rPr>
                <w:sz w:val="21"/>
              </w:rPr>
            </w:pPr>
            <w:r>
              <w:rPr>
                <w:w w:val="95"/>
                <w:sz w:val="21"/>
              </w:rPr>
              <w:t>一肢或一肢以上</w:t>
            </w:r>
            <w:r>
              <w:rPr>
                <w:b/>
                <w:w w:val="95"/>
                <w:sz w:val="21"/>
              </w:rPr>
              <w:t>肢体机能完全丧失</w:t>
            </w:r>
            <w:r>
              <w:rPr>
                <w:w w:val="95"/>
                <w:sz w:val="21"/>
              </w:rPr>
              <w:t>；</w:t>
            </w:r>
          </w:p>
          <w:p>
            <w:pPr>
              <w:pStyle w:val="TableParagraph"/>
              <w:numPr>
                <w:ilvl w:val="0"/>
                <w:numId w:val="10"/>
              </w:numPr>
              <w:tabs>
                <w:tab w:pos="736" w:val="left" w:leader="none"/>
              </w:tabs>
              <w:spacing w:line="240" w:lineRule="auto" w:before="36" w:after="0"/>
              <w:ind w:left="740" w:right="0" w:hanging="636"/>
              <w:jc w:val="left"/>
              <w:rPr>
                <w:sz w:val="21"/>
              </w:rPr>
            </w:pPr>
            <w:r>
              <w:rPr>
                <w:b/>
                <w:w w:val="95"/>
                <w:sz w:val="21"/>
              </w:rPr>
              <w:t>语言能力或咀嚼吞咽能力完全丧失</w:t>
            </w:r>
            <w:r>
              <w:rPr>
                <w:w w:val="95"/>
                <w:sz w:val="21"/>
              </w:rPr>
              <w:t>；</w:t>
            </w:r>
          </w:p>
          <w:p>
            <w:pPr>
              <w:pStyle w:val="TableParagraph"/>
              <w:numPr>
                <w:ilvl w:val="0"/>
                <w:numId w:val="10"/>
              </w:numPr>
              <w:tabs>
                <w:tab w:pos="748" w:val="left" w:leader="none"/>
              </w:tabs>
              <w:spacing w:line="273" w:lineRule="auto" w:before="37" w:after="0"/>
              <w:ind w:left="740" w:right="302" w:hanging="636"/>
              <w:jc w:val="left"/>
              <w:rPr>
                <w:sz w:val="21"/>
              </w:rPr>
            </w:pPr>
            <w:r>
              <w:rPr>
                <w:sz w:val="21"/>
              </w:rPr>
              <w:t>自主生活能力完全丧失，无法独立完成</w:t>
            </w:r>
            <w:r>
              <w:rPr>
                <w:b/>
                <w:sz w:val="21"/>
              </w:rPr>
              <w:t>六项基本日常生活活动</w:t>
            </w:r>
            <w:r>
              <w:rPr>
                <w:sz w:val="21"/>
              </w:rPr>
              <w:t>中的三项或三项以上。</w:t>
            </w:r>
          </w:p>
        </w:tc>
      </w:tr>
      <w:tr>
        <w:trPr>
          <w:trHeight w:val="2436" w:hRule="atLeast"/>
        </w:trPr>
        <w:tc>
          <w:tcPr>
            <w:tcW w:w="1776" w:type="dxa"/>
          </w:tcPr>
          <w:p>
            <w:pPr>
              <w:pStyle w:val="TableParagraph"/>
              <w:spacing w:before="6"/>
              <w:rPr>
                <w:rFonts w:ascii="Times New Roman"/>
                <w:sz w:val="34"/>
              </w:rPr>
            </w:pPr>
          </w:p>
          <w:p>
            <w:pPr>
              <w:pStyle w:val="TableParagraph"/>
              <w:spacing w:line="410" w:lineRule="auto"/>
              <w:ind w:left="200" w:right="315"/>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026" w:type="dxa"/>
          </w:tcPr>
          <w:p>
            <w:pPr>
              <w:pStyle w:val="TableParagraph"/>
              <w:spacing w:before="10"/>
              <w:rPr>
                <w:rFonts w:ascii="Times New Roman"/>
                <w:sz w:val="25"/>
              </w:rPr>
            </w:pPr>
          </w:p>
          <w:p>
            <w:pPr>
              <w:pStyle w:val="TableParagraph"/>
              <w:spacing w:line="273" w:lineRule="auto" w:before="1"/>
              <w:ind w:left="104" w:right="304"/>
              <w:rPr>
                <w:sz w:val="21"/>
              </w:rPr>
            </w:pPr>
            <w:r>
              <w:rPr>
                <w:spacing w:val="-8"/>
                <w:sz w:val="21"/>
              </w:rPr>
              <w:t>重大器官移植术，指因相应器官功能衰竭，已经实施了肾脏、肝脏、心脏或肺脏的异体移植手术。</w:t>
            </w:r>
          </w:p>
          <w:p>
            <w:pPr>
              <w:pStyle w:val="TableParagraph"/>
              <w:spacing w:line="273" w:lineRule="auto" w:before="8"/>
              <w:ind w:left="104" w:right="198"/>
              <w:rPr>
                <w:sz w:val="21"/>
              </w:rPr>
            </w:pPr>
            <w:r>
              <w:rPr>
                <w:spacing w:val="-8"/>
                <w:sz w:val="21"/>
              </w:rPr>
              <w:t>造血干细胞移植术，指因造血功能损害或造血系统恶性肿瘤，已经实施了</w:t>
            </w:r>
            <w:r>
              <w:rPr>
                <w:spacing w:val="-28"/>
                <w:sz w:val="21"/>
              </w:rPr>
              <w:t>造血干细胞</w:t>
            </w:r>
            <w:r>
              <w:rPr>
                <w:sz w:val="21"/>
              </w:rPr>
              <w:t>（</w:t>
            </w:r>
            <w:r>
              <w:rPr>
                <w:spacing w:val="-10"/>
                <w:sz w:val="21"/>
              </w:rPr>
              <w:t>包括骨髓造血干细胞、外周血造血干细胞和脐血造血干细胞</w:t>
            </w:r>
            <w:r>
              <w:rPr>
                <w:sz w:val="21"/>
              </w:rPr>
              <w:t>） 的异体移植手术。</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7"/>
                <w:sz w:val="21"/>
              </w:rPr>
              <w:t>术</w:t>
            </w:r>
            <w:r>
              <w:rPr>
                <w:rFonts w:ascii="Microsoft JhengHei" w:eastAsia="Microsoft JhengHei" w:hint="eastAsia"/>
                <w:b/>
                <w:sz w:val="21"/>
              </w:rPr>
              <w:t>（或称冠状动脉旁路移植术）</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10"/>
                <w:sz w:val="21"/>
              </w:rPr>
              <w:t>指为治疗严重的冠心病，实际实施了开胸进行的冠状动脉血管旁路移植的手术。</w:t>
            </w:r>
          </w:p>
          <w:p>
            <w:pPr>
              <w:pStyle w:val="TableParagraph"/>
              <w:spacing w:line="273" w:lineRule="auto" w:before="7"/>
              <w:ind w:left="104" w:right="302"/>
              <w:rPr>
                <w:sz w:val="21"/>
              </w:rPr>
            </w:pPr>
            <w:r>
              <w:rPr>
                <w:spacing w:val="-9"/>
                <w:sz w:val="21"/>
              </w:rPr>
              <w:t>冠状动脉支架植入术、心导管球囊扩张术、激光射频技术及其它非开胸的介入手术、腔镜手术不在保障范围内。</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tc>
        <w:tc>
          <w:tcPr>
            <w:tcW w:w="7026" w:type="dxa"/>
          </w:tcPr>
          <w:p>
            <w:pPr>
              <w:pStyle w:val="TableParagraph"/>
              <w:rPr>
                <w:rFonts w:ascii="Times New Roman"/>
                <w:sz w:val="20"/>
              </w:rPr>
            </w:pPr>
          </w:p>
          <w:p>
            <w:pPr>
              <w:pStyle w:val="TableParagraph"/>
              <w:spacing w:before="128"/>
              <w:ind w:left="104"/>
              <w:rPr>
                <w:sz w:val="21"/>
              </w:rPr>
            </w:pPr>
            <w:r>
              <w:rPr>
                <w:sz w:val="21"/>
              </w:rPr>
              <w:t>指双肾功能慢性不可逆性衰竭，达到尿毒症期，经诊断后已经进行了至少</w:t>
            </w:r>
          </w:p>
          <w:p>
            <w:pPr>
              <w:pStyle w:val="TableParagraph"/>
              <w:spacing w:before="37"/>
              <w:ind w:left="104"/>
              <w:rPr>
                <w:sz w:val="21"/>
              </w:rPr>
            </w:pPr>
            <w:r>
              <w:rPr>
                <w:sz w:val="21"/>
              </w:rPr>
              <w:t>90 天的规律性透析治疗或实施了肾脏移植手术。</w:t>
            </w:r>
          </w:p>
        </w:tc>
      </w:tr>
      <w:tr>
        <w:trPr>
          <w:trHeight w:val="1307" w:hRule="atLeast"/>
        </w:trPr>
        <w:tc>
          <w:tcPr>
            <w:tcW w:w="1776"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4"/>
                <w:sz w:val="21"/>
              </w:rPr>
              <w:t>指因疾病或意外伤害导致两个或两个以上肢体自腕关节或踝关节近端</w:t>
            </w:r>
            <w:r>
              <w:rPr>
                <w:sz w:val="21"/>
              </w:rPr>
              <w:t>（靠近躯干端）以上完全性断离。</w:t>
            </w:r>
          </w:p>
        </w:tc>
      </w:tr>
      <w:tr>
        <w:trPr>
          <w:trHeight w:val="2340"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急性或亚急性重症肝炎</w:t>
            </w:r>
          </w:p>
        </w:tc>
        <w:tc>
          <w:tcPr>
            <w:tcW w:w="7026" w:type="dxa"/>
          </w:tcPr>
          <w:p>
            <w:pPr>
              <w:pStyle w:val="TableParagraph"/>
              <w:spacing w:before="10"/>
              <w:rPr>
                <w:rFonts w:ascii="Times New Roman"/>
                <w:sz w:val="25"/>
              </w:rPr>
            </w:pPr>
          </w:p>
          <w:p>
            <w:pPr>
              <w:pStyle w:val="TableParagraph"/>
              <w:spacing w:line="273" w:lineRule="auto"/>
              <w:ind w:left="104" w:right="302"/>
              <w:rPr>
                <w:sz w:val="21"/>
              </w:rPr>
            </w:pPr>
            <w:r>
              <w:rPr>
                <w:spacing w:val="-5"/>
                <w:sz w:val="21"/>
              </w:rPr>
              <w:t>指因肝炎病毒感染引起肝脏组织弥漫性坏死，导致急性肝功能衰竭，且经血清学或病毒学检查证实，并须满足下列全部条件：</w:t>
            </w:r>
          </w:p>
          <w:p>
            <w:pPr>
              <w:pStyle w:val="TableParagraph"/>
              <w:numPr>
                <w:ilvl w:val="0"/>
                <w:numId w:val="11"/>
              </w:numPr>
              <w:tabs>
                <w:tab w:pos="736" w:val="left" w:leader="none"/>
              </w:tabs>
              <w:spacing w:line="240" w:lineRule="auto" w:before="7" w:after="0"/>
              <w:ind w:left="735" w:right="0" w:hanging="631"/>
              <w:jc w:val="left"/>
              <w:rPr>
                <w:sz w:val="21"/>
              </w:rPr>
            </w:pPr>
            <w:r>
              <w:rPr>
                <w:spacing w:val="-1"/>
                <w:sz w:val="21"/>
              </w:rPr>
              <w:t>重度黄疸或黄疸迅速加重；</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肝性脑病；</w:t>
            </w:r>
          </w:p>
          <w:p>
            <w:pPr>
              <w:pStyle w:val="TableParagraph"/>
              <w:numPr>
                <w:ilvl w:val="0"/>
                <w:numId w:val="11"/>
              </w:numPr>
              <w:tabs>
                <w:tab w:pos="735" w:val="left" w:leader="none"/>
              </w:tabs>
              <w:spacing w:line="240" w:lineRule="auto" w:before="37" w:after="0"/>
              <w:ind w:left="734" w:right="0" w:hanging="630"/>
              <w:jc w:val="left"/>
              <w:rPr>
                <w:sz w:val="21"/>
              </w:rPr>
            </w:pPr>
            <w:r>
              <w:rPr>
                <w:sz w:val="21"/>
              </w:rPr>
              <w:t>B</w:t>
            </w:r>
            <w:r>
              <w:rPr>
                <w:spacing w:val="-8"/>
                <w:sz w:val="21"/>
              </w:rPr>
              <w:t> 超或其它影像学检查显示肝脏体积急速萎缩；</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肝功能指标进行性恶化。</w:t>
            </w:r>
          </w:p>
        </w:tc>
      </w:tr>
      <w:tr>
        <w:trPr>
          <w:trHeight w:val="1041" w:hRule="atLeast"/>
        </w:trPr>
        <w:tc>
          <w:tcPr>
            <w:tcW w:w="177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良性脑肿瘤</w:t>
            </w:r>
          </w:p>
        </w:tc>
        <w:tc>
          <w:tcPr>
            <w:tcW w:w="7026" w:type="dxa"/>
          </w:tcPr>
          <w:p>
            <w:pPr>
              <w:pStyle w:val="TableParagraph"/>
              <w:spacing w:line="310" w:lineRule="atLeast" w:before="107"/>
              <w:ind w:left="104" w:right="200"/>
              <w:jc w:val="both"/>
              <w:rPr>
                <w:sz w:val="21"/>
              </w:rPr>
            </w:pPr>
            <w:r>
              <w:rPr>
                <w:spacing w:val="-8"/>
                <w:sz w:val="21"/>
              </w:rPr>
              <w:t>指脑的良性肿瘤，已经引起颅内压增高，临床表现为视神经乳头水肿、精</w:t>
            </w:r>
            <w:r>
              <w:rPr>
                <w:spacing w:val="-12"/>
                <w:sz w:val="21"/>
              </w:rPr>
              <w:t>神症状、癫痫及运动感觉障碍等，并危及生命。须由头颅断层扫描</w:t>
            </w:r>
            <w:r>
              <w:rPr>
                <w:sz w:val="21"/>
              </w:rPr>
              <w:t>（CT</w:t>
            </w:r>
            <w:r>
              <w:rPr>
                <w:spacing w:val="-106"/>
                <w:sz w:val="21"/>
              </w:rPr>
              <w:t>）、</w:t>
            </w:r>
            <w:r>
              <w:rPr>
                <w:spacing w:val="-1"/>
                <w:sz w:val="21"/>
              </w:rPr>
              <w:t>核磁共振检查</w:t>
            </w:r>
            <w:r>
              <w:rPr>
                <w:sz w:val="21"/>
              </w:rPr>
              <w:t>（MRI）或正电子发射断层扫描（PET）等影像学检查证实，</w:t>
            </w:r>
          </w:p>
        </w:tc>
      </w:tr>
    </w:tbl>
    <w:p>
      <w:pPr>
        <w:spacing w:after="0" w:line="310" w:lineRule="atLeast"/>
        <w:jc w:val="both"/>
        <w:rPr>
          <w:sz w:val="21"/>
        </w:rPr>
        <w:sectPr>
          <w:pgSz w:w="11910" w:h="16840"/>
          <w:pgMar w:header="899" w:footer="994" w:top="1220" w:bottom="1180" w:left="1680" w:right="1000"/>
        </w:sectPr>
      </w:pPr>
    </w:p>
    <w:p>
      <w:pPr>
        <w:pStyle w:val="BodyText"/>
        <w:spacing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1507" w:hRule="atLeast"/>
        </w:trPr>
        <w:tc>
          <w:tcPr>
            <w:tcW w:w="1670" w:type="dxa"/>
          </w:tcPr>
          <w:p>
            <w:pPr>
              <w:pStyle w:val="TableParagraph"/>
              <w:rPr>
                <w:rFonts w:ascii="Times New Roman"/>
                <w:sz w:val="20"/>
              </w:rPr>
            </w:pPr>
          </w:p>
        </w:tc>
        <w:tc>
          <w:tcPr>
            <w:tcW w:w="7130" w:type="dxa"/>
          </w:tcPr>
          <w:p>
            <w:pPr>
              <w:pStyle w:val="TableParagraph"/>
              <w:spacing w:line="210" w:lineRule="exact"/>
              <w:ind w:left="210"/>
              <w:rPr>
                <w:sz w:val="21"/>
              </w:rPr>
            </w:pPr>
            <w:r>
              <w:rPr>
                <w:sz w:val="21"/>
              </w:rPr>
              <w:t>并须满足下列至少一项条件：</w:t>
            </w:r>
          </w:p>
          <w:p>
            <w:pPr>
              <w:pStyle w:val="TableParagraph"/>
              <w:numPr>
                <w:ilvl w:val="0"/>
                <w:numId w:val="12"/>
              </w:numPr>
              <w:tabs>
                <w:tab w:pos="842" w:val="left" w:leader="none"/>
              </w:tabs>
              <w:spacing w:line="240" w:lineRule="auto" w:before="36" w:after="0"/>
              <w:ind w:left="841" w:right="0" w:hanging="631"/>
              <w:jc w:val="left"/>
              <w:rPr>
                <w:sz w:val="21"/>
              </w:rPr>
            </w:pPr>
            <w:r>
              <w:rPr>
                <w:spacing w:val="-1"/>
                <w:sz w:val="21"/>
              </w:rPr>
              <w:t>实际实施了开颅进行的脑肿瘤完全切除或部分切除的手术；</w:t>
            </w:r>
          </w:p>
          <w:p>
            <w:pPr>
              <w:pStyle w:val="TableParagraph"/>
              <w:numPr>
                <w:ilvl w:val="0"/>
                <w:numId w:val="12"/>
              </w:numPr>
              <w:tabs>
                <w:tab w:pos="842" w:val="left" w:leader="none"/>
              </w:tabs>
              <w:spacing w:line="240" w:lineRule="auto" w:before="37" w:after="0"/>
              <w:ind w:left="841" w:right="0" w:hanging="631"/>
              <w:jc w:val="left"/>
              <w:rPr>
                <w:sz w:val="21"/>
              </w:rPr>
            </w:pPr>
            <w:r>
              <w:rPr>
                <w:spacing w:val="-1"/>
                <w:sz w:val="21"/>
              </w:rPr>
              <w:t>实际实施了对脑肿瘤进行的放射治疗。</w:t>
            </w:r>
          </w:p>
          <w:p>
            <w:pPr>
              <w:pStyle w:val="TableParagraph"/>
              <w:spacing w:before="37"/>
              <w:ind w:left="210"/>
              <w:rPr>
                <w:sz w:val="21"/>
              </w:rPr>
            </w:pPr>
            <w:r>
              <w:rPr>
                <w:sz w:val="21"/>
              </w:rPr>
              <w:t>脑垂体瘤、脑囊肿、脑血管性疾病不在保障范围内。</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慢性肝功能衰竭失代偿期</w:t>
            </w:r>
          </w:p>
        </w:tc>
        <w:tc>
          <w:tcPr>
            <w:tcW w:w="7130" w:type="dxa"/>
          </w:tcPr>
          <w:p>
            <w:pPr>
              <w:pStyle w:val="TableParagraph"/>
              <w:spacing w:before="10"/>
              <w:rPr>
                <w:rFonts w:ascii="Times New Roman"/>
                <w:sz w:val="25"/>
              </w:rPr>
            </w:pPr>
          </w:p>
          <w:p>
            <w:pPr>
              <w:pStyle w:val="TableParagraph"/>
              <w:spacing w:before="1"/>
              <w:ind w:left="210"/>
              <w:rPr>
                <w:sz w:val="21"/>
              </w:rPr>
            </w:pPr>
            <w:r>
              <w:rPr>
                <w:sz w:val="21"/>
              </w:rPr>
              <w:t>指因慢性肝脏疾病导致肝功能衰竭。须满足下列全部条件：</w:t>
            </w:r>
          </w:p>
          <w:p>
            <w:pPr>
              <w:pStyle w:val="TableParagraph"/>
              <w:numPr>
                <w:ilvl w:val="0"/>
                <w:numId w:val="13"/>
              </w:numPr>
              <w:tabs>
                <w:tab w:pos="842" w:val="left" w:leader="none"/>
              </w:tabs>
              <w:spacing w:line="240" w:lineRule="auto" w:before="37" w:after="0"/>
              <w:ind w:left="210" w:right="0" w:firstLine="0"/>
              <w:jc w:val="left"/>
              <w:rPr>
                <w:sz w:val="21"/>
              </w:rPr>
            </w:pPr>
            <w:r>
              <w:rPr>
                <w:spacing w:val="-1"/>
                <w:sz w:val="21"/>
              </w:rPr>
              <w:t>持续性黄疸；</w:t>
            </w:r>
          </w:p>
          <w:p>
            <w:pPr>
              <w:pStyle w:val="TableParagraph"/>
              <w:numPr>
                <w:ilvl w:val="0"/>
                <w:numId w:val="13"/>
              </w:numPr>
              <w:tabs>
                <w:tab w:pos="842" w:val="left" w:leader="none"/>
              </w:tabs>
              <w:spacing w:line="240" w:lineRule="auto" w:before="37" w:after="0"/>
              <w:ind w:left="210" w:right="0" w:firstLine="0"/>
              <w:jc w:val="left"/>
              <w:rPr>
                <w:sz w:val="21"/>
              </w:rPr>
            </w:pPr>
            <w:r>
              <w:rPr>
                <w:spacing w:val="-1"/>
                <w:sz w:val="21"/>
              </w:rPr>
              <w:t>腹水；</w:t>
            </w:r>
          </w:p>
          <w:p>
            <w:pPr>
              <w:pStyle w:val="TableParagraph"/>
              <w:numPr>
                <w:ilvl w:val="0"/>
                <w:numId w:val="13"/>
              </w:numPr>
              <w:tabs>
                <w:tab w:pos="842" w:val="left" w:leader="none"/>
              </w:tabs>
              <w:spacing w:line="240" w:lineRule="auto" w:before="37" w:after="0"/>
              <w:ind w:left="210" w:right="0" w:firstLine="0"/>
              <w:jc w:val="left"/>
              <w:rPr>
                <w:sz w:val="21"/>
              </w:rPr>
            </w:pPr>
            <w:r>
              <w:rPr>
                <w:spacing w:val="-1"/>
                <w:sz w:val="21"/>
              </w:rPr>
              <w:t>肝性脑病；</w:t>
            </w:r>
          </w:p>
          <w:p>
            <w:pPr>
              <w:pStyle w:val="TableParagraph"/>
              <w:numPr>
                <w:ilvl w:val="0"/>
                <w:numId w:val="13"/>
              </w:numPr>
              <w:tabs>
                <w:tab w:pos="842" w:val="left" w:leader="none"/>
              </w:tabs>
              <w:spacing w:line="273" w:lineRule="auto" w:before="37" w:after="0"/>
              <w:ind w:left="210" w:right="1667" w:firstLine="0"/>
              <w:jc w:val="left"/>
              <w:rPr>
                <w:sz w:val="21"/>
              </w:rPr>
            </w:pPr>
            <w:r>
              <w:rPr>
                <w:sz w:val="21"/>
              </w:rPr>
              <w:t>充血性脾肿大伴脾功能亢进或食管胃底静脉曲张。因酗酒或药物滥用导致的肝功能衰竭不在保障范围内。</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脑炎后遗症或脑膜炎后遗症</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5"/>
                <w:sz w:val="21"/>
              </w:rPr>
              <w:t>指因患脑炎或脑膜炎导致的神经系统永久性的功能障碍。神经系统永久性</w:t>
            </w:r>
            <w:r>
              <w:rPr>
                <w:spacing w:val="-10"/>
                <w:sz w:val="21"/>
              </w:rPr>
              <w:t>的功能障碍，指疾病确诊 </w:t>
            </w:r>
            <w:r>
              <w:rPr>
                <w:sz w:val="21"/>
              </w:rPr>
              <w:t>180</w:t>
            </w:r>
            <w:r>
              <w:rPr>
                <w:spacing w:val="-8"/>
                <w:sz w:val="21"/>
              </w:rPr>
              <w:t> 天后，仍遗留下列一种或一种以上障碍：</w:t>
            </w:r>
          </w:p>
          <w:p>
            <w:pPr>
              <w:pStyle w:val="TableParagraph"/>
              <w:numPr>
                <w:ilvl w:val="0"/>
                <w:numId w:val="14"/>
              </w:numPr>
              <w:tabs>
                <w:tab w:pos="842" w:val="left" w:leader="none"/>
              </w:tabs>
              <w:spacing w:line="240" w:lineRule="auto" w:before="7" w:after="0"/>
              <w:ind w:left="846" w:right="0" w:hanging="636"/>
              <w:jc w:val="left"/>
              <w:rPr>
                <w:sz w:val="21"/>
              </w:rPr>
            </w:pPr>
            <w:r>
              <w:rPr>
                <w:spacing w:val="-1"/>
                <w:sz w:val="21"/>
              </w:rPr>
              <w:t>一肢或一肢以上肢体机能完全丧失；</w:t>
            </w:r>
          </w:p>
          <w:p>
            <w:pPr>
              <w:pStyle w:val="TableParagraph"/>
              <w:numPr>
                <w:ilvl w:val="0"/>
                <w:numId w:val="14"/>
              </w:numPr>
              <w:tabs>
                <w:tab w:pos="842" w:val="left" w:leader="none"/>
              </w:tabs>
              <w:spacing w:line="240" w:lineRule="auto" w:before="37" w:after="0"/>
              <w:ind w:left="846" w:right="0" w:hanging="636"/>
              <w:jc w:val="left"/>
              <w:rPr>
                <w:sz w:val="21"/>
              </w:rPr>
            </w:pPr>
            <w:r>
              <w:rPr>
                <w:spacing w:val="-1"/>
                <w:sz w:val="21"/>
              </w:rPr>
              <w:t>语言能力或咀嚼吞咽能力完全丧失；</w:t>
            </w:r>
          </w:p>
          <w:p>
            <w:pPr>
              <w:pStyle w:val="TableParagraph"/>
              <w:numPr>
                <w:ilvl w:val="0"/>
                <w:numId w:val="14"/>
              </w:numPr>
              <w:tabs>
                <w:tab w:pos="790" w:val="left" w:leader="none"/>
              </w:tabs>
              <w:spacing w:line="273" w:lineRule="auto" w:before="37" w:after="0"/>
              <w:ind w:left="846" w:right="300" w:hanging="636"/>
              <w:jc w:val="left"/>
              <w:rPr>
                <w:sz w:val="21"/>
              </w:rPr>
            </w:pPr>
            <w:r>
              <w:rPr>
                <w:spacing w:val="-5"/>
                <w:sz w:val="21"/>
              </w:rPr>
              <w:t>自主生活能力完全丧失，无法独立完成六项基本日常生活活动中的三项或三项以上。</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30" w:type="dxa"/>
          </w:tcPr>
          <w:p>
            <w:pPr>
              <w:pStyle w:val="TableParagraph"/>
              <w:spacing w:before="10"/>
              <w:rPr>
                <w:rFonts w:ascii="Times New Roman"/>
                <w:sz w:val="25"/>
              </w:rPr>
            </w:pPr>
          </w:p>
          <w:p>
            <w:pPr>
              <w:pStyle w:val="TableParagraph"/>
              <w:spacing w:line="273" w:lineRule="auto" w:before="1"/>
              <w:ind w:left="210" w:right="299"/>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8"/>
              <w:ind w:left="210" w:right="722"/>
              <w:rPr>
                <w:sz w:val="21"/>
              </w:rPr>
            </w:pPr>
            <w:r>
              <w:rPr>
                <w:spacing w:val="-3"/>
                <w:sz w:val="21"/>
              </w:rPr>
              <w:t>分以下，且已经持续使用呼吸机及其它生命维持系统 </w:t>
            </w:r>
            <w:r>
              <w:rPr>
                <w:sz w:val="21"/>
              </w:rPr>
              <w:t>96</w:t>
            </w:r>
            <w:r>
              <w:rPr>
                <w:spacing w:val="-10"/>
                <w:sz w:val="21"/>
              </w:rPr>
              <w:t> 小时以上。因酗酒或药物滥用导致的深度昏迷不在保障范围内。</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130" w:type="dxa"/>
          </w:tcPr>
          <w:p>
            <w:pPr>
              <w:pStyle w:val="TableParagraph"/>
              <w:spacing w:before="10"/>
              <w:rPr>
                <w:rFonts w:ascii="Times New Roman"/>
                <w:sz w:val="25"/>
              </w:rPr>
            </w:pPr>
          </w:p>
          <w:p>
            <w:pPr>
              <w:pStyle w:val="TableParagraph"/>
              <w:ind w:left="210"/>
              <w:rPr>
                <w:sz w:val="21"/>
              </w:rPr>
            </w:pPr>
            <w:r>
              <w:rPr>
                <w:sz w:val="21"/>
              </w:rPr>
              <w:t>指因疾病或意外伤害导致双耳听力</w:t>
            </w:r>
            <w:r>
              <w:rPr>
                <w:b/>
                <w:sz w:val="21"/>
              </w:rPr>
              <w:t>永久不可逆</w:t>
            </w:r>
            <w:r>
              <w:rPr>
                <w:sz w:val="21"/>
              </w:rPr>
              <w:t>性丧失，在 500 赫兹、1000</w:t>
            </w:r>
          </w:p>
          <w:p>
            <w:pPr>
              <w:pStyle w:val="TableParagraph"/>
              <w:spacing w:line="273" w:lineRule="auto" w:before="36"/>
              <w:ind w:left="210" w:right="197"/>
              <w:rPr>
                <w:sz w:val="21"/>
              </w:rPr>
            </w:pPr>
            <w:r>
              <w:rPr>
                <w:spacing w:val="-14"/>
                <w:sz w:val="21"/>
              </w:rPr>
              <w:t>赫兹和 </w:t>
            </w:r>
            <w:r>
              <w:rPr>
                <w:sz w:val="21"/>
              </w:rPr>
              <w:t>2000</w:t>
            </w:r>
            <w:r>
              <w:rPr>
                <w:spacing w:val="-17"/>
                <w:sz w:val="21"/>
              </w:rPr>
              <w:t> 赫兹语音频率下，平均听阈大于 </w:t>
            </w:r>
            <w:r>
              <w:rPr>
                <w:sz w:val="21"/>
              </w:rPr>
              <w:t>90</w:t>
            </w:r>
            <w:r>
              <w:rPr>
                <w:spacing w:val="-15"/>
                <w:sz w:val="21"/>
              </w:rPr>
              <w:t> 分贝，且经纯音听力测试、声导抗检测或听觉诱发电位检测等证实。</w:t>
            </w:r>
          </w:p>
          <w:p>
            <w:pPr>
              <w:pStyle w:val="TableParagraph"/>
              <w:spacing w:before="7"/>
              <w:ind w:left="210"/>
              <w:rPr>
                <w:sz w:val="21"/>
              </w:rPr>
            </w:pPr>
            <w:r>
              <w:rPr>
                <w:sz w:val="21"/>
              </w:rPr>
              <w:t>在0周岁至3周岁的保险单周年日期间，被保险人初患双耳失聪除外。</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5"/>
                <w:sz w:val="21"/>
              </w:rPr>
              <w:t>指因疾病或意外伤害导致双眼视力永久不可逆性丧失，双眼中较好眼须满足下列至少一项条件：</w:t>
            </w:r>
          </w:p>
          <w:p>
            <w:pPr>
              <w:pStyle w:val="TableParagraph"/>
              <w:numPr>
                <w:ilvl w:val="0"/>
                <w:numId w:val="15"/>
              </w:numPr>
              <w:tabs>
                <w:tab w:pos="842" w:val="left" w:leader="none"/>
              </w:tabs>
              <w:spacing w:line="240" w:lineRule="auto" w:before="7" w:after="0"/>
              <w:ind w:left="832" w:right="0" w:hanging="622"/>
              <w:jc w:val="left"/>
              <w:rPr>
                <w:sz w:val="21"/>
              </w:rPr>
            </w:pPr>
            <w:r>
              <w:rPr>
                <w:spacing w:val="-1"/>
                <w:sz w:val="21"/>
              </w:rPr>
              <w:t>眼球缺失或摘除；</w:t>
            </w:r>
          </w:p>
          <w:p>
            <w:pPr>
              <w:pStyle w:val="TableParagraph"/>
              <w:numPr>
                <w:ilvl w:val="0"/>
                <w:numId w:val="15"/>
              </w:numPr>
              <w:tabs>
                <w:tab w:pos="842" w:val="left" w:leader="none"/>
              </w:tabs>
              <w:spacing w:line="273" w:lineRule="auto" w:before="37" w:after="0"/>
              <w:ind w:left="832" w:right="302" w:hanging="622"/>
              <w:jc w:val="left"/>
              <w:rPr>
                <w:sz w:val="21"/>
              </w:rPr>
            </w:pPr>
            <w:r>
              <w:rPr>
                <w:spacing w:val="-1"/>
                <w:sz w:val="21"/>
              </w:rPr>
              <w:t>矫正视力低于 </w:t>
            </w:r>
            <w:r>
              <w:rPr>
                <w:sz w:val="21"/>
              </w:rPr>
              <w:t>0.02（采用国际标准视力表，如果使用其它视力表应进行换算）；</w:t>
            </w:r>
          </w:p>
          <w:p>
            <w:pPr>
              <w:pStyle w:val="TableParagraph"/>
              <w:numPr>
                <w:ilvl w:val="0"/>
                <w:numId w:val="15"/>
              </w:numPr>
              <w:tabs>
                <w:tab w:pos="842" w:val="left" w:leader="none"/>
              </w:tabs>
              <w:spacing w:line="240" w:lineRule="auto" w:before="7" w:after="0"/>
              <w:ind w:left="832" w:right="0" w:hanging="622"/>
              <w:jc w:val="left"/>
              <w:rPr>
                <w:sz w:val="21"/>
              </w:rPr>
            </w:pPr>
            <w:r>
              <w:rPr>
                <w:spacing w:val="-8"/>
                <w:sz w:val="21"/>
              </w:rPr>
              <w:t>视野半径小于 </w:t>
            </w:r>
            <w:r>
              <w:rPr>
                <w:sz w:val="21"/>
              </w:rPr>
              <w:t>5</w:t>
            </w:r>
            <w:r>
              <w:rPr>
                <w:spacing w:val="-18"/>
                <w:sz w:val="21"/>
              </w:rPr>
              <w:t> 度。</w:t>
            </w:r>
          </w:p>
        </w:tc>
      </w:tr>
      <w:tr>
        <w:trPr>
          <w:trHeight w:val="885"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瘫痪</w:t>
            </w:r>
          </w:p>
        </w:tc>
        <w:tc>
          <w:tcPr>
            <w:tcW w:w="7130" w:type="dxa"/>
          </w:tcPr>
          <w:p>
            <w:pPr>
              <w:pStyle w:val="TableParagraph"/>
              <w:spacing w:before="10"/>
              <w:rPr>
                <w:rFonts w:ascii="Times New Roman"/>
                <w:sz w:val="22"/>
              </w:rPr>
            </w:pPr>
          </w:p>
          <w:p>
            <w:pPr>
              <w:pStyle w:val="TableParagraph"/>
              <w:spacing w:line="310" w:lineRule="atLeast"/>
              <w:ind w:left="210" w:right="300"/>
              <w:rPr>
                <w:sz w:val="21"/>
              </w:rPr>
            </w:pPr>
            <w:r>
              <w:rPr>
                <w:spacing w:val="-4"/>
                <w:sz w:val="21"/>
              </w:rPr>
              <w:t>指因疾病或意外伤害导致两肢或两肢以上肢体机能永久完全丧失。肢体机</w:t>
            </w:r>
            <w:r>
              <w:rPr>
                <w:spacing w:val="-13"/>
                <w:sz w:val="21"/>
              </w:rPr>
              <w:t>能永久完全丧失，指疾病确诊 </w:t>
            </w:r>
            <w:r>
              <w:rPr>
                <w:sz w:val="21"/>
              </w:rPr>
              <w:t>180</w:t>
            </w:r>
            <w:r>
              <w:rPr>
                <w:spacing w:val="-13"/>
                <w:sz w:val="21"/>
              </w:rPr>
              <w:t> 天后或意外伤害发生 </w:t>
            </w:r>
            <w:r>
              <w:rPr>
                <w:sz w:val="21"/>
              </w:rPr>
              <w:t>180</w:t>
            </w:r>
            <w:r>
              <w:rPr>
                <w:spacing w:val="-17"/>
                <w:sz w:val="21"/>
              </w:rPr>
              <w:t> 天后，每肢三</w:t>
            </w:r>
          </w:p>
        </w:tc>
      </w:tr>
    </w:tbl>
    <w:p>
      <w:pPr>
        <w:spacing w:after="0" w:line="310" w:lineRule="atLeast"/>
        <w:rPr>
          <w:sz w:val="21"/>
        </w:rPr>
        <w:sectPr>
          <w:pgSz w:w="11910" w:h="16840"/>
          <w:pgMar w:header="899" w:footer="994" w:top="1220" w:bottom="1180" w:left="1680" w:right="1000"/>
        </w:sectPr>
      </w:pPr>
    </w:p>
    <w:p>
      <w:pPr>
        <w:pStyle w:val="BodyText"/>
        <w:spacing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572" w:hRule="atLeast"/>
        </w:trPr>
        <w:tc>
          <w:tcPr>
            <w:tcW w:w="1670" w:type="dxa"/>
          </w:tcPr>
          <w:p>
            <w:pPr>
              <w:pStyle w:val="TableParagraph"/>
              <w:rPr>
                <w:rFonts w:ascii="Times New Roman"/>
                <w:sz w:val="20"/>
              </w:rPr>
            </w:pPr>
          </w:p>
        </w:tc>
        <w:tc>
          <w:tcPr>
            <w:tcW w:w="7130" w:type="dxa"/>
          </w:tcPr>
          <w:p>
            <w:pPr>
              <w:pStyle w:val="TableParagraph"/>
              <w:spacing w:line="210" w:lineRule="exact"/>
              <w:ind w:left="210"/>
              <w:rPr>
                <w:sz w:val="21"/>
              </w:rPr>
            </w:pPr>
            <w:r>
              <w:rPr>
                <w:sz w:val="21"/>
              </w:rPr>
              <w:t>大关节中的两大关节仍然完全僵硬，或不能随意识活动。</w:t>
            </w:r>
          </w:p>
        </w:tc>
      </w:tr>
      <w:tr>
        <w:trPr>
          <w:trHeight w:val="1247" w:hRule="atLeast"/>
        </w:trPr>
        <w:tc>
          <w:tcPr>
            <w:tcW w:w="1670" w:type="dxa"/>
          </w:tcPr>
          <w:p>
            <w:pPr>
              <w:pStyle w:val="TableParagraph"/>
              <w:spacing w:before="5"/>
              <w:rPr>
                <w:rFonts w:ascii="Times New Roman"/>
                <w:sz w:val="34"/>
              </w:rPr>
            </w:pPr>
          </w:p>
          <w:p>
            <w:pPr>
              <w:pStyle w:val="TableParagraph"/>
              <w:spacing w:before="1"/>
              <w:ind w:left="200"/>
              <w:rPr>
                <w:rFonts w:ascii="Microsoft JhengHei" w:eastAsia="Microsoft JhengHei" w:hint="eastAsia"/>
                <w:b/>
                <w:sz w:val="21"/>
              </w:rPr>
            </w:pPr>
            <w:r>
              <w:rPr>
                <w:rFonts w:ascii="Microsoft JhengHei" w:eastAsia="Microsoft JhengHei" w:hint="eastAsia"/>
                <w:b/>
                <w:sz w:val="21"/>
              </w:rPr>
              <w:t>心脏瓣膜手术</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10"/>
                <w:sz w:val="21"/>
              </w:rPr>
              <w:t>指为治疗心脏瓣膜疾病，实际实施了开胸进行的心脏瓣膜置换或修复的手术。</w:t>
            </w:r>
          </w:p>
        </w:tc>
      </w:tr>
      <w:tr>
        <w:trPr>
          <w:trHeight w:val="2495" w:hRule="atLeast"/>
        </w:trPr>
        <w:tc>
          <w:tcPr>
            <w:tcW w:w="1670" w:type="dxa"/>
          </w:tcPr>
          <w:p>
            <w:pPr>
              <w:pStyle w:val="TableParagraph"/>
              <w:spacing w:before="6"/>
              <w:rPr>
                <w:rFonts w:ascii="Times New Roman"/>
                <w:sz w:val="34"/>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严重阿尔茨海默病</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9"/>
                <w:sz w:val="21"/>
              </w:rPr>
              <w:t>指因大脑进行性、不可逆性改变导致智能严重衰退或丧失，临床表现为明</w:t>
            </w:r>
            <w:r>
              <w:rPr>
                <w:spacing w:val="-13"/>
                <w:sz w:val="21"/>
              </w:rPr>
              <w:t>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7"/>
              <w:ind w:left="210"/>
              <w:jc w:val="both"/>
              <w:rPr>
                <w:sz w:val="21"/>
              </w:rPr>
            </w:pPr>
            <w:r>
              <w:rPr>
                <w:sz w:val="21"/>
              </w:rPr>
              <w:t>神经官能症和精神疾病不在保障范围内。</w:t>
            </w:r>
          </w:p>
        </w:tc>
      </w:tr>
      <w:tr>
        <w:trPr>
          <w:trHeight w:val="312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严重脑损伤</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8"/>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20"/>
                <w:sz w:val="21"/>
              </w:rPr>
              <w:t>脑损伤 </w:t>
            </w:r>
            <w:r>
              <w:rPr>
                <w:sz w:val="21"/>
              </w:rPr>
              <w:t>180</w:t>
            </w:r>
            <w:r>
              <w:rPr>
                <w:spacing w:val="-8"/>
                <w:sz w:val="21"/>
              </w:rPr>
              <w:t> 天后，仍遗留下列一种或一种以上障碍：</w:t>
            </w:r>
          </w:p>
          <w:p>
            <w:pPr>
              <w:pStyle w:val="TableParagraph"/>
              <w:numPr>
                <w:ilvl w:val="0"/>
                <w:numId w:val="16"/>
              </w:numPr>
              <w:tabs>
                <w:tab w:pos="842" w:val="left" w:leader="none"/>
              </w:tabs>
              <w:spacing w:line="240" w:lineRule="auto" w:before="7" w:after="0"/>
              <w:ind w:left="832" w:right="0" w:hanging="622"/>
              <w:jc w:val="left"/>
              <w:rPr>
                <w:sz w:val="21"/>
              </w:rPr>
            </w:pPr>
            <w:r>
              <w:rPr>
                <w:spacing w:val="-1"/>
                <w:sz w:val="21"/>
              </w:rPr>
              <w:t>一肢或一肢以上肢体机能完全丧失；</w:t>
            </w:r>
          </w:p>
          <w:p>
            <w:pPr>
              <w:pStyle w:val="TableParagraph"/>
              <w:numPr>
                <w:ilvl w:val="0"/>
                <w:numId w:val="16"/>
              </w:numPr>
              <w:tabs>
                <w:tab w:pos="842" w:val="left" w:leader="none"/>
              </w:tabs>
              <w:spacing w:line="240" w:lineRule="auto" w:before="37" w:after="0"/>
              <w:ind w:left="832" w:right="0" w:hanging="622"/>
              <w:jc w:val="left"/>
              <w:rPr>
                <w:sz w:val="21"/>
              </w:rPr>
            </w:pPr>
            <w:r>
              <w:rPr>
                <w:spacing w:val="-1"/>
                <w:sz w:val="21"/>
              </w:rPr>
              <w:t>语言能力或咀嚼吞咽能力完全丧失；</w:t>
            </w:r>
          </w:p>
          <w:p>
            <w:pPr>
              <w:pStyle w:val="TableParagraph"/>
              <w:numPr>
                <w:ilvl w:val="0"/>
                <w:numId w:val="16"/>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30" w:type="dxa"/>
          </w:tcPr>
          <w:p>
            <w:pPr>
              <w:pStyle w:val="TableParagraph"/>
              <w:spacing w:before="10"/>
              <w:rPr>
                <w:rFonts w:ascii="Times New Roman"/>
                <w:sz w:val="25"/>
              </w:rPr>
            </w:pPr>
          </w:p>
          <w:p>
            <w:pPr>
              <w:pStyle w:val="TableParagraph"/>
              <w:spacing w:line="273" w:lineRule="auto"/>
              <w:ind w:left="210" w:right="197"/>
              <w:rPr>
                <w:sz w:val="21"/>
              </w:rPr>
            </w:pPr>
            <w:r>
              <w:rPr>
                <w:sz w:val="21"/>
              </w:rPr>
              <w:t>是一种中枢神经系统的退行性疾病，临床表现为震颤麻痹、共济失调等。须满足下列全部条件：</w:t>
            </w:r>
          </w:p>
          <w:p>
            <w:pPr>
              <w:pStyle w:val="TableParagraph"/>
              <w:numPr>
                <w:ilvl w:val="0"/>
                <w:numId w:val="17"/>
              </w:numPr>
              <w:tabs>
                <w:tab w:pos="842" w:val="left" w:leader="none"/>
              </w:tabs>
              <w:spacing w:line="240" w:lineRule="auto" w:before="7" w:after="0"/>
              <w:ind w:left="832" w:right="0" w:hanging="622"/>
              <w:jc w:val="left"/>
              <w:rPr>
                <w:sz w:val="21"/>
              </w:rPr>
            </w:pPr>
            <w:r>
              <w:rPr>
                <w:spacing w:val="-1"/>
                <w:sz w:val="21"/>
              </w:rPr>
              <w:t>药物治疗无法控制病情；</w:t>
            </w:r>
          </w:p>
          <w:p>
            <w:pPr>
              <w:pStyle w:val="TableParagraph"/>
              <w:numPr>
                <w:ilvl w:val="0"/>
                <w:numId w:val="17"/>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p>
            <w:pPr>
              <w:pStyle w:val="TableParagraph"/>
              <w:spacing w:before="7"/>
              <w:ind w:left="210"/>
              <w:rPr>
                <w:sz w:val="21"/>
              </w:rPr>
            </w:pPr>
            <w:r>
              <w:rPr>
                <w:sz w:val="21"/>
              </w:rPr>
              <w:t>继发性帕金森综合征不在保障范围内。</w:t>
            </w:r>
          </w:p>
        </w:tc>
      </w:tr>
      <w:tr>
        <w:trPr>
          <w:trHeight w:val="1247" w:hRule="atLeast"/>
        </w:trPr>
        <w:tc>
          <w:tcPr>
            <w:tcW w:w="1670" w:type="dxa"/>
          </w:tcPr>
          <w:p>
            <w:pPr>
              <w:pStyle w:val="TableParagraph"/>
              <w:spacing w:before="6"/>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2"/>
                <w:sz w:val="21"/>
              </w:rPr>
              <w:t>指烧伤程度为Ⅲ度，且Ⅲ度烧伤的面积达到全身体表面积的 </w:t>
            </w:r>
            <w:r>
              <w:rPr>
                <w:sz w:val="21"/>
              </w:rPr>
              <w:t>20%</w:t>
            </w:r>
            <w:r>
              <w:rPr>
                <w:spacing w:val="-28"/>
                <w:sz w:val="21"/>
              </w:rPr>
              <w:t>或 </w:t>
            </w:r>
            <w:r>
              <w:rPr>
                <w:sz w:val="21"/>
              </w:rPr>
              <w:t>20%以上。体表面积根据《中国新九分法》计算。</w:t>
            </w:r>
          </w:p>
        </w:tc>
      </w:tr>
      <w:tr>
        <w:trPr>
          <w:trHeight w:val="1390" w:hRule="atLeast"/>
        </w:trPr>
        <w:tc>
          <w:tcPr>
            <w:tcW w:w="1670" w:type="dxa"/>
          </w:tcPr>
          <w:p>
            <w:pPr>
              <w:pStyle w:val="TableParagraph"/>
              <w:spacing w:line="620" w:lineRule="atLeast" w:before="142"/>
              <w:ind w:left="200" w:right="209"/>
              <w:rPr>
                <w:rFonts w:ascii="Microsoft JhengHei" w:eastAsia="Microsoft JhengHei" w:hint="eastAsia"/>
                <w:b/>
                <w:sz w:val="21"/>
              </w:rPr>
            </w:pPr>
            <w:r>
              <w:rPr>
                <w:rFonts w:ascii="Microsoft JhengHei" w:eastAsia="Microsoft JhengHei" w:hint="eastAsia"/>
                <w:b/>
                <w:sz w:val="21"/>
              </w:rPr>
              <w:t>严重原发性肺动脉高压</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6"/>
                <w:sz w:val="21"/>
              </w:rPr>
              <w:t>指不明原因的肺动脉压力持续性增高，进行性发展而导致的慢性疾病，已</w:t>
            </w:r>
            <w:r>
              <w:rPr>
                <w:spacing w:val="-12"/>
                <w:sz w:val="21"/>
              </w:rPr>
              <w:t>经造成永久不可逆性的体力活动能力受限，达到美国纽约心脏病学会心功</w:t>
            </w:r>
            <w:r>
              <w:rPr>
                <w:spacing w:val="-19"/>
                <w:sz w:val="21"/>
              </w:rPr>
              <w:t>能状态分级 </w:t>
            </w:r>
            <w:r>
              <w:rPr>
                <w:sz w:val="21"/>
              </w:rPr>
              <w:t>IV</w:t>
            </w:r>
            <w:r>
              <w:rPr>
                <w:spacing w:val="-11"/>
                <w:sz w:val="21"/>
              </w:rPr>
              <w:t> 级，且静息状态下肺动脉平均压超过 </w:t>
            </w:r>
            <w:r>
              <w:rPr>
                <w:sz w:val="21"/>
              </w:rPr>
              <w:t>30mmHg。</w:t>
            </w:r>
          </w:p>
        </w:tc>
      </w:tr>
    </w:tbl>
    <w:p>
      <w:pPr>
        <w:spacing w:after="0" w:line="273" w:lineRule="auto"/>
        <w:jc w:val="both"/>
        <w:rPr>
          <w:sz w:val="21"/>
        </w:rPr>
        <w:sectPr>
          <w:pgSz w:w="11910" w:h="16840"/>
          <w:pgMar w:header="899" w:footer="994" w:top="1220" w:bottom="1180" w:left="1680" w:right="1000"/>
        </w:sectPr>
      </w:pPr>
    </w:p>
    <w:p>
      <w:pPr>
        <w:pStyle w:val="BodyText"/>
        <w:spacing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7046"/>
      </w:tblGrid>
      <w:tr>
        <w:trPr>
          <w:trHeight w:val="1507" w:hRule="atLeast"/>
        </w:trPr>
        <w:tc>
          <w:tcPr>
            <w:tcW w:w="1756" w:type="dxa"/>
          </w:tcPr>
          <w:p>
            <w:pPr>
              <w:pStyle w:val="TableParagraph"/>
              <w:spacing w:line="408" w:lineRule="auto" w:before="34"/>
              <w:ind w:left="200" w:right="295"/>
              <w:rPr>
                <w:rFonts w:ascii="Microsoft JhengHei" w:eastAsia="Microsoft JhengHei" w:hint="eastAsia"/>
                <w:b/>
                <w:sz w:val="21"/>
              </w:rPr>
            </w:pPr>
            <w:r>
              <w:rPr>
                <w:rFonts w:ascii="Microsoft JhengHei" w:eastAsia="Microsoft JhengHei" w:hint="eastAsia"/>
                <w:b/>
                <w:sz w:val="21"/>
              </w:rPr>
              <w:t>严重运动神经元病</w:t>
            </w:r>
          </w:p>
        </w:tc>
        <w:tc>
          <w:tcPr>
            <w:tcW w:w="7046" w:type="dxa"/>
          </w:tcPr>
          <w:p>
            <w:pPr>
              <w:pStyle w:val="TableParagraph"/>
              <w:spacing w:line="210" w:lineRule="exact"/>
              <w:ind w:left="124"/>
              <w:rPr>
                <w:sz w:val="21"/>
              </w:rPr>
            </w:pPr>
            <w:r>
              <w:rPr>
                <w:sz w:val="21"/>
              </w:rPr>
              <w:t>是一组中枢神经系统运动神经元的进行性变性疾病，包括进行性脊肌萎缩</w:t>
            </w:r>
          </w:p>
          <w:p>
            <w:pPr>
              <w:pStyle w:val="TableParagraph"/>
              <w:spacing w:line="273" w:lineRule="auto" w:before="36"/>
              <w:ind w:left="124" w:right="303"/>
              <w:jc w:val="both"/>
              <w:rPr>
                <w:sz w:val="21"/>
              </w:rPr>
            </w:pPr>
            <w:r>
              <w:rPr>
                <w:spacing w:val="-10"/>
                <w:sz w:val="21"/>
              </w:rPr>
              <w:t>症、进行性延髓麻痹症、原发性侧索硬化症、肌萎缩性侧索硬化症。须满</w:t>
            </w:r>
            <w:r>
              <w:rPr>
                <w:spacing w:val="-15"/>
                <w:sz w:val="21"/>
              </w:rPr>
              <w:t>足自主生活能力完全丧失，无法独立完成六项基本日常生活活动中的三项或三项以上的条件。</w:t>
            </w:r>
          </w:p>
        </w:tc>
      </w:tr>
      <w:tr>
        <w:trPr>
          <w:trHeight w:val="1716" w:hRule="atLeast"/>
        </w:trPr>
        <w:tc>
          <w:tcPr>
            <w:tcW w:w="1756"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语言能力丧失</w:t>
            </w:r>
          </w:p>
        </w:tc>
        <w:tc>
          <w:tcPr>
            <w:tcW w:w="7046" w:type="dxa"/>
          </w:tcPr>
          <w:p>
            <w:pPr>
              <w:pStyle w:val="TableParagraph"/>
              <w:spacing w:before="10"/>
              <w:rPr>
                <w:rFonts w:ascii="Times New Roman"/>
                <w:sz w:val="25"/>
              </w:rPr>
            </w:pPr>
          </w:p>
          <w:p>
            <w:pPr>
              <w:pStyle w:val="TableParagraph"/>
              <w:spacing w:before="1"/>
              <w:ind w:left="124"/>
              <w:rPr>
                <w:sz w:val="21"/>
              </w:rPr>
            </w:pPr>
            <w:r>
              <w:rPr>
                <w:sz w:val="21"/>
              </w:rPr>
              <w:t>指因疾病或意外伤害导致完全丧失语言能力，经过积极治疗至少 12 个月</w:t>
            </w:r>
          </w:p>
          <w:p>
            <w:pPr>
              <w:pStyle w:val="TableParagraph"/>
              <w:spacing w:line="273" w:lineRule="auto" w:before="37"/>
              <w:ind w:left="124" w:right="619"/>
              <w:rPr>
                <w:sz w:val="21"/>
              </w:rPr>
            </w:pPr>
            <w:r>
              <w:rPr>
                <w:sz w:val="21"/>
              </w:rPr>
              <w:t>（声带完全切除不受此时间限制），仍无法通过现有医疗手段恢复。精神心理因素所致的语言能力丧失不在保障范围内。</w:t>
            </w:r>
          </w:p>
          <w:p>
            <w:pPr>
              <w:pStyle w:val="TableParagraph"/>
              <w:spacing w:before="7"/>
              <w:ind w:left="124"/>
              <w:rPr>
                <w:sz w:val="21"/>
              </w:rPr>
            </w:pPr>
            <w:r>
              <w:rPr>
                <w:sz w:val="21"/>
              </w:rPr>
              <w:t>在0周岁至3周岁的保险单周年日期间，被保险人初患语言能力丧失除外。</w:t>
            </w:r>
          </w:p>
        </w:tc>
      </w:tr>
      <w:tr>
        <w:trPr>
          <w:trHeight w:val="3056" w:hRule="atLeast"/>
        </w:trPr>
        <w:tc>
          <w:tcPr>
            <w:tcW w:w="1756" w:type="dxa"/>
          </w:tcPr>
          <w:p>
            <w:pPr>
              <w:pStyle w:val="TableParagraph"/>
              <w:spacing w:line="410" w:lineRule="auto" w:before="241"/>
              <w:ind w:left="200" w:right="295"/>
              <w:rPr>
                <w:rFonts w:ascii="Microsoft JhengHei" w:eastAsia="Microsoft JhengHei" w:hint="eastAsia"/>
                <w:b/>
                <w:sz w:val="21"/>
              </w:rPr>
            </w:pPr>
            <w:r>
              <w:rPr>
                <w:rFonts w:ascii="Microsoft JhengHei" w:eastAsia="Microsoft JhengHei" w:hint="eastAsia"/>
                <w:b/>
                <w:sz w:val="21"/>
              </w:rPr>
              <w:t>重型再生障碍性贫血</w:t>
            </w:r>
          </w:p>
        </w:tc>
        <w:tc>
          <w:tcPr>
            <w:tcW w:w="7046" w:type="dxa"/>
          </w:tcPr>
          <w:p>
            <w:pPr>
              <w:pStyle w:val="TableParagraph"/>
              <w:spacing w:line="273" w:lineRule="auto" w:before="142"/>
              <w:ind w:left="124" w:right="303"/>
              <w:rPr>
                <w:sz w:val="21"/>
              </w:rPr>
            </w:pPr>
            <w:r>
              <w:rPr>
                <w:spacing w:val="-5"/>
                <w:sz w:val="21"/>
              </w:rPr>
              <w:t>指因骨髓造血功能慢性持续性衰竭导致的贫血、中性粒细胞减少及血小板减少。须满足下列全部条件：</w:t>
            </w:r>
          </w:p>
          <w:p>
            <w:pPr>
              <w:pStyle w:val="TableParagraph"/>
              <w:numPr>
                <w:ilvl w:val="0"/>
                <w:numId w:val="18"/>
              </w:numPr>
              <w:tabs>
                <w:tab w:pos="756" w:val="left" w:leader="none"/>
              </w:tabs>
              <w:spacing w:line="240" w:lineRule="auto" w:before="7" w:after="0"/>
              <w:ind w:left="755" w:right="0" w:hanging="631"/>
              <w:jc w:val="left"/>
              <w:rPr>
                <w:sz w:val="21"/>
              </w:rPr>
            </w:pPr>
            <w:r>
              <w:rPr>
                <w:spacing w:val="-1"/>
                <w:sz w:val="21"/>
              </w:rPr>
              <w:t>骨髓穿刺检查或骨髓活检结果支持诊断；</w:t>
            </w:r>
          </w:p>
          <w:p>
            <w:pPr>
              <w:pStyle w:val="TableParagraph"/>
              <w:numPr>
                <w:ilvl w:val="0"/>
                <w:numId w:val="18"/>
              </w:numPr>
              <w:tabs>
                <w:tab w:pos="756" w:val="left" w:leader="none"/>
              </w:tabs>
              <w:spacing w:line="240" w:lineRule="auto" w:before="36" w:after="0"/>
              <w:ind w:left="755" w:right="0" w:hanging="631"/>
              <w:jc w:val="left"/>
              <w:rPr>
                <w:sz w:val="21"/>
              </w:rPr>
            </w:pPr>
            <w:r>
              <w:rPr>
                <w:spacing w:val="-1"/>
                <w:sz w:val="21"/>
              </w:rPr>
              <w:t>外周血象须具备以下三项条件：</w:t>
            </w:r>
          </w:p>
          <w:p>
            <w:pPr>
              <w:pStyle w:val="TableParagraph"/>
              <w:spacing w:line="99" w:lineRule="exact" w:before="169"/>
              <w:ind w:left="610"/>
              <w:jc w:val="center"/>
              <w:rPr>
                <w:sz w:val="11"/>
              </w:rPr>
            </w:pPr>
            <w:r>
              <w:rPr>
                <w:w w:val="100"/>
                <w:sz w:val="11"/>
              </w:rPr>
              <w:t>9</w:t>
            </w:r>
          </w:p>
          <w:p>
            <w:pPr>
              <w:pStyle w:val="TableParagraph"/>
              <w:spacing w:line="230" w:lineRule="exact"/>
              <w:ind w:left="860"/>
              <w:rPr>
                <w:sz w:val="21"/>
              </w:rPr>
            </w:pPr>
            <w:r>
              <w:rPr>
                <w:spacing w:val="-2"/>
                <w:sz w:val="21"/>
              </w:rPr>
              <w:t>① 中性粒细胞绝对值</w:t>
            </w:r>
            <w:r>
              <w:rPr>
                <w:sz w:val="21"/>
              </w:rPr>
              <w:t>≤0.5×10</w:t>
            </w:r>
            <w:r>
              <w:rPr>
                <w:spacing w:val="-52"/>
                <w:sz w:val="21"/>
              </w:rPr>
              <w:t> </w:t>
            </w:r>
            <w:r>
              <w:rPr>
                <w:sz w:val="21"/>
              </w:rPr>
              <w:t>/L；</w:t>
            </w:r>
          </w:p>
          <w:p>
            <w:pPr>
              <w:pStyle w:val="TableParagraph"/>
              <w:spacing w:before="163"/>
              <w:ind w:left="860"/>
              <w:rPr>
                <w:sz w:val="21"/>
              </w:rPr>
            </w:pPr>
            <w:r>
              <w:rPr>
                <w:sz w:val="21"/>
              </w:rPr>
              <w:t>② 网织红细胞＜1%；</w:t>
            </w:r>
          </w:p>
          <w:p>
            <w:pPr>
              <w:pStyle w:val="TableParagraph"/>
              <w:spacing w:line="99" w:lineRule="exact" w:before="169"/>
              <w:ind w:right="441"/>
              <w:jc w:val="center"/>
              <w:rPr>
                <w:sz w:val="11"/>
              </w:rPr>
            </w:pPr>
            <w:r>
              <w:rPr>
                <w:w w:val="100"/>
                <w:sz w:val="11"/>
              </w:rPr>
              <w:t>9</w:t>
            </w:r>
          </w:p>
          <w:p>
            <w:pPr>
              <w:pStyle w:val="TableParagraph"/>
              <w:spacing w:line="230" w:lineRule="exact"/>
              <w:ind w:left="860"/>
              <w:rPr>
                <w:sz w:val="21"/>
              </w:rPr>
            </w:pPr>
            <w:r>
              <w:rPr>
                <w:spacing w:val="-2"/>
                <w:sz w:val="21"/>
              </w:rPr>
              <w:t>③ 血小板绝对值</w:t>
            </w:r>
            <w:r>
              <w:rPr>
                <w:sz w:val="21"/>
              </w:rPr>
              <w:t>≤20×10</w:t>
            </w:r>
            <w:r>
              <w:rPr>
                <w:spacing w:val="-53"/>
                <w:sz w:val="21"/>
              </w:rPr>
              <w:t> </w:t>
            </w:r>
            <w:r>
              <w:rPr>
                <w:sz w:val="21"/>
              </w:rPr>
              <w:t>/L。</w:t>
            </w:r>
          </w:p>
        </w:tc>
      </w:tr>
      <w:tr>
        <w:trPr>
          <w:trHeight w:val="1623" w:hRule="atLeast"/>
        </w:trPr>
        <w:tc>
          <w:tcPr>
            <w:tcW w:w="1756" w:type="dxa"/>
          </w:tcPr>
          <w:p>
            <w:pPr>
              <w:pStyle w:val="TableParagraph"/>
              <w:spacing w:before="5"/>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主动脉手术</w:t>
            </w:r>
          </w:p>
        </w:tc>
        <w:tc>
          <w:tcPr>
            <w:tcW w:w="7046" w:type="dxa"/>
          </w:tcPr>
          <w:p>
            <w:pPr>
              <w:pStyle w:val="TableParagraph"/>
              <w:spacing w:before="9"/>
              <w:rPr>
                <w:rFonts w:ascii="Times New Roman"/>
                <w:sz w:val="17"/>
              </w:rPr>
            </w:pPr>
          </w:p>
          <w:p>
            <w:pPr>
              <w:pStyle w:val="TableParagraph"/>
              <w:spacing w:line="273" w:lineRule="auto"/>
              <w:ind w:left="124" w:right="302"/>
              <w:jc w:val="both"/>
              <w:rPr>
                <w:sz w:val="21"/>
              </w:rPr>
            </w:pPr>
            <w:r>
              <w:rPr>
                <w:spacing w:val="-7"/>
                <w:sz w:val="21"/>
              </w:rPr>
              <w:t>指为治疗主动脉疾病，实际实施了开胸或开腹进行的切除、置换、修补病</w:t>
            </w:r>
            <w:r>
              <w:rPr>
                <w:spacing w:val="-13"/>
                <w:sz w:val="21"/>
              </w:rPr>
              <w:t>损主动脉血管的手术。主动脉指胸主动脉和腹主动脉，不包括胸主动脉和腹主动脉的分支血管。</w:t>
            </w:r>
          </w:p>
          <w:p>
            <w:pPr>
              <w:pStyle w:val="TableParagraph"/>
              <w:spacing w:before="7"/>
              <w:ind w:left="124"/>
              <w:jc w:val="both"/>
              <w:rPr>
                <w:sz w:val="21"/>
              </w:rPr>
            </w:pPr>
            <w:r>
              <w:rPr>
                <w:sz w:val="21"/>
              </w:rPr>
              <w:t>动脉内血管成形术不在保障范围内。</w:t>
            </w:r>
          </w:p>
        </w:tc>
      </w:tr>
      <w:tr>
        <w:trPr>
          <w:trHeight w:val="780" w:hRule="atLeast"/>
        </w:trPr>
        <w:tc>
          <w:tcPr>
            <w:tcW w:w="8802"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2339" w:hRule="atLeast"/>
        </w:trPr>
        <w:tc>
          <w:tcPr>
            <w:tcW w:w="1756" w:type="dxa"/>
          </w:tcPr>
          <w:p>
            <w:pPr>
              <w:pStyle w:val="TableParagraph"/>
              <w:spacing w:before="6"/>
              <w:rPr>
                <w:rFonts w:ascii="Times New Roman"/>
                <w:sz w:val="34"/>
              </w:rPr>
            </w:pPr>
          </w:p>
          <w:p>
            <w:pPr>
              <w:pStyle w:val="TableParagraph"/>
              <w:spacing w:line="410" w:lineRule="auto"/>
              <w:ind w:left="200" w:right="295"/>
              <w:rPr>
                <w:rFonts w:ascii="Microsoft JhengHei" w:eastAsia="Microsoft JhengHei" w:hint="eastAsia"/>
                <w:b/>
                <w:sz w:val="21"/>
              </w:rPr>
            </w:pPr>
            <w:r>
              <w:rPr>
                <w:rFonts w:ascii="Microsoft JhengHei" w:eastAsia="Microsoft JhengHei" w:hint="eastAsia"/>
                <w:b/>
                <w:sz w:val="21"/>
              </w:rPr>
              <w:t>严重的胰岛素依赖型糖尿病</w:t>
            </w:r>
          </w:p>
          <w:p>
            <w:pPr>
              <w:pStyle w:val="TableParagraph"/>
              <w:spacing w:before="60"/>
              <w:ind w:left="200"/>
              <w:rPr>
                <w:rFonts w:ascii="Microsoft JhengHei" w:eastAsia="Microsoft JhengHei" w:hint="eastAsia"/>
                <w:b/>
                <w:sz w:val="21"/>
              </w:rPr>
            </w:pPr>
            <w:r>
              <w:rPr>
                <w:rFonts w:ascii="Microsoft JhengHei" w:eastAsia="Microsoft JhengHei" w:hint="eastAsia"/>
                <w:b/>
                <w:sz w:val="21"/>
              </w:rPr>
              <w:t>（1 型糖尿病）</w:t>
            </w:r>
          </w:p>
        </w:tc>
        <w:tc>
          <w:tcPr>
            <w:tcW w:w="7046" w:type="dxa"/>
          </w:tcPr>
          <w:p>
            <w:pPr>
              <w:pStyle w:val="TableParagraph"/>
              <w:spacing w:before="10"/>
              <w:rPr>
                <w:rFonts w:ascii="Times New Roman"/>
                <w:sz w:val="25"/>
              </w:rPr>
            </w:pPr>
          </w:p>
          <w:p>
            <w:pPr>
              <w:pStyle w:val="TableParagraph"/>
              <w:spacing w:line="273" w:lineRule="auto"/>
              <w:ind w:left="124" w:right="252"/>
              <w:jc w:val="both"/>
              <w:rPr>
                <w:sz w:val="21"/>
              </w:rPr>
            </w:pPr>
            <w:r>
              <w:rPr>
                <w:sz w:val="21"/>
              </w:rPr>
              <w:t>胰岛素依赖型糖尿病是由于胰岛素分泌绝对不足而引起以血浆葡萄糖水</w:t>
            </w:r>
            <w:r>
              <w:rPr>
                <w:spacing w:val="-6"/>
                <w:sz w:val="21"/>
              </w:rPr>
              <w:t>平增高为特征的代谢内分泌疾病，需持续利用外源性胰岛素治疗。必须明确诊断为胰岛素依赖型糖尿病（1</w:t>
            </w:r>
            <w:r>
              <w:rPr>
                <w:spacing w:val="-12"/>
                <w:sz w:val="21"/>
              </w:rPr>
              <w:t> 型糖尿病</w:t>
            </w:r>
            <w:r>
              <w:rPr>
                <w:sz w:val="21"/>
              </w:rPr>
              <w:t>）并满足下列至少一个条件：</w:t>
            </w:r>
          </w:p>
          <w:p>
            <w:pPr>
              <w:pStyle w:val="TableParagraph"/>
              <w:spacing w:before="7"/>
              <w:ind w:left="124"/>
              <w:jc w:val="both"/>
              <w:rPr>
                <w:sz w:val="21"/>
              </w:rPr>
            </w:pPr>
            <w:r>
              <w:rPr>
                <w:sz w:val="21"/>
              </w:rPr>
              <w:t>（1）出现增殖性糖尿病视网膜病变；</w:t>
            </w:r>
          </w:p>
          <w:p>
            <w:pPr>
              <w:pStyle w:val="TableParagraph"/>
              <w:spacing w:before="37"/>
              <w:ind w:left="124"/>
              <w:jc w:val="both"/>
              <w:rPr>
                <w:sz w:val="21"/>
              </w:rPr>
            </w:pPr>
            <w:r>
              <w:rPr>
                <w:sz w:val="21"/>
              </w:rPr>
              <w:t>（2）糖尿病肾病，且尿蛋白&gt;0.5g/24h；</w:t>
            </w:r>
          </w:p>
          <w:p>
            <w:pPr>
              <w:pStyle w:val="TableParagraph"/>
              <w:spacing w:before="37"/>
              <w:ind w:left="126"/>
              <w:jc w:val="both"/>
              <w:rPr>
                <w:sz w:val="21"/>
              </w:rPr>
            </w:pPr>
            <w:r>
              <w:rPr>
                <w:sz w:val="21"/>
              </w:rPr>
              <w:t>（3）因糖尿病足趾坏疽进行足趾或下肢截断术。</w:t>
            </w:r>
          </w:p>
        </w:tc>
      </w:tr>
      <w:tr>
        <w:trPr>
          <w:trHeight w:val="2601" w:hRule="atLeast"/>
        </w:trPr>
        <w:tc>
          <w:tcPr>
            <w:tcW w:w="175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多发性硬化症</w:t>
            </w:r>
          </w:p>
        </w:tc>
        <w:tc>
          <w:tcPr>
            <w:tcW w:w="7046" w:type="dxa"/>
          </w:tcPr>
          <w:p>
            <w:pPr>
              <w:pStyle w:val="TableParagraph"/>
              <w:spacing w:line="273" w:lineRule="auto" w:before="142"/>
              <w:ind w:left="124" w:right="199"/>
              <w:rPr>
                <w:sz w:val="21"/>
              </w:rPr>
            </w:pPr>
            <w:r>
              <w:rPr>
                <w:spacing w:val="-6"/>
                <w:sz w:val="21"/>
              </w:rPr>
              <w:t>指一种中枢神经系统脱髓鞘疾病，造成身体部位不可逆的功能障碍。临床表现为视力受损、截瘫、平衡失调、构音障碍、大小便机能失调等症状， </w:t>
            </w:r>
            <w:r>
              <w:rPr>
                <w:spacing w:val="-8"/>
                <w:sz w:val="21"/>
              </w:rPr>
              <w:t>须经国家机关认可的有合法资质的神经专科医师确诊，并有 </w:t>
            </w:r>
            <w:r>
              <w:rPr>
                <w:sz w:val="21"/>
              </w:rPr>
              <w:t>CT</w:t>
            </w:r>
            <w:r>
              <w:rPr>
                <w:spacing w:val="-12"/>
                <w:sz w:val="21"/>
              </w:rPr>
              <w:t> 或核磁共</w:t>
            </w:r>
            <w:r>
              <w:rPr>
                <w:spacing w:val="-15"/>
                <w:sz w:val="21"/>
              </w:rPr>
              <w:t>振检查结果诊断报告。所谓身体部位不可逆的功能障碍指初次诊断为功能</w:t>
            </w:r>
            <w:r>
              <w:rPr>
                <w:spacing w:val="-21"/>
                <w:sz w:val="21"/>
              </w:rPr>
              <w:t>障碍后需持续 </w:t>
            </w:r>
            <w:r>
              <w:rPr>
                <w:sz w:val="21"/>
              </w:rPr>
              <w:t>180</w:t>
            </w:r>
            <w:r>
              <w:rPr>
                <w:spacing w:val="-8"/>
                <w:sz w:val="21"/>
              </w:rPr>
              <w:t> 天以上。其诊断必须满足下列全部条件:</w:t>
            </w:r>
          </w:p>
          <w:p>
            <w:pPr>
              <w:pStyle w:val="TableParagraph"/>
              <w:spacing w:before="7"/>
              <w:ind w:left="124"/>
              <w:rPr>
                <w:sz w:val="21"/>
              </w:rPr>
            </w:pPr>
            <w:r>
              <w:rPr>
                <w:sz w:val="21"/>
              </w:rPr>
              <w:t>（1）由于视神经、脑干和脊髓损伤而导致的临床表现；</w:t>
            </w:r>
          </w:p>
          <w:p>
            <w:pPr>
              <w:pStyle w:val="TableParagraph"/>
              <w:spacing w:before="36"/>
              <w:ind w:left="124"/>
              <w:rPr>
                <w:sz w:val="21"/>
              </w:rPr>
            </w:pPr>
            <w:r>
              <w:rPr>
                <w:sz w:val="21"/>
              </w:rPr>
              <w:t>（2）散在的身体损害的多样性；</w:t>
            </w:r>
          </w:p>
          <w:p>
            <w:pPr>
              <w:pStyle w:val="TableParagraph"/>
              <w:spacing w:line="255" w:lineRule="exact" w:before="36"/>
              <w:ind w:left="124"/>
              <w:rPr>
                <w:sz w:val="21"/>
              </w:rPr>
            </w:pPr>
            <w:r>
              <w:rPr>
                <w:sz w:val="21"/>
              </w:rPr>
              <w:t>（3）上述症状反复发作、恶化及神经损伤的病史记录。</w:t>
            </w:r>
          </w:p>
        </w:tc>
      </w:tr>
    </w:tbl>
    <w:p>
      <w:pPr>
        <w:spacing w:after="0" w:line="255" w:lineRule="exact"/>
        <w:rPr>
          <w:sz w:val="21"/>
        </w:rPr>
        <w:sectPr>
          <w:pgSz w:w="11910" w:h="16840"/>
          <w:pgMar w:header="899" w:footer="994" w:top="1220" w:bottom="1180" w:left="1680" w:right="1000"/>
        </w:sectPr>
      </w:pPr>
    </w:p>
    <w:p>
      <w:pPr>
        <w:pStyle w:val="BodyText"/>
        <w:spacing w:before="0"/>
        <w:rPr>
          <w:rFonts w:ascii="Times New Roman"/>
          <w:sz w:val="20"/>
        </w:rPr>
      </w:pPr>
    </w:p>
    <w:p>
      <w:pPr>
        <w:pStyle w:val="BodyText"/>
        <w:spacing w:before="0"/>
        <w:rPr>
          <w:rFonts w:ascii="Times New Roman"/>
          <w:sz w:val="20"/>
        </w:rPr>
      </w:pPr>
    </w:p>
    <w:p>
      <w:pPr>
        <w:pStyle w:val="BodyText"/>
        <w:spacing w:before="5"/>
        <w:rPr>
          <w:rFonts w:ascii="Times New Roman"/>
          <w:sz w:val="15"/>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4919" w:hRule="atLeast"/>
        </w:trPr>
        <w:tc>
          <w:tcPr>
            <w:tcW w:w="1670" w:type="dxa"/>
          </w:tcPr>
          <w:p>
            <w:pPr>
              <w:pStyle w:val="TableParagraph"/>
              <w:spacing w:line="410" w:lineRule="auto" w:before="34"/>
              <w:ind w:left="200" w:right="209"/>
              <w:rPr>
                <w:rFonts w:ascii="Microsoft JhengHei" w:eastAsia="Microsoft JhengHei" w:hint="eastAsia"/>
                <w:b/>
                <w:sz w:val="21"/>
              </w:rPr>
            </w:pPr>
            <w:r>
              <w:rPr>
                <w:rFonts w:ascii="Microsoft JhengHei" w:eastAsia="Microsoft JhengHei" w:hint="eastAsia"/>
                <w:b/>
                <w:sz w:val="21"/>
              </w:rPr>
              <w:t>系统性红斑狼疮</w:t>
            </w:r>
          </w:p>
        </w:tc>
        <w:tc>
          <w:tcPr>
            <w:tcW w:w="7130" w:type="dxa"/>
          </w:tcPr>
          <w:p>
            <w:pPr>
              <w:pStyle w:val="TableParagraph"/>
              <w:spacing w:line="210" w:lineRule="exact"/>
              <w:ind w:left="210"/>
              <w:rPr>
                <w:sz w:val="21"/>
              </w:rPr>
            </w:pPr>
            <w:r>
              <w:rPr>
                <w:sz w:val="21"/>
              </w:rPr>
              <w:t>是一种累及多脏器的自身免疫性的炎症性结缔组织病。其诊断须满足下列</w:t>
            </w:r>
          </w:p>
          <w:p>
            <w:pPr>
              <w:pStyle w:val="TableParagraph"/>
              <w:spacing w:before="37"/>
              <w:ind w:left="210"/>
              <w:rPr>
                <w:sz w:val="21"/>
              </w:rPr>
            </w:pPr>
            <w:r>
              <w:rPr>
                <w:sz w:val="21"/>
              </w:rPr>
              <w:t>两个条件：</w:t>
            </w:r>
          </w:p>
          <w:p>
            <w:pPr>
              <w:pStyle w:val="TableParagraph"/>
              <w:numPr>
                <w:ilvl w:val="0"/>
                <w:numId w:val="19"/>
              </w:numPr>
              <w:tabs>
                <w:tab w:pos="632" w:val="left" w:leader="none"/>
              </w:tabs>
              <w:spacing w:line="240" w:lineRule="auto" w:before="37" w:after="0"/>
              <w:ind w:left="631" w:right="0" w:hanging="421"/>
              <w:jc w:val="left"/>
              <w:rPr>
                <w:sz w:val="21"/>
              </w:rPr>
            </w:pPr>
            <w:r>
              <w:rPr>
                <w:spacing w:val="-1"/>
                <w:sz w:val="21"/>
              </w:rPr>
              <w:t>临床表现至少具备如下条件的四个：</w:t>
            </w:r>
          </w:p>
          <w:p>
            <w:pPr>
              <w:pStyle w:val="TableParagraph"/>
              <w:spacing w:before="37"/>
              <w:ind w:left="420"/>
              <w:rPr>
                <w:sz w:val="21"/>
              </w:rPr>
            </w:pPr>
            <w:r>
              <w:rPr>
                <w:sz w:val="21"/>
              </w:rPr>
              <w:t>① 蝶形红斑或盘形红斑；</w:t>
            </w:r>
          </w:p>
          <w:p>
            <w:pPr>
              <w:pStyle w:val="TableParagraph"/>
              <w:spacing w:before="36"/>
              <w:ind w:left="421"/>
              <w:rPr>
                <w:sz w:val="21"/>
              </w:rPr>
            </w:pPr>
            <w:r>
              <w:rPr>
                <w:sz w:val="21"/>
              </w:rPr>
              <w:t>② 光敏感；</w:t>
            </w:r>
          </w:p>
          <w:p>
            <w:pPr>
              <w:pStyle w:val="TableParagraph"/>
              <w:spacing w:before="36"/>
              <w:ind w:left="420"/>
              <w:rPr>
                <w:sz w:val="21"/>
              </w:rPr>
            </w:pPr>
            <w:r>
              <w:rPr>
                <w:sz w:val="21"/>
              </w:rPr>
              <w:t>③ 口腔溃疡；</w:t>
            </w:r>
          </w:p>
          <w:p>
            <w:pPr>
              <w:pStyle w:val="TableParagraph"/>
              <w:spacing w:line="274" w:lineRule="exact" w:before="16"/>
              <w:ind w:left="420"/>
              <w:rPr>
                <w:sz w:val="21"/>
              </w:rPr>
            </w:pPr>
            <w:r>
              <w:rPr>
                <w:sz w:val="21"/>
              </w:rPr>
              <w:t>④ 非畸形关节炎或多关节痛；</w:t>
            </w:r>
          </w:p>
          <w:p>
            <w:pPr>
              <w:pStyle w:val="TableParagraph"/>
              <w:spacing w:line="272" w:lineRule="exact"/>
              <w:ind w:left="421"/>
              <w:rPr>
                <w:sz w:val="21"/>
              </w:rPr>
            </w:pPr>
            <w:r>
              <w:rPr>
                <w:sz w:val="21"/>
              </w:rPr>
              <w:t>⑤ 浆膜炎、胸膜炎或心包炎；</w:t>
            </w:r>
          </w:p>
          <w:p>
            <w:pPr>
              <w:pStyle w:val="TableParagraph"/>
              <w:spacing w:line="274" w:lineRule="exact"/>
              <w:ind w:left="421"/>
              <w:rPr>
                <w:sz w:val="21"/>
              </w:rPr>
            </w:pPr>
            <w:r>
              <w:rPr>
                <w:sz w:val="21"/>
              </w:rPr>
              <w:t>⑥ 神经系统损伤（癫痫或精神症状）；</w:t>
            </w:r>
          </w:p>
          <w:p>
            <w:pPr>
              <w:pStyle w:val="TableParagraph"/>
              <w:tabs>
                <w:tab w:pos="4776" w:val="left" w:leader="none"/>
              </w:tabs>
              <w:spacing w:line="99" w:lineRule="exact" w:before="3"/>
              <w:ind w:left="2726"/>
              <w:rPr>
                <w:sz w:val="11"/>
              </w:rPr>
            </w:pPr>
            <w:r>
              <w:rPr>
                <w:sz w:val="11"/>
              </w:rPr>
              <w:t>9</w:t>
              <w:tab/>
              <w:t>9</w:t>
            </w:r>
          </w:p>
          <w:p>
            <w:pPr>
              <w:pStyle w:val="TableParagraph"/>
              <w:spacing w:line="228" w:lineRule="exact"/>
              <w:ind w:left="420"/>
              <w:rPr>
                <w:sz w:val="21"/>
              </w:rPr>
            </w:pPr>
            <w:r>
              <w:rPr>
                <w:sz w:val="21"/>
              </w:rPr>
              <w:t>⑦ 血象异常（WBC&lt; 4x10 ／升或血小板&lt;100x10 ／升或溶血性贫血）。</w:t>
            </w:r>
          </w:p>
          <w:p>
            <w:pPr>
              <w:pStyle w:val="TableParagraph"/>
              <w:numPr>
                <w:ilvl w:val="0"/>
                <w:numId w:val="19"/>
              </w:numPr>
              <w:tabs>
                <w:tab w:pos="632" w:val="left" w:leader="none"/>
              </w:tabs>
              <w:spacing w:line="279" w:lineRule="exact" w:before="0" w:after="0"/>
              <w:ind w:left="631" w:right="0" w:hanging="421"/>
              <w:jc w:val="left"/>
              <w:rPr>
                <w:rFonts w:ascii="MingLiU_HKSCS-ExtB" w:hAnsi="MingLiU_HKSCS-ExtB" w:eastAsia="MingLiU_HKSCS-ExtB"/>
                <w:sz w:val="21"/>
              </w:rPr>
            </w:pPr>
            <w:r>
              <w:rPr>
                <w:spacing w:val="-1"/>
                <w:sz w:val="21"/>
              </w:rPr>
              <w:t>检测结果至少具备如下条件的两个：</w:t>
            </w:r>
            <w:r>
              <w:rPr>
                <w:rFonts w:ascii="MingLiU_HKSCS-ExtB" w:hAnsi="MingLiU_HKSCS-ExtB" w:eastAsia="MingLiU_HKSCS-ExtB"/>
                <w:sz w:val="21"/>
              </w:rPr>
              <w:t></w:t>
            </w:r>
          </w:p>
          <w:p>
            <w:pPr>
              <w:pStyle w:val="TableParagraph"/>
              <w:spacing w:line="267" w:lineRule="exact"/>
              <w:ind w:left="420"/>
              <w:rPr>
                <w:sz w:val="21"/>
              </w:rPr>
            </w:pPr>
            <w:r>
              <w:rPr>
                <w:sz w:val="21"/>
              </w:rPr>
              <w:t>① 狼疮细胞或抗双链 DNA 抗体阳性；</w:t>
            </w:r>
          </w:p>
          <w:p>
            <w:pPr>
              <w:pStyle w:val="TableParagraph"/>
              <w:spacing w:before="18"/>
              <w:ind w:left="420"/>
              <w:rPr>
                <w:sz w:val="21"/>
              </w:rPr>
            </w:pPr>
            <w:r>
              <w:rPr>
                <w:sz w:val="21"/>
              </w:rPr>
              <w:t>② 抗 Sm 抗体阳性；</w:t>
            </w:r>
          </w:p>
          <w:p>
            <w:pPr>
              <w:pStyle w:val="TableParagraph"/>
              <w:spacing w:before="36"/>
              <w:ind w:left="420"/>
              <w:rPr>
                <w:sz w:val="21"/>
              </w:rPr>
            </w:pPr>
            <w:r>
              <w:rPr>
                <w:sz w:val="21"/>
              </w:rPr>
              <w:t>③ 抗核抗体阳性；</w:t>
            </w:r>
          </w:p>
          <w:p>
            <w:pPr>
              <w:pStyle w:val="TableParagraph"/>
              <w:spacing w:before="36"/>
              <w:ind w:left="420"/>
              <w:rPr>
                <w:sz w:val="21"/>
              </w:rPr>
            </w:pPr>
            <w:r>
              <w:rPr>
                <w:sz w:val="21"/>
              </w:rPr>
              <w:t>④ 狼疮带试验阳性；</w:t>
            </w:r>
          </w:p>
          <w:p>
            <w:pPr>
              <w:pStyle w:val="TableParagraph"/>
              <w:spacing w:before="36"/>
              <w:ind w:left="420"/>
              <w:rPr>
                <w:sz w:val="21"/>
              </w:rPr>
            </w:pPr>
            <w:r>
              <w:rPr>
                <w:sz w:val="21"/>
              </w:rPr>
              <w:t>⑤ C3 补体低于正常。</w:t>
            </w:r>
          </w:p>
        </w:tc>
      </w:tr>
      <w:tr>
        <w:trPr>
          <w:trHeight w:val="2528"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严重的原发性心肌病</w:t>
            </w:r>
          </w:p>
        </w:tc>
        <w:tc>
          <w:tcPr>
            <w:tcW w:w="7130" w:type="dxa"/>
          </w:tcPr>
          <w:p>
            <w:pPr>
              <w:pStyle w:val="TableParagraph"/>
              <w:spacing w:line="273" w:lineRule="auto" w:before="142"/>
              <w:ind w:left="210" w:right="300"/>
              <w:jc w:val="both"/>
              <w:rPr>
                <w:sz w:val="21"/>
              </w:rPr>
            </w:pPr>
            <w:r>
              <w:rPr>
                <w:sz w:val="21"/>
              </w:rPr>
              <w:t>是指被保险人因原发性心肌病而出现的心室功能障碍而使其出现明显的心功能衰竭(纽约心脏病协会分类标准心功能至少达Ⅳ级*)，须经国家机</w:t>
            </w:r>
            <w:r>
              <w:rPr>
                <w:spacing w:val="-6"/>
                <w:sz w:val="21"/>
              </w:rPr>
              <w:t>关认可的有合法资质的心脏专科医生确诊。本保障范围内的心肌病包括原发性扩张型心肌病、原发性肥厚型心肌病及原发性限制型心肌病。</w:t>
            </w:r>
          </w:p>
          <w:p>
            <w:pPr>
              <w:pStyle w:val="TableParagraph"/>
              <w:spacing w:before="7"/>
              <w:ind w:left="210"/>
              <w:rPr>
                <w:sz w:val="21"/>
              </w:rPr>
            </w:pPr>
            <w:r>
              <w:rPr>
                <w:sz w:val="21"/>
              </w:rPr>
              <w:t>继发于酒精滥用性的心肌病不在此保障范围之内。</w:t>
            </w:r>
          </w:p>
          <w:p>
            <w:pPr>
              <w:pStyle w:val="TableParagraph"/>
              <w:spacing w:line="273" w:lineRule="auto" w:before="37"/>
              <w:ind w:left="210" w:right="301" w:firstLine="105"/>
              <w:rPr>
                <w:sz w:val="21"/>
              </w:rPr>
            </w:pPr>
            <w:r>
              <w:rPr>
                <w:sz w:val="21"/>
              </w:rPr>
              <w:t>* 纽约心脏病协会分类标准心功能Ⅳ级是指不能从事任何体力活动，休息时仍有心悸、呼吸困难等心力衰竭表现，体力活动后加重。</w:t>
            </w:r>
          </w:p>
        </w:tc>
      </w:tr>
      <w:tr>
        <w:trPr>
          <w:trHeight w:val="3220" w:hRule="atLeast"/>
        </w:trPr>
        <w:tc>
          <w:tcPr>
            <w:tcW w:w="1670" w:type="dxa"/>
          </w:tcPr>
          <w:p>
            <w:pPr>
              <w:pStyle w:val="TableParagraph"/>
              <w:spacing w:before="8"/>
              <w:rPr>
                <w:rFonts w:ascii="Times New Roman"/>
                <w:sz w:val="23"/>
              </w:rPr>
            </w:pPr>
          </w:p>
          <w:p>
            <w:pPr>
              <w:pStyle w:val="TableParagraph"/>
              <w:spacing w:line="410" w:lineRule="auto" w:before="1"/>
              <w:ind w:left="200" w:right="209"/>
              <w:rPr>
                <w:rFonts w:ascii="Microsoft JhengHei" w:eastAsia="Microsoft JhengHei" w:hint="eastAsia"/>
                <w:b/>
                <w:sz w:val="21"/>
              </w:rPr>
            </w:pPr>
            <w:r>
              <w:rPr>
                <w:rFonts w:ascii="Microsoft JhengHei" w:eastAsia="Microsoft JhengHei" w:hint="eastAsia"/>
                <w:b/>
                <w:sz w:val="21"/>
              </w:rPr>
              <w:t>全身性重症肌无力</w:t>
            </w:r>
          </w:p>
        </w:tc>
        <w:tc>
          <w:tcPr>
            <w:tcW w:w="7130" w:type="dxa"/>
          </w:tcPr>
          <w:p>
            <w:pPr>
              <w:pStyle w:val="TableParagraph"/>
              <w:spacing w:line="273" w:lineRule="auto" w:before="174"/>
              <w:ind w:left="210" w:right="300"/>
              <w:jc w:val="both"/>
              <w:rPr>
                <w:sz w:val="21"/>
              </w:rPr>
            </w:pPr>
            <w:r>
              <w:rPr>
                <w:spacing w:val="-5"/>
                <w:sz w:val="21"/>
              </w:rPr>
              <w:t>是指一种神经与肌肉接头部位传递障碍的自身免疫性疾病，临床特征是局</w:t>
            </w:r>
            <w:r>
              <w:rPr>
                <w:spacing w:val="-10"/>
                <w:sz w:val="21"/>
              </w:rPr>
              <w:t>部或全身横纹肌于活动时易于疲劳无力，颅神经眼外肌最易累及，也可涉</w:t>
            </w:r>
            <w:r>
              <w:rPr>
                <w:spacing w:val="-13"/>
                <w:sz w:val="21"/>
              </w:rPr>
              <w:t>及呼吸肌、下肢近端肌群乃至全身肌肉。其诊断必须同时满足下列全部条件：</w:t>
            </w:r>
          </w:p>
          <w:p>
            <w:pPr>
              <w:pStyle w:val="TableParagraph"/>
              <w:numPr>
                <w:ilvl w:val="0"/>
                <w:numId w:val="20"/>
              </w:numPr>
              <w:tabs>
                <w:tab w:pos="632" w:val="left" w:leader="none"/>
              </w:tabs>
              <w:spacing w:line="240" w:lineRule="auto" w:before="7" w:after="0"/>
              <w:ind w:left="630" w:right="0" w:hanging="420"/>
              <w:jc w:val="left"/>
              <w:rPr>
                <w:sz w:val="21"/>
              </w:rPr>
            </w:pPr>
            <w:r>
              <w:rPr>
                <w:spacing w:val="-1"/>
                <w:sz w:val="21"/>
              </w:rPr>
              <w:t>经药物、胸腺手术治疗一年以上无法控制病情，丧失正常工作能力；</w:t>
            </w:r>
          </w:p>
          <w:p>
            <w:pPr>
              <w:pStyle w:val="TableParagraph"/>
              <w:numPr>
                <w:ilvl w:val="0"/>
                <w:numId w:val="20"/>
              </w:numPr>
              <w:tabs>
                <w:tab w:pos="632" w:val="left" w:leader="none"/>
              </w:tabs>
              <w:spacing w:line="273" w:lineRule="auto" w:before="37" w:after="0"/>
              <w:ind w:left="630" w:right="300" w:hanging="420"/>
              <w:jc w:val="left"/>
              <w:rPr>
                <w:sz w:val="21"/>
              </w:rPr>
            </w:pPr>
            <w:r>
              <w:rPr>
                <w:spacing w:val="-7"/>
                <w:sz w:val="21"/>
              </w:rPr>
              <w:t>出现因延髓肌受累引起的构音困难、进食呛咳；或由于肌无力累及延髓肌、呼吸肌而致机体呼吸功能不正常的危急状态即肌无力危象； </w:t>
            </w:r>
            <w:r>
              <w:rPr>
                <w:spacing w:val="-12"/>
                <w:sz w:val="21"/>
              </w:rPr>
              <w:t>症状缓解、复发及恶化交替出现，临床接受新斯的明等抗胆碱酯酶药物治疗的病史。</w:t>
            </w:r>
          </w:p>
        </w:tc>
      </w:tr>
      <w:tr>
        <w:trPr>
          <w:trHeight w:val="2669" w:hRule="atLeast"/>
        </w:trPr>
        <w:tc>
          <w:tcPr>
            <w:tcW w:w="1670" w:type="dxa"/>
          </w:tcPr>
          <w:p>
            <w:pPr>
              <w:pStyle w:val="TableParagraph"/>
              <w:spacing w:before="9"/>
              <w:rPr>
                <w:rFonts w:ascii="Times New Roman"/>
                <w:sz w:val="26"/>
              </w:rPr>
            </w:pPr>
          </w:p>
          <w:p>
            <w:pPr>
              <w:pStyle w:val="TableParagraph"/>
              <w:spacing w:line="410" w:lineRule="auto" w:before="1"/>
              <w:ind w:left="200" w:right="209"/>
              <w:rPr>
                <w:rFonts w:ascii="Microsoft JhengHei" w:eastAsia="Microsoft JhengHei" w:hint="eastAsia"/>
                <w:b/>
                <w:sz w:val="21"/>
              </w:rPr>
            </w:pPr>
            <w:r>
              <w:rPr>
                <w:rFonts w:ascii="Microsoft JhengHei" w:eastAsia="Microsoft JhengHei" w:hint="eastAsia"/>
                <w:b/>
                <w:sz w:val="21"/>
              </w:rPr>
              <w:t>严重类风湿性关节炎</w:t>
            </w:r>
          </w:p>
        </w:tc>
        <w:tc>
          <w:tcPr>
            <w:tcW w:w="7130" w:type="dxa"/>
          </w:tcPr>
          <w:p>
            <w:pPr>
              <w:pStyle w:val="TableParagraph"/>
              <w:spacing w:before="3"/>
              <w:rPr>
                <w:rFonts w:ascii="Times New Roman"/>
                <w:sz w:val="18"/>
              </w:rPr>
            </w:pPr>
          </w:p>
          <w:p>
            <w:pPr>
              <w:pStyle w:val="TableParagraph"/>
              <w:spacing w:line="273" w:lineRule="auto"/>
              <w:ind w:left="210" w:right="197"/>
              <w:rPr>
                <w:sz w:val="21"/>
              </w:rPr>
            </w:pPr>
            <w:r>
              <w:rPr>
                <w:sz w:val="21"/>
              </w:rPr>
              <w:t>类风湿性关节炎系指以关节滑膜炎为特征的慢性全身性自身免疫性疾病， 必须符合国际认可的该疾病的诊断标准。其诊断必须同时满足下列全部条件:</w:t>
            </w:r>
          </w:p>
          <w:p>
            <w:pPr>
              <w:pStyle w:val="TableParagraph"/>
              <w:numPr>
                <w:ilvl w:val="0"/>
                <w:numId w:val="21"/>
              </w:numPr>
              <w:tabs>
                <w:tab w:pos="639" w:val="left" w:leader="none"/>
              </w:tabs>
              <w:spacing w:line="273" w:lineRule="auto" w:before="7" w:after="0"/>
              <w:ind w:left="630" w:right="295" w:hanging="420"/>
              <w:jc w:val="both"/>
              <w:rPr>
                <w:sz w:val="21"/>
              </w:rPr>
            </w:pPr>
            <w:r>
              <w:rPr>
                <w:spacing w:val="5"/>
                <w:sz w:val="21"/>
              </w:rPr>
              <w:t>至少包括下列关节中的三组或以上有广泛受损和畸形改变:手指关</w:t>
            </w:r>
            <w:r>
              <w:rPr>
                <w:spacing w:val="-11"/>
                <w:sz w:val="21"/>
              </w:rPr>
              <w:t>节、腕关节、肘关节、膝关节、髋关节、踝关节、脊椎关节或跖趾关节；</w:t>
            </w:r>
          </w:p>
          <w:p>
            <w:pPr>
              <w:pStyle w:val="TableParagraph"/>
              <w:numPr>
                <w:ilvl w:val="0"/>
                <w:numId w:val="21"/>
              </w:numPr>
              <w:tabs>
                <w:tab w:pos="657" w:val="left" w:leader="none"/>
              </w:tabs>
              <w:spacing w:line="312" w:lineRule="exact" w:before="2" w:after="0"/>
              <w:ind w:left="655" w:right="301" w:hanging="420"/>
              <w:jc w:val="both"/>
              <w:rPr>
                <w:sz w:val="21"/>
              </w:rPr>
            </w:pPr>
            <w:r>
              <w:rPr>
                <w:spacing w:val="-2"/>
                <w:sz w:val="21"/>
              </w:rPr>
              <w:t>手和腕的后前位 </w:t>
            </w:r>
            <w:r>
              <w:rPr>
                <w:sz w:val="21"/>
              </w:rPr>
              <w:t>X</w:t>
            </w:r>
            <w:r>
              <w:rPr>
                <w:spacing w:val="-4"/>
                <w:sz w:val="21"/>
              </w:rPr>
              <w:t> 线拍片检查可见类风湿性关节炎的典型变化，必须包括骨质侵蚀或受累关节及其邻近部位有明确的骨质脱钙。</w:t>
            </w:r>
          </w:p>
        </w:tc>
      </w:tr>
    </w:tbl>
    <w:p>
      <w:pPr>
        <w:spacing w:after="0" w:line="312" w:lineRule="exact"/>
        <w:jc w:val="both"/>
        <w:rPr>
          <w:sz w:val="21"/>
        </w:rPr>
        <w:sectPr>
          <w:pgSz w:w="11910" w:h="16840"/>
          <w:pgMar w:header="899" w:footer="994" w:top="1220" w:bottom="1180" w:left="1680" w:right="1000"/>
        </w:sectPr>
      </w:pPr>
    </w:p>
    <w:p>
      <w:pPr>
        <w:pStyle w:val="BodyText"/>
        <w:spacing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3"/>
      </w:tblGrid>
      <w:tr>
        <w:trPr>
          <w:trHeight w:val="416" w:hRule="atLeast"/>
        </w:trPr>
        <w:tc>
          <w:tcPr>
            <w:tcW w:w="1670" w:type="dxa"/>
          </w:tcPr>
          <w:p>
            <w:pPr>
              <w:pStyle w:val="TableParagraph"/>
              <w:rPr>
                <w:rFonts w:ascii="Times New Roman"/>
                <w:sz w:val="20"/>
              </w:rPr>
            </w:pPr>
          </w:p>
        </w:tc>
        <w:tc>
          <w:tcPr>
            <w:tcW w:w="7133" w:type="dxa"/>
          </w:tcPr>
          <w:p>
            <w:pPr>
              <w:pStyle w:val="TableParagraph"/>
              <w:spacing w:line="210" w:lineRule="exact"/>
              <w:ind w:left="210"/>
              <w:rPr>
                <w:sz w:val="21"/>
              </w:rPr>
            </w:pPr>
            <w:r>
              <w:rPr>
                <w:sz w:val="21"/>
              </w:rPr>
              <w:t>(3) 关节的畸形改变至少持续 1 年。</w:t>
            </w:r>
          </w:p>
        </w:tc>
      </w:tr>
      <w:tr>
        <w:trPr>
          <w:trHeight w:val="2183" w:hRule="atLeast"/>
        </w:trPr>
        <w:tc>
          <w:tcPr>
            <w:tcW w:w="1670" w:type="dxa"/>
          </w:tcPr>
          <w:p>
            <w:pPr>
              <w:pStyle w:val="TableParagraph"/>
              <w:spacing w:line="410" w:lineRule="auto" w:before="240"/>
              <w:ind w:left="200" w:right="209"/>
              <w:rPr>
                <w:rFonts w:ascii="Microsoft JhengHei" w:eastAsia="Microsoft JhengHei" w:hint="eastAsia"/>
                <w:b/>
                <w:sz w:val="21"/>
              </w:rPr>
            </w:pPr>
            <w:r>
              <w:rPr>
                <w:rFonts w:ascii="Microsoft JhengHei" w:eastAsia="Microsoft JhengHei" w:hint="eastAsia"/>
                <w:b/>
                <w:sz w:val="21"/>
              </w:rPr>
              <w:t>慢性呼吸功能衰竭</w:t>
            </w:r>
          </w:p>
        </w:tc>
        <w:tc>
          <w:tcPr>
            <w:tcW w:w="7133" w:type="dxa"/>
          </w:tcPr>
          <w:p>
            <w:pPr>
              <w:pStyle w:val="TableParagraph"/>
              <w:spacing w:line="273" w:lineRule="auto" w:before="141"/>
              <w:ind w:left="210" w:right="304"/>
              <w:rPr>
                <w:sz w:val="21"/>
              </w:rPr>
            </w:pPr>
            <w:r>
              <w:rPr>
                <w:spacing w:val="-5"/>
                <w:sz w:val="21"/>
              </w:rPr>
              <w:t>慢性肺部疾病导致永久不可逆性的慢性呼吸功能衰竭，必须符合下列所有条件：</w:t>
            </w:r>
          </w:p>
          <w:p>
            <w:pPr>
              <w:pStyle w:val="TableParagraph"/>
              <w:numPr>
                <w:ilvl w:val="0"/>
                <w:numId w:val="22"/>
              </w:numPr>
              <w:tabs>
                <w:tab w:pos="632" w:val="left" w:leader="none"/>
              </w:tabs>
              <w:spacing w:line="240" w:lineRule="auto" w:before="7" w:after="0"/>
              <w:ind w:left="631" w:right="0" w:hanging="421"/>
              <w:jc w:val="left"/>
              <w:rPr>
                <w:sz w:val="21"/>
              </w:rPr>
            </w:pPr>
            <w:r>
              <w:rPr>
                <w:spacing w:val="-1"/>
                <w:sz w:val="21"/>
              </w:rPr>
              <w:t>休息时出现呼吸困难；</w:t>
            </w:r>
          </w:p>
          <w:p>
            <w:pPr>
              <w:pStyle w:val="TableParagraph"/>
              <w:numPr>
                <w:ilvl w:val="0"/>
                <w:numId w:val="22"/>
              </w:numPr>
              <w:tabs>
                <w:tab w:pos="632" w:val="left" w:leader="none"/>
              </w:tabs>
              <w:spacing w:line="240" w:lineRule="auto" w:before="36" w:after="0"/>
              <w:ind w:left="631" w:right="0" w:hanging="421"/>
              <w:jc w:val="left"/>
              <w:rPr>
                <w:sz w:val="21"/>
              </w:rPr>
            </w:pPr>
            <w:r>
              <w:rPr>
                <w:position w:val="1"/>
                <w:sz w:val="21"/>
              </w:rPr>
              <w:t>动脉血氧分压（PaO</w:t>
            </w:r>
            <w:r>
              <w:rPr>
                <w:sz w:val="11"/>
              </w:rPr>
              <w:t>2</w:t>
            </w:r>
            <w:r>
              <w:rPr>
                <w:position w:val="1"/>
                <w:sz w:val="21"/>
              </w:rPr>
              <w:t>）&lt;</w:t>
            </w:r>
            <w:r>
              <w:rPr>
                <w:spacing w:val="-4"/>
                <w:position w:val="1"/>
                <w:sz w:val="21"/>
              </w:rPr>
              <w:t> </w:t>
            </w:r>
            <w:r>
              <w:rPr>
                <w:position w:val="1"/>
                <w:sz w:val="21"/>
              </w:rPr>
              <w:t>50mmHg；</w:t>
            </w:r>
          </w:p>
          <w:p>
            <w:pPr>
              <w:pStyle w:val="TableParagraph"/>
              <w:numPr>
                <w:ilvl w:val="0"/>
                <w:numId w:val="22"/>
              </w:numPr>
              <w:tabs>
                <w:tab w:pos="632" w:val="left" w:leader="none"/>
              </w:tabs>
              <w:spacing w:line="240" w:lineRule="auto" w:before="37" w:after="0"/>
              <w:ind w:left="631" w:right="0" w:hanging="421"/>
              <w:jc w:val="left"/>
              <w:rPr>
                <w:sz w:val="21"/>
              </w:rPr>
            </w:pPr>
            <w:r>
              <w:rPr>
                <w:position w:val="1"/>
                <w:sz w:val="21"/>
              </w:rPr>
              <w:t>动脉血氧饱和度（SaO</w:t>
            </w:r>
            <w:r>
              <w:rPr>
                <w:sz w:val="11"/>
              </w:rPr>
              <w:t>2</w:t>
            </w:r>
            <w:r>
              <w:rPr>
                <w:position w:val="1"/>
                <w:sz w:val="21"/>
              </w:rPr>
              <w:t>）</w:t>
            </w:r>
            <w:r>
              <w:rPr>
                <w:spacing w:val="-5"/>
                <w:position w:val="1"/>
                <w:sz w:val="21"/>
              </w:rPr>
              <w:t>&lt; </w:t>
            </w:r>
            <w:r>
              <w:rPr>
                <w:position w:val="1"/>
                <w:sz w:val="21"/>
              </w:rPr>
              <w:t>80％；</w:t>
            </w:r>
          </w:p>
          <w:p>
            <w:pPr>
              <w:pStyle w:val="TableParagraph"/>
              <w:numPr>
                <w:ilvl w:val="0"/>
                <w:numId w:val="22"/>
              </w:numPr>
              <w:tabs>
                <w:tab w:pos="632" w:val="left" w:leader="none"/>
              </w:tabs>
              <w:spacing w:line="240" w:lineRule="auto" w:before="37" w:after="0"/>
              <w:ind w:left="631" w:right="0" w:hanging="421"/>
              <w:jc w:val="left"/>
              <w:rPr>
                <w:sz w:val="21"/>
              </w:rPr>
            </w:pPr>
            <w:r>
              <w:rPr>
                <w:spacing w:val="-1"/>
                <w:sz w:val="21"/>
              </w:rPr>
              <w:t>因缺氧必须接受持续的输氧治疗。</w:t>
            </w:r>
          </w:p>
        </w:tc>
      </w:tr>
      <w:tr>
        <w:trPr>
          <w:trHeight w:val="1872"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严重冠心病</w:t>
            </w:r>
          </w:p>
        </w:tc>
        <w:tc>
          <w:tcPr>
            <w:tcW w:w="7133" w:type="dxa"/>
          </w:tcPr>
          <w:p>
            <w:pPr>
              <w:pStyle w:val="TableParagraph"/>
              <w:spacing w:line="273" w:lineRule="auto" w:before="142"/>
              <w:ind w:left="210" w:right="303"/>
              <w:jc w:val="both"/>
              <w:rPr>
                <w:sz w:val="21"/>
              </w:rPr>
            </w:pPr>
            <w:r>
              <w:rPr>
                <w:spacing w:val="-5"/>
                <w:sz w:val="21"/>
              </w:rPr>
              <w:t>指根据冠状动脉造影检查结果确诊的三支主要血管</w:t>
            </w:r>
            <w:r>
              <w:rPr>
                <w:sz w:val="21"/>
              </w:rPr>
              <w:t>（左冠状动脉主干和右</w:t>
            </w:r>
            <w:r>
              <w:rPr>
                <w:spacing w:val="-8"/>
                <w:sz w:val="21"/>
              </w:rPr>
              <w:t>冠状动脉，或前降支、左旋支和右冠状动脉</w:t>
            </w:r>
            <w:r>
              <w:rPr>
                <w:spacing w:val="-27"/>
                <w:sz w:val="21"/>
              </w:rPr>
              <w:t>）</w:t>
            </w:r>
            <w:r>
              <w:rPr>
                <w:spacing w:val="-4"/>
                <w:sz w:val="21"/>
              </w:rPr>
              <w:t>严重狭窄性病变</w:t>
            </w:r>
            <w:r>
              <w:rPr>
                <w:sz w:val="21"/>
              </w:rPr>
              <w:t>（至少一支</w:t>
            </w:r>
            <w:r>
              <w:rPr>
                <w:spacing w:val="-6"/>
                <w:sz w:val="21"/>
              </w:rPr>
              <w:t>血管管腔直径减少 </w:t>
            </w:r>
            <w:r>
              <w:rPr>
                <w:sz w:val="21"/>
              </w:rPr>
              <w:t>75</w:t>
            </w:r>
            <w:r>
              <w:rPr>
                <w:spacing w:val="-4"/>
                <w:sz w:val="21"/>
              </w:rPr>
              <w:t>％以上和其他两支血管管腔直径减少 </w:t>
            </w:r>
            <w:r>
              <w:rPr>
                <w:sz w:val="21"/>
              </w:rPr>
              <w:t>60％以上）。前降支、左旋支及右冠状动脉的分支血管的狭窄不作为本保障的衡量指标。</w:t>
            </w:r>
          </w:p>
        </w:tc>
      </w:tr>
      <w:tr>
        <w:trPr>
          <w:trHeight w:val="1871"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脊髓灰质炎</w:t>
            </w:r>
          </w:p>
        </w:tc>
        <w:tc>
          <w:tcPr>
            <w:tcW w:w="7133" w:type="dxa"/>
          </w:tcPr>
          <w:p>
            <w:pPr>
              <w:pStyle w:val="TableParagraph"/>
              <w:spacing w:line="273" w:lineRule="auto" w:before="142"/>
              <w:ind w:left="210" w:right="197"/>
              <w:rPr>
                <w:sz w:val="21"/>
              </w:rPr>
            </w:pPr>
            <w:r>
              <w:rPr>
                <w:spacing w:val="-5"/>
                <w:sz w:val="21"/>
              </w:rPr>
              <w:t>脊髓灰质炎是由于脊髓灰质炎病毒感染所致的瘫痪性疾病，临床表现为运</w:t>
            </w:r>
            <w:r>
              <w:rPr>
                <w:spacing w:val="-12"/>
                <w:sz w:val="21"/>
              </w:rPr>
              <w:t>动功能损害或呼吸无力。脊髓灰质炎必须明确诊断。本保单仅对脊髓灰质炎造成的神经系统功能损害导致被保险人一肢或一肢以上肢体机能永久 </w:t>
            </w:r>
            <w:r>
              <w:rPr>
                <w:spacing w:val="-16"/>
                <w:sz w:val="21"/>
              </w:rPr>
              <w:t>完全丧失的情况予以理赔。肢体机能永久完全丧失，指疾病确诊</w:t>
            </w:r>
            <w:r>
              <w:rPr>
                <w:sz w:val="21"/>
              </w:rPr>
              <w:t>180天后， 每肢三大关节中的两大关节仍然完全僵硬，或不能随意识活动。</w:t>
            </w:r>
          </w:p>
        </w:tc>
      </w:tr>
      <w:tr>
        <w:trPr>
          <w:trHeight w:val="1404"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严重克隆病</w:t>
            </w:r>
          </w:p>
        </w:tc>
        <w:tc>
          <w:tcPr>
            <w:tcW w:w="7133" w:type="dxa"/>
          </w:tcPr>
          <w:p>
            <w:pPr>
              <w:pStyle w:val="TableParagraph"/>
              <w:spacing w:line="273" w:lineRule="auto" w:before="142"/>
              <w:ind w:left="210" w:right="200"/>
              <w:rPr>
                <w:sz w:val="21"/>
              </w:rPr>
            </w:pPr>
            <w:r>
              <w:rPr>
                <w:sz w:val="21"/>
              </w:rPr>
              <w:t>克隆病是一种慢性肉芽肿性肠炎，具有特征性的克隆病病理组织学变化。</w:t>
            </w:r>
            <w:r>
              <w:rPr>
                <w:spacing w:val="-8"/>
                <w:sz w:val="21"/>
              </w:rPr>
              <w:t>诊断必须由病理检查结果证实。被保险人所患的克隆病必须已经造成瘘管形成并伴有肠梗阻或肠穿孔。</w:t>
            </w:r>
          </w:p>
        </w:tc>
      </w:tr>
      <w:tr>
        <w:trPr>
          <w:trHeight w:val="2028"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严重溃疡性结肠炎</w:t>
            </w:r>
          </w:p>
        </w:tc>
        <w:tc>
          <w:tcPr>
            <w:tcW w:w="7133" w:type="dxa"/>
          </w:tcPr>
          <w:p>
            <w:pPr>
              <w:pStyle w:val="TableParagraph"/>
              <w:spacing w:before="10"/>
              <w:rPr>
                <w:rFonts w:ascii="Times New Roman"/>
                <w:sz w:val="25"/>
              </w:rPr>
            </w:pPr>
          </w:p>
          <w:p>
            <w:pPr>
              <w:pStyle w:val="TableParagraph"/>
              <w:spacing w:line="273" w:lineRule="auto"/>
              <w:ind w:left="210" w:right="200"/>
              <w:rPr>
                <w:sz w:val="21"/>
              </w:rPr>
            </w:pPr>
            <w:r>
              <w:rPr>
                <w:sz w:val="21"/>
              </w:rPr>
              <w:t>本保单所保障的溃疡性结肠炎是指伴有致命性电解质紊乱的急性暴发性 溃疡性结肠炎，病变累及全结肠，表现为严重的血便和系统性症状体征， </w:t>
            </w:r>
            <w:r>
              <w:rPr>
                <w:spacing w:val="-6"/>
                <w:sz w:val="21"/>
              </w:rPr>
              <w:t>治疗通常采取全结肠切除和回肠造瘘术。溃疡性结肠炎必须根据组织病理学特点诊断，并且被保险人已经接受了结肠切除和回肠造瘘术。</w:t>
            </w:r>
          </w:p>
        </w:tc>
      </w:tr>
      <w:tr>
        <w:trPr>
          <w:trHeight w:val="1872" w:hRule="atLeast"/>
        </w:trPr>
        <w:tc>
          <w:tcPr>
            <w:tcW w:w="1670" w:type="dxa"/>
          </w:tcPr>
          <w:p>
            <w:pPr>
              <w:pStyle w:val="TableParagraph"/>
              <w:rPr>
                <w:rFonts w:ascii="Times New Roman"/>
                <w:sz w:val="28"/>
              </w:rPr>
            </w:pPr>
          </w:p>
          <w:p>
            <w:pPr>
              <w:pStyle w:val="TableParagraph"/>
              <w:spacing w:before="231"/>
              <w:ind w:left="200"/>
              <w:rPr>
                <w:rFonts w:ascii="Microsoft JhengHei" w:eastAsia="Microsoft JhengHei" w:hint="eastAsia"/>
                <w:b/>
                <w:sz w:val="21"/>
              </w:rPr>
            </w:pPr>
            <w:r>
              <w:rPr>
                <w:rFonts w:ascii="Microsoft JhengHei" w:eastAsia="Microsoft JhengHei" w:hint="eastAsia"/>
                <w:b/>
                <w:sz w:val="21"/>
              </w:rPr>
              <w:t>植物人状态</w:t>
            </w:r>
          </w:p>
        </w:tc>
        <w:tc>
          <w:tcPr>
            <w:tcW w:w="7133" w:type="dxa"/>
          </w:tcPr>
          <w:p>
            <w:pPr>
              <w:pStyle w:val="TableParagraph"/>
              <w:rPr>
                <w:rFonts w:ascii="Times New Roman"/>
                <w:sz w:val="20"/>
              </w:rPr>
            </w:pPr>
          </w:p>
          <w:p>
            <w:pPr>
              <w:pStyle w:val="TableParagraph"/>
              <w:spacing w:before="5"/>
              <w:rPr>
                <w:rFonts w:ascii="Times New Roman"/>
                <w:sz w:val="19"/>
              </w:rPr>
            </w:pPr>
          </w:p>
          <w:p>
            <w:pPr>
              <w:pStyle w:val="TableParagraph"/>
              <w:spacing w:line="273" w:lineRule="auto"/>
              <w:ind w:left="210" w:right="200"/>
              <w:rPr>
                <w:sz w:val="21"/>
              </w:rPr>
            </w:pPr>
            <w:r>
              <w:rPr>
                <w:sz w:val="21"/>
              </w:rPr>
              <w:t>植物人状态系指由于意外事故或疾病引起的大脑和脑干严重损害导致完 </w:t>
            </w:r>
            <w:r>
              <w:rPr>
                <w:spacing w:val="-4"/>
                <w:sz w:val="21"/>
              </w:rPr>
              <w:t>全永久性的对自身和环境的意识丧失和中枢神经系统功能丧失，仅残存植物神经功能的疾病状态。诊断必须明确诊断并且具有严重脑损害的证据。</w:t>
            </w:r>
            <w:r>
              <w:rPr>
                <w:spacing w:val="-1"/>
                <w:sz w:val="21"/>
              </w:rPr>
              <w:t>植物人状态必须持续</w:t>
            </w:r>
            <w:r>
              <w:rPr>
                <w:sz w:val="21"/>
              </w:rPr>
              <w:t>180天以上方可申请理赔。</w:t>
            </w:r>
          </w:p>
        </w:tc>
      </w:tr>
      <w:tr>
        <w:trPr>
          <w:trHeight w:val="1041"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独立能力丧失</w:t>
            </w:r>
          </w:p>
        </w:tc>
        <w:tc>
          <w:tcPr>
            <w:tcW w:w="7133" w:type="dxa"/>
          </w:tcPr>
          <w:p>
            <w:pPr>
              <w:pStyle w:val="TableParagraph"/>
              <w:spacing w:line="312" w:lineRule="exact" w:before="138"/>
              <w:ind w:left="210" w:right="304"/>
              <w:jc w:val="both"/>
              <w:rPr>
                <w:sz w:val="21"/>
              </w:rPr>
            </w:pPr>
            <w:r>
              <w:rPr>
                <w:sz w:val="21"/>
              </w:rPr>
              <w:t>指疾病或外伤造成被保险人至少持续6个月以上完全无法独立完成六项基</w:t>
            </w:r>
            <w:r>
              <w:rPr>
                <w:spacing w:val="-7"/>
                <w:sz w:val="21"/>
              </w:rPr>
              <w:t>本日常生活活动中的三项或三项以上。被保险人的日常生活活动能力丧失必须是永久性的。</w:t>
            </w:r>
          </w:p>
        </w:tc>
      </w:tr>
    </w:tbl>
    <w:p>
      <w:pPr>
        <w:spacing w:after="0" w:line="312" w:lineRule="exact"/>
        <w:jc w:val="both"/>
        <w:rPr>
          <w:sz w:val="21"/>
        </w:rPr>
        <w:sectPr>
          <w:pgSz w:w="11910" w:h="16840"/>
          <w:pgMar w:header="899" w:footer="994" w:top="1220" w:bottom="1180" w:left="1680" w:right="1000"/>
        </w:sectPr>
      </w:pPr>
    </w:p>
    <w:p>
      <w:pPr>
        <w:pStyle w:val="BodyText"/>
        <w:spacing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7095"/>
      </w:tblGrid>
      <w:tr>
        <w:trPr>
          <w:trHeight w:val="1976" w:hRule="atLeast"/>
        </w:trPr>
        <w:tc>
          <w:tcPr>
            <w:tcW w:w="1706"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严重哮喘</w:t>
            </w:r>
          </w:p>
        </w:tc>
        <w:tc>
          <w:tcPr>
            <w:tcW w:w="7095" w:type="dxa"/>
          </w:tcPr>
          <w:p>
            <w:pPr>
              <w:pStyle w:val="TableParagraph"/>
              <w:spacing w:line="210" w:lineRule="exact"/>
              <w:ind w:left="174"/>
              <w:rPr>
                <w:sz w:val="21"/>
              </w:rPr>
            </w:pPr>
            <w:r>
              <w:rPr>
                <w:sz w:val="21"/>
              </w:rPr>
              <w:t>被保险人必须在过去两年内曾发生哮喘持续状态，并符合以下其中两项标</w:t>
            </w:r>
          </w:p>
          <w:p>
            <w:pPr>
              <w:pStyle w:val="TableParagraph"/>
              <w:spacing w:before="36"/>
              <w:ind w:left="174"/>
              <w:rPr>
                <w:sz w:val="21"/>
              </w:rPr>
            </w:pPr>
            <w:r>
              <w:rPr>
                <w:sz w:val="21"/>
              </w:rPr>
              <w:t>准，本公司才承担保险责任：</w:t>
            </w:r>
          </w:p>
          <w:p>
            <w:pPr>
              <w:pStyle w:val="TableParagraph"/>
              <w:numPr>
                <w:ilvl w:val="0"/>
                <w:numId w:val="23"/>
              </w:numPr>
              <w:tabs>
                <w:tab w:pos="596" w:val="left" w:leader="none"/>
              </w:tabs>
              <w:spacing w:line="240" w:lineRule="auto" w:before="37" w:after="0"/>
              <w:ind w:left="595" w:right="0" w:hanging="421"/>
              <w:jc w:val="left"/>
              <w:rPr>
                <w:sz w:val="21"/>
              </w:rPr>
            </w:pPr>
            <w:r>
              <w:rPr>
                <w:spacing w:val="-1"/>
                <w:sz w:val="21"/>
              </w:rPr>
              <w:t>运动耐受力永久并持续地减少并却轻微的运动能引起气促；</w:t>
            </w:r>
          </w:p>
          <w:p>
            <w:pPr>
              <w:pStyle w:val="TableParagraph"/>
              <w:numPr>
                <w:ilvl w:val="0"/>
                <w:numId w:val="23"/>
              </w:numPr>
              <w:tabs>
                <w:tab w:pos="596" w:val="left" w:leader="none"/>
              </w:tabs>
              <w:spacing w:line="240" w:lineRule="auto" w:before="37" w:after="0"/>
              <w:ind w:left="595" w:right="0" w:hanging="421"/>
              <w:jc w:val="left"/>
              <w:rPr>
                <w:sz w:val="21"/>
              </w:rPr>
            </w:pPr>
            <w:r>
              <w:rPr>
                <w:spacing w:val="-1"/>
                <w:sz w:val="21"/>
              </w:rPr>
              <w:t>长期胸腔过渡膨胀而导致胸腔畸形；</w:t>
            </w:r>
          </w:p>
          <w:p>
            <w:pPr>
              <w:pStyle w:val="TableParagraph"/>
              <w:numPr>
                <w:ilvl w:val="0"/>
                <w:numId w:val="23"/>
              </w:numPr>
              <w:tabs>
                <w:tab w:pos="596" w:val="left" w:leader="none"/>
              </w:tabs>
              <w:spacing w:line="240" w:lineRule="auto" w:before="37" w:after="0"/>
              <w:ind w:left="595" w:right="0" w:hanging="421"/>
              <w:jc w:val="left"/>
              <w:rPr>
                <w:sz w:val="21"/>
              </w:rPr>
            </w:pPr>
            <w:r>
              <w:rPr>
                <w:spacing w:val="-1"/>
                <w:sz w:val="21"/>
              </w:rPr>
              <w:t>在家及在静息状态下需要吸氧；</w:t>
            </w:r>
          </w:p>
          <w:p>
            <w:pPr>
              <w:pStyle w:val="TableParagraph"/>
              <w:numPr>
                <w:ilvl w:val="0"/>
                <w:numId w:val="23"/>
              </w:numPr>
              <w:tabs>
                <w:tab w:pos="596" w:val="left" w:leader="none"/>
              </w:tabs>
              <w:spacing w:line="240" w:lineRule="auto" w:before="36" w:after="0"/>
              <w:ind w:left="595" w:right="0" w:hanging="421"/>
              <w:jc w:val="left"/>
              <w:rPr>
                <w:sz w:val="21"/>
              </w:rPr>
            </w:pPr>
            <w:r>
              <w:rPr>
                <w:spacing w:val="-1"/>
                <w:sz w:val="21"/>
              </w:rPr>
              <w:t>持续的每天服用类固醇药物(至少持续六个月以上)。</w:t>
            </w:r>
          </w:p>
        </w:tc>
      </w:tr>
      <w:tr>
        <w:trPr>
          <w:trHeight w:val="2184" w:hRule="atLeast"/>
        </w:trPr>
        <w:tc>
          <w:tcPr>
            <w:tcW w:w="170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坏死性筋膜炎</w:t>
            </w:r>
          </w:p>
        </w:tc>
        <w:tc>
          <w:tcPr>
            <w:tcW w:w="7095" w:type="dxa"/>
          </w:tcPr>
          <w:p>
            <w:pPr>
              <w:pStyle w:val="TableParagraph"/>
              <w:spacing w:before="142"/>
              <w:ind w:left="174"/>
              <w:rPr>
                <w:sz w:val="21"/>
              </w:rPr>
            </w:pPr>
            <w:r>
              <w:rPr>
                <w:sz w:val="21"/>
              </w:rPr>
              <w:t>坏死性筋膜炎的诊断须同时符合下列要求：</w:t>
            </w:r>
          </w:p>
          <w:p>
            <w:pPr>
              <w:pStyle w:val="TableParagraph"/>
              <w:numPr>
                <w:ilvl w:val="0"/>
                <w:numId w:val="24"/>
              </w:numPr>
              <w:tabs>
                <w:tab w:pos="596" w:val="left" w:leader="none"/>
              </w:tabs>
              <w:spacing w:line="240" w:lineRule="auto" w:before="37" w:after="0"/>
              <w:ind w:left="594" w:right="0" w:hanging="420"/>
              <w:jc w:val="left"/>
              <w:rPr>
                <w:sz w:val="21"/>
              </w:rPr>
            </w:pPr>
            <w:r>
              <w:rPr>
                <w:spacing w:val="-1"/>
                <w:sz w:val="21"/>
              </w:rPr>
              <w:t>符合坏死性筋膜炎的一般临床表现；</w:t>
            </w:r>
          </w:p>
          <w:p>
            <w:pPr>
              <w:pStyle w:val="TableParagraph"/>
              <w:numPr>
                <w:ilvl w:val="0"/>
                <w:numId w:val="24"/>
              </w:numPr>
              <w:tabs>
                <w:tab w:pos="596" w:val="left" w:leader="none"/>
              </w:tabs>
              <w:spacing w:line="240" w:lineRule="auto" w:before="37" w:after="0"/>
              <w:ind w:left="594" w:right="0" w:hanging="420"/>
              <w:jc w:val="left"/>
              <w:rPr>
                <w:sz w:val="21"/>
              </w:rPr>
            </w:pPr>
            <w:r>
              <w:rPr>
                <w:spacing w:val="-1"/>
                <w:sz w:val="21"/>
              </w:rPr>
              <w:t>细菌培养检出致病菌；</w:t>
            </w:r>
          </w:p>
          <w:p>
            <w:pPr>
              <w:pStyle w:val="TableParagraph"/>
              <w:numPr>
                <w:ilvl w:val="0"/>
                <w:numId w:val="24"/>
              </w:numPr>
              <w:tabs>
                <w:tab w:pos="596" w:val="left" w:leader="none"/>
              </w:tabs>
              <w:spacing w:line="273" w:lineRule="auto" w:before="37" w:after="0"/>
              <w:ind w:left="594" w:right="302" w:hanging="420"/>
              <w:jc w:val="both"/>
              <w:rPr>
                <w:sz w:val="21"/>
              </w:rPr>
            </w:pPr>
            <w:r>
              <w:rPr>
                <w:spacing w:val="-8"/>
                <w:sz w:val="21"/>
              </w:rPr>
              <w:t>出现广泛性肌肉及软组织坏死，并导致身体受影响部位永久完全失去</w:t>
            </w:r>
            <w:r>
              <w:rPr>
                <w:spacing w:val="-12"/>
                <w:sz w:val="21"/>
              </w:rPr>
              <w:t>功能。所谓永久完全失去功能是指受影响部位的功能丧失超过六个月者。</w:t>
            </w:r>
          </w:p>
        </w:tc>
      </w:tr>
      <w:tr>
        <w:trPr>
          <w:trHeight w:val="3120" w:hRule="atLeast"/>
        </w:trPr>
        <w:tc>
          <w:tcPr>
            <w:tcW w:w="1706" w:type="dxa"/>
          </w:tcPr>
          <w:p>
            <w:pPr>
              <w:pStyle w:val="TableParagraph"/>
              <w:spacing w:line="410" w:lineRule="auto" w:before="241"/>
              <w:ind w:left="200" w:right="245"/>
              <w:rPr>
                <w:rFonts w:ascii="Microsoft JhengHei" w:eastAsia="Microsoft JhengHei" w:hint="eastAsia"/>
                <w:b/>
                <w:sz w:val="21"/>
              </w:rPr>
            </w:pPr>
            <w:r>
              <w:rPr>
                <w:rFonts w:ascii="Microsoft JhengHei" w:eastAsia="Microsoft JhengHei" w:hint="eastAsia"/>
                <w:b/>
                <w:sz w:val="21"/>
              </w:rPr>
              <w:t>慢性肾上腺皮质功能衰竭</w:t>
            </w:r>
          </w:p>
        </w:tc>
        <w:tc>
          <w:tcPr>
            <w:tcW w:w="7095" w:type="dxa"/>
          </w:tcPr>
          <w:p>
            <w:pPr>
              <w:pStyle w:val="TableParagraph"/>
              <w:spacing w:line="273" w:lineRule="auto" w:before="142"/>
              <w:ind w:left="174" w:right="301"/>
              <w:jc w:val="both"/>
              <w:rPr>
                <w:sz w:val="21"/>
              </w:rPr>
            </w:pPr>
            <w:r>
              <w:rPr>
                <w:spacing w:val="-8"/>
                <w:sz w:val="21"/>
              </w:rPr>
              <w:t>因为自身免疫功能紊乱，使肾上腺组织逐渐受损，而需要长期接受糖皮质</w:t>
            </w:r>
            <w:r>
              <w:rPr>
                <w:spacing w:val="-15"/>
                <w:sz w:val="21"/>
              </w:rPr>
              <w:t>激素及肾上腺皮质激素替代疗法。该病必须经国家机关认可的有合法资质的内分泌专科医生确诊，并有以下报告作为证据：</w:t>
            </w:r>
          </w:p>
          <w:p>
            <w:pPr>
              <w:pStyle w:val="TableParagraph"/>
              <w:numPr>
                <w:ilvl w:val="0"/>
                <w:numId w:val="25"/>
              </w:numPr>
              <w:tabs>
                <w:tab w:pos="596" w:val="left" w:leader="none"/>
              </w:tabs>
              <w:spacing w:line="240" w:lineRule="auto" w:before="7" w:after="0"/>
              <w:ind w:left="595" w:right="0" w:hanging="421"/>
              <w:jc w:val="both"/>
              <w:rPr>
                <w:sz w:val="21"/>
              </w:rPr>
            </w:pPr>
            <w:r>
              <w:rPr>
                <w:spacing w:val="-1"/>
                <w:sz w:val="21"/>
              </w:rPr>
              <w:t>促肾上腺皮质激素</w:t>
            </w:r>
            <w:r>
              <w:rPr>
                <w:sz w:val="21"/>
              </w:rPr>
              <w:t>(ACTH)刺激试验；</w:t>
            </w:r>
          </w:p>
          <w:p>
            <w:pPr>
              <w:pStyle w:val="TableParagraph"/>
              <w:numPr>
                <w:ilvl w:val="0"/>
                <w:numId w:val="25"/>
              </w:numPr>
              <w:tabs>
                <w:tab w:pos="596" w:val="left" w:leader="none"/>
              </w:tabs>
              <w:spacing w:line="240" w:lineRule="auto" w:before="36" w:after="0"/>
              <w:ind w:left="595" w:right="0" w:hanging="421"/>
              <w:jc w:val="both"/>
              <w:rPr>
                <w:sz w:val="21"/>
              </w:rPr>
            </w:pPr>
            <w:r>
              <w:rPr>
                <w:spacing w:val="-1"/>
                <w:sz w:val="21"/>
              </w:rPr>
              <w:t>胰岛素血糖减少测试；</w:t>
            </w:r>
          </w:p>
          <w:p>
            <w:pPr>
              <w:pStyle w:val="TableParagraph"/>
              <w:numPr>
                <w:ilvl w:val="0"/>
                <w:numId w:val="25"/>
              </w:numPr>
              <w:tabs>
                <w:tab w:pos="596" w:val="left" w:leader="none"/>
              </w:tabs>
              <w:spacing w:line="240" w:lineRule="auto" w:before="36" w:after="0"/>
              <w:ind w:left="595" w:right="0" w:hanging="421"/>
              <w:jc w:val="both"/>
              <w:rPr>
                <w:sz w:val="21"/>
              </w:rPr>
            </w:pPr>
            <w:r>
              <w:rPr>
                <w:spacing w:val="-1"/>
                <w:sz w:val="21"/>
              </w:rPr>
              <w:t>血浆促肾上腺皮质激素</w:t>
            </w:r>
            <w:r>
              <w:rPr>
                <w:sz w:val="21"/>
              </w:rPr>
              <w:t>(ACTH)水平测定；</w:t>
            </w:r>
          </w:p>
          <w:p>
            <w:pPr>
              <w:pStyle w:val="TableParagraph"/>
              <w:numPr>
                <w:ilvl w:val="0"/>
                <w:numId w:val="25"/>
              </w:numPr>
              <w:tabs>
                <w:tab w:pos="596" w:val="left" w:leader="none"/>
              </w:tabs>
              <w:spacing w:line="240" w:lineRule="auto" w:before="36" w:after="0"/>
              <w:ind w:left="595" w:right="0" w:hanging="421"/>
              <w:jc w:val="both"/>
              <w:rPr>
                <w:sz w:val="21"/>
              </w:rPr>
            </w:pPr>
            <w:r>
              <w:rPr>
                <w:spacing w:val="-1"/>
                <w:sz w:val="21"/>
              </w:rPr>
              <w:t>血浆肾素活性</w:t>
            </w:r>
            <w:r>
              <w:rPr>
                <w:sz w:val="21"/>
              </w:rPr>
              <w:t>(PRA)测定。</w:t>
            </w:r>
          </w:p>
          <w:p>
            <w:pPr>
              <w:pStyle w:val="TableParagraph"/>
              <w:spacing w:line="273" w:lineRule="auto" w:before="36"/>
              <w:ind w:left="174" w:right="198"/>
              <w:rPr>
                <w:sz w:val="21"/>
              </w:rPr>
            </w:pPr>
            <w:r>
              <w:rPr>
                <w:sz w:val="21"/>
              </w:rPr>
              <w:t>慢性肾上腺皮质功能衰竭只对由自身免疫功能紊乱引起的承担保险责任， 其他原因引起的除外。</w:t>
            </w:r>
          </w:p>
        </w:tc>
      </w:tr>
      <w:tr>
        <w:trPr>
          <w:trHeight w:val="1500" w:hRule="atLeast"/>
        </w:trPr>
        <w:tc>
          <w:tcPr>
            <w:tcW w:w="1706" w:type="dxa"/>
          </w:tcPr>
          <w:p>
            <w:pPr>
              <w:pStyle w:val="TableParagraph"/>
              <w:spacing w:line="410" w:lineRule="auto" w:before="241"/>
              <w:ind w:left="200" w:right="245"/>
              <w:rPr>
                <w:rFonts w:ascii="Microsoft JhengHei" w:eastAsia="Microsoft JhengHei" w:hint="eastAsia"/>
                <w:b/>
                <w:sz w:val="21"/>
              </w:rPr>
            </w:pPr>
            <w:r>
              <w:rPr>
                <w:rFonts w:ascii="Microsoft JhengHei" w:eastAsia="Microsoft JhengHei" w:hint="eastAsia"/>
                <w:b/>
                <w:sz w:val="21"/>
              </w:rPr>
              <w:t>埃博拉病毒感染</w:t>
            </w:r>
          </w:p>
        </w:tc>
        <w:tc>
          <w:tcPr>
            <w:tcW w:w="7095" w:type="dxa"/>
          </w:tcPr>
          <w:p>
            <w:pPr>
              <w:pStyle w:val="TableParagraph"/>
              <w:spacing w:line="273" w:lineRule="auto" w:before="142"/>
              <w:ind w:left="174" w:right="302"/>
              <w:jc w:val="both"/>
              <w:rPr>
                <w:sz w:val="21"/>
              </w:rPr>
            </w:pPr>
            <w:r>
              <w:rPr>
                <w:spacing w:val="-7"/>
                <w:sz w:val="21"/>
              </w:rPr>
              <w:t>受埃博拉病毒感染导致出血性发热。埃博拉病必须经国家机关认可的有合</w:t>
            </w:r>
            <w:r>
              <w:rPr>
                <w:spacing w:val="-14"/>
                <w:sz w:val="21"/>
              </w:rPr>
              <w:t>法资质的传染病专家确诊，并且埃博拉病毒的存在必须经过实验室检查证</w:t>
            </w:r>
            <w:r>
              <w:rPr>
                <w:spacing w:val="-1"/>
                <w:sz w:val="21"/>
              </w:rPr>
              <w:t>实。该病必须从症状开始后三十</w:t>
            </w:r>
            <w:r>
              <w:rPr>
                <w:sz w:val="21"/>
              </w:rPr>
              <w:t>(30)天后持续出现并发症。</w:t>
            </w:r>
          </w:p>
        </w:tc>
      </w:tr>
      <w:tr>
        <w:trPr>
          <w:trHeight w:val="1307" w:hRule="atLeast"/>
        </w:trPr>
        <w:tc>
          <w:tcPr>
            <w:tcW w:w="1706"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象皮病</w:t>
            </w:r>
          </w:p>
        </w:tc>
        <w:tc>
          <w:tcPr>
            <w:tcW w:w="7095" w:type="dxa"/>
          </w:tcPr>
          <w:p>
            <w:pPr>
              <w:pStyle w:val="TableParagraph"/>
              <w:spacing w:before="6"/>
              <w:rPr>
                <w:rFonts w:ascii="Times New Roman"/>
                <w:sz w:val="17"/>
              </w:rPr>
            </w:pPr>
          </w:p>
          <w:p>
            <w:pPr>
              <w:pStyle w:val="TableParagraph"/>
              <w:spacing w:line="273" w:lineRule="auto"/>
              <w:ind w:left="174" w:right="301"/>
              <w:jc w:val="both"/>
              <w:rPr>
                <w:sz w:val="21"/>
              </w:rPr>
            </w:pPr>
            <w:r>
              <w:rPr>
                <w:spacing w:val="-9"/>
                <w:sz w:val="21"/>
              </w:rPr>
              <w:t>指末期丝虫病，按国际淋巴学会分级为三度淋巴液肿，其临床表现为肢体</w:t>
            </w:r>
            <w:r>
              <w:rPr>
                <w:spacing w:val="-14"/>
                <w:sz w:val="21"/>
              </w:rPr>
              <w:t>非凹陷性水肿伴畸形增大、硬皮症和疣状增生。此病症须经国家机关认可的有合法资质的专科医生根据临床表现和微丝蚴的化验结果确诊。</w:t>
            </w:r>
          </w:p>
        </w:tc>
      </w:tr>
      <w:tr>
        <w:trPr>
          <w:trHeight w:val="2124" w:hRule="atLeast"/>
        </w:trPr>
        <w:tc>
          <w:tcPr>
            <w:tcW w:w="1706" w:type="dxa"/>
          </w:tcPr>
          <w:p>
            <w:pPr>
              <w:pStyle w:val="TableParagraph"/>
              <w:spacing w:line="410" w:lineRule="auto" w:before="241"/>
              <w:ind w:left="200" w:right="172"/>
              <w:jc w:val="both"/>
              <w:rPr>
                <w:rFonts w:ascii="Microsoft JhengHei" w:eastAsia="Microsoft JhengHei" w:hint="eastAsia"/>
                <w:b/>
                <w:sz w:val="21"/>
              </w:rPr>
            </w:pPr>
            <w:r>
              <w:rPr>
                <w:rFonts w:ascii="Microsoft JhengHei" w:eastAsia="Microsoft JhengHei" w:hint="eastAsia"/>
                <w:b/>
                <w:sz w:val="21"/>
              </w:rPr>
              <w:t>急性坏死性胰</w:t>
            </w:r>
            <w:r>
              <w:rPr>
                <w:rFonts w:ascii="Microsoft JhengHei" w:eastAsia="Microsoft JhengHei" w:hint="eastAsia"/>
                <w:b/>
                <w:w w:val="95"/>
                <w:sz w:val="21"/>
              </w:rPr>
              <w:t>腺炎-不包括酒</w:t>
            </w:r>
            <w:r>
              <w:rPr>
                <w:rFonts w:ascii="Microsoft JhengHei" w:eastAsia="Microsoft JhengHei" w:hint="eastAsia"/>
                <w:b/>
                <w:sz w:val="21"/>
              </w:rPr>
              <w:t>精作用所致</w:t>
            </w:r>
          </w:p>
        </w:tc>
        <w:tc>
          <w:tcPr>
            <w:tcW w:w="7095" w:type="dxa"/>
          </w:tcPr>
          <w:p>
            <w:pPr>
              <w:pStyle w:val="TableParagraph"/>
              <w:spacing w:line="273" w:lineRule="auto" w:before="142"/>
              <w:ind w:left="174" w:right="302"/>
              <w:jc w:val="both"/>
              <w:rPr>
                <w:sz w:val="21"/>
              </w:rPr>
            </w:pPr>
            <w:r>
              <w:rPr>
                <w:spacing w:val="-4"/>
                <w:sz w:val="21"/>
              </w:rPr>
              <w:t>指胰酶在胰腺内激活后引起胰腺组织自身消化的急性化学性炎症。本病须</w:t>
            </w:r>
            <w:r>
              <w:rPr>
                <w:spacing w:val="-9"/>
                <w:sz w:val="21"/>
              </w:rPr>
              <w:t>经国家机关认可的有合法资质的专科医生明确诊断，并已经实际实施了坏死组织清除、病灶切除或胰腺部分切除的手术治疗。</w:t>
            </w:r>
          </w:p>
          <w:p>
            <w:pPr>
              <w:pStyle w:val="TableParagraph"/>
              <w:spacing w:before="7"/>
              <w:ind w:left="174"/>
              <w:jc w:val="both"/>
              <w:rPr>
                <w:sz w:val="21"/>
              </w:rPr>
            </w:pPr>
            <w:r>
              <w:rPr>
                <w:sz w:val="21"/>
              </w:rPr>
              <w:t>因酒精作用所致的急性胰腺炎不在保障范围内。</w:t>
            </w:r>
          </w:p>
        </w:tc>
      </w:tr>
      <w:tr>
        <w:trPr>
          <w:trHeight w:val="1412" w:hRule="atLeast"/>
        </w:trPr>
        <w:tc>
          <w:tcPr>
            <w:tcW w:w="1706"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终末期疾病</w:t>
            </w:r>
          </w:p>
        </w:tc>
        <w:tc>
          <w:tcPr>
            <w:tcW w:w="7095" w:type="dxa"/>
          </w:tcPr>
          <w:p>
            <w:pPr>
              <w:pStyle w:val="TableParagraph"/>
              <w:spacing w:line="310" w:lineRule="atLeast" w:before="166"/>
              <w:ind w:left="174" w:right="301"/>
              <w:jc w:val="both"/>
              <w:rPr>
                <w:sz w:val="21"/>
              </w:rPr>
            </w:pPr>
            <w:r>
              <w:rPr>
                <w:spacing w:val="-7"/>
                <w:sz w:val="21"/>
              </w:rPr>
              <w:t>被保险人被确诊为疾病的终末期状态，疾病已经无法以现有的医疗技术医</w:t>
            </w:r>
            <w:r>
              <w:rPr>
                <w:spacing w:val="-11"/>
                <w:sz w:val="21"/>
              </w:rPr>
              <w:t>治缓解，并且根据临床医学经验判断被保险人将于未来六个月内死亡。在</w:t>
            </w:r>
            <w:r>
              <w:rPr>
                <w:spacing w:val="-15"/>
                <w:sz w:val="21"/>
              </w:rPr>
              <w:t>家属及患者的要求和医师的同意下积极治疗已被放弃，所有治疗措施仅以</w:t>
            </w:r>
            <w:r>
              <w:rPr>
                <w:spacing w:val="-16"/>
                <w:sz w:val="21"/>
              </w:rPr>
              <w:t>减轻患者痛苦为目的。此疾病状态必须在被保险人生前已经确诊并且具有</w:t>
            </w:r>
          </w:p>
        </w:tc>
      </w:tr>
    </w:tbl>
    <w:p>
      <w:pPr>
        <w:spacing w:after="0" w:line="310" w:lineRule="atLeast"/>
        <w:jc w:val="both"/>
        <w:rPr>
          <w:sz w:val="21"/>
        </w:rPr>
        <w:sectPr>
          <w:pgSz w:w="11910" w:h="16840"/>
          <w:pgMar w:header="899" w:footer="994" w:top="1220" w:bottom="1180" w:left="1680" w:right="1000"/>
        </w:sectPr>
      </w:pPr>
    </w:p>
    <w:p>
      <w:pPr>
        <w:pStyle w:val="BodyText"/>
        <w:spacing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6962"/>
      </w:tblGrid>
      <w:tr>
        <w:trPr>
          <w:trHeight w:val="494" w:hRule="atLeast"/>
        </w:trPr>
        <w:tc>
          <w:tcPr>
            <w:tcW w:w="1735" w:type="dxa"/>
          </w:tcPr>
          <w:p>
            <w:pPr>
              <w:pStyle w:val="TableParagraph"/>
              <w:rPr>
                <w:rFonts w:ascii="Times New Roman"/>
                <w:sz w:val="20"/>
              </w:rPr>
            </w:pPr>
          </w:p>
        </w:tc>
        <w:tc>
          <w:tcPr>
            <w:tcW w:w="6962" w:type="dxa"/>
          </w:tcPr>
          <w:p>
            <w:pPr>
              <w:pStyle w:val="TableParagraph"/>
              <w:spacing w:line="210" w:lineRule="exact"/>
              <w:ind w:left="145"/>
              <w:rPr>
                <w:sz w:val="21"/>
              </w:rPr>
            </w:pPr>
            <w:r>
              <w:rPr>
                <w:sz w:val="21"/>
              </w:rPr>
              <w:t>医疗证明文件和临床检查依据。</w:t>
            </w:r>
          </w:p>
        </w:tc>
      </w:tr>
      <w:tr>
        <w:trPr>
          <w:trHeight w:val="2615" w:hRule="atLeast"/>
        </w:trPr>
        <w:tc>
          <w:tcPr>
            <w:tcW w:w="1735" w:type="dxa"/>
          </w:tcPr>
          <w:p>
            <w:pPr>
              <w:pStyle w:val="TableParagraph"/>
              <w:spacing w:before="7"/>
              <w:rPr>
                <w:rFonts w:ascii="Times New Roman"/>
                <w:sz w:val="27"/>
              </w:rPr>
            </w:pPr>
          </w:p>
          <w:p>
            <w:pPr>
              <w:pStyle w:val="TableParagraph"/>
              <w:spacing w:line="410" w:lineRule="auto" w:before="1"/>
              <w:ind w:left="200" w:right="274"/>
              <w:rPr>
                <w:rFonts w:ascii="Microsoft JhengHei" w:eastAsia="Microsoft JhengHei" w:hint="eastAsia"/>
                <w:b/>
                <w:sz w:val="21"/>
              </w:rPr>
            </w:pPr>
            <w:r>
              <w:rPr>
                <w:rFonts w:ascii="Microsoft JhengHei" w:eastAsia="Microsoft JhengHei" w:hint="eastAsia"/>
                <w:b/>
                <w:sz w:val="21"/>
              </w:rPr>
              <w:t>原发性硬化性胆管炎</w:t>
            </w:r>
          </w:p>
        </w:tc>
        <w:tc>
          <w:tcPr>
            <w:tcW w:w="6962" w:type="dxa"/>
          </w:tcPr>
          <w:p>
            <w:pPr>
              <w:pStyle w:val="TableParagraph"/>
              <w:spacing w:before="1"/>
              <w:rPr>
                <w:rFonts w:ascii="Times New Roman"/>
                <w:sz w:val="19"/>
              </w:rPr>
            </w:pPr>
          </w:p>
          <w:p>
            <w:pPr>
              <w:pStyle w:val="TableParagraph"/>
              <w:spacing w:line="273" w:lineRule="auto"/>
              <w:ind w:left="145" w:right="197"/>
              <w:jc w:val="both"/>
              <w:rPr>
                <w:sz w:val="21"/>
              </w:rPr>
            </w:pPr>
            <w:r>
              <w:rPr>
                <w:spacing w:val="-8"/>
                <w:sz w:val="21"/>
              </w:rPr>
              <w:t>指一种胆汁淤积综合征，其特征是肝内、肝外胆道因纤维化性炎症逐渐狭</w:t>
            </w:r>
            <w:r>
              <w:rPr>
                <w:spacing w:val="-11"/>
                <w:sz w:val="21"/>
              </w:rPr>
              <w:t>窄，并最终导致完全阻塞而发展为肝硬化。本病须经内镜逆行胰胆管造影等影像学检查证实，并须满足下列全部条件：</w:t>
            </w:r>
          </w:p>
          <w:p>
            <w:pPr>
              <w:pStyle w:val="TableParagraph"/>
              <w:numPr>
                <w:ilvl w:val="0"/>
                <w:numId w:val="26"/>
              </w:numPr>
              <w:tabs>
                <w:tab w:pos="777" w:val="left" w:leader="none"/>
              </w:tabs>
              <w:spacing w:line="240" w:lineRule="auto" w:before="7" w:after="0"/>
              <w:ind w:left="776" w:right="0" w:hanging="631"/>
              <w:jc w:val="both"/>
              <w:rPr>
                <w:sz w:val="21"/>
              </w:rPr>
            </w:pPr>
            <w:r>
              <w:rPr>
                <w:spacing w:val="-1"/>
                <w:sz w:val="21"/>
              </w:rPr>
              <w:t>总胆红素和直接胆红素同时升高，血清</w:t>
            </w:r>
            <w:r>
              <w:rPr>
                <w:sz w:val="21"/>
              </w:rPr>
              <w:t>ALP&gt;200U/L；</w:t>
            </w:r>
          </w:p>
          <w:p>
            <w:pPr>
              <w:pStyle w:val="TableParagraph"/>
              <w:numPr>
                <w:ilvl w:val="0"/>
                <w:numId w:val="26"/>
              </w:numPr>
              <w:tabs>
                <w:tab w:pos="777" w:val="left" w:leader="none"/>
              </w:tabs>
              <w:spacing w:line="240" w:lineRule="auto" w:before="36" w:after="0"/>
              <w:ind w:left="776" w:right="0" w:hanging="631"/>
              <w:jc w:val="both"/>
              <w:rPr>
                <w:sz w:val="21"/>
              </w:rPr>
            </w:pPr>
            <w:r>
              <w:rPr>
                <w:spacing w:val="-1"/>
                <w:sz w:val="21"/>
              </w:rPr>
              <w:t>持续性黄疸病史；</w:t>
            </w:r>
          </w:p>
          <w:p>
            <w:pPr>
              <w:pStyle w:val="TableParagraph"/>
              <w:numPr>
                <w:ilvl w:val="0"/>
                <w:numId w:val="26"/>
              </w:numPr>
              <w:tabs>
                <w:tab w:pos="777" w:val="left" w:leader="none"/>
              </w:tabs>
              <w:spacing w:line="240" w:lineRule="auto" w:before="36" w:after="0"/>
              <w:ind w:left="776" w:right="0" w:hanging="631"/>
              <w:jc w:val="both"/>
              <w:rPr>
                <w:sz w:val="21"/>
              </w:rPr>
            </w:pPr>
            <w:r>
              <w:rPr>
                <w:spacing w:val="-1"/>
                <w:sz w:val="21"/>
              </w:rPr>
              <w:t>出现胆汁性肝硬化或门脉高压。</w:t>
            </w:r>
          </w:p>
          <w:p>
            <w:pPr>
              <w:pStyle w:val="TableParagraph"/>
              <w:spacing w:before="36"/>
              <w:ind w:left="145"/>
              <w:jc w:val="both"/>
              <w:rPr>
                <w:sz w:val="21"/>
              </w:rPr>
            </w:pPr>
            <w:r>
              <w:rPr>
                <w:sz w:val="21"/>
              </w:rPr>
              <w:t>因肿瘤或胆管损伤等继发性的硬化性胆管炎不在保障范围内。</w:t>
            </w:r>
          </w:p>
        </w:tc>
      </w:tr>
      <w:tr>
        <w:trPr>
          <w:trHeight w:val="3474" w:hRule="atLeast"/>
        </w:trPr>
        <w:tc>
          <w:tcPr>
            <w:tcW w:w="1735" w:type="dxa"/>
          </w:tcPr>
          <w:p>
            <w:pPr>
              <w:pStyle w:val="TableParagraph"/>
              <w:spacing w:before="7"/>
              <w:rPr>
                <w:rFonts w:ascii="Times New Roman"/>
                <w:sz w:val="24"/>
              </w:rPr>
            </w:pPr>
          </w:p>
          <w:p>
            <w:pPr>
              <w:pStyle w:val="TableParagraph"/>
              <w:spacing w:line="410" w:lineRule="auto"/>
              <w:ind w:left="200" w:right="274"/>
              <w:jc w:val="both"/>
              <w:rPr>
                <w:rFonts w:ascii="Microsoft JhengHei" w:eastAsia="Microsoft JhengHei" w:hint="eastAsia"/>
                <w:b/>
                <w:sz w:val="21"/>
              </w:rPr>
            </w:pPr>
            <w:r>
              <w:rPr>
                <w:rFonts w:ascii="Microsoft JhengHei" w:eastAsia="Microsoft JhengHei" w:hint="eastAsia"/>
                <w:b/>
                <w:sz w:val="21"/>
              </w:rPr>
              <w:t>经输血导致的人类免疫缺陷病毒感染</w:t>
            </w:r>
          </w:p>
        </w:tc>
        <w:tc>
          <w:tcPr>
            <w:tcW w:w="6962" w:type="dxa"/>
          </w:tcPr>
          <w:p>
            <w:pPr>
              <w:pStyle w:val="TableParagraph"/>
              <w:rPr>
                <w:rFonts w:ascii="Times New Roman"/>
                <w:sz w:val="16"/>
              </w:rPr>
            </w:pPr>
          </w:p>
          <w:p>
            <w:pPr>
              <w:pStyle w:val="TableParagraph"/>
              <w:ind w:left="145"/>
              <w:rPr>
                <w:sz w:val="21"/>
              </w:rPr>
            </w:pPr>
            <w:r>
              <w:rPr>
                <w:sz w:val="21"/>
              </w:rPr>
              <w:t>被保险人感染上人类免疫缺陷病毒（HIV）并且满足下列全部条件：</w:t>
            </w:r>
          </w:p>
          <w:p>
            <w:pPr>
              <w:pStyle w:val="TableParagraph"/>
              <w:numPr>
                <w:ilvl w:val="0"/>
                <w:numId w:val="27"/>
              </w:numPr>
              <w:tabs>
                <w:tab w:pos="567" w:val="left" w:leader="none"/>
              </w:tabs>
              <w:spacing w:line="240" w:lineRule="auto" w:before="37" w:after="0"/>
              <w:ind w:left="565" w:right="0" w:hanging="420"/>
              <w:jc w:val="left"/>
              <w:rPr>
                <w:sz w:val="21"/>
              </w:rPr>
            </w:pPr>
            <w:r>
              <w:rPr>
                <w:spacing w:val="-1"/>
                <w:sz w:val="21"/>
              </w:rPr>
              <w:t>在保障起始日或复效日之后，被保险人因输血而感染</w:t>
            </w:r>
            <w:r>
              <w:rPr>
                <w:sz w:val="21"/>
              </w:rPr>
              <w:t>HIV；</w:t>
            </w:r>
          </w:p>
          <w:p>
            <w:pPr>
              <w:pStyle w:val="TableParagraph"/>
              <w:numPr>
                <w:ilvl w:val="0"/>
                <w:numId w:val="27"/>
              </w:numPr>
              <w:tabs>
                <w:tab w:pos="571" w:val="left" w:leader="none"/>
              </w:tabs>
              <w:spacing w:line="273" w:lineRule="auto" w:before="37" w:after="0"/>
              <w:ind w:left="565" w:right="206" w:hanging="420"/>
              <w:jc w:val="left"/>
              <w:rPr>
                <w:sz w:val="21"/>
              </w:rPr>
            </w:pPr>
            <w:r>
              <w:rPr>
                <w:sz w:val="21"/>
              </w:rPr>
              <w:t>提供输血治疗的输血中心或医院出具该项输血感染属医疗责任事故的报告，或者法院终审裁定为医疗责任并且不准上诉；</w:t>
            </w:r>
          </w:p>
          <w:p>
            <w:pPr>
              <w:pStyle w:val="TableParagraph"/>
              <w:numPr>
                <w:ilvl w:val="0"/>
                <w:numId w:val="27"/>
              </w:numPr>
              <w:tabs>
                <w:tab w:pos="567" w:val="left" w:leader="none"/>
              </w:tabs>
              <w:spacing w:line="240" w:lineRule="auto" w:before="7" w:after="0"/>
              <w:ind w:left="565" w:right="0" w:hanging="420"/>
              <w:jc w:val="left"/>
              <w:rPr>
                <w:sz w:val="21"/>
              </w:rPr>
            </w:pPr>
            <w:r>
              <w:rPr>
                <w:spacing w:val="-1"/>
                <w:sz w:val="21"/>
              </w:rPr>
              <w:t>受感染的被保险人不是血友病患者。</w:t>
            </w:r>
          </w:p>
          <w:p>
            <w:pPr>
              <w:pStyle w:val="TableParagraph"/>
              <w:spacing w:line="273" w:lineRule="auto" w:before="36"/>
              <w:ind w:left="145" w:right="197"/>
              <w:jc w:val="both"/>
              <w:rPr>
                <w:sz w:val="21"/>
              </w:rPr>
            </w:pPr>
            <w:r>
              <w:rPr>
                <w:sz w:val="21"/>
              </w:rPr>
              <w:t>在任何治愈艾滋病（AIDS）或阻止HIV病毒作用的疗法被发现以后，或能防止AIDS发生的医疗方法被研究出来以后，本保障将不再予以赔付。 任何因其他传播方式（包括：性传播或静脉注射毒品）导致的HIV感染不在</w:t>
            </w:r>
            <w:r>
              <w:rPr>
                <w:spacing w:val="-10"/>
                <w:sz w:val="21"/>
              </w:rPr>
              <w:t>本保单保障范围内。保险公司必须拥有获得使用被保险人的所有血液样本的权利和能够对这些样本进行独立检验的权利。</w:t>
            </w:r>
          </w:p>
        </w:tc>
      </w:tr>
      <w:tr>
        <w:trPr>
          <w:trHeight w:val="2496" w:hRule="atLeast"/>
        </w:trPr>
        <w:tc>
          <w:tcPr>
            <w:tcW w:w="1735"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疯牛病</w:t>
            </w:r>
          </w:p>
        </w:tc>
        <w:tc>
          <w:tcPr>
            <w:tcW w:w="6962" w:type="dxa"/>
          </w:tcPr>
          <w:p>
            <w:pPr>
              <w:pStyle w:val="TableParagraph"/>
              <w:spacing w:before="142"/>
              <w:ind w:left="145"/>
              <w:rPr>
                <w:sz w:val="21"/>
              </w:rPr>
            </w:pPr>
            <w:r>
              <w:rPr>
                <w:sz w:val="21"/>
              </w:rPr>
              <w:t>神经系统疾病及致命的成胶质状脑病，并有以下症状：</w:t>
            </w:r>
          </w:p>
          <w:p>
            <w:pPr>
              <w:pStyle w:val="TableParagraph"/>
              <w:numPr>
                <w:ilvl w:val="0"/>
                <w:numId w:val="28"/>
              </w:numPr>
              <w:tabs>
                <w:tab w:pos="567" w:val="left" w:leader="none"/>
              </w:tabs>
              <w:spacing w:line="240" w:lineRule="auto" w:before="37" w:after="0"/>
              <w:ind w:left="566" w:right="0" w:hanging="421"/>
              <w:jc w:val="left"/>
              <w:rPr>
                <w:sz w:val="21"/>
              </w:rPr>
            </w:pPr>
            <w:r>
              <w:rPr>
                <w:spacing w:val="-1"/>
                <w:sz w:val="21"/>
              </w:rPr>
              <w:t>不能控制的肌肉痉挛及震颤；</w:t>
            </w:r>
          </w:p>
          <w:p>
            <w:pPr>
              <w:pStyle w:val="TableParagraph"/>
              <w:numPr>
                <w:ilvl w:val="0"/>
                <w:numId w:val="28"/>
              </w:numPr>
              <w:tabs>
                <w:tab w:pos="567" w:val="left" w:leader="none"/>
              </w:tabs>
              <w:spacing w:line="240" w:lineRule="auto" w:before="37" w:after="0"/>
              <w:ind w:left="566" w:right="0" w:hanging="421"/>
              <w:jc w:val="left"/>
              <w:rPr>
                <w:sz w:val="21"/>
              </w:rPr>
            </w:pPr>
            <w:r>
              <w:rPr>
                <w:spacing w:val="-1"/>
                <w:sz w:val="21"/>
              </w:rPr>
              <w:t>逐渐痴呆；</w:t>
            </w:r>
          </w:p>
          <w:p>
            <w:pPr>
              <w:pStyle w:val="TableParagraph"/>
              <w:numPr>
                <w:ilvl w:val="0"/>
                <w:numId w:val="28"/>
              </w:numPr>
              <w:tabs>
                <w:tab w:pos="567" w:val="left" w:leader="none"/>
              </w:tabs>
              <w:spacing w:line="240" w:lineRule="auto" w:before="36" w:after="0"/>
              <w:ind w:left="566" w:right="0" w:hanging="421"/>
              <w:jc w:val="left"/>
              <w:rPr>
                <w:sz w:val="21"/>
              </w:rPr>
            </w:pPr>
            <w:r>
              <w:rPr>
                <w:spacing w:val="-1"/>
                <w:sz w:val="21"/>
              </w:rPr>
              <w:t>小脑功能不良，共济失调；</w:t>
            </w:r>
          </w:p>
          <w:p>
            <w:pPr>
              <w:pStyle w:val="TableParagraph"/>
              <w:numPr>
                <w:ilvl w:val="0"/>
                <w:numId w:val="28"/>
              </w:numPr>
              <w:tabs>
                <w:tab w:pos="567" w:val="left" w:leader="none"/>
              </w:tabs>
              <w:spacing w:line="240" w:lineRule="auto" w:before="36" w:after="0"/>
              <w:ind w:left="566" w:right="0" w:hanging="421"/>
              <w:jc w:val="left"/>
              <w:rPr>
                <w:sz w:val="21"/>
              </w:rPr>
            </w:pPr>
            <w:r>
              <w:rPr>
                <w:spacing w:val="-1"/>
                <w:sz w:val="21"/>
              </w:rPr>
              <w:t>手足徐动症；</w:t>
            </w:r>
          </w:p>
          <w:p>
            <w:pPr>
              <w:pStyle w:val="TableParagraph"/>
              <w:spacing w:line="273" w:lineRule="auto" w:before="36"/>
              <w:ind w:left="145" w:right="197"/>
              <w:rPr>
                <w:sz w:val="21"/>
              </w:rPr>
            </w:pPr>
            <w:r>
              <w:rPr>
                <w:sz w:val="21"/>
              </w:rPr>
              <w:t>诊断必须经国家机关认可的有合法资质的神经科专科医生基于以下检查报告作出：脑电图、脑脊液报告、电脑断层扫描(CT)及核磁共振(MRI)。</w:t>
            </w:r>
          </w:p>
        </w:tc>
      </w:tr>
      <w:tr>
        <w:trPr>
          <w:trHeight w:val="2124" w:hRule="atLeast"/>
        </w:trPr>
        <w:tc>
          <w:tcPr>
            <w:tcW w:w="1735" w:type="dxa"/>
          </w:tcPr>
          <w:p>
            <w:pPr>
              <w:pStyle w:val="TableParagraph"/>
              <w:spacing w:line="410" w:lineRule="auto" w:before="241"/>
              <w:ind w:left="200" w:right="144"/>
              <w:jc w:val="both"/>
              <w:rPr>
                <w:rFonts w:ascii="Microsoft JhengHei" w:eastAsia="Microsoft JhengHei" w:hint="eastAsia"/>
                <w:b/>
                <w:sz w:val="21"/>
              </w:rPr>
            </w:pPr>
            <w:r>
              <w:rPr>
                <w:rFonts w:ascii="Microsoft JhengHei" w:eastAsia="Microsoft JhengHei" w:hint="eastAsia"/>
                <w:b/>
                <w:sz w:val="21"/>
              </w:rPr>
              <w:t>严重心肌炎-心</w:t>
            </w:r>
            <w:r>
              <w:rPr>
                <w:rFonts w:ascii="Microsoft JhengHei" w:eastAsia="Microsoft JhengHei" w:hint="eastAsia"/>
                <w:b/>
                <w:spacing w:val="-1"/>
                <w:sz w:val="21"/>
              </w:rPr>
              <w:t>功能状态 </w:t>
            </w:r>
            <w:r>
              <w:rPr>
                <w:rFonts w:ascii="Microsoft JhengHei" w:eastAsia="Microsoft JhengHei" w:hint="eastAsia"/>
                <w:b/>
                <w:sz w:val="21"/>
              </w:rPr>
              <w:t>IV</w:t>
            </w:r>
            <w:r>
              <w:rPr>
                <w:rFonts w:ascii="Microsoft JhengHei" w:eastAsia="Microsoft JhengHei" w:hint="eastAsia"/>
                <w:b/>
                <w:spacing w:val="-3"/>
                <w:sz w:val="21"/>
              </w:rPr>
              <w:t> 级</w:t>
            </w:r>
            <w:r>
              <w:rPr>
                <w:rFonts w:ascii="Microsoft JhengHei" w:eastAsia="Microsoft JhengHei" w:hint="eastAsia"/>
                <w:b/>
                <w:spacing w:val="-5"/>
                <w:sz w:val="21"/>
              </w:rPr>
              <w:t>持续至少 </w:t>
            </w:r>
            <w:r>
              <w:rPr>
                <w:rFonts w:ascii="Microsoft JhengHei" w:eastAsia="Microsoft JhengHei" w:hint="eastAsia"/>
                <w:b/>
                <w:sz w:val="21"/>
              </w:rPr>
              <w:t>90</w:t>
            </w:r>
            <w:r>
              <w:rPr>
                <w:rFonts w:ascii="Microsoft JhengHei" w:eastAsia="Microsoft JhengHei" w:hint="eastAsia"/>
                <w:b/>
                <w:spacing w:val="-5"/>
                <w:sz w:val="21"/>
              </w:rPr>
              <w:t> 天</w:t>
            </w:r>
          </w:p>
        </w:tc>
        <w:tc>
          <w:tcPr>
            <w:tcW w:w="6962" w:type="dxa"/>
          </w:tcPr>
          <w:p>
            <w:pPr>
              <w:pStyle w:val="TableParagraph"/>
              <w:spacing w:line="273" w:lineRule="auto" w:before="142"/>
              <w:ind w:left="145" w:right="197"/>
              <w:rPr>
                <w:sz w:val="21"/>
              </w:rPr>
            </w:pPr>
            <w:r>
              <w:rPr>
                <w:spacing w:val="-5"/>
                <w:sz w:val="21"/>
              </w:rPr>
              <w:t>指心肌局限性或弥漫性的急性或慢性炎症病变，导致心脏功能障碍，达到</w:t>
            </w:r>
            <w:r>
              <w:rPr>
                <w:spacing w:val="-1"/>
                <w:sz w:val="21"/>
              </w:rPr>
              <w:t>美国纽约心脏病学会心功能状态分级</w:t>
            </w:r>
            <w:r>
              <w:rPr>
                <w:sz w:val="21"/>
              </w:rPr>
              <w:t>IV级，且持续至少90天。</w:t>
            </w:r>
          </w:p>
        </w:tc>
      </w:tr>
      <w:tr>
        <w:trPr>
          <w:trHeight w:val="2348" w:hRule="atLeast"/>
        </w:trPr>
        <w:tc>
          <w:tcPr>
            <w:tcW w:w="1735" w:type="dxa"/>
          </w:tcPr>
          <w:p>
            <w:pPr>
              <w:pStyle w:val="TableParagraph"/>
              <w:spacing w:before="1"/>
              <w:rPr>
                <w:rFonts w:ascii="Times New Roman"/>
                <w:sz w:val="26"/>
              </w:rPr>
            </w:pPr>
          </w:p>
          <w:p>
            <w:pPr>
              <w:pStyle w:val="TableParagraph"/>
              <w:spacing w:line="410" w:lineRule="auto"/>
              <w:ind w:left="200" w:right="236"/>
              <w:jc w:val="both"/>
              <w:rPr>
                <w:rFonts w:ascii="Microsoft JhengHei" w:eastAsia="Microsoft JhengHei" w:hint="eastAsia"/>
                <w:b/>
                <w:sz w:val="21"/>
              </w:rPr>
            </w:pPr>
            <w:r>
              <w:rPr>
                <w:rFonts w:ascii="Microsoft JhengHei" w:eastAsia="Microsoft JhengHei" w:hint="eastAsia"/>
                <w:b/>
                <w:sz w:val="21"/>
              </w:rPr>
              <w:t>系统性红斑狼疮－III</w:t>
            </w:r>
            <w:r>
              <w:rPr>
                <w:rFonts w:ascii="Microsoft JhengHei" w:eastAsia="Microsoft JhengHei" w:hint="eastAsia"/>
                <w:b/>
                <w:spacing w:val="-9"/>
                <w:sz w:val="21"/>
              </w:rPr>
              <w:t> 型或 </w:t>
            </w:r>
            <w:r>
              <w:rPr>
                <w:rFonts w:ascii="Microsoft JhengHei" w:eastAsia="Microsoft JhengHei" w:hint="eastAsia"/>
                <w:b/>
                <w:sz w:val="21"/>
              </w:rPr>
              <w:t>III 型以上狼疮性</w:t>
            </w:r>
          </w:p>
        </w:tc>
        <w:tc>
          <w:tcPr>
            <w:tcW w:w="6962" w:type="dxa"/>
          </w:tcPr>
          <w:p>
            <w:pPr>
              <w:pStyle w:val="TableParagraph"/>
              <w:spacing w:before="6"/>
              <w:rPr>
                <w:rFonts w:ascii="Times New Roman"/>
                <w:sz w:val="17"/>
              </w:rPr>
            </w:pPr>
          </w:p>
          <w:p>
            <w:pPr>
              <w:pStyle w:val="TableParagraph"/>
              <w:spacing w:line="273" w:lineRule="auto"/>
              <w:ind w:left="145" w:right="197"/>
              <w:jc w:val="both"/>
              <w:rPr>
                <w:sz w:val="21"/>
              </w:rPr>
            </w:pPr>
            <w:r>
              <w:rPr>
                <w:spacing w:val="-6"/>
                <w:sz w:val="21"/>
              </w:rPr>
              <w:t>系统性红斑狼疮是由多种因素引起，累及多系统的自身免疫性疾病。其特点是生成自身抗体对抗多种自身抗原。多见于育龄妇女。</w:t>
            </w:r>
          </w:p>
          <w:p>
            <w:pPr>
              <w:pStyle w:val="TableParagraph"/>
              <w:spacing w:before="7"/>
              <w:ind w:left="145"/>
              <w:rPr>
                <w:sz w:val="21"/>
              </w:rPr>
            </w:pPr>
            <w:r>
              <w:rPr>
                <w:sz w:val="21"/>
              </w:rPr>
              <w:t>本保单所指的系统性红斑狼疮仅限于累及肾脏（经肾脏活检确认的，符合</w:t>
            </w:r>
          </w:p>
          <w:p>
            <w:pPr>
              <w:pStyle w:val="TableParagraph"/>
              <w:spacing w:line="273" w:lineRule="auto" w:before="37"/>
              <w:ind w:left="145" w:right="197"/>
              <w:jc w:val="both"/>
              <w:rPr>
                <w:sz w:val="21"/>
              </w:rPr>
            </w:pPr>
            <w:r>
              <w:rPr>
                <w:sz w:val="21"/>
              </w:rPr>
              <w:t>WHO诊断标准定义III型或III型以上狼疮性肾炎）的系统性红斑狼疮。其</w:t>
            </w:r>
            <w:r>
              <w:rPr>
                <w:spacing w:val="-9"/>
                <w:sz w:val="21"/>
              </w:rPr>
              <w:t>他类型的红斑性狼疮，如盘状狼疮、仅累及血液及关节的狼疮不在本保单</w:t>
            </w:r>
            <w:r>
              <w:rPr>
                <w:spacing w:val="-8"/>
                <w:sz w:val="21"/>
              </w:rPr>
              <w:t>保障范围内。 世界卫生组织</w:t>
            </w:r>
            <w:r>
              <w:rPr>
                <w:sz w:val="21"/>
              </w:rPr>
              <w:t>（WHO）狼疮性肾炎分型：</w:t>
            </w:r>
          </w:p>
          <w:p>
            <w:pPr>
              <w:pStyle w:val="TableParagraph"/>
              <w:spacing w:line="255" w:lineRule="exact" w:before="7"/>
              <w:ind w:left="145"/>
              <w:jc w:val="both"/>
              <w:rPr>
                <w:sz w:val="21"/>
              </w:rPr>
            </w:pPr>
            <w:r>
              <w:rPr>
                <w:sz w:val="21"/>
              </w:rPr>
              <w:t>I型  微小病变型</w:t>
            </w:r>
          </w:p>
        </w:tc>
      </w:tr>
    </w:tbl>
    <w:p>
      <w:pPr>
        <w:spacing w:after="0" w:line="255" w:lineRule="exact"/>
        <w:jc w:val="both"/>
        <w:rPr>
          <w:sz w:val="21"/>
        </w:rPr>
        <w:sectPr>
          <w:pgSz w:w="11910" w:h="16840"/>
          <w:pgMar w:header="899" w:footer="994" w:top="1220" w:bottom="1180" w:left="1680" w:right="1120"/>
        </w:sectPr>
      </w:pPr>
    </w:p>
    <w:p>
      <w:pPr>
        <w:pStyle w:val="BodyText"/>
        <w:spacing w:after="1"/>
        <w:rPr>
          <w:rFonts w:ascii="Times New Roman"/>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788"/>
        <w:gridCol w:w="7031"/>
      </w:tblGrid>
      <w:tr>
        <w:trPr>
          <w:trHeight w:val="1820" w:hRule="atLeast"/>
        </w:trPr>
        <w:tc>
          <w:tcPr>
            <w:tcW w:w="839" w:type="dxa"/>
          </w:tcPr>
          <w:p>
            <w:pPr>
              <w:pStyle w:val="TableParagraph"/>
              <w:rPr>
                <w:rFonts w:ascii="Times New Roman"/>
                <w:sz w:val="20"/>
              </w:rPr>
            </w:pPr>
          </w:p>
        </w:tc>
        <w:tc>
          <w:tcPr>
            <w:tcW w:w="1788" w:type="dxa"/>
          </w:tcPr>
          <w:p>
            <w:pPr>
              <w:pStyle w:val="TableParagraph"/>
              <w:spacing w:before="34"/>
              <w:ind w:left="217"/>
              <w:rPr>
                <w:rFonts w:ascii="Microsoft JhengHei" w:eastAsia="Microsoft JhengHei" w:hint="eastAsia"/>
                <w:b/>
                <w:sz w:val="21"/>
              </w:rPr>
            </w:pPr>
            <w:r>
              <w:rPr>
                <w:rFonts w:ascii="Microsoft JhengHei" w:eastAsia="Microsoft JhengHei" w:hint="eastAsia"/>
                <w:b/>
                <w:sz w:val="21"/>
              </w:rPr>
              <w:t>肾炎</w:t>
            </w:r>
          </w:p>
        </w:tc>
        <w:tc>
          <w:tcPr>
            <w:tcW w:w="7031" w:type="dxa"/>
          </w:tcPr>
          <w:p>
            <w:pPr>
              <w:pStyle w:val="TableParagraph"/>
              <w:tabs>
                <w:tab w:pos="741" w:val="left" w:leader="none"/>
              </w:tabs>
              <w:spacing w:line="210" w:lineRule="exact"/>
              <w:ind w:left="110"/>
              <w:rPr>
                <w:sz w:val="21"/>
              </w:rPr>
            </w:pPr>
            <w:r>
              <w:rPr>
                <w:sz w:val="21"/>
              </w:rPr>
              <w:t>II型</w:t>
              <w:tab/>
            </w:r>
            <w:r>
              <w:rPr>
                <w:spacing w:val="-1"/>
                <w:sz w:val="21"/>
              </w:rPr>
              <w:t>系膜</w:t>
            </w:r>
            <w:r>
              <w:rPr>
                <w:sz w:val="21"/>
              </w:rPr>
              <w:t>病变型</w:t>
            </w:r>
          </w:p>
          <w:p>
            <w:pPr>
              <w:pStyle w:val="TableParagraph"/>
              <w:spacing w:before="36"/>
              <w:ind w:left="110"/>
              <w:rPr>
                <w:sz w:val="21"/>
              </w:rPr>
            </w:pPr>
            <w:r>
              <w:rPr>
                <w:sz w:val="21"/>
              </w:rPr>
              <w:t>III型 局灶及节段增生型</w:t>
            </w:r>
          </w:p>
          <w:p>
            <w:pPr>
              <w:pStyle w:val="TableParagraph"/>
              <w:tabs>
                <w:tab w:pos="741" w:val="left" w:leader="none"/>
              </w:tabs>
              <w:spacing w:before="37"/>
              <w:ind w:left="110"/>
              <w:rPr>
                <w:sz w:val="21"/>
              </w:rPr>
            </w:pPr>
            <w:r>
              <w:rPr>
                <w:sz w:val="21"/>
              </w:rPr>
              <w:t>IV型</w:t>
              <w:tab/>
            </w:r>
            <w:r>
              <w:rPr>
                <w:spacing w:val="-1"/>
                <w:sz w:val="21"/>
              </w:rPr>
              <w:t>弥漫</w:t>
            </w:r>
            <w:r>
              <w:rPr>
                <w:sz w:val="21"/>
              </w:rPr>
              <w:t>增生型</w:t>
            </w:r>
          </w:p>
          <w:p>
            <w:pPr>
              <w:pStyle w:val="TableParagraph"/>
              <w:tabs>
                <w:tab w:pos="741" w:val="left" w:leader="none"/>
              </w:tabs>
              <w:spacing w:before="37"/>
              <w:ind w:left="110"/>
              <w:rPr>
                <w:sz w:val="21"/>
              </w:rPr>
            </w:pPr>
            <w:r>
              <w:rPr>
                <w:sz w:val="21"/>
              </w:rPr>
              <w:t>V型</w:t>
              <w:tab/>
              <w:t>膜型</w:t>
            </w:r>
          </w:p>
          <w:p>
            <w:pPr>
              <w:pStyle w:val="TableParagraph"/>
              <w:tabs>
                <w:tab w:pos="741" w:val="left" w:leader="none"/>
              </w:tabs>
              <w:spacing w:before="37"/>
              <w:ind w:left="110"/>
              <w:rPr>
                <w:sz w:val="21"/>
              </w:rPr>
            </w:pPr>
            <w:r>
              <w:rPr>
                <w:sz w:val="21"/>
              </w:rPr>
              <w:t>VI型</w:t>
              <w:tab/>
            </w:r>
            <w:r>
              <w:rPr>
                <w:spacing w:val="-1"/>
                <w:sz w:val="21"/>
              </w:rPr>
              <w:t>肾小</w:t>
            </w:r>
            <w:r>
              <w:rPr>
                <w:sz w:val="21"/>
              </w:rPr>
              <w:t>球硬化型</w:t>
            </w:r>
          </w:p>
        </w:tc>
      </w:tr>
      <w:tr>
        <w:trPr>
          <w:trHeight w:val="1247"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9.4</w:t>
            </w:r>
          </w:p>
        </w:tc>
        <w:tc>
          <w:tcPr>
            <w:tcW w:w="1788" w:type="dxa"/>
          </w:tcPr>
          <w:p>
            <w:pPr>
              <w:pStyle w:val="TableParagraph"/>
              <w:spacing w:before="10"/>
              <w:rPr>
                <w:rFonts w:ascii="Times New Roman"/>
                <w:sz w:val="25"/>
              </w:rPr>
            </w:pPr>
          </w:p>
          <w:p>
            <w:pPr>
              <w:pStyle w:val="TableParagraph"/>
              <w:ind w:left="217"/>
              <w:rPr>
                <w:b/>
                <w:sz w:val="21"/>
              </w:rPr>
            </w:pPr>
            <w:r>
              <w:rPr>
                <w:b/>
                <w:sz w:val="21"/>
              </w:rPr>
              <w:t>意外伤害</w:t>
            </w:r>
          </w:p>
        </w:tc>
        <w:tc>
          <w:tcPr>
            <w:tcW w:w="7031" w:type="dxa"/>
          </w:tcPr>
          <w:p>
            <w:pPr>
              <w:pStyle w:val="TableParagraph"/>
              <w:spacing w:before="10"/>
              <w:rPr>
                <w:rFonts w:ascii="Times New Roman"/>
                <w:sz w:val="25"/>
              </w:rPr>
            </w:pPr>
          </w:p>
          <w:p>
            <w:pPr>
              <w:pStyle w:val="TableParagraph"/>
              <w:spacing w:line="273" w:lineRule="auto"/>
              <w:ind w:left="112" w:right="311"/>
              <w:rPr>
                <w:sz w:val="21"/>
              </w:rPr>
            </w:pPr>
            <w:r>
              <w:rPr>
                <w:sz w:val="21"/>
              </w:rPr>
              <w:t>指外来的、突发的、非本意的、非疾病的客观事件直接致使身体受到的伤害。</w:t>
            </w:r>
          </w:p>
        </w:tc>
      </w:tr>
      <w:tr>
        <w:trPr>
          <w:trHeight w:val="2807"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9.5</w:t>
            </w:r>
          </w:p>
        </w:tc>
        <w:tc>
          <w:tcPr>
            <w:tcW w:w="1788" w:type="dxa"/>
          </w:tcPr>
          <w:p>
            <w:pPr>
              <w:pStyle w:val="TableParagraph"/>
              <w:spacing w:before="10"/>
              <w:rPr>
                <w:rFonts w:ascii="Times New Roman"/>
                <w:sz w:val="25"/>
              </w:rPr>
            </w:pPr>
          </w:p>
          <w:p>
            <w:pPr>
              <w:pStyle w:val="TableParagraph"/>
              <w:ind w:left="217"/>
              <w:rPr>
                <w:b/>
                <w:sz w:val="21"/>
              </w:rPr>
            </w:pPr>
            <w:r>
              <w:rPr>
                <w:b/>
                <w:sz w:val="21"/>
              </w:rPr>
              <w:t>专科医生</w:t>
            </w:r>
          </w:p>
        </w:tc>
        <w:tc>
          <w:tcPr>
            <w:tcW w:w="7031" w:type="dxa"/>
          </w:tcPr>
          <w:p>
            <w:pPr>
              <w:pStyle w:val="TableParagraph"/>
              <w:spacing w:before="10"/>
              <w:rPr>
                <w:rFonts w:ascii="Times New Roman"/>
                <w:sz w:val="25"/>
              </w:rPr>
            </w:pPr>
          </w:p>
          <w:p>
            <w:pPr>
              <w:pStyle w:val="TableParagraph"/>
              <w:ind w:left="110"/>
              <w:rPr>
                <w:sz w:val="21"/>
              </w:rPr>
            </w:pPr>
            <w:r>
              <w:rPr>
                <w:sz w:val="21"/>
              </w:rPr>
              <w:t>专科医生应当同时满足以下四项资格条件：</w:t>
            </w:r>
          </w:p>
          <w:p>
            <w:pPr>
              <w:pStyle w:val="TableParagraph"/>
              <w:numPr>
                <w:ilvl w:val="0"/>
                <w:numId w:val="29"/>
              </w:numPr>
              <w:tabs>
                <w:tab w:pos="742" w:val="left" w:leader="none"/>
              </w:tabs>
              <w:spacing w:line="240" w:lineRule="auto" w:before="36" w:after="0"/>
              <w:ind w:left="746" w:right="0" w:hanging="636"/>
              <w:jc w:val="left"/>
              <w:rPr>
                <w:sz w:val="21"/>
              </w:rPr>
            </w:pPr>
            <w:r>
              <w:rPr>
                <w:spacing w:val="-7"/>
                <w:sz w:val="21"/>
              </w:rPr>
              <w:t>具有有效的中华人民共和国《医师资格证书》；</w:t>
            </w:r>
          </w:p>
          <w:p>
            <w:pPr>
              <w:pStyle w:val="TableParagraph"/>
              <w:numPr>
                <w:ilvl w:val="0"/>
                <w:numId w:val="29"/>
              </w:numPr>
              <w:tabs>
                <w:tab w:pos="742" w:val="left" w:leader="none"/>
              </w:tabs>
              <w:spacing w:line="273" w:lineRule="auto" w:before="36" w:after="0"/>
              <w:ind w:left="746" w:right="304" w:hanging="636"/>
              <w:jc w:val="left"/>
              <w:rPr>
                <w:sz w:val="21"/>
              </w:rPr>
            </w:pPr>
            <w:r>
              <w:rPr>
                <w:spacing w:val="-7"/>
                <w:sz w:val="21"/>
              </w:rPr>
              <w:t>具有有效的中华人民共和国《医师执业证书》，并按期到相关部门登记注册；</w:t>
            </w:r>
          </w:p>
          <w:p>
            <w:pPr>
              <w:pStyle w:val="TableParagraph"/>
              <w:numPr>
                <w:ilvl w:val="0"/>
                <w:numId w:val="29"/>
              </w:numPr>
              <w:tabs>
                <w:tab w:pos="690" w:val="left" w:leader="none"/>
              </w:tabs>
              <w:spacing w:line="273" w:lineRule="auto" w:before="7" w:after="0"/>
              <w:ind w:left="718" w:right="302" w:hanging="608"/>
              <w:jc w:val="left"/>
              <w:rPr>
                <w:sz w:val="21"/>
              </w:rPr>
            </w:pPr>
            <w:r>
              <w:rPr>
                <w:spacing w:val="-2"/>
                <w:sz w:val="21"/>
              </w:rPr>
              <w:t>具有有效的中华人民共和国主治医师或主治医师以上职称的《医师</w:t>
            </w:r>
            <w:r>
              <w:rPr>
                <w:spacing w:val="-20"/>
                <w:sz w:val="21"/>
              </w:rPr>
              <w:t>职称证书》；</w:t>
            </w:r>
          </w:p>
          <w:p>
            <w:pPr>
              <w:pStyle w:val="TableParagraph"/>
              <w:numPr>
                <w:ilvl w:val="0"/>
                <w:numId w:val="29"/>
              </w:numPr>
              <w:tabs>
                <w:tab w:pos="742" w:val="left" w:leader="none"/>
              </w:tabs>
              <w:spacing w:line="240" w:lineRule="auto" w:before="7" w:after="0"/>
              <w:ind w:left="746" w:right="0" w:hanging="636"/>
              <w:jc w:val="left"/>
              <w:rPr>
                <w:sz w:val="21"/>
              </w:rPr>
            </w:pPr>
            <w:r>
              <w:rPr>
                <w:spacing w:val="-1"/>
                <w:sz w:val="21"/>
              </w:rPr>
              <w:t>在二级或二级以上医院的相应科室从事临床工作三年以上。</w:t>
            </w:r>
          </w:p>
        </w:tc>
      </w:tr>
      <w:tr>
        <w:trPr>
          <w:trHeight w:val="1872"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9.6</w:t>
            </w:r>
          </w:p>
        </w:tc>
        <w:tc>
          <w:tcPr>
            <w:tcW w:w="1788" w:type="dxa"/>
          </w:tcPr>
          <w:p>
            <w:pPr>
              <w:pStyle w:val="TableParagraph"/>
              <w:spacing w:before="10"/>
              <w:rPr>
                <w:rFonts w:ascii="Times New Roman"/>
                <w:sz w:val="25"/>
              </w:rPr>
            </w:pPr>
          </w:p>
          <w:p>
            <w:pPr>
              <w:pStyle w:val="TableParagraph"/>
              <w:ind w:left="217"/>
              <w:rPr>
                <w:b/>
                <w:sz w:val="21"/>
              </w:rPr>
            </w:pPr>
            <w:r>
              <w:rPr>
                <w:b/>
                <w:sz w:val="21"/>
              </w:rPr>
              <w:t>毒品</w:t>
            </w:r>
          </w:p>
        </w:tc>
        <w:tc>
          <w:tcPr>
            <w:tcW w:w="7031" w:type="dxa"/>
          </w:tcPr>
          <w:p>
            <w:pPr>
              <w:pStyle w:val="TableParagraph"/>
              <w:spacing w:before="10"/>
              <w:rPr>
                <w:rFonts w:ascii="Times New Roman"/>
                <w:sz w:val="25"/>
              </w:rPr>
            </w:pPr>
          </w:p>
          <w:p>
            <w:pPr>
              <w:pStyle w:val="TableParagraph"/>
              <w:spacing w:line="273" w:lineRule="auto"/>
              <w:ind w:left="112" w:right="197"/>
              <w:rPr>
                <w:sz w:val="21"/>
              </w:rPr>
            </w:pPr>
            <w:r>
              <w:rPr>
                <w:spacing w:val="-5"/>
                <w:sz w:val="21"/>
              </w:rPr>
              <w:t>指中华人民共和国刑法规定的鸦片、海洛因、甲基苯丙胺</w:t>
            </w:r>
            <w:r>
              <w:rPr>
                <w:sz w:val="21"/>
              </w:rPr>
              <w:t>（冰毒</w:t>
            </w:r>
            <w:r>
              <w:rPr>
                <w:spacing w:val="-105"/>
                <w:sz w:val="21"/>
              </w:rPr>
              <w:t>）</w:t>
            </w:r>
            <w:r>
              <w:rPr>
                <w:spacing w:val="-8"/>
                <w:sz w:val="21"/>
              </w:rPr>
              <w:t>、吗啡、大麻、可卡因以及国家规定管制的其他能够使人形成瘾癖的麻醉药品和 精神药品，但不包括由医生开具并遵医嘱使用的用于治疗疾病但含有毒 品成分的处方药品。</w:t>
            </w:r>
          </w:p>
        </w:tc>
      </w:tr>
      <w:tr>
        <w:trPr>
          <w:trHeight w:val="1560"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9.7</w:t>
            </w:r>
          </w:p>
        </w:tc>
        <w:tc>
          <w:tcPr>
            <w:tcW w:w="1788" w:type="dxa"/>
          </w:tcPr>
          <w:p>
            <w:pPr>
              <w:pStyle w:val="TableParagraph"/>
              <w:spacing w:before="10"/>
              <w:rPr>
                <w:rFonts w:ascii="Times New Roman"/>
                <w:sz w:val="25"/>
              </w:rPr>
            </w:pPr>
          </w:p>
          <w:p>
            <w:pPr>
              <w:pStyle w:val="TableParagraph"/>
              <w:ind w:left="217"/>
              <w:rPr>
                <w:b/>
                <w:sz w:val="21"/>
              </w:rPr>
            </w:pPr>
            <w:r>
              <w:rPr>
                <w:b/>
                <w:sz w:val="21"/>
              </w:rPr>
              <w:t>酒后驾驶</w:t>
            </w:r>
          </w:p>
        </w:tc>
        <w:tc>
          <w:tcPr>
            <w:tcW w:w="7031" w:type="dxa"/>
          </w:tcPr>
          <w:p>
            <w:pPr>
              <w:pStyle w:val="TableParagraph"/>
              <w:spacing w:before="10"/>
              <w:rPr>
                <w:rFonts w:ascii="Times New Roman"/>
                <w:sz w:val="25"/>
              </w:rPr>
            </w:pPr>
          </w:p>
          <w:p>
            <w:pPr>
              <w:pStyle w:val="TableParagraph"/>
              <w:spacing w:line="273" w:lineRule="auto"/>
              <w:ind w:left="112" w:right="196"/>
              <w:rPr>
                <w:sz w:val="21"/>
              </w:rPr>
            </w:pPr>
            <w:r>
              <w:rPr>
                <w:sz w:val="21"/>
              </w:rPr>
              <w:t>指经检测或鉴定，发生事故时车辆驾驶人员每百毫升血液中的酒精含量 达到或超过一定的标准，公安机关交通管理部门依据《道路交通安全法》的规定认定为饮酒后驾驶或醉酒后驾驶。</w:t>
            </w:r>
          </w:p>
        </w:tc>
      </w:tr>
      <w:tr>
        <w:trPr>
          <w:trHeight w:val="2340"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9.8</w:t>
            </w:r>
          </w:p>
        </w:tc>
        <w:tc>
          <w:tcPr>
            <w:tcW w:w="1788" w:type="dxa"/>
          </w:tcPr>
          <w:p>
            <w:pPr>
              <w:pStyle w:val="TableParagraph"/>
              <w:spacing w:before="10"/>
              <w:rPr>
                <w:rFonts w:ascii="Times New Roman"/>
                <w:sz w:val="25"/>
              </w:rPr>
            </w:pPr>
          </w:p>
          <w:p>
            <w:pPr>
              <w:pStyle w:val="TableParagraph"/>
              <w:spacing w:line="273" w:lineRule="auto"/>
              <w:ind w:left="217" w:right="106"/>
              <w:rPr>
                <w:b/>
                <w:sz w:val="21"/>
              </w:rPr>
            </w:pPr>
            <w:r>
              <w:rPr>
                <w:b/>
                <w:spacing w:val="-33"/>
                <w:sz w:val="21"/>
              </w:rPr>
              <w:t>无 合 法 有 效 驾驶证驾驶</w:t>
            </w:r>
          </w:p>
        </w:tc>
        <w:tc>
          <w:tcPr>
            <w:tcW w:w="7031" w:type="dxa"/>
          </w:tcPr>
          <w:p>
            <w:pPr>
              <w:pStyle w:val="TableParagraph"/>
              <w:spacing w:before="10"/>
              <w:rPr>
                <w:rFonts w:ascii="Times New Roman"/>
                <w:sz w:val="25"/>
              </w:rPr>
            </w:pPr>
          </w:p>
          <w:p>
            <w:pPr>
              <w:pStyle w:val="TableParagraph"/>
              <w:ind w:left="110"/>
              <w:rPr>
                <w:sz w:val="21"/>
              </w:rPr>
            </w:pPr>
            <w:r>
              <w:rPr>
                <w:sz w:val="21"/>
              </w:rPr>
              <w:t>指下列情形之一：</w:t>
            </w:r>
          </w:p>
          <w:p>
            <w:pPr>
              <w:pStyle w:val="TableParagraph"/>
              <w:numPr>
                <w:ilvl w:val="0"/>
                <w:numId w:val="30"/>
              </w:numPr>
              <w:tabs>
                <w:tab w:pos="742" w:val="left" w:leader="none"/>
              </w:tabs>
              <w:spacing w:line="240" w:lineRule="auto" w:before="36" w:after="0"/>
              <w:ind w:left="740" w:right="0" w:hanging="630"/>
              <w:jc w:val="left"/>
              <w:rPr>
                <w:sz w:val="21"/>
              </w:rPr>
            </w:pPr>
            <w:r>
              <w:rPr>
                <w:spacing w:val="-1"/>
                <w:sz w:val="21"/>
              </w:rPr>
              <w:t>没有驾驶证驾驶；</w:t>
            </w:r>
          </w:p>
          <w:p>
            <w:pPr>
              <w:pStyle w:val="TableParagraph"/>
              <w:numPr>
                <w:ilvl w:val="0"/>
                <w:numId w:val="30"/>
              </w:numPr>
              <w:tabs>
                <w:tab w:pos="742" w:val="left" w:leader="none"/>
              </w:tabs>
              <w:spacing w:line="240" w:lineRule="auto" w:before="36" w:after="0"/>
              <w:ind w:left="740" w:right="0" w:hanging="630"/>
              <w:jc w:val="left"/>
              <w:rPr>
                <w:sz w:val="21"/>
              </w:rPr>
            </w:pPr>
            <w:r>
              <w:rPr>
                <w:spacing w:val="-1"/>
                <w:sz w:val="21"/>
              </w:rPr>
              <w:t>驾驶与驾驶证准驾车型不相符合的车辆；</w:t>
            </w:r>
          </w:p>
          <w:p>
            <w:pPr>
              <w:pStyle w:val="TableParagraph"/>
              <w:numPr>
                <w:ilvl w:val="0"/>
                <w:numId w:val="30"/>
              </w:numPr>
              <w:tabs>
                <w:tab w:pos="742" w:val="left" w:leader="none"/>
              </w:tabs>
              <w:spacing w:line="240" w:lineRule="auto" w:before="36" w:after="0"/>
              <w:ind w:left="740" w:right="0" w:hanging="630"/>
              <w:jc w:val="left"/>
              <w:rPr>
                <w:sz w:val="21"/>
              </w:rPr>
            </w:pPr>
            <w:r>
              <w:rPr>
                <w:spacing w:val="-1"/>
                <w:sz w:val="21"/>
              </w:rPr>
              <w:t>持审验不合格的驾驶证驾驶；</w:t>
            </w:r>
          </w:p>
          <w:p>
            <w:pPr>
              <w:pStyle w:val="TableParagraph"/>
              <w:numPr>
                <w:ilvl w:val="0"/>
                <w:numId w:val="30"/>
              </w:numPr>
              <w:tabs>
                <w:tab w:pos="742" w:val="left" w:leader="none"/>
              </w:tabs>
              <w:spacing w:line="273" w:lineRule="auto" w:before="36" w:after="0"/>
              <w:ind w:left="740" w:right="198" w:hanging="630"/>
              <w:jc w:val="left"/>
              <w:rPr>
                <w:sz w:val="21"/>
              </w:rPr>
            </w:pPr>
            <w:r>
              <w:rPr>
                <w:sz w:val="21"/>
              </w:rPr>
              <w:t>持学习驾驶证学习驾车时，无教练员随车指导，或不按指定时间、路线学习驾车。</w:t>
            </w:r>
          </w:p>
        </w:tc>
      </w:tr>
      <w:tr>
        <w:trPr>
          <w:trHeight w:val="1248" w:hRule="atLeast"/>
        </w:trPr>
        <w:tc>
          <w:tcPr>
            <w:tcW w:w="839" w:type="dxa"/>
          </w:tcPr>
          <w:p>
            <w:pPr>
              <w:pStyle w:val="TableParagraph"/>
              <w:spacing w:before="142"/>
              <w:ind w:left="75" w:right="194"/>
              <w:jc w:val="center"/>
              <w:rPr>
                <w:b/>
                <w:sz w:val="21"/>
              </w:rPr>
            </w:pPr>
            <w:r>
              <w:rPr>
                <w:b/>
                <w:sz w:val="21"/>
              </w:rPr>
              <w:t>9.9</w:t>
            </w:r>
          </w:p>
        </w:tc>
        <w:tc>
          <w:tcPr>
            <w:tcW w:w="1788" w:type="dxa"/>
          </w:tcPr>
          <w:p>
            <w:pPr>
              <w:pStyle w:val="TableParagraph"/>
              <w:spacing w:before="142"/>
              <w:ind w:left="217"/>
              <w:rPr>
                <w:b/>
                <w:sz w:val="21"/>
              </w:rPr>
            </w:pPr>
            <w:r>
              <w:rPr>
                <w:b/>
                <w:w w:val="95"/>
                <w:sz w:val="21"/>
              </w:rPr>
              <w:t>无有效行驶证</w:t>
            </w:r>
          </w:p>
        </w:tc>
        <w:tc>
          <w:tcPr>
            <w:tcW w:w="7031" w:type="dxa"/>
          </w:tcPr>
          <w:p>
            <w:pPr>
              <w:pStyle w:val="TableParagraph"/>
              <w:spacing w:before="142"/>
              <w:ind w:left="110"/>
              <w:rPr>
                <w:sz w:val="21"/>
              </w:rPr>
            </w:pPr>
            <w:r>
              <w:rPr>
                <w:sz w:val="21"/>
              </w:rPr>
              <w:t>指下列情形之一：</w:t>
            </w:r>
          </w:p>
          <w:p>
            <w:pPr>
              <w:pStyle w:val="TableParagraph"/>
              <w:numPr>
                <w:ilvl w:val="0"/>
                <w:numId w:val="31"/>
              </w:numPr>
              <w:tabs>
                <w:tab w:pos="742" w:val="left" w:leader="none"/>
              </w:tabs>
              <w:spacing w:line="240" w:lineRule="auto" w:before="37" w:after="0"/>
              <w:ind w:left="741" w:right="0" w:hanging="631"/>
              <w:jc w:val="left"/>
              <w:rPr>
                <w:sz w:val="21"/>
              </w:rPr>
            </w:pPr>
            <w:r>
              <w:rPr>
                <w:spacing w:val="-1"/>
                <w:sz w:val="21"/>
              </w:rPr>
              <w:t>机动车被依法注销登记的；</w:t>
            </w:r>
          </w:p>
          <w:p>
            <w:pPr>
              <w:pStyle w:val="TableParagraph"/>
              <w:numPr>
                <w:ilvl w:val="0"/>
                <w:numId w:val="31"/>
              </w:numPr>
              <w:tabs>
                <w:tab w:pos="742" w:val="left" w:leader="none"/>
              </w:tabs>
              <w:spacing w:line="240" w:lineRule="auto" w:before="37" w:after="0"/>
              <w:ind w:left="741" w:right="0" w:hanging="631"/>
              <w:jc w:val="left"/>
              <w:rPr>
                <w:sz w:val="21"/>
              </w:rPr>
            </w:pPr>
            <w:r>
              <w:rPr>
                <w:spacing w:val="-1"/>
                <w:sz w:val="21"/>
              </w:rPr>
              <w:t>未依法按时进行或通过机动车安全技术检验。</w:t>
            </w:r>
          </w:p>
        </w:tc>
      </w:tr>
      <w:tr>
        <w:trPr>
          <w:trHeight w:val="729" w:hRule="atLeast"/>
        </w:trPr>
        <w:tc>
          <w:tcPr>
            <w:tcW w:w="839" w:type="dxa"/>
          </w:tcPr>
          <w:p>
            <w:pPr>
              <w:pStyle w:val="TableParagraph"/>
              <w:spacing w:before="142"/>
              <w:ind w:left="180" w:right="194"/>
              <w:jc w:val="center"/>
              <w:rPr>
                <w:b/>
                <w:sz w:val="21"/>
              </w:rPr>
            </w:pPr>
            <w:r>
              <w:rPr>
                <w:b/>
                <w:sz w:val="21"/>
              </w:rPr>
              <w:t>9.10</w:t>
            </w:r>
          </w:p>
        </w:tc>
        <w:tc>
          <w:tcPr>
            <w:tcW w:w="1788" w:type="dxa"/>
          </w:tcPr>
          <w:p>
            <w:pPr>
              <w:pStyle w:val="TableParagraph"/>
              <w:spacing w:line="310" w:lineRule="atLeast" w:before="107"/>
              <w:ind w:left="217" w:right="305"/>
              <w:rPr>
                <w:b/>
                <w:sz w:val="21"/>
              </w:rPr>
            </w:pPr>
            <w:r>
              <w:rPr>
                <w:b/>
                <w:sz w:val="21"/>
              </w:rPr>
              <w:t>感染艾滋病病</w:t>
            </w:r>
            <w:r>
              <w:rPr>
                <w:b/>
                <w:w w:val="95"/>
                <w:sz w:val="21"/>
              </w:rPr>
              <w:t>毒或患艾滋病</w:t>
            </w:r>
          </w:p>
        </w:tc>
        <w:tc>
          <w:tcPr>
            <w:tcW w:w="7031" w:type="dxa"/>
          </w:tcPr>
          <w:p>
            <w:pPr>
              <w:pStyle w:val="TableParagraph"/>
              <w:spacing w:line="310" w:lineRule="atLeast" w:before="107"/>
              <w:ind w:left="110" w:right="301"/>
              <w:rPr>
                <w:sz w:val="21"/>
              </w:rPr>
            </w:pPr>
            <w:r>
              <w:rPr>
                <w:spacing w:val="-5"/>
                <w:sz w:val="21"/>
              </w:rPr>
              <w:t>艾滋病病毒指人类免疫缺陷病毒，英文缩写为 </w:t>
            </w:r>
            <w:r>
              <w:rPr>
                <w:sz w:val="21"/>
              </w:rPr>
              <w:t>HIV</w:t>
            </w:r>
            <w:r>
              <w:rPr>
                <w:spacing w:val="-5"/>
                <w:sz w:val="21"/>
              </w:rPr>
              <w:t>。艾滋病指人类免疫缺</w:t>
            </w:r>
            <w:r>
              <w:rPr>
                <w:spacing w:val="-7"/>
                <w:sz w:val="21"/>
              </w:rPr>
              <w:t>陷病毒引起的获得性免疫缺陷综合征，英文缩写为 </w:t>
            </w:r>
            <w:r>
              <w:rPr>
                <w:sz w:val="21"/>
              </w:rPr>
              <w:t>AIDS。</w:t>
            </w:r>
          </w:p>
        </w:tc>
      </w:tr>
    </w:tbl>
    <w:p>
      <w:pPr>
        <w:spacing w:after="0" w:line="310" w:lineRule="atLeast"/>
        <w:rPr>
          <w:sz w:val="21"/>
        </w:rPr>
        <w:sectPr>
          <w:pgSz w:w="11910" w:h="16840"/>
          <w:pgMar w:header="899" w:footer="994" w:top="1220" w:bottom="1180" w:left="1020" w:right="1000"/>
        </w:sectPr>
      </w:pPr>
    </w:p>
    <w:p>
      <w:pPr>
        <w:pStyle w:val="BodyText"/>
        <w:spacing w:after="1"/>
        <w:rPr>
          <w:rFonts w:ascii="Times New Roman"/>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788"/>
        <w:gridCol w:w="7031"/>
      </w:tblGrid>
      <w:tr>
        <w:trPr>
          <w:trHeight w:val="1040" w:hRule="atLeast"/>
        </w:trPr>
        <w:tc>
          <w:tcPr>
            <w:tcW w:w="840" w:type="dxa"/>
          </w:tcPr>
          <w:p>
            <w:pPr>
              <w:pStyle w:val="TableParagraph"/>
              <w:rPr>
                <w:rFonts w:ascii="Times New Roman"/>
                <w:sz w:val="20"/>
              </w:rPr>
            </w:pPr>
          </w:p>
        </w:tc>
        <w:tc>
          <w:tcPr>
            <w:tcW w:w="1788" w:type="dxa"/>
          </w:tcPr>
          <w:p>
            <w:pPr>
              <w:pStyle w:val="TableParagraph"/>
              <w:rPr>
                <w:rFonts w:ascii="Times New Roman"/>
                <w:sz w:val="20"/>
              </w:rPr>
            </w:pPr>
          </w:p>
        </w:tc>
        <w:tc>
          <w:tcPr>
            <w:tcW w:w="7031" w:type="dxa"/>
          </w:tcPr>
          <w:p>
            <w:pPr>
              <w:pStyle w:val="TableParagraph"/>
              <w:spacing w:line="210" w:lineRule="exact"/>
              <w:ind w:left="109"/>
              <w:rPr>
                <w:sz w:val="21"/>
              </w:rPr>
            </w:pPr>
            <w:r>
              <w:rPr>
                <w:sz w:val="21"/>
              </w:rPr>
              <w:t>在人体血液或其它样本中检测到艾滋病病毒或其抗体呈阳性，没有出现临</w:t>
            </w:r>
          </w:p>
          <w:p>
            <w:pPr>
              <w:pStyle w:val="TableParagraph"/>
              <w:spacing w:line="273" w:lineRule="auto" w:before="36"/>
              <w:ind w:left="109" w:right="303"/>
              <w:rPr>
                <w:sz w:val="21"/>
              </w:rPr>
            </w:pPr>
            <w:r>
              <w:rPr>
                <w:spacing w:val="-10"/>
                <w:sz w:val="21"/>
              </w:rPr>
              <w:t>床症状或体征的，为感染艾滋病病毒；如果同时出现了明显临床症状或体征的，为患艾滋病。</w:t>
            </w:r>
          </w:p>
        </w:tc>
      </w:tr>
      <w:tr>
        <w:trPr>
          <w:trHeight w:val="1092" w:hRule="atLeast"/>
        </w:trPr>
        <w:tc>
          <w:tcPr>
            <w:tcW w:w="840" w:type="dxa"/>
          </w:tcPr>
          <w:p>
            <w:pPr>
              <w:pStyle w:val="TableParagraph"/>
              <w:spacing w:before="142"/>
              <w:ind w:left="180" w:right="194"/>
              <w:jc w:val="center"/>
              <w:rPr>
                <w:b/>
                <w:sz w:val="21"/>
              </w:rPr>
            </w:pPr>
            <w:r>
              <w:rPr>
                <w:b/>
                <w:sz w:val="21"/>
              </w:rPr>
              <w:t>9.11</w:t>
            </w:r>
          </w:p>
        </w:tc>
        <w:tc>
          <w:tcPr>
            <w:tcW w:w="1788" w:type="dxa"/>
          </w:tcPr>
          <w:p>
            <w:pPr>
              <w:pStyle w:val="TableParagraph"/>
              <w:spacing w:before="142"/>
              <w:ind w:left="216"/>
              <w:rPr>
                <w:b/>
                <w:sz w:val="21"/>
              </w:rPr>
            </w:pPr>
            <w:r>
              <w:rPr>
                <w:b/>
                <w:w w:val="95"/>
                <w:sz w:val="21"/>
              </w:rPr>
              <w:t>遗传性疾病</w:t>
            </w:r>
          </w:p>
        </w:tc>
        <w:tc>
          <w:tcPr>
            <w:tcW w:w="7031" w:type="dxa"/>
          </w:tcPr>
          <w:p>
            <w:pPr>
              <w:pStyle w:val="TableParagraph"/>
              <w:spacing w:line="273" w:lineRule="auto" w:before="142"/>
              <w:ind w:left="109" w:right="303"/>
              <w:rPr>
                <w:sz w:val="21"/>
              </w:rPr>
            </w:pPr>
            <w:r>
              <w:rPr>
                <w:spacing w:val="-4"/>
                <w:sz w:val="21"/>
              </w:rPr>
              <w:t>指生殖细胞或受精卵的遗传物质</w:t>
            </w:r>
            <w:r>
              <w:rPr>
                <w:sz w:val="21"/>
              </w:rPr>
              <w:t>（染色体和基因</w:t>
            </w:r>
            <w:r>
              <w:rPr>
                <w:spacing w:val="-52"/>
                <w:sz w:val="21"/>
              </w:rPr>
              <w:t>）</w:t>
            </w:r>
            <w:r>
              <w:rPr>
                <w:sz w:val="21"/>
              </w:rPr>
              <w:t>发生突变或畸变所引起的疾病，通常具有由亲代传至后代的垂直传递的特征。</w:t>
            </w:r>
          </w:p>
        </w:tc>
      </w:tr>
      <w:tr>
        <w:trPr>
          <w:trHeight w:val="1403" w:hRule="atLeast"/>
        </w:trPr>
        <w:tc>
          <w:tcPr>
            <w:tcW w:w="840" w:type="dxa"/>
          </w:tcPr>
          <w:p>
            <w:pPr>
              <w:pStyle w:val="TableParagraph"/>
              <w:spacing w:before="10"/>
              <w:rPr>
                <w:rFonts w:ascii="Times New Roman"/>
                <w:sz w:val="25"/>
              </w:rPr>
            </w:pPr>
          </w:p>
          <w:p>
            <w:pPr>
              <w:pStyle w:val="TableParagraph"/>
              <w:ind w:left="180" w:right="194"/>
              <w:jc w:val="center"/>
              <w:rPr>
                <w:b/>
                <w:sz w:val="21"/>
              </w:rPr>
            </w:pPr>
            <w:r>
              <w:rPr>
                <w:b/>
                <w:sz w:val="21"/>
              </w:rPr>
              <w:t>9.12</w:t>
            </w:r>
          </w:p>
        </w:tc>
        <w:tc>
          <w:tcPr>
            <w:tcW w:w="1788" w:type="dxa"/>
          </w:tcPr>
          <w:p>
            <w:pPr>
              <w:pStyle w:val="TableParagraph"/>
              <w:spacing w:before="10"/>
              <w:rPr>
                <w:rFonts w:ascii="Times New Roman"/>
                <w:sz w:val="25"/>
              </w:rPr>
            </w:pPr>
          </w:p>
          <w:p>
            <w:pPr>
              <w:pStyle w:val="TableParagraph"/>
              <w:spacing w:line="273" w:lineRule="auto"/>
              <w:ind w:left="216" w:right="61"/>
              <w:rPr>
                <w:b/>
                <w:sz w:val="21"/>
              </w:rPr>
            </w:pPr>
            <w:r>
              <w:rPr>
                <w:b/>
                <w:w w:val="95"/>
                <w:sz w:val="21"/>
              </w:rPr>
              <w:t>先天性畸形、变</w:t>
            </w:r>
            <w:r>
              <w:rPr>
                <w:b/>
                <w:sz w:val="21"/>
              </w:rPr>
              <w:t>形或染色体异常</w:t>
            </w:r>
          </w:p>
        </w:tc>
        <w:tc>
          <w:tcPr>
            <w:tcW w:w="7031" w:type="dxa"/>
          </w:tcPr>
          <w:p>
            <w:pPr>
              <w:pStyle w:val="TableParagraph"/>
              <w:spacing w:before="10"/>
              <w:rPr>
                <w:rFonts w:ascii="Times New Roman"/>
                <w:sz w:val="25"/>
              </w:rPr>
            </w:pPr>
          </w:p>
          <w:p>
            <w:pPr>
              <w:pStyle w:val="TableParagraph"/>
              <w:spacing w:line="273" w:lineRule="auto"/>
              <w:ind w:left="109" w:right="19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9"/>
              <w:rPr>
                <w:sz w:val="21"/>
              </w:rPr>
            </w:pPr>
            <w:r>
              <w:rPr>
                <w:sz w:val="21"/>
              </w:rPr>
              <w:t>（ICD-10）确定。</w:t>
            </w:r>
          </w:p>
        </w:tc>
      </w:tr>
      <w:tr>
        <w:trPr>
          <w:trHeight w:val="936" w:hRule="atLeast"/>
        </w:trPr>
        <w:tc>
          <w:tcPr>
            <w:tcW w:w="840" w:type="dxa"/>
          </w:tcPr>
          <w:p>
            <w:pPr>
              <w:pStyle w:val="TableParagraph"/>
              <w:spacing w:before="142"/>
              <w:ind w:left="180" w:right="194"/>
              <w:jc w:val="center"/>
              <w:rPr>
                <w:b/>
                <w:sz w:val="21"/>
              </w:rPr>
            </w:pPr>
            <w:r>
              <w:rPr>
                <w:b/>
                <w:sz w:val="21"/>
              </w:rPr>
              <w:t>9.13</w:t>
            </w:r>
          </w:p>
        </w:tc>
        <w:tc>
          <w:tcPr>
            <w:tcW w:w="1788" w:type="dxa"/>
          </w:tcPr>
          <w:p>
            <w:pPr>
              <w:pStyle w:val="TableParagraph"/>
              <w:spacing w:before="142"/>
              <w:ind w:left="216"/>
              <w:rPr>
                <w:b/>
                <w:sz w:val="21"/>
              </w:rPr>
            </w:pPr>
            <w:r>
              <w:rPr>
                <w:b/>
                <w:sz w:val="21"/>
              </w:rPr>
              <w:t>现金价值</w:t>
            </w:r>
          </w:p>
        </w:tc>
        <w:tc>
          <w:tcPr>
            <w:tcW w:w="7031" w:type="dxa"/>
          </w:tcPr>
          <w:p>
            <w:pPr>
              <w:pStyle w:val="TableParagraph"/>
              <w:spacing w:line="273" w:lineRule="auto" w:before="142"/>
              <w:ind w:left="111" w:right="197"/>
              <w:rPr>
                <w:sz w:val="21"/>
              </w:rPr>
            </w:pPr>
            <w:r>
              <w:rPr>
                <w:sz w:val="21"/>
              </w:rPr>
              <w:t>指保险单所具有的价值，通常体现为解除合同时，根据精算原理计算的， 由本公司退还的那部分金额。</w:t>
            </w:r>
          </w:p>
        </w:tc>
      </w:tr>
      <w:tr>
        <w:trPr>
          <w:trHeight w:val="935" w:hRule="atLeast"/>
        </w:trPr>
        <w:tc>
          <w:tcPr>
            <w:tcW w:w="840" w:type="dxa"/>
          </w:tcPr>
          <w:p>
            <w:pPr>
              <w:pStyle w:val="TableParagraph"/>
              <w:spacing w:before="142"/>
              <w:ind w:left="179" w:right="195"/>
              <w:jc w:val="center"/>
              <w:rPr>
                <w:b/>
                <w:sz w:val="21"/>
              </w:rPr>
            </w:pPr>
            <w:r>
              <w:rPr>
                <w:b/>
                <w:sz w:val="21"/>
              </w:rPr>
              <w:t>9.14</w:t>
            </w:r>
          </w:p>
        </w:tc>
        <w:tc>
          <w:tcPr>
            <w:tcW w:w="1788" w:type="dxa"/>
          </w:tcPr>
          <w:p>
            <w:pPr>
              <w:pStyle w:val="TableParagraph"/>
              <w:spacing w:before="142"/>
              <w:ind w:left="216"/>
              <w:rPr>
                <w:b/>
                <w:sz w:val="21"/>
              </w:rPr>
            </w:pPr>
            <w:r>
              <w:rPr>
                <w:b/>
                <w:sz w:val="21"/>
              </w:rPr>
              <w:t>医院</w:t>
            </w:r>
          </w:p>
        </w:tc>
        <w:tc>
          <w:tcPr>
            <w:tcW w:w="7031" w:type="dxa"/>
          </w:tcPr>
          <w:p>
            <w:pPr>
              <w:pStyle w:val="TableParagraph"/>
              <w:spacing w:line="273" w:lineRule="auto" w:before="142"/>
              <w:ind w:left="109" w:right="303"/>
              <w:rPr>
                <w:sz w:val="21"/>
              </w:rPr>
            </w:pPr>
            <w:r>
              <w:rPr>
                <w:spacing w:val="-7"/>
                <w:sz w:val="21"/>
              </w:rPr>
              <w:t>指我们指定的定点医院，我们保留变更定点医院的权利。定点医院发生变更时，我们会书面通知您。</w:t>
            </w:r>
          </w:p>
        </w:tc>
      </w:tr>
      <w:tr>
        <w:trPr>
          <w:trHeight w:val="936" w:hRule="atLeast"/>
        </w:trPr>
        <w:tc>
          <w:tcPr>
            <w:tcW w:w="840" w:type="dxa"/>
          </w:tcPr>
          <w:p>
            <w:pPr>
              <w:pStyle w:val="TableParagraph"/>
              <w:spacing w:before="142"/>
              <w:ind w:left="179" w:right="195"/>
              <w:jc w:val="center"/>
              <w:rPr>
                <w:b/>
                <w:sz w:val="21"/>
              </w:rPr>
            </w:pPr>
            <w:r>
              <w:rPr>
                <w:b/>
                <w:sz w:val="21"/>
              </w:rPr>
              <w:t>9.15</w:t>
            </w:r>
          </w:p>
        </w:tc>
        <w:tc>
          <w:tcPr>
            <w:tcW w:w="1788" w:type="dxa"/>
          </w:tcPr>
          <w:p>
            <w:pPr>
              <w:pStyle w:val="TableParagraph"/>
              <w:spacing w:line="273" w:lineRule="auto" w:before="142"/>
              <w:ind w:left="216" w:right="306"/>
              <w:rPr>
                <w:b/>
                <w:sz w:val="21"/>
              </w:rPr>
            </w:pPr>
            <w:r>
              <w:rPr>
                <w:b/>
                <w:sz w:val="21"/>
              </w:rPr>
              <w:t>肢体机能完全丧失</w:t>
            </w:r>
          </w:p>
        </w:tc>
        <w:tc>
          <w:tcPr>
            <w:tcW w:w="7031" w:type="dxa"/>
          </w:tcPr>
          <w:p>
            <w:pPr>
              <w:pStyle w:val="TableParagraph"/>
              <w:spacing w:line="273" w:lineRule="auto" w:before="142"/>
              <w:ind w:left="109" w:right="303"/>
              <w:rPr>
                <w:sz w:val="21"/>
              </w:rPr>
            </w:pPr>
            <w:r>
              <w:rPr>
                <w:spacing w:val="-6"/>
                <w:sz w:val="21"/>
              </w:rPr>
              <w:t>指肢体的三大关节中的两大关节僵硬，或不能随意识活动。肢体是指包括肩关节的整个上肢或包括髋关节的整个下肢。</w:t>
            </w:r>
          </w:p>
        </w:tc>
      </w:tr>
      <w:tr>
        <w:trPr>
          <w:trHeight w:val="1872" w:hRule="atLeast"/>
        </w:trPr>
        <w:tc>
          <w:tcPr>
            <w:tcW w:w="840" w:type="dxa"/>
          </w:tcPr>
          <w:p>
            <w:pPr>
              <w:pStyle w:val="TableParagraph"/>
              <w:spacing w:before="142"/>
              <w:ind w:left="179" w:right="195"/>
              <w:jc w:val="center"/>
              <w:rPr>
                <w:b/>
                <w:sz w:val="21"/>
              </w:rPr>
            </w:pPr>
            <w:r>
              <w:rPr>
                <w:b/>
                <w:sz w:val="21"/>
              </w:rPr>
              <w:t>9.16</w:t>
            </w:r>
          </w:p>
        </w:tc>
        <w:tc>
          <w:tcPr>
            <w:tcW w:w="1788" w:type="dxa"/>
          </w:tcPr>
          <w:p>
            <w:pPr>
              <w:pStyle w:val="TableParagraph"/>
              <w:spacing w:line="273" w:lineRule="auto" w:before="142"/>
              <w:ind w:left="216" w:right="306"/>
              <w:jc w:val="both"/>
              <w:rPr>
                <w:b/>
                <w:sz w:val="21"/>
              </w:rPr>
            </w:pPr>
            <w:r>
              <w:rPr>
                <w:b/>
                <w:sz w:val="21"/>
              </w:rPr>
              <w:t>语言能力或咀嚼吞咽能力完全丧失</w:t>
            </w:r>
          </w:p>
        </w:tc>
        <w:tc>
          <w:tcPr>
            <w:tcW w:w="7031" w:type="dxa"/>
          </w:tcPr>
          <w:p>
            <w:pPr>
              <w:pStyle w:val="TableParagraph"/>
              <w:spacing w:line="273" w:lineRule="auto" w:before="142"/>
              <w:ind w:left="109" w:right="303"/>
              <w:jc w:val="both"/>
              <w:rPr>
                <w:sz w:val="21"/>
              </w:rPr>
            </w:pPr>
            <w:r>
              <w:rPr>
                <w:spacing w:val="-5"/>
                <w:sz w:val="21"/>
              </w:rPr>
              <w:t>语言能力完全丧失，指无法发出四种语音</w:t>
            </w:r>
            <w:r>
              <w:rPr>
                <w:sz w:val="21"/>
              </w:rPr>
              <w:t>（</w:t>
            </w:r>
            <w:r>
              <w:rPr>
                <w:spacing w:val="-8"/>
                <w:sz w:val="21"/>
              </w:rPr>
              <w:t>包括口唇音、齿舌音、口盖音和喉头音</w:t>
            </w:r>
            <w:r>
              <w:rPr>
                <w:spacing w:val="-35"/>
                <w:sz w:val="21"/>
              </w:rPr>
              <w:t>）</w:t>
            </w:r>
            <w:r>
              <w:rPr>
                <w:spacing w:val="-7"/>
                <w:sz w:val="21"/>
              </w:rPr>
              <w:t>中的任何三种、或声带全部切除，或因大脑语言中枢受伤害而患失语症。</w:t>
            </w:r>
          </w:p>
          <w:p>
            <w:pPr>
              <w:pStyle w:val="TableParagraph"/>
              <w:spacing w:line="273" w:lineRule="auto" w:before="7"/>
              <w:ind w:left="109" w:right="199"/>
              <w:rPr>
                <w:sz w:val="21"/>
              </w:rPr>
            </w:pPr>
            <w:r>
              <w:rPr>
                <w:sz w:val="21"/>
              </w:rPr>
              <w:t>咀嚼吞咽能力完全丧失，指因牙齿以外的原因导致器质障碍或机能障碍， 以致不能作咀嚼吞咽运动，除流质食物外不能摄取或吞咽的状态。</w:t>
            </w:r>
          </w:p>
        </w:tc>
      </w:tr>
      <w:tr>
        <w:trPr>
          <w:trHeight w:val="2496" w:hRule="atLeast"/>
        </w:trPr>
        <w:tc>
          <w:tcPr>
            <w:tcW w:w="840" w:type="dxa"/>
          </w:tcPr>
          <w:p>
            <w:pPr>
              <w:pStyle w:val="TableParagraph"/>
              <w:spacing w:before="142"/>
              <w:ind w:left="179" w:right="195"/>
              <w:jc w:val="center"/>
              <w:rPr>
                <w:b/>
                <w:sz w:val="21"/>
              </w:rPr>
            </w:pPr>
            <w:r>
              <w:rPr>
                <w:b/>
                <w:sz w:val="21"/>
              </w:rPr>
              <w:t>9.17</w:t>
            </w:r>
          </w:p>
        </w:tc>
        <w:tc>
          <w:tcPr>
            <w:tcW w:w="1788" w:type="dxa"/>
          </w:tcPr>
          <w:p>
            <w:pPr>
              <w:pStyle w:val="TableParagraph"/>
              <w:spacing w:line="273" w:lineRule="auto" w:before="142"/>
              <w:ind w:left="216" w:right="306"/>
              <w:rPr>
                <w:b/>
                <w:sz w:val="21"/>
              </w:rPr>
            </w:pPr>
            <w:r>
              <w:rPr>
                <w:b/>
                <w:sz w:val="21"/>
              </w:rPr>
              <w:t>六项基本日常生活活动</w:t>
            </w:r>
          </w:p>
        </w:tc>
        <w:tc>
          <w:tcPr>
            <w:tcW w:w="7031" w:type="dxa"/>
          </w:tcPr>
          <w:p>
            <w:pPr>
              <w:pStyle w:val="TableParagraph"/>
              <w:spacing w:before="142"/>
              <w:ind w:left="109"/>
              <w:rPr>
                <w:sz w:val="21"/>
              </w:rPr>
            </w:pPr>
            <w:r>
              <w:rPr>
                <w:sz w:val="21"/>
              </w:rPr>
              <w:t>六项基本日常生活活动是指：</w:t>
            </w:r>
          </w:p>
          <w:p>
            <w:pPr>
              <w:pStyle w:val="TableParagraph"/>
              <w:numPr>
                <w:ilvl w:val="0"/>
                <w:numId w:val="32"/>
              </w:numPr>
              <w:tabs>
                <w:tab w:pos="741" w:val="left" w:leader="none"/>
              </w:tabs>
              <w:spacing w:line="240" w:lineRule="auto" w:before="37" w:after="0"/>
              <w:ind w:left="740" w:right="0" w:hanging="631"/>
              <w:jc w:val="left"/>
              <w:rPr>
                <w:sz w:val="21"/>
              </w:rPr>
            </w:pPr>
            <w:r>
              <w:rPr>
                <w:spacing w:val="-1"/>
                <w:sz w:val="21"/>
              </w:rPr>
              <w:t>穿衣：自己能够穿衣及脱衣；</w:t>
            </w:r>
          </w:p>
          <w:p>
            <w:pPr>
              <w:pStyle w:val="TableParagraph"/>
              <w:numPr>
                <w:ilvl w:val="0"/>
                <w:numId w:val="32"/>
              </w:numPr>
              <w:tabs>
                <w:tab w:pos="741" w:val="left" w:leader="none"/>
              </w:tabs>
              <w:spacing w:line="240" w:lineRule="auto" w:before="37" w:after="0"/>
              <w:ind w:left="740" w:right="0" w:hanging="631"/>
              <w:jc w:val="left"/>
              <w:rPr>
                <w:sz w:val="21"/>
              </w:rPr>
            </w:pPr>
            <w:r>
              <w:rPr>
                <w:spacing w:val="-1"/>
                <w:sz w:val="21"/>
              </w:rPr>
              <w:t>移动：自己从一个房间到另一个房间；</w:t>
            </w:r>
          </w:p>
          <w:p>
            <w:pPr>
              <w:pStyle w:val="TableParagraph"/>
              <w:numPr>
                <w:ilvl w:val="0"/>
                <w:numId w:val="32"/>
              </w:numPr>
              <w:tabs>
                <w:tab w:pos="741" w:val="left" w:leader="none"/>
              </w:tabs>
              <w:spacing w:line="240" w:lineRule="auto" w:before="37" w:after="0"/>
              <w:ind w:left="740" w:right="0" w:hanging="631"/>
              <w:jc w:val="left"/>
              <w:rPr>
                <w:sz w:val="21"/>
              </w:rPr>
            </w:pPr>
            <w:r>
              <w:rPr>
                <w:spacing w:val="-1"/>
                <w:sz w:val="21"/>
              </w:rPr>
              <w:t>行动：自己上下床或上下轮椅；</w:t>
            </w:r>
          </w:p>
          <w:p>
            <w:pPr>
              <w:pStyle w:val="TableParagraph"/>
              <w:numPr>
                <w:ilvl w:val="0"/>
                <w:numId w:val="32"/>
              </w:numPr>
              <w:tabs>
                <w:tab w:pos="741" w:val="left" w:leader="none"/>
              </w:tabs>
              <w:spacing w:line="240" w:lineRule="auto" w:before="37" w:after="0"/>
              <w:ind w:left="740" w:right="0" w:hanging="631"/>
              <w:jc w:val="left"/>
              <w:rPr>
                <w:sz w:val="21"/>
              </w:rPr>
            </w:pPr>
            <w:r>
              <w:rPr>
                <w:spacing w:val="-1"/>
                <w:sz w:val="21"/>
              </w:rPr>
              <w:t>如厕：自己控制进行大小便；</w:t>
            </w:r>
          </w:p>
          <w:p>
            <w:pPr>
              <w:pStyle w:val="TableParagraph"/>
              <w:numPr>
                <w:ilvl w:val="0"/>
                <w:numId w:val="32"/>
              </w:numPr>
              <w:tabs>
                <w:tab w:pos="741" w:val="left" w:leader="none"/>
              </w:tabs>
              <w:spacing w:line="240" w:lineRule="auto" w:before="37" w:after="0"/>
              <w:ind w:left="740" w:right="0" w:hanging="631"/>
              <w:jc w:val="left"/>
              <w:rPr>
                <w:sz w:val="21"/>
              </w:rPr>
            </w:pPr>
            <w:r>
              <w:rPr>
                <w:spacing w:val="-1"/>
                <w:sz w:val="21"/>
              </w:rPr>
              <w:t>进食：自己从已准备好的碗或碟中取食物放入口中；</w:t>
            </w:r>
          </w:p>
          <w:p>
            <w:pPr>
              <w:pStyle w:val="TableParagraph"/>
              <w:numPr>
                <w:ilvl w:val="0"/>
                <w:numId w:val="32"/>
              </w:numPr>
              <w:tabs>
                <w:tab w:pos="741" w:val="left" w:leader="none"/>
              </w:tabs>
              <w:spacing w:line="240" w:lineRule="auto" w:before="37" w:after="0"/>
              <w:ind w:left="740" w:right="0" w:hanging="631"/>
              <w:jc w:val="left"/>
              <w:rPr>
                <w:sz w:val="21"/>
              </w:rPr>
            </w:pPr>
            <w:r>
              <w:rPr>
                <w:spacing w:val="-1"/>
                <w:sz w:val="21"/>
              </w:rPr>
              <w:t>洗澡：自己进行淋浴或盆浴。</w:t>
            </w:r>
          </w:p>
        </w:tc>
      </w:tr>
      <w:tr>
        <w:trPr>
          <w:trHeight w:val="728" w:hRule="atLeast"/>
        </w:trPr>
        <w:tc>
          <w:tcPr>
            <w:tcW w:w="840" w:type="dxa"/>
          </w:tcPr>
          <w:p>
            <w:pPr>
              <w:pStyle w:val="TableParagraph"/>
              <w:spacing w:before="142"/>
              <w:ind w:left="179" w:right="195"/>
              <w:jc w:val="center"/>
              <w:rPr>
                <w:b/>
                <w:sz w:val="21"/>
              </w:rPr>
            </w:pPr>
            <w:r>
              <w:rPr>
                <w:b/>
                <w:sz w:val="21"/>
              </w:rPr>
              <w:t>9.18</w:t>
            </w:r>
          </w:p>
        </w:tc>
        <w:tc>
          <w:tcPr>
            <w:tcW w:w="1788" w:type="dxa"/>
          </w:tcPr>
          <w:p>
            <w:pPr>
              <w:pStyle w:val="TableParagraph"/>
              <w:spacing w:before="142"/>
              <w:ind w:left="216"/>
              <w:rPr>
                <w:b/>
                <w:sz w:val="21"/>
              </w:rPr>
            </w:pPr>
            <w:r>
              <w:rPr>
                <w:b/>
                <w:w w:val="95"/>
                <w:sz w:val="21"/>
              </w:rPr>
              <w:t>永久不可逆</w:t>
            </w:r>
          </w:p>
        </w:tc>
        <w:tc>
          <w:tcPr>
            <w:tcW w:w="7031" w:type="dxa"/>
          </w:tcPr>
          <w:p>
            <w:pPr>
              <w:pStyle w:val="TableParagraph"/>
              <w:spacing w:line="310" w:lineRule="atLeast" w:before="107"/>
              <w:ind w:left="109" w:right="302"/>
              <w:rPr>
                <w:sz w:val="21"/>
              </w:rPr>
            </w:pPr>
            <w:r>
              <w:rPr>
                <w:spacing w:val="-7"/>
                <w:sz w:val="21"/>
              </w:rPr>
              <w:t>指自疾病确诊或意外伤害发生之日起，经过积极治疗 </w:t>
            </w:r>
            <w:r>
              <w:rPr>
                <w:sz w:val="21"/>
              </w:rPr>
              <w:t>180</w:t>
            </w:r>
            <w:r>
              <w:rPr>
                <w:spacing w:val="-15"/>
                <w:sz w:val="21"/>
              </w:rPr>
              <w:t> 天后，仍无法通过现有医疗手段恢复。</w:t>
            </w:r>
          </w:p>
        </w:tc>
      </w:tr>
    </w:tbl>
    <w:sectPr>
      <w:pgSz w:w="11910" w:h="16840"/>
      <w:pgMar w:header="899" w:footer="994" w:top="1220" w:bottom="118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ngLiU_HKSCS-ExtB">
    <w:altName w:val="MingLiU_HKSCS-ExtB"/>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仿宋">
    <w:altName w:val="仿宋"/>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84.739990pt;margin-top:781.23999pt;width:21.6pt;height:12pt;mso-position-horizontal-relative:page;mso-position-vertical-relative:page;z-index:-4979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04pt;margin-top:43.953812pt;width:46.4pt;height:18.1pt;mso-position-horizontal-relative:page;mso-position-vertical-relative:page;z-index:-49768" type="#_x0000_t202" filled="false" stroked="false">
          <v:textbox inset="0,0,0,0">
            <w:txbxContent>
              <w:p>
                <w:pPr>
                  <w:spacing w:line="310" w:lineRule="exact" w:before="0"/>
                  <w:ind w:left="20" w:right="0" w:firstLine="0"/>
                  <w:jc w:val="left"/>
                  <w:rPr>
                    <w:sz w:val="24"/>
                  </w:rPr>
                </w:pPr>
                <w:r>
                  <w:rPr>
                    <w:spacing w:val="-25"/>
                    <w:sz w:val="24"/>
                  </w:rPr>
                  <w:t>附件 </w:t>
                </w:r>
                <w:r>
                  <w:rPr>
                    <w:sz w:val="24"/>
                  </w:rPr>
                  <w:t>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30">
    <w:multiLevelType w:val="hybridMultilevel"/>
    <w:lvl w:ilvl="0">
      <w:start w:val="1"/>
      <w:numFmt w:val="decimal"/>
      <w:lvlText w:val="（%1）"/>
      <w:lvlJc w:val="left"/>
      <w:pPr>
        <w:ind w:left="741"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9">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8">
    <w:multiLevelType w:val="hybridMultilevel"/>
    <w:lvl w:ilvl="0">
      <w:start w:val="1"/>
      <w:numFmt w:val="decimal"/>
      <w:lvlText w:val="（%1）"/>
      <w:lvlJc w:val="left"/>
      <w:pPr>
        <w:ind w:left="746" w:hanging="632"/>
        <w:jc w:val="left"/>
      </w:pPr>
      <w:rPr>
        <w:rFonts w:hint="default" w:ascii="宋体" w:hAnsi="宋体" w:eastAsia="宋体" w:cs="宋体"/>
        <w:spacing w:val="-105"/>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7">
    <w:multiLevelType w:val="hybridMultilevel"/>
    <w:lvl w:ilvl="0">
      <w:start w:val="1"/>
      <w:numFmt w:val="decimal"/>
      <w:lvlText w:val="(%1)"/>
      <w:lvlJc w:val="left"/>
      <w:pPr>
        <w:ind w:left="566"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1" w:hanging="422"/>
      </w:pPr>
      <w:rPr>
        <w:rFonts w:hint="default"/>
      </w:rPr>
    </w:lvl>
    <w:lvl w:ilvl="6">
      <w:start w:val="0"/>
      <w:numFmt w:val="bullet"/>
      <w:lvlText w:val="•"/>
      <w:lvlJc w:val="left"/>
      <w:pPr>
        <w:ind w:left="4401" w:hanging="422"/>
      </w:pPr>
      <w:rPr>
        <w:rFonts w:hint="default"/>
      </w:rPr>
    </w:lvl>
    <w:lvl w:ilvl="7">
      <w:start w:val="0"/>
      <w:numFmt w:val="bullet"/>
      <w:lvlText w:val="•"/>
      <w:lvlJc w:val="left"/>
      <w:pPr>
        <w:ind w:left="5041" w:hanging="422"/>
      </w:pPr>
      <w:rPr>
        <w:rFonts w:hint="default"/>
      </w:rPr>
    </w:lvl>
    <w:lvl w:ilvl="8">
      <w:start w:val="0"/>
      <w:numFmt w:val="bullet"/>
      <w:lvlText w:val="•"/>
      <w:lvlJc w:val="left"/>
      <w:pPr>
        <w:ind w:left="5681" w:hanging="422"/>
      </w:pPr>
      <w:rPr>
        <w:rFonts w:hint="default"/>
      </w:rPr>
    </w:lvl>
  </w:abstractNum>
  <w:abstractNum w:abstractNumId="26">
    <w:multiLevelType w:val="hybridMultilevel"/>
    <w:lvl w:ilvl="0">
      <w:start w:val="1"/>
      <w:numFmt w:val="decimal"/>
      <w:lvlText w:val="(%1)"/>
      <w:lvlJc w:val="left"/>
      <w:pPr>
        <w:ind w:left="565"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1" w:hanging="422"/>
      </w:pPr>
      <w:rPr>
        <w:rFonts w:hint="default"/>
      </w:rPr>
    </w:lvl>
    <w:lvl w:ilvl="6">
      <w:start w:val="0"/>
      <w:numFmt w:val="bullet"/>
      <w:lvlText w:val="•"/>
      <w:lvlJc w:val="left"/>
      <w:pPr>
        <w:ind w:left="4401" w:hanging="422"/>
      </w:pPr>
      <w:rPr>
        <w:rFonts w:hint="default"/>
      </w:rPr>
    </w:lvl>
    <w:lvl w:ilvl="7">
      <w:start w:val="0"/>
      <w:numFmt w:val="bullet"/>
      <w:lvlText w:val="•"/>
      <w:lvlJc w:val="left"/>
      <w:pPr>
        <w:ind w:left="5041" w:hanging="422"/>
      </w:pPr>
      <w:rPr>
        <w:rFonts w:hint="default"/>
      </w:rPr>
    </w:lvl>
    <w:lvl w:ilvl="8">
      <w:start w:val="0"/>
      <w:numFmt w:val="bullet"/>
      <w:lvlText w:val="•"/>
      <w:lvlJc w:val="left"/>
      <w:pPr>
        <w:ind w:left="5681" w:hanging="422"/>
      </w:pPr>
      <w:rPr>
        <w:rFonts w:hint="default"/>
      </w:rPr>
    </w:lvl>
  </w:abstractNum>
  <w:abstractNum w:abstractNumId="25">
    <w:multiLevelType w:val="hybridMultilevel"/>
    <w:lvl w:ilvl="0">
      <w:start w:val="1"/>
      <w:numFmt w:val="decimal"/>
      <w:lvlText w:val="（%1）"/>
      <w:lvlJc w:val="left"/>
      <w:pPr>
        <w:ind w:left="776" w:hanging="632"/>
        <w:jc w:val="left"/>
      </w:pPr>
      <w:rPr>
        <w:rFonts w:hint="default" w:ascii="宋体" w:hAnsi="宋体" w:eastAsia="宋体" w:cs="宋体"/>
        <w:spacing w:val="-2"/>
        <w:w w:val="100"/>
        <w:sz w:val="21"/>
        <w:szCs w:val="21"/>
      </w:rPr>
    </w:lvl>
    <w:lvl w:ilvl="1">
      <w:start w:val="0"/>
      <w:numFmt w:val="bullet"/>
      <w:lvlText w:val="•"/>
      <w:lvlJc w:val="left"/>
      <w:pPr>
        <w:ind w:left="139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34" w:hanging="632"/>
      </w:pPr>
      <w:rPr>
        <w:rFonts w:hint="default"/>
      </w:rPr>
    </w:lvl>
    <w:lvl w:ilvl="4">
      <w:start w:val="0"/>
      <w:numFmt w:val="bullet"/>
      <w:lvlText w:val="•"/>
      <w:lvlJc w:val="left"/>
      <w:pPr>
        <w:ind w:left="3252" w:hanging="632"/>
      </w:pPr>
      <w:rPr>
        <w:rFonts w:hint="default"/>
      </w:rPr>
    </w:lvl>
    <w:lvl w:ilvl="5">
      <w:start w:val="0"/>
      <w:numFmt w:val="bullet"/>
      <w:lvlText w:val="•"/>
      <w:lvlJc w:val="left"/>
      <w:pPr>
        <w:ind w:left="3871" w:hanging="632"/>
      </w:pPr>
      <w:rPr>
        <w:rFonts w:hint="default"/>
      </w:rPr>
    </w:lvl>
    <w:lvl w:ilvl="6">
      <w:start w:val="0"/>
      <w:numFmt w:val="bullet"/>
      <w:lvlText w:val="•"/>
      <w:lvlJc w:val="left"/>
      <w:pPr>
        <w:ind w:left="4489" w:hanging="632"/>
      </w:pPr>
      <w:rPr>
        <w:rFonts w:hint="default"/>
      </w:rPr>
    </w:lvl>
    <w:lvl w:ilvl="7">
      <w:start w:val="0"/>
      <w:numFmt w:val="bullet"/>
      <w:lvlText w:val="•"/>
      <w:lvlJc w:val="left"/>
      <w:pPr>
        <w:ind w:left="5107" w:hanging="632"/>
      </w:pPr>
      <w:rPr>
        <w:rFonts w:hint="default"/>
      </w:rPr>
    </w:lvl>
    <w:lvl w:ilvl="8">
      <w:start w:val="0"/>
      <w:numFmt w:val="bullet"/>
      <w:lvlText w:val="•"/>
      <w:lvlJc w:val="left"/>
      <w:pPr>
        <w:ind w:left="5725" w:hanging="632"/>
      </w:pPr>
      <w:rPr>
        <w:rFonts w:hint="default"/>
      </w:rPr>
    </w:lvl>
  </w:abstractNum>
  <w:abstractNum w:abstractNumId="24">
    <w:multiLevelType w:val="hybridMultilevel"/>
    <w:lvl w:ilvl="0">
      <w:start w:val="1"/>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3">
    <w:multiLevelType w:val="hybridMultilevel"/>
    <w:lvl w:ilvl="0">
      <w:start w:val="1"/>
      <w:numFmt w:val="decimal"/>
      <w:lvlText w:val="(%1)"/>
      <w:lvlJc w:val="left"/>
      <w:pPr>
        <w:ind w:left="594"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2">
    <w:multiLevelType w:val="hybridMultilevel"/>
    <w:lvl w:ilvl="0">
      <w:start w:val="1"/>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1">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7" w:hanging="422"/>
      </w:pPr>
      <w:rPr>
        <w:rFonts w:hint="default"/>
      </w:rPr>
    </w:lvl>
    <w:lvl w:ilvl="5">
      <w:start w:val="0"/>
      <w:numFmt w:val="bullet"/>
      <w:lvlText w:val="•"/>
      <w:lvlJc w:val="left"/>
      <w:pPr>
        <w:ind w:left="3886" w:hanging="422"/>
      </w:pPr>
      <w:rPr>
        <w:rFonts w:hint="default"/>
      </w:rPr>
    </w:lvl>
    <w:lvl w:ilvl="6">
      <w:start w:val="0"/>
      <w:numFmt w:val="bullet"/>
      <w:lvlText w:val="•"/>
      <w:lvlJc w:val="left"/>
      <w:pPr>
        <w:ind w:left="4535" w:hanging="422"/>
      </w:pPr>
      <w:rPr>
        <w:rFonts w:hint="default"/>
      </w:rPr>
    </w:lvl>
    <w:lvl w:ilvl="7">
      <w:start w:val="0"/>
      <w:numFmt w:val="bullet"/>
      <w:lvlText w:val="•"/>
      <w:lvlJc w:val="left"/>
      <w:pPr>
        <w:ind w:left="5185" w:hanging="422"/>
      </w:pPr>
      <w:rPr>
        <w:rFonts w:hint="default"/>
      </w:rPr>
    </w:lvl>
    <w:lvl w:ilvl="8">
      <w:start w:val="0"/>
      <w:numFmt w:val="bullet"/>
      <w:lvlText w:val="•"/>
      <w:lvlJc w:val="left"/>
      <w:pPr>
        <w:ind w:left="5834" w:hanging="422"/>
      </w:pPr>
      <w:rPr>
        <w:rFonts w:hint="default"/>
      </w:rPr>
    </w:lvl>
  </w:abstractNum>
  <w:abstractNum w:abstractNumId="20">
    <w:multiLevelType w:val="hybridMultilevel"/>
    <w:lvl w:ilvl="0">
      <w:start w:val="1"/>
      <w:numFmt w:val="decimal"/>
      <w:lvlText w:val="(%1)"/>
      <w:lvlJc w:val="left"/>
      <w:pPr>
        <w:ind w:left="630" w:hanging="429"/>
        <w:jc w:val="left"/>
      </w:pPr>
      <w:rPr>
        <w:rFonts w:hint="default" w:ascii="宋体" w:hAnsi="宋体" w:eastAsia="宋体" w:cs="宋体"/>
        <w:w w:val="100"/>
        <w:sz w:val="21"/>
        <w:szCs w:val="21"/>
      </w:rPr>
    </w:lvl>
    <w:lvl w:ilvl="1">
      <w:start w:val="0"/>
      <w:numFmt w:val="bullet"/>
      <w:lvlText w:val="•"/>
      <w:lvlJc w:val="left"/>
      <w:pPr>
        <w:ind w:left="1289" w:hanging="429"/>
      </w:pPr>
      <w:rPr>
        <w:rFonts w:hint="default"/>
      </w:rPr>
    </w:lvl>
    <w:lvl w:ilvl="2">
      <w:start w:val="0"/>
      <w:numFmt w:val="bullet"/>
      <w:lvlText w:val="•"/>
      <w:lvlJc w:val="left"/>
      <w:pPr>
        <w:ind w:left="1938" w:hanging="429"/>
      </w:pPr>
      <w:rPr>
        <w:rFonts w:hint="default"/>
      </w:rPr>
    </w:lvl>
    <w:lvl w:ilvl="3">
      <w:start w:val="0"/>
      <w:numFmt w:val="bullet"/>
      <w:lvlText w:val="•"/>
      <w:lvlJc w:val="left"/>
      <w:pPr>
        <w:ind w:left="2587" w:hanging="429"/>
      </w:pPr>
      <w:rPr>
        <w:rFonts w:hint="default"/>
      </w:rPr>
    </w:lvl>
    <w:lvl w:ilvl="4">
      <w:start w:val="0"/>
      <w:numFmt w:val="bullet"/>
      <w:lvlText w:val="•"/>
      <w:lvlJc w:val="left"/>
      <w:pPr>
        <w:ind w:left="3236" w:hanging="429"/>
      </w:pPr>
      <w:rPr>
        <w:rFonts w:hint="default"/>
      </w:rPr>
    </w:lvl>
    <w:lvl w:ilvl="5">
      <w:start w:val="0"/>
      <w:numFmt w:val="bullet"/>
      <w:lvlText w:val="•"/>
      <w:lvlJc w:val="left"/>
      <w:pPr>
        <w:ind w:left="3885" w:hanging="429"/>
      </w:pPr>
      <w:rPr>
        <w:rFonts w:hint="default"/>
      </w:rPr>
    </w:lvl>
    <w:lvl w:ilvl="6">
      <w:start w:val="0"/>
      <w:numFmt w:val="bullet"/>
      <w:lvlText w:val="•"/>
      <w:lvlJc w:val="left"/>
      <w:pPr>
        <w:ind w:left="4534" w:hanging="429"/>
      </w:pPr>
      <w:rPr>
        <w:rFonts w:hint="default"/>
      </w:rPr>
    </w:lvl>
    <w:lvl w:ilvl="7">
      <w:start w:val="0"/>
      <w:numFmt w:val="bullet"/>
      <w:lvlText w:val="•"/>
      <w:lvlJc w:val="left"/>
      <w:pPr>
        <w:ind w:left="5183" w:hanging="429"/>
      </w:pPr>
      <w:rPr>
        <w:rFonts w:hint="default"/>
      </w:rPr>
    </w:lvl>
    <w:lvl w:ilvl="8">
      <w:start w:val="0"/>
      <w:numFmt w:val="bullet"/>
      <w:lvlText w:val="•"/>
      <w:lvlJc w:val="left"/>
      <w:pPr>
        <w:ind w:left="5832" w:hanging="429"/>
      </w:pPr>
      <w:rPr>
        <w:rFonts w:hint="default"/>
      </w:rPr>
    </w:lvl>
  </w:abstractNum>
  <w:abstractNum w:abstractNumId="19">
    <w:multiLevelType w:val="hybridMultilevel"/>
    <w:lvl w:ilvl="0">
      <w:start w:val="1"/>
      <w:numFmt w:val="decimal"/>
      <w:lvlText w:val="(%1)"/>
      <w:lvlJc w:val="left"/>
      <w:pPr>
        <w:ind w:left="630"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18">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17">
    <w:multiLevelType w:val="hybridMultilevel"/>
    <w:lvl w:ilvl="0">
      <w:start w:val="1"/>
      <w:numFmt w:val="decimal"/>
      <w:lvlText w:val="（%1）"/>
      <w:lvlJc w:val="left"/>
      <w:pPr>
        <w:ind w:left="755" w:hanging="632"/>
        <w:jc w:val="left"/>
      </w:pPr>
      <w:rPr>
        <w:rFonts w:hint="default" w:ascii="宋体" w:hAnsi="宋体" w:eastAsia="宋体" w:cs="宋体"/>
        <w:spacing w:val="-2"/>
        <w:w w:val="100"/>
        <w:sz w:val="21"/>
        <w:szCs w:val="21"/>
      </w:rPr>
    </w:lvl>
    <w:lvl w:ilvl="1">
      <w:start w:val="0"/>
      <w:numFmt w:val="bullet"/>
      <w:lvlText w:val="•"/>
      <w:lvlJc w:val="left"/>
      <w:pPr>
        <w:ind w:left="1388" w:hanging="632"/>
      </w:pPr>
      <w:rPr>
        <w:rFonts w:hint="default"/>
      </w:rPr>
    </w:lvl>
    <w:lvl w:ilvl="2">
      <w:start w:val="0"/>
      <w:numFmt w:val="bullet"/>
      <w:lvlText w:val="•"/>
      <w:lvlJc w:val="left"/>
      <w:pPr>
        <w:ind w:left="2017" w:hanging="632"/>
      </w:pPr>
      <w:rPr>
        <w:rFonts w:hint="default"/>
      </w:rPr>
    </w:lvl>
    <w:lvl w:ilvl="3">
      <w:start w:val="0"/>
      <w:numFmt w:val="bullet"/>
      <w:lvlText w:val="•"/>
      <w:lvlJc w:val="left"/>
      <w:pPr>
        <w:ind w:left="2645" w:hanging="632"/>
      </w:pPr>
      <w:rPr>
        <w:rFonts w:hint="default"/>
      </w:rPr>
    </w:lvl>
    <w:lvl w:ilvl="4">
      <w:start w:val="0"/>
      <w:numFmt w:val="bullet"/>
      <w:lvlText w:val="•"/>
      <w:lvlJc w:val="left"/>
      <w:pPr>
        <w:ind w:left="3274" w:hanging="632"/>
      </w:pPr>
      <w:rPr>
        <w:rFonts w:hint="default"/>
      </w:rPr>
    </w:lvl>
    <w:lvl w:ilvl="5">
      <w:start w:val="0"/>
      <w:numFmt w:val="bullet"/>
      <w:lvlText w:val="•"/>
      <w:lvlJc w:val="left"/>
      <w:pPr>
        <w:ind w:left="3903" w:hanging="632"/>
      </w:pPr>
      <w:rPr>
        <w:rFonts w:hint="default"/>
      </w:rPr>
    </w:lvl>
    <w:lvl w:ilvl="6">
      <w:start w:val="0"/>
      <w:numFmt w:val="bullet"/>
      <w:lvlText w:val="•"/>
      <w:lvlJc w:val="left"/>
      <w:pPr>
        <w:ind w:left="4531" w:hanging="632"/>
      </w:pPr>
      <w:rPr>
        <w:rFonts w:hint="default"/>
      </w:rPr>
    </w:lvl>
    <w:lvl w:ilvl="7">
      <w:start w:val="0"/>
      <w:numFmt w:val="bullet"/>
      <w:lvlText w:val="•"/>
      <w:lvlJc w:val="left"/>
      <w:pPr>
        <w:ind w:left="5160" w:hanging="632"/>
      </w:pPr>
      <w:rPr>
        <w:rFonts w:hint="default"/>
      </w:rPr>
    </w:lvl>
    <w:lvl w:ilvl="8">
      <w:start w:val="0"/>
      <w:numFmt w:val="bullet"/>
      <w:lvlText w:val="•"/>
      <w:lvlJc w:val="left"/>
      <w:pPr>
        <w:ind w:left="5788" w:hanging="632"/>
      </w:pPr>
      <w:rPr>
        <w:rFonts w:hint="default"/>
      </w:rPr>
    </w:lvl>
  </w:abstractNum>
  <w:abstractNum w:abstractNumId="16">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5">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4">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3">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2">
    <w:multiLevelType w:val="hybridMultilevel"/>
    <w:lvl w:ilvl="0">
      <w:start w:val="1"/>
      <w:numFmt w:val="decimal"/>
      <w:lvlText w:val="（%1）"/>
      <w:lvlJc w:val="left"/>
      <w:pPr>
        <w:ind w:left="210" w:hanging="632"/>
        <w:jc w:val="left"/>
      </w:pPr>
      <w:rPr>
        <w:rFonts w:hint="default" w:ascii="宋体" w:hAnsi="宋体" w:eastAsia="宋体" w:cs="宋体"/>
        <w:spacing w:val="-2"/>
        <w:w w:val="100"/>
        <w:sz w:val="21"/>
        <w:szCs w:val="21"/>
      </w:rPr>
    </w:lvl>
    <w:lvl w:ilvl="1">
      <w:start w:val="0"/>
      <w:numFmt w:val="bullet"/>
      <w:lvlText w:val="•"/>
      <w:lvlJc w:val="left"/>
      <w:pPr>
        <w:ind w:left="911" w:hanging="632"/>
      </w:pPr>
      <w:rPr>
        <w:rFonts w:hint="default"/>
      </w:rPr>
    </w:lvl>
    <w:lvl w:ilvl="2">
      <w:start w:val="0"/>
      <w:numFmt w:val="bullet"/>
      <w:lvlText w:val="•"/>
      <w:lvlJc w:val="left"/>
      <w:pPr>
        <w:ind w:left="1602" w:hanging="632"/>
      </w:pPr>
      <w:rPr>
        <w:rFonts w:hint="default"/>
      </w:rPr>
    </w:lvl>
    <w:lvl w:ilvl="3">
      <w:start w:val="0"/>
      <w:numFmt w:val="bullet"/>
      <w:lvlText w:val="•"/>
      <w:lvlJc w:val="left"/>
      <w:pPr>
        <w:ind w:left="2293" w:hanging="632"/>
      </w:pPr>
      <w:rPr>
        <w:rFonts w:hint="default"/>
      </w:rPr>
    </w:lvl>
    <w:lvl w:ilvl="4">
      <w:start w:val="0"/>
      <w:numFmt w:val="bullet"/>
      <w:lvlText w:val="•"/>
      <w:lvlJc w:val="left"/>
      <w:pPr>
        <w:ind w:left="2984" w:hanging="632"/>
      </w:pPr>
      <w:rPr>
        <w:rFonts w:hint="default"/>
      </w:rPr>
    </w:lvl>
    <w:lvl w:ilvl="5">
      <w:start w:val="0"/>
      <w:numFmt w:val="bullet"/>
      <w:lvlText w:val="•"/>
      <w:lvlJc w:val="left"/>
      <w:pPr>
        <w:ind w:left="3675" w:hanging="632"/>
      </w:pPr>
      <w:rPr>
        <w:rFonts w:hint="default"/>
      </w:rPr>
    </w:lvl>
    <w:lvl w:ilvl="6">
      <w:start w:val="0"/>
      <w:numFmt w:val="bullet"/>
      <w:lvlText w:val="•"/>
      <w:lvlJc w:val="left"/>
      <w:pPr>
        <w:ind w:left="4366" w:hanging="632"/>
      </w:pPr>
      <w:rPr>
        <w:rFonts w:hint="default"/>
      </w:rPr>
    </w:lvl>
    <w:lvl w:ilvl="7">
      <w:start w:val="0"/>
      <w:numFmt w:val="bullet"/>
      <w:lvlText w:val="•"/>
      <w:lvlJc w:val="left"/>
      <w:pPr>
        <w:ind w:left="5057" w:hanging="632"/>
      </w:pPr>
      <w:rPr>
        <w:rFonts w:hint="default"/>
      </w:rPr>
    </w:lvl>
    <w:lvl w:ilvl="8">
      <w:start w:val="0"/>
      <w:numFmt w:val="bullet"/>
      <w:lvlText w:val="•"/>
      <w:lvlJc w:val="left"/>
      <w:pPr>
        <w:ind w:left="5748" w:hanging="632"/>
      </w:pPr>
      <w:rPr>
        <w:rFonts w:hint="default"/>
      </w:rPr>
    </w:lvl>
  </w:abstractNum>
  <w:abstractNum w:abstractNumId="11">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0">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9">
    <w:multiLevelType w:val="hybridMultilevel"/>
    <w:lvl w:ilvl="0">
      <w:start w:val="1"/>
      <w:numFmt w:val="decimal"/>
      <w:lvlText w:val="（%1）"/>
      <w:lvlJc w:val="left"/>
      <w:pPr>
        <w:ind w:left="740" w:hanging="632"/>
        <w:jc w:val="left"/>
      </w:pPr>
      <w:rPr>
        <w:rFonts w:hint="default" w:ascii="宋体" w:hAnsi="宋体" w:eastAsia="宋体" w:cs="宋体"/>
        <w:spacing w:val="-2"/>
        <w:w w:val="99"/>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8">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7">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6">
    <w:multiLevelType w:val="hybridMultilevel"/>
    <w:lvl w:ilvl="0">
      <w:start w:val="2"/>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5">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4">
    <w:multiLevelType w:val="hybridMultilevel"/>
    <w:lvl w:ilvl="0">
      <w:start w:val="1"/>
      <w:numFmt w:val="decimal"/>
      <w:lvlText w:val="（%1）"/>
      <w:lvlJc w:val="left"/>
      <w:pPr>
        <w:ind w:left="786" w:hanging="580"/>
        <w:jc w:val="left"/>
      </w:pPr>
      <w:rPr>
        <w:rFonts w:hint="default" w:ascii="宋体" w:hAnsi="宋体" w:eastAsia="宋体" w:cs="宋体"/>
        <w:w w:val="100"/>
        <w:sz w:val="21"/>
        <w:szCs w:val="21"/>
      </w:rPr>
    </w:lvl>
    <w:lvl w:ilvl="1">
      <w:start w:val="0"/>
      <w:numFmt w:val="bullet"/>
      <w:lvlText w:val="•"/>
      <w:lvlJc w:val="left"/>
      <w:pPr>
        <w:ind w:left="1415" w:hanging="580"/>
      </w:pPr>
      <w:rPr>
        <w:rFonts w:hint="default"/>
      </w:rPr>
    </w:lvl>
    <w:lvl w:ilvl="2">
      <w:start w:val="0"/>
      <w:numFmt w:val="bullet"/>
      <w:lvlText w:val="•"/>
      <w:lvlJc w:val="left"/>
      <w:pPr>
        <w:ind w:left="2050" w:hanging="580"/>
      </w:pPr>
      <w:rPr>
        <w:rFonts w:hint="default"/>
      </w:rPr>
    </w:lvl>
    <w:lvl w:ilvl="3">
      <w:start w:val="0"/>
      <w:numFmt w:val="bullet"/>
      <w:lvlText w:val="•"/>
      <w:lvlJc w:val="left"/>
      <w:pPr>
        <w:ind w:left="2685" w:hanging="580"/>
      </w:pPr>
      <w:rPr>
        <w:rFonts w:hint="default"/>
      </w:rPr>
    </w:lvl>
    <w:lvl w:ilvl="4">
      <w:start w:val="0"/>
      <w:numFmt w:val="bullet"/>
      <w:lvlText w:val="•"/>
      <w:lvlJc w:val="left"/>
      <w:pPr>
        <w:ind w:left="3320" w:hanging="580"/>
      </w:pPr>
      <w:rPr>
        <w:rFonts w:hint="default"/>
      </w:rPr>
    </w:lvl>
    <w:lvl w:ilvl="5">
      <w:start w:val="0"/>
      <w:numFmt w:val="bullet"/>
      <w:lvlText w:val="•"/>
      <w:lvlJc w:val="left"/>
      <w:pPr>
        <w:ind w:left="3955" w:hanging="580"/>
      </w:pPr>
      <w:rPr>
        <w:rFonts w:hint="default"/>
      </w:rPr>
    </w:lvl>
    <w:lvl w:ilvl="6">
      <w:start w:val="0"/>
      <w:numFmt w:val="bullet"/>
      <w:lvlText w:val="•"/>
      <w:lvlJc w:val="left"/>
      <w:pPr>
        <w:ind w:left="4590" w:hanging="580"/>
      </w:pPr>
      <w:rPr>
        <w:rFonts w:hint="default"/>
      </w:rPr>
    </w:lvl>
    <w:lvl w:ilvl="7">
      <w:start w:val="0"/>
      <w:numFmt w:val="bullet"/>
      <w:lvlText w:val="•"/>
      <w:lvlJc w:val="left"/>
      <w:pPr>
        <w:ind w:left="5225" w:hanging="580"/>
      </w:pPr>
      <w:rPr>
        <w:rFonts w:hint="default"/>
      </w:rPr>
    </w:lvl>
    <w:lvl w:ilvl="8">
      <w:start w:val="0"/>
      <w:numFmt w:val="bullet"/>
      <w:lvlText w:val="•"/>
      <w:lvlJc w:val="left"/>
      <w:pPr>
        <w:ind w:left="5860" w:hanging="580"/>
      </w:pPr>
      <w:rPr>
        <w:rFonts w:hint="default"/>
      </w:rPr>
    </w:lvl>
  </w:abstractNum>
  <w:abstractNum w:abstractNumId="3">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2">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1">
    <w:multiLevelType w:val="hybridMultilevel"/>
    <w:lvl w:ilvl="0">
      <w:start w:val="1"/>
      <w:numFmt w:val="decimal"/>
      <w:lvlText w:val="（%1）"/>
      <w:lvlJc w:val="left"/>
      <w:pPr>
        <w:ind w:left="840" w:hanging="630"/>
        <w:jc w:val="left"/>
      </w:pPr>
      <w:rPr>
        <w:rFonts w:hint="default" w:ascii="黑体" w:hAnsi="黑体" w:eastAsia="黑体" w:cs="黑体"/>
        <w:spacing w:val="-1"/>
        <w:w w:val="100"/>
        <w:sz w:val="21"/>
        <w:szCs w:val="21"/>
      </w:rPr>
    </w:lvl>
    <w:lvl w:ilvl="1">
      <w:start w:val="0"/>
      <w:numFmt w:val="bullet"/>
      <w:lvlText w:val="•"/>
      <w:lvlJc w:val="left"/>
      <w:pPr>
        <w:ind w:left="1449" w:hanging="630"/>
      </w:pPr>
      <w:rPr>
        <w:rFonts w:hint="default"/>
      </w:rPr>
    </w:lvl>
    <w:lvl w:ilvl="2">
      <w:start w:val="0"/>
      <w:numFmt w:val="bullet"/>
      <w:lvlText w:val="•"/>
      <w:lvlJc w:val="left"/>
      <w:pPr>
        <w:ind w:left="2058" w:hanging="630"/>
      </w:pPr>
      <w:rPr>
        <w:rFonts w:hint="default"/>
      </w:rPr>
    </w:lvl>
    <w:lvl w:ilvl="3">
      <w:start w:val="0"/>
      <w:numFmt w:val="bullet"/>
      <w:lvlText w:val="•"/>
      <w:lvlJc w:val="left"/>
      <w:pPr>
        <w:ind w:left="2668" w:hanging="630"/>
      </w:pPr>
      <w:rPr>
        <w:rFonts w:hint="default"/>
      </w:rPr>
    </w:lvl>
    <w:lvl w:ilvl="4">
      <w:start w:val="0"/>
      <w:numFmt w:val="bullet"/>
      <w:lvlText w:val="•"/>
      <w:lvlJc w:val="left"/>
      <w:pPr>
        <w:ind w:left="3277" w:hanging="630"/>
      </w:pPr>
      <w:rPr>
        <w:rFonts w:hint="default"/>
      </w:rPr>
    </w:lvl>
    <w:lvl w:ilvl="5">
      <w:start w:val="0"/>
      <w:numFmt w:val="bullet"/>
      <w:lvlText w:val="•"/>
      <w:lvlJc w:val="left"/>
      <w:pPr>
        <w:ind w:left="3887" w:hanging="630"/>
      </w:pPr>
      <w:rPr>
        <w:rFonts w:hint="default"/>
      </w:rPr>
    </w:lvl>
    <w:lvl w:ilvl="6">
      <w:start w:val="0"/>
      <w:numFmt w:val="bullet"/>
      <w:lvlText w:val="•"/>
      <w:lvlJc w:val="left"/>
      <w:pPr>
        <w:ind w:left="4496" w:hanging="630"/>
      </w:pPr>
      <w:rPr>
        <w:rFonts w:hint="default"/>
      </w:rPr>
    </w:lvl>
    <w:lvl w:ilvl="7">
      <w:start w:val="0"/>
      <w:numFmt w:val="bullet"/>
      <w:lvlText w:val="•"/>
      <w:lvlJc w:val="left"/>
      <w:pPr>
        <w:ind w:left="5105" w:hanging="630"/>
      </w:pPr>
      <w:rPr>
        <w:rFonts w:hint="default"/>
      </w:rPr>
    </w:lvl>
    <w:lvl w:ilvl="8">
      <w:start w:val="0"/>
      <w:numFmt w:val="bullet"/>
      <w:lvlText w:val="•"/>
      <w:lvlJc w:val="left"/>
      <w:pPr>
        <w:ind w:left="5715" w:hanging="630"/>
      </w:pPr>
      <w:rPr>
        <w:rFonts w:hint="default"/>
      </w:rPr>
    </w:lvl>
  </w:abstractNum>
  <w:abstractNum w:abstractNumId="0">
    <w:multiLevelType w:val="hybridMultilevel"/>
    <w:lvl w:ilvl="0">
      <w:start w:val="0"/>
      <w:numFmt w:val="bullet"/>
      <w:lvlText w:val=""/>
      <w:lvlJc w:val="left"/>
      <w:pPr>
        <w:ind w:left="1064" w:hanging="400"/>
      </w:pPr>
      <w:rPr>
        <w:rFonts w:hint="default" w:ascii="Wingdings" w:hAnsi="Wingdings" w:eastAsia="Wingdings" w:cs="Wingdings"/>
        <w:b/>
        <w:bCs/>
        <w:w w:val="99"/>
        <w:sz w:val="21"/>
        <w:szCs w:val="21"/>
      </w:rPr>
    </w:lvl>
    <w:lvl w:ilvl="1">
      <w:start w:val="0"/>
      <w:numFmt w:val="bullet"/>
      <w:lvlText w:val="•"/>
      <w:lvlJc w:val="left"/>
      <w:pPr>
        <w:ind w:left="1972" w:hanging="400"/>
      </w:pPr>
      <w:rPr>
        <w:rFonts w:hint="default"/>
      </w:rPr>
    </w:lvl>
    <w:lvl w:ilvl="2">
      <w:start w:val="0"/>
      <w:numFmt w:val="bullet"/>
      <w:lvlText w:val="•"/>
      <w:lvlJc w:val="left"/>
      <w:pPr>
        <w:ind w:left="2885" w:hanging="400"/>
      </w:pPr>
      <w:rPr>
        <w:rFonts w:hint="default"/>
      </w:rPr>
    </w:lvl>
    <w:lvl w:ilvl="3">
      <w:start w:val="0"/>
      <w:numFmt w:val="bullet"/>
      <w:lvlText w:val="•"/>
      <w:lvlJc w:val="left"/>
      <w:pPr>
        <w:ind w:left="3798" w:hanging="400"/>
      </w:pPr>
      <w:rPr>
        <w:rFonts w:hint="default"/>
      </w:rPr>
    </w:lvl>
    <w:lvl w:ilvl="4">
      <w:start w:val="0"/>
      <w:numFmt w:val="bullet"/>
      <w:lvlText w:val="•"/>
      <w:lvlJc w:val="left"/>
      <w:pPr>
        <w:ind w:left="4711" w:hanging="400"/>
      </w:pPr>
      <w:rPr>
        <w:rFonts w:hint="default"/>
      </w:rPr>
    </w:lvl>
    <w:lvl w:ilvl="5">
      <w:start w:val="0"/>
      <w:numFmt w:val="bullet"/>
      <w:lvlText w:val="•"/>
      <w:lvlJc w:val="left"/>
      <w:pPr>
        <w:ind w:left="5623" w:hanging="400"/>
      </w:pPr>
      <w:rPr>
        <w:rFonts w:hint="default"/>
      </w:rPr>
    </w:lvl>
    <w:lvl w:ilvl="6">
      <w:start w:val="0"/>
      <w:numFmt w:val="bullet"/>
      <w:lvlText w:val="•"/>
      <w:lvlJc w:val="left"/>
      <w:pPr>
        <w:ind w:left="6536" w:hanging="400"/>
      </w:pPr>
      <w:rPr>
        <w:rFonts w:hint="default"/>
      </w:rPr>
    </w:lvl>
    <w:lvl w:ilvl="7">
      <w:start w:val="0"/>
      <w:numFmt w:val="bullet"/>
      <w:lvlText w:val="•"/>
      <w:lvlJc w:val="left"/>
      <w:pPr>
        <w:ind w:left="7449" w:hanging="400"/>
      </w:pPr>
      <w:rPr>
        <w:rFonts w:hint="default"/>
      </w:rPr>
    </w:lvl>
    <w:lvl w:ilvl="8">
      <w:start w:val="0"/>
      <w:numFmt w:val="bullet"/>
      <w:lvlText w:val="•"/>
      <w:lvlJc w:val="left"/>
      <w:pPr>
        <w:ind w:left="8362" w:hanging="400"/>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
    </w:pPr>
    <w:rPr>
      <w:rFonts w:ascii="宋体" w:hAnsi="宋体" w:eastAsia="宋体" w:cs="宋体"/>
      <w:sz w:val="21"/>
      <w:szCs w:val="21"/>
    </w:rPr>
  </w:style>
  <w:style w:styleId="ListParagraph" w:type="paragraph">
    <w:name w:val="List Paragraph"/>
    <w:basedOn w:val="Normal"/>
    <w:uiPriority w:val="1"/>
    <w:qFormat/>
    <w:pPr>
      <w:spacing w:before="30"/>
      <w:ind w:left="1064" w:hanging="40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eader" Target="header1.xml"/><Relationship Id="rId21" Type="http://schemas.openxmlformats.org/officeDocument/2006/relationships/hyperlink" Target="http://www.chinesebaojian.com/tags/gzdmyc1/%B1%A3%CF%D5%BD%F0%B6%EE/"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2018-10-20T08:05:49Z</dcterms:created>
  <dcterms:modified xsi:type="dcterms:W3CDTF">2018-10-20T08:05:49Z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2018-10-20T00:00:00Z</vt:filetime>
  </property>
</Properties>
</file>