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9" w:lineRule="exact" w:before="0" w:after="14"/>
        <w:ind w:left="0" w:right="104" w:firstLine="0"/>
        <w:jc w:val="right"/>
        <w:rPr>
          <w:sz w:val="20"/>
        </w:rPr>
      </w:pPr>
      <w:r>
        <w:rPr>
          <w:sz w:val="20"/>
        </w:rPr>
        <w:t>恒安标准人寿</w:t>
      </w:r>
      <w:r>
        <w:rPr>
          <w:rFonts w:ascii="Times New Roman" w:eastAsia="Times New Roman"/>
          <w:sz w:val="20"/>
        </w:rPr>
        <w:t>[2015]</w:t>
      </w:r>
      <w:r>
        <w:rPr>
          <w:sz w:val="20"/>
        </w:rPr>
        <w:t>疾病保险 </w:t>
      </w:r>
      <w:r>
        <w:rPr>
          <w:rFonts w:ascii="Times New Roman" w:eastAsia="Times New Roman"/>
          <w:sz w:val="20"/>
        </w:rPr>
        <w:t>011 </w:t>
      </w:r>
      <w:r>
        <w:rPr>
          <w:sz w:val="20"/>
        </w:rPr>
        <w:t>号</w:t>
      </w:r>
    </w:p>
    <w:p>
      <w:pPr>
        <w:pStyle w:val="BodyText"/>
        <w:spacing w:before="0"/>
        <w:ind w:left="861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line="219" w:lineRule="exact" w:before="0"/>
        <w:ind w:left="0" w:right="104" w:firstLine="0"/>
        <w:jc w:val="right"/>
        <w:rPr>
          <w:sz w:val="20"/>
        </w:rPr>
      </w:pPr>
      <w:r>
        <w:rPr>
          <w:sz w:val="20"/>
        </w:rPr>
        <w:t>请扫描以查询验证条款</w:t>
      </w:r>
    </w:p>
    <w:p>
      <w:pPr>
        <w:spacing w:line="407" w:lineRule="exact" w:before="0"/>
        <w:ind w:left="19" w:right="0" w:firstLine="0"/>
        <w:jc w:val="center"/>
        <w:rPr>
          <w:sz w:val="32"/>
        </w:rPr>
      </w:pPr>
      <w:r>
        <w:rPr>
          <w:sz w:val="32"/>
        </w:rPr>
        <w:t>恒 安 标 准 人 寿 保 险 有 限 公 司</w:t>
      </w:r>
    </w:p>
    <w:p>
      <w:pPr>
        <w:spacing w:before="76"/>
        <w:ind w:left="19" w:right="0" w:firstLine="0"/>
        <w:jc w:val="center"/>
        <w:rPr>
          <w:rFonts w:ascii="Times New Roman"/>
          <w:sz w:val="24"/>
        </w:rPr>
      </w:pPr>
      <w:r>
        <w:rPr/>
        <w:pict>
          <v:group style="position:absolute;margin-left:109.5pt;margin-top:21.75341pt;width:396pt;height:4.55pt;mso-position-horizontal-relative:page;mso-position-vertical-relative:paragraph;z-index:0;mso-wrap-distance-left:0;mso-wrap-distance-right:0" coordorigin="2190,435" coordsize="7920,91">
            <v:line style="position:absolute" from="2190,450" to="10110,450"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spacing w:before="162"/>
        <w:ind w:left="6" w:right="0" w:firstLine="0"/>
        <w:jc w:val="center"/>
        <w:rPr>
          <w:rFonts w:ascii="黑体" w:eastAsia="黑体" w:hint="eastAsia"/>
          <w:sz w:val="30"/>
        </w:rPr>
      </w:pPr>
      <w:r>
        <w:rPr>
          <w:rFonts w:ascii="黑体" w:eastAsia="黑体" w:hint="eastAsia"/>
          <w:sz w:val="30"/>
        </w:rPr>
        <w:t>恒安标准附加恒爱无忧重大疾病保险条款</w:t>
      </w:r>
    </w:p>
    <w:p>
      <w:pPr>
        <w:pStyle w:val="BodyText"/>
        <w:spacing w:before="4"/>
        <w:ind w:left="0"/>
        <w:rPr>
          <w:rFonts w:ascii="黑体"/>
          <w:sz w:val="19"/>
        </w:rPr>
      </w:pPr>
    </w:p>
    <w:p>
      <w:pPr>
        <w:tabs>
          <w:tab w:pos="606" w:val="left" w:leader="none"/>
        </w:tabs>
        <w:spacing w:before="8"/>
        <w:ind w:left="6"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240" w:lineRule="auto" w:before="152" w:after="0"/>
            <w:ind w:left="511" w:right="0" w:hanging="397"/>
            <w:jc w:val="left"/>
            <w:rPr>
              <w:rFonts w:ascii="Times New Roman" w:eastAsia="Times New Roman"/>
              <w:b/>
            </w:rPr>
          </w:pPr>
          <w:r>
            <w:fldChar w:fldCharType="begin"/>
          </w:r>
          <w:r>
            <w:instrText>TOC \o "1-2" \h \z \u </w:instrText>
          </w:r>
          <w:r>
            <w:fldChar w:fldCharType="separate"/>
          </w:r>
          <w:hyperlink w:history="true" w:anchor="_TOC_250029">
            <w:r>
              <w:rPr/>
              <w:t>您与我们订立附加合同时需要了解的内容</w:t>
              <w:tab/>
            </w:r>
            <w:r>
              <w:rPr>
                <w:rFonts w:ascii="Times New Roman" w:eastAsia="Times New Roman"/>
                <w:b/>
              </w:rPr>
              <w:t>2</w:t>
            </w:r>
          </w:hyperlink>
        </w:p>
        <w:p>
          <w:pPr>
            <w:pStyle w:val="TOC2"/>
            <w:numPr>
              <w:ilvl w:val="1"/>
              <w:numId w:val="1"/>
            </w:numPr>
            <w:tabs>
              <w:tab w:pos="1163" w:val="left" w:leader="none"/>
              <w:tab w:pos="1164" w:val="left" w:leader="none"/>
              <w:tab w:pos="9741" w:val="right" w:leader="dot"/>
            </w:tabs>
            <w:spacing w:line="240" w:lineRule="auto" w:before="3" w:after="0"/>
            <w:ind w:left="1163" w:right="0" w:hanging="652"/>
            <w:jc w:val="left"/>
            <w:rPr>
              <w:rFonts w:ascii="Times New Roman" w:eastAsia="Times New Roman"/>
            </w:rPr>
          </w:pPr>
          <w:hyperlink w:history="true" w:anchor="_TOC_250028">
            <w:r>
              <w:rPr/>
              <w:t>附加保险合同的种类及构成</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27">
            <w:r>
              <w:rPr/>
              <w:t>投保条件</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26">
            <w:r>
              <w:rPr/>
              <w:t>保险期间</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25">
            <w:r>
              <w:rPr/>
              <w:t>保险责任的开始和终止</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23">
            <w:r>
              <w:rPr/>
              <w:t>明确说明与如实告知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22">
            <w:r>
              <w:rPr/>
              <w:t>附加合同项下的保障和利益</w:t>
              <w:tab/>
            </w:r>
            <w:r>
              <w:rPr>
                <w:rFonts w:ascii="Times New Roman" w:eastAsia="Times New Roman"/>
                <w:b/>
              </w:rPr>
              <w:t>2</w:t>
            </w:r>
          </w:hyperlink>
        </w:p>
        <w:p>
          <w:pPr>
            <w:pStyle w:val="TOC2"/>
            <w:numPr>
              <w:ilvl w:val="1"/>
              <w:numId w:val="1"/>
            </w:numPr>
            <w:tabs>
              <w:tab w:pos="1163" w:val="left" w:leader="none"/>
              <w:tab w:pos="1164" w:val="left" w:leader="none"/>
              <w:tab w:pos="9741" w:val="right" w:leader="dot"/>
            </w:tabs>
            <w:spacing w:line="240" w:lineRule="auto" w:before="4" w:after="0"/>
            <w:ind w:left="1163" w:right="0" w:hanging="652"/>
            <w:jc w:val="left"/>
            <w:rPr>
              <w:rFonts w:ascii="Times New Roman" w:eastAsia="Times New Roman"/>
            </w:rPr>
          </w:pPr>
          <w:hyperlink w:history="true" w:anchor="_TOC_250021">
            <w:r>
              <w:rPr/>
              <w:t>保险金额</w:t>
              <w:tab/>
            </w:r>
            <w:r>
              <w:rPr>
                <w:rFonts w:ascii="Times New Roman" w:eastAsia="Times New Roman"/>
              </w:rPr>
              <w:t>3</w:t>
            </w:r>
          </w:hyperlink>
        </w:p>
        <w:p>
          <w:pPr>
            <w:pStyle w:val="TOC2"/>
            <w:numPr>
              <w:ilvl w:val="1"/>
              <w:numId w:val="1"/>
            </w:numPr>
            <w:tabs>
              <w:tab w:pos="1163" w:val="left" w:leader="none"/>
              <w:tab w:pos="1164" w:val="left" w:leader="none"/>
              <w:tab w:pos="9742" w:val="right" w:leader="dot"/>
            </w:tabs>
            <w:spacing w:line="240" w:lineRule="auto" w:before="20" w:after="0"/>
            <w:ind w:left="1163" w:right="0" w:hanging="652"/>
            <w:jc w:val="left"/>
            <w:rPr>
              <w:rFonts w:ascii="Times New Roman" w:eastAsia="Times New Roman"/>
            </w:rPr>
          </w:pPr>
          <w:hyperlink w:history="true" w:anchor="_TOC_250020">
            <w:r>
              <w:rPr/>
              <w:t>我们提供的保障</w:t>
              <w:tab/>
            </w:r>
            <w:r>
              <w:rPr>
                <w:rFonts w:ascii="Times New Roman" w:eastAsia="Times New Roman"/>
              </w:rPr>
              <w:t>3</w:t>
            </w:r>
          </w:hyperlink>
        </w:p>
        <w:p>
          <w:pPr>
            <w:pStyle w:val="TOC2"/>
            <w:numPr>
              <w:ilvl w:val="1"/>
              <w:numId w:val="1"/>
            </w:numPr>
            <w:tabs>
              <w:tab w:pos="1163" w:val="left" w:leader="none"/>
              <w:tab w:pos="1164" w:val="left" w:leader="none"/>
              <w:tab w:pos="9742" w:val="right" w:leader="dot"/>
            </w:tabs>
            <w:spacing w:line="289" w:lineRule="exact" w:before="20" w:after="0"/>
            <w:ind w:left="1163" w:right="0" w:hanging="652"/>
            <w:jc w:val="left"/>
            <w:rPr>
              <w:rFonts w:ascii="Times New Roman" w:eastAsia="Times New Roman"/>
            </w:rPr>
          </w:pPr>
          <w:hyperlink w:history="true" w:anchor="_TOC_250019">
            <w:r>
              <w:rPr/>
              <w:t>我们不承担的责任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8">
            <w:r>
              <w:rPr/>
              <w:t>您在附加合同项下的权利和义务</w:t>
              <w:tab/>
            </w:r>
            <w:r>
              <w:rPr>
                <w:rFonts w:ascii="Times New Roman" w:eastAsia="Times New Roman"/>
                <w:b/>
              </w:rPr>
              <w:t>3</w:t>
            </w:r>
          </w:hyperlink>
        </w:p>
        <w:p>
          <w:pPr>
            <w:pStyle w:val="TOC2"/>
            <w:numPr>
              <w:ilvl w:val="1"/>
              <w:numId w:val="1"/>
            </w:numPr>
            <w:tabs>
              <w:tab w:pos="1163" w:val="left" w:leader="none"/>
              <w:tab w:pos="1164" w:val="left" w:leader="none"/>
              <w:tab w:pos="9742" w:val="right" w:leader="dot"/>
            </w:tabs>
            <w:spacing w:line="240" w:lineRule="auto" w:before="4" w:after="0"/>
            <w:ind w:left="1163" w:right="0" w:hanging="652"/>
            <w:jc w:val="left"/>
            <w:rPr>
              <w:rFonts w:ascii="Times New Roman" w:eastAsia="Times New Roman"/>
            </w:rPr>
          </w:pPr>
          <w:hyperlink w:history="true" w:anchor="_TOC_250017">
            <w:r>
              <w:rPr/>
              <w:t>保险费的交付</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15">
            <w:r>
              <w:rPr/>
              <w:t>合同效力的中止和恢复</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14">
            <w:r>
              <w:rPr/>
              <w:t>犹豫期后解除合同的处理</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13">
            <w:r>
              <w:rPr/>
              <w:t>合同内容的变更</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12">
            <w:r>
              <w:rPr/>
              <w:t>现金价值</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63" w:val="left" w:leader="none"/>
              <w:tab w:pos="1164" w:val="left" w:leader="none"/>
              <w:tab w:pos="9742" w:val="right" w:leader="dot"/>
            </w:tabs>
            <w:spacing w:line="240" w:lineRule="auto" w:before="4" w:after="0"/>
            <w:ind w:left="116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63" w:val="left" w:leader="none"/>
              <w:tab w:pos="1164" w:val="left" w:leader="none"/>
              <w:tab w:pos="9742" w:val="right" w:leader="dot"/>
            </w:tabs>
            <w:spacing w:line="240" w:lineRule="auto" w:before="20" w:after="0"/>
            <w:ind w:left="116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63" w:val="left" w:leader="none"/>
              <w:tab w:pos="1164" w:val="left" w:leader="none"/>
              <w:tab w:pos="9741" w:val="right" w:leader="dot"/>
            </w:tabs>
            <w:spacing w:line="240" w:lineRule="auto" w:before="4" w:after="0"/>
            <w:ind w:left="116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63" w:val="left" w:leader="none"/>
              <w:tab w:pos="1164" w:val="left" w:leader="none"/>
              <w:tab w:pos="9742" w:val="right" w:leader="dot"/>
            </w:tabs>
            <w:spacing w:line="240" w:lineRule="auto" w:before="20" w:after="0"/>
            <w:ind w:left="1163" w:right="0" w:hanging="652"/>
            <w:jc w:val="left"/>
            <w:rPr>
              <w:rFonts w:ascii="Times New Roman" w:eastAsia="Times New Roman"/>
            </w:rPr>
          </w:pPr>
          <w:hyperlink w:history="true" w:anchor="_TOC_250003">
            <w:r>
              <w:rPr/>
              <w:t>联系方式的变更</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40" w:lineRule="auto" w:before="20" w:after="0"/>
            <w:ind w:left="116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headerReference w:type="default" r:id="rId5"/>
          <w:footerReference w:type="default" r:id="rId6"/>
          <w:type w:val="continuous"/>
          <w:pgSz w:w="11900" w:h="16840"/>
          <w:pgMar w:header="850" w:footer="856" w:top="1700" w:bottom="1040" w:left="1020" w:right="1020"/>
          <w:pgNumType w:start="1"/>
        </w:sectPr>
      </w:pPr>
    </w:p>
    <w:p>
      <w:pPr>
        <w:pStyle w:val="Heading1"/>
        <w:numPr>
          <w:ilvl w:val="0"/>
          <w:numId w:val="2"/>
        </w:numPr>
        <w:tabs>
          <w:tab w:pos="593" w:val="left" w:leader="none"/>
          <w:tab w:pos="594" w:val="left" w:leader="none"/>
        </w:tabs>
        <w:spacing w:line="240" w:lineRule="auto" w:before="54" w:after="0"/>
        <w:ind w:left="594" w:right="0" w:hanging="480"/>
        <w:jc w:val="left"/>
      </w:pPr>
      <w:bookmarkStart w:name="_TOC_250029" w:id="1"/>
      <w:bookmarkEnd w:id="1"/>
      <w:r>
        <w:rPr>
          <w:rFonts w:ascii="宋体" w:eastAsia="宋体" w:hint="eastAsia"/>
        </w:rPr>
        <w:t>您与我们订立附加合同时需要了解的内容</w:t>
      </w:r>
    </w:p>
    <w:p>
      <w:pPr>
        <w:pStyle w:val="Heading2"/>
        <w:numPr>
          <w:ilvl w:val="1"/>
          <w:numId w:val="2"/>
        </w:numPr>
        <w:tabs>
          <w:tab w:pos="594" w:val="left" w:leader="none"/>
        </w:tabs>
        <w:spacing w:line="240" w:lineRule="auto" w:before="141" w:after="0"/>
        <w:ind w:left="594" w:right="0" w:hanging="480"/>
        <w:jc w:val="left"/>
      </w:pPr>
      <w:bookmarkStart w:name="_TOC_250028" w:id="2"/>
      <w:bookmarkEnd w:id="2"/>
      <w:r>
        <w:rPr/>
        <w:t>附加保险合同的种类及构成</w:t>
      </w:r>
    </w:p>
    <w:p>
      <w:pPr>
        <w:pStyle w:val="BodyText"/>
        <w:spacing w:line="256" w:lineRule="auto" w:before="15"/>
        <w:ind w:right="113" w:firstLine="420"/>
      </w:pPr>
      <w:r>
        <w:rPr>
          <w:spacing w:val="-10"/>
        </w:rPr>
        <w:t>您作为投保人，与我们订立的附加保险合同为恒安标准附加恒爱无忧重大疾病保险合同</w:t>
      </w:r>
      <w:r>
        <w:rPr/>
        <w:t>（以下简称</w:t>
      </w:r>
      <w:r>
        <w:rPr>
          <w:rFonts w:ascii="Times New Roman" w:hAnsi="Times New Roman" w:eastAsia="Times New Roman"/>
        </w:rPr>
        <w:t>“</w:t>
      </w:r>
      <w:r>
        <w:rPr/>
        <w:t>附加合同</w:t>
      </w:r>
      <w:r>
        <w:rPr>
          <w:rFonts w:ascii="Times New Roman" w:hAnsi="Times New Roman" w:eastAsia="Times New Roman"/>
        </w:rPr>
        <w:t>”</w:t>
      </w:r>
      <w:r>
        <w:rPr>
          <w:spacing w:val="-105"/>
        </w:rPr>
        <w:t>）</w:t>
      </w:r>
      <w:r>
        <w:rPr>
          <w:spacing w:val="-1"/>
        </w:rPr>
        <w:t>，所使用的保险条款为恒安标准附加恒爱无忧重大疾病保险条款</w:t>
      </w:r>
      <w:r>
        <w:rPr/>
        <w:t>（以下简称</w:t>
      </w:r>
      <w:r>
        <w:rPr>
          <w:rFonts w:ascii="Times New Roman" w:hAnsi="Times New Roman" w:eastAsia="Times New Roman"/>
          <w:spacing w:val="-1"/>
        </w:rPr>
        <w:t>“</w:t>
      </w:r>
      <w:r>
        <w:rPr/>
        <w:t>本附加保险条款</w:t>
      </w:r>
      <w:r>
        <w:rPr>
          <w:rFonts w:ascii="Times New Roman" w:hAnsi="Times New Roman" w:eastAsia="Times New Roman"/>
        </w:rPr>
        <w:t>”</w:t>
      </w:r>
      <w:r>
        <w:rPr>
          <w:spacing w:val="-105"/>
        </w:rPr>
        <w:t>）</w:t>
      </w:r>
      <w:r>
        <w:rPr/>
        <w:t>。您只有在与我们订立我们所规定的主险保险合同（以下简称</w:t>
      </w:r>
      <w:r>
        <w:rPr>
          <w:rFonts w:ascii="Times New Roman" w:hAnsi="Times New Roman" w:eastAsia="Times New Roman"/>
        </w:rPr>
        <w:t>“</w:t>
      </w:r>
      <w:r>
        <w:rPr/>
        <w:t>主险合同</w:t>
      </w:r>
      <w:r>
        <w:rPr>
          <w:rFonts w:ascii="Times New Roman" w:hAnsi="Times New Roman" w:eastAsia="Times New Roman"/>
        </w:rPr>
        <w:t>”</w:t>
      </w:r>
      <w:r>
        <w:rPr/>
        <w:t>）时，才可以选择订立附加合同。</w:t>
      </w:r>
    </w:p>
    <w:p>
      <w:pPr>
        <w:pStyle w:val="BodyText"/>
        <w:spacing w:line="273" w:lineRule="auto" w:before="35"/>
        <w:ind w:right="183"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如果本附加保险条款与主险合同所附保险条款或其他有关文件的规定不一致，以本附加保险条款为准。</w:t>
      </w:r>
    </w:p>
    <w:p>
      <w:pPr>
        <w:pStyle w:val="BodyText"/>
        <w:spacing w:line="256" w:lineRule="auto" w:before="8"/>
        <w:ind w:right="129" w:firstLine="420"/>
      </w:pPr>
      <w:r>
        <w:rPr/>
        <w:t>我们在本附加保险条款第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94" w:val="left" w:leader="none"/>
        </w:tabs>
        <w:spacing w:line="240" w:lineRule="auto" w:before="65" w:after="0"/>
        <w:ind w:left="594" w:right="0" w:hanging="480"/>
        <w:jc w:val="left"/>
      </w:pPr>
      <w:bookmarkStart w:name="_TOC_250027" w:id="3"/>
      <w:bookmarkEnd w:id="3"/>
      <w:r>
        <w:rPr/>
        <w:t>投保条件</w:t>
      </w:r>
    </w:p>
    <w:p>
      <w:pPr>
        <w:pStyle w:val="BodyText"/>
        <w:spacing w:before="15"/>
        <w:ind w:left="534"/>
      </w:pPr>
      <w:r>
        <w:rPr/>
        <w:t>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6" w:id="4"/>
      <w:bookmarkEnd w:id="4"/>
      <w:r>
        <w:rPr/>
        <w:t>保险期间</w:t>
      </w:r>
    </w:p>
    <w:p>
      <w:pPr>
        <w:pStyle w:val="BodyText"/>
        <w:spacing w:before="14"/>
        <w:ind w:left="534"/>
      </w:pPr>
      <w:r>
        <w:rPr/>
        <w:t>附加合同的保险期间与主险合同相同，自附加合同生效日次日零时起算。</w:t>
      </w:r>
    </w:p>
    <w:p>
      <w:pPr>
        <w:pStyle w:val="Heading2"/>
        <w:numPr>
          <w:ilvl w:val="1"/>
          <w:numId w:val="2"/>
        </w:numPr>
        <w:tabs>
          <w:tab w:pos="594" w:val="left" w:leader="none"/>
        </w:tabs>
        <w:spacing w:line="240" w:lineRule="auto" w:before="79" w:after="0"/>
        <w:ind w:left="594" w:right="0" w:hanging="480"/>
        <w:jc w:val="left"/>
      </w:pPr>
      <w:bookmarkStart w:name="_TOC_250025" w:id="5"/>
      <w:bookmarkEnd w:id="5"/>
      <w:r>
        <w:rPr/>
        <w:t>保险责任的开始和终止</w:t>
      </w:r>
    </w:p>
    <w:p>
      <w:pPr>
        <w:pStyle w:val="BodyText"/>
        <w:spacing w:before="15"/>
        <w:ind w:left="534"/>
      </w:pPr>
      <w:r>
        <w:rPr/>
        <w:t>一、保险责任的开始</w:t>
      </w:r>
    </w:p>
    <w:p>
      <w:pPr>
        <w:pStyle w:val="BodyText"/>
        <w:spacing w:line="273" w:lineRule="auto" w:before="66"/>
        <w:ind w:left="113" w:right="171" w:firstLine="420"/>
      </w:pPr>
      <w:r>
        <w:rPr/>
        <w:t>您完成投保申请，经我们审核同意，附加合同成立。自您交付的保险费到达我们的账户之日起，附加合同生效，具体的生效日期在保险单中载明。我们自附加合同生效日次日零时起开始承担保险责任。</w:t>
      </w:r>
    </w:p>
    <w:p>
      <w:pPr>
        <w:pStyle w:val="BodyText"/>
        <w:spacing w:before="7"/>
        <w:ind w:left="534"/>
      </w:pPr>
      <w:r>
        <w:rPr/>
        <w:t>二、保险责任的终止</w:t>
      </w:r>
    </w:p>
    <w:p>
      <w:pPr>
        <w:pStyle w:val="BodyText"/>
        <w:spacing w:before="67"/>
        <w:ind w:left="534"/>
      </w:pPr>
      <w:r>
        <w:rPr/>
        <w:t>发生下列情况之一时，附加合同保险责任自动终止：</w:t>
      </w:r>
    </w:p>
    <w:p>
      <w:pPr>
        <w:pStyle w:val="ListParagraph"/>
        <w:numPr>
          <w:ilvl w:val="0"/>
          <w:numId w:val="3"/>
        </w:numPr>
        <w:tabs>
          <w:tab w:pos="893" w:val="left" w:leader="none"/>
          <w:tab w:pos="895" w:val="left" w:leader="none"/>
        </w:tabs>
        <w:spacing w:line="240" w:lineRule="auto" w:before="67" w:after="0"/>
        <w:ind w:left="894" w:right="0" w:hanging="360"/>
        <w:jc w:val="left"/>
        <w:rPr>
          <w:sz w:val="21"/>
        </w:rPr>
      </w:pPr>
      <w:r>
        <w:rPr>
          <w:sz w:val="21"/>
        </w:rPr>
        <w:t>主险合同效力终止；</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附加合同保险期间届满；</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被保险人身故或永久完全残疾；</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被保险人被确诊患有附加合同约定的重大疾病；</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附加合同的效力依据附加合同的有关规定中止，未在中止期间内恢复效力的；</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附加合同其他条款约定的附加合同或保险责任终止的情形。</w:t>
      </w:r>
    </w:p>
    <w:p>
      <w:pPr>
        <w:pStyle w:val="Heading2"/>
        <w:numPr>
          <w:ilvl w:val="1"/>
          <w:numId w:val="2"/>
        </w:numPr>
        <w:tabs>
          <w:tab w:pos="594" w:val="left" w:leader="none"/>
        </w:tabs>
        <w:spacing w:line="240" w:lineRule="auto" w:before="63" w:after="0"/>
        <w:ind w:left="594" w:right="0" w:hanging="480"/>
        <w:jc w:val="left"/>
      </w:pPr>
      <w:bookmarkStart w:name="_TOC_250024" w:id="6"/>
      <w:bookmarkEnd w:id="6"/>
      <w:r>
        <w:rPr/>
        <w:t>犹豫期</w:t>
      </w:r>
    </w:p>
    <w:p>
      <w:pPr>
        <w:pStyle w:val="BodyText"/>
        <w:spacing w:before="15"/>
        <w:ind w:left="534"/>
      </w:pPr>
      <w:r>
        <w:rPr/>
        <w:t>附加合同的犹豫期与主险合同的相关规定一致。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3" w:id="7"/>
      <w:bookmarkEnd w:id="7"/>
      <w:r>
        <w:rPr/>
        <w:t>明确说明与如实告知</w:t>
      </w:r>
    </w:p>
    <w:p>
      <w:pPr>
        <w:pStyle w:val="BodyText"/>
        <w:spacing w:line="273" w:lineRule="auto" w:before="14"/>
        <w:ind w:right="20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8"/>
        <w:ind w:left="113"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险费。您因重大过失未履行如实告知义务，对保险事故的发生有严重影响的，我们对附加合同解除前发生的保险事故不承担给付保险金的责任，但将退还保险费。</w:t>
      </w:r>
    </w:p>
    <w:p>
      <w:pPr>
        <w:pStyle w:val="BodyText"/>
        <w:spacing w:before="8"/>
        <w:ind w:left="533"/>
      </w:pPr>
      <w:r>
        <w:rPr/>
        <w:t>前项规定的合同解除权，自我们知道有解除事由之日起，超过 </w:t>
      </w:r>
      <w:r>
        <w:rPr>
          <w:rFonts w:ascii="Times New Roman" w:eastAsia="Times New Roman"/>
        </w:rPr>
        <w:t>30 </w:t>
      </w:r>
      <w:r>
        <w:rPr/>
        <w:t>日不行使而消灭。自附加合同成立</w:t>
      </w:r>
    </w:p>
    <w:p>
      <w:pPr>
        <w:pStyle w:val="BodyText"/>
        <w:ind w:left="113"/>
      </w:pPr>
      <w:r>
        <w:rPr/>
        <w:t>之日起超过 </w:t>
      </w:r>
      <w:r>
        <w:rPr>
          <w:rFonts w:ascii="Times New Roman" w:eastAsia="Times New Roman"/>
        </w:rPr>
        <w:t>2 </w:t>
      </w:r>
      <w:r>
        <w:rPr/>
        <w:t>年的，我们不得解除附加合同；发生保险事故的，我们承担给付保险金的责任。</w:t>
      </w:r>
    </w:p>
    <w:p>
      <w:pPr>
        <w:pStyle w:val="BodyText"/>
        <w:spacing w:line="273" w:lineRule="auto"/>
        <w:ind w:left="113" w:right="184" w:firstLine="420"/>
      </w:pPr>
      <w:r>
        <w:rPr/>
        <w:t>我们在附加合同订立时已经知道您未如实告知的情况的，我们不得解除附加合同；发生保险事故的， 我们承担给付保险金的责任。</w:t>
      </w:r>
    </w:p>
    <w:p>
      <w:pPr>
        <w:pStyle w:val="Heading1"/>
        <w:numPr>
          <w:ilvl w:val="0"/>
          <w:numId w:val="2"/>
        </w:numPr>
        <w:tabs>
          <w:tab w:pos="593" w:val="left" w:leader="none"/>
          <w:tab w:pos="594" w:val="left" w:leader="none"/>
        </w:tabs>
        <w:spacing w:line="240" w:lineRule="auto" w:before="63" w:after="0"/>
        <w:ind w:left="594" w:right="0" w:hanging="480"/>
        <w:jc w:val="left"/>
        <w:rPr>
          <w:rFonts w:ascii="Times New Roman" w:eastAsia="Times New Roman"/>
        </w:rPr>
      </w:pPr>
      <w:bookmarkStart w:name="_TOC_250022" w:id="8"/>
      <w:bookmarkEnd w:id="8"/>
      <w:r>
        <w:rPr>
          <w:rFonts w:ascii="宋体" w:eastAsia="宋体" w:hint="eastAsia"/>
        </w:rPr>
        <w:t>附加合同项下的保障和利益</w:t>
      </w:r>
    </w:p>
    <w:p>
      <w:pPr>
        <w:spacing w:after="0" w:line="240" w:lineRule="auto"/>
        <w:jc w:val="left"/>
        <w:rPr>
          <w:rFonts w:ascii="Times New Roman" w:eastAsia="Times New Roman"/>
        </w:rPr>
        <w:sectPr>
          <w:pgSz w:w="11900" w:h="16840"/>
          <w:pgMar w:header="850" w:footer="856" w:top="1700" w:bottom="1040" w:left="1020" w:right="920"/>
        </w:sectPr>
      </w:pPr>
    </w:p>
    <w:p>
      <w:pPr>
        <w:pStyle w:val="Heading2"/>
        <w:numPr>
          <w:ilvl w:val="1"/>
          <w:numId w:val="2"/>
        </w:numPr>
        <w:tabs>
          <w:tab w:pos="594" w:val="left" w:leader="none"/>
        </w:tabs>
        <w:spacing w:line="297" w:lineRule="exact" w:before="0" w:after="0"/>
        <w:ind w:left="594" w:right="0" w:hanging="480"/>
        <w:jc w:val="left"/>
      </w:pPr>
      <w:bookmarkStart w:name="_TOC_250021" w:id="9"/>
      <w:bookmarkEnd w:id="9"/>
      <w:r>
        <w:rPr/>
        <w:t>保险金额</w:t>
      </w:r>
    </w:p>
    <w:p>
      <w:pPr>
        <w:pStyle w:val="BodyText"/>
        <w:spacing w:line="273" w:lineRule="auto" w:before="14"/>
        <w:ind w:left="113" w:right="185" w:firstLine="420"/>
        <w:jc w:val="both"/>
      </w:pPr>
      <w:r>
        <w:rPr>
          <w:spacing w:val="-2"/>
        </w:rPr>
        <w:t>附加合同和主险合同所称的保险金额，不是两者各自拥有的独立的保险金额，而是两者共用的保险金</w:t>
      </w:r>
      <w:r>
        <w:rPr>
          <w:spacing w:val="-5"/>
        </w:rPr>
        <w:t>额，即如果我们根据主险合同相关规定按保险金额给付身故或永久完全残疾保险金后，附加合同的保险金</w:t>
      </w:r>
      <w:r>
        <w:rPr>
          <w:spacing w:val="-8"/>
        </w:rPr>
        <w:t>额也等额扣除，附加合同自动终止；如果我们根据附加合同相关规定按保险金额给付保险金后，主险合同的保险金额也等额扣除，主险合同自动终止。附加合同的保险金额由您与我们约定，并在保险单中载明。</w:t>
      </w:r>
    </w:p>
    <w:p>
      <w:pPr>
        <w:pStyle w:val="Heading2"/>
        <w:numPr>
          <w:ilvl w:val="1"/>
          <w:numId w:val="2"/>
        </w:numPr>
        <w:tabs>
          <w:tab w:pos="594" w:val="left" w:leader="none"/>
        </w:tabs>
        <w:spacing w:line="240" w:lineRule="auto" w:before="49" w:after="0"/>
        <w:ind w:left="594" w:right="0" w:hanging="480"/>
        <w:jc w:val="left"/>
      </w:pPr>
      <w:bookmarkStart w:name="_TOC_250020" w:id="10"/>
      <w:bookmarkEnd w:id="10"/>
      <w:r>
        <w:rPr/>
        <w:t>我们提供的保障</w:t>
      </w:r>
    </w:p>
    <w:p>
      <w:pPr>
        <w:pStyle w:val="BodyText"/>
        <w:spacing w:line="273" w:lineRule="auto" w:before="14"/>
        <w:ind w:right="205" w:firstLine="420"/>
        <w:jc w:val="both"/>
      </w:pPr>
      <w:r>
        <w:rPr>
          <w:spacing w:val="-4"/>
        </w:rPr>
        <w:t>在保险期间内，我们承担下列保险责任，在附加合同履行中发生合同效力中止情形的，则按照本附加</w:t>
      </w:r>
      <w:r>
        <w:rPr>
          <w:spacing w:val="-13"/>
        </w:rPr>
        <w:t>保险条款第 </w:t>
      </w:r>
      <w:r>
        <w:rPr>
          <w:rFonts w:ascii="Times New Roman" w:eastAsia="Times New Roman"/>
        </w:rPr>
        <w:t>3.3 </w:t>
      </w:r>
      <w:r>
        <w:rPr/>
        <w:t>款的约定执行：</w:t>
      </w:r>
    </w:p>
    <w:p>
      <w:pPr>
        <w:pStyle w:val="BodyText"/>
        <w:spacing w:line="256" w:lineRule="auto" w:before="0"/>
        <w:ind w:left="113" w:right="205" w:firstLine="420"/>
        <w:jc w:val="both"/>
      </w:pPr>
      <w:r>
        <w:rPr>
          <w:spacing w:val="-8"/>
        </w:rPr>
        <w:t>一、若被保险人因意外伤害事故，或在合同生效日次日零时起</w:t>
      </w:r>
      <w:r>
        <w:rPr>
          <w:rFonts w:ascii="Times New Roman" w:eastAsia="Times New Roman"/>
        </w:rPr>
        <w:t>(</w:t>
      </w:r>
      <w:r>
        <w:rPr>
          <w:spacing w:val="-3"/>
        </w:rPr>
        <w:t>在附加合同履行中有复效情形的，自每一次复效日次日零时起</w:t>
      </w:r>
      <w:r>
        <w:rPr>
          <w:spacing w:val="-8"/>
        </w:rPr>
        <w:t>）</w:t>
      </w:r>
      <w:r>
        <w:rPr>
          <w:spacing w:val="-27"/>
        </w:rPr>
        <w:t>满 </w:t>
      </w:r>
      <w:r>
        <w:rPr>
          <w:rFonts w:ascii="Times New Roman" w:eastAsia="Times New Roman"/>
        </w:rPr>
        <w:t>180 </w:t>
      </w:r>
      <w:r>
        <w:rPr>
          <w:spacing w:val="-4"/>
        </w:rPr>
        <w:t>日后</w:t>
      </w:r>
      <w:r>
        <w:rPr/>
        <w:t>（</w:t>
      </w:r>
      <w:r>
        <w:rPr>
          <w:spacing w:val="-14"/>
        </w:rPr>
        <w:t>不含第 </w:t>
      </w:r>
      <w:r>
        <w:rPr>
          <w:rFonts w:ascii="Times New Roman" w:eastAsia="Times New Roman"/>
        </w:rPr>
        <w:t>180 </w:t>
      </w:r>
      <w:r>
        <w:rPr/>
        <w:t>日</w:t>
      </w:r>
      <w:r>
        <w:rPr>
          <w:spacing w:val="-8"/>
        </w:rPr>
        <w:t>）</w:t>
      </w:r>
      <w:r>
        <w:rPr>
          <w:spacing w:val="-1"/>
        </w:rPr>
        <w:t>因意外伤害事故以外的原因，初次罹患并被我们指</w:t>
      </w:r>
    </w:p>
    <w:p>
      <w:pPr>
        <w:pStyle w:val="BodyText"/>
        <w:spacing w:line="264" w:lineRule="auto" w:before="17"/>
        <w:ind w:left="113" w:right="101"/>
      </w:pPr>
      <w:r>
        <w:rPr>
          <w:spacing w:val="-3"/>
        </w:rPr>
        <w:t>定或认可的医院的专科医生确诊为本附加保险条款第 </w:t>
      </w:r>
      <w:r>
        <w:rPr>
          <w:rFonts w:ascii="Times New Roman" w:hAnsi="Times New Roman" w:eastAsia="Times New Roman"/>
        </w:rPr>
        <w:t>6 </w:t>
      </w:r>
      <w:r>
        <w:rPr/>
        <w:t>条中</w:t>
      </w:r>
      <w:r>
        <w:rPr>
          <w:rFonts w:ascii="Times New Roman" w:hAnsi="Times New Roman" w:eastAsia="Times New Roman"/>
        </w:rPr>
        <w:t>“</w:t>
      </w:r>
      <w:r>
        <w:rPr/>
        <w:t>重大疾病</w:t>
      </w:r>
      <w:r>
        <w:rPr>
          <w:rFonts w:ascii="Times New Roman" w:hAnsi="Times New Roman" w:eastAsia="Times New Roman"/>
        </w:rPr>
        <w:t>”</w:t>
      </w:r>
      <w:r>
        <w:rPr/>
        <w:t>术语项下的一项或多项重大疾病， </w:t>
      </w:r>
      <w:r>
        <w:rPr>
          <w:spacing w:val="-6"/>
        </w:rPr>
        <w:t>我们按附加合同的保险金额给付重大疾病保险金，附加合同终止，同时，主险合同的保险金额也等额扣除， 主险合同自动终止。</w:t>
      </w:r>
    </w:p>
    <w:p>
      <w:pPr>
        <w:spacing w:line="228" w:lineRule="auto" w:before="8"/>
        <w:ind w:left="113" w:right="204" w:firstLine="480"/>
        <w:jc w:val="both"/>
        <w:rPr>
          <w:rFonts w:ascii="黑体" w:hAnsi="黑体" w:eastAsia="黑体" w:hint="eastAsia"/>
          <w:sz w:val="24"/>
        </w:rPr>
      </w:pPr>
      <w:r>
        <w:rPr>
          <w:rFonts w:ascii="黑体" w:hAnsi="黑体" w:eastAsia="黑体" w:hint="eastAsia"/>
          <w:spacing w:val="-6"/>
          <w:sz w:val="24"/>
        </w:rPr>
        <w:t>二、若被保险人在合同</w:t>
      </w:r>
      <w:r>
        <w:rPr>
          <w:rFonts w:ascii="黑体" w:hAnsi="黑体" w:eastAsia="黑体" w:hint="eastAsia"/>
          <w:sz w:val="24"/>
        </w:rPr>
        <w:t>Th效日次日零时起</w:t>
      </w:r>
      <w:r>
        <w:rPr>
          <w:rFonts w:ascii="Times New Roman" w:hAnsi="Times New Roman" w:eastAsia="Times New Roman"/>
          <w:sz w:val="24"/>
        </w:rPr>
        <w:t>(</w:t>
      </w:r>
      <w:r>
        <w:rPr>
          <w:rFonts w:ascii="黑体" w:hAnsi="黑体" w:eastAsia="黑体" w:hint="eastAsia"/>
          <w:spacing w:val="-2"/>
          <w:sz w:val="24"/>
        </w:rPr>
        <w:t>在附加合同履行中有复效情形的，自每一次复效日次日零时起）</w:t>
      </w:r>
      <w:r>
        <w:rPr>
          <w:rFonts w:ascii="Times New Roman" w:hAnsi="Times New Roman" w:eastAsia="Times New Roman"/>
          <w:spacing w:val="-2"/>
          <w:sz w:val="24"/>
        </w:rPr>
        <w:t>180 </w:t>
      </w:r>
      <w:r>
        <w:rPr>
          <w:rFonts w:ascii="黑体" w:hAnsi="黑体" w:eastAsia="黑体" w:hint="eastAsia"/>
          <w:sz w:val="24"/>
        </w:rPr>
        <w:t>日内（</w:t>
      </w:r>
      <w:r>
        <w:rPr>
          <w:rFonts w:ascii="黑体" w:hAnsi="黑体" w:eastAsia="黑体" w:hint="eastAsia"/>
          <w:spacing w:val="-10"/>
          <w:sz w:val="24"/>
        </w:rPr>
        <w:t>含第 </w:t>
      </w:r>
      <w:r>
        <w:rPr>
          <w:rFonts w:ascii="Times New Roman" w:hAnsi="Times New Roman" w:eastAsia="Times New Roman"/>
          <w:sz w:val="24"/>
        </w:rPr>
        <w:t>180 </w:t>
      </w:r>
      <w:r>
        <w:rPr>
          <w:rFonts w:ascii="黑体" w:hAnsi="黑体" w:eastAsia="黑体" w:hint="eastAsia"/>
          <w:sz w:val="24"/>
        </w:rPr>
        <w:t>日）因意外伤害事故以外的原因，经诊断患有足以导</w:t>
      </w:r>
      <w:r>
        <w:rPr>
          <w:rFonts w:ascii="黑体" w:hAnsi="黑体" w:eastAsia="黑体" w:hint="eastAsia"/>
          <w:spacing w:val="-2"/>
          <w:sz w:val="24"/>
        </w:rPr>
        <w:t>致附加合同约定的重大疾病的疾病，或经诊断患有本附加保险条款第 </w:t>
      </w:r>
      <w:r>
        <w:rPr>
          <w:rFonts w:ascii="Times New Roman" w:hAnsi="Times New Roman" w:eastAsia="Times New Roman"/>
          <w:sz w:val="24"/>
        </w:rPr>
        <w:t>6 </w:t>
      </w:r>
      <w:r>
        <w:rPr>
          <w:rFonts w:ascii="黑体" w:hAnsi="黑体" w:eastAsia="黑体" w:hint="eastAsia"/>
          <w:sz w:val="24"/>
        </w:rPr>
        <w:t>条中“重大疾病”术语项下的一项或多项重大疾病，附加合同终止，我们向您返还附加合同终止时您已交付的附加合同保险费与附加合同现金价值两者中金额较大者，主险合同继续有效。</w:t>
      </w:r>
    </w:p>
    <w:p>
      <w:pPr>
        <w:pStyle w:val="Heading2"/>
        <w:numPr>
          <w:ilvl w:val="1"/>
          <w:numId w:val="2"/>
        </w:numPr>
        <w:tabs>
          <w:tab w:pos="594" w:val="left" w:leader="none"/>
        </w:tabs>
        <w:spacing w:line="300" w:lineRule="exact" w:before="64" w:after="0"/>
        <w:ind w:left="594" w:right="0" w:hanging="480"/>
        <w:jc w:val="left"/>
      </w:pPr>
      <w:bookmarkStart w:name="_TOC_250019" w:id="11"/>
      <w:bookmarkEnd w:id="11"/>
      <w:r>
        <w:rPr/>
        <w:t>我们不承担的责任</w:t>
      </w:r>
    </w:p>
    <w:p>
      <w:pPr>
        <w:spacing w:line="261" w:lineRule="auto" w:before="0"/>
        <w:ind w:left="593" w:right="1985" w:hanging="60"/>
        <w:jc w:val="left"/>
        <w:rPr>
          <w:rFonts w:ascii="黑体" w:eastAsia="黑体" w:hint="eastAsia"/>
          <w:sz w:val="24"/>
        </w:rPr>
      </w:pPr>
      <w:r>
        <w:rPr>
          <w:rFonts w:ascii="黑体" w:eastAsia="黑体" w:hint="eastAsia"/>
          <w:sz w:val="24"/>
        </w:rPr>
        <w:t>因下列任一情形导致被保险人身患重大疾病的，我们不承担保险责任： 一、投保人对被保险人的故意杀害、故意伤害或故意造成疾病；</w:t>
      </w:r>
    </w:p>
    <w:p>
      <w:pPr>
        <w:spacing w:line="312" w:lineRule="exact" w:before="11"/>
        <w:ind w:left="593" w:right="216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593" w:right="697"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Times New Roman" w:eastAsia="Times New Roman"/>
          <w:spacing w:val="-1"/>
          <w:sz w:val="24"/>
        </w:rPr>
        <w:t>(HI</w:t>
      </w:r>
      <w:r>
        <w:rPr>
          <w:rFonts w:ascii="Times New Roman" w:eastAsia="Times New Roman"/>
          <w:sz w:val="24"/>
        </w:rPr>
        <w:t>V </w:t>
      </w:r>
      <w:r>
        <w:rPr>
          <w:rFonts w:ascii="黑体" w:eastAsia="黑体" w:hint="eastAsia"/>
          <w:sz w:val="24"/>
        </w:rPr>
        <w:t>呈阳性</w:t>
      </w:r>
      <w:r>
        <w:rPr>
          <w:rFonts w:ascii="Times New Roman" w:eastAsia="Times New Roman"/>
          <w:sz w:val="24"/>
        </w:rPr>
        <w:t>)</w:t>
      </w:r>
      <w:r>
        <w:rPr>
          <w:rFonts w:ascii="黑体" w:eastAsia="黑体" w:hint="eastAsia"/>
          <w:sz w:val="24"/>
        </w:rPr>
        <w:t>或患艾滋病（</w:t>
      </w:r>
      <w:r>
        <w:rPr>
          <w:rFonts w:ascii="Times New Roman" w:eastAsia="Times New Roman"/>
          <w:spacing w:val="-1"/>
          <w:sz w:val="24"/>
        </w:rPr>
        <w:t>AID</w:t>
      </w:r>
      <w:r>
        <w:rPr>
          <w:rFonts w:ascii="Times New Roman" w:eastAsia="Times New Roman"/>
          <w:sz w:val="24"/>
        </w:rPr>
        <w:t>S</w:t>
      </w:r>
      <w:r>
        <w:rPr>
          <w:rFonts w:ascii="黑体" w:eastAsia="黑体" w:hint="eastAsia"/>
          <w:spacing w:val="-120"/>
          <w:sz w:val="24"/>
        </w:rPr>
        <w:t>）</w:t>
      </w:r>
      <w:r>
        <w:rPr>
          <w:rFonts w:ascii="黑体" w:eastAsia="黑体" w:hint="eastAsia"/>
          <w:sz w:val="24"/>
        </w:rPr>
        <w:t>；</w:t>
      </w:r>
    </w:p>
    <w:p>
      <w:pPr>
        <w:spacing w:line="312" w:lineRule="exact" w:before="0"/>
        <w:ind w:left="593" w:right="504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283" w:lineRule="exact" w:before="0"/>
        <w:ind w:left="593"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205" w:firstLine="420"/>
        <w:jc w:val="both"/>
      </w:pPr>
      <w:r>
        <w:rPr>
          <w:spacing w:val="-3"/>
        </w:rPr>
        <w:t>被保险人因上述任一情形导致身患重大疾病，附加合同终止，主险合同继续有效。我们向您或其他权利人退还附加合同终止时的现金价值。</w:t>
      </w:r>
    </w:p>
    <w:p>
      <w:pPr>
        <w:pStyle w:val="Heading1"/>
        <w:numPr>
          <w:ilvl w:val="0"/>
          <w:numId w:val="2"/>
        </w:numPr>
        <w:tabs>
          <w:tab w:pos="593" w:val="left" w:leader="none"/>
          <w:tab w:pos="594" w:val="left" w:leader="none"/>
        </w:tabs>
        <w:spacing w:line="240" w:lineRule="auto" w:before="62" w:after="0"/>
        <w:ind w:left="594" w:right="0" w:hanging="480"/>
        <w:jc w:val="left"/>
      </w:pPr>
      <w:bookmarkStart w:name="_TOC_250018" w:id="12"/>
      <w:bookmarkEnd w:id="12"/>
      <w:r>
        <w:rPr>
          <w:rFonts w:ascii="宋体" w:eastAsia="宋体" w:hint="eastAsia"/>
        </w:rPr>
        <w:t>您在附加合同项下的权利和义务</w:t>
      </w:r>
    </w:p>
    <w:p>
      <w:pPr>
        <w:pStyle w:val="Heading2"/>
        <w:numPr>
          <w:ilvl w:val="1"/>
          <w:numId w:val="2"/>
        </w:numPr>
        <w:tabs>
          <w:tab w:pos="594" w:val="left" w:leader="none"/>
        </w:tabs>
        <w:spacing w:line="240" w:lineRule="auto" w:before="141" w:after="0"/>
        <w:ind w:left="594" w:right="0" w:hanging="480"/>
        <w:jc w:val="left"/>
      </w:pPr>
      <w:bookmarkStart w:name="_TOC_250017" w:id="13"/>
      <w:bookmarkEnd w:id="13"/>
      <w:r>
        <w:rPr/>
        <w:t>保险费的交付</w:t>
      </w:r>
    </w:p>
    <w:p>
      <w:pPr>
        <w:pStyle w:val="BodyText"/>
        <w:spacing w:before="14"/>
        <w:ind w:left="534"/>
      </w:pPr>
      <w:r>
        <w:rPr/>
        <w:t>附加合同的保险费按约定的保险金额和保险费率确定。</w:t>
      </w:r>
    </w:p>
    <w:p>
      <w:pPr>
        <w:pStyle w:val="BodyText"/>
        <w:spacing w:line="273" w:lineRule="auto" w:before="37"/>
        <w:ind w:right="203"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期保险费应在交费期间内每年的合同生效日对应日交付。合同生效日对应日即为续期保险费的约定交付日。</w:t>
      </w:r>
    </w:p>
    <w:p>
      <w:pPr>
        <w:pStyle w:val="BodyText"/>
        <w:spacing w:line="273" w:lineRule="auto" w:before="8"/>
        <w:ind w:right="205" w:firstLine="420"/>
        <w:jc w:val="both"/>
      </w:pPr>
      <w:r>
        <w:rPr>
          <w:spacing w:val="-1"/>
        </w:rPr>
        <w:t>附加合同的保险费交付日期与主险合同保险费的交付日期相同，附加合同和主险合同的续期保险费应同时交付。</w:t>
      </w:r>
    </w:p>
    <w:p>
      <w:pPr>
        <w:pStyle w:val="Heading2"/>
        <w:numPr>
          <w:ilvl w:val="1"/>
          <w:numId w:val="2"/>
        </w:numPr>
        <w:tabs>
          <w:tab w:pos="594" w:val="left" w:leader="none"/>
        </w:tabs>
        <w:spacing w:line="240" w:lineRule="auto" w:before="50" w:after="0"/>
        <w:ind w:left="594" w:right="0" w:hanging="480"/>
        <w:jc w:val="left"/>
      </w:pPr>
      <w:bookmarkStart w:name="_TOC_250016" w:id="14"/>
      <w:bookmarkEnd w:id="14"/>
      <w:r>
        <w:rPr/>
        <w:t>宽限期</w:t>
      </w:r>
    </w:p>
    <w:p>
      <w:pPr>
        <w:pStyle w:val="BodyText"/>
        <w:spacing w:line="264" w:lineRule="auto" w:before="15"/>
        <w:ind w:right="20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内您可以继续交付续期保险费，如果发生保险事故，我们仍按附加合同的约定承担保险责任，但在给付保险金时将扣除您欠交的续期保险费。</w:t>
      </w:r>
    </w:p>
    <w:p>
      <w:pPr>
        <w:pStyle w:val="Heading2"/>
        <w:numPr>
          <w:ilvl w:val="1"/>
          <w:numId w:val="2"/>
        </w:numPr>
        <w:tabs>
          <w:tab w:pos="594" w:val="left" w:leader="none"/>
        </w:tabs>
        <w:spacing w:line="240" w:lineRule="auto" w:before="58" w:after="0"/>
        <w:ind w:left="594" w:right="0" w:hanging="480"/>
        <w:jc w:val="left"/>
      </w:pPr>
      <w:bookmarkStart w:name="_TOC_250015" w:id="15"/>
      <w:bookmarkEnd w:id="15"/>
      <w:r>
        <w:rPr/>
        <w:t>合同效力的中止和恢复</w:t>
      </w:r>
    </w:p>
    <w:p>
      <w:pPr>
        <w:spacing w:after="0" w:line="240" w:lineRule="auto"/>
        <w:jc w:val="left"/>
        <w:sectPr>
          <w:headerReference w:type="default" r:id="rId8"/>
          <w:footerReference w:type="default" r:id="rId9"/>
          <w:pgSz w:w="11900" w:h="16840"/>
          <w:pgMar w:header="850" w:footer="856" w:top="1700" w:bottom="1040" w:left="1020" w:right="920"/>
          <w:pgNumType w:start="3"/>
        </w:sectPr>
      </w:pPr>
    </w:p>
    <w:p>
      <w:pPr>
        <w:spacing w:line="254" w:lineRule="auto" w:before="0"/>
        <w:ind w:left="113" w:right="12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续期保险费及利息之日起，附加合同效力恢复，我们对被保险人自合同效力恢复之日的次日零时起发生的保险事故承担保险责任。</w:t>
      </w:r>
    </w:p>
    <w:p>
      <w:pPr>
        <w:pStyle w:val="BodyText"/>
        <w:spacing w:line="273" w:lineRule="auto" w:before="25"/>
        <w:ind w:right="105" w:firstLine="420"/>
      </w:pPr>
      <w:r>
        <w:rPr/>
        <w:t>附加合同自效力中止之日起满两年未恢复效力的，则自该两年中止期间届满日次日零时起自动终止，我们将向您支付附加合同效力中止之日的现金价值，但将扣除您的各项欠款。</w:t>
      </w:r>
    </w:p>
    <w:p>
      <w:pPr>
        <w:pStyle w:val="Heading2"/>
        <w:numPr>
          <w:ilvl w:val="1"/>
          <w:numId w:val="2"/>
        </w:numPr>
        <w:tabs>
          <w:tab w:pos="594" w:val="left" w:leader="none"/>
        </w:tabs>
        <w:spacing w:line="240" w:lineRule="auto" w:before="49" w:after="0"/>
        <w:ind w:left="594" w:right="0" w:hanging="480"/>
        <w:jc w:val="left"/>
      </w:pPr>
      <w:bookmarkStart w:name="_TOC_250014" w:id="16"/>
      <w:bookmarkEnd w:id="16"/>
      <w:r>
        <w:rPr/>
        <w:t>犹豫期后解除合同的处理</w:t>
      </w:r>
    </w:p>
    <w:p>
      <w:pPr>
        <w:pStyle w:val="BodyText"/>
        <w:spacing w:before="15"/>
        <w:ind w:left="534"/>
      </w:pPr>
      <w:r>
        <w:rPr/>
        <w:t>犹豫期过后，您要求解除附加合同的，应填写解除合同申请书，并向我们提供下列材料：</w:t>
      </w:r>
    </w:p>
    <w:p>
      <w:pPr>
        <w:pStyle w:val="BodyText"/>
        <w:spacing w:before="37"/>
        <w:ind w:left="533"/>
      </w:pPr>
      <w:r>
        <w:rPr/>
        <w:t>（</w:t>
      </w:r>
      <w:r>
        <w:rPr>
          <w:rFonts w:ascii="Times New Roman" w:eastAsia="Times New Roman"/>
        </w:rPr>
        <w:t>1</w:t>
      </w:r>
      <w:r>
        <w:rPr/>
        <w:t>）保险合同原件；</w:t>
      </w:r>
    </w:p>
    <w:p>
      <w:pPr>
        <w:pStyle w:val="BodyText"/>
        <w:ind w:left="534"/>
      </w:pPr>
      <w:r>
        <w:rPr/>
        <w:t>（</w:t>
      </w:r>
      <w:r>
        <w:rPr>
          <w:rFonts w:ascii="Times New Roman" w:eastAsia="Times New Roman"/>
        </w:rPr>
        <w:t>2</w:t>
      </w:r>
      <w:r>
        <w:rPr/>
        <w:t>）您的有效身份证件。</w:t>
      </w:r>
    </w:p>
    <w:p>
      <w:pPr>
        <w:pStyle w:val="BodyText"/>
        <w:spacing w:line="273" w:lineRule="auto"/>
        <w:ind w:right="7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4"/>
      </w:pPr>
      <w:r>
        <w:rPr/>
        <w:t>您在犹豫期后解除合同会遭受一定的损失。</w:t>
      </w:r>
    </w:p>
    <w:p>
      <w:pPr>
        <w:pStyle w:val="Heading2"/>
        <w:numPr>
          <w:ilvl w:val="1"/>
          <w:numId w:val="2"/>
        </w:numPr>
        <w:tabs>
          <w:tab w:pos="594" w:val="left" w:leader="none"/>
        </w:tabs>
        <w:spacing w:line="240" w:lineRule="auto" w:before="79" w:after="0"/>
        <w:ind w:left="594" w:right="0" w:hanging="480"/>
        <w:jc w:val="left"/>
      </w:pPr>
      <w:bookmarkStart w:name="_TOC_250013" w:id="17"/>
      <w:bookmarkEnd w:id="17"/>
      <w:r>
        <w:rPr/>
        <w:t>合同内容的变更</w:t>
      </w:r>
    </w:p>
    <w:p>
      <w:pPr>
        <w:pStyle w:val="BodyText"/>
        <w:spacing w:line="273" w:lineRule="auto" w:before="15"/>
        <w:ind w:right="75" w:firstLine="420"/>
      </w:pPr>
      <w:r>
        <w:rPr/>
        <w:t>在附加合同有效期内，您与我们经协商一致，可以变更附加合同内容。我们同意您的变更申请并出具修改批单，或与您订立书面的变更协议后，变更方能生效。</w:t>
      </w:r>
    </w:p>
    <w:p>
      <w:pPr>
        <w:pStyle w:val="Heading2"/>
        <w:numPr>
          <w:ilvl w:val="1"/>
          <w:numId w:val="2"/>
        </w:numPr>
        <w:tabs>
          <w:tab w:pos="594" w:val="left" w:leader="none"/>
        </w:tabs>
        <w:spacing w:line="240" w:lineRule="auto" w:before="50" w:after="0"/>
        <w:ind w:left="594" w:right="0" w:hanging="480"/>
        <w:jc w:val="left"/>
      </w:pPr>
      <w:bookmarkStart w:name="_TOC_250012" w:id="18"/>
      <w:bookmarkEnd w:id="18"/>
      <w:r>
        <w:rPr/>
        <w:t>现金价值</w:t>
      </w:r>
    </w:p>
    <w:p>
      <w:pPr>
        <w:pStyle w:val="BodyText"/>
        <w:spacing w:line="264" w:lineRule="auto" w:before="14"/>
        <w:ind w:left="113" w:right="125" w:firstLine="420"/>
        <w:jc w:val="both"/>
      </w:pPr>
      <w:r>
        <w:rPr/>
        <w:t>每一保单年度的现金价值具体数额请见</w:t>
      </w:r>
      <w:r>
        <w:rPr>
          <w:rFonts w:ascii="Times New Roman" w:hAnsi="Times New Roman" w:eastAsia="Times New Roman"/>
        </w:rPr>
        <w:t>“</w:t>
      </w:r>
      <w:r>
        <w:rPr/>
        <w:t>现金价值表</w:t>
      </w:r>
      <w:r>
        <w:rPr>
          <w:rFonts w:ascii="Times New Roman" w:hAnsi="Times New Roman" w:eastAsia="Times New Roman"/>
        </w:rPr>
        <w:t>”</w:t>
      </w:r>
      <w:r>
        <w:rPr/>
        <w:t>。</w:t>
      </w:r>
      <w:r>
        <w:rPr>
          <w:rFonts w:ascii="Times New Roman" w:hAnsi="Times New Roman" w:eastAsia="Times New Roman"/>
        </w:rPr>
        <w:t>“</w:t>
      </w:r>
      <w:r>
        <w:rPr/>
        <w:t>现金价值表</w:t>
      </w:r>
      <w:r>
        <w:rPr>
          <w:rFonts w:ascii="Times New Roman" w:hAnsi="Times New Roman" w:eastAsia="Times New Roman"/>
        </w:rPr>
        <w:t>”</w:t>
      </w:r>
      <w:r>
        <w:rPr/>
        <w:t>中所列每一保单年度的现金价值</w:t>
      </w:r>
      <w:r>
        <w:rPr>
          <w:spacing w:val="-1"/>
        </w:rPr>
        <w:t>数额是在您按时交付该保单年度续期保险费的情况下该保单年度的现金价值。如您欠交某保单年度的保险费，则该保单年度的现金价值为您已交最后一期保险费所对应的保单年度的现金价值。</w:t>
      </w:r>
    </w:p>
    <w:p>
      <w:pPr>
        <w:pStyle w:val="Heading1"/>
        <w:numPr>
          <w:ilvl w:val="0"/>
          <w:numId w:val="2"/>
        </w:numPr>
        <w:tabs>
          <w:tab w:pos="593" w:val="left" w:leader="none"/>
          <w:tab w:pos="594" w:val="left" w:leader="none"/>
        </w:tabs>
        <w:spacing w:line="240" w:lineRule="auto" w:before="71" w:after="0"/>
        <w:ind w:left="594" w:right="0" w:hanging="480"/>
        <w:jc w:val="left"/>
        <w:rPr>
          <w:rFonts w:ascii="Times New Roman" w:eastAsia="Times New Roman"/>
        </w:rPr>
      </w:pPr>
      <w:bookmarkStart w:name="_TOC_250011" w:id="19"/>
      <w:bookmarkEnd w:id="19"/>
      <w:r>
        <w:rPr>
          <w:rFonts w:ascii="宋体" w:eastAsia="宋体" w:hint="eastAsia"/>
        </w:rPr>
        <w:t>如何申请领取保险金</w:t>
      </w:r>
    </w:p>
    <w:p>
      <w:pPr>
        <w:pStyle w:val="Heading2"/>
        <w:numPr>
          <w:ilvl w:val="1"/>
          <w:numId w:val="2"/>
        </w:numPr>
        <w:tabs>
          <w:tab w:pos="594" w:val="left" w:leader="none"/>
        </w:tabs>
        <w:spacing w:line="240" w:lineRule="auto" w:before="123" w:after="0"/>
        <w:ind w:left="594" w:right="0" w:hanging="480"/>
        <w:jc w:val="left"/>
      </w:pPr>
      <w:bookmarkStart w:name="_TOC_250010" w:id="20"/>
      <w:bookmarkEnd w:id="20"/>
      <w:r>
        <w:rPr/>
        <w:t>保险金受益人</w:t>
      </w:r>
    </w:p>
    <w:p>
      <w:pPr>
        <w:pStyle w:val="BodyText"/>
        <w:spacing w:line="273" w:lineRule="auto" w:before="15"/>
        <w:ind w:right="105" w:firstLine="420"/>
      </w:pPr>
      <w:r>
        <w:rPr/>
        <w:t>除附加合同另有约定外，重大疾病保险金的受益人为被保险人本人。因受益人变更引起的法律纠纷，我们不承担任何责任。</w:t>
      </w:r>
    </w:p>
    <w:p>
      <w:pPr>
        <w:pStyle w:val="Heading2"/>
        <w:numPr>
          <w:ilvl w:val="1"/>
          <w:numId w:val="2"/>
        </w:numPr>
        <w:tabs>
          <w:tab w:pos="594" w:val="left" w:leader="none"/>
        </w:tabs>
        <w:spacing w:line="240" w:lineRule="auto" w:before="49" w:after="0"/>
        <w:ind w:left="594" w:right="0" w:hanging="480"/>
        <w:jc w:val="left"/>
      </w:pPr>
      <w:bookmarkStart w:name="_TOC_250009" w:id="21"/>
      <w:bookmarkEnd w:id="21"/>
      <w:r>
        <w:rPr/>
        <w:t>保险事故的通知</w:t>
      </w:r>
    </w:p>
    <w:p>
      <w:pPr>
        <w:pStyle w:val="BodyText"/>
        <w:spacing w:line="266" w:lineRule="auto" w:before="15"/>
        <w:ind w:left="113" w:right="105"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4" w:right="0" w:hanging="480"/>
        <w:jc w:val="left"/>
      </w:pPr>
      <w:bookmarkStart w:name="_TOC_250008" w:id="22"/>
      <w:bookmarkEnd w:id="22"/>
      <w:r>
        <w:rPr/>
        <w:t>保险金的申请和给付</w:t>
      </w:r>
    </w:p>
    <w:p>
      <w:pPr>
        <w:pStyle w:val="BodyText"/>
        <w:spacing w:before="14"/>
        <w:ind w:left="534"/>
      </w:pPr>
      <w:r>
        <w:rPr/>
        <w:t>一、重大疾病保险金的申请</w:t>
      </w:r>
    </w:p>
    <w:p>
      <w:pPr>
        <w:pStyle w:val="BodyText"/>
        <w:spacing w:before="37"/>
        <w:ind w:left="533"/>
      </w:pPr>
      <w:r>
        <w:rPr/>
        <w:t>由重大疾病保险金的受益人作为申请人，向我们提交保险金给付申请书和下列证明材料申请给付：</w:t>
      </w:r>
    </w:p>
    <w:p>
      <w:pPr>
        <w:pStyle w:val="ListParagraph"/>
        <w:numPr>
          <w:ilvl w:val="0"/>
          <w:numId w:val="4"/>
        </w:numPr>
        <w:tabs>
          <w:tab w:pos="798" w:val="left" w:leader="none"/>
        </w:tabs>
        <w:spacing w:line="240" w:lineRule="auto" w:before="37" w:after="0"/>
        <w:ind w:left="114" w:right="0" w:firstLine="420"/>
        <w:jc w:val="left"/>
        <w:rPr>
          <w:sz w:val="21"/>
        </w:rPr>
      </w:pPr>
      <w:r>
        <w:rPr>
          <w:spacing w:val="-1"/>
          <w:sz w:val="21"/>
        </w:rPr>
        <w:t>保险合同原件；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sz w:val="21"/>
        </w:rPr>
      </w:pPr>
      <w:r>
        <w:rPr>
          <w:spacing w:val="-3"/>
          <w:sz w:val="21"/>
        </w:rPr>
        <w:t>由我们指定或认可的医院出具的被保险人身患重大疾病的诊断证明书原件，并应附有病理显微镜检查、血液检验及其他科学方法的检验报告；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sz w:val="21"/>
        </w:rPr>
        <w:t>申请人所能提供的与确认保险事故的性质、原因、程度等有关的其他证明材料。</w:t>
      </w:r>
    </w:p>
    <w:p>
      <w:pPr>
        <w:pStyle w:val="BodyText"/>
        <w:spacing w:line="273" w:lineRule="auto" w:before="20"/>
        <w:ind w:right="12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2"/>
        <w:ind w:left="512"/>
      </w:pPr>
      <w:r>
        <w:rPr>
          <w:rFonts w:ascii="Times New Roman" w:eastAsia="Times New Roman"/>
        </w:rPr>
        <w:t>1</w:t>
      </w:r>
      <w:r>
        <w:rPr/>
        <w:t>．您或被保险人不及时配合我们的理赔调查；</w:t>
      </w:r>
    </w:p>
    <w:p>
      <w:pPr>
        <w:pStyle w:val="BodyText"/>
        <w:ind w:left="512"/>
      </w:pPr>
      <w:r>
        <w:rPr>
          <w:rFonts w:ascii="Times New Roman" w:eastAsia="Times New Roman"/>
        </w:rPr>
        <w:t>2</w:t>
      </w:r>
      <w:r>
        <w:rPr/>
        <w:t>．被保险人身处偏远地区，导致我们不能及时了解情况；</w:t>
      </w:r>
    </w:p>
    <w:p>
      <w:pPr>
        <w:spacing w:after="0"/>
        <w:sectPr>
          <w:pgSz w:w="11900" w:h="16840"/>
          <w:pgMar w:header="850" w:footer="856" w:top="1700" w:bottom="1040" w:left="1020" w:right="1000"/>
        </w:sectPr>
      </w:pPr>
    </w:p>
    <w:p>
      <w:pPr>
        <w:pStyle w:val="BodyText"/>
        <w:spacing w:line="290" w:lineRule="exact" w:before="0"/>
        <w:ind w:left="512"/>
      </w:pPr>
      <w:r>
        <w:rPr>
          <w:rFonts w:ascii="Times New Roman" w:eastAsia="Times New Roman"/>
        </w:rPr>
        <w:t>3</w:t>
      </w:r>
      <w:r>
        <w:rPr/>
        <w:t>．不可抗力导致我们不能及时进行理赔。</w:t>
      </w:r>
    </w:p>
    <w:p>
      <w:pPr>
        <w:pStyle w:val="BodyText"/>
        <w:spacing w:line="264" w:lineRule="auto"/>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6"/>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64" w:lineRule="auto" w:before="0"/>
        <w:ind w:right="205" w:firstLine="420"/>
        <w:jc w:val="both"/>
      </w:pPr>
      <w:r>
        <w:rPr>
          <w:spacing w:val="-1"/>
        </w:rPr>
        <w:t>我们在收到保险金给付申请书及有关证明材料之日起 </w:t>
      </w:r>
      <w:r>
        <w:rPr>
          <w:rFonts w:ascii="Times New Roman" w:eastAsia="Times New Roman"/>
        </w:rPr>
        <w:t>60 </w:t>
      </w:r>
      <w:r>
        <w:rPr/>
        <w:t>日内，对给付保险金的数额不能确定的，将</w:t>
      </w:r>
      <w:r>
        <w:rPr>
          <w:spacing w:val="-2"/>
        </w:rPr>
        <w:t>先予支付根据已有证明材料可以确定的数额。最终确定应给付保险金的数额后，我们将扣除已先予支付的保险金数额，支付相应的差额。</w:t>
      </w:r>
    </w:p>
    <w:p>
      <w:pPr>
        <w:pStyle w:val="BodyText"/>
        <w:spacing w:before="18"/>
        <w:ind w:left="534"/>
      </w:pPr>
      <w:r>
        <w:rPr>
          <w:spacing w:val="-12"/>
        </w:rPr>
        <w:t>三、受益人请求给付保险金的诉讼时效期间为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594" w:val="left" w:leader="none"/>
        </w:tabs>
        <w:spacing w:line="240" w:lineRule="auto" w:before="63" w:after="0"/>
        <w:ind w:left="594" w:right="0" w:hanging="480"/>
        <w:jc w:val="left"/>
      </w:pPr>
      <w:bookmarkStart w:name="_TOC_250007" w:id="23"/>
      <w:bookmarkEnd w:id="23"/>
      <w:r>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62" w:after="0"/>
        <w:ind w:left="594" w:right="0" w:hanging="480"/>
        <w:jc w:val="left"/>
        <w:rPr>
          <w:rFonts w:ascii="Times New Roman" w:eastAsia="Times New Roman"/>
        </w:rPr>
      </w:pPr>
      <w:bookmarkStart w:name="_TOC_250006" w:id="24"/>
      <w:bookmarkEnd w:id="24"/>
      <w:r>
        <w:rPr>
          <w:rFonts w:ascii="宋体" w:eastAsia="宋体" w:hint="eastAsia"/>
        </w:rPr>
        <w:t>您需要了解的其他内容</w:t>
      </w:r>
    </w:p>
    <w:p>
      <w:pPr>
        <w:pStyle w:val="Heading2"/>
        <w:numPr>
          <w:ilvl w:val="1"/>
          <w:numId w:val="2"/>
        </w:numPr>
        <w:tabs>
          <w:tab w:pos="594" w:val="left" w:leader="none"/>
        </w:tabs>
        <w:spacing w:line="240" w:lineRule="auto" w:before="122" w:after="0"/>
        <w:ind w:left="594" w:right="0" w:hanging="480"/>
        <w:jc w:val="left"/>
      </w:pPr>
      <w:bookmarkStart w:name="_TOC_250005" w:id="25"/>
      <w:bookmarkEnd w:id="25"/>
      <w:r>
        <w:rPr/>
        <w:t>被保险人身故或永久完全残疾的处理</w:t>
      </w:r>
    </w:p>
    <w:p>
      <w:pPr>
        <w:pStyle w:val="BodyText"/>
        <w:spacing w:line="256" w:lineRule="auto" w:before="15"/>
        <w:ind w:left="113" w:right="205" w:firstLine="420"/>
        <w:jc w:val="both"/>
      </w:pPr>
      <w:r>
        <w:rPr>
          <w:spacing w:val="-9"/>
        </w:rPr>
        <w:t>一、若被保险人因意外伤害事故身故或永久完全残疾，或者自附加合同生效日次日零时起</w:t>
      </w:r>
      <w:r>
        <w:rPr>
          <w:rFonts w:ascii="Times New Roman" w:eastAsia="Times New Roman"/>
        </w:rPr>
        <w:t>(</w:t>
      </w:r>
      <w:r>
        <w:rPr/>
        <w:t>在附加合同履行中有复效情形的，自每一次复效日次日零时起）</w:t>
      </w:r>
      <w:r>
        <w:rPr>
          <w:spacing w:val="-16"/>
        </w:rPr>
        <w:t>满 </w:t>
      </w:r>
      <w:r>
        <w:rPr>
          <w:rFonts w:ascii="Times New Roman" w:eastAsia="Times New Roman"/>
        </w:rPr>
        <w:t>1</w:t>
      </w:r>
      <w:r>
        <w:rPr>
          <w:rFonts w:ascii="Times New Roman" w:eastAsia="Times New Roman"/>
          <w:spacing w:val="-1"/>
        </w:rPr>
        <w:t>8</w:t>
      </w:r>
      <w:r>
        <w:rPr>
          <w:rFonts w:ascii="Times New Roman" w:eastAsia="Times New Roman"/>
        </w:rPr>
        <w:t>0 </w:t>
      </w:r>
      <w:r>
        <w:rPr/>
        <w:t>日后（</w:t>
      </w:r>
      <w:r>
        <w:rPr>
          <w:spacing w:val="-9"/>
        </w:rPr>
        <w:t>不含第 </w:t>
      </w:r>
      <w:r>
        <w:rPr>
          <w:rFonts w:ascii="Times New Roman" w:eastAsia="Times New Roman"/>
        </w:rPr>
        <w:t>180 </w:t>
      </w:r>
      <w:r>
        <w:rPr>
          <w:spacing w:val="-2"/>
        </w:rPr>
        <w:t>日</w:t>
      </w:r>
      <w:r>
        <w:rPr>
          <w:spacing w:val="-105"/>
        </w:rPr>
        <w:t>）</w:t>
      </w:r>
      <w:r>
        <w:rPr>
          <w:spacing w:val="-1"/>
        </w:rPr>
        <w:t>，因意外伤害事故以外</w:t>
      </w:r>
    </w:p>
    <w:p>
      <w:pPr>
        <w:pStyle w:val="BodyText"/>
        <w:spacing w:line="256" w:lineRule="auto" w:before="5"/>
        <w:ind w:left="113" w:right="206"/>
      </w:pPr>
      <w:r>
        <w:rPr/>
        <w:t>的原因导致身故或永久完全残疾，且被保险人发生身故或永久完全残疾时已满 </w:t>
      </w:r>
      <w:r>
        <w:rPr>
          <w:rFonts w:ascii="Times New Roman" w:eastAsia="Times New Roman"/>
        </w:rPr>
        <w:t>18 </w:t>
      </w:r>
      <w:r>
        <w:rPr/>
        <w:t>周岁，附加合同终止， 我们不向您返还附加合同的保险费或附加合同现金价值。</w:t>
      </w:r>
    </w:p>
    <w:p>
      <w:pPr>
        <w:pStyle w:val="BodyText"/>
        <w:spacing w:line="256" w:lineRule="auto" w:before="22"/>
        <w:ind w:left="113" w:right="205" w:firstLine="420"/>
        <w:jc w:val="both"/>
      </w:pPr>
      <w:r>
        <w:rPr>
          <w:spacing w:val="-7"/>
        </w:rPr>
        <w:t>二、若被保险人在附加合同生效日次日零时起</w:t>
      </w:r>
      <w:r>
        <w:rPr>
          <w:rFonts w:ascii="Times New Roman" w:eastAsia="Times New Roman"/>
        </w:rPr>
        <w:t>(</w:t>
      </w:r>
      <w:r>
        <w:rPr>
          <w:spacing w:val="-4"/>
        </w:rPr>
        <w:t>在附加合同履行中有复效情形的，自每一次复效日次日零时起</w:t>
      </w:r>
      <w:r>
        <w:rPr>
          <w:spacing w:val="-20"/>
        </w:rPr>
        <w:t>）</w:t>
      </w:r>
      <w:r>
        <w:rPr>
          <w:rFonts w:ascii="Times New Roman" w:eastAsia="Times New Roman"/>
        </w:rPr>
        <w:t>180 </w:t>
      </w:r>
      <w:r>
        <w:rPr>
          <w:spacing w:val="-10"/>
        </w:rPr>
        <w:t>日内</w:t>
      </w:r>
      <w:r>
        <w:rPr/>
        <w:t>（</w:t>
      </w:r>
      <w:r>
        <w:rPr>
          <w:spacing w:val="-18"/>
        </w:rPr>
        <w:t>含第 </w:t>
      </w:r>
      <w:r>
        <w:rPr>
          <w:rFonts w:ascii="Times New Roman" w:eastAsia="Times New Roman"/>
        </w:rPr>
        <w:t>180 </w:t>
      </w:r>
      <w:r>
        <w:rPr>
          <w:spacing w:val="-2"/>
        </w:rPr>
        <w:t>日</w:t>
      </w:r>
      <w:r>
        <w:rPr>
          <w:spacing w:val="-105"/>
        </w:rPr>
        <w:t>）</w:t>
      </w:r>
      <w:r>
        <w:rPr>
          <w:spacing w:val="-6"/>
        </w:rPr>
        <w:t>，因意外伤害事故以外的原因导致身故或永久完全残疾，且被保险人发生</w:t>
      </w:r>
      <w:r>
        <w:rPr>
          <w:spacing w:val="-7"/>
        </w:rPr>
        <w:t>身故或者永久完全残疾时已满 </w:t>
      </w:r>
      <w:r>
        <w:rPr>
          <w:rFonts w:ascii="Times New Roman" w:eastAsia="Times New Roman"/>
        </w:rPr>
        <w:t>18 </w:t>
      </w:r>
      <w:r>
        <w:rPr/>
        <w:t>周岁，附加合同终止，我们向您返还被保险人身故或永久完全残疾时您已交付的附加合同保险费与附加合同现金价值两者中金额较大者。</w:t>
      </w:r>
    </w:p>
    <w:p>
      <w:pPr>
        <w:pStyle w:val="BodyText"/>
        <w:spacing w:line="256" w:lineRule="auto" w:before="22"/>
        <w:ind w:right="205" w:firstLine="420"/>
        <w:jc w:val="both"/>
      </w:pPr>
      <w:r>
        <w:rPr>
          <w:spacing w:val="-7"/>
        </w:rPr>
        <w:t>三、若被保险人在附加合同生效日次日零时起</w:t>
      </w:r>
      <w:r>
        <w:rPr>
          <w:rFonts w:ascii="Times New Roman" w:eastAsia="Times New Roman"/>
        </w:rPr>
        <w:t>(</w:t>
      </w:r>
      <w:r>
        <w:rPr>
          <w:spacing w:val="-4"/>
        </w:rPr>
        <w:t>在附加合同履行中有复效情形的，自每一次复效日次日零时起</w:t>
      </w:r>
      <w:r>
        <w:rPr>
          <w:rFonts w:ascii="Times New Roman" w:eastAsia="Times New Roman"/>
          <w:spacing w:val="-4"/>
        </w:rPr>
        <w:t>)</w:t>
      </w:r>
      <w:r>
        <w:rPr>
          <w:spacing w:val="-16"/>
        </w:rPr>
        <w:t>，年满 </w:t>
      </w:r>
      <w:r>
        <w:rPr>
          <w:rFonts w:ascii="Times New Roman" w:eastAsia="Times New Roman"/>
        </w:rPr>
        <w:t>18 </w:t>
      </w:r>
      <w:r>
        <w:rPr/>
        <w:t>周岁前发生身故或永久完全残疾的，附加合同终止，我们向您返还被保险人身故或永久完全残疾时您已交付的附加合同保险费与附加合同现金价值两者中金额较大者。</w:t>
      </w:r>
    </w:p>
    <w:p>
      <w:pPr>
        <w:pStyle w:val="Heading2"/>
        <w:numPr>
          <w:ilvl w:val="1"/>
          <w:numId w:val="2"/>
        </w:numPr>
        <w:tabs>
          <w:tab w:pos="594" w:val="left" w:leader="none"/>
        </w:tabs>
        <w:spacing w:line="240" w:lineRule="auto" w:before="64" w:after="0"/>
        <w:ind w:left="594" w:right="0" w:hanging="480"/>
        <w:jc w:val="left"/>
      </w:pPr>
      <w:bookmarkStart w:name="_TOC_250004" w:id="26"/>
      <w:bookmarkEnd w:id="26"/>
      <w:r>
        <w:rPr/>
        <w:t>年龄计算及错误处理</w:t>
      </w:r>
    </w:p>
    <w:p>
      <w:pPr>
        <w:pStyle w:val="BodyText"/>
        <w:spacing w:line="273" w:lineRule="auto" w:before="13"/>
        <w:ind w:right="205" w:firstLine="420"/>
        <w:jc w:val="both"/>
      </w:pPr>
      <w:r>
        <w:rPr>
          <w:spacing w:val="-2"/>
        </w:rPr>
        <w:t>被保险人的年龄按周岁计算。您在投保附加保险时，应将被保险人的真实年龄准确填写在投保申请书上。如果发生错误，我们按照下列规定办理：</w:t>
      </w:r>
    </w:p>
    <w:p>
      <w:pPr>
        <w:pStyle w:val="BodyText"/>
        <w:spacing w:line="266" w:lineRule="auto" w:before="7"/>
        <w:ind w:left="113" w:right="101"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19"/>
        </w:rPr>
        <w:t>超过 </w:t>
      </w:r>
      <w:r>
        <w:rPr>
          <w:rFonts w:ascii="Times New Roman" w:eastAsia="Times New Roman"/>
        </w:rPr>
        <w:t>30 </w:t>
      </w:r>
      <w:r>
        <w:rPr>
          <w:spacing w:val="-2"/>
        </w:rPr>
        <w:t>日不行使而消灭，但自附加合同成立之日起超过 </w:t>
      </w:r>
      <w:r>
        <w:rPr>
          <w:rFonts w:ascii="Times New Roman" w:eastAsia="Times New Roman"/>
        </w:rPr>
        <w:t>2 </w:t>
      </w:r>
      <w:r>
        <w:rPr/>
        <w:t>年的，我们不得解除附加合同，并依据本款第二、第三项办理。</w:t>
      </w:r>
    </w:p>
    <w:p>
      <w:pPr>
        <w:pStyle w:val="BodyText"/>
        <w:spacing w:line="273" w:lineRule="auto" w:before="14"/>
        <w:ind w:right="205" w:firstLine="420"/>
        <w:jc w:val="both"/>
      </w:pPr>
      <w:r>
        <w:rPr>
          <w:spacing w:val="-5"/>
        </w:rPr>
        <w:t>二、您申报的被保险人年龄不真实，致使您实交的保险费少于应交的保险费的，我们有权更正并要求您补交不足的部分。若已经发生保险事故，在给付保险金时按照实付保险费与应付保险费的比例给付。</w:t>
      </w:r>
    </w:p>
    <w:p>
      <w:pPr>
        <w:pStyle w:val="BodyText"/>
        <w:spacing w:line="273" w:lineRule="auto" w:before="7"/>
        <w:ind w:right="205" w:firstLine="420"/>
        <w:jc w:val="both"/>
      </w:pPr>
      <w:r>
        <w:rPr>
          <w:spacing w:val="-5"/>
        </w:rPr>
        <w:t>三、您申报的被保险人年龄不真实，致使您实交的保险费多于应交的保险费的，我们将无息退还多交的部分。</w:t>
      </w:r>
    </w:p>
    <w:p>
      <w:pPr>
        <w:pStyle w:val="Heading2"/>
        <w:numPr>
          <w:ilvl w:val="1"/>
          <w:numId w:val="2"/>
        </w:numPr>
        <w:tabs>
          <w:tab w:pos="594" w:val="left" w:leader="none"/>
        </w:tabs>
        <w:spacing w:line="240" w:lineRule="auto" w:before="49" w:after="0"/>
        <w:ind w:left="594" w:right="0" w:hanging="480"/>
        <w:jc w:val="left"/>
      </w:pPr>
      <w:bookmarkStart w:name="_TOC_250003" w:id="27"/>
      <w:bookmarkEnd w:id="27"/>
      <w:r>
        <w:rPr/>
        <w:t>联系方式的变更</w:t>
      </w:r>
    </w:p>
    <w:p>
      <w:pPr>
        <w:pStyle w:val="BodyText"/>
        <w:spacing w:line="273" w:lineRule="auto" w:before="15"/>
        <w:ind w:right="206" w:firstLine="420"/>
        <w:jc w:val="both"/>
      </w:pPr>
      <w:r>
        <w:rPr>
          <w:spacing w:val="-5"/>
        </w:rPr>
        <w:t>您、被保险人以及受益人的住所、通讯地址、电话或电子邮箱等变更时，应及时书面通知我们。您未书面通知的，我们按您最后提供的住所、通讯地址或电子邮箱向您寄送文件。</w:t>
      </w:r>
    </w:p>
    <w:p>
      <w:pPr>
        <w:pStyle w:val="Heading2"/>
        <w:numPr>
          <w:ilvl w:val="1"/>
          <w:numId w:val="2"/>
        </w:numPr>
        <w:tabs>
          <w:tab w:pos="653" w:val="left" w:leader="none"/>
          <w:tab w:pos="654" w:val="left" w:leader="none"/>
        </w:tabs>
        <w:spacing w:line="304" w:lineRule="exact" w:before="0" w:after="0"/>
        <w:ind w:left="653" w:right="0" w:hanging="539"/>
        <w:jc w:val="left"/>
      </w:pPr>
      <w:bookmarkStart w:name="_TOC_250002" w:id="28"/>
      <w:bookmarkEnd w:id="28"/>
      <w:r>
        <w:rPr/>
        <w:t>身体检查及司法鉴定</w:t>
      </w:r>
    </w:p>
    <w:p>
      <w:pPr>
        <w:pStyle w:val="BodyText"/>
        <w:spacing w:line="273" w:lineRule="auto" w:before="15"/>
        <w:ind w:right="205" w:firstLine="420"/>
        <w:jc w:val="both"/>
      </w:pPr>
      <w:r>
        <w:rPr>
          <w:spacing w:val="-2"/>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594" w:val="left" w:leader="none"/>
        </w:tabs>
        <w:spacing w:line="240" w:lineRule="auto" w:before="49" w:after="0"/>
        <w:ind w:left="594" w:right="0" w:hanging="480"/>
        <w:jc w:val="left"/>
      </w:pPr>
      <w:bookmarkStart w:name="_TOC_250001" w:id="29"/>
      <w:bookmarkEnd w:id="29"/>
      <w:r>
        <w:rPr/>
        <w:t>争议处理</w:t>
      </w:r>
    </w:p>
    <w:p>
      <w:pPr>
        <w:pStyle w:val="BodyText"/>
        <w:spacing w:before="15"/>
        <w:ind w:left="534"/>
      </w:pPr>
      <w:r>
        <w:rPr/>
        <w:t>附加合同争议解决方式由当事人从下列两种方式中选择一种：</w:t>
      </w:r>
    </w:p>
    <w:p>
      <w:pPr>
        <w:spacing w:after="0"/>
        <w:sectPr>
          <w:pgSz w:w="11900" w:h="16840"/>
          <w:pgMar w:header="850" w:footer="856" w:top="1700" w:bottom="1040" w:left="1020" w:right="920"/>
        </w:sectPr>
      </w:pPr>
    </w:p>
    <w:p>
      <w:pPr>
        <w:pStyle w:val="BodyText"/>
        <w:spacing w:line="273" w:lineRule="auto" w:before="0"/>
        <w:ind w:right="206" w:firstLine="420"/>
      </w:pPr>
      <w:r>
        <w:rPr>
          <w:spacing w:val="-6"/>
        </w:rPr>
        <w:t>一、因履行附加合同发生的争议，由当事人协商解决，协商不成的，提交双方均认可的仲裁委员会仲裁；</w:t>
      </w:r>
    </w:p>
    <w:p>
      <w:pPr>
        <w:pStyle w:val="BodyText"/>
        <w:spacing w:before="9"/>
        <w:ind w:left="534"/>
      </w:pPr>
      <w:r>
        <w:rPr>
          <w:spacing w:val="-11"/>
        </w:rPr>
        <w:t>二、因履行附加合同发生的争议，由当事人协商解决，协商不成的，依法向被告住所地人民法院起诉。</w:t>
      </w:r>
    </w:p>
    <w:p>
      <w:pPr>
        <w:pStyle w:val="Heading1"/>
        <w:numPr>
          <w:ilvl w:val="0"/>
          <w:numId w:val="2"/>
        </w:numPr>
        <w:tabs>
          <w:tab w:pos="594" w:val="left" w:leader="none"/>
        </w:tabs>
        <w:spacing w:line="240" w:lineRule="auto" w:before="92" w:after="0"/>
        <w:ind w:left="594" w:right="0" w:hanging="480"/>
        <w:jc w:val="both"/>
        <w:rPr>
          <w:rFonts w:ascii="Times New Roman" w:eastAsia="Times New Roman"/>
        </w:rPr>
      </w:pPr>
      <w:bookmarkStart w:name="_TOC_250000" w:id="30"/>
      <w:bookmarkEnd w:id="30"/>
      <w:r>
        <w:rPr>
          <w:rFonts w:ascii="宋体" w:eastAsia="宋体" w:hint="eastAsia"/>
        </w:rPr>
        <w:t>条款的解释</w:t>
      </w:r>
    </w:p>
    <w:p>
      <w:pPr>
        <w:pStyle w:val="BodyText"/>
        <w:spacing w:line="274" w:lineRule="exact" w:before="60"/>
        <w:jc w:val="both"/>
      </w:pPr>
      <w:r>
        <w:rPr/>
        <w:t>【您】</w:t>
      </w:r>
      <w:r>
        <w:rPr>
          <w:sz w:val="18"/>
        </w:rPr>
        <w:t>：</w:t>
      </w:r>
      <w:r>
        <w:rPr/>
        <w:t>指的是投保人，即购买附加合同项下保险的人。</w:t>
      </w:r>
    </w:p>
    <w:p>
      <w:pPr>
        <w:pStyle w:val="BodyText"/>
        <w:spacing w:line="272" w:lineRule="exact" w:before="0"/>
        <w:jc w:val="both"/>
      </w:pPr>
      <w:r>
        <w:rPr/>
        <w:t>【我们】：指的是恒安标准人寿保险有限公司。</w:t>
      </w:r>
    </w:p>
    <w:p>
      <w:pPr>
        <w:pStyle w:val="BodyText"/>
        <w:spacing w:line="274" w:lineRule="exact" w:before="0"/>
        <w:jc w:val="both"/>
      </w:pPr>
      <w:r>
        <w:rPr/>
        <w:t>【保险费】：指您为购买附加合同项下保险而支付的金额。</w:t>
      </w:r>
    </w:p>
    <w:p>
      <w:pPr>
        <w:pStyle w:val="BodyText"/>
        <w:spacing w:before="18"/>
        <w:jc w:val="both"/>
      </w:pPr>
      <w:r>
        <w:rPr/>
        <w:t>【保险事故】：是指附加合同约定的我们承担的保险责任范围内的事故。</w:t>
      </w:r>
    </w:p>
    <w:p>
      <w:pPr>
        <w:pStyle w:val="BodyText"/>
        <w:spacing w:before="17"/>
        <w:ind w:left="113"/>
        <w:jc w:val="both"/>
      </w:pPr>
      <w:r>
        <w:rPr/>
        <w:t>【保险金】：是指被保险人发生保险事故时，我们给付的金额。</w:t>
      </w:r>
    </w:p>
    <w:p>
      <w:pPr>
        <w:pStyle w:val="BodyText"/>
        <w:spacing w:line="273" w:lineRule="auto" w:before="18"/>
        <w:ind w:left="113" w:right="208"/>
      </w:pPr>
      <w:r>
        <w:rPr>
          <w:spacing w:val="-11"/>
        </w:rPr>
        <w:t>【保险金额】：是指我们与您在附加合同中约定的，被保险人发生保险事故时，我们承担给付保险金责任的最高限额。</w:t>
      </w:r>
    </w:p>
    <w:p>
      <w:pPr>
        <w:pStyle w:val="BodyText"/>
        <w:spacing w:line="252" w:lineRule="auto" w:before="7"/>
        <w:ind w:left="113" w:right="205"/>
        <w:rPr>
          <w:rFonts w:ascii="黑体" w:eastAsia="黑体" w:hint="eastAsia"/>
          <w:sz w:val="24"/>
        </w:rPr>
      </w:pPr>
      <w:r>
        <w:rPr>
          <w:spacing w:val="-10"/>
        </w:rPr>
        <w:t>【意外伤害事故】：是指外来的、不可预知的、突发的、非被保险人本意的、非疾病的并以此为直接原因使被保险人身体受到伤害的客观事件。</w:t>
      </w:r>
      <w:r>
        <w:rPr>
          <w:rFonts w:ascii="黑体" w:eastAsia="黑体" w:hint="eastAsia"/>
          <w:spacing w:val="-10"/>
          <w:sz w:val="24"/>
        </w:rPr>
        <w:t>猝死不属于意外伤害事故。</w:t>
      </w:r>
    </w:p>
    <w:p>
      <w:pPr>
        <w:pStyle w:val="BodyText"/>
        <w:spacing w:before="9"/>
        <w:ind w:left="113"/>
      </w:pPr>
      <w:r>
        <w:rPr/>
        <w:t>【初次罹患】：是指被保险人一生中首次罹患某种疾病。</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但我们认为其医疗水平满足我们要求的医院。当被保险人因紧急抢救不受此限制，但经急救处理伤情稳定后，必须及时转入我们指定或认可的医院治疗。</w:t>
      </w:r>
    </w:p>
    <w:p>
      <w:pPr>
        <w:pStyle w:val="BodyText"/>
        <w:spacing w:before="7"/>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before="7"/>
        <w:ind w:left="113" w:right="208"/>
      </w:pPr>
      <w:r>
        <w:rPr>
          <w:spacing w:val="-11"/>
        </w:rPr>
        <w:t>【现金价值】：指保险单所具有的价值，通常体现为解除合同时，根据精算原理计算的，由我们退还的那部分金额。</w:t>
      </w:r>
    </w:p>
    <w:p>
      <w:pPr>
        <w:pStyle w:val="BodyText"/>
        <w:spacing w:line="273" w:lineRule="auto" w:before="7"/>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before="7"/>
        <w:ind w:left="113" w:right="208"/>
      </w:pPr>
      <w:r>
        <w:rPr>
          <w:spacing w:val="-11"/>
        </w:rPr>
        <w:t>【酒后驾驶】：指经检测或鉴定，发生事故时车辆驾驶人员每百毫升血液中的酒精含量达到或超过一定的标准，被国家有关机关认定为酒后驾驶。</w:t>
      </w:r>
    </w:p>
    <w:p>
      <w:pPr>
        <w:pStyle w:val="BodyText"/>
        <w:spacing w:before="7"/>
        <w:ind w:left="113"/>
        <w:jc w:val="both"/>
      </w:pPr>
      <w:r>
        <w:rPr/>
        <w:t>【无合法有效驾驶证驾驶】：指下列情形之一：</w:t>
      </w:r>
    </w:p>
    <w:p>
      <w:pPr>
        <w:pStyle w:val="BodyText"/>
        <w:spacing w:before="37"/>
        <w:ind w:left="113"/>
        <w:jc w:val="both"/>
      </w:pPr>
      <w:r>
        <w:rPr/>
        <w:t>（</w:t>
      </w:r>
      <w:r>
        <w:rPr>
          <w:rFonts w:ascii="Times New Roman" w:eastAsia="Times New Roman"/>
        </w:rPr>
        <w:t>1</w:t>
      </w:r>
      <w:r>
        <w:rPr/>
        <w:t>）没有驾驶证驾驶；</w:t>
      </w:r>
    </w:p>
    <w:p>
      <w:pPr>
        <w:pStyle w:val="BodyText"/>
        <w:jc w:val="both"/>
      </w:pPr>
      <w:r>
        <w:rPr/>
        <w:t>（</w:t>
      </w:r>
      <w:r>
        <w:rPr>
          <w:rFonts w:ascii="Times New Roman" w:eastAsia="Times New Roman"/>
        </w:rPr>
        <w:t>2</w:t>
      </w:r>
      <w:r>
        <w:rPr/>
        <w:t>）驾驶与驾驶证准驾车型不相符合的车辆；</w:t>
      </w:r>
    </w:p>
    <w:p>
      <w:pPr>
        <w:pStyle w:val="BodyText"/>
        <w:jc w:val="both"/>
      </w:pPr>
      <w:r>
        <w:rPr/>
        <w:t>（</w:t>
      </w:r>
      <w:r>
        <w:rPr>
          <w:rFonts w:ascii="Times New Roman" w:eastAsia="Times New Roman"/>
        </w:rPr>
        <w:t>3</w:t>
      </w:r>
      <w:r>
        <w:rPr/>
        <w:t>）驾驶员持审验不合格的驾驶证驾驶；</w:t>
      </w:r>
    </w:p>
    <w:p>
      <w:pPr>
        <w:pStyle w:val="BodyText"/>
        <w:jc w:val="both"/>
      </w:pPr>
      <w:r>
        <w:rPr/>
        <w:t>（</w:t>
      </w:r>
      <w:r>
        <w:rPr>
          <w:rFonts w:ascii="Times New Roman" w:eastAsia="Times New Roman"/>
        </w:rPr>
        <w:t>4</w:t>
      </w:r>
      <w:r>
        <w:rPr/>
        <w:t>）未经公安交通管理部门同意，持未审验的驾驶证驾驶；</w:t>
      </w:r>
    </w:p>
    <w:p>
      <w:pPr>
        <w:pStyle w:val="BodyText"/>
        <w:jc w:val="both"/>
      </w:pPr>
      <w:r>
        <w:rPr/>
        <w:t>（</w:t>
      </w:r>
      <w:r>
        <w:rPr>
          <w:rFonts w:ascii="Times New Roman" w:eastAsia="Times New Roman"/>
        </w:rPr>
        <w:t>5</w:t>
      </w:r>
      <w:r>
        <w:rPr/>
        <w:t>）持学习驾驶证学习驾车时，无教练员随车指导，或不按指定时间、路线学习驾车；</w:t>
      </w:r>
    </w:p>
    <w:p>
      <w:pPr>
        <w:pStyle w:val="BodyText"/>
        <w:jc w:val="both"/>
      </w:pPr>
      <w:r>
        <w:rPr/>
        <w:t>（</w:t>
      </w:r>
      <w:r>
        <w:rPr>
          <w:rFonts w:ascii="Times New Roman" w:eastAsia="Times New Roman"/>
        </w:rPr>
        <w:t>6</w:t>
      </w:r>
      <w:r>
        <w:rPr/>
        <w:t>）公安交通管理部门规定的其他无有效驾驶证驾驶的情况。</w:t>
      </w:r>
    </w:p>
    <w:p>
      <w:pPr>
        <w:pStyle w:val="BodyText"/>
        <w:jc w:val="both"/>
      </w:pPr>
      <w:r>
        <w:rPr/>
        <w:t>【驾驶无有效行驶证的机动车】：指下列情形之一：</w:t>
      </w:r>
    </w:p>
    <w:p>
      <w:pPr>
        <w:pStyle w:val="BodyText"/>
        <w:spacing w:before="37"/>
        <w:jc w:val="both"/>
      </w:pPr>
      <w:r>
        <w:rPr/>
        <w:t>（</w:t>
      </w:r>
      <w:r>
        <w:rPr>
          <w:rFonts w:ascii="Times New Roman" w:eastAsia="Times New Roman"/>
        </w:rPr>
        <w:t>1</w:t>
      </w:r>
      <w:r>
        <w:rPr/>
        <w:t>）机动车被依法注销登记的；</w:t>
      </w:r>
    </w:p>
    <w:p>
      <w:pPr>
        <w:pStyle w:val="BodyText"/>
        <w:jc w:val="both"/>
      </w:pPr>
      <w:r>
        <w:rPr/>
        <w:t>（</w:t>
      </w:r>
      <w:r>
        <w:rPr>
          <w:rFonts w:ascii="Times New Roman" w:eastAsia="Times New Roman"/>
        </w:rPr>
        <w:t>2</w:t>
      </w:r>
      <w:r>
        <w:rPr/>
        <w:t>）未在法律规定期限内按时进行或通过安全技术检验。</w:t>
      </w:r>
    </w:p>
    <w:p>
      <w:pPr>
        <w:pStyle w:val="BodyText"/>
        <w:spacing w:line="256" w:lineRule="auto"/>
        <w:ind w:right="205"/>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pStyle w:val="BodyText"/>
        <w:spacing w:before="22"/>
        <w:jc w:val="both"/>
      </w:pPr>
      <w:r>
        <w:rPr/>
        <w:t>【遗传性疾病】：指生殖细胞或受精卵的遗传物质（染色体和基因）发生突变或畸变所引起的疾病，通常</w:t>
      </w:r>
    </w:p>
    <w:p>
      <w:pPr>
        <w:spacing w:after="0"/>
        <w:jc w:val="both"/>
        <w:sectPr>
          <w:pgSz w:w="11900" w:h="16840"/>
          <w:pgMar w:header="850" w:footer="856" w:top="1700" w:bottom="1040" w:left="1020" w:right="920"/>
        </w:sectPr>
      </w:pPr>
    </w:p>
    <w:p>
      <w:pPr>
        <w:pStyle w:val="BodyText"/>
        <w:spacing w:line="274" w:lineRule="exact" w:before="0"/>
      </w:pPr>
      <w:r>
        <w:rPr/>
        <w:t>具有由亲代传至后代的垂直传递的特征。</w:t>
      </w:r>
    </w:p>
    <w:p>
      <w:pPr>
        <w:pStyle w:val="BodyText"/>
        <w:spacing w:line="273" w:lineRule="auto" w:before="37"/>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w:t>
      </w:r>
      <w:r>
        <w:rPr>
          <w:rFonts w:ascii="Times New Roman" w:eastAsia="Times New Roman"/>
        </w:rPr>
        <w:t>ICD-10</w:t>
      </w:r>
      <w:r>
        <w:rPr/>
        <w:t>）确定。</w:t>
      </w:r>
    </w:p>
    <w:p>
      <w:pPr>
        <w:pStyle w:val="BodyText"/>
        <w:spacing w:line="279" w:lineRule="exact" w:before="0"/>
        <w:ind w:left="113"/>
      </w:pPr>
      <w:r>
        <w:rPr/>
        <w:t>【首期保险费】：指保险期间内第 </w:t>
      </w:r>
      <w:r>
        <w:rPr>
          <w:rFonts w:ascii="Times New Roman" w:eastAsia="Times New Roman"/>
        </w:rPr>
        <w:t>1 </w:t>
      </w:r>
      <w:r>
        <w:rPr/>
        <w:t>年的应交保险费。</w:t>
      </w:r>
    </w:p>
    <w:p>
      <w:pPr>
        <w:pStyle w:val="BodyText"/>
        <w:ind w:left="113"/>
      </w:pPr>
      <w:r>
        <w:rPr/>
        <w:t>【续期保险费】：指保险期间内第 </w:t>
      </w:r>
      <w:r>
        <w:rPr>
          <w:rFonts w:ascii="Times New Roman" w:eastAsia="Times New Roman"/>
        </w:rPr>
        <w:t>2 </w:t>
      </w:r>
      <w:r>
        <w:rPr/>
        <w:t>年及以后各年的应交保险费。</w:t>
      </w:r>
    </w:p>
    <w:p>
      <w:pPr>
        <w:pStyle w:val="BodyText"/>
        <w:ind w:left="113"/>
      </w:pPr>
      <w:r>
        <w:rPr>
          <w:spacing w:val="-12"/>
        </w:rPr>
        <w:t>【合同生效日对应日】：指保险单中载明的保险单生效日在每年的对应日。保险单生效日为 </w:t>
      </w:r>
      <w:r>
        <w:rPr>
          <w:rFonts w:ascii="Times New Roman" w:eastAsia="Times New Roman"/>
        </w:rPr>
        <w:t>2 </w:t>
      </w:r>
      <w:r>
        <w:rPr>
          <w:spacing w:val="-26"/>
        </w:rPr>
        <w:t>月 </w:t>
      </w:r>
      <w:r>
        <w:rPr>
          <w:rFonts w:ascii="Times New Roman" w:eastAsia="Times New Roman"/>
        </w:rPr>
        <w:t>29 </w:t>
      </w:r>
      <w:r>
        <w:rPr/>
        <w:t>日的，</w:t>
      </w:r>
    </w:p>
    <w:p>
      <w:pPr>
        <w:pStyle w:val="BodyText"/>
        <w:ind w:left="113"/>
      </w:pPr>
      <w:r>
        <w:rPr/>
        <w:t>保险合同有效期内的某年如果没有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273" w:lineRule="auto"/>
        <w:ind w:left="113" w:right="208"/>
      </w:pPr>
      <w:r>
        <w:rPr>
          <w:spacing w:val="-11"/>
        </w:rPr>
        <w:t>【利息】：附加合同效力中止后补交续期保险费会产生利息。该利息按我们公布的贷款利率进行计算并通过年复利的方式进行计息。</w:t>
      </w:r>
    </w:p>
    <w:p>
      <w:pPr>
        <w:pStyle w:val="BodyText"/>
        <w:spacing w:before="8"/>
        <w:ind w:left="113"/>
      </w:pPr>
      <w:r>
        <w:rPr/>
        <w:t>【保单年度】：从保险合同生效日次日零时起，每十二个连续日历月为一个保单年度。</w:t>
      </w:r>
    </w:p>
    <w:p>
      <w:pPr>
        <w:pStyle w:val="BodyText"/>
        <w:spacing w:before="37"/>
        <w:ind w:left="113"/>
      </w:pPr>
      <w:r>
        <w:rPr/>
        <w:t>【不可抗力】：是指不能预见、不可避免且无法克服的客观情况。</w:t>
      </w:r>
    </w:p>
    <w:p>
      <w:pPr>
        <w:pStyle w:val="BodyText"/>
        <w:spacing w:before="67"/>
        <w:ind w:left="113"/>
      </w:pPr>
      <w:r>
        <w:rPr>
          <w:spacing w:val="-11"/>
        </w:rPr>
        <w:t>【周岁】：以法定身份证明文件中记载的出生日期为准</w:t>
      </w:r>
      <w:r>
        <w:rPr/>
        <w:t>（</w:t>
      </w:r>
      <w:r>
        <w:rPr>
          <w:spacing w:val="-18"/>
        </w:rPr>
        <w:t>不足 </w:t>
      </w:r>
      <w:r>
        <w:rPr>
          <w:rFonts w:ascii="Times New Roman" w:eastAsia="Times New Roman"/>
        </w:rPr>
        <w:t>1 </w:t>
      </w:r>
      <w:r>
        <w:rPr/>
        <w:t>年不计</w:t>
      </w:r>
      <w:r>
        <w:rPr>
          <w:spacing w:val="-106"/>
        </w:rPr>
        <w:t>）</w:t>
      </w:r>
      <w:r>
        <w:rPr/>
        <w:t>。</w:t>
      </w:r>
    </w:p>
    <w:p>
      <w:pPr>
        <w:pStyle w:val="BodyText"/>
        <w:spacing w:line="274" w:lineRule="exact" w:before="1"/>
        <w:ind w:left="113"/>
      </w:pPr>
      <w:r>
        <w:rPr/>
        <w:t>【永久完全残疾】：指被保险人发生下列任何一种情形：</w:t>
      </w:r>
    </w:p>
    <w:p>
      <w:pPr>
        <w:pStyle w:val="BodyText"/>
        <w:spacing w:line="280" w:lineRule="exact" w:before="0"/>
        <w:ind w:left="113"/>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pStyle w:val="BodyText"/>
        <w:spacing w:line="272" w:lineRule="exact" w:before="0"/>
        <w:ind w:left="113"/>
      </w:pPr>
      <w:r>
        <w:rPr>
          <w:rFonts w:ascii="Times New Roman" w:eastAsia="Times New Roman"/>
        </w:rPr>
        <w:t>2</w:t>
      </w:r>
      <w:r>
        <w:rPr/>
        <w:t>． 两上肢腕关节以上或两下肢踝关节以上缺失的；</w:t>
      </w:r>
    </w:p>
    <w:p>
      <w:pPr>
        <w:pStyle w:val="BodyText"/>
        <w:spacing w:line="272" w:lineRule="exact" w:before="0"/>
        <w:ind w:left="113"/>
      </w:pPr>
      <w:r>
        <w:rPr>
          <w:rFonts w:ascii="Times New Roman" w:eastAsia="Times New Roman"/>
        </w:rPr>
        <w:t>3</w:t>
      </w:r>
      <w:r>
        <w:rPr/>
        <w:t>． 一上肢腕关节以上及一下肢踝关节以上缺失的；</w:t>
      </w:r>
    </w:p>
    <w:p>
      <w:pPr>
        <w:pStyle w:val="BodyText"/>
        <w:spacing w:line="272" w:lineRule="exact" w:before="0"/>
        <w:ind w:left="113"/>
      </w:pPr>
      <w:r>
        <w:rPr>
          <w:rFonts w:ascii="Times New Roman" w:eastAsia="Times New Roman"/>
        </w:rPr>
        <w:t>4</w:t>
      </w:r>
      <w:r>
        <w:rPr/>
        <w:t>． 一目永久完全失明及一上肢腕关节以上缺失的；</w:t>
      </w:r>
    </w:p>
    <w:p>
      <w:pPr>
        <w:pStyle w:val="BodyText"/>
        <w:spacing w:line="272" w:lineRule="exact" w:before="0"/>
        <w:ind w:left="113"/>
      </w:pPr>
      <w:r>
        <w:rPr>
          <w:rFonts w:ascii="Times New Roman" w:eastAsia="Times New Roman"/>
        </w:rPr>
        <w:t>5</w:t>
      </w:r>
      <w:r>
        <w:rPr/>
        <w:t>． 一目永久完全失明及一下肢踝关节以上缺失的；</w:t>
      </w:r>
    </w:p>
    <w:p>
      <w:pPr>
        <w:pStyle w:val="BodyText"/>
        <w:spacing w:line="272" w:lineRule="exact" w:before="0"/>
        <w:ind w:left="113"/>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2" w:lineRule="exact" w:before="0"/>
        <w:ind w:left="113"/>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8"/>
        <w:ind w:right="174"/>
      </w:pPr>
      <w:r>
        <w:rPr>
          <w:rFonts w:ascii="Times New Roman" w:eastAsia="Times New Roman"/>
        </w:rPr>
        <w:t>8</w:t>
      </w:r>
      <w:r>
        <w:rPr/>
        <w:t>． 中枢神经系统机能或胸、腹部脏器机能极度障碍，终身不能从事任何工作，为维持生命必要的日常生活活动，全需他人扶助的（注 </w:t>
      </w:r>
      <w:r>
        <w:rPr>
          <w:rFonts w:ascii="Times New Roman" w:eastAsia="Times New Roman"/>
        </w:rPr>
        <w:t>4</w:t>
      </w:r>
      <w:r>
        <w:rPr/>
        <w:t>）。</w:t>
      </w:r>
    </w:p>
    <w:p>
      <w:pPr>
        <w:pStyle w:val="BodyText"/>
        <w:spacing w:line="255" w:lineRule="exact" w:before="0"/>
        <w:ind w:left="113"/>
      </w:pPr>
      <w:r>
        <w:rPr/>
        <w:t>注：</w:t>
      </w:r>
    </w:p>
    <w:p>
      <w:pPr>
        <w:pStyle w:val="ListParagraph"/>
        <w:numPr>
          <w:ilvl w:val="0"/>
          <w:numId w:val="5"/>
        </w:numPr>
        <w:tabs>
          <w:tab w:pos="534" w:val="left" w:leader="none"/>
        </w:tabs>
        <w:spacing w:line="225" w:lineRule="auto" w:before="16" w:after="0"/>
        <w:ind w:left="114" w:right="205" w:firstLine="0"/>
        <w:jc w:val="left"/>
        <w:rPr>
          <w:sz w:val="21"/>
        </w:rPr>
      </w:pPr>
      <w:r>
        <w:rPr>
          <w:spacing w:val="-3"/>
          <w:sz w:val="21"/>
        </w:rPr>
        <w:t>失明包括眼球缺失或摘除、或不能辨别明暗、或仅能辨别眼前手动者，最佳矫正视力低于国际标准视</w:t>
      </w:r>
      <w:r>
        <w:rPr>
          <w:spacing w:val="-21"/>
          <w:sz w:val="21"/>
        </w:rPr>
        <w:t>力表 </w:t>
      </w:r>
      <w:r>
        <w:rPr>
          <w:rFonts w:ascii="Times New Roman" w:eastAsia="Times New Roman"/>
          <w:sz w:val="21"/>
        </w:rPr>
        <w:t>0.02</w:t>
      </w:r>
      <w:r>
        <w:rPr>
          <w:spacing w:val="-7"/>
          <w:sz w:val="21"/>
        </w:rPr>
        <w:t>，或视野半径小于 </w:t>
      </w:r>
      <w:r>
        <w:rPr>
          <w:rFonts w:ascii="Times New Roman" w:eastAsia="Times New Roman"/>
          <w:sz w:val="21"/>
        </w:rPr>
        <w:t>5</w:t>
      </w:r>
      <w:r>
        <w:rPr>
          <w:rFonts w:ascii="Times New Roman" w:eastAsia="Times New Roman"/>
          <w:spacing w:val="-2"/>
          <w:sz w:val="21"/>
        </w:rPr>
        <w:t> </w:t>
      </w:r>
      <w:r>
        <w:rPr>
          <w:sz w:val="21"/>
        </w:rPr>
        <w:t>度，并由本公司指定有资格的眼科医师出具医疗诊断证明。</w:t>
      </w:r>
    </w:p>
    <w:p>
      <w:pPr>
        <w:pStyle w:val="ListParagraph"/>
        <w:numPr>
          <w:ilvl w:val="0"/>
          <w:numId w:val="5"/>
        </w:numPr>
        <w:tabs>
          <w:tab w:pos="534" w:val="left" w:leader="none"/>
        </w:tabs>
        <w:spacing w:line="263" w:lineRule="exact" w:before="0" w:after="0"/>
        <w:ind w:left="114" w:right="0" w:firstLine="0"/>
        <w:jc w:val="left"/>
        <w:rPr>
          <w:sz w:val="21"/>
        </w:rPr>
      </w:pPr>
      <w:r>
        <w:rPr>
          <w:sz w:val="21"/>
        </w:rPr>
        <w:t>关节机能的丧失系指关节永久完全僵硬、或麻痹、或关节不能随意识活动。</w:t>
      </w:r>
    </w:p>
    <w:p>
      <w:pPr>
        <w:pStyle w:val="ListParagraph"/>
        <w:numPr>
          <w:ilvl w:val="0"/>
          <w:numId w:val="5"/>
        </w:numPr>
        <w:tabs>
          <w:tab w:pos="534" w:val="left" w:leader="none"/>
        </w:tabs>
        <w:spacing w:line="225" w:lineRule="auto" w:before="8" w:after="0"/>
        <w:ind w:left="114" w:right="205" w:firstLine="0"/>
        <w:jc w:val="left"/>
        <w:rPr>
          <w:sz w:val="21"/>
        </w:rPr>
      </w:pPr>
      <w:r>
        <w:rPr>
          <w:spacing w:val="-5"/>
          <w:sz w:val="21"/>
        </w:rPr>
        <w:t>咀嚼、吞咽机能的丧失系指由于牙齿以外的原因引起器质障碍或机能障碍，以致不能作咀嚼、吞咽运动，除流质食物外不能摄取或吞咽的状态。</w:t>
      </w:r>
    </w:p>
    <w:p>
      <w:pPr>
        <w:pStyle w:val="ListParagraph"/>
        <w:numPr>
          <w:ilvl w:val="0"/>
          <w:numId w:val="5"/>
        </w:numPr>
        <w:tabs>
          <w:tab w:pos="534" w:val="left" w:leader="none"/>
        </w:tabs>
        <w:spacing w:line="223" w:lineRule="auto" w:before="17" w:after="0"/>
        <w:ind w:left="114" w:right="101" w:firstLine="0"/>
        <w:jc w:val="left"/>
        <w:rPr>
          <w:sz w:val="21"/>
        </w:rPr>
      </w:pPr>
      <w:r>
        <w:rPr>
          <w:spacing w:val="-6"/>
          <w:sz w:val="21"/>
        </w:rPr>
        <w:t>为维持生命必要的日常生活活动，全需他人扶助系指食物摄取、大小便始末、穿脱衣服、起居、步行、入浴等，皆不能自己为之，需要他人帮助。</w:t>
      </w:r>
    </w:p>
    <w:p>
      <w:pPr>
        <w:pStyle w:val="ListParagraph"/>
        <w:numPr>
          <w:ilvl w:val="0"/>
          <w:numId w:val="5"/>
        </w:numPr>
        <w:tabs>
          <w:tab w:pos="534" w:val="left" w:leader="none"/>
        </w:tabs>
        <w:spacing w:line="225" w:lineRule="auto" w:before="15" w:after="0"/>
        <w:ind w:left="114" w:right="205" w:firstLine="0"/>
        <w:jc w:val="left"/>
        <w:rPr>
          <w:sz w:val="21"/>
        </w:rPr>
      </w:pPr>
      <w:r>
        <w:rPr>
          <w:spacing w:val="-3"/>
          <w:sz w:val="21"/>
        </w:rPr>
        <w:t>所谓永久完全系指自意外伤害或疾病诊断之日起经过 </w:t>
      </w:r>
      <w:r>
        <w:rPr>
          <w:rFonts w:ascii="Times New Roman" w:eastAsia="Times New Roman"/>
          <w:sz w:val="21"/>
        </w:rPr>
        <w:t>180</w:t>
      </w:r>
      <w:r>
        <w:rPr>
          <w:rFonts w:ascii="Times New Roman" w:eastAsia="Times New Roman"/>
          <w:spacing w:val="-2"/>
          <w:sz w:val="21"/>
        </w:rPr>
        <w:t> </w:t>
      </w:r>
      <w:r>
        <w:rPr>
          <w:spacing w:val="-4"/>
          <w:sz w:val="21"/>
        </w:rPr>
        <w:t>天的治疗，机能仍然完全丧失，但眼球摘除等明显无法复原之情况，不在此限。</w:t>
      </w:r>
    </w:p>
    <w:p>
      <w:pPr>
        <w:spacing w:line="264" w:lineRule="auto" w:before="0"/>
        <w:ind w:left="113" w:right="205" w:firstLine="0"/>
        <w:jc w:val="both"/>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十五种重大疾病的定义由中国保险行业协会与中国医师协会共同制定，后十四种重大疾病的定义由我们自行制定：</w:t>
      </w:r>
    </w:p>
    <w:p>
      <w:pPr>
        <w:pStyle w:val="BodyText"/>
        <w:spacing w:before="22"/>
        <w:ind w:left="533"/>
      </w:pPr>
      <w:r>
        <w:rPr/>
        <w:t>一、恶性肿瘤</w:t>
      </w:r>
    </w:p>
    <w:p>
      <w:pPr>
        <w:pStyle w:val="BodyText"/>
        <w:spacing w:line="273" w:lineRule="auto" w:before="37"/>
        <w:ind w:left="11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6"/>
        </w:rPr>
        <w:t>康问题的国际统计分类》</w:t>
      </w:r>
      <w:r>
        <w:rPr/>
        <w:t>（</w:t>
      </w:r>
      <w:r>
        <w:rPr>
          <w:rFonts w:ascii="Times New Roman" w:eastAsia="Times New Roman"/>
        </w:rPr>
        <w:t>ICD-10</w:t>
      </w:r>
      <w:r>
        <w:rPr/>
        <w:t>）的恶性肿瘤范畴。</w:t>
      </w:r>
    </w:p>
    <w:p>
      <w:pPr>
        <w:pStyle w:val="Heading1"/>
        <w:spacing w:line="278" w:lineRule="exact"/>
        <w:ind w:left="564"/>
      </w:pPr>
      <w:r>
        <w:rPr/>
        <w:t>下列疾病不在保障范围内：</w:t>
      </w:r>
    </w:p>
    <w:p>
      <w:pPr>
        <w:spacing w:line="312" w:lineRule="exact" w:before="0"/>
        <w:ind w:left="35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3"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spacing w:after="0"/>
        <w:sectPr>
          <w:pgSz w:w="11900" w:h="16840"/>
          <w:pgMar w:header="850" w:footer="856" w:top="1700" w:bottom="1040" w:left="1020" w:right="920"/>
        </w:sectPr>
      </w:pPr>
    </w:p>
    <w:p>
      <w:pPr>
        <w:pStyle w:val="BodyText"/>
        <w:spacing w:line="274" w:lineRule="exact" w:before="0"/>
        <w:ind w:left="534"/>
      </w:pPr>
      <w:r>
        <w:rPr/>
        <w:t>指因冠状动脉阻塞导致的相应区域供血不足造成部分心肌坏死。须满足下列至少三项条件：</w:t>
      </w:r>
    </w:p>
    <w:p>
      <w:pPr>
        <w:pStyle w:val="BodyText"/>
        <w:spacing w:before="37"/>
        <w:ind w:left="323"/>
      </w:pPr>
      <w:r>
        <w:rPr/>
        <w:t>（</w:t>
      </w:r>
      <w:r>
        <w:rPr>
          <w:rFonts w:ascii="Times New Roman" w:eastAsia="Times New Roman"/>
        </w:rPr>
        <w:t>1</w:t>
      </w:r>
      <w:r>
        <w:rPr/>
        <w:t>）典型临床表现，例如急性胸痛等；</w:t>
      </w:r>
    </w:p>
    <w:p>
      <w:pPr>
        <w:pStyle w:val="BodyText"/>
        <w:ind w:left="324"/>
      </w:pPr>
      <w:r>
        <w:rPr/>
        <w:t>（</w:t>
      </w:r>
      <w:r>
        <w:rPr>
          <w:rFonts w:ascii="Times New Roman" w:eastAsia="Times New Roman"/>
        </w:rPr>
        <w:t>2</w:t>
      </w:r>
      <w:r>
        <w:rPr/>
        <w:t>）新近的心电图改变提示急性心肌梗塞；</w:t>
      </w:r>
    </w:p>
    <w:p>
      <w:pPr>
        <w:pStyle w:val="BodyText"/>
        <w:ind w:left="324"/>
      </w:pPr>
      <w:r>
        <w:rPr/>
        <w:t>（</w:t>
      </w:r>
      <w:r>
        <w:rPr>
          <w:rFonts w:ascii="Times New Roman" w:eastAsia="Times New Roman"/>
        </w:rPr>
        <w:t>3</w:t>
      </w:r>
      <w:r>
        <w:rPr/>
        <w:t>）心肌酶或肌钙蛋白有诊断意义的升高，或呈符合急性心肌梗塞的动态性变化；</w:t>
      </w:r>
    </w:p>
    <w:p>
      <w:pPr>
        <w:pStyle w:val="BodyText"/>
        <w:spacing w:line="256" w:lineRule="auto"/>
        <w:ind w:left="536" w:right="2265" w:hanging="213"/>
      </w:pPr>
      <w:r>
        <w:rPr/>
        <w:t>（</w:t>
      </w:r>
      <w:r>
        <w:rPr>
          <w:rFonts w:ascii="Times New Roman" w:eastAsia="Times New Roman"/>
        </w:rPr>
        <w:t>4</w:t>
      </w:r>
      <w:r>
        <w:rPr/>
        <w:t>）</w:t>
      </w:r>
      <w:r>
        <w:rPr>
          <w:spacing w:val="-19"/>
        </w:rPr>
        <w:t>发病 </w:t>
      </w:r>
      <w:r>
        <w:rPr>
          <w:rFonts w:ascii="Times New Roman" w:eastAsia="Times New Roman"/>
        </w:rPr>
        <w:t>90 </w:t>
      </w:r>
      <w:r>
        <w:rPr>
          <w:spacing w:val="-3"/>
        </w:rPr>
        <w:t>日后，经检查证实左心室功能降低，如左心室射血分数低于 </w:t>
      </w:r>
      <w:r>
        <w:rPr>
          <w:rFonts w:ascii="Times New Roman" w:eastAsia="Times New Roman"/>
        </w:rPr>
        <w:t>50%</w:t>
      </w:r>
      <w:r>
        <w:rPr/>
        <w:t>。三、脑中风后遗症</w:t>
      </w:r>
    </w:p>
    <w:p>
      <w:pPr>
        <w:pStyle w:val="BodyText"/>
        <w:spacing w:line="273" w:lineRule="auto" w:before="22"/>
        <w:ind w:right="155" w:firstLine="420"/>
      </w:pPr>
      <w:r>
        <w:rPr/>
        <w:t>指因脑血管的突发病变引起脑血管出血、栓塞或梗塞，并导致神经系统永久性的功能障碍。神经系统永久性的功能障碍，指疾病确诊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line="279" w:lineRule="exact" w:before="0"/>
        <w:ind w:left="324"/>
      </w:pPr>
      <w:r>
        <w:rPr/>
        <w:t>（</w:t>
      </w:r>
      <w:r>
        <w:rPr>
          <w:rFonts w:ascii="Times New Roman" w:eastAsia="Times New Roman"/>
        </w:rPr>
        <w:t>1</w:t>
      </w:r>
      <w:r>
        <w:rPr/>
        <w:t>）一肢或一肢以上肢体机能完全丧失；</w:t>
      </w:r>
    </w:p>
    <w:p>
      <w:pPr>
        <w:pStyle w:val="BodyText"/>
        <w:ind w:left="324"/>
      </w:pPr>
      <w:r>
        <w:rPr/>
        <w:t>（</w:t>
      </w:r>
      <w:r>
        <w:rPr>
          <w:rFonts w:ascii="Times New Roman" w:eastAsia="Times New Roman"/>
        </w:rPr>
        <w:t>2</w:t>
      </w:r>
      <w:r>
        <w:rPr/>
        <w:t>）语言能力或咀嚼吞咽能力完全丧失；</w:t>
      </w:r>
    </w:p>
    <w:p>
      <w:pPr>
        <w:pStyle w:val="BodyText"/>
        <w:spacing w:before="20"/>
        <w:ind w:left="324"/>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before="20"/>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5"/>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spacing w:before="22"/>
        <w:ind w:left="536"/>
      </w:pPr>
      <w:r>
        <w:rPr/>
        <w:t>四、重大器官移植术或造血干细胞移植术</w:t>
      </w:r>
    </w:p>
    <w:p>
      <w:pPr>
        <w:pStyle w:val="BodyText"/>
        <w:spacing w:line="273" w:lineRule="auto" w:before="37"/>
        <w:ind w:left="534"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before="7"/>
        <w:ind w:left="536" w:right="3753" w:hanging="423"/>
      </w:pPr>
      <w:r>
        <w:rPr/>
        <w:t>干细胞、外周血造血干细胞和脐血造血干细胞）的异体移植手术。五、冠状动脉搭桥术（或称冠状动脉旁路移植术）</w:t>
      </w:r>
    </w:p>
    <w:p>
      <w:pPr>
        <w:pStyle w:val="BodyText"/>
        <w:spacing w:before="7"/>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56" w:lineRule="auto" w:before="37"/>
        <w:ind w:right="205" w:firstLine="420"/>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spacing w:before="22"/>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并须满足下列全部条件：</w:t>
      </w:r>
    </w:p>
    <w:p>
      <w:pPr>
        <w:pStyle w:val="BodyText"/>
        <w:spacing w:before="7"/>
        <w:ind w:left="324"/>
      </w:pPr>
      <w:r>
        <w:rPr/>
        <w:t>（</w:t>
      </w:r>
      <w:r>
        <w:rPr>
          <w:rFonts w:ascii="Times New Roman" w:eastAsia="Times New Roman"/>
        </w:rPr>
        <w:t>1</w:t>
      </w:r>
      <w:r>
        <w:rPr/>
        <w:t>）重度黄疸或黄疸迅速加重；</w:t>
      </w:r>
    </w:p>
    <w:p>
      <w:pPr>
        <w:pStyle w:val="BodyText"/>
        <w:spacing w:before="20"/>
        <w:ind w:left="324"/>
      </w:pPr>
      <w:r>
        <w:rPr/>
        <w:t>（</w:t>
      </w:r>
      <w:r>
        <w:rPr>
          <w:rFonts w:ascii="Times New Roman" w:eastAsia="Times New Roman"/>
        </w:rPr>
        <w:t>2</w:t>
      </w:r>
      <w:r>
        <w:rPr/>
        <w:t>）肝性脑病；</w:t>
      </w:r>
    </w:p>
    <w:p>
      <w:pPr>
        <w:pStyle w:val="BodyText"/>
        <w:spacing w:before="20"/>
        <w:ind w:left="324"/>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56" w:lineRule="auto" w:before="20"/>
        <w:ind w:left="536" w:right="6799" w:hanging="213"/>
      </w:pPr>
      <w:r>
        <w:rPr/>
        <w:t>（</w:t>
      </w:r>
      <w:r>
        <w:rPr>
          <w:rFonts w:ascii="Times New Roman" w:eastAsia="Times New Roman"/>
        </w:rPr>
        <w:t>4</w:t>
      </w:r>
      <w:r>
        <w:rPr/>
        <w:t>）肝功能指标进行性恶化。九、良性脑肿瘤</w:t>
      </w:r>
    </w:p>
    <w:p>
      <w:pPr>
        <w:pStyle w:val="BodyText"/>
        <w:spacing w:line="264" w:lineRule="auto" w:before="22"/>
        <w:ind w:right="204" w:firstLine="420"/>
        <w:jc w:val="both"/>
      </w:pPr>
      <w:r>
        <w:rPr>
          <w:spacing w:val="-4"/>
        </w:rPr>
        <w:t>指脑的良性肿瘤，已经引起颅内压增高，临床表现为视神经乳头水肿、精神症状、癫痫及运动感觉障</w:t>
      </w:r>
      <w:r>
        <w:rPr/>
        <w:t>碍等，并危及生命。须由头颅断层扫描</w:t>
      </w:r>
      <w:r>
        <w:rPr>
          <w:spacing w:val="1"/>
        </w:rPr>
        <w:t>（</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0"/>
        </w:rPr>
        <w:t>）</w:t>
      </w:r>
      <w:r>
        <w:rPr/>
        <w:t>或正电子发射断层扫描</w:t>
      </w:r>
      <w:r>
        <w:rPr>
          <w:spacing w:val="1"/>
        </w:rPr>
        <w:t>（</w:t>
      </w:r>
      <w:r>
        <w:rPr>
          <w:rFonts w:ascii="Times New Roman" w:eastAsia="Times New Roman"/>
          <w:spacing w:val="-1"/>
        </w:rPr>
        <w:t>PE</w:t>
      </w:r>
      <w:r>
        <w:rPr>
          <w:rFonts w:ascii="Times New Roman" w:eastAsia="Times New Roman"/>
          <w:spacing w:val="1"/>
        </w:rPr>
        <w:t>T</w:t>
      </w:r>
      <w:r>
        <w:rPr>
          <w:spacing w:val="1"/>
        </w:rPr>
        <w:t>）等</w:t>
      </w:r>
      <w:r>
        <w:rPr/>
        <w:t>影像学检查证实，并须满足下列至少一项条件：</w:t>
      </w:r>
    </w:p>
    <w:p>
      <w:pPr>
        <w:spacing w:after="0" w:line="264" w:lineRule="auto"/>
        <w:jc w:val="both"/>
        <w:sectPr>
          <w:pgSz w:w="11900" w:h="16840"/>
          <w:pgMar w:header="850" w:footer="856" w:top="1700" w:bottom="1040" w:left="1020" w:right="920"/>
        </w:sectPr>
      </w:pPr>
    </w:p>
    <w:p>
      <w:pPr>
        <w:pStyle w:val="BodyText"/>
        <w:spacing w:line="290" w:lineRule="exact" w:before="0"/>
        <w:ind w:left="324"/>
      </w:pPr>
      <w:r>
        <w:rPr/>
        <w:t>（</w:t>
      </w:r>
      <w:r>
        <w:rPr>
          <w:rFonts w:ascii="Times New Roman" w:eastAsia="Times New Roman"/>
        </w:rPr>
        <w:t>1</w:t>
      </w:r>
      <w:r>
        <w:rPr/>
        <w:t>）实际实施了开颅进行的脑肿瘤完全切除或部分切除的手术；</w:t>
      </w:r>
    </w:p>
    <w:p>
      <w:pPr>
        <w:pStyle w:val="BodyText"/>
        <w:spacing w:line="289" w:lineRule="exact"/>
        <w:ind w:left="324"/>
      </w:pPr>
      <w:r>
        <w:rPr/>
        <w:t>（</w:t>
      </w:r>
      <w:r>
        <w:rPr>
          <w:rFonts w:ascii="Times New Roman" w:eastAsia="Times New Roman"/>
        </w:rPr>
        <w:t>2</w:t>
      </w:r>
      <w:r>
        <w:rPr/>
        <w:t>）实际实施了对脑肿瘤进行的放射治疗。</w:t>
      </w:r>
    </w:p>
    <w:p>
      <w:pPr>
        <w:spacing w:line="313" w:lineRule="exact" w:before="0"/>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2"/>
        <w:ind w:left="534"/>
      </w:pPr>
      <w:r>
        <w:rPr/>
        <w:t>十、慢性肝功能衰竭失代偿期</w:t>
      </w:r>
    </w:p>
    <w:p>
      <w:pPr>
        <w:pStyle w:val="BodyText"/>
        <w:spacing w:before="36"/>
        <w:ind w:left="533"/>
      </w:pPr>
      <w:r>
        <w:rPr/>
        <w:t>指因慢性肝脏疾病导致肝功能衰竭。须满足下列全部条件：</w:t>
      </w:r>
    </w:p>
    <w:p>
      <w:pPr>
        <w:pStyle w:val="BodyText"/>
        <w:spacing w:before="36"/>
        <w:ind w:left="323"/>
      </w:pPr>
      <w:r>
        <w:rPr/>
        <w:t>（</w:t>
      </w:r>
      <w:r>
        <w:rPr>
          <w:rFonts w:ascii="Times New Roman" w:eastAsia="Times New Roman"/>
        </w:rPr>
        <w:t>1</w:t>
      </w:r>
      <w:r>
        <w:rPr/>
        <w:t>）持续性黄疸；</w:t>
      </w:r>
    </w:p>
    <w:p>
      <w:pPr>
        <w:pStyle w:val="BodyText"/>
        <w:ind w:left="324"/>
      </w:pPr>
      <w:r>
        <w:rPr/>
        <w:t>（</w:t>
      </w:r>
      <w:r>
        <w:rPr>
          <w:rFonts w:ascii="Times New Roman" w:eastAsia="Times New Roman"/>
        </w:rPr>
        <w:t>2</w:t>
      </w:r>
      <w:r>
        <w:rPr/>
        <w:t>）腹水；</w:t>
      </w:r>
    </w:p>
    <w:p>
      <w:pPr>
        <w:pStyle w:val="BodyText"/>
        <w:ind w:left="324"/>
      </w:pPr>
      <w:r>
        <w:rPr/>
        <w:t>（</w:t>
      </w:r>
      <w:r>
        <w:rPr>
          <w:rFonts w:ascii="Times New Roman" w:eastAsia="Times New Roman"/>
        </w:rPr>
        <w:t>3</w:t>
      </w:r>
      <w:r>
        <w:rPr/>
        <w:t>）肝性脑病；</w:t>
      </w:r>
    </w:p>
    <w:p>
      <w:pPr>
        <w:pStyle w:val="BodyText"/>
        <w:spacing w:line="289" w:lineRule="exact"/>
        <w:ind w:left="324"/>
      </w:pPr>
      <w:r>
        <w:rPr/>
        <w:t>（</w:t>
      </w:r>
      <w:r>
        <w:rPr>
          <w:rFonts w:ascii="Times New Roman" w:eastAsia="Times New Roman"/>
        </w:rPr>
        <w:t>4</w:t>
      </w:r>
      <w:r>
        <w:rPr/>
        <w:t>）充血性脾肿大伴脾功能亢进或食管胃底静脉曲张。</w:t>
      </w:r>
    </w:p>
    <w:p>
      <w:pPr>
        <w:spacing w:line="313" w:lineRule="exact" w:before="0"/>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before="37"/>
        <w:ind w:left="535"/>
        <w:rPr>
          <w:rFonts w:ascii="Times New Roman" w:eastAsia="Times New Roman"/>
        </w:rPr>
      </w:pPr>
      <w:r>
        <w:rPr>
          <w:spacing w:val="-9"/>
        </w:rPr>
        <w:t>指因患脑炎或脑膜炎导致的神经系统永久性的功能障碍。神经系统永久性的功能障碍，指疾病确诊 </w:t>
      </w:r>
      <w:r>
        <w:rPr>
          <w:rFonts w:ascii="Times New Roman" w:eastAsia="Times New Roman"/>
        </w:rPr>
        <w:t>180</w:t>
      </w:r>
    </w:p>
    <w:p>
      <w:pPr>
        <w:pStyle w:val="BodyText"/>
        <w:ind w:left="113"/>
      </w:pPr>
      <w:r>
        <w:rPr/>
        <w:t>日后，仍遗留下列一种或一种以上障碍：</w:t>
      </w:r>
    </w:p>
    <w:p>
      <w:pPr>
        <w:pStyle w:val="BodyText"/>
        <w:spacing w:before="37"/>
        <w:ind w:left="325"/>
      </w:pPr>
      <w:r>
        <w:rPr/>
        <w:t>（</w:t>
      </w:r>
      <w:r>
        <w:rPr>
          <w:rFonts w:ascii="Times New Roman" w:eastAsia="Times New Roman"/>
        </w:rPr>
        <w:t>1</w:t>
      </w:r>
      <w:r>
        <w:rPr/>
        <w:t>）一肢或一肢以上肌体机能完全丧失；</w:t>
      </w:r>
    </w:p>
    <w:p>
      <w:pPr>
        <w:pStyle w:val="BodyText"/>
        <w:ind w:left="325"/>
      </w:pPr>
      <w:r>
        <w:rPr/>
        <w:t>（</w:t>
      </w:r>
      <w:r>
        <w:rPr>
          <w:rFonts w:ascii="Times New Roman" w:eastAsia="Times New Roman"/>
        </w:rPr>
        <w:t>2</w:t>
      </w:r>
      <w:r>
        <w:rPr/>
        <w:t>）语言能力或咀嚼吞咽能力完全丧失；</w:t>
      </w:r>
    </w:p>
    <w:p>
      <w:pPr>
        <w:pStyle w:val="BodyText"/>
        <w:ind w:left="32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6"/>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spacing w:before="22"/>
        <w:ind w:left="536"/>
      </w:pPr>
      <w:r>
        <w:rPr/>
        <w:t>十二、 深度昏迷</w:t>
      </w:r>
    </w:p>
    <w:p>
      <w:pPr>
        <w:pStyle w:val="BodyText"/>
        <w:spacing w:before="36"/>
        <w:ind w:left="534"/>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pStyle w:val="BodyText"/>
        <w:spacing w:line="289" w:lineRule="exact" w:before="20"/>
      </w:pPr>
      <w:r>
        <w:rPr/>
        <w:t>（</w:t>
      </w:r>
      <w:r>
        <w:rPr>
          <w:rFonts w:ascii="Times New Roman" w:eastAsia="Times New Roman"/>
        </w:rPr>
        <w:t>Glasgow coma </w:t>
      </w:r>
      <w:r>
        <w:rPr>
          <w:rFonts w:ascii="Times New Roman" w:eastAsia="Times New Roman"/>
          <w:spacing w:val="-6"/>
        </w:rPr>
        <w:t>scale</w:t>
      </w:r>
      <w:r>
        <w:rPr>
          <w:spacing w:val="-6"/>
        </w:rPr>
        <w:t>）</w:t>
      </w:r>
      <w:r>
        <w:rPr>
          <w:spacing w:val="-14"/>
        </w:rPr>
        <w:t>结果为 </w:t>
      </w:r>
      <w:r>
        <w:rPr>
          <w:rFonts w:ascii="Times New Roman" w:eastAsia="Times New Roman"/>
        </w:rPr>
        <w:t>5 </w:t>
      </w:r>
      <w:r>
        <w:rPr>
          <w:spacing w:val="-19"/>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t>小时以上。</w:t>
      </w:r>
    </w:p>
    <w:p>
      <w:pPr>
        <w:spacing w:line="313"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spacing w:before="36"/>
        <w:ind w:left="534"/>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ind w:left="113"/>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left="113" w:right="206" w:firstLine="420"/>
      </w:pPr>
      <w:r>
        <w:rPr>
          <w:spacing w:val="-7"/>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BodyText"/>
        <w:spacing w:before="22"/>
        <w:ind w:left="536"/>
      </w:pPr>
      <w:r>
        <w:rPr/>
        <w:t>十四、双目失明</w:t>
      </w:r>
    </w:p>
    <w:p>
      <w:pPr>
        <w:pStyle w:val="BodyText"/>
        <w:spacing w:before="37"/>
        <w:ind w:left="533"/>
      </w:pPr>
      <w:r>
        <w:rPr/>
        <w:t>指因疾病或意外伤害导致双眼视力永久不可逆性丧失，双眼中较好眼须满足下列至少一项条件：</w:t>
      </w:r>
    </w:p>
    <w:p>
      <w:pPr>
        <w:pStyle w:val="BodyText"/>
        <w:spacing w:before="37"/>
        <w:ind w:left="323"/>
      </w:pPr>
      <w:r>
        <w:rPr/>
        <w:t>（</w:t>
      </w:r>
      <w:r>
        <w:rPr>
          <w:rFonts w:ascii="Times New Roman" w:eastAsia="Times New Roman"/>
        </w:rPr>
        <w:t>1</w:t>
      </w:r>
      <w:r>
        <w:rPr/>
        <w:t>）眼球缺失或摘除；</w:t>
      </w:r>
    </w:p>
    <w:p>
      <w:pPr>
        <w:pStyle w:val="BodyText"/>
        <w:ind w:left="324"/>
      </w:pPr>
      <w:r>
        <w:rPr/>
        <w:t>（</w:t>
      </w:r>
      <w:r>
        <w:rPr>
          <w:rFonts w:ascii="Times New Roman" w:eastAsia="Times New Roman"/>
        </w:rPr>
        <w:t>2</w:t>
      </w:r>
      <w:r>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1"/>
        </w:rPr>
        <w:t>2</w:t>
      </w:r>
      <w:r>
        <w:rPr/>
        <w:t>（采用国际标准视力表，如果使用其他视力表应进行换算</w:t>
      </w:r>
      <w:r>
        <w:rPr>
          <w:spacing w:val="-106"/>
        </w:rPr>
        <w:t>）</w:t>
      </w:r>
      <w:r>
        <w:rPr/>
        <w:t>；</w:t>
      </w:r>
    </w:p>
    <w:p>
      <w:pPr>
        <w:pStyle w:val="BodyText"/>
        <w:ind w:left="324"/>
      </w:pPr>
      <w:r>
        <w:rPr/>
        <w:t>（</w:t>
      </w:r>
      <w:r>
        <w:rPr>
          <w:rFonts w:ascii="Times New Roman" w:eastAsia="Times New Roman"/>
        </w:rPr>
        <w:t>3</w:t>
      </w:r>
      <w:r>
        <w:rPr/>
        <w:t>）视野半径小于 </w:t>
      </w:r>
      <w:r>
        <w:rPr>
          <w:rFonts w:ascii="Times New Roman" w:eastAsia="Times New Roman"/>
        </w:rPr>
        <w:t>5 </w:t>
      </w:r>
      <w:r>
        <w:rPr/>
        <w:t>度。</w:t>
      </w:r>
    </w:p>
    <w:p>
      <w:pPr>
        <w:pStyle w:val="BodyText"/>
        <w:ind w:left="534"/>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56" w:lineRule="auto"/>
        <w:ind w:left="536" w:right="2638" w:hanging="423"/>
      </w:pPr>
      <w:r>
        <w:rPr/>
        <w:t>疗手段恢复。但眼球摘除等明显无法复原的情况，不受此 </w:t>
      </w:r>
      <w:r>
        <w:rPr>
          <w:rFonts w:ascii="Times New Roman" w:eastAsia="Times New Roman"/>
        </w:rPr>
        <w:t>180 </w:t>
      </w:r>
      <w:r>
        <w:rPr/>
        <w:t>日期限的限制。十五、瘫痪</w:t>
      </w:r>
    </w:p>
    <w:p>
      <w:pPr>
        <w:pStyle w:val="BodyText"/>
        <w:spacing w:line="273" w:lineRule="auto" w:before="22"/>
        <w:ind w:right="155" w:firstLine="420"/>
      </w:pPr>
      <w:r>
        <w:rPr/>
        <w:t>指因疾病或意外伤害导致两肢或两肢以上肢体机能永久完全丧失。肢体机能永久完全丧失，指疾病确诊 </w:t>
      </w:r>
      <w:r>
        <w:rPr>
          <w:rFonts w:ascii="Times New Roman" w:eastAsia="Times New Roman"/>
        </w:rPr>
        <w:t>180 </w:t>
      </w:r>
      <w:r>
        <w:rPr/>
        <w:t>日后或意外伤害发生 </w:t>
      </w:r>
      <w:r>
        <w:rPr>
          <w:rFonts w:ascii="Times New Roman" w:eastAsia="Times New Roman"/>
        </w:rPr>
        <w:t>180 </w:t>
      </w:r>
      <w:r>
        <w:rPr/>
        <w:t>日后，每肢三大关节中的两大关节仍然完全僵硬，或不能随意识活动。</w:t>
      </w:r>
    </w:p>
    <w:p>
      <w:pPr>
        <w:spacing w:after="0" w:line="273" w:lineRule="auto"/>
        <w:sectPr>
          <w:pgSz w:w="11900" w:h="16840"/>
          <w:pgMar w:header="850" w:footer="856" w:top="1700" w:bottom="1040" w:left="1020" w:right="920"/>
        </w:sectPr>
      </w:pPr>
    </w:p>
    <w:p>
      <w:pPr>
        <w:pStyle w:val="BodyText"/>
        <w:spacing w:line="274" w:lineRule="exact" w:before="0"/>
        <w:ind w:left="536"/>
      </w:pPr>
      <w:r>
        <w:rPr/>
        <w:t>十六、心脏瓣膜手术</w:t>
      </w:r>
    </w:p>
    <w:p>
      <w:pPr>
        <w:pStyle w:val="BodyText"/>
        <w:spacing w:line="273" w:lineRule="auto" w:before="37"/>
        <w:ind w:left="536" w:right="2283" w:hanging="3"/>
      </w:pPr>
      <w:r>
        <w:rPr/>
        <w:t>指为治疗心脏瓣膜疾病，实际实施了开胸进行的心脏瓣膜置换或修复的手术。十七、严重阿尔茨海默病</w:t>
      </w:r>
    </w:p>
    <w:p>
      <w:pPr>
        <w:pStyle w:val="BodyText"/>
        <w:spacing w:line="261" w:lineRule="auto" w:before="7"/>
        <w:ind w:right="102" w:firstLine="420"/>
      </w:pPr>
      <w:r>
        <w:rPr>
          <w:spacing w:val="-3"/>
        </w:rPr>
        <w:t>指因大脑进行性、不可逆性改变导致智能严重衰退或丧失，临床表现为明显的认知能力障碍、行为异</w:t>
      </w:r>
      <w:r>
        <w:rPr>
          <w:spacing w:val="-6"/>
        </w:rPr>
        <w:t>常和社交能力减退，其日常生活必须持续受到他人监护。须由头颅断层扫描</w:t>
      </w:r>
      <w:r>
        <w:rPr>
          <w:spacing w:val="-1"/>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spacing w:line="30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3"/>
      </w:pPr>
      <w:r>
        <w:rPr/>
        <w:t>十八、严重脑损伤</w:t>
      </w:r>
    </w:p>
    <w:p>
      <w:pPr>
        <w:pStyle w:val="BodyText"/>
        <w:spacing w:line="264" w:lineRule="auto" w:before="37"/>
        <w:ind w:left="113" w:right="205" w:firstLine="420"/>
        <w:jc w:val="both"/>
      </w:pPr>
      <w:r>
        <w:rPr>
          <w:spacing w:val="-3"/>
        </w:rPr>
        <w:t>指因头部遭受机械性外力，引起脑重要部位损伤，导致神经系统永久性的功能障碍。须由头颅断层扫</w:t>
      </w:r>
      <w:r>
        <w:rPr>
          <w:spacing w:val="1"/>
        </w:rPr>
        <w:t>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w:t>
      </w:r>
      <w:r>
        <w:rPr/>
        <w:t>或正电子发射断层扫描</w:t>
      </w:r>
      <w:r>
        <w:rPr>
          <w:spacing w:val="1"/>
        </w:rPr>
        <w:t>（</w:t>
      </w:r>
      <w:r>
        <w:rPr>
          <w:rFonts w:ascii="Times New Roman" w:eastAsia="Times New Roman"/>
          <w:spacing w:val="-2"/>
        </w:rPr>
        <w:t>P</w:t>
      </w:r>
      <w:r>
        <w:rPr>
          <w:rFonts w:ascii="Times New Roman" w:eastAsia="Times New Roman"/>
        </w:rPr>
        <w:t>E</w:t>
      </w:r>
      <w:r>
        <w:rPr>
          <w:rFonts w:ascii="Times New Roman" w:eastAsia="Times New Roman"/>
          <w:spacing w:val="1"/>
        </w:rPr>
        <w:t>T</w:t>
      </w:r>
      <w:r>
        <w:rPr>
          <w:spacing w:val="1"/>
        </w:rPr>
        <w:t>）</w:t>
      </w:r>
      <w:r>
        <w:rPr/>
        <w:t>等影像学检查证实。神经系统永久性的</w:t>
      </w:r>
      <w:r>
        <w:rPr>
          <w:spacing w:val="-6"/>
        </w:rPr>
        <w:t>功能障碍，指脑损伤 </w:t>
      </w:r>
      <w:r>
        <w:rPr>
          <w:rFonts w:ascii="Times New Roman" w:eastAsia="Times New Roman"/>
        </w:rPr>
        <w:t>180 </w:t>
      </w:r>
      <w:r>
        <w:rPr/>
        <w:t>日后，仍遗留下列一种或一种以上障碍：</w:t>
      </w:r>
    </w:p>
    <w:p>
      <w:pPr>
        <w:pStyle w:val="BodyText"/>
        <w:spacing w:line="289" w:lineRule="exact" w:before="0"/>
        <w:ind w:left="325"/>
      </w:pPr>
      <w:r>
        <w:rPr/>
        <w:t>（</w:t>
      </w:r>
      <w:r>
        <w:rPr>
          <w:rFonts w:ascii="Times New Roman" w:eastAsia="Times New Roman"/>
        </w:rPr>
        <w:t>1</w:t>
      </w:r>
      <w:r>
        <w:rPr/>
        <w:t>）一肢或一肢以上肌体机能完全丧失；</w:t>
      </w:r>
    </w:p>
    <w:p>
      <w:pPr>
        <w:pStyle w:val="BodyText"/>
        <w:ind w:left="325"/>
      </w:pPr>
      <w:r>
        <w:rPr/>
        <w:t>（</w:t>
      </w:r>
      <w:r>
        <w:rPr>
          <w:rFonts w:ascii="Times New Roman" w:eastAsia="Times New Roman"/>
        </w:rPr>
        <w:t>2</w:t>
      </w:r>
      <w:r>
        <w:rPr/>
        <w:t>）语言能力或咀嚼吞咽能力完全丧失；</w:t>
      </w:r>
    </w:p>
    <w:p>
      <w:pPr>
        <w:pStyle w:val="BodyText"/>
        <w:ind w:left="32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05" w:firstLine="419"/>
        <w:jc w:val="both"/>
      </w:pPr>
      <w:r>
        <w:rPr>
          <w:spacing w:val="-12"/>
        </w:rPr>
        <w:t>注 </w:t>
      </w:r>
      <w:r>
        <w:rPr>
          <w:rFonts w:ascii="Times New Roman" w:hAnsi="Times New Roman" w:eastAsia="Times New Roman"/>
        </w:rPr>
        <w:t>1</w:t>
      </w:r>
      <w:r>
        <w:rPr/>
        <w:t>：六项基本日常生活活动包括：①穿衣：自己能够穿衣及脱衣；②移动：自己从一个房间到另一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56" w:lineRule="auto" w:before="15"/>
        <w:ind w:right="155" w:firstLine="419"/>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ind w:right="155" w:firstLine="419"/>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ind w:right="155" w:firstLine="419"/>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pStyle w:val="BodyText"/>
        <w:spacing w:before="36"/>
        <w:ind w:left="534"/>
      </w:pPr>
      <w:r>
        <w:rPr/>
        <w:t>指一种中枢神经系统的退行性疾病，临床表现为震颤麻痹、共济失调等。须满足下列全部条件：</w:t>
      </w:r>
    </w:p>
    <w:p>
      <w:pPr>
        <w:pStyle w:val="BodyText"/>
        <w:spacing w:before="36"/>
        <w:ind w:left="324"/>
      </w:pPr>
      <w:r>
        <w:rPr/>
        <w:t>（</w:t>
      </w:r>
      <w:r>
        <w:rPr>
          <w:rFonts w:ascii="Times New Roman" w:eastAsia="Times New Roman"/>
        </w:rPr>
        <w:t>1</w:t>
      </w:r>
      <w:r>
        <w:rPr/>
        <w:t>）药物治疗无法控制病情；</w:t>
      </w:r>
    </w:p>
    <w:p>
      <w:pPr>
        <w:pStyle w:val="BodyText"/>
        <w:spacing w:line="289" w:lineRule="exact" w:before="20"/>
        <w:ind w:left="324"/>
      </w:pPr>
      <w:r>
        <w:rPr/>
        <w:t>（</w:t>
      </w:r>
      <w:r>
        <w:rPr>
          <w:rFonts w:ascii="Times New Roman" w:eastAsia="Times New Roman"/>
        </w:rPr>
        <w:t>2</w:t>
      </w:r>
      <w:r>
        <w:rPr/>
        <w:t>）自主生活能力完全丧失，无法独立完成六项基本日常生活活动中的三项或三项以上。</w:t>
      </w:r>
    </w:p>
    <w:p>
      <w:pPr>
        <w:spacing w:line="313" w:lineRule="exact" w:before="0"/>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spacing w:before="7"/>
        <w:ind w:left="536" w:right="0" w:firstLine="0"/>
        <w:jc w:val="left"/>
        <w:rPr>
          <w:sz w:val="21"/>
        </w:rPr>
      </w:pPr>
      <w:r>
        <w:rPr>
          <w:sz w:val="21"/>
        </w:rPr>
        <w:t>二十、严重 </w:t>
      </w:r>
      <w:r>
        <w:rPr>
          <w:rFonts w:ascii="Times New Roman" w:eastAsia="Times New Roman"/>
          <w:b/>
          <w:sz w:val="21"/>
        </w:rPr>
        <w:t>III </w:t>
      </w:r>
      <w:r>
        <w:rPr>
          <w:sz w:val="21"/>
        </w:rPr>
        <w:t>度烧伤</w:t>
      </w:r>
    </w:p>
    <w:p>
      <w:pPr>
        <w:pStyle w:val="BodyText"/>
        <w:spacing w:line="256" w:lineRule="auto"/>
        <w:ind w:left="113" w:right="206" w:firstLine="420"/>
      </w:pPr>
      <w:r>
        <w:rPr>
          <w:spacing w:val="-3"/>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 《中国新九分法》计算。</w:t>
      </w:r>
    </w:p>
    <w:p>
      <w:pPr>
        <w:pStyle w:val="BodyText"/>
        <w:spacing w:before="22"/>
        <w:ind w:left="536"/>
      </w:pPr>
      <w:r>
        <w:rPr/>
        <w:t>二十一、严重原发性肺动脉高压</w:t>
      </w:r>
    </w:p>
    <w:p>
      <w:pPr>
        <w:pStyle w:val="BodyText"/>
        <w:spacing w:line="273" w:lineRule="auto" w:before="37"/>
        <w:ind w:left="113" w:right="102" w:firstLine="420"/>
      </w:pPr>
      <w:r>
        <w:rPr>
          <w:spacing w:val="-2"/>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rPr>
        <w:t>30mmHg</w:t>
      </w:r>
      <w:r>
        <w:rPr/>
        <w:t>。</w:t>
      </w:r>
    </w:p>
    <w:p>
      <w:pPr>
        <w:pStyle w:val="BodyText"/>
        <w:spacing w:line="256" w:lineRule="auto" w:before="0"/>
        <w:ind w:left="113" w:right="206" w:firstLine="420"/>
      </w:pPr>
      <w:r>
        <w:rPr>
          <w:spacing w:val="-7"/>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BodyText"/>
        <w:spacing w:before="33"/>
        <w:ind w:left="536"/>
      </w:pPr>
      <w:r>
        <w:rPr/>
        <w:t>二十二、严重运动神经元病</w:t>
      </w:r>
    </w:p>
    <w:p>
      <w:pPr>
        <w:spacing w:after="0"/>
        <w:sectPr>
          <w:pgSz w:w="11900" w:h="16840"/>
          <w:pgMar w:header="850" w:footer="856" w:top="1700" w:bottom="1040" w:left="1020" w:right="920"/>
        </w:sectPr>
      </w:pPr>
    </w:p>
    <w:p>
      <w:pPr>
        <w:pStyle w:val="BodyText"/>
        <w:spacing w:line="273" w:lineRule="auto" w:before="0"/>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before="9"/>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6"/>
      </w:pPr>
      <w:r>
        <w:rPr/>
        <w:t>二十三、语言能力丧失</w:t>
      </w:r>
    </w:p>
    <w:p>
      <w:pPr>
        <w:pStyle w:val="BodyText"/>
        <w:spacing w:line="256" w:lineRule="auto" w:before="37"/>
        <w:ind w:left="113" w:right="289" w:firstLine="420"/>
        <w:jc w:val="both"/>
      </w:pP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spacing w:line="312"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205"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中的任何三种、或声带全部切除，或因大脑语言中枢受伤害而患失语症。</w:t>
      </w:r>
    </w:p>
    <w:p>
      <w:pPr>
        <w:pStyle w:val="BodyText"/>
        <w:spacing w:before="7"/>
        <w:ind w:left="533"/>
      </w:pPr>
      <w:r>
        <w:rPr/>
        <w:t>二十四、重型再生障碍性贫血</w:t>
      </w:r>
    </w:p>
    <w:p>
      <w:pPr>
        <w:pStyle w:val="BodyText"/>
        <w:spacing w:before="36"/>
        <w:ind w:left="533"/>
      </w:pPr>
      <w:r>
        <w:rPr>
          <w:spacing w:val="-6"/>
        </w:rPr>
        <w:t>指因骨髓造血功能慢性持续性衰竭导致的贫血、中性粒细胞减少及血小板减少。须满足下列全部条件：</w:t>
      </w:r>
    </w:p>
    <w:p>
      <w:pPr>
        <w:pStyle w:val="BodyText"/>
        <w:spacing w:before="36"/>
        <w:ind w:left="323"/>
      </w:pPr>
      <w:r>
        <w:rPr/>
        <w:t>（</w:t>
      </w:r>
      <w:r>
        <w:rPr>
          <w:rFonts w:ascii="Times New Roman" w:eastAsia="Times New Roman"/>
        </w:rPr>
        <w:t>1</w:t>
      </w:r>
      <w:r>
        <w:rPr/>
        <w:t>）骨髓穿刺检查或骨髓活检结果支持诊断；</w:t>
      </w:r>
    </w:p>
    <w:p>
      <w:pPr>
        <w:pStyle w:val="BodyText"/>
        <w:ind w:left="324"/>
      </w:pPr>
      <w:r>
        <w:rPr/>
        <w:t>（</w:t>
      </w:r>
      <w:r>
        <w:rPr>
          <w:rFonts w:ascii="Times New Roman" w:eastAsia="Times New Roman"/>
        </w:rPr>
        <w:t>2</w:t>
      </w:r>
      <w:r>
        <w:rPr/>
        <w:t>）外周血象须具备以下三项条件：</w:t>
      </w:r>
    </w:p>
    <w:p>
      <w:pPr>
        <w:pStyle w:val="BodyText"/>
        <w:spacing w:before="3"/>
        <w:ind w:left="0"/>
        <w:rPr>
          <w:sz w:val="15"/>
        </w:rPr>
      </w:pPr>
    </w:p>
    <w:p>
      <w:pPr>
        <w:pStyle w:val="BodyText"/>
        <w:spacing w:before="1"/>
        <w:ind w:left="744"/>
      </w:pPr>
      <w:r>
        <w:rPr/>
        <w:t>① 中性粒细胞绝对值</w:t>
      </w:r>
      <w:r>
        <w:rPr>
          <w:rFonts w:ascii="Times New Roman" w:hAnsi="Times New Roman" w:eastAsia="Times New Roman"/>
        </w:rPr>
        <w:t>≤0.5×</w:t>
      </w:r>
      <w:r>
        <w:rPr>
          <w:rFonts w:ascii="Times New Roman" w:hAnsi="Times New Roman" w:eastAsia="Times New Roman"/>
          <w:sz w:val="23"/>
        </w:rPr>
        <w:t>10</w:t>
      </w:r>
      <w:r>
        <w:rPr>
          <w:rFonts w:ascii="Times New Roman" w:hAnsi="Times New Roman" w:eastAsia="Times New Roman"/>
          <w:position w:val="11"/>
          <w:sz w:val="13"/>
        </w:rPr>
        <w:t>9 </w:t>
      </w:r>
      <w:r>
        <w:rPr>
          <w:rFonts w:ascii="Times New Roman" w:hAnsi="Times New Roman" w:eastAsia="Times New Roman"/>
        </w:rPr>
        <w:t>/L</w:t>
      </w:r>
      <w:r>
        <w:rPr/>
        <w:t>；</w:t>
      </w:r>
    </w:p>
    <w:p>
      <w:pPr>
        <w:pStyle w:val="BodyText"/>
        <w:spacing w:before="150"/>
        <w:ind w:left="744"/>
      </w:pPr>
      <w:r>
        <w:rPr/>
        <w:t>② 网织红细胞＜</w:t>
      </w:r>
      <w:r>
        <w:rPr>
          <w:rFonts w:ascii="Times New Roman" w:hAnsi="Times New Roman" w:eastAsia="Times New Roman"/>
        </w:rPr>
        <w:t>1%</w:t>
      </w:r>
      <w:r>
        <w:rPr/>
        <w:t>；</w:t>
      </w:r>
    </w:p>
    <w:p>
      <w:pPr>
        <w:pStyle w:val="BodyText"/>
        <w:spacing w:before="3"/>
        <w:ind w:left="0"/>
        <w:rPr>
          <w:sz w:val="15"/>
        </w:rPr>
      </w:pPr>
    </w:p>
    <w:p>
      <w:pPr>
        <w:pStyle w:val="BodyText"/>
        <w:spacing w:line="362" w:lineRule="auto" w:before="0"/>
        <w:ind w:left="536" w:right="6424" w:firstLine="207"/>
      </w:pPr>
      <w:r>
        <w:rPr/>
        <w:t>③ 血小板绝对值</w:t>
      </w:r>
      <w:r>
        <w:rPr>
          <w:rFonts w:ascii="Times New Roman" w:hAnsi="Times New Roman" w:eastAsia="Times New Roman"/>
        </w:rPr>
        <w:t>≤20×</w:t>
      </w:r>
      <w:r>
        <w:rPr>
          <w:rFonts w:ascii="Times New Roman" w:hAnsi="Times New Roman" w:eastAsia="Times New Roman"/>
          <w:sz w:val="23"/>
        </w:rPr>
        <w:t>10</w:t>
      </w:r>
      <w:r>
        <w:rPr>
          <w:rFonts w:ascii="Times New Roman" w:hAnsi="Times New Roman" w:eastAsia="Times New Roman"/>
          <w:position w:val="11"/>
          <w:sz w:val="13"/>
        </w:rPr>
        <w:t>9 </w:t>
      </w:r>
      <w:r>
        <w:rPr>
          <w:rFonts w:ascii="Times New Roman" w:hAnsi="Times New Roman" w:eastAsia="Times New Roman"/>
        </w:rPr>
        <w:t>/L</w:t>
      </w:r>
      <w:r>
        <w:rPr/>
        <w:t>。二十五、主动脉手术</w:t>
      </w:r>
    </w:p>
    <w:p>
      <w:pPr>
        <w:pStyle w:val="BodyText"/>
        <w:spacing w:line="219" w:lineRule="exact" w:before="0"/>
        <w:ind w:left="533"/>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p>
      <w:pPr>
        <w:pStyle w:val="BodyText"/>
        <w:ind w:left="536"/>
      </w:pPr>
      <w:r>
        <w:rPr/>
        <w:t>二十六、细菌性脑脊髓膜炎</w:t>
      </w:r>
    </w:p>
    <w:p>
      <w:pPr>
        <w:pStyle w:val="BodyText"/>
        <w:spacing w:line="273" w:lineRule="auto" w:before="36"/>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性神经损伤是指经我们认可的神经专科医师确诊，遗留下列残疾之一而无法复原并持续达一百八十日以上者：</w:t>
      </w:r>
    </w:p>
    <w:p>
      <w:pPr>
        <w:pStyle w:val="BodyText"/>
        <w:spacing w:before="7"/>
        <w:ind w:left="324"/>
      </w:pPr>
      <w:r>
        <w:rPr/>
        <w:t>（</w:t>
      </w:r>
      <w:r>
        <w:rPr>
          <w:rFonts w:ascii="Times New Roman" w:eastAsia="Times New Roman"/>
        </w:rPr>
        <w:t>1</w:t>
      </w:r>
      <w:r>
        <w:rPr/>
        <w:t>）符合神经精神病学标准的严重认知功能障碍，而需持续监护；</w:t>
      </w:r>
    </w:p>
    <w:p>
      <w:pPr>
        <w:pStyle w:val="BodyText"/>
        <w:ind w:left="324"/>
      </w:pPr>
      <w:r>
        <w:rPr/>
        <w:t>（</w:t>
      </w:r>
      <w:r>
        <w:rPr>
          <w:rFonts w:ascii="Times New Roman" w:eastAsia="Times New Roman"/>
        </w:rPr>
        <w:t>2</w:t>
      </w:r>
      <w:r>
        <w:rPr/>
        <w:t>）听力丧失或失明；</w:t>
      </w:r>
    </w:p>
    <w:p>
      <w:pPr>
        <w:pStyle w:val="BodyText"/>
        <w:ind w:left="324"/>
      </w:pPr>
      <w:r>
        <w:rPr/>
        <w:t>（</w:t>
      </w:r>
      <w:r>
        <w:rPr>
          <w:rFonts w:ascii="Times New Roman" w:eastAsia="Times New Roman"/>
        </w:rPr>
        <w:t>3</w:t>
      </w:r>
      <w:r>
        <w:rPr/>
        <w:t>）语言机能丧失；</w:t>
      </w:r>
    </w:p>
    <w:p>
      <w:pPr>
        <w:pStyle w:val="BodyText"/>
        <w:spacing w:line="256" w:lineRule="auto"/>
        <w:ind w:right="200" w:firstLine="210"/>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7"/>
        <w:ind w:left="536"/>
      </w:pPr>
      <w:r>
        <w:rPr/>
        <w:t>二十七、多发性硬化</w:t>
      </w:r>
    </w:p>
    <w:p>
      <w:pPr>
        <w:pStyle w:val="BodyText"/>
        <w:spacing w:line="266" w:lineRule="auto" w:before="36"/>
        <w:ind w:right="205" w:firstLine="420"/>
        <w:jc w:val="both"/>
        <w:rPr>
          <w:rFonts w:ascii="Times New Roman" w:eastAsia="Times New Roman"/>
        </w:rPr>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rFonts w:ascii="Times New Roman" w:eastAsia="Times New Roman"/>
        </w:rPr>
        <w:t>CT </w:t>
      </w:r>
      <w:r>
        <w:rPr/>
        <w:t>或核磁共振检</w:t>
      </w:r>
      <w:r>
        <w:rPr>
          <w:spacing w:val="-3"/>
        </w:rPr>
        <w:t>查结果诊断报告。所谓身体部位不可逆的功能障碍指初次诊断为功能障碍后需持续一百八十日以上。其诊断必须包含以下全部内容</w:t>
      </w:r>
      <w:r>
        <w:rPr>
          <w:rFonts w:ascii="Times New Roman" w:eastAsia="Times New Roman"/>
          <w:spacing w:val="-3"/>
        </w:rPr>
        <w:t>:</w:t>
      </w:r>
    </w:p>
    <w:p>
      <w:pPr>
        <w:pStyle w:val="BodyText"/>
        <w:spacing w:line="286" w:lineRule="exact" w:before="0"/>
        <w:ind w:left="324"/>
      </w:pPr>
      <w:r>
        <w:rPr/>
        <w:t>（</w:t>
      </w:r>
      <w:r>
        <w:rPr>
          <w:rFonts w:ascii="Times New Roman" w:eastAsia="Times New Roman"/>
        </w:rPr>
        <w:t>1</w:t>
      </w:r>
      <w:r>
        <w:rPr/>
        <w:t>）由于视神经、脑干和脊髓损伤而导致的临床表现；</w:t>
      </w:r>
    </w:p>
    <w:p>
      <w:pPr>
        <w:pStyle w:val="BodyText"/>
        <w:spacing w:before="22"/>
        <w:ind w:left="324"/>
      </w:pPr>
      <w:r>
        <w:rPr/>
        <w:t>（</w:t>
      </w:r>
      <w:r>
        <w:rPr>
          <w:rFonts w:ascii="Times New Roman" w:eastAsia="Times New Roman"/>
        </w:rPr>
        <w:t>2</w:t>
      </w:r>
      <w:r>
        <w:rPr/>
        <w:t>）散在的身体损害的多样性；</w:t>
      </w:r>
    </w:p>
    <w:p>
      <w:pPr>
        <w:spacing w:after="0"/>
        <w:sectPr>
          <w:pgSz w:w="11900" w:h="16840"/>
          <w:pgMar w:header="850" w:footer="856" w:top="1700" w:bottom="1040" w:left="1020" w:right="920"/>
        </w:sectPr>
      </w:pPr>
    </w:p>
    <w:p>
      <w:pPr>
        <w:pStyle w:val="BodyText"/>
        <w:spacing w:line="256" w:lineRule="auto" w:before="0"/>
        <w:ind w:left="536" w:right="4509" w:hanging="213"/>
      </w:pPr>
      <w:r>
        <w:rPr/>
        <w:t>（</w:t>
      </w:r>
      <w:r>
        <w:rPr>
          <w:rFonts w:ascii="Times New Roman" w:eastAsia="Times New Roman"/>
        </w:rPr>
        <w:t>3</w:t>
      </w:r>
      <w:r>
        <w:rPr/>
        <w:t>）上述症状反复发作、恶化及神经损伤的病史记录。二十八、脊髓灰质炎</w:t>
      </w:r>
    </w:p>
    <w:p>
      <w:pPr>
        <w:spacing w:line="235" w:lineRule="auto" w:before="5"/>
        <w:ind w:left="114" w:right="106" w:firstLine="420"/>
        <w:jc w:val="both"/>
        <w:rPr>
          <w:rFonts w:ascii="黑体" w:eastAsia="黑体" w:hint="eastAsia"/>
          <w:sz w:val="24"/>
        </w:rPr>
      </w:pPr>
      <w:r>
        <w:rPr>
          <w:spacing w:val="-4"/>
          <w:sz w:val="21"/>
        </w:rPr>
        <w:t>由于脊髓灰质炎病毒感染所导致的运动功能障碍或呼吸功能减弱麻痹性瘫痪，持续 </w:t>
      </w:r>
      <w:r>
        <w:rPr>
          <w:rFonts w:ascii="Times New Roman" w:eastAsia="Times New Roman"/>
          <w:sz w:val="21"/>
        </w:rPr>
        <w:t>3 </w:t>
      </w:r>
      <w:r>
        <w:rPr>
          <w:spacing w:val="-9"/>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sz w:val="24"/>
        </w:rPr>
        <w:t>致的麻痹，例如格林巴利综合症</w:t>
      </w:r>
      <w:r>
        <w:rPr>
          <w:rFonts w:ascii="黑体" w:eastAsia="黑体" w:hint="eastAsia"/>
          <w:sz w:val="24"/>
        </w:rPr>
        <w:t>（急性感染性多发性神经根神经炎</w:t>
      </w:r>
      <w:r>
        <w:rPr>
          <w:rFonts w:ascii="黑体" w:eastAsia="黑体" w:hint="eastAsia"/>
          <w:spacing w:val="-28"/>
          <w:sz w:val="24"/>
        </w:rPr>
        <w:t>）</w:t>
      </w:r>
      <w:r>
        <w:rPr>
          <w:rFonts w:ascii="黑体" w:eastAsia="黑体" w:hint="eastAsia"/>
          <w:sz w:val="24"/>
        </w:rPr>
        <w:t>则不在此保障范围以内。</w:t>
      </w:r>
    </w:p>
    <w:p>
      <w:pPr>
        <w:pStyle w:val="BodyText"/>
        <w:ind w:left="536"/>
      </w:pPr>
      <w:r>
        <w:rPr/>
        <w:t>二十九、系统性红斑狼疮伴肾炎</w:t>
      </w:r>
    </w:p>
    <w:p>
      <w:pPr>
        <w:pStyle w:val="BodyText"/>
        <w:spacing w:line="273" w:lineRule="auto" w:before="36"/>
        <w:ind w:left="113" w:right="225" w:firstLine="420"/>
        <w:jc w:val="both"/>
      </w:pPr>
      <w:r>
        <w:rPr>
          <w:spacing w:val="-3"/>
        </w:rPr>
        <w:t>以产生多种自身抗体，并由免疫反应介导的炎症为特征的自体免疫性疾病。系统性红斑狼疮的诊断必须由我们认可医院合格的免疫学专科医师依据作出。</w:t>
      </w:r>
    </w:p>
    <w:p>
      <w:pPr>
        <w:pStyle w:val="BodyText"/>
        <w:spacing w:line="273" w:lineRule="auto" w:before="7"/>
        <w:ind w:left="113" w:right="225" w:firstLine="420"/>
        <w:jc w:val="both"/>
      </w:pPr>
      <w:r>
        <w:rPr>
          <w:spacing w:val="-2"/>
        </w:rPr>
        <w:t>本保单所保障的系统性红斑狼疮仅限于累及肾脏的状况，且经肾脏活检确认，符合世界卫生组织关于</w:t>
      </w:r>
      <w:r>
        <w:rPr>
          <w:spacing w:val="-1"/>
        </w:rPr>
        <w:t>狼疮性肾炎三型至五型的诊断标准，并伴有持续性蛋白尿</w:t>
      </w:r>
      <w:r>
        <w:rPr/>
        <w:t>（尿蛋白</w:t>
      </w:r>
      <w:r>
        <w:rPr>
          <w:rFonts w:ascii="Times New Roman" w:eastAsia="Times New Roman"/>
        </w:rPr>
        <w:t>++</w:t>
      </w:r>
      <w:r>
        <w:rPr/>
        <w:t>以上</w:t>
      </w:r>
      <w:r>
        <w:rPr>
          <w:spacing w:val="-105"/>
        </w:rPr>
        <w:t>）</w:t>
      </w:r>
      <w:r>
        <w:rPr/>
        <w:t>。</w:t>
      </w:r>
    </w:p>
    <w:p>
      <w:pPr>
        <w:pStyle w:val="BodyText"/>
        <w:spacing w:line="273" w:lineRule="auto" w:before="0"/>
        <w:ind w:left="533" w:right="1674"/>
      </w:pPr>
      <w:r>
        <w:rPr/>
        <w:t>系统性红斑狼疮的诊断依据国际普遍认可的美国风湿病学会所修订的最新诊断标准。世界卫生组织关于狼疮性肾炎的分型标准：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before="7"/>
        <w:ind w:left="534" w:right="6189" w:hanging="1"/>
      </w:pPr>
      <w:r>
        <w:rPr/>
        <w:t>第三型 局灶节段增生型狼疮型肾炎第四型 弥漫增生型狼疮性肾炎</w:t>
      </w:r>
    </w:p>
    <w:p>
      <w:pPr>
        <w:pStyle w:val="BodyText"/>
        <w:spacing w:before="7"/>
        <w:ind w:left="534"/>
      </w:pPr>
      <w:r>
        <w:rPr/>
        <w:t>第五型 膜型狼疮性肾炎</w:t>
      </w:r>
    </w:p>
    <w:p>
      <w:pPr>
        <w:pStyle w:val="BodyText"/>
        <w:spacing w:before="37"/>
        <w:ind w:left="536"/>
      </w:pPr>
      <w:r>
        <w:rPr/>
        <w:t>三十、提供急诊或医疗服务导致的艾滋病病毒感染</w:t>
      </w:r>
    </w:p>
    <w:p>
      <w:pPr>
        <w:pStyle w:val="BodyText"/>
        <w:spacing w:line="256" w:lineRule="auto" w:before="37"/>
        <w:ind w:right="225" w:firstLine="420"/>
        <w:jc w:val="both"/>
      </w:pPr>
      <w:r>
        <w:rPr/>
        <w:t>被保险人在从事正常职业</w:t>
      </w:r>
      <w:r>
        <w:rPr>
          <w:rFonts w:ascii="Times New Roman" w:eastAsia="Times New Roman"/>
        </w:rPr>
        <w:t>(</w:t>
      </w:r>
      <w:r>
        <w:rPr>
          <w:spacing w:val="-5"/>
        </w:rPr>
        <w:t>我们只有在被保险人的职业为从业医生、医学院学生、国家注册护士、医学</w:t>
      </w:r>
      <w:r>
        <w:rPr>
          <w:spacing w:val="-11"/>
        </w:rPr>
        <w:t>检验技师、牙医</w:t>
      </w:r>
      <w:r>
        <w:rPr/>
        <w:t>（外科医生和护士</w:t>
      </w:r>
      <w:r>
        <w:rPr>
          <w:spacing w:val="-23"/>
        </w:rPr>
        <w:t>）</w:t>
      </w:r>
      <w:r>
        <w:rPr>
          <w:spacing w:val="-3"/>
        </w:rPr>
        <w:t>或辅助医务工作者、医学中心或医院工作人员时才承担此项保险责任</w:t>
      </w:r>
      <w:r>
        <w:rPr>
          <w:rFonts w:ascii="Times New Roman" w:eastAsia="Times New Roman"/>
        </w:rPr>
        <w:t>) </w:t>
      </w:r>
      <w:r>
        <w:rPr/>
        <w:t>中感染艾滋病病毒，并且证实满足以下所有条件者：</w:t>
      </w:r>
    </w:p>
    <w:p>
      <w:pPr>
        <w:pStyle w:val="BodyText"/>
        <w:spacing w:before="22"/>
        <w:ind w:left="324"/>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ind w:left="324"/>
      </w:pPr>
      <w:r>
        <w:rPr/>
        <w:t>（</w:t>
      </w:r>
      <w:r>
        <w:rPr>
          <w:rFonts w:ascii="Times New Roman" w:eastAsia="Times New Roman"/>
        </w:rPr>
        <w:t>2</w:t>
      </w:r>
      <w:r>
        <w:rPr/>
        <w:t>）导致意外事件的明确的艾滋病病毒感染的液体的证据；</w:t>
      </w:r>
    </w:p>
    <w:p>
      <w:pPr>
        <w:pStyle w:val="BodyText"/>
        <w:spacing w:line="289" w:lineRule="exact"/>
        <w:ind w:left="324"/>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1"/>
        <w:ind w:left="113" w:right="225" w:firstLine="420"/>
        <w:jc w:val="both"/>
        <w:rPr>
          <w:rFonts w:ascii="黑体" w:eastAsia="黑体" w:hint="eastAsia"/>
          <w:sz w:val="24"/>
        </w:rPr>
      </w:pPr>
      <w:r>
        <w:rPr>
          <w:spacing w:val="-3"/>
          <w:sz w:val="21"/>
        </w:rPr>
        <w:t>这个证据必须包括一个意外事件发生后 </w:t>
      </w:r>
      <w:r>
        <w:rPr>
          <w:rFonts w:ascii="Times New Roman" w:eastAsia="Times New Roman"/>
          <w:sz w:val="21"/>
        </w:rPr>
        <w:t>5 </w:t>
      </w:r>
      <w:r>
        <w:rPr>
          <w:spacing w:val="-15"/>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但由其他途径感染的艾滋病病毒，包括性行为和静脉注射毒品，为除外责任。</w:t>
      </w:r>
    </w:p>
    <w:p>
      <w:pPr>
        <w:pStyle w:val="BodyText"/>
        <w:spacing w:line="256" w:lineRule="auto" w:before="22"/>
        <w:ind w:left="536" w:right="1924" w:hanging="3"/>
      </w:pPr>
      <w:r>
        <w:rPr/>
        <w:t>意外事件后 </w:t>
      </w:r>
      <w:r>
        <w:rPr>
          <w:rFonts w:ascii="Times New Roman" w:eastAsia="Times New Roman"/>
        </w:rPr>
        <w:t>12 </w:t>
      </w:r>
      <w:r>
        <w:rPr/>
        <w:t>个月内需要进行进一步的血液检查以确认艾滋病病毒抗体的存在。三十一、严重的类风湿性关节炎</w:t>
      </w:r>
    </w:p>
    <w:p>
      <w:pPr>
        <w:pStyle w:val="BodyText"/>
        <w:spacing w:line="273" w:lineRule="auto" w:before="22"/>
        <w:ind w:left="113"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left="113" w:right="2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19"/>
        <w:ind w:left="536"/>
      </w:pPr>
      <w:r>
        <w:rPr/>
        <w:t>三十二、心肌病</w:t>
      </w:r>
    </w:p>
    <w:p>
      <w:pPr>
        <w:pStyle w:val="BodyText"/>
        <w:spacing w:before="36"/>
        <w:ind w:left="113" w:right="2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继发于酒精滥用性的心肌病不在此保障范围之内。</w:t>
      </w:r>
    </w:p>
    <w:p>
      <w:pPr>
        <w:pStyle w:val="BodyText"/>
        <w:spacing w:line="256" w:lineRule="auto"/>
        <w:ind w:left="113" w:right="225"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BodyText"/>
        <w:spacing w:before="22"/>
        <w:ind w:left="536"/>
      </w:pPr>
      <w:r>
        <w:rPr/>
        <w:t>三十三、终末期肺病</w:t>
      </w:r>
    </w:p>
    <w:p>
      <w:pPr>
        <w:pStyle w:val="BodyText"/>
        <w:spacing w:line="273" w:lineRule="auto" w:before="37"/>
        <w:ind w:left="113" w:right="205" w:firstLine="420"/>
        <w:jc w:val="both"/>
      </w:pPr>
      <w:r>
        <w:rPr/>
        <w:t>指被保险人必须经我们认可的医院的呼吸科专科医师确诊患有终末期肺病而出现慢性呼吸功能衰竭， 其诊断标准包括以下各项：</w:t>
      </w:r>
    </w:p>
    <w:p>
      <w:pPr>
        <w:pStyle w:val="BodyText"/>
        <w:spacing w:before="7"/>
        <w:ind w:left="323"/>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spacing w:after="0"/>
        <w:sectPr>
          <w:footerReference w:type="default" r:id="rId10"/>
          <w:pgSz w:w="11900" w:h="16840"/>
          <w:pgMar w:footer="856" w:header="850" w:top="1700" w:bottom="1040" w:left="1020" w:right="900"/>
          <w:pgNumType w:start="12"/>
        </w:sectPr>
      </w:pPr>
    </w:p>
    <w:p>
      <w:pPr>
        <w:tabs>
          <w:tab w:pos="6863" w:val="left" w:leader="none"/>
        </w:tabs>
        <w:spacing w:line="38" w:lineRule="exact" w:before="0"/>
        <w:ind w:left="114"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w:t>
      </w:r>
      <w:r>
        <w:rPr>
          <w:rFonts w:ascii="Times New Roman" w:eastAsia="Times New Roman"/>
          <w:sz w:val="18"/>
          <w:u w:val="single"/>
        </w:rPr>
        <w:t>[2015]212</w:t>
      </w:r>
      <w:r>
        <w:rPr>
          <w:rFonts w:ascii="Times New Roman" w:eastAsia="Times New Roman"/>
          <w:spacing w:val="-1"/>
          <w:sz w:val="18"/>
          <w:u w:val="single"/>
        </w:rPr>
        <w:t> </w:t>
      </w:r>
      <w:r>
        <w:rPr>
          <w:spacing w:val="-2"/>
          <w:sz w:val="18"/>
          <w:u w:val="single"/>
        </w:rPr>
        <w:t>号 附件：</w:t>
      </w:r>
      <w:r>
        <w:rPr>
          <w:rFonts w:ascii="Times New Roman" w:eastAsia="Times New Roman"/>
          <w:spacing w:val="-6"/>
          <w:sz w:val="18"/>
          <w:u w:val="single"/>
        </w:rPr>
        <w:t>2.2</w:t>
      </w:r>
    </w:p>
    <w:p>
      <w:pPr>
        <w:pStyle w:val="BodyText"/>
        <w:spacing w:line="290" w:lineRule="exact" w:before="0"/>
        <w:ind w:left="324"/>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ind w:left="323"/>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ind w:left="323"/>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spacing w:line="256" w:lineRule="auto"/>
        <w:ind w:left="536" w:right="6909" w:hanging="213"/>
      </w:pPr>
      <w:r>
        <w:rPr/>
        <w:t>（</w:t>
      </w:r>
      <w:r>
        <w:rPr>
          <w:rFonts w:ascii="Times New Roman" w:eastAsia="Times New Roman"/>
        </w:rPr>
        <w:t>5</w:t>
      </w:r>
      <w:r>
        <w:rPr/>
        <w:t>）休息时出现呼吸困难。三十四、坏死性筋膜炎</w:t>
      </w:r>
    </w:p>
    <w:p>
      <w:pPr>
        <w:pStyle w:val="BodyText"/>
        <w:spacing w:line="273" w:lineRule="auto" w:before="22"/>
        <w:ind w:right="103" w:firstLine="420"/>
        <w:jc w:val="both"/>
      </w:pPr>
      <w:r>
        <w:rPr>
          <w:spacing w:val="-3"/>
        </w:rPr>
        <w:t>致死性的坏死性筋膜炎，经细菌培养检出致病菌，出现符合坏死性筋膜炎的一般临床表现，其坏死过</w:t>
      </w:r>
      <w:r>
        <w:rPr/>
        <w:t>程必须为暴发性的</w:t>
      </w:r>
      <w:r>
        <w:rPr>
          <w:spacing w:val="1"/>
        </w:rPr>
        <w:t>（</w:t>
      </w:r>
      <w:r>
        <w:rPr/>
        <w:t>迅速传播</w:t>
      </w:r>
      <w:r>
        <w:rPr>
          <w:spacing w:val="-105"/>
        </w:rPr>
        <w:t>）</w:t>
      </w:r>
      <w:r>
        <w:rPr/>
        <w:t>，且需进行紧急重要手术来清除坏死组织以及抗菌剂治疗。诊断必须由专科医生经重要手术后确诊。</w:t>
      </w:r>
    </w:p>
    <w:p>
      <w:pPr>
        <w:spacing w:line="298" w:lineRule="exact" w:before="0"/>
        <w:ind w:left="594" w:right="0" w:firstLine="0"/>
        <w:jc w:val="left"/>
        <w:rPr>
          <w:rFonts w:ascii="黑体" w:eastAsia="黑体" w:hint="eastAsia"/>
          <w:sz w:val="24"/>
        </w:rPr>
      </w:pPr>
      <w:r>
        <w:rPr>
          <w:rFonts w:ascii="黑体" w:eastAsia="黑体" w:hint="eastAsia"/>
          <w:sz w:val="24"/>
        </w:rPr>
        <w:t>冻疮不在本保障范围内。</w:t>
      </w:r>
    </w:p>
    <w:p>
      <w:pPr>
        <w:pStyle w:val="BodyText"/>
        <w:spacing w:before="22"/>
        <w:ind w:left="536"/>
      </w:pPr>
      <w:r>
        <w:rPr/>
        <w:t>三十五、全身性重症肌无力</w:t>
      </w:r>
    </w:p>
    <w:p>
      <w:pPr>
        <w:pStyle w:val="BodyText"/>
        <w:spacing w:line="256" w:lineRule="auto" w:before="37"/>
        <w:ind w:left="113" w:right="102" w:firstLine="420"/>
        <w:jc w:val="both"/>
      </w:pPr>
      <w:r>
        <w:rPr/>
        <w:t>是指一种神经与肌肉接头部位传递障碍的自身免疫性疾病</w:t>
      </w:r>
      <w:r>
        <w:rPr>
          <w:rFonts w:ascii="Times New Roman" w:eastAsia="Times New Roman"/>
        </w:rPr>
        <w:t>,</w:t>
      </w:r>
      <w:r>
        <w:rPr/>
        <w:t>临床特征是局部或全身横纹肌于活动时易于疲劳无力</w:t>
      </w:r>
      <w:r>
        <w:rPr>
          <w:rFonts w:ascii="Times New Roman" w:eastAsia="Times New Roman"/>
        </w:rPr>
        <w:t>,</w:t>
      </w:r>
      <w:r>
        <w:rPr/>
        <w:t>颅神经眼外肌最易累及</w:t>
      </w:r>
      <w:r>
        <w:rPr>
          <w:rFonts w:ascii="Times New Roman" w:eastAsia="Times New Roman"/>
        </w:rPr>
        <w:t>,</w:t>
      </w:r>
      <w:r>
        <w:rPr/>
        <w:t>也可涉及呼吸肌、下肢近端肌群乃至全身肌肉</w:t>
      </w:r>
      <w:r>
        <w:rPr>
          <w:rFonts w:ascii="Times New Roman" w:eastAsia="Times New Roman"/>
        </w:rPr>
        <w:t>,</w:t>
      </w:r>
      <w:r>
        <w:rPr/>
        <w:t>须经本公司认可的神经科医师确诊。</w:t>
      </w:r>
    </w:p>
    <w:p>
      <w:pPr>
        <w:pStyle w:val="BodyText"/>
        <w:spacing w:before="22"/>
        <w:ind w:left="533"/>
        <w:rPr>
          <w:rFonts w:ascii="Times New Roman" w:eastAsia="Times New Roman"/>
        </w:rPr>
      </w:pPr>
      <w:r>
        <w:rPr/>
        <w:t>理赔时必须同时具有下列情况</w:t>
      </w:r>
      <w:r>
        <w:rPr>
          <w:rFonts w:ascii="Times New Roman" w:eastAsia="Times New Roman"/>
        </w:rPr>
        <w:t>:</w:t>
      </w:r>
    </w:p>
    <w:p>
      <w:pPr>
        <w:pStyle w:val="BodyText"/>
        <w:spacing w:before="20"/>
        <w:ind w:left="533"/>
        <w:rPr>
          <w:rFonts w:ascii="Times New Roman" w:eastAsia="Times New Roman"/>
        </w:rPr>
      </w:pPr>
      <w:r>
        <w:rPr/>
        <w:t>（</w:t>
      </w:r>
      <w:r>
        <w:rPr>
          <w:rFonts w:ascii="Times New Roman" w:eastAsia="Times New Roman"/>
        </w:rPr>
        <w:t>1</w:t>
      </w:r>
      <w:r>
        <w:rPr/>
        <w:t>）症状缓解、复发及恶化交替出现</w:t>
      </w:r>
      <w:r>
        <w:rPr>
          <w:rFonts w:ascii="Times New Roman" w:eastAsia="Times New Roman"/>
        </w:rPr>
        <w:t>;</w:t>
      </w:r>
    </w:p>
    <w:p>
      <w:pPr>
        <w:pStyle w:val="BodyText"/>
        <w:spacing w:before="20"/>
        <w:ind w:left="534"/>
        <w:rPr>
          <w:rFonts w:ascii="Times New Roman" w:eastAsia="Times New Roman"/>
        </w:rPr>
      </w:pPr>
      <w:r>
        <w:rPr/>
        <w:t>（</w:t>
      </w:r>
      <w:r>
        <w:rPr>
          <w:rFonts w:ascii="Times New Roman" w:eastAsia="Times New Roman"/>
        </w:rPr>
        <w:t>2</w:t>
      </w:r>
      <w:r>
        <w:rPr/>
        <w:t>）经药物、胸腺手术治疗一年以上无法控制病情</w:t>
      </w:r>
      <w:r>
        <w:rPr>
          <w:rFonts w:ascii="Times New Roman" w:eastAsia="Times New Roman"/>
        </w:rPr>
        <w:t>,</w:t>
      </w:r>
      <w:r>
        <w:rPr/>
        <w:t>丧失正常工作能力</w:t>
      </w:r>
      <w:r>
        <w:rPr>
          <w:rFonts w:ascii="Times New Roman" w:eastAsia="Times New Roman"/>
        </w:rPr>
        <w:t>;</w:t>
      </w:r>
    </w:p>
    <w:p>
      <w:pPr>
        <w:pStyle w:val="BodyText"/>
        <w:spacing w:line="256" w:lineRule="auto" w:before="20"/>
        <w:ind w:left="536" w:right="609" w:hanging="3"/>
      </w:pPr>
      <w:r>
        <w:rPr/>
        <w:t>（</w:t>
      </w:r>
      <w:r>
        <w:rPr>
          <w:rFonts w:ascii="Times New Roman" w:eastAsia="Times New Roman"/>
        </w:rPr>
        <w:t>3</w:t>
      </w:r>
      <w:r>
        <w:rPr/>
        <w:t>）有过由于肌无力累及延髓肌、呼吸肌而致机体呼吸功能异常的危急状态即肌无力危象病史三十六、</w:t>
      </w:r>
      <w:r>
        <w:rPr>
          <w:rFonts w:ascii="Times New Roman" w:eastAsia="Times New Roman"/>
          <w:b/>
        </w:rPr>
        <w:t>1 </w:t>
      </w:r>
      <w:r>
        <w:rPr/>
        <w:t>型糖尿病</w:t>
      </w:r>
    </w:p>
    <w:p>
      <w:pPr>
        <w:spacing w:line="240" w:lineRule="auto" w:before="4"/>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rFonts w:ascii="Times New Roman" w:eastAsia="Times New Roman"/>
          <w:sz w:val="21"/>
        </w:rPr>
        <w:t>6 </w:t>
      </w:r>
      <w:r>
        <w:rPr>
          <w:sz w:val="21"/>
        </w:rPr>
        <w:t>个月。</w:t>
      </w:r>
      <w:r>
        <w:rPr>
          <w:rFonts w:ascii="黑体" w:eastAsia="黑体" w:hint="eastAsia"/>
          <w:sz w:val="24"/>
        </w:rPr>
        <w:t>可以用其他方法（非胰岛素注射）治疗的糖尿病不在本保障范围之内。</w:t>
      </w:r>
    </w:p>
    <w:p>
      <w:pPr>
        <w:spacing w:before="21"/>
        <w:ind w:left="536" w:right="0" w:firstLine="0"/>
        <w:jc w:val="left"/>
        <w:rPr>
          <w:sz w:val="21"/>
        </w:rPr>
      </w:pPr>
      <w:r>
        <w:rPr>
          <w:sz w:val="21"/>
        </w:rPr>
        <w:t>三十七、慢性肾上腺皮质功能减退症</w:t>
      </w:r>
      <w:r>
        <w:rPr>
          <w:rFonts w:ascii="Times New Roman" w:eastAsia="Times New Roman"/>
          <w:b/>
          <w:sz w:val="21"/>
        </w:rPr>
        <w:t>/</w:t>
      </w:r>
      <w:r>
        <w:rPr>
          <w:sz w:val="21"/>
        </w:rPr>
        <w:t>阿狄森氏病 （</w:t>
      </w:r>
      <w:r>
        <w:rPr>
          <w:rFonts w:ascii="Times New Roman" w:eastAsia="Times New Roman"/>
          <w:b/>
          <w:sz w:val="21"/>
        </w:rPr>
        <w:t>Addison disease</w:t>
      </w:r>
      <w:r>
        <w:rPr>
          <w:sz w:val="21"/>
        </w:rPr>
        <w:t>）</w:t>
      </w:r>
    </w:p>
    <w:p>
      <w:pPr>
        <w:pStyle w:val="BodyText"/>
        <w:spacing w:line="273" w:lineRule="auto" w:before="20"/>
        <w:ind w:left="113" w:right="55" w:firstLine="420"/>
      </w:pPr>
      <w:r>
        <w:rPr/>
        <w:t>因自身免疫紊乱导致肾上腺逐渐被破坏，从而需要长期接受糖皮质激素替代疗法。诊断必须由认可医院的合格内分泌专科医师作出，理赔时必须出具以下报告：</w:t>
      </w:r>
    </w:p>
    <w:p>
      <w:pPr>
        <w:pStyle w:val="BodyText"/>
        <w:spacing w:before="7"/>
        <w:ind w:left="533"/>
      </w:pPr>
      <w:r>
        <w:rPr/>
        <w:t>（</w:t>
      </w:r>
      <w:r>
        <w:rPr>
          <w:rFonts w:ascii="Times New Roman" w:eastAsia="Times New Roman"/>
        </w:rPr>
        <w:t>1</w:t>
      </w:r>
      <w:r>
        <w:rPr/>
        <w:t>）促肾上腺皮质激素试验</w:t>
      </w:r>
      <w:r>
        <w:rPr>
          <w:rFonts w:ascii="Times New Roman" w:eastAsia="Times New Roman"/>
        </w:rPr>
        <w:t>(ACTH </w:t>
      </w:r>
      <w:r>
        <w:rPr/>
        <w:t>试验）</w:t>
      </w:r>
    </w:p>
    <w:p>
      <w:pPr>
        <w:pStyle w:val="BodyText"/>
        <w:ind w:left="534"/>
      </w:pPr>
      <w:r>
        <w:rPr/>
        <w:t>（</w:t>
      </w:r>
      <w:r>
        <w:rPr>
          <w:rFonts w:ascii="Times New Roman" w:eastAsia="Times New Roman"/>
        </w:rPr>
        <w:t>2</w:t>
      </w:r>
      <w:r>
        <w:rPr/>
        <w:t>）胰岛素诱导性低血糖试验</w:t>
      </w:r>
    </w:p>
    <w:p>
      <w:pPr>
        <w:pStyle w:val="BodyText"/>
        <w:ind w:left="534"/>
      </w:pPr>
      <w:r>
        <w:rPr/>
        <w:t>（</w:t>
      </w:r>
      <w:r>
        <w:rPr>
          <w:rFonts w:ascii="Times New Roman" w:eastAsia="Times New Roman"/>
        </w:rPr>
        <w:t>3</w:t>
      </w:r>
      <w:r>
        <w:rPr/>
        <w:t>）血浆促肾上腺皮质激素测量</w:t>
      </w:r>
    </w:p>
    <w:p>
      <w:pPr>
        <w:pStyle w:val="BodyText"/>
        <w:spacing w:line="289" w:lineRule="exact"/>
        <w:ind w:left="534"/>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1"/>
        <w:ind w:left="113" w:right="105"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BodyText"/>
        <w:ind w:left="536"/>
      </w:pPr>
      <w:r>
        <w:rPr/>
        <w:t>三十八、肌营养不良症</w:t>
      </w:r>
    </w:p>
    <w:p>
      <w:pPr>
        <w:pStyle w:val="BodyText"/>
        <w:spacing w:before="36"/>
        <w:ind w:left="533"/>
      </w:pPr>
      <w:r>
        <w:rPr/>
        <w:t>肌营养不良症需要神经专科医生确诊，并且须满足下列全部条件：</w:t>
      </w:r>
    </w:p>
    <w:p>
      <w:pPr>
        <w:pStyle w:val="BodyText"/>
        <w:spacing w:before="36"/>
        <w:ind w:left="533"/>
      </w:pPr>
      <w:r>
        <w:rPr/>
        <w:t>（</w:t>
      </w:r>
      <w:r>
        <w:rPr>
          <w:rFonts w:ascii="Times New Roman" w:eastAsia="Times New Roman"/>
        </w:rPr>
        <w:t>1</w:t>
      </w:r>
      <w:r>
        <w:rPr/>
        <w:t>）临床表现包括：无感觉神经紊乱，正常脑脊液及轻微腱反射的减退；</w:t>
      </w:r>
    </w:p>
    <w:p>
      <w:pPr>
        <w:pStyle w:val="BodyText"/>
        <w:spacing w:before="20"/>
        <w:ind w:left="534"/>
      </w:pPr>
      <w:r>
        <w:rPr/>
        <w:t>（</w:t>
      </w:r>
      <w:r>
        <w:rPr>
          <w:rFonts w:ascii="Times New Roman" w:eastAsia="Times New Roman"/>
        </w:rPr>
        <w:t>2</w:t>
      </w:r>
      <w:r>
        <w:rPr/>
        <w:t>）典型的肌电图；</w:t>
      </w:r>
    </w:p>
    <w:p>
      <w:pPr>
        <w:pStyle w:val="BodyText"/>
        <w:spacing w:line="256" w:lineRule="auto" w:before="20"/>
        <w:ind w:left="536" w:right="5859" w:hanging="3"/>
      </w:pPr>
      <w:r>
        <w:rPr/>
        <w:t>（</w:t>
      </w:r>
      <w:r>
        <w:rPr>
          <w:rFonts w:ascii="Times New Roman" w:eastAsia="Times New Roman"/>
        </w:rPr>
        <w:t>3</w:t>
      </w:r>
      <w:r>
        <w:rPr/>
        <w:t>）临床的异常表现已被活检确诊。三十九、疾病终末期状态</w:t>
      </w:r>
    </w:p>
    <w:p>
      <w:pPr>
        <w:pStyle w:val="BodyText"/>
        <w:spacing w:line="273" w:lineRule="auto" w:before="22"/>
        <w:ind w:right="1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治疗措施仅以减轻患者痛苦为目的。此疾病状态必须在被保险人生前已经确诊并且具有医疗证明文件和临床检查依据。</w:t>
      </w:r>
    </w:p>
    <w:sectPr>
      <w:headerReference w:type="default" r:id="rId11"/>
      <w:pgSz w:w="11900" w:h="16840"/>
      <w:pgMar w:header="850" w:footer="856" w:top="1660" w:bottom="10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8.61969pt;margin-top:788.199951pt;width:19.05pt;height:12pt;mso-position-horizontal-relative:page;mso-position-vertical-relative:page;z-index:-14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400299pt;margin-top:788.199951pt;width:23.55pt;height:12pt;mso-position-horizontal-relative:page;mso-position-vertical-relative:page;z-index:-14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400299pt;margin-top:788.199951pt;width:23.55pt;height:12pt;mso-position-horizontal-relative:page;mso-position-vertical-relative:page;z-index:-14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279">
          <wp:simplePos x="0" y="0"/>
          <wp:positionH relativeFrom="page">
            <wp:posOffset>720090</wp:posOffset>
          </wp:positionH>
          <wp:positionV relativeFrom="page">
            <wp:posOffset>539491</wp:posOffset>
          </wp:positionV>
          <wp:extent cx="1719071"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4.079681pt;width:483.95pt;height:12pt;mso-position-horizontal-relative:page;mso-position-vertical-relative:page;z-index:-14152" type="#_x0000_t202" filled="false" stroked="false">
          <v:textbox inset="0,0,0,0">
            <w:txbxContent>
              <w:p>
                <w:pPr>
                  <w:tabs>
                    <w:tab w:pos="6769"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w:t>
                </w:r>
                <w:r>
                  <w:rPr>
                    <w:rFonts w:ascii="Times New Roman" w:eastAsia="Times New Roman"/>
                    <w:sz w:val="18"/>
                    <w:u w:val="single"/>
                  </w:rPr>
                  <w:t>[2015]212</w:t>
                </w:r>
                <w:r>
                  <w:rPr>
                    <w:rFonts w:ascii="Times New Roman" w:eastAsia="Times New Roman"/>
                    <w:spacing w:val="-1"/>
                    <w:sz w:val="18"/>
                    <w:u w:val="single"/>
                  </w:rPr>
                  <w:t> </w:t>
                </w:r>
                <w:r>
                  <w:rPr>
                    <w:spacing w:val="-2"/>
                    <w:sz w:val="18"/>
                    <w:u w:val="single"/>
                  </w:rPr>
                  <w:t>号 附件：</w:t>
                </w:r>
                <w:r>
                  <w:rPr>
                    <w:rFonts w:ascii="Times New Roman" w:eastAsia="Times New Roman"/>
                    <w:spacing w:val="-6"/>
                    <w:sz w:val="18"/>
                    <w:u w:val="single"/>
                  </w:rPr>
                  <w:t>2.2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351">
          <wp:simplePos x="0" y="0"/>
          <wp:positionH relativeFrom="page">
            <wp:posOffset>720090</wp:posOffset>
          </wp:positionH>
          <wp:positionV relativeFrom="page">
            <wp:posOffset>539491</wp:posOffset>
          </wp:positionV>
          <wp:extent cx="1719071" cy="515873"/>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 style="position:absolute;margin-left:55.700001pt;margin-top:74.079681pt;width:483.95pt;height:12pt;mso-position-horizontal-relative:page;mso-position-vertical-relative:page;z-index:-14080" type="#_x0000_t202" filled="false" stroked="false">
          <v:textbox inset="0,0,0,0">
            <w:txbxContent>
              <w:p>
                <w:pPr>
                  <w:tabs>
                    <w:tab w:pos="6769"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w:t>
                </w:r>
                <w:r>
                  <w:rPr>
                    <w:rFonts w:ascii="Times New Roman" w:eastAsia="Times New Roman"/>
                    <w:sz w:val="18"/>
                    <w:u w:val="single"/>
                  </w:rPr>
                  <w:t>[2015]212</w:t>
                </w:r>
                <w:r>
                  <w:rPr>
                    <w:rFonts w:ascii="Times New Roman" w:eastAsia="Times New Roman"/>
                    <w:spacing w:val="-1"/>
                    <w:sz w:val="18"/>
                    <w:u w:val="single"/>
                  </w:rPr>
                  <w:t> </w:t>
                </w:r>
                <w:r>
                  <w:rPr>
                    <w:spacing w:val="-2"/>
                    <w:sz w:val="18"/>
                    <w:u w:val="single"/>
                  </w:rPr>
                  <w:t>号 附件：</w:t>
                </w:r>
                <w:r>
                  <w:rPr>
                    <w:rFonts w:ascii="Times New Roman" w:eastAsia="Times New Roman"/>
                    <w:spacing w:val="-6"/>
                    <w:sz w:val="18"/>
                    <w:u w:val="single"/>
                  </w:rPr>
                  <w:t>2.2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1447">
          <wp:simplePos x="0" y="0"/>
          <wp:positionH relativeFrom="page">
            <wp:posOffset>720090</wp:posOffset>
          </wp:positionH>
          <wp:positionV relativeFrom="page">
            <wp:posOffset>539491</wp:posOffset>
          </wp:positionV>
          <wp:extent cx="1719071" cy="515873"/>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719071" cy="5158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4" w:hanging="420"/>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960" w:hanging="420"/>
      </w:pPr>
      <w:rPr>
        <w:rFonts w:hint="default"/>
      </w:rPr>
    </w:lvl>
    <w:lvl w:ilvl="2">
      <w:start w:val="0"/>
      <w:numFmt w:val="bullet"/>
      <w:lvlText w:val="•"/>
      <w:lvlJc w:val="left"/>
      <w:pPr>
        <w:ind w:left="1960" w:hanging="420"/>
      </w:pPr>
      <w:rPr>
        <w:rFonts w:hint="default"/>
      </w:rPr>
    </w:lvl>
    <w:lvl w:ilvl="3">
      <w:start w:val="0"/>
      <w:numFmt w:val="bullet"/>
      <w:lvlText w:val="•"/>
      <w:lvlJc w:val="left"/>
      <w:pPr>
        <w:ind w:left="2960" w:hanging="420"/>
      </w:pPr>
      <w:rPr>
        <w:rFonts w:hint="default"/>
      </w:rPr>
    </w:lvl>
    <w:lvl w:ilvl="4">
      <w:start w:val="0"/>
      <w:numFmt w:val="bullet"/>
      <w:lvlText w:val="•"/>
      <w:lvlJc w:val="left"/>
      <w:pPr>
        <w:ind w:left="3960" w:hanging="420"/>
      </w:pPr>
      <w:rPr>
        <w:rFonts w:hint="default"/>
      </w:rPr>
    </w:lvl>
    <w:lvl w:ilvl="5">
      <w:start w:val="0"/>
      <w:numFmt w:val="bullet"/>
      <w:lvlText w:val="•"/>
      <w:lvlJc w:val="left"/>
      <w:pPr>
        <w:ind w:left="4960" w:hanging="420"/>
      </w:pPr>
      <w:rPr>
        <w:rFonts w:hint="default"/>
      </w:rPr>
    </w:lvl>
    <w:lvl w:ilvl="6">
      <w:start w:val="0"/>
      <w:numFmt w:val="bullet"/>
      <w:lvlText w:val="•"/>
      <w:lvlJc w:val="left"/>
      <w:pPr>
        <w:ind w:left="5960" w:hanging="420"/>
      </w:pPr>
      <w:rPr>
        <w:rFonts w:hint="default"/>
      </w:rPr>
    </w:lvl>
    <w:lvl w:ilvl="7">
      <w:start w:val="0"/>
      <w:numFmt w:val="bullet"/>
      <w:lvlText w:val="•"/>
      <w:lvlJc w:val="left"/>
      <w:pPr>
        <w:ind w:left="6960" w:hanging="420"/>
      </w:pPr>
      <w:rPr>
        <w:rFonts w:hint="default"/>
      </w:rPr>
    </w:lvl>
    <w:lvl w:ilvl="8">
      <w:start w:val="0"/>
      <w:numFmt w:val="bullet"/>
      <w:lvlText w:val="•"/>
      <w:lvlJc w:val="left"/>
      <w:pPr>
        <w:ind w:left="7960" w:hanging="420"/>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096" w:hanging="264"/>
      </w:pPr>
      <w:rPr>
        <w:rFonts w:hint="default"/>
      </w:rPr>
    </w:lvl>
    <w:lvl w:ilvl="2">
      <w:start w:val="0"/>
      <w:numFmt w:val="bullet"/>
      <w:lvlText w:val="•"/>
      <w:lvlJc w:val="left"/>
      <w:pPr>
        <w:ind w:left="2072" w:hanging="264"/>
      </w:pPr>
      <w:rPr>
        <w:rFonts w:hint="default"/>
      </w:rPr>
    </w:lvl>
    <w:lvl w:ilvl="3">
      <w:start w:val="0"/>
      <w:numFmt w:val="bullet"/>
      <w:lvlText w:val="•"/>
      <w:lvlJc w:val="left"/>
      <w:pPr>
        <w:ind w:left="3048" w:hanging="264"/>
      </w:pPr>
      <w:rPr>
        <w:rFonts w:hint="default"/>
      </w:rPr>
    </w:lvl>
    <w:lvl w:ilvl="4">
      <w:start w:val="0"/>
      <w:numFmt w:val="bullet"/>
      <w:lvlText w:val="•"/>
      <w:lvlJc w:val="left"/>
      <w:pPr>
        <w:ind w:left="4024" w:hanging="264"/>
      </w:pPr>
      <w:rPr>
        <w:rFonts w:hint="default"/>
      </w:rPr>
    </w:lvl>
    <w:lvl w:ilvl="5">
      <w:start w:val="0"/>
      <w:numFmt w:val="bullet"/>
      <w:lvlText w:val="•"/>
      <w:lvlJc w:val="left"/>
      <w:pPr>
        <w:ind w:left="5000" w:hanging="264"/>
      </w:pPr>
      <w:rPr>
        <w:rFonts w:hint="default"/>
      </w:rPr>
    </w:lvl>
    <w:lvl w:ilvl="6">
      <w:start w:val="0"/>
      <w:numFmt w:val="bullet"/>
      <w:lvlText w:val="•"/>
      <w:lvlJc w:val="left"/>
      <w:pPr>
        <w:ind w:left="5976" w:hanging="264"/>
      </w:pPr>
      <w:rPr>
        <w:rFonts w:hint="default"/>
      </w:rPr>
    </w:lvl>
    <w:lvl w:ilvl="7">
      <w:start w:val="0"/>
      <w:numFmt w:val="bullet"/>
      <w:lvlText w:val="•"/>
      <w:lvlJc w:val="left"/>
      <w:pPr>
        <w:ind w:left="6952" w:hanging="264"/>
      </w:pPr>
      <w:rPr>
        <w:rFonts w:hint="default"/>
      </w:rPr>
    </w:lvl>
    <w:lvl w:ilvl="8">
      <w:start w:val="0"/>
      <w:numFmt w:val="bullet"/>
      <w:lvlText w:val="•"/>
      <w:lvlJc w:val="left"/>
      <w:pPr>
        <w:ind w:left="7928" w:hanging="264"/>
      </w:pPr>
      <w:rPr>
        <w:rFonts w:hint="default"/>
      </w:rPr>
    </w:lvl>
  </w:abstractNum>
  <w:abstractNum w:abstractNumId="2">
    <w:multiLevelType w:val="hybridMultilevel"/>
    <w:lvl w:ilvl="0">
      <w:start w:val="1"/>
      <w:numFmt w:val="decimal"/>
      <w:lvlText w:val="%1."/>
      <w:lvlJc w:val="left"/>
      <w:pPr>
        <w:ind w:left="894"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806" w:hanging="361"/>
      </w:pPr>
      <w:rPr>
        <w:rFonts w:hint="default"/>
      </w:rPr>
    </w:lvl>
    <w:lvl w:ilvl="2">
      <w:start w:val="0"/>
      <w:numFmt w:val="bullet"/>
      <w:lvlText w:val="•"/>
      <w:lvlJc w:val="left"/>
      <w:pPr>
        <w:ind w:left="2712" w:hanging="361"/>
      </w:pPr>
      <w:rPr>
        <w:rFonts w:hint="default"/>
      </w:rPr>
    </w:lvl>
    <w:lvl w:ilvl="3">
      <w:start w:val="0"/>
      <w:numFmt w:val="bullet"/>
      <w:lvlText w:val="•"/>
      <w:lvlJc w:val="left"/>
      <w:pPr>
        <w:ind w:left="3618" w:hanging="361"/>
      </w:pPr>
      <w:rPr>
        <w:rFonts w:hint="default"/>
      </w:rPr>
    </w:lvl>
    <w:lvl w:ilvl="4">
      <w:start w:val="0"/>
      <w:numFmt w:val="bullet"/>
      <w:lvlText w:val="•"/>
      <w:lvlJc w:val="left"/>
      <w:pPr>
        <w:ind w:left="4524" w:hanging="361"/>
      </w:pPr>
      <w:rPr>
        <w:rFonts w:hint="default"/>
      </w:rPr>
    </w:lvl>
    <w:lvl w:ilvl="5">
      <w:start w:val="0"/>
      <w:numFmt w:val="bullet"/>
      <w:lvlText w:val="•"/>
      <w:lvlJc w:val="left"/>
      <w:pPr>
        <w:ind w:left="5430" w:hanging="361"/>
      </w:pPr>
      <w:rPr>
        <w:rFonts w:hint="default"/>
      </w:rPr>
    </w:lvl>
    <w:lvl w:ilvl="6">
      <w:start w:val="0"/>
      <w:numFmt w:val="bullet"/>
      <w:lvlText w:val="•"/>
      <w:lvlJc w:val="left"/>
      <w:pPr>
        <w:ind w:left="6336" w:hanging="361"/>
      </w:pPr>
      <w:rPr>
        <w:rFonts w:hint="default"/>
      </w:rPr>
    </w:lvl>
    <w:lvl w:ilvl="7">
      <w:start w:val="0"/>
      <w:numFmt w:val="bullet"/>
      <w:lvlText w:val="•"/>
      <w:lvlJc w:val="left"/>
      <w:pPr>
        <w:ind w:left="7242" w:hanging="361"/>
      </w:pPr>
      <w:rPr>
        <w:rFonts w:hint="default"/>
      </w:rPr>
    </w:lvl>
    <w:lvl w:ilvl="8">
      <w:start w:val="0"/>
      <w:numFmt w:val="bullet"/>
      <w:lvlText w:val="•"/>
      <w:lvlJc w:val="left"/>
      <w:pPr>
        <w:ind w:left="8148" w:hanging="361"/>
      </w:pPr>
      <w:rPr>
        <w:rFonts w:hint="default"/>
      </w:rPr>
    </w:lvl>
  </w:abstractNum>
  <w:abstractNum w:abstractNumId="1">
    <w:multiLevelType w:val="hybridMultilevel"/>
    <w:lvl w:ilvl="0">
      <w:start w:val="1"/>
      <w:numFmt w:val="decimal"/>
      <w:lvlText w:val="%1."/>
      <w:lvlJc w:val="left"/>
      <w:pPr>
        <w:ind w:left="594" w:hanging="480"/>
        <w:jc w:val="left"/>
      </w:pPr>
      <w:rPr>
        <w:rFonts w:hint="default"/>
        <w:spacing w:val="0"/>
        <w:w w:val="100"/>
      </w:rPr>
    </w:lvl>
    <w:lvl w:ilvl="1">
      <w:start w:val="1"/>
      <w:numFmt w:val="decimal"/>
      <w:lvlText w:val="%1.%2."/>
      <w:lvlJc w:val="left"/>
      <w:pPr>
        <w:ind w:left="594"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11" w:hanging="398"/>
        <w:jc w:val="left"/>
      </w:pPr>
      <w:rPr>
        <w:rFonts w:hint="default" w:ascii="Times New Roman" w:hAnsi="Times New Roman" w:eastAsia="Times New Roman" w:cs="Times New Roman"/>
        <w:b/>
        <w:bCs/>
        <w:w w:val="100"/>
        <w:sz w:val="24"/>
        <w:szCs w:val="24"/>
      </w:rPr>
    </w:lvl>
    <w:lvl w:ilvl="1">
      <w:start w:val="1"/>
      <w:numFmt w:val="decimal"/>
      <w:lvlText w:val="%1.%2."/>
      <w:lvlJc w:val="left"/>
      <w:pPr>
        <w:ind w:left="1163" w:hanging="653"/>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11" w:hanging="397"/>
    </w:pPr>
    <w:rPr>
      <w:rFonts w:ascii="宋体" w:hAnsi="宋体" w:eastAsia="宋体" w:cs="宋体"/>
      <w:sz w:val="24"/>
      <w:szCs w:val="24"/>
    </w:rPr>
  </w:style>
  <w:style w:styleId="TOC2" w:type="paragraph">
    <w:name w:val="TOC 2"/>
    <w:basedOn w:val="Normal"/>
    <w:uiPriority w:val="1"/>
    <w:qFormat/>
    <w:pPr>
      <w:spacing w:before="20"/>
      <w:ind w:left="1163" w:hanging="652"/>
    </w:pPr>
    <w:rPr>
      <w:rFonts w:ascii="宋体" w:hAnsi="宋体" w:eastAsia="宋体" w:cs="宋体"/>
      <w:sz w:val="21"/>
      <w:szCs w:val="21"/>
    </w:rPr>
  </w:style>
  <w:style w:styleId="BodyText" w:type="paragraph">
    <w:name w:val="Body Text"/>
    <w:basedOn w:val="Normal"/>
    <w:uiPriority w:val="1"/>
    <w:qFormat/>
    <w:pPr>
      <w:spacing w:before="21"/>
      <w:ind w:left="114"/>
    </w:pPr>
    <w:rPr>
      <w:rFonts w:ascii="宋体" w:hAnsi="宋体" w:eastAsia="宋体" w:cs="宋体"/>
      <w:sz w:val="21"/>
      <w:szCs w:val="21"/>
    </w:rPr>
  </w:style>
  <w:style w:styleId="Heading1" w:type="paragraph">
    <w:name w:val="Heading 1"/>
    <w:basedOn w:val="Normal"/>
    <w:uiPriority w:val="1"/>
    <w:qFormat/>
    <w:pPr>
      <w:spacing w:line="312" w:lineRule="exact"/>
      <w:ind w:left="594"/>
      <w:outlineLvl w:val="1"/>
    </w:pPr>
    <w:rPr>
      <w:rFonts w:ascii="黑体" w:hAnsi="黑体" w:eastAsia="黑体" w:cs="黑体"/>
      <w:sz w:val="24"/>
      <w:szCs w:val="24"/>
    </w:rPr>
  </w:style>
  <w:style w:styleId="Heading2" w:type="paragraph">
    <w:name w:val="Heading 2"/>
    <w:basedOn w:val="Normal"/>
    <w:uiPriority w:val="1"/>
    <w:qFormat/>
    <w:pPr>
      <w:spacing w:before="49"/>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0"/>
      <w:ind w:left="594"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&lt;4D6963726F736F667420576F7264202D20B8BDBCFE322E325FBAE3B0B2B1EAD7BCB8BDBCD3BAE3B0AECEDED3C7D6D8B4F3BCB2B2A1B1A3CFD5CCF5BFEE2E646F6378&gt;</dc:title>
  <dcterms:created xsi:type="dcterms:W3CDTF">2018-10-20T07:58:56Z</dcterms:created>
  <dcterms:modified xsi:type="dcterms:W3CDTF">2018-10-20T07:58:56Z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PScript5.dll Version 5.2.2</vt:lpwstr>
  </property>
  <property fmtid="{D5CDD505-2E9C-101B-9397-08002B2CF9AE}" pid="4" name="LastSaved">
    <vt:filetime>2018-10-19T00:00:00Z</vt:filetime>
  </property>
</Properties>
</file>