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2"/>
        </w:rPr>
      </w:pPr>
    </w:p>
    <w:p>
      <w:pPr>
        <w:pStyle w:val="Heading1"/>
        <w:jc w:val="right"/>
      </w:pPr>
      <w:r>
        <w:rPr/>
        <w:t>阅  读  指 引</w:t>
      </w:r>
    </w:p>
    <w:p>
      <w:pPr>
        <w:spacing w:before="27"/>
        <w:ind w:left="1276" w:right="599" w:firstLine="0"/>
        <w:jc w:val="center"/>
        <w:rPr>
          <w:sz w:val="16"/>
        </w:rPr>
      </w:pPr>
      <w:r>
        <w:rPr/>
        <w:br w:type="column"/>
      </w:r>
      <w:r>
        <w:rPr>
          <w:sz w:val="16"/>
        </w:rPr>
        <w:t>平安人寿[2009]疾病保险 092 号</w:t>
      </w:r>
    </w:p>
    <w:p>
      <w:pPr>
        <w:pStyle w:val="BodyText"/>
        <w:spacing w:before="3"/>
        <w:rPr>
          <w:sz w:val="4"/>
        </w:rPr>
      </w:pPr>
    </w:p>
    <w:p>
      <w:pPr>
        <w:pStyle w:val="BodyText"/>
        <w:ind w:left="2124"/>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43"/>
        <w:ind w:left="1270" w:right="599" w:firstLine="0"/>
        <w:jc w:val="center"/>
        <w:rPr>
          <w:sz w:val="16"/>
        </w:rPr>
      </w:pPr>
      <w:r>
        <w:rPr>
          <w:w w:val="95"/>
          <w:sz w:val="16"/>
        </w:rPr>
        <w:t>请扫描以查询验证条款</w:t>
      </w:r>
    </w:p>
    <w:p>
      <w:pPr>
        <w:spacing w:after="0"/>
        <w:jc w:val="center"/>
        <w:rPr>
          <w:sz w:val="16"/>
        </w:rPr>
        <w:sectPr>
          <w:type w:val="continuous"/>
          <w:pgSz w:w="11910" w:h="16840"/>
          <w:pgMar w:top="580" w:bottom="280" w:left="840" w:right="800"/>
          <w:cols w:num="2" w:equalWidth="0">
            <w:col w:w="5995" w:space="40"/>
            <w:col w:w="4235"/>
          </w:cols>
        </w:sectPr>
      </w:pPr>
    </w:p>
    <w:p>
      <w:pPr>
        <w:spacing w:before="5"/>
        <w:ind w:left="18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81"/>
          <w:sz w:val="21"/>
        </w:rPr>
        <w:t>，对</w:t>
      </w:r>
      <w:r>
        <w:rPr>
          <w:spacing w:val="-77"/>
          <w:position w:val="-7"/>
          <w:sz w:val="21"/>
        </w:rPr>
        <w:t>．</w:t>
      </w:r>
      <w:r>
        <w:rPr>
          <w:b/>
          <w:spacing w:val="-140"/>
          <w:w w:val="99"/>
          <w:sz w:val="21"/>
        </w:rPr>
        <w:t>“</w:t>
      </w:r>
      <w:r>
        <w:rPr>
          <w:spacing w:val="-70"/>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7"/>
          <w:w w:val="99"/>
          <w:sz w:val="21"/>
        </w:rPr>
        <w:t>豁</w:t>
      </w:r>
      <w:r>
        <w:rPr>
          <w:spacing w:val="-63"/>
          <w:position w:val="-7"/>
          <w:sz w:val="21"/>
        </w:rPr>
        <w:t>．</w:t>
      </w:r>
      <w:r>
        <w:rPr>
          <w:b/>
          <w:spacing w:val="-147"/>
          <w:w w:val="99"/>
          <w:sz w:val="21"/>
        </w:rPr>
        <w:t>免</w:t>
      </w:r>
      <w:r>
        <w:rPr>
          <w:spacing w:val="-63"/>
          <w:position w:val="-7"/>
          <w:sz w:val="21"/>
        </w:rPr>
        <w:t>．</w:t>
      </w:r>
      <w:r>
        <w:rPr>
          <w:b/>
          <w:spacing w:val="-147"/>
          <w:w w:val="99"/>
          <w:sz w:val="21"/>
        </w:rPr>
        <w:t>保</w:t>
      </w:r>
      <w:r>
        <w:rPr>
          <w:spacing w:val="-63"/>
          <w:position w:val="-7"/>
          <w:sz w:val="21"/>
        </w:rPr>
        <w:t>．</w:t>
      </w:r>
      <w:r>
        <w:rPr>
          <w:b/>
          <w:spacing w:val="-148"/>
          <w:w w:val="99"/>
          <w:sz w:val="21"/>
        </w:rPr>
        <w:t>险</w:t>
      </w:r>
      <w:r>
        <w:rPr>
          <w:spacing w:val="-63"/>
          <w:position w:val="-7"/>
          <w:sz w:val="21"/>
        </w:rPr>
        <w:t>．</w:t>
      </w:r>
      <w:r>
        <w:rPr>
          <w:b/>
          <w:spacing w:val="-148"/>
          <w:w w:val="99"/>
          <w:sz w:val="21"/>
        </w:rPr>
        <w:t>费</w:t>
      </w:r>
      <w:r>
        <w:rPr>
          <w:spacing w:val="-63"/>
          <w:position w:val="-7"/>
          <w:sz w:val="21"/>
        </w:rPr>
        <w:t>．</w:t>
      </w:r>
      <w:r>
        <w:rPr>
          <w:b/>
          <w:spacing w:val="-147"/>
          <w:w w:val="99"/>
          <w:sz w:val="21"/>
        </w:rPr>
        <w:t>重</w:t>
      </w:r>
      <w:r>
        <w:rPr>
          <w:spacing w:val="-63"/>
          <w:position w:val="-7"/>
          <w:sz w:val="21"/>
        </w:rPr>
        <w:t>．</w:t>
      </w:r>
      <w:r>
        <w:rPr>
          <w:b/>
          <w:spacing w:val="-147"/>
          <w:w w:val="99"/>
          <w:sz w:val="21"/>
        </w:rPr>
        <w:t>大</w:t>
      </w:r>
      <w:r>
        <w:rPr>
          <w:spacing w:val="-63"/>
          <w:position w:val="-7"/>
          <w:sz w:val="21"/>
        </w:rPr>
        <w:t>．</w:t>
      </w:r>
      <w:r>
        <w:rPr>
          <w:b/>
          <w:spacing w:val="-147"/>
          <w:w w:val="99"/>
          <w:sz w:val="21"/>
        </w:rPr>
        <w:t>疾</w:t>
      </w:r>
      <w:r>
        <w:rPr>
          <w:spacing w:val="-63"/>
          <w:position w:val="-7"/>
          <w:sz w:val="21"/>
        </w:rPr>
        <w:t>．</w:t>
      </w:r>
      <w:r>
        <w:rPr>
          <w:b/>
          <w:spacing w:val="-148"/>
          <w:w w:val="99"/>
          <w:sz w:val="21"/>
        </w:rPr>
        <w:t>病</w:t>
      </w:r>
      <w:r>
        <w:rPr>
          <w:spacing w:val="-63"/>
          <w:position w:val="-7"/>
          <w:sz w:val="21"/>
        </w:rPr>
        <w:t>．</w:t>
      </w:r>
      <w:r>
        <w:rPr>
          <w:b/>
          <w:spacing w:val="-148"/>
          <w:w w:val="99"/>
          <w:sz w:val="21"/>
        </w:rPr>
        <w:t>保</w:t>
      </w:r>
      <w:r>
        <w:rPr>
          <w:spacing w:val="-63"/>
          <w:position w:val="-7"/>
          <w:sz w:val="21"/>
        </w:rPr>
        <w:t>．</w:t>
      </w:r>
      <w:r>
        <w:rPr>
          <w:b/>
          <w:spacing w:val="-147"/>
          <w:w w:val="99"/>
          <w:sz w:val="21"/>
        </w:rPr>
        <w:t>险</w:t>
      </w:r>
      <w:r>
        <w:rPr>
          <w:spacing w:val="-77"/>
          <w:position w:val="-7"/>
          <w:sz w:val="21"/>
        </w:rPr>
        <w:t>．</w:t>
      </w:r>
      <w:r>
        <w:rPr>
          <w:b/>
          <w:spacing w:val="-140"/>
          <w:w w:val="99"/>
          <w:sz w:val="21"/>
        </w:rPr>
        <w:t>（</w:t>
      </w:r>
      <w:r>
        <w:rPr>
          <w:spacing w:val="-70"/>
          <w:position w:val="-7"/>
          <w:sz w:val="21"/>
        </w:rPr>
        <w:t>．</w:t>
      </w:r>
      <w:r>
        <w:rPr>
          <w:rFonts w:ascii="Times New Roman" w:hAnsi="Times New Roman" w:eastAsia="Times New Roman"/>
          <w:b/>
          <w:spacing w:val="-119"/>
          <w:w w:val="99"/>
          <w:sz w:val="21"/>
        </w:rPr>
        <w:t>C</w:t>
      </w:r>
      <w:r>
        <w:rPr>
          <w:spacing w:val="-93"/>
          <w:position w:val="-7"/>
          <w:sz w:val="21"/>
        </w:rPr>
        <w:t>．</w:t>
      </w:r>
      <w:r>
        <w:rPr>
          <w:b/>
          <w:spacing w:val="-154"/>
          <w:w w:val="99"/>
          <w:sz w:val="21"/>
        </w:rPr>
        <w:t>）</w:t>
      </w:r>
      <w:r>
        <w:rPr>
          <w:spacing w:val="-70"/>
          <w:position w:val="-7"/>
          <w:sz w:val="21"/>
        </w:rPr>
        <w:t>．</w:t>
      </w:r>
      <w:r>
        <w:rPr>
          <w:b/>
          <w:spacing w:val="-147"/>
          <w:w w:val="99"/>
          <w:sz w:val="21"/>
        </w:rPr>
        <w:t>合</w:t>
      </w:r>
      <w:r>
        <w:rPr>
          <w:spacing w:val="-63"/>
          <w:position w:val="-7"/>
          <w:sz w:val="21"/>
        </w:rPr>
        <w:t>．</w:t>
      </w:r>
      <w:r>
        <w:rPr>
          <w:b/>
          <w:spacing w:val="-148"/>
          <w:w w:val="99"/>
          <w:sz w:val="21"/>
        </w:rPr>
        <w:t>同</w:t>
      </w:r>
      <w:r>
        <w:rPr>
          <w:spacing w:val="-63"/>
          <w:position w:val="-7"/>
          <w:sz w:val="21"/>
        </w:rPr>
        <w:t>．</w:t>
      </w:r>
      <w:r>
        <w:rPr>
          <w:b/>
          <w:spacing w:val="-154"/>
          <w:w w:val="99"/>
          <w:sz w:val="21"/>
        </w:rPr>
        <w:t>”</w:t>
      </w:r>
      <w:r>
        <w:rPr>
          <w:spacing w:val="-70"/>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3"/>
          <w:position w:val="-7"/>
          <w:sz w:val="21"/>
        </w:rPr>
        <w:t>．</w:t>
      </w:r>
      <w:r>
        <w:rPr>
          <w:sz w:val="21"/>
        </w:rPr>
        <w:t>。</w:t>
      </w:r>
    </w:p>
    <w:p>
      <w:pPr>
        <w:pStyle w:val="BodyText"/>
        <w:spacing w:before="8"/>
        <w:rPr>
          <w:sz w:val="39"/>
        </w:rPr>
      </w:pPr>
    </w:p>
    <w:p>
      <w:pPr>
        <w:tabs>
          <w:tab w:pos="1355" w:val="left" w:leader="none"/>
        </w:tabs>
        <w:spacing w:before="0"/>
        <w:ind w:left="345" w:right="0" w:firstLine="0"/>
        <w:jc w:val="left"/>
        <w:rPr>
          <w:b/>
          <w:sz w:val="21"/>
        </w:rPr>
      </w:pPr>
      <w:r>
        <w:rPr/>
        <w:pict>
          <v:group style="position:absolute;margin-left:47.400002pt;margin-top:-7.412265pt;width:502.05pt;height:647.5pt;mso-position-horizontal-relative:page;mso-position-vertical-relative:paragraph;z-index:-31600" coordorigin="948,-148" coordsize="10041,12950">
            <v:shape style="position:absolute;left:948;top:-149;width:10041;height:12950" type="#_x0000_t75" stroked="false">
              <v:imagedata r:id="rId6" o:title=""/>
            </v:shape>
            <v:rect style="position:absolute;left:2071;top:5451;width:8190;height:7174" filled="false" stroked="true" strokeweight=".75pt" strokecolor="#000000">
              <v:stroke dashstyle="shortdot"/>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2.1</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您有退保的权利</w:t>
        <w:tab/>
        <w:t>7.1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pacing w:val="-9"/>
          <w:sz w:val="21"/>
        </w:rPr>
        <w:t>在某些情况下，我们不承担保险责任，详见条款正文中背景突出显示的内容</w:t>
      </w:r>
    </w:p>
    <w:p>
      <w:pPr>
        <w:pStyle w:val="BodyText"/>
        <w:spacing w:before="22"/>
        <w:ind w:left="1317"/>
      </w:pPr>
      <w:r>
        <w:rPr/>
        <w:t>………………………………………………………………………………………2.1、2.2、9.3</w:t>
      </w:r>
    </w:p>
    <w:p>
      <w:pPr>
        <w:pStyle w:val="ListParagraph"/>
        <w:numPr>
          <w:ilvl w:val="0"/>
          <w:numId w:val="1"/>
        </w:numPr>
        <w:tabs>
          <w:tab w:pos="1737" w:val="left" w:leader="none"/>
          <w:tab w:pos="1739" w:val="left" w:leader="none"/>
          <w:tab w:pos="9612" w:val="right" w:leader="dot"/>
        </w:tabs>
        <w:spacing w:line="240" w:lineRule="auto" w:before="37" w:after="0"/>
        <w:ind w:left="1738" w:right="0" w:hanging="420"/>
        <w:jc w:val="left"/>
        <w:rPr>
          <w:sz w:val="21"/>
        </w:rPr>
      </w:pPr>
      <w:r>
        <w:rPr>
          <w:sz w:val="21"/>
        </w:rPr>
        <w:t>退保会给您造成一定的损失，请您慎重决策</w:t>
        <w:tab/>
        <w:t>7.1</w:t>
      </w:r>
    </w:p>
    <w:p>
      <w:pPr>
        <w:pStyle w:val="ListParagraph"/>
        <w:numPr>
          <w:ilvl w:val="0"/>
          <w:numId w:val="1"/>
        </w:numPr>
        <w:tabs>
          <w:tab w:pos="1737" w:val="left" w:leader="none"/>
          <w:tab w:pos="1739" w:val="left" w:leader="none"/>
          <w:tab w:pos="9612" w:val="right" w:leader="dot"/>
        </w:tabs>
        <w:spacing w:line="240" w:lineRule="auto" w:before="22" w:after="0"/>
        <w:ind w:left="1738" w:right="0" w:hanging="420"/>
        <w:jc w:val="left"/>
        <w:rPr>
          <w:sz w:val="21"/>
        </w:rPr>
      </w:pPr>
      <w:r>
        <w:rPr>
          <w:sz w:val="21"/>
        </w:rPr>
        <w:t>您应当按时支付保险费</w:t>
        <w:tab/>
        <w:t>4.1</w:t>
      </w:r>
    </w:p>
    <w:p>
      <w:pPr>
        <w:pStyle w:val="ListParagraph"/>
        <w:numPr>
          <w:ilvl w:val="0"/>
          <w:numId w:val="1"/>
        </w:numPr>
        <w:tabs>
          <w:tab w:pos="1737" w:val="left" w:leader="none"/>
          <w:tab w:pos="1739" w:val="left" w:leader="none"/>
          <w:tab w:pos="9402" w:val="right" w:leader="dot"/>
        </w:tabs>
        <w:spacing w:line="240" w:lineRule="auto" w:before="22" w:after="0"/>
        <w:ind w:left="1738" w:right="0" w:hanging="420"/>
        <w:jc w:val="left"/>
        <w:rPr>
          <w:sz w:val="21"/>
        </w:rPr>
      </w:pPr>
      <w:r>
        <w:rPr>
          <w:sz w:val="21"/>
        </w:rPr>
        <w:t>我们对一些重要术语进行了解释，并作了显著标识，请您注意</w:t>
        <w:tab/>
        <w:t>9</w:t>
      </w:r>
    </w:p>
    <w:p>
      <w:pPr>
        <w:pStyle w:val="ListParagraph"/>
        <w:numPr>
          <w:ilvl w:val="0"/>
          <w:numId w:val="1"/>
        </w:numPr>
        <w:tabs>
          <w:tab w:pos="1737" w:val="left" w:leader="none"/>
          <w:tab w:pos="1739" w:val="left" w:leader="none"/>
          <w:tab w:pos="9612" w:val="right" w:leader="dot"/>
        </w:tabs>
        <w:spacing w:line="240" w:lineRule="auto" w:before="22" w:after="0"/>
        <w:ind w:left="1738" w:right="0" w:hanging="420"/>
        <w:jc w:val="left"/>
        <w:rPr>
          <w:sz w:val="21"/>
        </w:rPr>
      </w:pPr>
      <w:r>
        <w:rPr>
          <w:sz w:val="21"/>
        </w:rPr>
        <w:t>保险条款有关于重大疾病的释义，请您留意</w:t>
        <w:tab/>
        <w:t>9.3</w:t>
      </w:r>
    </w:p>
    <w:p>
      <w:pPr>
        <w:pStyle w:val="ListParagraph"/>
        <w:numPr>
          <w:ilvl w:val="0"/>
          <w:numId w:val="1"/>
        </w:numPr>
        <w:tabs>
          <w:tab w:pos="1737" w:val="left" w:leader="none"/>
          <w:tab w:pos="1739" w:val="left" w:leader="none"/>
          <w:tab w:pos="9612" w:val="right" w:leader="dot"/>
        </w:tabs>
        <w:spacing w:line="240" w:lineRule="auto" w:before="22" w:after="0"/>
        <w:ind w:left="1738" w:right="0" w:hanging="420"/>
        <w:jc w:val="left"/>
        <w:rPr>
          <w:sz w:val="21"/>
        </w:rPr>
      </w:pPr>
      <w:r>
        <w:rPr>
          <w:sz w:val="21"/>
        </w:rPr>
        <w:t>主险合同的某些变动会导致本附加险合同效力终止</w:t>
        <w:tab/>
        <w:t>8.4</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5"/>
        <w:ind w:left="345"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80" w:bottom="280" w:left="840" w:right="800"/>
        </w:sectPr>
      </w:pPr>
    </w:p>
    <w:p>
      <w:pPr>
        <w:spacing w:before="47"/>
        <w:ind w:left="1363"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1994" w:val="left" w:leader="none"/>
        </w:tabs>
        <w:spacing w:line="240" w:lineRule="auto" w:before="40" w:after="0"/>
        <w:ind w:left="1993" w:right="0" w:hanging="420"/>
        <w:jc w:val="left"/>
        <w:rPr>
          <w:sz w:val="21"/>
        </w:rPr>
      </w:pPr>
      <w:r>
        <w:rPr>
          <w:sz w:val="21"/>
        </w:rPr>
        <w:t>合同订立</w:t>
      </w:r>
    </w:p>
    <w:p>
      <w:pPr>
        <w:pStyle w:val="ListParagraph"/>
        <w:numPr>
          <w:ilvl w:val="1"/>
          <w:numId w:val="2"/>
        </w:numPr>
        <w:tabs>
          <w:tab w:pos="1994" w:val="left" w:leader="none"/>
        </w:tabs>
        <w:spacing w:line="240" w:lineRule="auto" w:before="64" w:after="0"/>
        <w:ind w:left="1993" w:right="0" w:hanging="420"/>
        <w:jc w:val="left"/>
        <w:rPr>
          <w:sz w:val="21"/>
        </w:rPr>
      </w:pPr>
      <w:r>
        <w:rPr>
          <w:sz w:val="21"/>
        </w:rPr>
        <w:t>合同生效</w:t>
      </w:r>
    </w:p>
    <w:p>
      <w:pPr>
        <w:pStyle w:val="ListParagraph"/>
        <w:numPr>
          <w:ilvl w:val="1"/>
          <w:numId w:val="2"/>
        </w:numPr>
        <w:tabs>
          <w:tab w:pos="1994" w:val="left" w:leader="none"/>
        </w:tabs>
        <w:spacing w:line="240" w:lineRule="auto" w:before="65" w:after="0"/>
        <w:ind w:left="1993" w:right="0" w:hanging="420"/>
        <w:jc w:val="left"/>
        <w:rPr>
          <w:sz w:val="21"/>
        </w:rPr>
      </w:pPr>
      <w:r>
        <w:rPr>
          <w:sz w:val="21"/>
        </w:rPr>
        <w:t>投保年龄</w:t>
      </w:r>
    </w:p>
    <w:p>
      <w:pPr>
        <w:pStyle w:val="ListParagraph"/>
        <w:numPr>
          <w:ilvl w:val="1"/>
          <w:numId w:val="2"/>
        </w:numPr>
        <w:tabs>
          <w:tab w:pos="1994" w:val="left" w:leader="none"/>
        </w:tabs>
        <w:spacing w:line="240" w:lineRule="auto" w:before="64" w:after="0"/>
        <w:ind w:left="1993" w:right="0" w:hanging="420"/>
        <w:jc w:val="left"/>
        <w:rPr>
          <w:sz w:val="21"/>
        </w:rPr>
      </w:pPr>
      <w:r>
        <w:rPr>
          <w:sz w:val="21"/>
        </w:rPr>
        <w:t>犹豫期</w:t>
      </w:r>
    </w:p>
    <w:p>
      <w:pPr>
        <w:pStyle w:val="ListParagraph"/>
        <w:numPr>
          <w:ilvl w:val="1"/>
          <w:numId w:val="2"/>
        </w:numPr>
        <w:tabs>
          <w:tab w:pos="1994" w:val="left" w:leader="none"/>
        </w:tabs>
        <w:spacing w:line="240" w:lineRule="auto" w:before="64" w:after="0"/>
        <w:ind w:left="1993" w:right="0" w:hanging="420"/>
        <w:jc w:val="left"/>
        <w:rPr>
          <w:sz w:val="21"/>
        </w:rPr>
      </w:pPr>
      <w:r>
        <w:rPr>
          <w:sz w:val="21"/>
        </w:rPr>
        <w:t>投保对象</w:t>
      </w:r>
    </w:p>
    <w:p>
      <w:pPr>
        <w:pStyle w:val="ListParagraph"/>
        <w:numPr>
          <w:ilvl w:val="1"/>
          <w:numId w:val="2"/>
        </w:numPr>
        <w:tabs>
          <w:tab w:pos="1994" w:val="left" w:leader="none"/>
        </w:tabs>
        <w:spacing w:line="274" w:lineRule="exact" w:before="65" w:after="0"/>
        <w:ind w:left="1993" w:right="0" w:hanging="420"/>
        <w:jc w:val="left"/>
        <w:rPr>
          <w:sz w:val="21"/>
        </w:rPr>
      </w:pPr>
      <w:r>
        <w:rPr>
          <w:sz w:val="21"/>
        </w:rPr>
        <w:t>保险期间</w:t>
      </w:r>
    </w:p>
    <w:p>
      <w:pPr>
        <w:spacing w:line="365" w:lineRule="exact" w:before="0"/>
        <w:ind w:left="1363"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994" w:val="left" w:leader="none"/>
        </w:tabs>
        <w:spacing w:line="240" w:lineRule="auto" w:before="41" w:after="0"/>
        <w:ind w:left="1993" w:right="0" w:hanging="420"/>
        <w:jc w:val="left"/>
        <w:rPr>
          <w:sz w:val="21"/>
        </w:rPr>
      </w:pPr>
      <w:r>
        <w:rPr>
          <w:sz w:val="21"/>
        </w:rPr>
        <w:t>保险责任</w:t>
      </w:r>
    </w:p>
    <w:p>
      <w:pPr>
        <w:pStyle w:val="ListParagraph"/>
        <w:numPr>
          <w:ilvl w:val="1"/>
          <w:numId w:val="3"/>
        </w:numPr>
        <w:tabs>
          <w:tab w:pos="1994" w:val="left" w:leader="none"/>
        </w:tabs>
        <w:spacing w:line="274" w:lineRule="exact" w:before="65" w:after="0"/>
        <w:ind w:left="1993" w:right="0" w:hanging="420"/>
        <w:jc w:val="left"/>
        <w:rPr>
          <w:sz w:val="21"/>
        </w:rPr>
      </w:pPr>
      <w:r>
        <w:rPr>
          <w:sz w:val="21"/>
        </w:rPr>
        <w:t>责任免除</w:t>
      </w:r>
    </w:p>
    <w:p>
      <w:pPr>
        <w:spacing w:line="364" w:lineRule="exact" w:before="0"/>
        <w:ind w:left="1363"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p>
      <w:pPr>
        <w:pStyle w:val="ListParagraph"/>
        <w:numPr>
          <w:ilvl w:val="1"/>
          <w:numId w:val="4"/>
        </w:numPr>
        <w:tabs>
          <w:tab w:pos="1994" w:val="left" w:leader="none"/>
        </w:tabs>
        <w:spacing w:line="240" w:lineRule="auto" w:before="41" w:after="0"/>
        <w:ind w:left="1993" w:right="0" w:hanging="420"/>
        <w:jc w:val="left"/>
        <w:rPr>
          <w:sz w:val="21"/>
        </w:rPr>
      </w:pPr>
      <w:r>
        <w:rPr>
          <w:sz w:val="21"/>
        </w:rPr>
        <w:t>豁免保险费申请</w:t>
      </w:r>
    </w:p>
    <w:p>
      <w:pPr>
        <w:pStyle w:val="ListParagraph"/>
        <w:numPr>
          <w:ilvl w:val="1"/>
          <w:numId w:val="4"/>
        </w:numPr>
        <w:tabs>
          <w:tab w:pos="1994" w:val="left" w:leader="none"/>
        </w:tabs>
        <w:spacing w:line="240" w:lineRule="auto" w:before="65" w:after="0"/>
        <w:ind w:left="1993" w:right="0" w:hanging="420"/>
        <w:jc w:val="left"/>
        <w:rPr>
          <w:sz w:val="21"/>
        </w:rPr>
      </w:pPr>
      <w:r>
        <w:rPr>
          <w:sz w:val="21"/>
        </w:rPr>
        <w:t>保险费的豁免</w:t>
      </w:r>
    </w:p>
    <w:p>
      <w:pPr>
        <w:pStyle w:val="ListParagraph"/>
        <w:numPr>
          <w:ilvl w:val="1"/>
          <w:numId w:val="4"/>
        </w:numPr>
        <w:tabs>
          <w:tab w:pos="1994" w:val="left" w:leader="none"/>
        </w:tabs>
        <w:spacing w:line="274" w:lineRule="exact" w:before="64" w:after="0"/>
        <w:ind w:left="1993" w:right="0" w:hanging="420"/>
        <w:jc w:val="left"/>
        <w:rPr>
          <w:sz w:val="21"/>
        </w:rPr>
      </w:pPr>
      <w:r>
        <w:rPr>
          <w:sz w:val="21"/>
        </w:rPr>
        <w:t>诉讼时效</w:t>
      </w:r>
    </w:p>
    <w:p>
      <w:pPr>
        <w:spacing w:line="365" w:lineRule="exact" w:before="0"/>
        <w:ind w:left="1363"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ListParagraph"/>
        <w:numPr>
          <w:ilvl w:val="1"/>
          <w:numId w:val="5"/>
        </w:numPr>
        <w:tabs>
          <w:tab w:pos="1994" w:val="left" w:leader="none"/>
        </w:tabs>
        <w:spacing w:line="240" w:lineRule="auto" w:before="42" w:after="0"/>
        <w:ind w:left="1993" w:right="0" w:hanging="420"/>
        <w:jc w:val="left"/>
        <w:rPr>
          <w:sz w:val="21"/>
        </w:rPr>
      </w:pPr>
      <w:r>
        <w:rPr>
          <w:sz w:val="21"/>
        </w:rPr>
        <w:t>保险费的支付</w:t>
      </w:r>
    </w:p>
    <w:p>
      <w:pPr>
        <w:pStyle w:val="ListParagraph"/>
        <w:numPr>
          <w:ilvl w:val="1"/>
          <w:numId w:val="5"/>
        </w:numPr>
        <w:tabs>
          <w:tab w:pos="1994" w:val="left" w:leader="none"/>
        </w:tabs>
        <w:spacing w:line="240" w:lineRule="auto" w:before="64" w:after="0"/>
        <w:ind w:left="1993" w:right="0" w:hanging="420"/>
        <w:jc w:val="left"/>
        <w:rPr>
          <w:sz w:val="21"/>
        </w:rPr>
      </w:pPr>
      <w:r>
        <w:rPr>
          <w:sz w:val="21"/>
        </w:rPr>
        <w:t>宽限期</w:t>
      </w:r>
    </w:p>
    <w:p>
      <w:pPr>
        <w:pStyle w:val="ListParagraph"/>
        <w:numPr>
          <w:ilvl w:val="1"/>
          <w:numId w:val="5"/>
        </w:numPr>
        <w:tabs>
          <w:tab w:pos="1994" w:val="left" w:leader="none"/>
        </w:tabs>
        <w:spacing w:line="274" w:lineRule="exact" w:before="64" w:after="0"/>
        <w:ind w:left="1993" w:right="0" w:hanging="420"/>
        <w:jc w:val="left"/>
        <w:rPr>
          <w:sz w:val="21"/>
        </w:rPr>
      </w:pPr>
      <w:r>
        <w:rPr>
          <w:sz w:val="21"/>
        </w:rPr>
        <w:t>保险费率调整</w:t>
      </w:r>
    </w:p>
    <w:p>
      <w:pPr>
        <w:spacing w:line="365" w:lineRule="exact" w:before="0"/>
        <w:ind w:left="1363" w:right="0" w:firstLine="0"/>
        <w:jc w:val="left"/>
        <w:rPr>
          <w:rFonts w:ascii="Microsoft JhengHei" w:eastAsia="Microsoft JhengHei" w:hint="eastAsia"/>
          <w:b/>
          <w:sz w:val="21"/>
        </w:rPr>
      </w:pPr>
      <w:r>
        <w:rPr>
          <w:b/>
          <w:sz w:val="21"/>
        </w:rPr>
        <w:t>5.</w:t>
      </w:r>
      <w:r>
        <w:rPr>
          <w:rFonts w:ascii="Microsoft JhengHei" w:eastAsia="Microsoft JhengHei" w:hint="eastAsia"/>
          <w:b/>
          <w:sz w:val="21"/>
        </w:rPr>
        <w:t>现金价值权益</w:t>
      </w:r>
    </w:p>
    <w:p>
      <w:pPr>
        <w:pStyle w:val="BodyText"/>
        <w:spacing w:before="41"/>
        <w:ind w:left="1573"/>
      </w:pPr>
      <w:r>
        <w:rPr/>
        <w:t>5.1 现金价值</w:t>
      </w:r>
    </w:p>
    <w:p>
      <w:pPr>
        <w:spacing w:before="51"/>
        <w:ind w:left="265" w:right="0" w:firstLine="0"/>
        <w:jc w:val="left"/>
        <w:rPr>
          <w:rFonts w:ascii="Microsoft JhengHei" w:eastAsia="Microsoft JhengHei" w:hint="eastAsia"/>
          <w:b/>
          <w:sz w:val="21"/>
        </w:rPr>
      </w:pPr>
      <w:r>
        <w:rPr/>
        <w:br w:type="column"/>
      </w:r>
      <w:r>
        <w:rPr>
          <w:b/>
          <w:sz w:val="21"/>
        </w:rPr>
        <w:t>6.</w:t>
      </w:r>
      <w:r>
        <w:rPr>
          <w:rFonts w:ascii="Microsoft JhengHei" w:eastAsia="Microsoft JhengHei" w:hint="eastAsia"/>
          <w:b/>
          <w:sz w:val="21"/>
        </w:rPr>
        <w:t>合同效力的中止及恢复</w:t>
      </w:r>
    </w:p>
    <w:p>
      <w:pPr>
        <w:pStyle w:val="ListParagraph"/>
        <w:numPr>
          <w:ilvl w:val="1"/>
          <w:numId w:val="6"/>
        </w:numPr>
        <w:tabs>
          <w:tab w:pos="896" w:val="left" w:leader="none"/>
        </w:tabs>
        <w:spacing w:line="240" w:lineRule="auto" w:before="40" w:after="0"/>
        <w:ind w:left="895" w:right="0" w:hanging="420"/>
        <w:jc w:val="left"/>
        <w:rPr>
          <w:sz w:val="21"/>
        </w:rPr>
      </w:pPr>
      <w:r>
        <w:rPr>
          <w:sz w:val="21"/>
        </w:rPr>
        <w:t>效力中止</w:t>
      </w:r>
    </w:p>
    <w:p>
      <w:pPr>
        <w:pStyle w:val="ListParagraph"/>
        <w:numPr>
          <w:ilvl w:val="1"/>
          <w:numId w:val="6"/>
        </w:numPr>
        <w:tabs>
          <w:tab w:pos="896" w:val="left" w:leader="none"/>
        </w:tabs>
        <w:spacing w:line="274" w:lineRule="exact" w:before="65" w:after="0"/>
        <w:ind w:left="895" w:right="0" w:hanging="420"/>
        <w:jc w:val="left"/>
        <w:rPr>
          <w:sz w:val="21"/>
        </w:rPr>
      </w:pPr>
      <w:r>
        <w:rPr>
          <w:sz w:val="21"/>
        </w:rPr>
        <w:t>效力恢复</w:t>
      </w:r>
    </w:p>
    <w:p>
      <w:pPr>
        <w:spacing w:line="365" w:lineRule="exact" w:before="0"/>
        <w:ind w:left="265"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line="297" w:lineRule="auto" w:before="41"/>
        <w:ind w:left="895" w:hanging="420"/>
      </w:pPr>
      <w:r>
        <w:rPr/>
        <w:t>7.1 您解除合同的手续及风险</w:t>
      </w:r>
    </w:p>
    <w:p>
      <w:pPr>
        <w:spacing w:line="313" w:lineRule="exact" w:before="0"/>
        <w:ind w:left="265" w:right="0" w:firstLine="0"/>
        <w:jc w:val="left"/>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ListParagraph"/>
        <w:numPr>
          <w:ilvl w:val="1"/>
          <w:numId w:val="7"/>
        </w:numPr>
        <w:tabs>
          <w:tab w:pos="896" w:val="left" w:leader="none"/>
        </w:tabs>
        <w:spacing w:line="240" w:lineRule="auto" w:before="41" w:after="0"/>
        <w:ind w:left="895" w:right="0" w:hanging="420"/>
        <w:jc w:val="left"/>
        <w:rPr>
          <w:sz w:val="21"/>
        </w:rPr>
      </w:pPr>
      <w:r>
        <w:rPr>
          <w:sz w:val="21"/>
        </w:rPr>
        <w:t>年龄错误</w:t>
      </w:r>
    </w:p>
    <w:p>
      <w:pPr>
        <w:pStyle w:val="ListParagraph"/>
        <w:numPr>
          <w:ilvl w:val="1"/>
          <w:numId w:val="7"/>
        </w:numPr>
        <w:tabs>
          <w:tab w:pos="896" w:val="left" w:leader="none"/>
        </w:tabs>
        <w:spacing w:line="240" w:lineRule="auto" w:before="65" w:after="0"/>
        <w:ind w:left="895" w:right="0" w:hanging="420"/>
        <w:jc w:val="left"/>
        <w:rPr>
          <w:sz w:val="21"/>
        </w:rPr>
      </w:pPr>
      <w:r>
        <w:rPr>
          <w:sz w:val="21"/>
        </w:rPr>
        <w:t>未还款项</w:t>
      </w:r>
    </w:p>
    <w:p>
      <w:pPr>
        <w:pStyle w:val="ListParagraph"/>
        <w:numPr>
          <w:ilvl w:val="1"/>
          <w:numId w:val="7"/>
        </w:numPr>
        <w:tabs>
          <w:tab w:pos="896" w:val="left" w:leader="none"/>
        </w:tabs>
        <w:spacing w:line="240" w:lineRule="auto" w:before="64" w:after="0"/>
        <w:ind w:left="895" w:right="0" w:hanging="420"/>
        <w:jc w:val="left"/>
        <w:rPr>
          <w:sz w:val="21"/>
        </w:rPr>
      </w:pPr>
      <w:r>
        <w:rPr>
          <w:sz w:val="21"/>
        </w:rPr>
        <w:t>合同内容变更</w:t>
      </w:r>
    </w:p>
    <w:p>
      <w:pPr>
        <w:pStyle w:val="ListParagraph"/>
        <w:numPr>
          <w:ilvl w:val="1"/>
          <w:numId w:val="7"/>
        </w:numPr>
        <w:tabs>
          <w:tab w:pos="896" w:val="left" w:leader="none"/>
        </w:tabs>
        <w:spacing w:line="240" w:lineRule="auto" w:before="64" w:after="0"/>
        <w:ind w:left="895" w:right="0" w:hanging="420"/>
        <w:jc w:val="left"/>
        <w:rPr>
          <w:sz w:val="21"/>
        </w:rPr>
      </w:pPr>
      <w:r>
        <w:rPr>
          <w:sz w:val="21"/>
        </w:rPr>
        <w:t>效力终止</w:t>
      </w:r>
    </w:p>
    <w:p>
      <w:pPr>
        <w:pStyle w:val="ListParagraph"/>
        <w:numPr>
          <w:ilvl w:val="1"/>
          <w:numId w:val="7"/>
        </w:numPr>
        <w:tabs>
          <w:tab w:pos="896" w:val="left" w:leader="none"/>
        </w:tabs>
        <w:spacing w:line="274" w:lineRule="exact" w:before="65" w:after="0"/>
        <w:ind w:left="895" w:right="0" w:hanging="420"/>
        <w:jc w:val="left"/>
        <w:rPr>
          <w:sz w:val="21"/>
        </w:rPr>
      </w:pPr>
      <w:r>
        <w:rPr>
          <w:sz w:val="21"/>
        </w:rPr>
        <w:t>适用主险合同条款</w:t>
      </w:r>
    </w:p>
    <w:p>
      <w:pPr>
        <w:spacing w:line="365" w:lineRule="exact" w:before="0"/>
        <w:ind w:left="265" w:right="0" w:firstLine="0"/>
        <w:jc w:val="left"/>
        <w:rPr>
          <w:rFonts w:ascii="Microsoft JhengHei" w:eastAsia="Microsoft JhengHei" w:hint="eastAsia"/>
          <w:b/>
          <w:sz w:val="21"/>
        </w:rPr>
      </w:pPr>
      <w:r>
        <w:rPr>
          <w:b/>
          <w:sz w:val="21"/>
        </w:rPr>
        <w:t>9.</w:t>
      </w:r>
      <w:r>
        <w:rPr>
          <w:rFonts w:ascii="Microsoft JhengHei" w:eastAsia="Microsoft JhengHei" w:hint="eastAsia"/>
          <w:b/>
          <w:sz w:val="21"/>
        </w:rPr>
        <w:t>释义</w:t>
      </w:r>
    </w:p>
    <w:p>
      <w:pPr>
        <w:pStyle w:val="ListParagraph"/>
        <w:numPr>
          <w:ilvl w:val="1"/>
          <w:numId w:val="8"/>
        </w:numPr>
        <w:tabs>
          <w:tab w:pos="896" w:val="left" w:leader="none"/>
        </w:tabs>
        <w:spacing w:line="240" w:lineRule="auto" w:before="41" w:after="0"/>
        <w:ind w:left="895" w:right="0" w:hanging="420"/>
        <w:jc w:val="left"/>
        <w:rPr>
          <w:sz w:val="21"/>
        </w:rPr>
      </w:pPr>
      <w:r>
        <w:rPr>
          <w:sz w:val="21"/>
        </w:rPr>
        <w:t>周岁</w:t>
      </w:r>
    </w:p>
    <w:p>
      <w:pPr>
        <w:pStyle w:val="ListParagraph"/>
        <w:numPr>
          <w:ilvl w:val="1"/>
          <w:numId w:val="8"/>
        </w:numPr>
        <w:tabs>
          <w:tab w:pos="896" w:val="left" w:leader="none"/>
        </w:tabs>
        <w:spacing w:line="240" w:lineRule="auto" w:before="66" w:after="0"/>
        <w:ind w:left="895" w:right="0" w:hanging="420"/>
        <w:jc w:val="left"/>
        <w:rPr>
          <w:sz w:val="21"/>
        </w:rPr>
      </w:pPr>
      <w:r>
        <w:rPr>
          <w:sz w:val="21"/>
        </w:rPr>
        <w:t>有效身份证件</w:t>
      </w:r>
    </w:p>
    <w:p>
      <w:pPr>
        <w:pStyle w:val="ListParagraph"/>
        <w:numPr>
          <w:ilvl w:val="1"/>
          <w:numId w:val="8"/>
        </w:numPr>
        <w:tabs>
          <w:tab w:pos="896" w:val="left" w:leader="none"/>
        </w:tabs>
        <w:spacing w:line="240" w:lineRule="auto" w:before="65" w:after="0"/>
        <w:ind w:left="895" w:right="0" w:hanging="420"/>
        <w:jc w:val="left"/>
        <w:rPr>
          <w:sz w:val="21"/>
        </w:rPr>
      </w:pPr>
      <w:r>
        <w:rPr>
          <w:sz w:val="21"/>
        </w:rPr>
        <w:t>重大疾病</w:t>
      </w:r>
    </w:p>
    <w:p>
      <w:pPr>
        <w:pStyle w:val="ListParagraph"/>
        <w:numPr>
          <w:ilvl w:val="1"/>
          <w:numId w:val="8"/>
        </w:numPr>
        <w:tabs>
          <w:tab w:pos="896" w:val="left" w:leader="none"/>
        </w:tabs>
        <w:spacing w:line="240" w:lineRule="auto" w:before="65" w:after="0"/>
        <w:ind w:left="895" w:right="0" w:hanging="420"/>
        <w:jc w:val="left"/>
        <w:rPr>
          <w:sz w:val="21"/>
        </w:rPr>
      </w:pPr>
      <w:r>
        <w:rPr>
          <w:sz w:val="21"/>
        </w:rPr>
        <w:t>专科医生</w:t>
      </w:r>
    </w:p>
    <w:p>
      <w:pPr>
        <w:pStyle w:val="ListParagraph"/>
        <w:numPr>
          <w:ilvl w:val="1"/>
          <w:numId w:val="8"/>
        </w:numPr>
        <w:tabs>
          <w:tab w:pos="896" w:val="left" w:leader="none"/>
        </w:tabs>
        <w:spacing w:line="240" w:lineRule="auto" w:before="66" w:after="0"/>
        <w:ind w:left="895" w:right="0" w:hanging="420"/>
        <w:jc w:val="left"/>
        <w:rPr>
          <w:sz w:val="21"/>
        </w:rPr>
      </w:pPr>
      <w:r>
        <w:rPr>
          <w:sz w:val="21"/>
        </w:rPr>
        <w:t>肢体机能完全丧失</w:t>
      </w:r>
    </w:p>
    <w:p>
      <w:pPr>
        <w:pStyle w:val="ListParagraph"/>
        <w:numPr>
          <w:ilvl w:val="1"/>
          <w:numId w:val="8"/>
        </w:numPr>
        <w:tabs>
          <w:tab w:pos="913" w:val="left" w:leader="none"/>
        </w:tabs>
        <w:spacing w:line="297" w:lineRule="auto" w:before="64" w:after="0"/>
        <w:ind w:left="895" w:right="0" w:hanging="420"/>
        <w:jc w:val="left"/>
        <w:rPr>
          <w:sz w:val="21"/>
        </w:rPr>
      </w:pPr>
      <w:r>
        <w:rPr>
          <w:spacing w:val="15"/>
          <w:sz w:val="21"/>
        </w:rPr>
        <w:t>语言能力或咀嚼吞咽</w:t>
      </w:r>
      <w:r>
        <w:rPr>
          <w:sz w:val="21"/>
        </w:rPr>
        <w:t>能力完全丧失</w:t>
      </w:r>
    </w:p>
    <w:p>
      <w:pPr>
        <w:pStyle w:val="ListParagraph"/>
        <w:numPr>
          <w:ilvl w:val="1"/>
          <w:numId w:val="8"/>
        </w:numPr>
        <w:tabs>
          <w:tab w:pos="765" w:val="left" w:leader="none"/>
        </w:tabs>
        <w:spacing w:line="283" w:lineRule="auto" w:before="99" w:after="0"/>
        <w:ind w:left="746" w:right="1185" w:hanging="420"/>
        <w:jc w:val="left"/>
        <w:rPr>
          <w:sz w:val="21"/>
        </w:rPr>
      </w:pPr>
      <w:r>
        <w:rPr>
          <w:spacing w:val="15"/>
          <w:sz w:val="21"/>
        </w:rPr>
        <w:br w:type="column"/>
      </w:r>
      <w:r>
        <w:rPr>
          <w:spacing w:val="15"/>
          <w:sz w:val="21"/>
        </w:rPr>
        <w:t>六项基本日常生活</w:t>
      </w:r>
      <w:r>
        <w:rPr>
          <w:sz w:val="21"/>
        </w:rPr>
        <w:t>活动</w:t>
      </w:r>
    </w:p>
    <w:p>
      <w:pPr>
        <w:pStyle w:val="ListParagraph"/>
        <w:numPr>
          <w:ilvl w:val="1"/>
          <w:numId w:val="8"/>
        </w:numPr>
        <w:tabs>
          <w:tab w:pos="747" w:val="left" w:leader="none"/>
        </w:tabs>
        <w:spacing w:line="259" w:lineRule="exact" w:before="0" w:after="0"/>
        <w:ind w:left="746" w:right="0" w:hanging="420"/>
        <w:jc w:val="left"/>
        <w:rPr>
          <w:sz w:val="21"/>
        </w:rPr>
      </w:pPr>
      <w:r>
        <w:rPr>
          <w:sz w:val="21"/>
        </w:rPr>
        <w:t>永久不可逆</w:t>
      </w:r>
    </w:p>
    <w:p>
      <w:pPr>
        <w:pStyle w:val="ListParagraph"/>
        <w:numPr>
          <w:ilvl w:val="1"/>
          <w:numId w:val="8"/>
        </w:numPr>
        <w:tabs>
          <w:tab w:pos="747" w:val="left" w:leader="none"/>
        </w:tabs>
        <w:spacing w:line="240" w:lineRule="auto" w:before="37" w:after="0"/>
        <w:ind w:left="746" w:right="0" w:hanging="420"/>
        <w:jc w:val="left"/>
        <w:rPr>
          <w:sz w:val="21"/>
        </w:rPr>
      </w:pPr>
      <w:r>
        <w:rPr>
          <w:sz w:val="21"/>
        </w:rPr>
        <w:t>意外伤害</w:t>
      </w:r>
    </w:p>
    <w:p>
      <w:pPr>
        <w:pStyle w:val="ListParagraph"/>
        <w:numPr>
          <w:ilvl w:val="1"/>
          <w:numId w:val="8"/>
        </w:numPr>
        <w:tabs>
          <w:tab w:pos="851" w:val="left" w:leader="none"/>
        </w:tabs>
        <w:spacing w:line="240" w:lineRule="auto" w:before="37" w:after="0"/>
        <w:ind w:left="850" w:right="0" w:hanging="524"/>
        <w:jc w:val="left"/>
        <w:rPr>
          <w:sz w:val="21"/>
        </w:rPr>
      </w:pPr>
      <w:r>
        <w:rPr>
          <w:sz w:val="21"/>
        </w:rPr>
        <w:t>医院</w:t>
      </w:r>
    </w:p>
    <w:p>
      <w:pPr>
        <w:pStyle w:val="ListParagraph"/>
        <w:numPr>
          <w:ilvl w:val="1"/>
          <w:numId w:val="8"/>
        </w:numPr>
        <w:tabs>
          <w:tab w:pos="851" w:val="left" w:leader="none"/>
        </w:tabs>
        <w:spacing w:line="240" w:lineRule="auto" w:before="37" w:after="0"/>
        <w:ind w:left="850" w:right="0" w:hanging="524"/>
        <w:jc w:val="left"/>
        <w:rPr>
          <w:sz w:val="21"/>
        </w:rPr>
      </w:pPr>
      <w:r>
        <w:rPr>
          <w:sz w:val="21"/>
        </w:rPr>
        <w:t>本条款约定确诊日</w:t>
      </w:r>
    </w:p>
    <w:p>
      <w:pPr>
        <w:pStyle w:val="ListParagraph"/>
        <w:numPr>
          <w:ilvl w:val="1"/>
          <w:numId w:val="8"/>
        </w:numPr>
        <w:tabs>
          <w:tab w:pos="851" w:val="left" w:leader="none"/>
        </w:tabs>
        <w:spacing w:line="240" w:lineRule="auto" w:before="37" w:after="0"/>
        <w:ind w:left="850" w:right="0" w:hanging="524"/>
        <w:jc w:val="left"/>
        <w:rPr>
          <w:sz w:val="21"/>
        </w:rPr>
      </w:pPr>
      <w:r>
        <w:rPr>
          <w:sz w:val="21"/>
        </w:rPr>
        <w:t>毒品</w:t>
      </w:r>
    </w:p>
    <w:p>
      <w:pPr>
        <w:pStyle w:val="ListParagraph"/>
        <w:numPr>
          <w:ilvl w:val="1"/>
          <w:numId w:val="8"/>
        </w:numPr>
        <w:tabs>
          <w:tab w:pos="851" w:val="left" w:leader="none"/>
        </w:tabs>
        <w:spacing w:line="240" w:lineRule="auto" w:before="37" w:after="0"/>
        <w:ind w:left="850" w:right="0" w:hanging="524"/>
        <w:jc w:val="left"/>
        <w:rPr>
          <w:sz w:val="21"/>
        </w:rPr>
      </w:pPr>
      <w:r>
        <w:rPr>
          <w:sz w:val="21"/>
        </w:rPr>
        <w:t>酒后驾驶</w:t>
      </w:r>
    </w:p>
    <w:p>
      <w:pPr>
        <w:pStyle w:val="ListParagraph"/>
        <w:numPr>
          <w:ilvl w:val="1"/>
          <w:numId w:val="8"/>
        </w:numPr>
        <w:tabs>
          <w:tab w:pos="856" w:val="left" w:leader="none"/>
        </w:tabs>
        <w:spacing w:line="273" w:lineRule="auto" w:before="37" w:after="0"/>
        <w:ind w:left="851" w:right="1197" w:hanging="525"/>
        <w:jc w:val="left"/>
        <w:rPr>
          <w:sz w:val="21"/>
        </w:rPr>
      </w:pPr>
      <w:r>
        <w:rPr>
          <w:sz w:val="21"/>
        </w:rPr>
        <w:t>无合法有效驾驶证驾驶</w:t>
      </w:r>
    </w:p>
    <w:p>
      <w:pPr>
        <w:pStyle w:val="ListParagraph"/>
        <w:numPr>
          <w:ilvl w:val="1"/>
          <w:numId w:val="8"/>
        </w:numPr>
        <w:tabs>
          <w:tab w:pos="851" w:val="left" w:leader="none"/>
        </w:tabs>
        <w:spacing w:line="240" w:lineRule="auto" w:before="7" w:after="0"/>
        <w:ind w:left="850" w:right="0" w:hanging="524"/>
        <w:jc w:val="left"/>
        <w:rPr>
          <w:sz w:val="21"/>
        </w:rPr>
      </w:pPr>
      <w:r>
        <w:rPr>
          <w:sz w:val="21"/>
        </w:rPr>
        <w:t>无有效行驶证</w:t>
      </w:r>
    </w:p>
    <w:p>
      <w:pPr>
        <w:pStyle w:val="ListParagraph"/>
        <w:numPr>
          <w:ilvl w:val="1"/>
          <w:numId w:val="8"/>
        </w:numPr>
        <w:tabs>
          <w:tab w:pos="851" w:val="left" w:leader="none"/>
        </w:tabs>
        <w:spacing w:line="240" w:lineRule="auto" w:before="36" w:after="0"/>
        <w:ind w:left="850" w:right="0" w:hanging="524"/>
        <w:jc w:val="left"/>
        <w:rPr>
          <w:sz w:val="21"/>
        </w:rPr>
      </w:pPr>
      <w:r>
        <w:rPr>
          <w:sz w:val="21"/>
        </w:rPr>
        <w:t>机动车</w:t>
      </w:r>
    </w:p>
    <w:p>
      <w:pPr>
        <w:pStyle w:val="ListParagraph"/>
        <w:numPr>
          <w:ilvl w:val="1"/>
          <w:numId w:val="8"/>
        </w:numPr>
        <w:tabs>
          <w:tab w:pos="856" w:val="left" w:leader="none"/>
        </w:tabs>
        <w:spacing w:line="273" w:lineRule="auto" w:before="36" w:after="0"/>
        <w:ind w:left="851" w:right="1197" w:hanging="525"/>
        <w:jc w:val="left"/>
        <w:rPr>
          <w:sz w:val="21"/>
        </w:rPr>
      </w:pPr>
      <w:r>
        <w:rPr>
          <w:sz w:val="21"/>
        </w:rPr>
        <w:t>感染艾滋病病毒或患艾滋病</w:t>
      </w:r>
    </w:p>
    <w:p>
      <w:pPr>
        <w:pStyle w:val="ListParagraph"/>
        <w:numPr>
          <w:ilvl w:val="1"/>
          <w:numId w:val="8"/>
        </w:numPr>
        <w:tabs>
          <w:tab w:pos="851" w:val="left" w:leader="none"/>
        </w:tabs>
        <w:spacing w:line="240" w:lineRule="auto" w:before="7" w:after="0"/>
        <w:ind w:left="850" w:right="0" w:hanging="524"/>
        <w:jc w:val="left"/>
        <w:rPr>
          <w:sz w:val="21"/>
        </w:rPr>
      </w:pPr>
      <w:r>
        <w:rPr>
          <w:sz w:val="21"/>
        </w:rPr>
        <w:t>遗传性疾病</w:t>
      </w:r>
    </w:p>
    <w:p>
      <w:pPr>
        <w:pStyle w:val="ListParagraph"/>
        <w:numPr>
          <w:ilvl w:val="1"/>
          <w:numId w:val="8"/>
        </w:numPr>
        <w:tabs>
          <w:tab w:pos="856" w:val="left" w:leader="none"/>
        </w:tabs>
        <w:spacing w:line="273" w:lineRule="auto" w:before="37" w:after="0"/>
        <w:ind w:left="851" w:right="1197" w:hanging="525"/>
        <w:jc w:val="left"/>
        <w:rPr>
          <w:sz w:val="21"/>
        </w:rPr>
      </w:pPr>
      <w:r>
        <w:rPr>
          <w:sz w:val="21"/>
        </w:rPr>
        <w:t>先天性畸形、变形或染色体异常</w:t>
      </w:r>
    </w:p>
    <w:p>
      <w:pPr>
        <w:pStyle w:val="ListParagraph"/>
        <w:numPr>
          <w:ilvl w:val="1"/>
          <w:numId w:val="8"/>
        </w:numPr>
        <w:tabs>
          <w:tab w:pos="851" w:val="left" w:leader="none"/>
        </w:tabs>
        <w:spacing w:line="240" w:lineRule="auto" w:before="7" w:after="0"/>
        <w:ind w:left="850" w:right="0" w:hanging="524"/>
        <w:jc w:val="left"/>
        <w:rPr>
          <w:sz w:val="21"/>
        </w:rPr>
      </w:pPr>
      <w:r>
        <w:rPr>
          <w:sz w:val="21"/>
        </w:rPr>
        <w:t>保险费约定支付日</w:t>
      </w:r>
    </w:p>
    <w:p>
      <w:pPr>
        <w:pStyle w:val="ListParagraph"/>
        <w:numPr>
          <w:ilvl w:val="1"/>
          <w:numId w:val="8"/>
        </w:numPr>
        <w:tabs>
          <w:tab w:pos="851" w:val="left" w:leader="none"/>
        </w:tabs>
        <w:spacing w:line="240" w:lineRule="auto" w:before="36" w:after="0"/>
        <w:ind w:left="850" w:right="0" w:hanging="524"/>
        <w:jc w:val="left"/>
        <w:rPr>
          <w:sz w:val="21"/>
        </w:rPr>
      </w:pPr>
      <w:r>
        <w:rPr>
          <w:sz w:val="21"/>
        </w:rPr>
        <w:t>本条款约定利率</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before="0"/>
        <w:ind w:left="1910" w:right="0" w:firstLine="0"/>
        <w:jc w:val="left"/>
        <w:rPr>
          <w:rFonts w:ascii="Times New Roman" w:eastAsia="Times New Roman"/>
          <w:sz w:val="18"/>
        </w:rPr>
      </w:pPr>
      <w:r>
        <w:rPr>
          <w:sz w:val="18"/>
        </w:rPr>
        <w:t>险种简称：豁免重疾 </w:t>
      </w:r>
      <w:r>
        <w:rPr>
          <w:rFonts w:ascii="Times New Roman" w:eastAsia="Times New Roman"/>
          <w:sz w:val="18"/>
        </w:rPr>
        <w:t>C</w:t>
      </w:r>
    </w:p>
    <w:p>
      <w:pPr>
        <w:spacing w:before="62"/>
        <w:ind w:left="1910" w:right="0" w:firstLine="0"/>
        <w:jc w:val="left"/>
        <w:rPr>
          <w:sz w:val="18"/>
        </w:rPr>
      </w:pPr>
      <w:r>
        <w:rPr>
          <w:sz w:val="18"/>
        </w:rPr>
        <w:t>险种代码：928</w:t>
      </w:r>
    </w:p>
    <w:p>
      <w:pPr>
        <w:spacing w:after="0"/>
        <w:jc w:val="left"/>
        <w:rPr>
          <w:sz w:val="18"/>
        </w:rPr>
        <w:sectPr>
          <w:type w:val="continuous"/>
          <w:pgSz w:w="11910" w:h="16840"/>
          <w:pgMar w:top="580" w:bottom="280" w:left="840" w:right="800"/>
          <w:cols w:num="3" w:equalWidth="0">
            <w:col w:w="3472" w:space="40"/>
            <w:col w:w="2948" w:space="39"/>
            <w:col w:w="3771"/>
          </w:cols>
        </w:sectPr>
      </w:pPr>
    </w:p>
    <w:p>
      <w:pPr>
        <w:pStyle w:val="BodyText"/>
        <w:ind w:left="24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2006" w:right="1868"/>
      </w:pPr>
      <w:r>
        <w:rPr/>
        <w:t>平安附加豁免保险费重大疾病保险（C）条款</w:t>
      </w:r>
    </w:p>
    <w:p>
      <w:pPr>
        <w:pStyle w:val="BodyText"/>
        <w:spacing w:before="103"/>
        <w:ind w:left="2006" w:right="1868"/>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41"/>
      </w:pPr>
      <w:r>
        <w:rPr/>
        <w:t>在本条款中，“您”指投保人，“我们”、“本公司”均指中国平安人寿保险股份有限公司。</w:t>
      </w:r>
    </w:p>
    <w:p>
      <w:pPr>
        <w:pStyle w:val="BodyText"/>
        <w:rPr>
          <w:sz w:val="20"/>
        </w:rPr>
      </w:pPr>
    </w:p>
    <w:p>
      <w:pPr>
        <w:pStyle w:val="BodyText"/>
        <w:spacing w:before="3" w:after="1"/>
        <w:rPr>
          <w:sz w:val="2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553"/>
        <w:gridCol w:w="7800"/>
      </w:tblGrid>
      <w:tr>
        <w:trPr>
          <w:trHeight w:val="522" w:hRule="atLeast"/>
        </w:trPr>
        <w:tc>
          <w:tcPr>
            <w:tcW w:w="620" w:type="dxa"/>
            <w:tcBorders>
              <w:bottom w:val="single" w:sz="8" w:space="0" w:color="000000"/>
            </w:tcBorders>
          </w:tcPr>
          <w:p>
            <w:pPr>
              <w:pStyle w:val="TableParagraph"/>
              <w:spacing w:line="422" w:lineRule="exact"/>
              <w:ind w:right="16"/>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6"/>
              <w:ind w:left="142"/>
              <w:rPr>
                <w:b/>
                <w:sz w:val="24"/>
              </w:rPr>
            </w:pPr>
            <w:r>
              <w:rPr>
                <w:b/>
                <w:w w:val="95"/>
                <w:sz w:val="24"/>
              </w:rPr>
              <w:t>您与我们的合同</w:t>
            </w:r>
          </w:p>
        </w:tc>
      </w:tr>
      <w:tr>
        <w:trPr>
          <w:trHeight w:val="944" w:hRule="atLeast"/>
        </w:trPr>
        <w:tc>
          <w:tcPr>
            <w:tcW w:w="620" w:type="dxa"/>
            <w:tcBorders>
              <w:top w:val="single" w:sz="8" w:space="0" w:color="000000"/>
            </w:tcBorders>
          </w:tcPr>
          <w:p>
            <w:pPr>
              <w:pStyle w:val="TableParagraph"/>
              <w:spacing w:before="9"/>
              <w:rPr>
                <w:sz w:val="14"/>
              </w:rPr>
            </w:pPr>
          </w:p>
          <w:p>
            <w:pPr>
              <w:pStyle w:val="TableParagraph"/>
              <w:ind w:left="103" w:right="158"/>
              <w:jc w:val="center"/>
              <w:rPr>
                <w:b/>
                <w:sz w:val="21"/>
              </w:rPr>
            </w:pPr>
            <w:r>
              <w:rPr>
                <w:b/>
                <w:sz w:val="21"/>
              </w:rPr>
              <w:t>1.1</w:t>
            </w:r>
          </w:p>
        </w:tc>
        <w:tc>
          <w:tcPr>
            <w:tcW w:w="1553" w:type="dxa"/>
            <w:tcBorders>
              <w:top w:val="single" w:sz="8" w:space="0" w:color="000000"/>
            </w:tcBorders>
          </w:tcPr>
          <w:p>
            <w:pPr>
              <w:pStyle w:val="TableParagraph"/>
              <w:spacing w:before="9"/>
              <w:rPr>
                <w:sz w:val="14"/>
              </w:rPr>
            </w:pPr>
          </w:p>
          <w:p>
            <w:pPr>
              <w:pStyle w:val="TableParagraph"/>
              <w:ind w:left="142"/>
              <w:rPr>
                <w:b/>
                <w:sz w:val="21"/>
              </w:rPr>
            </w:pPr>
            <w:r>
              <w:rPr>
                <w:b/>
                <w:sz w:val="21"/>
              </w:rPr>
              <w:t>合同订立</w:t>
            </w:r>
          </w:p>
        </w:tc>
        <w:tc>
          <w:tcPr>
            <w:tcW w:w="7800" w:type="dxa"/>
            <w:tcBorders>
              <w:top w:val="single" w:sz="8" w:space="0" w:color="000000"/>
            </w:tcBorders>
          </w:tcPr>
          <w:p>
            <w:pPr>
              <w:pStyle w:val="TableParagraph"/>
              <w:spacing w:before="9"/>
              <w:rPr>
                <w:sz w:val="14"/>
              </w:rPr>
            </w:pPr>
          </w:p>
          <w:p>
            <w:pPr>
              <w:pStyle w:val="TableParagraph"/>
              <w:spacing w:line="273" w:lineRule="auto"/>
              <w:ind w:left="566"/>
              <w:rPr>
                <w:sz w:val="21"/>
              </w:rPr>
            </w:pPr>
            <w:r>
              <w:rPr>
                <w:spacing w:val="-1"/>
                <w:sz w:val="21"/>
              </w:rPr>
              <w:t>“平安附加豁免保险费重大疾病保险</w:t>
            </w:r>
            <w:r>
              <w:rPr>
                <w:sz w:val="21"/>
              </w:rPr>
              <w:t>（C</w:t>
            </w:r>
            <w:r>
              <w:rPr>
                <w:spacing w:val="-4"/>
                <w:sz w:val="21"/>
              </w:rPr>
              <w:t>）</w:t>
            </w:r>
            <w:r>
              <w:rPr>
                <w:spacing w:val="-37"/>
                <w:sz w:val="21"/>
              </w:rPr>
              <w:t>合同”</w:t>
            </w:r>
            <w:r>
              <w:rPr>
                <w:sz w:val="21"/>
              </w:rPr>
              <w:t>（</w:t>
            </w:r>
            <w:r>
              <w:rPr>
                <w:spacing w:val="-10"/>
                <w:sz w:val="21"/>
              </w:rPr>
              <w:t>以下简称“本附加险合同”</w:t>
            </w:r>
            <w:r>
              <w:rPr>
                <w:sz w:val="21"/>
              </w:rPr>
              <w:t>）</w:t>
            </w:r>
            <w:r>
              <w:rPr>
                <w:spacing w:val="-1"/>
                <w:sz w:val="21"/>
              </w:rPr>
              <w:t>由主保险合同</w:t>
            </w:r>
            <w:r>
              <w:rPr>
                <w:sz w:val="21"/>
              </w:rPr>
              <w:t>（</w:t>
            </w:r>
            <w:r>
              <w:rPr>
                <w:spacing w:val="-12"/>
                <w:sz w:val="21"/>
              </w:rPr>
              <w:t>以下简称“主险合同”</w:t>
            </w:r>
            <w:r>
              <w:rPr>
                <w:spacing w:val="-4"/>
                <w:sz w:val="21"/>
              </w:rPr>
              <w:t>）</w:t>
            </w:r>
            <w:r>
              <w:rPr>
                <w:spacing w:val="-1"/>
                <w:sz w:val="21"/>
              </w:rPr>
              <w:t>投保人提出申请，经我们同意而订立。</w:t>
            </w:r>
          </w:p>
        </w:tc>
      </w:tr>
      <w:tr>
        <w:trPr>
          <w:trHeight w:val="1163" w:hRule="atLeast"/>
        </w:trPr>
        <w:tc>
          <w:tcPr>
            <w:tcW w:w="620" w:type="dxa"/>
          </w:tcPr>
          <w:p>
            <w:pPr>
              <w:pStyle w:val="TableParagraph"/>
              <w:spacing w:before="100"/>
              <w:ind w:left="103" w:right="158"/>
              <w:jc w:val="center"/>
              <w:rPr>
                <w:b/>
                <w:sz w:val="21"/>
              </w:rPr>
            </w:pPr>
            <w:r>
              <w:rPr>
                <w:b/>
                <w:sz w:val="21"/>
              </w:rPr>
              <w:t>1.2</w:t>
            </w:r>
          </w:p>
        </w:tc>
        <w:tc>
          <w:tcPr>
            <w:tcW w:w="1553" w:type="dxa"/>
          </w:tcPr>
          <w:p>
            <w:pPr>
              <w:pStyle w:val="TableParagraph"/>
              <w:spacing w:before="100"/>
              <w:ind w:left="142"/>
              <w:rPr>
                <w:b/>
                <w:sz w:val="21"/>
              </w:rPr>
            </w:pPr>
            <w:r>
              <w:rPr>
                <w:b/>
                <w:sz w:val="21"/>
              </w:rPr>
              <w:t>合同生效</w:t>
            </w:r>
          </w:p>
        </w:tc>
        <w:tc>
          <w:tcPr>
            <w:tcW w:w="7800" w:type="dxa"/>
          </w:tcPr>
          <w:p>
            <w:pPr>
              <w:pStyle w:val="TableParagraph"/>
              <w:spacing w:line="273" w:lineRule="auto" w:before="100"/>
              <w:ind w:left="566" w:right="3451"/>
              <w:rPr>
                <w:sz w:val="21"/>
              </w:rPr>
            </w:pPr>
            <w:r>
              <w:rPr>
                <w:sz w:val="21"/>
              </w:rPr>
              <w:t>本附加险合同须与主险合同同时投保。 本附加险合同的生效日与主险合同相同。</w:t>
            </w:r>
          </w:p>
          <w:p>
            <w:pPr>
              <w:pStyle w:val="TableParagraph"/>
              <w:spacing w:before="7"/>
              <w:ind w:left="566"/>
              <w:rPr>
                <w:sz w:val="21"/>
              </w:rPr>
            </w:pPr>
            <w:r>
              <w:rPr>
                <w:sz w:val="21"/>
              </w:rPr>
              <w:t>本附加险合同的保单周年日同主险合同的保单周年日。</w:t>
            </w:r>
          </w:p>
        </w:tc>
      </w:tr>
      <w:tr>
        <w:trPr>
          <w:trHeight w:val="850" w:hRule="atLeast"/>
        </w:trPr>
        <w:tc>
          <w:tcPr>
            <w:tcW w:w="620" w:type="dxa"/>
          </w:tcPr>
          <w:p>
            <w:pPr>
              <w:pStyle w:val="TableParagraph"/>
              <w:spacing w:before="99"/>
              <w:ind w:left="103" w:right="158"/>
              <w:jc w:val="center"/>
              <w:rPr>
                <w:b/>
                <w:sz w:val="21"/>
              </w:rPr>
            </w:pPr>
            <w:r>
              <w:rPr>
                <w:b/>
                <w:sz w:val="21"/>
              </w:rPr>
              <w:t>1.3</w:t>
            </w:r>
          </w:p>
        </w:tc>
        <w:tc>
          <w:tcPr>
            <w:tcW w:w="1553" w:type="dxa"/>
          </w:tcPr>
          <w:p>
            <w:pPr>
              <w:pStyle w:val="TableParagraph"/>
              <w:spacing w:before="99"/>
              <w:ind w:left="142"/>
              <w:rPr>
                <w:b/>
                <w:sz w:val="21"/>
              </w:rPr>
            </w:pPr>
            <w:r>
              <w:rPr>
                <w:b/>
                <w:sz w:val="21"/>
              </w:rPr>
              <w:t>投保年龄</w:t>
            </w:r>
          </w:p>
        </w:tc>
        <w:tc>
          <w:tcPr>
            <w:tcW w:w="7800" w:type="dxa"/>
          </w:tcPr>
          <w:p>
            <w:pPr>
              <w:pStyle w:val="TableParagraph"/>
              <w:spacing w:line="273" w:lineRule="auto" w:before="99"/>
              <w:ind w:left="566" w:right="77"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3 周岁至 50 周岁。</w:t>
            </w:r>
          </w:p>
        </w:tc>
      </w:tr>
      <w:tr>
        <w:trPr>
          <w:trHeight w:val="3346" w:hRule="atLeast"/>
        </w:trPr>
        <w:tc>
          <w:tcPr>
            <w:tcW w:w="620" w:type="dxa"/>
          </w:tcPr>
          <w:p>
            <w:pPr>
              <w:pStyle w:val="TableParagraph"/>
              <w:spacing w:before="99"/>
              <w:ind w:left="103" w:right="158"/>
              <w:jc w:val="center"/>
              <w:rPr>
                <w:b/>
                <w:sz w:val="21"/>
              </w:rPr>
            </w:pPr>
            <w:r>
              <w:rPr>
                <w:b/>
                <w:sz w:val="21"/>
              </w:rPr>
              <w:t>1.4</w:t>
            </w:r>
          </w:p>
        </w:tc>
        <w:tc>
          <w:tcPr>
            <w:tcW w:w="1553" w:type="dxa"/>
          </w:tcPr>
          <w:p>
            <w:pPr>
              <w:pStyle w:val="TableParagraph"/>
              <w:spacing w:before="99"/>
              <w:ind w:left="142"/>
              <w:rPr>
                <w:b/>
                <w:sz w:val="21"/>
              </w:rPr>
            </w:pPr>
            <w:r>
              <w:rPr>
                <w:b/>
                <w:sz w:val="21"/>
              </w:rPr>
              <w:t>犹豫期</w:t>
            </w:r>
          </w:p>
        </w:tc>
        <w:tc>
          <w:tcPr>
            <w:tcW w:w="7800" w:type="dxa"/>
          </w:tcPr>
          <w:p>
            <w:pPr>
              <w:pStyle w:val="TableParagraph"/>
              <w:spacing w:line="273" w:lineRule="auto" w:before="99"/>
              <w:ind w:left="566" w:right="106"/>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566"/>
              <w:rPr>
                <w:sz w:val="21"/>
              </w:rPr>
            </w:pPr>
            <w:r>
              <w:rPr>
                <w:spacing w:val="-2"/>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57"/>
                <w:w w:val="99"/>
                <w:sz w:val="21"/>
              </w:rPr>
              <w:t>件</w:t>
            </w:r>
            <w:r>
              <w:rPr>
                <w:sz w:val="21"/>
              </w:rPr>
              <w:t>（</w:t>
            </w:r>
            <w:r>
              <w:rPr>
                <w:spacing w:val="-27"/>
                <w:sz w:val="21"/>
              </w:rPr>
              <w:t>见 </w:t>
            </w:r>
            <w:r>
              <w:rPr>
                <w:sz w:val="21"/>
              </w:rPr>
              <w:t>9</w:t>
            </w:r>
            <w:r>
              <w:rPr>
                <w:spacing w:val="-1"/>
                <w:sz w:val="21"/>
              </w:rPr>
              <w:t>.</w:t>
            </w:r>
            <w:r>
              <w:rPr>
                <w:sz w:val="21"/>
              </w:rPr>
              <w:t>2</w:t>
            </w:r>
            <w:r>
              <w:rPr>
                <w:spacing w:val="-105"/>
                <w:sz w:val="21"/>
              </w:rPr>
              <w:t>）</w:t>
            </w:r>
            <w:r>
              <w:rPr>
                <w:spacing w:val="-11"/>
                <w:sz w:val="21"/>
              </w:rPr>
              <w:t>。自我们收到您解除合同的书面申请时起，本附加险合同即被解除，合同解除前发生的保险事故我们不承担保险责任。</w:t>
            </w:r>
          </w:p>
          <w:p>
            <w:pPr>
              <w:pStyle w:val="TableParagraph"/>
              <w:spacing w:line="273" w:lineRule="auto" w:before="7"/>
              <w:ind w:left="566" w:right="105"/>
              <w:jc w:val="both"/>
              <w:rPr>
                <w:sz w:val="21"/>
              </w:rPr>
            </w:pPr>
            <w:r>
              <w:rPr>
                <w:spacing w:val="-1"/>
                <w:sz w:val="21"/>
              </w:rPr>
              <w:t>如果您与我们签订的保险合同中同时包含附加提前给付重大疾病保险，且其保</w:t>
            </w:r>
            <w:r>
              <w:rPr>
                <w:spacing w:val="-2"/>
                <w:sz w:val="21"/>
              </w:rPr>
              <w:t>险责任约定在给付重大疾病保险金后不会减少主险合同基本保险金额的，则必</w:t>
            </w:r>
            <w:r>
              <w:rPr>
                <w:spacing w:val="-3"/>
                <w:sz w:val="21"/>
              </w:rPr>
              <w:t>须申请将该附加提前给付重大疾病保险合同和本附加险合同同时解除，我们自始不承担保险责任。</w:t>
            </w:r>
          </w:p>
        </w:tc>
      </w:tr>
      <w:tr>
        <w:trPr>
          <w:trHeight w:val="850" w:hRule="atLeast"/>
        </w:trPr>
        <w:tc>
          <w:tcPr>
            <w:tcW w:w="620" w:type="dxa"/>
          </w:tcPr>
          <w:p>
            <w:pPr>
              <w:pStyle w:val="TableParagraph"/>
              <w:spacing w:before="99"/>
              <w:ind w:left="103" w:right="158"/>
              <w:jc w:val="center"/>
              <w:rPr>
                <w:b/>
                <w:sz w:val="21"/>
              </w:rPr>
            </w:pPr>
            <w:r>
              <w:rPr>
                <w:b/>
                <w:sz w:val="21"/>
              </w:rPr>
              <w:t>1.5</w:t>
            </w:r>
          </w:p>
        </w:tc>
        <w:tc>
          <w:tcPr>
            <w:tcW w:w="1553" w:type="dxa"/>
          </w:tcPr>
          <w:p>
            <w:pPr>
              <w:pStyle w:val="TableParagraph"/>
              <w:spacing w:before="99"/>
              <w:ind w:left="142"/>
              <w:rPr>
                <w:b/>
                <w:sz w:val="21"/>
              </w:rPr>
            </w:pPr>
            <w:r>
              <w:rPr>
                <w:b/>
                <w:sz w:val="21"/>
              </w:rPr>
              <w:t>投保对象</w:t>
            </w:r>
          </w:p>
        </w:tc>
        <w:tc>
          <w:tcPr>
            <w:tcW w:w="7800" w:type="dxa"/>
          </w:tcPr>
          <w:p>
            <w:pPr>
              <w:pStyle w:val="TableParagraph"/>
              <w:spacing w:line="273" w:lineRule="auto" w:before="99"/>
              <w:ind w:left="566" w:right="59"/>
              <w:rPr>
                <w:sz w:val="21"/>
              </w:rPr>
            </w:pPr>
            <w:r>
              <w:rPr>
                <w:sz w:val="21"/>
              </w:rPr>
              <w:t>主险合同的被保险人作为本附加险合同的被保险人。若本附加险合同另有约定的，将在保险单上载明。</w:t>
            </w:r>
          </w:p>
        </w:tc>
      </w:tr>
      <w:tr>
        <w:trPr>
          <w:trHeight w:val="2238" w:hRule="atLeast"/>
        </w:trPr>
        <w:tc>
          <w:tcPr>
            <w:tcW w:w="620" w:type="dxa"/>
          </w:tcPr>
          <w:p>
            <w:pPr>
              <w:pStyle w:val="TableParagraph"/>
              <w:spacing w:before="99"/>
              <w:ind w:left="103" w:right="158"/>
              <w:jc w:val="center"/>
              <w:rPr>
                <w:b/>
                <w:sz w:val="21"/>
              </w:rPr>
            </w:pPr>
            <w:r>
              <w:rPr>
                <w:b/>
                <w:sz w:val="21"/>
              </w:rPr>
              <w:t>1.6</w:t>
            </w:r>
          </w:p>
        </w:tc>
        <w:tc>
          <w:tcPr>
            <w:tcW w:w="1553" w:type="dxa"/>
          </w:tcPr>
          <w:p>
            <w:pPr>
              <w:pStyle w:val="TableParagraph"/>
              <w:spacing w:before="99"/>
              <w:ind w:left="142"/>
              <w:rPr>
                <w:b/>
                <w:sz w:val="21"/>
              </w:rPr>
            </w:pPr>
            <w:r>
              <w:rPr>
                <w:b/>
                <w:sz w:val="21"/>
              </w:rPr>
              <w:t>保险期间</w:t>
            </w:r>
          </w:p>
        </w:tc>
        <w:tc>
          <w:tcPr>
            <w:tcW w:w="7800" w:type="dxa"/>
          </w:tcPr>
          <w:p>
            <w:pPr>
              <w:pStyle w:val="TableParagraph"/>
              <w:spacing w:before="99"/>
              <w:ind w:left="566"/>
              <w:rPr>
                <w:sz w:val="21"/>
              </w:rPr>
            </w:pPr>
            <w:r>
              <w:rPr>
                <w:sz w:val="21"/>
              </w:rPr>
              <w:t>本附加险合同可附加于主险合同或保险期间超过 1 年的附加险合同。</w:t>
            </w:r>
          </w:p>
          <w:p>
            <w:pPr>
              <w:pStyle w:val="TableParagraph"/>
              <w:spacing w:line="273" w:lineRule="auto" w:before="36"/>
              <w:ind w:left="566" w:right="106"/>
              <w:jc w:val="both"/>
              <w:rPr>
                <w:sz w:val="21"/>
              </w:rPr>
            </w:pPr>
            <w:r>
              <w:rPr>
                <w:spacing w:val="-1"/>
                <w:sz w:val="21"/>
              </w:rPr>
              <w:t>如果主险合同或附加险合同交费期间为终身的，本附加险合同的保险期间需要由您与我们约定并在保险单上载明。</w:t>
            </w:r>
          </w:p>
          <w:p>
            <w:pPr>
              <w:pStyle w:val="TableParagraph"/>
              <w:spacing w:line="273" w:lineRule="auto" w:before="7"/>
              <w:ind w:left="566" w:right="105"/>
              <w:jc w:val="both"/>
              <w:rPr>
                <w:sz w:val="21"/>
              </w:rPr>
            </w:pPr>
            <w:r>
              <w:rPr>
                <w:spacing w:val="-1"/>
                <w:sz w:val="21"/>
              </w:rPr>
              <w:t>如果主险合同或附加险合同交费期间不为终身的，本附加险合同的保险期间自</w:t>
            </w:r>
            <w:r>
              <w:rPr>
                <w:spacing w:val="3"/>
                <w:sz w:val="21"/>
              </w:rPr>
              <w:t>本附加险合同生效日起至主险合同或附加险合同最后一期保险费的约定交费日止。</w:t>
            </w:r>
          </w:p>
        </w:tc>
      </w:tr>
      <w:tr>
        <w:trPr>
          <w:trHeight w:val="826" w:hRule="atLeast"/>
        </w:trPr>
        <w:tc>
          <w:tcPr>
            <w:tcW w:w="620" w:type="dxa"/>
            <w:tcBorders>
              <w:bottom w:val="single" w:sz="8" w:space="0" w:color="000000"/>
            </w:tcBorders>
          </w:tcPr>
          <w:p>
            <w:pPr>
              <w:pStyle w:val="TableParagraph"/>
              <w:spacing w:before="265"/>
              <w:ind w:right="16"/>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5"/>
              <w:rPr>
                <w:sz w:val="24"/>
              </w:rPr>
            </w:pPr>
          </w:p>
          <w:p>
            <w:pPr>
              <w:pStyle w:val="TableParagraph"/>
              <w:ind w:left="142"/>
              <w:rPr>
                <w:b/>
                <w:sz w:val="24"/>
              </w:rPr>
            </w:pPr>
            <w:r>
              <w:rPr>
                <w:b/>
                <w:w w:val="95"/>
                <w:sz w:val="24"/>
              </w:rPr>
              <w:t>我们提供的保障</w:t>
            </w:r>
          </w:p>
        </w:tc>
      </w:tr>
    </w:tbl>
    <w:p>
      <w:pPr>
        <w:spacing w:after="0"/>
        <w:rPr>
          <w:sz w:val="24"/>
        </w:rPr>
        <w:sectPr>
          <w:pgSz w:w="11910" w:h="16840"/>
          <w:pgMar w:top="660" w:bottom="280" w:left="780" w:right="920"/>
        </w:sectPr>
      </w:pPr>
    </w:p>
    <w:p>
      <w:pPr>
        <w:pStyle w:val="BodyText"/>
        <w:spacing w:line="20" w:lineRule="exact"/>
        <w:ind w:left="103"/>
        <w:rPr>
          <w:sz w:val="2"/>
        </w:rPr>
      </w:pPr>
      <w:r>
        <w:rPr>
          <w:rFonts w:ascii="Times New Roman"/>
          <w:spacing w:val="6"/>
          <w:sz w:val="2"/>
        </w:rPr>
        <w:t> </w:t>
      </w:r>
      <w:r>
        <w:rPr>
          <w:spacing w:val="6"/>
          <w:sz w:val="2"/>
        </w:rPr>
        <w:pict>
          <v:group style="width:497.95pt;height:1pt;mso-position-horizontal-relative:char;mso-position-vertical-relative:line" coordorigin="0,0" coordsize="9959,20">
            <v:line style="position:absolute" from="0,10" to="640,10" stroked="true" strokeweight=".96pt" strokecolor="#000000">
              <v:stroke dashstyle="solid"/>
            </v:line>
            <v:rect style="position:absolute;left:639;top:0;width:20;height:20" filled="true" fillcolor="#000000" stroked="false">
              <v:fill type="solid"/>
            </v:rect>
            <v:line style="position:absolute" from="659,10" to="2617,10" stroked="true" strokeweight=".96pt" strokecolor="#000000">
              <v:stroke dashstyle="solid"/>
            </v:line>
            <v:rect style="position:absolute;left:2617;top:0;width:20;height:20" filled="true" fillcolor="#000000" stroked="false">
              <v:fill type="solid"/>
            </v:rect>
            <v:line style="position:absolute" from="2636,10" to="9959,10" stroked="true" strokeweight=".96pt" strokecolor="#000000">
              <v:stroke dashstyle="solid"/>
            </v:line>
          </v:group>
        </w:pict>
      </w:r>
      <w:r>
        <w:rPr>
          <w:spacing w:val="6"/>
          <w:sz w:val="2"/>
        </w:rPr>
      </w:r>
    </w:p>
    <w:p>
      <w:pPr>
        <w:pStyle w:val="BodyText"/>
        <w:spacing w:before="8"/>
        <w:rPr>
          <w:sz w:val="11"/>
        </w:rPr>
      </w:pPr>
    </w:p>
    <w:p>
      <w:pPr>
        <w:pStyle w:val="ListParagraph"/>
        <w:numPr>
          <w:ilvl w:val="1"/>
          <w:numId w:val="9"/>
        </w:numPr>
        <w:tabs>
          <w:tab w:pos="860" w:val="left" w:leader="none"/>
          <w:tab w:pos="861" w:val="left" w:leader="none"/>
          <w:tab w:pos="2838" w:val="left" w:leader="none"/>
        </w:tabs>
        <w:spacing w:line="240" w:lineRule="auto" w:before="35" w:after="0"/>
        <w:ind w:left="2838" w:right="0" w:hanging="2617"/>
        <w:jc w:val="left"/>
        <w:rPr>
          <w:sz w:val="21"/>
        </w:rPr>
      </w:pPr>
      <w:r>
        <w:rPr>
          <w:b/>
          <w:sz w:val="21"/>
        </w:rPr>
        <w:t>保险责任</w:t>
        <w:tab/>
      </w:r>
      <w:r>
        <w:rPr>
          <w:sz w:val="21"/>
        </w:rPr>
        <w:t>在本附加险合同有效期内，我们承担如下保险责任：</w:t>
      </w:r>
    </w:p>
    <w:p>
      <w:pPr>
        <w:pStyle w:val="BodyText"/>
        <w:spacing w:before="10"/>
        <w:rPr>
          <w:sz w:val="19"/>
        </w:rPr>
      </w:pPr>
    </w:p>
    <w:p>
      <w:pPr>
        <w:pStyle w:val="BodyText"/>
        <w:tabs>
          <w:tab w:pos="2838" w:val="left" w:leader="none"/>
        </w:tabs>
        <w:spacing w:line="312" w:lineRule="exact"/>
        <w:ind w:left="2838" w:right="220" w:hanging="1978"/>
        <w:jc w:val="both"/>
      </w:pPr>
      <w:r>
        <w:rPr>
          <w:rFonts w:ascii="等线" w:hAnsi="等线" w:eastAsia="等线" w:hint="eastAsia"/>
          <w:b/>
          <w:position w:val="-2"/>
          <w:sz w:val="24"/>
        </w:rPr>
        <w:t>等待期</w:t>
        <w:tab/>
      </w:r>
      <w:r>
        <w:rPr>
          <w:shd w:fill="DADADA" w:color="auto" w:val="clear"/>
        </w:rPr>
        <w:t>从本附加险合同生</w:t>
      </w:r>
      <w:r>
        <w:rPr>
          <w:spacing w:val="-5"/>
          <w:shd w:fill="DADADA" w:color="auto" w:val="clear"/>
        </w:rPr>
        <w:t>效</w:t>
      </w:r>
      <w:r>
        <w:rPr>
          <w:shd w:fill="DADADA" w:color="auto" w:val="clear"/>
        </w:rPr>
        <w:t>（或最后复效</w:t>
      </w:r>
      <w:r>
        <w:rPr>
          <w:spacing w:val="-5"/>
          <w:shd w:fill="DADADA" w:color="auto" w:val="clear"/>
        </w:rPr>
        <w:t>）</w:t>
      </w:r>
      <w:r>
        <w:rPr>
          <w:shd w:fill="DADADA" w:color="auto" w:val="clear"/>
        </w:rPr>
        <w:t>之日起</w:t>
      </w:r>
      <w:r>
        <w:rPr>
          <w:spacing w:val="-55"/>
          <w:shd w:fill="DADADA" w:color="auto" w:val="clear"/>
        </w:rPr>
        <w:t> </w:t>
      </w:r>
      <w:r>
        <w:rPr>
          <w:shd w:fill="DADADA" w:color="auto" w:val="clear"/>
        </w:rPr>
        <w:t>180</w:t>
      </w:r>
      <w:r>
        <w:rPr>
          <w:spacing w:val="-54"/>
          <w:shd w:fill="DADADA" w:color="auto" w:val="clear"/>
        </w:rPr>
        <w:t> </w:t>
      </w:r>
      <w:r>
        <w:rPr>
          <w:shd w:fill="DADADA" w:color="auto" w:val="clear"/>
        </w:rPr>
        <w:t>日内</w:t>
      </w:r>
      <w:r>
        <w:rPr>
          <w:spacing w:val="-5"/>
          <w:shd w:fill="DADADA" w:color="auto" w:val="clear"/>
        </w:rPr>
        <w:t>，</w:t>
      </w:r>
      <w:r>
        <w:rPr>
          <w:shd w:fill="DADADA" w:color="auto" w:val="clear"/>
        </w:rPr>
        <w:t>被保险人因疾病发生下列情形之一的</w:t>
      </w:r>
      <w:r>
        <w:rPr>
          <w:spacing w:val="-119"/>
          <w:shd w:fill="DADADA" w:color="auto" w:val="clear"/>
        </w:rPr>
        <w:t>：</w:t>
      </w:r>
      <w:r>
        <w:rPr>
          <w:shd w:fill="DADADA" w:color="auto" w:val="clear"/>
        </w:rPr>
        <w:t>（一</w:t>
      </w:r>
      <w:r>
        <w:rPr>
          <w:spacing w:val="-15"/>
          <w:shd w:fill="DADADA" w:color="auto" w:val="clear"/>
        </w:rPr>
        <w:t>）</w:t>
      </w:r>
      <w:r>
        <w:rPr>
          <w:shd w:fill="DADADA" w:color="auto" w:val="clear"/>
        </w:rPr>
        <w:t>“</w:t>
      </w:r>
      <w:r>
        <w:rPr>
          <w:rFonts w:ascii="黑体" w:hAnsi="黑体" w:eastAsia="黑体" w:hint="eastAsia"/>
          <w:b/>
          <w:spacing w:val="0"/>
          <w:w w:val="99"/>
          <w:shd w:fill="DADADA" w:color="auto" w:val="clear"/>
        </w:rPr>
        <w:t>重大疾病</w:t>
      </w:r>
      <w:r>
        <w:rPr>
          <w:spacing w:val="-16"/>
          <w:shd w:fill="DADADA" w:color="auto" w:val="clear"/>
        </w:rPr>
        <w:t>”</w:t>
      </w:r>
      <w:r>
        <w:rPr>
          <w:shd w:fill="DADADA" w:color="auto" w:val="clear"/>
        </w:rPr>
        <w:t>（见</w:t>
      </w:r>
      <w:r>
        <w:rPr>
          <w:spacing w:val="-53"/>
          <w:shd w:fill="DADADA" w:color="auto" w:val="clear"/>
        </w:rPr>
        <w:t> </w:t>
      </w:r>
      <w:r>
        <w:rPr>
          <w:shd w:fill="DADADA" w:color="auto" w:val="clear"/>
        </w:rPr>
        <w:t>9.</w:t>
      </w:r>
      <w:r>
        <w:rPr>
          <w:spacing w:val="-1"/>
          <w:shd w:fill="DADADA" w:color="auto" w:val="clear"/>
        </w:rPr>
        <w:t>3</w:t>
      </w:r>
      <w:r>
        <w:rPr>
          <w:spacing w:val="-105"/>
          <w:shd w:fill="DADADA" w:color="auto" w:val="clear"/>
        </w:rPr>
        <w:t>）</w:t>
      </w:r>
      <w:r>
        <w:rPr>
          <w:spacing w:val="-119"/>
          <w:shd w:fill="DADADA" w:color="auto" w:val="clear"/>
        </w:rPr>
        <w:t>，</w:t>
      </w:r>
      <w:r>
        <w:rPr>
          <w:spacing w:val="-2"/>
          <w:shd w:fill="DADADA" w:color="auto" w:val="clear"/>
        </w:rPr>
        <w:t>（</w:t>
      </w:r>
      <w:r>
        <w:rPr>
          <w:shd w:fill="DADADA" w:color="auto" w:val="clear"/>
        </w:rPr>
        <w:t>二</w:t>
      </w:r>
      <w:r>
        <w:rPr>
          <w:spacing w:val="-15"/>
          <w:shd w:fill="DADADA" w:color="auto" w:val="clear"/>
        </w:rPr>
        <w:t>）</w:t>
      </w:r>
      <w:r>
        <w:rPr>
          <w:shd w:fill="DADADA" w:color="auto" w:val="clear"/>
        </w:rPr>
        <w:t>因导致“重大疾病</w:t>
      </w:r>
      <w:r>
        <w:rPr>
          <w:spacing w:val="-1"/>
          <w:shd w:fill="DADADA" w:color="auto" w:val="clear"/>
        </w:rPr>
        <w:t>”</w:t>
      </w:r>
      <w:r>
        <w:rPr>
          <w:shd w:fill="DADADA" w:color="auto" w:val="clear"/>
        </w:rPr>
        <w:t>的相关疾病就诊</w:t>
      </w:r>
      <w:r>
        <w:rPr>
          <w:spacing w:val="-5"/>
          <w:shd w:fill="DADADA" w:color="auto" w:val="clear"/>
        </w:rPr>
        <w:t>，</w:t>
      </w:r>
      <w:r>
        <w:rPr>
          <w:shd w:fill="DADADA" w:color="auto" w:val="clear"/>
        </w:rPr>
        <w:t>我们不承担保险责任</w:t>
      </w:r>
      <w:r>
        <w:rPr>
          <w:spacing w:val="-5"/>
          <w:shd w:fill="DADADA" w:color="auto" w:val="clear"/>
        </w:rPr>
        <w:t>，</w:t>
      </w:r>
      <w:r>
        <w:rPr>
          <w:shd w:fill="DADADA" w:color="auto" w:val="clear"/>
        </w:rPr>
        <w:t>退还本附加险合同的现金价值</w:t>
      </w:r>
      <w:r>
        <w:rPr>
          <w:spacing w:val="-5"/>
          <w:shd w:fill="DADADA" w:color="auto" w:val="clear"/>
        </w:rPr>
        <w:t>，</w:t>
      </w:r>
      <w:r>
        <w:rPr>
          <w:shd w:fill="DADADA" w:color="auto" w:val="clear"/>
        </w:rPr>
        <w:t>本附加险合同终止。这</w:t>
      </w:r>
      <w:r>
        <w:rPr>
          <w:spacing w:val="-43"/>
          <w:shd w:fill="DADADA" w:color="auto" w:val="clear"/>
        </w:rPr>
        <w:t> </w:t>
      </w:r>
      <w:r>
        <w:rPr>
          <w:shd w:fill="DADADA" w:color="auto" w:val="clear"/>
        </w:rPr>
        <w:t>180</w:t>
      </w:r>
      <w:r>
        <w:rPr>
          <w:spacing w:val="-42"/>
          <w:shd w:fill="DADADA" w:color="auto" w:val="clear"/>
        </w:rPr>
        <w:t> </w:t>
      </w:r>
      <w:r>
        <w:rPr>
          <w:shd w:fill="DADADA" w:color="auto" w:val="clear"/>
        </w:rPr>
        <w:t>日的时间称为等待期</w:t>
      </w:r>
      <w:r>
        <w:rPr/>
        <w:t>；被保险人因</w:t>
      </w:r>
      <w:r>
        <w:rPr>
          <w:rFonts w:ascii="黑体" w:hAnsi="黑体" w:eastAsia="黑体" w:hint="eastAsia"/>
          <w:b/>
        </w:rPr>
        <w:t>意外伤害</w:t>
      </w:r>
      <w:r>
        <w:rPr/>
        <w:t>（见</w:t>
      </w:r>
      <w:r>
        <w:rPr>
          <w:spacing w:val="-44"/>
        </w:rPr>
        <w:t> </w:t>
      </w:r>
      <w:r>
        <w:rPr/>
        <w:t>9.9）发生上述两项情形之一的，无等待期。</w:t>
      </w:r>
    </w:p>
    <w:p>
      <w:pPr>
        <w:pStyle w:val="BodyText"/>
        <w:spacing w:before="4"/>
        <w:ind w:left="2838"/>
      </w:pPr>
      <w:r>
        <w:rPr/>
        <w:t>如果在等待期后发生保险事故，我们按照下列方式豁免保险费：</w:t>
      </w:r>
    </w:p>
    <w:p>
      <w:pPr>
        <w:pStyle w:val="BodyText"/>
        <w:spacing w:before="2"/>
        <w:rPr>
          <w:sz w:val="20"/>
        </w:rPr>
      </w:pPr>
    </w:p>
    <w:p>
      <w:pPr>
        <w:tabs>
          <w:tab w:pos="2838" w:val="left" w:leader="none"/>
        </w:tabs>
        <w:spacing w:line="321" w:lineRule="exact" w:before="0"/>
        <w:ind w:left="860" w:right="0" w:firstLine="0"/>
        <w:jc w:val="left"/>
        <w:rPr>
          <w:rFonts w:ascii="黑体" w:hAnsi="黑体" w:eastAsia="黑体" w:hint="eastAsia"/>
          <w:b/>
          <w:sz w:val="21"/>
        </w:rPr>
      </w:pPr>
      <w:r>
        <w:rPr>
          <w:rFonts w:ascii="等线" w:hAnsi="等线" w:eastAsia="等线" w:hint="eastAsia"/>
          <w:b/>
          <w:position w:val="-2"/>
          <w:sz w:val="24"/>
        </w:rPr>
        <w:t>豁</w:t>
      </w:r>
      <w:r>
        <w:rPr>
          <w:rFonts w:ascii="等线" w:hAnsi="等线" w:eastAsia="等线" w:hint="eastAsia"/>
          <w:b/>
          <w:spacing w:val="0"/>
          <w:position w:val="-2"/>
          <w:sz w:val="24"/>
        </w:rPr>
        <w:t>免</w:t>
      </w:r>
      <w:r>
        <w:rPr>
          <w:rFonts w:ascii="等线" w:hAnsi="等线" w:eastAsia="等线" w:hint="eastAsia"/>
          <w:b/>
          <w:position w:val="-2"/>
          <w:sz w:val="24"/>
        </w:rPr>
        <w:t>保险费</w:t>
        <w:tab/>
      </w:r>
      <w:r>
        <w:rPr>
          <w:sz w:val="21"/>
        </w:rPr>
        <w:t>被保险人经</w:t>
      </w:r>
      <w:r>
        <w:rPr>
          <w:rFonts w:ascii="黑体" w:hAnsi="黑体" w:eastAsia="黑体" w:hint="eastAsia"/>
          <w:b/>
          <w:spacing w:val="0"/>
          <w:w w:val="99"/>
          <w:sz w:val="21"/>
        </w:rPr>
        <w:t>医院</w:t>
      </w:r>
      <w:r>
        <w:rPr>
          <w:sz w:val="21"/>
        </w:rPr>
        <w:t>（见</w:t>
      </w:r>
      <w:r>
        <w:rPr>
          <w:spacing w:val="-23"/>
          <w:sz w:val="21"/>
        </w:rPr>
        <w:t> </w:t>
      </w:r>
      <w:r>
        <w:rPr>
          <w:spacing w:val="-1"/>
          <w:sz w:val="21"/>
        </w:rPr>
        <w:t>9.</w:t>
      </w:r>
      <w:r>
        <w:rPr>
          <w:sz w:val="21"/>
        </w:rPr>
        <w:t>10）诊断</w:t>
      </w:r>
      <w:r>
        <w:rPr>
          <w:spacing w:val="-2"/>
          <w:sz w:val="21"/>
        </w:rPr>
        <w:t>初</w:t>
      </w:r>
      <w:r>
        <w:rPr>
          <w:sz w:val="21"/>
        </w:rPr>
        <w:t>次发生“重大疾病</w:t>
      </w:r>
      <w:r>
        <w:rPr>
          <w:spacing w:val="-105"/>
          <w:sz w:val="21"/>
        </w:rPr>
        <w:t>”</w:t>
      </w:r>
      <w:r>
        <w:rPr>
          <w:sz w:val="21"/>
        </w:rPr>
        <w:t>，</w:t>
      </w:r>
      <w:r>
        <w:rPr>
          <w:spacing w:val="-2"/>
          <w:sz w:val="21"/>
        </w:rPr>
        <w:t>自</w:t>
      </w:r>
      <w:r>
        <w:rPr>
          <w:rFonts w:ascii="黑体" w:hAnsi="黑体" w:eastAsia="黑体" w:hint="eastAsia"/>
          <w:b/>
          <w:spacing w:val="0"/>
          <w:w w:val="99"/>
          <w:sz w:val="21"/>
        </w:rPr>
        <w:t>本条款</w:t>
      </w:r>
      <w:r>
        <w:rPr>
          <w:rFonts w:ascii="黑体" w:hAnsi="黑体" w:eastAsia="黑体" w:hint="eastAsia"/>
          <w:b/>
          <w:w w:val="99"/>
          <w:sz w:val="21"/>
        </w:rPr>
        <w:t>约定</w:t>
      </w:r>
      <w:r>
        <w:rPr>
          <w:rFonts w:ascii="黑体" w:hAnsi="黑体" w:eastAsia="黑体" w:hint="eastAsia"/>
          <w:b/>
          <w:spacing w:val="0"/>
          <w:w w:val="99"/>
          <w:sz w:val="21"/>
        </w:rPr>
        <w:t>确诊日</w:t>
      </w:r>
    </w:p>
    <w:p>
      <w:pPr>
        <w:pStyle w:val="BodyText"/>
        <w:spacing w:line="273" w:lineRule="auto"/>
        <w:ind w:left="2838" w:right="1980" w:hanging="1"/>
      </w:pPr>
      <w:r>
        <w:rPr/>
        <w:t>（见 9.11）起，我们免予收取豁免期间内的各期保险费。豁免期间至下列任何一种情形发生之日止：</w:t>
      </w:r>
    </w:p>
    <w:p>
      <w:pPr>
        <w:pStyle w:val="BodyText"/>
        <w:spacing w:before="27"/>
        <w:ind w:left="2838"/>
      </w:pPr>
      <w:r>
        <w:rPr/>
        <w:t>（1）主险合同被保险人身故；</w:t>
      </w:r>
    </w:p>
    <w:p>
      <w:pPr>
        <w:pStyle w:val="BodyText"/>
        <w:spacing w:before="15"/>
        <w:ind w:left="2838"/>
      </w:pPr>
      <w:r>
        <w:rPr/>
        <w:t>（2）本附加险合同保险期满。</w:t>
      </w:r>
    </w:p>
    <w:p>
      <w:pPr>
        <w:pStyle w:val="BodyText"/>
        <w:spacing w:line="273" w:lineRule="auto" w:before="36"/>
        <w:ind w:left="2838" w:right="220"/>
        <w:jc w:val="both"/>
      </w:pPr>
      <w:r>
        <w:rPr>
          <w:spacing w:val="-1"/>
        </w:rPr>
        <w:t>本附加险合同所豁免保险费的金额将在保险单上载明，所豁免保险费的金额不</w:t>
      </w:r>
      <w:r>
        <w:rPr>
          <w:spacing w:val="-7"/>
        </w:rPr>
        <w:t>包含保险期间不超过 </w:t>
      </w:r>
      <w:r>
        <w:rPr/>
        <w:t>1</w:t>
      </w:r>
      <w:r>
        <w:rPr>
          <w:spacing w:val="-9"/>
        </w:rPr>
        <w:t> 年的附加险的保险费，以及万能保险或投资连结保险的追加保险费。</w:t>
      </w:r>
    </w:p>
    <w:p>
      <w:pPr>
        <w:pStyle w:val="BodyText"/>
        <w:spacing w:before="12"/>
        <w:rPr>
          <w:sz w:val="17"/>
        </w:rPr>
      </w:pPr>
    </w:p>
    <w:p>
      <w:pPr>
        <w:pStyle w:val="ListParagraph"/>
        <w:numPr>
          <w:ilvl w:val="1"/>
          <w:numId w:val="9"/>
        </w:numPr>
        <w:tabs>
          <w:tab w:pos="860" w:val="left" w:leader="none"/>
          <w:tab w:pos="861" w:val="left" w:leader="none"/>
          <w:tab w:pos="2838" w:val="left" w:leader="none"/>
        </w:tabs>
        <w:spacing w:line="273" w:lineRule="auto" w:before="0" w:after="0"/>
        <w:ind w:left="2838" w:right="220" w:hanging="2617"/>
        <w:jc w:val="left"/>
        <w:rPr>
          <w:sz w:val="21"/>
        </w:rPr>
      </w:pPr>
      <w:r>
        <w:rPr>
          <w:b/>
          <w:sz w:val="21"/>
        </w:rPr>
        <w:t>责任免除</w:t>
        <w:tab/>
      </w:r>
      <w:r>
        <w:rPr>
          <w:sz w:val="21"/>
          <w:shd w:fill="DADADA" w:color="auto" w:val="clear"/>
        </w:rPr>
        <w:t>因下列情形之一导致被保险人初次发</w:t>
      </w:r>
      <w:r>
        <w:rPr>
          <w:spacing w:val="-5"/>
          <w:sz w:val="21"/>
          <w:shd w:fill="DADADA" w:color="auto" w:val="clear"/>
        </w:rPr>
        <w:t>生</w:t>
      </w:r>
      <w:r>
        <w:rPr>
          <w:sz w:val="21"/>
          <w:shd w:fill="DADADA" w:color="auto" w:val="clear"/>
        </w:rPr>
        <w:t>“重大疾病</w:t>
      </w:r>
      <w:r>
        <w:rPr>
          <w:spacing w:val="-5"/>
          <w:sz w:val="21"/>
          <w:shd w:fill="DADADA" w:color="auto" w:val="clear"/>
        </w:rPr>
        <w:t>”</w:t>
      </w:r>
      <w:r>
        <w:rPr>
          <w:sz w:val="21"/>
          <w:shd w:fill="DADADA" w:color="auto" w:val="clear"/>
        </w:rPr>
        <w:t>的</w:t>
      </w:r>
      <w:r>
        <w:rPr>
          <w:spacing w:val="-5"/>
          <w:sz w:val="21"/>
          <w:shd w:fill="DADADA" w:color="auto" w:val="clear"/>
        </w:rPr>
        <w:t>，</w:t>
      </w:r>
      <w:r>
        <w:rPr>
          <w:sz w:val="21"/>
          <w:shd w:fill="DADADA" w:color="auto" w:val="clear"/>
        </w:rPr>
        <w:t>我们不承担豁免保险</w:t>
      </w:r>
      <w:r>
        <w:rPr>
          <w:spacing w:val="-210"/>
          <w:sz w:val="21"/>
          <w:shd w:fill="DADADA" w:color="auto" w:val="clear"/>
        </w:rPr>
        <w:t>费</w:t>
      </w:r>
      <w:r>
        <w:rPr>
          <w:sz w:val="21"/>
          <w:shd w:fill="DADADA" w:color="auto" w:val="clear"/>
        </w:rPr>
        <w:t>                                                                  的责任：</w:t>
      </w:r>
    </w:p>
    <w:p>
      <w:pPr>
        <w:pStyle w:val="BodyText"/>
        <w:spacing w:before="7"/>
        <w:ind w:left="2838"/>
      </w:pPr>
      <w:r>
        <w:rPr>
          <w:shd w:fill="DADADA" w:color="auto" w:val="clear"/>
        </w:rPr>
        <w:t>（1）投保人对被保险人的故意杀害、故意伤害； </w:t>
      </w:r>
    </w:p>
    <w:p>
      <w:pPr>
        <w:pStyle w:val="BodyText"/>
        <w:spacing w:before="37"/>
        <w:ind w:left="2838"/>
      </w:pPr>
      <w:r>
        <w:rPr>
          <w:shd w:fill="DADADA" w:color="auto" w:val="clear"/>
        </w:rPr>
        <w:t>（2）被保险人故意自伤、故意犯罪或者抗拒依法采取的刑事强制措施；</w:t>
      </w:r>
    </w:p>
    <w:p>
      <w:pPr>
        <w:pStyle w:val="BodyText"/>
        <w:spacing w:before="37"/>
        <w:ind w:left="283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2</w:t>
      </w:r>
      <w:r>
        <w:rPr>
          <w:spacing w:val="-105"/>
          <w:shd w:fill="DADADA" w:color="auto" w:val="clear"/>
        </w:rPr>
        <w:t>）</w:t>
      </w:r>
      <w:r>
        <w:rPr>
          <w:spacing w:val="-2"/>
          <w:shd w:fill="DADADA" w:color="auto" w:val="clear"/>
        </w:rPr>
        <w:t>；</w:t>
      </w:r>
    </w:p>
    <w:p>
      <w:pPr>
        <w:spacing w:line="273" w:lineRule="auto" w:before="37"/>
        <w:ind w:left="3364" w:right="220" w:hanging="526"/>
        <w:jc w:val="left"/>
        <w:rPr>
          <w:sz w:val="21"/>
        </w:rPr>
      </w:pPr>
      <w:r>
        <w:rPr>
          <w:sz w:val="21"/>
          <w:shd w:fill="DADADA" w:color="auto" w:val="clear"/>
        </w:rPr>
        <w:t>（4</w:t>
      </w:r>
      <w:r>
        <w:rPr>
          <w:spacing w:val="-5"/>
          <w:sz w:val="21"/>
          <w:shd w:fill="DADADA" w:color="auto" w:val="clear"/>
        </w:rPr>
        <w:t>）</w:t>
      </w:r>
      <w:r>
        <w:rPr>
          <w:spacing w:val="-1"/>
          <w:sz w:val="21"/>
          <w:shd w:fill="DADADA" w:color="auto" w:val="clear"/>
        </w:rPr>
        <w:t>被保险人</w:t>
      </w:r>
      <w:r>
        <w:rPr>
          <w:rFonts w:ascii="黑体" w:eastAsia="黑体" w:hint="eastAsia"/>
          <w:b/>
          <w:spacing w:val="-1"/>
          <w:w w:val="99"/>
          <w:sz w:val="21"/>
          <w:shd w:fill="DADADA" w:color="auto" w:val="clear"/>
        </w:rPr>
        <w:t>酒后驾驶</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3</w:t>
      </w:r>
      <w:r>
        <w:rPr>
          <w:spacing w:val="-105"/>
          <w:sz w:val="21"/>
          <w:shd w:fill="DADADA" w:color="auto" w:val="clear"/>
        </w:rPr>
        <w:t>）</w:t>
      </w:r>
      <w:r>
        <w:rPr>
          <w:spacing w:val="-7"/>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4</w:t>
      </w:r>
      <w:r>
        <w:rPr>
          <w:spacing w:val="-105"/>
          <w:sz w:val="21"/>
          <w:shd w:fill="DADADA" w:color="auto" w:val="clear"/>
        </w:rPr>
        <w:t>）</w:t>
      </w:r>
      <w:r>
        <w:rPr>
          <w:spacing w:val="-3"/>
          <w:sz w:val="21"/>
          <w:shd w:fill="DADADA" w:color="auto" w:val="clear"/>
        </w:rPr>
        <w:t>，或驾驶</w:t>
      </w:r>
      <w:r>
        <w:rPr>
          <w:rFonts w:ascii="黑体" w:eastAsia="黑体" w:hint="eastAsia"/>
          <w:b/>
          <w:spacing w:val="0"/>
          <w:w w:val="99"/>
          <w:sz w:val="21"/>
          <w:shd w:fill="DADADA" w:color="auto" w:val="clear"/>
        </w:rPr>
        <w:t>无有效</w:t>
      </w:r>
      <w:r>
        <w:rPr>
          <w:rFonts w:ascii="黑体" w:eastAsia="黑体" w:hint="eastAsia"/>
          <w:b/>
          <w:spacing w:val="-68"/>
          <w:w w:val="99"/>
          <w:sz w:val="21"/>
          <w:shd w:fill="DADADA" w:color="auto" w:val="clear"/>
        </w:rPr>
        <w:t>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6</w:t>
      </w:r>
      <w:r>
        <w:rPr>
          <w:spacing w:val="-105"/>
          <w:sz w:val="21"/>
          <w:shd w:fill="DADADA" w:color="auto" w:val="clear"/>
        </w:rPr>
        <w:t>）</w:t>
      </w:r>
      <w:r>
        <w:rPr>
          <w:sz w:val="21"/>
          <w:shd w:fill="DADADA" w:color="auto" w:val="clear"/>
        </w:rPr>
        <w:t>；</w:t>
      </w:r>
      <w:r>
        <w:rPr>
          <w:spacing w:val="-2"/>
          <w:sz w:val="21"/>
          <w:shd w:fill="DADADA" w:color="auto" w:val="clear"/>
        </w:rPr>
        <w:t> </w:t>
      </w:r>
    </w:p>
    <w:p>
      <w:pPr>
        <w:spacing w:before="8"/>
        <w:ind w:left="283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7</w:t>
      </w:r>
      <w:r>
        <w:rPr>
          <w:spacing w:val="-105"/>
          <w:sz w:val="21"/>
          <w:shd w:fill="DADADA" w:color="auto" w:val="clear"/>
        </w:rPr>
        <w:t>）</w:t>
      </w:r>
      <w:r>
        <w:rPr>
          <w:spacing w:val="-2"/>
          <w:sz w:val="21"/>
          <w:shd w:fill="DADADA" w:color="auto" w:val="clear"/>
        </w:rPr>
        <w:t>；</w:t>
      </w:r>
    </w:p>
    <w:p>
      <w:pPr>
        <w:pStyle w:val="BodyText"/>
        <w:spacing w:before="37"/>
        <w:ind w:left="2838"/>
      </w:pPr>
      <w:r>
        <w:rPr>
          <w:shd w:fill="DADADA" w:color="auto" w:val="clear"/>
        </w:rPr>
        <w:t>（6）战争、军事冲突、暴乱或武装叛乱；</w:t>
      </w:r>
    </w:p>
    <w:p>
      <w:pPr>
        <w:pStyle w:val="BodyText"/>
        <w:spacing w:before="37"/>
        <w:ind w:left="2838"/>
      </w:pPr>
      <w:r>
        <w:rPr>
          <w:shd w:fill="DADADA" w:color="auto" w:val="clear"/>
        </w:rPr>
        <w:t>（7）核爆炸、核辐射或核污染；</w:t>
      </w:r>
    </w:p>
    <w:p>
      <w:pPr>
        <w:pStyle w:val="BodyText"/>
        <w:spacing w:line="273" w:lineRule="auto" w:before="37"/>
        <w:ind w:left="2838" w:right="220"/>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8</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9</w:t>
      </w:r>
      <w:r>
        <w:rPr>
          <w:spacing w:val="-106"/>
          <w:shd w:fill="DADADA" w:color="auto" w:val="clear"/>
        </w:rPr>
        <w:t>）</w:t>
      </w:r>
      <w:r>
        <w:rPr>
          <w:shd w:fill="DADADA" w:color="auto" w:val="clear"/>
        </w:rPr>
        <w:t>。</w:t>
      </w:r>
      <w:r>
        <w:rPr>
          <w:spacing w:val="-3"/>
          <w:shd w:fill="DADADA" w:color="auto" w:val="clear"/>
        </w:rPr>
        <w:t>发生上述第１项情形导致被保险人初次发生“重大疾病”的，本附加险合同终止，我们向被保险人退还本附加险合同的现金价值。</w:t>
      </w:r>
    </w:p>
    <w:p>
      <w:pPr>
        <w:pStyle w:val="BodyText"/>
        <w:spacing w:line="273" w:lineRule="auto" w:before="7"/>
        <w:ind w:left="2838" w:right="114"/>
      </w:pPr>
      <w:r>
        <w:rPr>
          <w:spacing w:val="-7"/>
          <w:shd w:fill="DADADA" w:color="auto" w:val="clear"/>
        </w:rPr>
        <w:t>发生上述其他情形导致被保险人初次发生“重大疾病”的，本附加险合同终止，</w:t>
      </w:r>
      <w:r>
        <w:rPr>
          <w:spacing w:val="-210"/>
          <w:shd w:fill="DADADA" w:color="auto" w:val="clear"/>
        </w:rPr>
        <w:t>我</w:t>
      </w:r>
      <w:r>
        <w:rPr>
          <w:shd w:fill="DADADA" w:color="auto" w:val="clear"/>
        </w:rPr>
        <w:t>们向您退还本附加险合同的现金价值。</w:t>
      </w:r>
    </w:p>
    <w:p>
      <w:pPr>
        <w:pStyle w:val="BodyText"/>
        <w:rPr>
          <w:sz w:val="20"/>
        </w:rPr>
      </w:pPr>
    </w:p>
    <w:p>
      <w:pPr>
        <w:pStyle w:val="BodyText"/>
        <w:spacing w:before="1"/>
      </w:pPr>
    </w:p>
    <w:p>
      <w:pPr>
        <w:tabs>
          <w:tab w:pos="860" w:val="left" w:leader="none"/>
        </w:tabs>
        <w:spacing w:before="0"/>
        <w:ind w:left="221" w:right="0" w:firstLine="0"/>
        <w:jc w:val="left"/>
        <w:rPr>
          <w:b/>
          <w:sz w:val="24"/>
        </w:rPr>
      </w:pPr>
      <w:r>
        <w:rPr/>
        <w:pict>
          <v:group style="position:absolute;margin-left:45.66pt;margin-top:28.099766pt;width:497.95pt;height:1pt;mso-position-horizontal-relative:page;mso-position-vertical-relative:paragraph;z-index:1096;mso-wrap-distance-left:0;mso-wrap-distance-right:0" coordorigin="913,562" coordsize="9959,20">
            <v:line style="position:absolute" from="913,572" to="1553,572" stroked="true" strokeweight=".96pt" strokecolor="#000000">
              <v:stroke dashstyle="solid"/>
            </v:line>
            <v:rect style="position:absolute;left:1552;top:561;width:20;height:20" filled="true" fillcolor="#000000" stroked="false">
              <v:fill type="solid"/>
            </v:rect>
            <v:line style="position:absolute" from="1572,572" to="3540,572" stroked="true" strokeweight=".96pt" strokecolor="#000000">
              <v:stroke dashstyle="solid"/>
            </v:line>
            <v:rect style="position:absolute;left:3540;top:561;width:20;height:20" filled="true" fillcolor="#000000" stroked="false">
              <v:fill type="solid"/>
            </v:rect>
            <v:line style="position:absolute" from="3559,572" to="10872,572" stroked="true" strokeweight=".96pt" strokecolor="#000000">
              <v:stroke dashstyle="solid"/>
            </v:line>
            <w10:wrap type="topAndBottom"/>
          </v:group>
        </w:pict>
      </w:r>
      <w:r>
        <w:rPr>
          <w:rFonts w:ascii="Arial" w:hAnsi="Arial" w:eastAsia="Arial"/>
          <w:b/>
          <w:position w:val="-3"/>
          <w:sz w:val="40"/>
        </w:rPr>
        <w:t></w:t>
        <w:tab/>
      </w:r>
      <w:r>
        <w:rPr>
          <w:b/>
          <w:w w:val="95"/>
          <w:sz w:val="24"/>
        </w:rPr>
        <w:t>如何申请豁免保险费</w:t>
      </w:r>
    </w:p>
    <w:p>
      <w:pPr>
        <w:pStyle w:val="BodyText"/>
        <w:spacing w:before="10"/>
        <w:rPr>
          <w:b/>
          <w:sz w:val="9"/>
        </w:rPr>
      </w:pPr>
    </w:p>
    <w:p>
      <w:pPr>
        <w:tabs>
          <w:tab w:pos="860" w:val="left" w:leader="none"/>
          <w:tab w:pos="2847" w:val="left" w:leader="none"/>
        </w:tabs>
        <w:spacing w:before="35"/>
        <w:ind w:left="221" w:right="0" w:firstLine="0"/>
        <w:jc w:val="left"/>
        <w:rPr>
          <w:sz w:val="21"/>
        </w:rPr>
      </w:pPr>
      <w:r>
        <w:rPr>
          <w:b/>
          <w:sz w:val="21"/>
        </w:rPr>
        <w:t>3.1</w:t>
        <w:tab/>
        <w:t>豁免保险费申请</w:t>
        <w:tab/>
      </w:r>
      <w:r>
        <w:rPr>
          <w:sz w:val="21"/>
        </w:rPr>
        <w:t>在申请豁免保险费时，请按照下列方式办理:</w:t>
      </w:r>
    </w:p>
    <w:p>
      <w:pPr>
        <w:pStyle w:val="BodyText"/>
        <w:spacing w:before="4"/>
        <w:rPr>
          <w:sz w:val="17"/>
        </w:rPr>
      </w:pPr>
    </w:p>
    <w:p>
      <w:pPr>
        <w:pStyle w:val="BodyText"/>
        <w:tabs>
          <w:tab w:pos="2847" w:val="left" w:leader="none"/>
        </w:tabs>
        <w:spacing w:line="254" w:lineRule="auto"/>
        <w:ind w:left="2847" w:right="220" w:hanging="1988"/>
      </w:pPr>
      <w:r>
        <w:rPr>
          <w:rFonts w:ascii="等线" w:eastAsia="等线" w:hint="eastAsia"/>
          <w:b/>
          <w:position w:val="1"/>
          <w:sz w:val="24"/>
        </w:rPr>
        <w:t>豁免保险费申请</w:t>
        <w:tab/>
      </w:r>
      <w:r>
        <w:rPr/>
        <w:t>由您</w:t>
      </w:r>
      <w:r>
        <w:rPr>
          <w:spacing w:val="-12"/>
        </w:rPr>
        <w:t>、</w:t>
      </w:r>
      <w:r>
        <w:rPr/>
        <w:t>被保险人或主险合同受益人填写豁免保险费申请书</w:t>
      </w:r>
      <w:r>
        <w:rPr>
          <w:spacing w:val="-13"/>
        </w:rPr>
        <w:t>，</w:t>
      </w:r>
      <w:r>
        <w:rPr/>
        <w:t>并提供下列证明和资料：</w:t>
      </w:r>
    </w:p>
    <w:p>
      <w:pPr>
        <w:pStyle w:val="BodyText"/>
        <w:spacing w:before="24"/>
        <w:ind w:left="2847"/>
      </w:pPr>
      <w:r>
        <w:rPr/>
        <w:t>（1）保险合同；</w:t>
      </w:r>
    </w:p>
    <w:p>
      <w:pPr>
        <w:pStyle w:val="BodyText"/>
        <w:spacing w:before="37"/>
        <w:ind w:left="2847"/>
      </w:pPr>
      <w:r>
        <w:rPr/>
        <w:t>（2）申请人的有效身份证件；</w:t>
      </w:r>
    </w:p>
    <w:p>
      <w:pPr>
        <w:pStyle w:val="BodyText"/>
        <w:spacing w:line="273" w:lineRule="auto" w:before="37"/>
        <w:ind w:left="3388" w:right="285" w:hanging="524"/>
      </w:pPr>
      <w:r>
        <w:rPr/>
        <w:t>（3）医院出具的附有病理显微镜检查、血液检验及其他科学方法检验报告的疾病诊断证明书；</w:t>
      </w:r>
    </w:p>
    <w:p>
      <w:pPr>
        <w:pStyle w:val="BodyText"/>
        <w:spacing w:before="8"/>
        <w:ind w:left="2848"/>
      </w:pPr>
      <w:r>
        <w:rPr/>
        <w:t>（4）所能提供的与确认保险事故的性质、原因等有关的其他证明和资料。</w:t>
      </w:r>
    </w:p>
    <w:p>
      <w:pPr>
        <w:spacing w:after="0"/>
        <w:sectPr>
          <w:pgSz w:w="11910" w:h="16840"/>
          <w:pgMar w:top="112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62"/>
        <w:gridCol w:w="7590"/>
      </w:tblGrid>
      <w:tr>
        <w:trPr>
          <w:trHeight w:val="686" w:hRule="atLeast"/>
        </w:trPr>
        <w:tc>
          <w:tcPr>
            <w:tcW w:w="606" w:type="dxa"/>
          </w:tcPr>
          <w:p>
            <w:pPr>
              <w:pStyle w:val="TableParagraph"/>
              <w:rPr>
                <w:rFonts w:ascii="Times New Roman"/>
                <w:sz w:val="20"/>
              </w:rPr>
            </w:pPr>
          </w:p>
        </w:tc>
        <w:tc>
          <w:tcPr>
            <w:tcW w:w="1762" w:type="dxa"/>
          </w:tcPr>
          <w:p>
            <w:pPr>
              <w:pStyle w:val="TableParagraph"/>
              <w:rPr>
                <w:rFonts w:ascii="Times New Roman"/>
                <w:sz w:val="20"/>
              </w:rPr>
            </w:pPr>
          </w:p>
        </w:tc>
        <w:tc>
          <w:tcPr>
            <w:tcW w:w="7590" w:type="dxa"/>
          </w:tcPr>
          <w:p>
            <w:pPr>
              <w:pStyle w:val="TableParagraph"/>
              <w:spacing w:line="210" w:lineRule="exact"/>
              <w:ind w:left="366"/>
              <w:rPr>
                <w:sz w:val="21"/>
              </w:rPr>
            </w:pPr>
            <w:r>
              <w:rPr>
                <w:sz w:val="21"/>
              </w:rPr>
              <w:t>以上证明和资料不完整的，我们将一次性通知申请人补充提供有关证明和资</w:t>
            </w:r>
          </w:p>
          <w:p>
            <w:pPr>
              <w:pStyle w:val="TableParagraph"/>
              <w:spacing w:before="37"/>
              <w:ind w:left="366"/>
              <w:rPr>
                <w:sz w:val="21"/>
              </w:rPr>
            </w:pPr>
            <w:r>
              <w:rPr>
                <w:sz w:val="21"/>
              </w:rPr>
              <w:t>料。</w:t>
            </w:r>
          </w:p>
        </w:tc>
      </w:tr>
      <w:tr>
        <w:trPr>
          <w:trHeight w:val="3034" w:hRule="atLeast"/>
        </w:trPr>
        <w:tc>
          <w:tcPr>
            <w:tcW w:w="606" w:type="dxa"/>
          </w:tcPr>
          <w:p>
            <w:pPr>
              <w:pStyle w:val="TableParagraph"/>
              <w:spacing w:before="99"/>
              <w:ind w:left="89" w:right="159"/>
              <w:jc w:val="center"/>
              <w:rPr>
                <w:b/>
                <w:sz w:val="21"/>
              </w:rPr>
            </w:pPr>
            <w:r>
              <w:rPr>
                <w:b/>
                <w:sz w:val="21"/>
              </w:rPr>
              <w:t>3.2</w:t>
            </w:r>
          </w:p>
        </w:tc>
        <w:tc>
          <w:tcPr>
            <w:tcW w:w="1762" w:type="dxa"/>
          </w:tcPr>
          <w:p>
            <w:pPr>
              <w:pStyle w:val="TableParagraph"/>
              <w:spacing w:before="99"/>
              <w:ind w:left="141"/>
              <w:rPr>
                <w:b/>
                <w:sz w:val="21"/>
              </w:rPr>
            </w:pPr>
            <w:r>
              <w:rPr>
                <w:b/>
                <w:w w:val="95"/>
                <w:sz w:val="21"/>
              </w:rPr>
              <w:t>保险费的豁免</w:t>
            </w:r>
          </w:p>
        </w:tc>
        <w:tc>
          <w:tcPr>
            <w:tcW w:w="7590" w:type="dxa"/>
          </w:tcPr>
          <w:p>
            <w:pPr>
              <w:pStyle w:val="TableParagraph"/>
              <w:spacing w:before="99"/>
              <w:ind w:left="366"/>
              <w:rPr>
                <w:sz w:val="21"/>
              </w:rPr>
            </w:pPr>
            <w:r>
              <w:rPr>
                <w:spacing w:val="-8"/>
                <w:sz w:val="21"/>
              </w:rPr>
              <w:t>我们在收到豁免保险费申请书及上述有关证明和资料后，将在 </w:t>
            </w:r>
            <w:r>
              <w:rPr>
                <w:sz w:val="21"/>
              </w:rPr>
              <w:t>5</w:t>
            </w:r>
            <w:r>
              <w:rPr>
                <w:spacing w:val="-10"/>
                <w:sz w:val="21"/>
              </w:rPr>
              <w:t> 日内作出核定；</w:t>
            </w:r>
          </w:p>
          <w:p>
            <w:pPr>
              <w:pStyle w:val="TableParagraph"/>
              <w:spacing w:before="36"/>
              <w:ind w:left="366"/>
              <w:rPr>
                <w:sz w:val="21"/>
              </w:rPr>
            </w:pPr>
            <w:r>
              <w:rPr>
                <w:sz w:val="21"/>
              </w:rPr>
              <w:t>情形复杂的，在 30 日内作出核定。</w:t>
            </w:r>
          </w:p>
          <w:p>
            <w:pPr>
              <w:pStyle w:val="TableParagraph"/>
              <w:spacing w:before="36"/>
              <w:ind w:left="366"/>
              <w:rPr>
                <w:sz w:val="21"/>
              </w:rPr>
            </w:pPr>
            <w:r>
              <w:rPr>
                <w:sz w:val="21"/>
              </w:rPr>
              <w:t>对属于保险责任的，我们在与申请人达成有关豁免保险费的协议后 10 日内，</w:t>
            </w:r>
          </w:p>
          <w:p>
            <w:pPr>
              <w:pStyle w:val="TableParagraph"/>
              <w:spacing w:before="36"/>
              <w:ind w:left="366"/>
              <w:rPr>
                <w:sz w:val="21"/>
              </w:rPr>
            </w:pPr>
            <w:r>
              <w:rPr>
                <w:spacing w:val="-5"/>
                <w:sz w:val="21"/>
              </w:rPr>
              <w:t>履行豁免保险费义务；若我们在收齐相关证明和资料后第 </w:t>
            </w:r>
            <w:r>
              <w:rPr>
                <w:sz w:val="21"/>
              </w:rPr>
              <w:t>30</w:t>
            </w:r>
            <w:r>
              <w:rPr>
                <w:spacing w:val="-8"/>
                <w:sz w:val="21"/>
              </w:rPr>
              <w:t> 日仍未作出核定，</w:t>
            </w:r>
          </w:p>
          <w:p>
            <w:pPr>
              <w:pStyle w:val="TableParagraph"/>
              <w:spacing w:line="273" w:lineRule="auto" w:before="36"/>
              <w:ind w:left="366" w:right="105"/>
              <w:rPr>
                <w:sz w:val="21"/>
              </w:rPr>
            </w:pPr>
            <w:r>
              <w:rPr>
                <w:spacing w:val="-4"/>
                <w:sz w:val="21"/>
              </w:rPr>
              <w:t>除豁免保险费外，我们将从第 </w:t>
            </w:r>
            <w:r>
              <w:rPr>
                <w:sz w:val="21"/>
              </w:rPr>
              <w:t>31</w:t>
            </w:r>
            <w:r>
              <w:rPr>
                <w:spacing w:val="-8"/>
                <w:sz w:val="21"/>
              </w:rPr>
              <w:t> 日起按超过天数赔偿申请人因此受到的利息</w:t>
            </w:r>
            <w:r>
              <w:rPr>
                <w:spacing w:val="-7"/>
                <w:sz w:val="21"/>
              </w:rPr>
              <w:t>损失。利息按照我们公示的利率按单利计算，且保证该利率不低于中国人民银行公布的同期金融机构人民币活期存款基准利率。</w:t>
            </w:r>
          </w:p>
          <w:p>
            <w:pPr>
              <w:pStyle w:val="TableParagraph"/>
              <w:spacing w:line="273" w:lineRule="auto" w:before="7"/>
              <w:ind w:left="366" w:right="105"/>
              <w:rPr>
                <w:sz w:val="21"/>
              </w:rPr>
            </w:pPr>
            <w:r>
              <w:rPr>
                <w:spacing w:val="-6"/>
                <w:sz w:val="21"/>
              </w:rPr>
              <w:t>对不属于保险责任的，我们自作出核定之日起 </w:t>
            </w:r>
            <w:r>
              <w:rPr>
                <w:sz w:val="21"/>
              </w:rPr>
              <w:t>3</w:t>
            </w:r>
            <w:r>
              <w:rPr>
                <w:spacing w:val="-8"/>
                <w:sz w:val="21"/>
              </w:rPr>
              <w:t> 日内向申请人发出拒绝豁免保险费通知书并说明理由。</w:t>
            </w:r>
          </w:p>
        </w:tc>
      </w:tr>
      <w:tr>
        <w:trPr>
          <w:trHeight w:val="990" w:hRule="atLeast"/>
        </w:trPr>
        <w:tc>
          <w:tcPr>
            <w:tcW w:w="606" w:type="dxa"/>
          </w:tcPr>
          <w:p>
            <w:pPr>
              <w:pStyle w:val="TableParagraph"/>
              <w:spacing w:before="99"/>
              <w:ind w:left="89" w:right="159"/>
              <w:jc w:val="center"/>
              <w:rPr>
                <w:b/>
                <w:sz w:val="21"/>
              </w:rPr>
            </w:pPr>
            <w:r>
              <w:rPr>
                <w:b/>
                <w:sz w:val="21"/>
              </w:rPr>
              <w:t>3.3</w:t>
            </w:r>
          </w:p>
        </w:tc>
        <w:tc>
          <w:tcPr>
            <w:tcW w:w="1762" w:type="dxa"/>
          </w:tcPr>
          <w:p>
            <w:pPr>
              <w:pStyle w:val="TableParagraph"/>
              <w:spacing w:before="99"/>
              <w:ind w:left="141"/>
              <w:rPr>
                <w:b/>
                <w:sz w:val="21"/>
              </w:rPr>
            </w:pPr>
            <w:r>
              <w:rPr>
                <w:b/>
                <w:sz w:val="21"/>
              </w:rPr>
              <w:t>诉讼时效</w:t>
            </w:r>
          </w:p>
        </w:tc>
        <w:tc>
          <w:tcPr>
            <w:tcW w:w="7590" w:type="dxa"/>
          </w:tcPr>
          <w:p>
            <w:pPr>
              <w:pStyle w:val="TableParagraph"/>
              <w:spacing w:line="273" w:lineRule="auto" w:before="99"/>
              <w:ind w:left="366" w:right="105"/>
              <w:rPr>
                <w:sz w:val="21"/>
              </w:rPr>
            </w:pPr>
            <w:r>
              <w:rPr>
                <w:spacing w:val="-3"/>
                <w:sz w:val="21"/>
              </w:rPr>
              <w:t>申请人向我们请求豁免保险费的诉讼时效期间为 </w:t>
            </w:r>
            <w:r>
              <w:rPr>
                <w:sz w:val="21"/>
              </w:rPr>
              <w:t>2</w:t>
            </w:r>
            <w:r>
              <w:rPr>
                <w:spacing w:val="-10"/>
                <w:sz w:val="21"/>
              </w:rPr>
              <w:t> 年，自其知道或者应当知道保险事故发生之日起计算。</w:t>
            </w:r>
          </w:p>
        </w:tc>
      </w:tr>
      <w:tr>
        <w:trPr>
          <w:trHeight w:val="826"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9352" w:type="dxa"/>
            <w:gridSpan w:val="2"/>
            <w:tcBorders>
              <w:bottom w:val="single" w:sz="8" w:space="0" w:color="000000"/>
            </w:tcBorders>
          </w:tcPr>
          <w:p>
            <w:pPr>
              <w:pStyle w:val="TableParagraph"/>
              <w:spacing w:before="5"/>
              <w:rPr>
                <w:sz w:val="24"/>
              </w:rPr>
            </w:pPr>
          </w:p>
          <w:p>
            <w:pPr>
              <w:pStyle w:val="TableParagraph"/>
              <w:ind w:left="141"/>
              <w:rPr>
                <w:b/>
                <w:sz w:val="24"/>
              </w:rPr>
            </w:pPr>
            <w:r>
              <w:rPr>
                <w:b/>
                <w:w w:val="95"/>
                <w:sz w:val="24"/>
              </w:rPr>
              <w:t>如何支付保险费</w:t>
            </w:r>
          </w:p>
        </w:tc>
      </w:tr>
      <w:tr>
        <w:trPr>
          <w:trHeight w:val="1567"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4.1</w:t>
            </w:r>
          </w:p>
        </w:tc>
        <w:tc>
          <w:tcPr>
            <w:tcW w:w="1762" w:type="dxa"/>
            <w:tcBorders>
              <w:top w:val="single" w:sz="8" w:space="0" w:color="000000"/>
            </w:tcBorders>
          </w:tcPr>
          <w:p>
            <w:pPr>
              <w:pStyle w:val="TableParagraph"/>
              <w:spacing w:before="9"/>
              <w:rPr>
                <w:sz w:val="14"/>
              </w:rPr>
            </w:pPr>
          </w:p>
          <w:p>
            <w:pPr>
              <w:pStyle w:val="TableParagraph"/>
              <w:ind w:left="141"/>
              <w:rPr>
                <w:b/>
                <w:sz w:val="21"/>
              </w:rPr>
            </w:pPr>
            <w:r>
              <w:rPr>
                <w:b/>
                <w:w w:val="95"/>
                <w:sz w:val="21"/>
              </w:rPr>
              <w:t>保险费的支付</w:t>
            </w:r>
          </w:p>
        </w:tc>
        <w:tc>
          <w:tcPr>
            <w:tcW w:w="7590" w:type="dxa"/>
            <w:tcBorders>
              <w:top w:val="single" w:sz="8" w:space="0" w:color="000000"/>
            </w:tcBorders>
          </w:tcPr>
          <w:p>
            <w:pPr>
              <w:pStyle w:val="TableParagraph"/>
              <w:spacing w:before="9"/>
              <w:rPr>
                <w:sz w:val="14"/>
              </w:rPr>
            </w:pPr>
          </w:p>
          <w:p>
            <w:pPr>
              <w:pStyle w:val="TableParagraph"/>
              <w:spacing w:line="273" w:lineRule="auto"/>
              <w:ind w:left="366" w:right="285"/>
              <w:rPr>
                <w:sz w:val="21"/>
              </w:rPr>
            </w:pPr>
            <w:r>
              <w:rPr>
                <w:sz w:val="21"/>
              </w:rPr>
              <w:t>本附加险合同的交费方式和交费期间由您和我们约定并在保险单上载明。 </w:t>
            </w:r>
            <w:r>
              <w:rPr>
                <w:w w:val="95"/>
                <w:sz w:val="21"/>
              </w:rPr>
              <w:t>分期支付保险费的，在支付首期保险费后，您应当在</w:t>
            </w:r>
            <w:r>
              <w:rPr>
                <w:rFonts w:ascii="黑体" w:eastAsia="黑体" w:hint="eastAsia"/>
                <w:b/>
                <w:w w:val="95"/>
                <w:sz w:val="21"/>
              </w:rPr>
              <w:t>保险费约定支付日</w:t>
            </w:r>
            <w:r>
              <w:rPr>
                <w:w w:val="95"/>
                <w:sz w:val="21"/>
              </w:rPr>
              <w:t>（见</w:t>
            </w:r>
          </w:p>
          <w:p>
            <w:pPr>
              <w:pStyle w:val="TableParagraph"/>
              <w:spacing w:before="7"/>
              <w:ind w:left="366"/>
              <w:rPr>
                <w:sz w:val="21"/>
              </w:rPr>
            </w:pPr>
            <w:r>
              <w:rPr>
                <w:sz w:val="21"/>
              </w:rPr>
              <w:t>9.20）支付其余各期的保险费。</w:t>
            </w:r>
          </w:p>
          <w:p>
            <w:pPr>
              <w:pStyle w:val="TableParagraph"/>
              <w:spacing w:before="36"/>
              <w:ind w:left="366"/>
              <w:rPr>
                <w:sz w:val="21"/>
              </w:rPr>
            </w:pPr>
            <w:r>
              <w:rPr>
                <w:sz w:val="21"/>
              </w:rPr>
              <w:t>本附加险合同的保险费必须随主险合同保险费一同支付，不能单独支付。</w:t>
            </w:r>
          </w:p>
        </w:tc>
      </w:tr>
      <w:tr>
        <w:trPr>
          <w:trHeight w:val="2098" w:hRule="atLeast"/>
        </w:trPr>
        <w:tc>
          <w:tcPr>
            <w:tcW w:w="606" w:type="dxa"/>
          </w:tcPr>
          <w:p>
            <w:pPr>
              <w:pStyle w:val="TableParagraph"/>
              <w:spacing w:before="99"/>
              <w:ind w:left="89" w:right="159"/>
              <w:jc w:val="center"/>
              <w:rPr>
                <w:b/>
                <w:sz w:val="21"/>
              </w:rPr>
            </w:pPr>
            <w:r>
              <w:rPr>
                <w:b/>
                <w:sz w:val="21"/>
              </w:rPr>
              <w:t>4.2</w:t>
            </w:r>
          </w:p>
        </w:tc>
        <w:tc>
          <w:tcPr>
            <w:tcW w:w="1762" w:type="dxa"/>
          </w:tcPr>
          <w:p>
            <w:pPr>
              <w:pStyle w:val="TableParagraph"/>
              <w:spacing w:before="99"/>
              <w:ind w:left="141"/>
              <w:rPr>
                <w:b/>
                <w:sz w:val="21"/>
              </w:rPr>
            </w:pPr>
            <w:r>
              <w:rPr>
                <w:b/>
                <w:sz w:val="21"/>
              </w:rPr>
              <w:t>宽限期</w:t>
            </w:r>
          </w:p>
        </w:tc>
        <w:tc>
          <w:tcPr>
            <w:tcW w:w="7590" w:type="dxa"/>
          </w:tcPr>
          <w:p>
            <w:pPr>
              <w:pStyle w:val="TableParagraph"/>
              <w:spacing w:line="273" w:lineRule="auto" w:before="99"/>
              <w:ind w:left="366" w:right="105"/>
              <w:rPr>
                <w:sz w:val="21"/>
              </w:rPr>
            </w:pPr>
            <w:r>
              <w:rPr>
                <w:spacing w:val="-3"/>
                <w:sz w:val="21"/>
              </w:rPr>
              <w:t>分期支付保险费的，在支付首期保险费后，除本附加险合同另有约定外，如果</w:t>
            </w:r>
            <w:r>
              <w:rPr>
                <w:spacing w:val="-5"/>
                <w:sz w:val="21"/>
              </w:rPr>
              <w:t>您到期未支付保险费，自保险费约定支付日的次日零时起 </w:t>
            </w:r>
            <w:r>
              <w:rPr>
                <w:sz w:val="21"/>
              </w:rPr>
              <w:t>60</w:t>
            </w:r>
            <w:r>
              <w:rPr>
                <w:spacing w:val="-8"/>
                <w:sz w:val="21"/>
              </w:rPr>
              <w:t> 日为宽限期。宽</w:t>
            </w:r>
            <w:r>
              <w:rPr>
                <w:spacing w:val="-10"/>
                <w:sz w:val="21"/>
              </w:rPr>
              <w:t>限期内发生的保险事故，我们仍会承担保险责任，但在给付保险金时会扣减您欠交的保险费。</w:t>
            </w:r>
          </w:p>
          <w:p>
            <w:pPr>
              <w:pStyle w:val="TableParagraph"/>
              <w:spacing w:line="273" w:lineRule="auto" w:before="7"/>
              <w:ind w:left="366" w:right="54"/>
              <w:rPr>
                <w:sz w:val="21"/>
              </w:rPr>
            </w:pPr>
            <w:r>
              <w:rPr>
                <w:sz w:val="21"/>
              </w:rPr>
              <w:t>如果您宽限期结束之后仍未支付保险费，则本附加险合同自宽限期满的次日零时起效力中止。</w:t>
            </w:r>
          </w:p>
        </w:tc>
      </w:tr>
      <w:tr>
        <w:trPr>
          <w:trHeight w:val="2237" w:hRule="atLeast"/>
        </w:trPr>
        <w:tc>
          <w:tcPr>
            <w:tcW w:w="606" w:type="dxa"/>
          </w:tcPr>
          <w:p>
            <w:pPr>
              <w:pStyle w:val="TableParagraph"/>
              <w:spacing w:before="99"/>
              <w:ind w:left="89" w:right="159"/>
              <w:jc w:val="center"/>
              <w:rPr>
                <w:b/>
                <w:sz w:val="21"/>
              </w:rPr>
            </w:pPr>
            <w:r>
              <w:rPr>
                <w:b/>
                <w:sz w:val="21"/>
              </w:rPr>
              <w:t>4.3</w:t>
            </w:r>
          </w:p>
        </w:tc>
        <w:tc>
          <w:tcPr>
            <w:tcW w:w="1762" w:type="dxa"/>
          </w:tcPr>
          <w:p>
            <w:pPr>
              <w:pStyle w:val="TableParagraph"/>
              <w:spacing w:before="99"/>
              <w:ind w:left="141"/>
              <w:rPr>
                <w:b/>
                <w:sz w:val="21"/>
              </w:rPr>
            </w:pPr>
            <w:r>
              <w:rPr>
                <w:b/>
                <w:w w:val="95"/>
                <w:sz w:val="21"/>
              </w:rPr>
              <w:t>保险费率调整</w:t>
            </w:r>
          </w:p>
        </w:tc>
        <w:tc>
          <w:tcPr>
            <w:tcW w:w="7590" w:type="dxa"/>
          </w:tcPr>
          <w:p>
            <w:pPr>
              <w:pStyle w:val="TableParagraph"/>
              <w:spacing w:before="99"/>
              <w:ind w:left="366"/>
              <w:rPr>
                <w:sz w:val="21"/>
              </w:rPr>
            </w:pPr>
            <w:r>
              <w:rPr>
                <w:sz w:val="21"/>
              </w:rPr>
              <w:t>我们保留提高或降低保险费率的权利。</w:t>
            </w:r>
          </w:p>
          <w:p>
            <w:pPr>
              <w:pStyle w:val="TableParagraph"/>
              <w:spacing w:line="273" w:lineRule="auto" w:before="37"/>
              <w:ind w:left="366" w:right="98"/>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8"/>
              <w:ind w:left="366" w:right="105"/>
              <w:jc w:val="both"/>
              <w:rPr>
                <w:sz w:val="21"/>
              </w:rPr>
            </w:pPr>
            <w:r>
              <w:rPr>
                <w:spacing w:val="-2"/>
                <w:sz w:val="21"/>
              </w:rPr>
              <w:t>我们进行保险费率调整并向保险监管机关备案后，您须按调整后的保险费率支付续期保险费。</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1762" w:type="dxa"/>
            <w:tcBorders>
              <w:bottom w:val="single" w:sz="8" w:space="0" w:color="000000"/>
            </w:tcBorders>
          </w:tcPr>
          <w:p>
            <w:pPr>
              <w:pStyle w:val="TableParagraph"/>
              <w:spacing w:before="4"/>
              <w:rPr>
                <w:sz w:val="24"/>
              </w:rPr>
            </w:pPr>
          </w:p>
          <w:p>
            <w:pPr>
              <w:pStyle w:val="TableParagraph"/>
              <w:spacing w:before="1"/>
              <w:ind w:left="141"/>
              <w:rPr>
                <w:b/>
                <w:sz w:val="24"/>
              </w:rPr>
            </w:pPr>
            <w:r>
              <w:rPr>
                <w:b/>
                <w:w w:val="95"/>
                <w:sz w:val="24"/>
              </w:rPr>
              <w:t>现金价值权益</w:t>
            </w:r>
          </w:p>
        </w:tc>
        <w:tc>
          <w:tcPr>
            <w:tcW w:w="7590" w:type="dxa"/>
            <w:tcBorders>
              <w:bottom w:val="single" w:sz="8" w:space="0" w:color="000000"/>
            </w:tcBorders>
          </w:tcPr>
          <w:p>
            <w:pPr>
              <w:pStyle w:val="TableParagraph"/>
              <w:rPr>
                <w:rFonts w:ascii="Times New Roman"/>
                <w:sz w:val="20"/>
              </w:rPr>
            </w:pPr>
          </w:p>
        </w:tc>
      </w:tr>
      <w:tr>
        <w:trPr>
          <w:trHeight w:val="1083" w:hRule="atLeast"/>
        </w:trPr>
        <w:tc>
          <w:tcPr>
            <w:tcW w:w="606" w:type="dxa"/>
            <w:tcBorders>
              <w:top w:val="single" w:sz="8" w:space="0" w:color="000000"/>
            </w:tcBorders>
          </w:tcPr>
          <w:p>
            <w:pPr>
              <w:pStyle w:val="TableParagraph"/>
              <w:spacing w:before="10"/>
              <w:rPr>
                <w:sz w:val="14"/>
              </w:rPr>
            </w:pPr>
          </w:p>
          <w:p>
            <w:pPr>
              <w:pStyle w:val="TableParagraph"/>
              <w:ind w:left="89" w:right="159"/>
              <w:jc w:val="center"/>
              <w:rPr>
                <w:b/>
                <w:sz w:val="21"/>
              </w:rPr>
            </w:pPr>
            <w:r>
              <w:rPr>
                <w:b/>
                <w:sz w:val="21"/>
              </w:rPr>
              <w:t>5.1</w:t>
            </w:r>
          </w:p>
        </w:tc>
        <w:tc>
          <w:tcPr>
            <w:tcW w:w="1762" w:type="dxa"/>
            <w:tcBorders>
              <w:top w:val="single" w:sz="8" w:space="0" w:color="000000"/>
            </w:tcBorders>
          </w:tcPr>
          <w:p>
            <w:pPr>
              <w:pStyle w:val="TableParagraph"/>
              <w:spacing w:before="10"/>
              <w:rPr>
                <w:sz w:val="14"/>
              </w:rPr>
            </w:pPr>
          </w:p>
          <w:p>
            <w:pPr>
              <w:pStyle w:val="TableParagraph"/>
              <w:ind w:left="141"/>
              <w:rPr>
                <w:b/>
                <w:sz w:val="21"/>
              </w:rPr>
            </w:pPr>
            <w:r>
              <w:rPr>
                <w:b/>
                <w:w w:val="95"/>
                <w:sz w:val="21"/>
              </w:rPr>
              <w:t>现金价值</w:t>
            </w:r>
          </w:p>
        </w:tc>
        <w:tc>
          <w:tcPr>
            <w:tcW w:w="7590" w:type="dxa"/>
            <w:tcBorders>
              <w:top w:val="single" w:sz="8" w:space="0" w:color="000000"/>
            </w:tcBorders>
          </w:tcPr>
          <w:p>
            <w:pPr>
              <w:pStyle w:val="TableParagraph"/>
              <w:spacing w:before="10"/>
              <w:rPr>
                <w:sz w:val="14"/>
              </w:rPr>
            </w:pPr>
          </w:p>
          <w:p>
            <w:pPr>
              <w:pStyle w:val="TableParagraph"/>
              <w:spacing w:line="273" w:lineRule="auto"/>
              <w:ind w:left="357" w:right="58"/>
              <w:rPr>
                <w:sz w:val="21"/>
              </w:rPr>
            </w:pPr>
            <w:r>
              <w:rPr>
                <w:sz w:val="21"/>
              </w:rPr>
              <w:t>本附加险合同保单年度末的现金价值会在保险单上载明。保单年度内的现金价值，您可以向我们咨询。</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9352" w:type="dxa"/>
            <w:gridSpan w:val="2"/>
            <w:tcBorders>
              <w:bottom w:val="single" w:sz="8" w:space="0" w:color="000000"/>
            </w:tcBorders>
          </w:tcPr>
          <w:p>
            <w:pPr>
              <w:pStyle w:val="TableParagraph"/>
              <w:spacing w:before="5"/>
              <w:rPr>
                <w:sz w:val="24"/>
              </w:rPr>
            </w:pPr>
          </w:p>
          <w:p>
            <w:pPr>
              <w:pStyle w:val="TableParagraph"/>
              <w:ind w:left="141"/>
              <w:rPr>
                <w:b/>
                <w:sz w:val="24"/>
              </w:rPr>
            </w:pPr>
            <w:r>
              <w:rPr>
                <w:b/>
                <w:w w:val="95"/>
                <w:sz w:val="24"/>
              </w:rPr>
              <w:t>合同效力的中止及恢复</w:t>
            </w:r>
          </w:p>
        </w:tc>
      </w:tr>
    </w:tbl>
    <w:p>
      <w:pPr>
        <w:spacing w:after="0"/>
        <w:rPr>
          <w:sz w:val="24"/>
        </w:rPr>
        <w:sectPr>
          <w:pgSz w:w="11910" w:h="16840"/>
          <w:pgMar w:top="11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4"/>
        <w:gridCol w:w="7379"/>
      </w:tblGrid>
      <w:tr>
        <w:trPr>
          <w:trHeight w:val="374" w:hRule="atLeast"/>
        </w:trPr>
        <w:tc>
          <w:tcPr>
            <w:tcW w:w="606" w:type="dxa"/>
          </w:tcPr>
          <w:p>
            <w:pPr>
              <w:pStyle w:val="TableParagraph"/>
              <w:spacing w:line="210" w:lineRule="exact"/>
              <w:ind w:left="89" w:right="159"/>
              <w:jc w:val="center"/>
              <w:rPr>
                <w:b/>
                <w:sz w:val="21"/>
              </w:rPr>
            </w:pPr>
            <w:r>
              <w:rPr>
                <w:b/>
                <w:sz w:val="21"/>
              </w:rPr>
              <w:t>6.1</w:t>
            </w:r>
          </w:p>
        </w:tc>
        <w:tc>
          <w:tcPr>
            <w:tcW w:w="1974" w:type="dxa"/>
          </w:tcPr>
          <w:p>
            <w:pPr>
              <w:pStyle w:val="TableParagraph"/>
              <w:spacing w:line="210" w:lineRule="exact"/>
              <w:ind w:left="141"/>
              <w:rPr>
                <w:b/>
                <w:sz w:val="21"/>
              </w:rPr>
            </w:pPr>
            <w:r>
              <w:rPr>
                <w:b/>
                <w:sz w:val="21"/>
              </w:rPr>
              <w:t>效力中止</w:t>
            </w:r>
          </w:p>
        </w:tc>
        <w:tc>
          <w:tcPr>
            <w:tcW w:w="7379" w:type="dxa"/>
          </w:tcPr>
          <w:p>
            <w:pPr>
              <w:pStyle w:val="TableParagraph"/>
              <w:spacing w:line="210" w:lineRule="exact"/>
              <w:ind w:left="145"/>
              <w:rPr>
                <w:sz w:val="21"/>
              </w:rPr>
            </w:pPr>
            <w:r>
              <w:rPr>
                <w:sz w:val="21"/>
              </w:rPr>
              <w:t>在本附加险合同效力中止期间，我们不承担保险责任。</w:t>
            </w:r>
          </w:p>
        </w:tc>
      </w:tr>
      <w:tr>
        <w:trPr>
          <w:trHeight w:val="1925" w:hRule="atLeast"/>
        </w:trPr>
        <w:tc>
          <w:tcPr>
            <w:tcW w:w="606" w:type="dxa"/>
          </w:tcPr>
          <w:p>
            <w:pPr>
              <w:pStyle w:val="TableParagraph"/>
              <w:spacing w:before="99"/>
              <w:ind w:left="89" w:right="159"/>
              <w:jc w:val="center"/>
              <w:rPr>
                <w:b/>
                <w:sz w:val="21"/>
              </w:rPr>
            </w:pPr>
            <w:r>
              <w:rPr>
                <w:b/>
                <w:sz w:val="21"/>
              </w:rPr>
              <w:t>6.2</w:t>
            </w:r>
          </w:p>
        </w:tc>
        <w:tc>
          <w:tcPr>
            <w:tcW w:w="1974" w:type="dxa"/>
          </w:tcPr>
          <w:p>
            <w:pPr>
              <w:pStyle w:val="TableParagraph"/>
              <w:spacing w:before="99"/>
              <w:ind w:left="141"/>
              <w:rPr>
                <w:b/>
                <w:sz w:val="21"/>
              </w:rPr>
            </w:pPr>
            <w:r>
              <w:rPr>
                <w:b/>
                <w:sz w:val="21"/>
              </w:rPr>
              <w:t>效力恢复</w:t>
            </w:r>
          </w:p>
        </w:tc>
        <w:tc>
          <w:tcPr>
            <w:tcW w:w="7379" w:type="dxa"/>
          </w:tcPr>
          <w:p>
            <w:pPr>
              <w:pStyle w:val="TableParagraph"/>
              <w:spacing w:line="273" w:lineRule="auto" w:before="99"/>
              <w:ind w:left="145" w:right="106"/>
              <w:jc w:val="both"/>
              <w:rPr>
                <w:sz w:val="21"/>
              </w:rPr>
            </w:pPr>
            <w:r>
              <w:rPr>
                <w:spacing w:val="-5"/>
                <w:sz w:val="21"/>
              </w:rPr>
              <w:t>本附加险合同效力中止后 </w:t>
            </w:r>
            <w:r>
              <w:rPr>
                <w:sz w:val="21"/>
              </w:rPr>
              <w:t>2</w:t>
            </w:r>
            <w:r>
              <w:rPr>
                <w:spacing w:val="-8"/>
                <w:sz w:val="21"/>
              </w:rPr>
              <w:t> 年内，您可以申请恢复合同效力。经您与我们协商并达成协议，在您补交保险费</w:t>
            </w:r>
            <w:r>
              <w:rPr>
                <w:spacing w:val="-8"/>
                <w:sz w:val="20"/>
              </w:rPr>
              <w:t>及</w:t>
            </w:r>
            <w:r>
              <w:rPr>
                <w:spacing w:val="-8"/>
                <w:sz w:val="21"/>
              </w:rPr>
              <w:t>其他未还款项之日起，合同效力恢复。</w:t>
            </w:r>
          </w:p>
          <w:p>
            <w:pPr>
              <w:pStyle w:val="TableParagraph"/>
              <w:spacing w:line="273" w:lineRule="auto" w:before="7"/>
              <w:ind w:left="145" w:right="91"/>
              <w:jc w:val="both"/>
              <w:rPr>
                <w:sz w:val="21"/>
              </w:rPr>
            </w:pPr>
            <w:r>
              <w:rPr>
                <w:spacing w:val="-4"/>
                <w:sz w:val="21"/>
              </w:rPr>
              <w:t>自本附加险合同效力中止之日起满 </w:t>
            </w:r>
            <w:r>
              <w:rPr>
                <w:sz w:val="21"/>
              </w:rPr>
              <w:t>2</w:t>
            </w:r>
            <w:r>
              <w:rPr>
                <w:spacing w:val="-9"/>
                <w:sz w:val="21"/>
              </w:rPr>
              <w:t> 年您和我们未达成协议的，我们有权解除合同。我们解除合同的，向您退还合同效力中止时本附加险合同的现金价值。主险合同效力中止期间，本附加险合同不得单独申请复效。</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5"/>
              <w:rPr>
                <w:sz w:val="24"/>
              </w:rPr>
            </w:pPr>
          </w:p>
          <w:p>
            <w:pPr>
              <w:pStyle w:val="TableParagraph"/>
              <w:ind w:left="141"/>
              <w:rPr>
                <w:b/>
                <w:sz w:val="24"/>
              </w:rPr>
            </w:pPr>
            <w:r>
              <w:rPr>
                <w:b/>
                <w:w w:val="95"/>
                <w:sz w:val="24"/>
              </w:rPr>
              <w:t>如何解除保险合同</w:t>
            </w:r>
          </w:p>
        </w:tc>
      </w:tr>
      <w:tr>
        <w:trPr>
          <w:trHeight w:val="3579" w:hRule="atLeast"/>
        </w:trPr>
        <w:tc>
          <w:tcPr>
            <w:tcW w:w="606" w:type="dxa"/>
            <w:tcBorders>
              <w:top w:val="single" w:sz="8" w:space="0" w:color="000000"/>
            </w:tcBorders>
          </w:tcPr>
          <w:p>
            <w:pPr>
              <w:pStyle w:val="TableParagraph"/>
              <w:spacing w:before="10"/>
              <w:rPr>
                <w:sz w:val="14"/>
              </w:rPr>
            </w:pPr>
          </w:p>
          <w:p>
            <w:pPr>
              <w:pStyle w:val="TableParagraph"/>
              <w:ind w:left="89" w:right="159"/>
              <w:jc w:val="center"/>
              <w:rPr>
                <w:b/>
                <w:sz w:val="21"/>
              </w:rPr>
            </w:pPr>
            <w:r>
              <w:rPr>
                <w:b/>
                <w:sz w:val="21"/>
              </w:rPr>
              <w:t>7.1</w:t>
            </w:r>
          </w:p>
        </w:tc>
        <w:tc>
          <w:tcPr>
            <w:tcW w:w="1974" w:type="dxa"/>
            <w:tcBorders>
              <w:top w:val="single" w:sz="8" w:space="0" w:color="000000"/>
            </w:tcBorders>
          </w:tcPr>
          <w:p>
            <w:pPr>
              <w:pStyle w:val="TableParagraph"/>
              <w:spacing w:before="10"/>
              <w:rPr>
                <w:sz w:val="14"/>
              </w:rPr>
            </w:pPr>
          </w:p>
          <w:p>
            <w:pPr>
              <w:pStyle w:val="TableParagraph"/>
              <w:spacing w:line="273" w:lineRule="auto"/>
              <w:ind w:left="141" w:right="142"/>
              <w:rPr>
                <w:b/>
                <w:sz w:val="21"/>
              </w:rPr>
            </w:pPr>
            <w:r>
              <w:rPr>
                <w:b/>
                <w:sz w:val="21"/>
              </w:rPr>
              <w:t>您解除合同的手续及风险</w:t>
            </w:r>
          </w:p>
        </w:tc>
        <w:tc>
          <w:tcPr>
            <w:tcW w:w="7379" w:type="dxa"/>
            <w:tcBorders>
              <w:top w:val="single" w:sz="8" w:space="0" w:color="000000"/>
            </w:tcBorders>
          </w:tcPr>
          <w:p>
            <w:pPr>
              <w:pStyle w:val="TableParagraph"/>
              <w:spacing w:before="10"/>
              <w:rPr>
                <w:sz w:val="14"/>
              </w:rPr>
            </w:pPr>
          </w:p>
          <w:p>
            <w:pPr>
              <w:pStyle w:val="TableParagraph"/>
              <w:spacing w:line="273" w:lineRule="auto"/>
              <w:ind w:left="145" w:right="59"/>
              <w:rPr>
                <w:sz w:val="21"/>
              </w:rPr>
            </w:pPr>
            <w:r>
              <w:rPr>
                <w:sz w:val="21"/>
              </w:rPr>
              <w:t>您在犹豫期后可以申请解除本附加险合同，请填写解除合同申请书并向我们提供下列资料：</w:t>
            </w:r>
          </w:p>
          <w:p>
            <w:pPr>
              <w:pStyle w:val="TableParagraph"/>
              <w:spacing w:before="7"/>
              <w:ind w:left="145"/>
              <w:rPr>
                <w:sz w:val="21"/>
              </w:rPr>
            </w:pPr>
            <w:r>
              <w:rPr>
                <w:sz w:val="21"/>
              </w:rPr>
              <w:t>（1）保险合同；</w:t>
            </w:r>
          </w:p>
          <w:p>
            <w:pPr>
              <w:pStyle w:val="TableParagraph"/>
              <w:spacing w:before="36"/>
              <w:ind w:left="145"/>
              <w:rPr>
                <w:sz w:val="21"/>
              </w:rPr>
            </w:pPr>
            <w:r>
              <w:rPr>
                <w:sz w:val="21"/>
              </w:rPr>
              <w:t>（2）您的有效身份证件。</w:t>
            </w:r>
          </w:p>
          <w:p>
            <w:pPr>
              <w:pStyle w:val="TableParagraph"/>
              <w:spacing w:line="273" w:lineRule="auto" w:before="36"/>
              <w:ind w:left="145" w:right="59"/>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44" w:right="106"/>
              <w:jc w:val="both"/>
              <w:rPr>
                <w:sz w:val="21"/>
              </w:rPr>
            </w:pPr>
            <w:r>
              <w:rPr>
                <w:spacing w:val="-1"/>
                <w:sz w:val="21"/>
              </w:rPr>
              <w:t>如果您和我们签订的保险合同中有附加提前给付重大疾病保险合同，且其保险</w:t>
            </w:r>
            <w:r>
              <w:rPr>
                <w:spacing w:val="-2"/>
                <w:sz w:val="21"/>
              </w:rPr>
              <w:t>责任约定在给付重大疾病保险金后不会减少主险合同基本保险金额的，则必须申请将该附加提前给付重大疾病保险合同和本附加险合同同时解除。</w:t>
            </w:r>
          </w:p>
          <w:p>
            <w:pPr>
              <w:pStyle w:val="TableParagraph"/>
              <w:spacing w:before="7"/>
              <w:ind w:left="144"/>
              <w:jc w:val="both"/>
              <w:rPr>
                <w:sz w:val="21"/>
              </w:rPr>
            </w:pPr>
            <w:r>
              <w:rPr>
                <w:sz w:val="21"/>
              </w:rPr>
              <w:t>您在犹豫期后解除合同会遭受一定损失。</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4"/>
              <w:rPr>
                <w:sz w:val="24"/>
              </w:rPr>
            </w:pPr>
          </w:p>
          <w:p>
            <w:pPr>
              <w:pStyle w:val="TableParagraph"/>
              <w:spacing w:before="1"/>
              <w:ind w:left="141"/>
              <w:rPr>
                <w:b/>
                <w:sz w:val="24"/>
              </w:rPr>
            </w:pPr>
            <w:r>
              <w:rPr>
                <w:b/>
                <w:w w:val="95"/>
                <w:sz w:val="24"/>
              </w:rPr>
              <w:t>其他需要关注的事项</w:t>
            </w:r>
          </w:p>
        </w:tc>
      </w:tr>
      <w:tr>
        <w:trPr>
          <w:trHeight w:val="3751"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8.1</w:t>
            </w:r>
          </w:p>
        </w:tc>
        <w:tc>
          <w:tcPr>
            <w:tcW w:w="1974" w:type="dxa"/>
            <w:tcBorders>
              <w:top w:val="single" w:sz="8" w:space="0" w:color="000000"/>
            </w:tcBorders>
          </w:tcPr>
          <w:p>
            <w:pPr>
              <w:pStyle w:val="TableParagraph"/>
              <w:spacing w:before="9"/>
              <w:rPr>
                <w:sz w:val="14"/>
              </w:rPr>
            </w:pPr>
          </w:p>
          <w:p>
            <w:pPr>
              <w:pStyle w:val="TableParagraph"/>
              <w:ind w:left="141"/>
              <w:rPr>
                <w:b/>
                <w:sz w:val="21"/>
              </w:rPr>
            </w:pPr>
            <w:r>
              <w:rPr>
                <w:b/>
                <w:sz w:val="21"/>
              </w:rPr>
              <w:t>年龄错误</w:t>
            </w:r>
          </w:p>
        </w:tc>
        <w:tc>
          <w:tcPr>
            <w:tcW w:w="7379" w:type="dxa"/>
            <w:tcBorders>
              <w:top w:val="single" w:sz="8" w:space="0" w:color="000000"/>
            </w:tcBorders>
          </w:tcPr>
          <w:p>
            <w:pPr>
              <w:pStyle w:val="TableParagraph"/>
              <w:spacing w:before="9"/>
              <w:rPr>
                <w:sz w:val="14"/>
              </w:rPr>
            </w:pPr>
          </w:p>
          <w:p>
            <w:pPr>
              <w:pStyle w:val="TableParagraph"/>
              <w:spacing w:line="273" w:lineRule="auto"/>
              <w:ind w:left="145" w:right="58"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49" w:right="105" w:hanging="504"/>
              <w:rPr>
                <w:sz w:val="21"/>
              </w:rPr>
            </w:pPr>
            <w:r>
              <w:rPr>
                <w:sz w:val="21"/>
              </w:rPr>
              <w:t>（1）您申报的被保险人年龄不真实，并且其真实年龄不符合本附加险合同约</w:t>
            </w:r>
            <w:r>
              <w:rPr>
                <w:spacing w:val="-9"/>
                <w:sz w:val="21"/>
              </w:rPr>
              <w:t>定投保年龄限制的，我们有权解除合同，并向您退还本附加险合同的现金</w:t>
            </w:r>
            <w:r>
              <w:rPr>
                <w:spacing w:val="-7"/>
                <w:sz w:val="21"/>
              </w:rPr>
              <w:t>价值。我们行使合同解除权适用“</w:t>
            </w:r>
            <w:r>
              <w:rPr>
                <w:spacing w:val="-6"/>
                <w:sz w:val="21"/>
              </w:rPr>
              <w:t>8.5（3）</w:t>
            </w:r>
            <w:r>
              <w:rPr>
                <w:spacing w:val="-2"/>
                <w:sz w:val="21"/>
              </w:rPr>
              <w:t>本公司合同解除权的限制”的规定。</w:t>
            </w:r>
          </w:p>
          <w:p>
            <w:pPr>
              <w:pStyle w:val="TableParagraph"/>
              <w:spacing w:line="273" w:lineRule="auto" w:before="7"/>
              <w:ind w:left="649" w:right="106" w:hanging="505"/>
              <w:rPr>
                <w:sz w:val="21"/>
              </w:rPr>
            </w:pPr>
            <w:r>
              <w:rPr>
                <w:sz w:val="21"/>
              </w:rPr>
              <w:t>（2）您申报的被保险人年龄不真实，致使您实付保险费少于应付保险费的， </w:t>
            </w:r>
            <w:r>
              <w:rPr>
                <w:spacing w:val="-6"/>
                <w:sz w:val="21"/>
              </w:rPr>
              <w:t>我们有权更正并要求您补交保险费。若已经发生保险事故，在给付保险金时扣除您欠交的保险费。</w:t>
            </w:r>
          </w:p>
          <w:p>
            <w:pPr>
              <w:pStyle w:val="TableParagraph"/>
              <w:spacing w:line="273" w:lineRule="auto" w:before="7"/>
              <w:ind w:left="649" w:right="197" w:hanging="504"/>
              <w:rPr>
                <w:sz w:val="21"/>
              </w:rPr>
            </w:pPr>
            <w:r>
              <w:rPr>
                <w:sz w:val="21"/>
              </w:rPr>
              <w:t>（3）您申报的被保险人年龄不真实，致使您实付保险费多于应付保险费的，我们会将多收的保险费退还给您。</w:t>
            </w:r>
          </w:p>
        </w:tc>
      </w:tr>
      <w:tr>
        <w:trPr>
          <w:trHeight w:val="1786" w:hRule="atLeast"/>
        </w:trPr>
        <w:tc>
          <w:tcPr>
            <w:tcW w:w="606" w:type="dxa"/>
          </w:tcPr>
          <w:p>
            <w:pPr>
              <w:pStyle w:val="TableParagraph"/>
              <w:spacing w:before="99"/>
              <w:ind w:left="89" w:right="159"/>
              <w:jc w:val="center"/>
              <w:rPr>
                <w:b/>
                <w:sz w:val="21"/>
              </w:rPr>
            </w:pPr>
            <w:r>
              <w:rPr>
                <w:b/>
                <w:sz w:val="21"/>
              </w:rPr>
              <w:t>8.2</w:t>
            </w:r>
          </w:p>
        </w:tc>
        <w:tc>
          <w:tcPr>
            <w:tcW w:w="1974" w:type="dxa"/>
          </w:tcPr>
          <w:p>
            <w:pPr>
              <w:pStyle w:val="TableParagraph"/>
              <w:spacing w:before="99"/>
              <w:ind w:left="141"/>
              <w:rPr>
                <w:b/>
                <w:sz w:val="21"/>
              </w:rPr>
            </w:pPr>
            <w:r>
              <w:rPr>
                <w:b/>
                <w:sz w:val="21"/>
              </w:rPr>
              <w:t>未还款项</w:t>
            </w:r>
          </w:p>
        </w:tc>
        <w:tc>
          <w:tcPr>
            <w:tcW w:w="7379" w:type="dxa"/>
          </w:tcPr>
          <w:p>
            <w:pPr>
              <w:pStyle w:val="TableParagraph"/>
              <w:spacing w:line="273" w:lineRule="auto" w:before="99"/>
              <w:ind w:left="145" w:right="34"/>
              <w:rPr>
                <w:sz w:val="21"/>
              </w:rPr>
            </w:pPr>
            <w:r>
              <w:rPr>
                <w:spacing w:val="-2"/>
                <w:sz w:val="21"/>
              </w:rPr>
              <w:t>我们在豁免保险费时，如果您有欠交保险合同的保险费或其他未还清款项，您应先补交上述欠款及应付利息。应付利息按</w:t>
            </w:r>
            <w:r>
              <w:rPr>
                <w:rFonts w:ascii="黑体" w:eastAsia="黑体" w:hint="eastAsia"/>
                <w:b/>
                <w:spacing w:val="-2"/>
                <w:sz w:val="21"/>
              </w:rPr>
              <w:t>本条款约定利率</w:t>
            </w:r>
            <w:r>
              <w:rPr>
                <w:spacing w:val="-2"/>
                <w:sz w:val="21"/>
              </w:rPr>
              <w:t>（</w:t>
            </w:r>
            <w:r>
              <w:rPr>
                <w:spacing w:val="-30"/>
                <w:sz w:val="21"/>
              </w:rPr>
              <w:t>见 </w:t>
            </w:r>
            <w:r>
              <w:rPr>
                <w:sz w:val="21"/>
              </w:rPr>
              <w:t>9.21）计算， </w:t>
            </w:r>
            <w:r>
              <w:rPr>
                <w:spacing w:val="-1"/>
                <w:sz w:val="21"/>
              </w:rPr>
              <w:t>但本附加险合同另有约定的除外。如果本附加险合同的主险合同为万能保险或</w:t>
            </w:r>
            <w:r>
              <w:rPr>
                <w:spacing w:val="-3"/>
                <w:sz w:val="21"/>
              </w:rPr>
              <w:t>投资连结保险，并且主险合同当期应交期交保险费未支付，您应先支付该期保险费。</w:t>
            </w:r>
          </w:p>
        </w:tc>
      </w:tr>
      <w:tr>
        <w:trPr>
          <w:trHeight w:val="1310" w:hRule="atLeast"/>
        </w:trPr>
        <w:tc>
          <w:tcPr>
            <w:tcW w:w="606" w:type="dxa"/>
          </w:tcPr>
          <w:p>
            <w:pPr>
              <w:pStyle w:val="TableParagraph"/>
              <w:spacing w:before="99"/>
              <w:ind w:left="89" w:right="159"/>
              <w:jc w:val="center"/>
              <w:rPr>
                <w:b/>
                <w:sz w:val="21"/>
              </w:rPr>
            </w:pPr>
            <w:r>
              <w:rPr>
                <w:b/>
                <w:sz w:val="21"/>
              </w:rPr>
              <w:t>8.3</w:t>
            </w:r>
          </w:p>
        </w:tc>
        <w:tc>
          <w:tcPr>
            <w:tcW w:w="1974" w:type="dxa"/>
          </w:tcPr>
          <w:p>
            <w:pPr>
              <w:pStyle w:val="TableParagraph"/>
              <w:spacing w:before="99"/>
              <w:ind w:left="141"/>
              <w:rPr>
                <w:b/>
                <w:sz w:val="21"/>
              </w:rPr>
            </w:pPr>
            <w:r>
              <w:rPr>
                <w:b/>
                <w:w w:val="95"/>
                <w:sz w:val="21"/>
              </w:rPr>
              <w:t>合同内容变更</w:t>
            </w:r>
          </w:p>
        </w:tc>
        <w:tc>
          <w:tcPr>
            <w:tcW w:w="7379" w:type="dxa"/>
          </w:tcPr>
          <w:p>
            <w:pPr>
              <w:pStyle w:val="TableParagraph"/>
              <w:spacing w:line="273" w:lineRule="auto" w:before="99"/>
              <w:ind w:left="145" w:right="106"/>
              <w:jc w:val="both"/>
              <w:rPr>
                <w:sz w:val="21"/>
              </w:rPr>
            </w:pPr>
            <w:r>
              <w:rPr>
                <w:spacing w:val="-2"/>
                <w:sz w:val="21"/>
              </w:rPr>
              <w:t>在本附加险合同有效期内，经您和我们协商一致，可以变更本附加险合同的有</w:t>
            </w:r>
            <w:r>
              <w:rPr>
                <w:spacing w:val="-5"/>
                <w:sz w:val="21"/>
              </w:rPr>
              <w:t>关内容。变更本附加险合同的，应当由我们在原保险单或者其他保险凭证上批注或者附贴批单，或者由您和我们订立书面的变更协议。</w:t>
            </w:r>
          </w:p>
          <w:p>
            <w:pPr>
              <w:pStyle w:val="TableParagraph"/>
              <w:spacing w:line="255" w:lineRule="exact" w:before="7"/>
              <w:ind w:left="145"/>
              <w:jc w:val="both"/>
              <w:rPr>
                <w:sz w:val="21"/>
              </w:rPr>
            </w:pPr>
            <w:r>
              <w:rPr>
                <w:sz w:val="21"/>
              </w:rPr>
              <w:t>对于已豁免保险费的主险合同或附加险合同，如果是万能保险或投资连结保</w:t>
            </w:r>
          </w:p>
        </w:tc>
      </w:tr>
    </w:tbl>
    <w:p>
      <w:pPr>
        <w:spacing w:after="0" w:line="255" w:lineRule="exact"/>
        <w:jc w:val="both"/>
        <w:rPr>
          <w:sz w:val="21"/>
        </w:rPr>
        <w:sectPr>
          <w:pgSz w:w="11910" w:h="16840"/>
          <w:pgMar w:top="11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12"/>
        <w:gridCol w:w="7350"/>
      </w:tblGrid>
      <w:tr>
        <w:trPr>
          <w:trHeight w:val="261" w:hRule="atLeast"/>
        </w:trPr>
        <w:tc>
          <w:tcPr>
            <w:tcW w:w="606" w:type="dxa"/>
          </w:tcPr>
          <w:p>
            <w:pPr>
              <w:pStyle w:val="TableParagraph"/>
              <w:rPr>
                <w:rFonts w:ascii="Times New Roman"/>
                <w:sz w:val="18"/>
              </w:rPr>
            </w:pPr>
          </w:p>
        </w:tc>
        <w:tc>
          <w:tcPr>
            <w:tcW w:w="2012" w:type="dxa"/>
          </w:tcPr>
          <w:p>
            <w:pPr>
              <w:pStyle w:val="TableParagraph"/>
              <w:rPr>
                <w:rFonts w:ascii="Times New Roman"/>
                <w:sz w:val="18"/>
              </w:rPr>
            </w:pPr>
          </w:p>
        </w:tc>
        <w:tc>
          <w:tcPr>
            <w:tcW w:w="7350" w:type="dxa"/>
          </w:tcPr>
          <w:p>
            <w:pPr>
              <w:pStyle w:val="TableParagraph"/>
              <w:spacing w:line="210" w:lineRule="exact"/>
              <w:ind w:left="107"/>
              <w:rPr>
                <w:sz w:val="21"/>
              </w:rPr>
            </w:pPr>
            <w:r>
              <w:rPr>
                <w:sz w:val="21"/>
              </w:rPr>
              <w:t>险，在本附加险合同保险期间内，您不得变更主险合同及附加险合同的期交保</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险费、交费年期，如果不是万能保险或投资连结保险，您不得变更主险合同及</w:t>
            </w:r>
          </w:p>
        </w:tc>
      </w:tr>
      <w:tr>
        <w:trPr>
          <w:trHeight w:val="425"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附加险合同的基本保险金额、交费年期、档次等。</w:t>
            </w:r>
          </w:p>
        </w:tc>
      </w:tr>
      <w:tr>
        <w:trPr>
          <w:trHeight w:val="425" w:hRule="atLeast"/>
        </w:trPr>
        <w:tc>
          <w:tcPr>
            <w:tcW w:w="606" w:type="dxa"/>
          </w:tcPr>
          <w:p>
            <w:pPr>
              <w:pStyle w:val="TableParagraph"/>
              <w:spacing w:before="99"/>
              <w:ind w:left="89" w:right="159"/>
              <w:jc w:val="center"/>
              <w:rPr>
                <w:b/>
                <w:sz w:val="21"/>
              </w:rPr>
            </w:pPr>
            <w:r>
              <w:rPr>
                <w:b/>
                <w:sz w:val="21"/>
              </w:rPr>
              <w:t>8.4</w:t>
            </w:r>
          </w:p>
        </w:tc>
        <w:tc>
          <w:tcPr>
            <w:tcW w:w="2012" w:type="dxa"/>
          </w:tcPr>
          <w:p>
            <w:pPr>
              <w:pStyle w:val="TableParagraph"/>
              <w:spacing w:before="99"/>
              <w:ind w:left="141"/>
              <w:rPr>
                <w:b/>
                <w:sz w:val="21"/>
              </w:rPr>
            </w:pPr>
            <w:r>
              <w:rPr>
                <w:b/>
                <w:sz w:val="21"/>
              </w:rPr>
              <w:t>效力终止</w:t>
            </w:r>
          </w:p>
        </w:tc>
        <w:tc>
          <w:tcPr>
            <w:tcW w:w="7350" w:type="dxa"/>
          </w:tcPr>
          <w:p>
            <w:pPr>
              <w:pStyle w:val="TableParagraph"/>
              <w:spacing w:before="99"/>
              <w:ind w:left="107"/>
              <w:rPr>
                <w:sz w:val="21"/>
              </w:rPr>
            </w:pPr>
            <w:r>
              <w:rPr>
                <w:sz w:val="21"/>
              </w:rPr>
              <w:t>当发生下列情形之一时，本附加险合同效力终止：</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（1）主险合同效力终止；</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（2）主险合同办理减额交清；</w:t>
            </w:r>
          </w:p>
        </w:tc>
      </w:tr>
      <w:tr>
        <w:trPr>
          <w:trHeight w:val="425"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（3）您申请解除本附加险合同。</w:t>
            </w:r>
          </w:p>
        </w:tc>
      </w:tr>
      <w:tr>
        <w:trPr>
          <w:trHeight w:val="425" w:hRule="atLeast"/>
        </w:trPr>
        <w:tc>
          <w:tcPr>
            <w:tcW w:w="606" w:type="dxa"/>
          </w:tcPr>
          <w:p>
            <w:pPr>
              <w:pStyle w:val="TableParagraph"/>
              <w:spacing w:before="99"/>
              <w:ind w:left="89" w:right="159"/>
              <w:jc w:val="center"/>
              <w:rPr>
                <w:b/>
                <w:sz w:val="21"/>
              </w:rPr>
            </w:pPr>
            <w:r>
              <w:rPr>
                <w:b/>
                <w:sz w:val="21"/>
              </w:rPr>
              <w:t>8.5</w:t>
            </w:r>
          </w:p>
        </w:tc>
        <w:tc>
          <w:tcPr>
            <w:tcW w:w="2012" w:type="dxa"/>
          </w:tcPr>
          <w:p>
            <w:pPr>
              <w:pStyle w:val="TableParagraph"/>
              <w:spacing w:before="99"/>
              <w:ind w:left="217"/>
              <w:rPr>
                <w:b/>
                <w:sz w:val="21"/>
              </w:rPr>
            </w:pPr>
            <w:r>
              <w:rPr>
                <w:b/>
                <w:w w:val="95"/>
                <w:sz w:val="21"/>
              </w:rPr>
              <w:t>适用主险合同条款</w:t>
            </w:r>
          </w:p>
        </w:tc>
        <w:tc>
          <w:tcPr>
            <w:tcW w:w="7350" w:type="dxa"/>
          </w:tcPr>
          <w:p>
            <w:pPr>
              <w:pStyle w:val="TableParagraph"/>
              <w:spacing w:before="99"/>
              <w:ind w:left="107"/>
              <w:rPr>
                <w:sz w:val="21"/>
              </w:rPr>
            </w:pPr>
            <w:r>
              <w:rPr>
                <w:sz w:val="21"/>
              </w:rPr>
              <w:t>下列各项条款，适用主险合同条款：</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（1）保险事故通知；</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（2）明确说明与如实告知；</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（3）本公司合同解除权的限制；</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（4）联系方式变更；</w:t>
            </w:r>
          </w:p>
        </w:tc>
      </w:tr>
      <w:tr>
        <w:trPr>
          <w:trHeight w:val="564"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（5）争议处理。</w:t>
            </w:r>
          </w:p>
        </w:tc>
      </w:tr>
      <w:tr>
        <w:trPr>
          <w:trHeight w:val="826"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2012" w:type="dxa"/>
            <w:tcBorders>
              <w:bottom w:val="single" w:sz="8" w:space="0" w:color="000000"/>
            </w:tcBorders>
          </w:tcPr>
          <w:p>
            <w:pPr>
              <w:pStyle w:val="TableParagraph"/>
              <w:spacing w:before="5"/>
              <w:rPr>
                <w:sz w:val="24"/>
              </w:rPr>
            </w:pPr>
          </w:p>
          <w:p>
            <w:pPr>
              <w:pStyle w:val="TableParagraph"/>
              <w:ind w:left="141"/>
              <w:rPr>
                <w:b/>
                <w:sz w:val="24"/>
              </w:rPr>
            </w:pPr>
            <w:r>
              <w:rPr>
                <w:b/>
                <w:sz w:val="24"/>
              </w:rPr>
              <w:t>释义</w:t>
            </w:r>
          </w:p>
        </w:tc>
        <w:tc>
          <w:tcPr>
            <w:tcW w:w="7350" w:type="dxa"/>
            <w:tcBorders>
              <w:bottom w:val="single" w:sz="8" w:space="0" w:color="000000"/>
            </w:tcBorders>
          </w:tcPr>
          <w:p>
            <w:pPr>
              <w:pStyle w:val="TableParagraph"/>
              <w:rPr>
                <w:rFonts w:ascii="Times New Roman"/>
                <w:sz w:val="20"/>
              </w:rPr>
            </w:pPr>
          </w:p>
        </w:tc>
      </w:tr>
      <w:tr>
        <w:trPr>
          <w:trHeight w:val="518"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9.1</w:t>
            </w:r>
          </w:p>
        </w:tc>
        <w:tc>
          <w:tcPr>
            <w:tcW w:w="2012" w:type="dxa"/>
            <w:tcBorders>
              <w:top w:val="single" w:sz="8" w:space="0" w:color="000000"/>
            </w:tcBorders>
          </w:tcPr>
          <w:p>
            <w:pPr>
              <w:pStyle w:val="TableParagraph"/>
              <w:spacing w:before="9"/>
              <w:rPr>
                <w:sz w:val="14"/>
              </w:rPr>
            </w:pPr>
          </w:p>
          <w:p>
            <w:pPr>
              <w:pStyle w:val="TableParagraph"/>
              <w:ind w:left="141"/>
              <w:rPr>
                <w:b/>
                <w:sz w:val="21"/>
              </w:rPr>
            </w:pPr>
            <w:r>
              <w:rPr>
                <w:b/>
                <w:sz w:val="21"/>
              </w:rPr>
              <w:t>周岁</w:t>
            </w:r>
          </w:p>
        </w:tc>
        <w:tc>
          <w:tcPr>
            <w:tcW w:w="7350" w:type="dxa"/>
            <w:tcBorders>
              <w:top w:val="single" w:sz="8" w:space="0" w:color="000000"/>
            </w:tcBorders>
          </w:tcPr>
          <w:p>
            <w:pPr>
              <w:pStyle w:val="TableParagraph"/>
              <w:spacing w:before="9"/>
              <w:rPr>
                <w:sz w:val="14"/>
              </w:rPr>
            </w:pPr>
          </w:p>
          <w:p>
            <w:pPr>
              <w:pStyle w:val="TableParagraph"/>
              <w:ind w:left="107"/>
              <w:rPr>
                <w:sz w:val="21"/>
              </w:rPr>
            </w:pPr>
            <w:r>
              <w:rPr>
                <w:sz w:val="21"/>
              </w:rPr>
              <w:t>指按有效身份证件中记载的出生日期计算的年龄，自出生之日起为零周岁，每</w:t>
            </w:r>
          </w:p>
        </w:tc>
      </w:tr>
      <w:tr>
        <w:trPr>
          <w:trHeight w:val="425"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经过一年增加一岁，不足一年的不计。</w:t>
            </w:r>
          </w:p>
        </w:tc>
      </w:tr>
      <w:tr>
        <w:trPr>
          <w:trHeight w:val="425" w:hRule="atLeast"/>
        </w:trPr>
        <w:tc>
          <w:tcPr>
            <w:tcW w:w="606" w:type="dxa"/>
          </w:tcPr>
          <w:p>
            <w:pPr>
              <w:pStyle w:val="TableParagraph"/>
              <w:spacing w:before="99"/>
              <w:ind w:left="89" w:right="159"/>
              <w:jc w:val="center"/>
              <w:rPr>
                <w:b/>
                <w:sz w:val="21"/>
              </w:rPr>
            </w:pPr>
            <w:r>
              <w:rPr>
                <w:b/>
                <w:sz w:val="21"/>
              </w:rPr>
              <w:t>9.2</w:t>
            </w:r>
          </w:p>
        </w:tc>
        <w:tc>
          <w:tcPr>
            <w:tcW w:w="2012" w:type="dxa"/>
          </w:tcPr>
          <w:p>
            <w:pPr>
              <w:pStyle w:val="TableParagraph"/>
              <w:spacing w:before="99"/>
              <w:ind w:left="141"/>
              <w:rPr>
                <w:b/>
                <w:sz w:val="21"/>
              </w:rPr>
            </w:pPr>
            <w:r>
              <w:rPr>
                <w:b/>
                <w:w w:val="95"/>
                <w:sz w:val="21"/>
              </w:rPr>
              <w:t>有效身份证件</w:t>
            </w:r>
          </w:p>
        </w:tc>
        <w:tc>
          <w:tcPr>
            <w:tcW w:w="7350" w:type="dxa"/>
          </w:tcPr>
          <w:p>
            <w:pPr>
              <w:pStyle w:val="TableParagraph"/>
              <w:spacing w:before="99"/>
              <w:ind w:left="107"/>
              <w:rPr>
                <w:sz w:val="21"/>
              </w:rPr>
            </w:pPr>
            <w:r>
              <w:rPr>
                <w:sz w:val="21"/>
              </w:rPr>
              <w:t>指由政府主管部门规定的证明个人身份的证件，如：居民身份证、按规定可使</w:t>
            </w:r>
          </w:p>
        </w:tc>
      </w:tr>
      <w:tr>
        <w:trPr>
          <w:trHeight w:val="425"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07"/>
              <w:rPr>
                <w:sz w:val="21"/>
              </w:rPr>
            </w:pPr>
            <w:r>
              <w:rPr>
                <w:sz w:val="21"/>
              </w:rPr>
              <w:t>用的有效护照、军官证、警官证、士兵证等证件。</w:t>
            </w:r>
          </w:p>
        </w:tc>
      </w:tr>
      <w:tr>
        <w:trPr>
          <w:trHeight w:val="425" w:hRule="atLeast"/>
        </w:trPr>
        <w:tc>
          <w:tcPr>
            <w:tcW w:w="606" w:type="dxa"/>
          </w:tcPr>
          <w:p>
            <w:pPr>
              <w:pStyle w:val="TableParagraph"/>
              <w:spacing w:before="99"/>
              <w:ind w:left="89" w:right="159"/>
              <w:jc w:val="center"/>
              <w:rPr>
                <w:b/>
                <w:sz w:val="21"/>
              </w:rPr>
            </w:pPr>
            <w:r>
              <w:rPr>
                <w:b/>
                <w:sz w:val="21"/>
              </w:rPr>
              <w:t>9.3</w:t>
            </w:r>
          </w:p>
        </w:tc>
        <w:tc>
          <w:tcPr>
            <w:tcW w:w="2012" w:type="dxa"/>
          </w:tcPr>
          <w:p>
            <w:pPr>
              <w:pStyle w:val="TableParagraph"/>
              <w:spacing w:before="99"/>
              <w:ind w:left="141"/>
              <w:rPr>
                <w:b/>
                <w:sz w:val="21"/>
              </w:rPr>
            </w:pPr>
            <w:r>
              <w:rPr>
                <w:b/>
                <w:sz w:val="21"/>
              </w:rPr>
              <w:t>重大疾病</w:t>
            </w:r>
          </w:p>
        </w:tc>
        <w:tc>
          <w:tcPr>
            <w:tcW w:w="7350" w:type="dxa"/>
          </w:tcPr>
          <w:p>
            <w:pPr>
              <w:pStyle w:val="TableParagraph"/>
              <w:spacing w:before="99"/>
              <w:ind w:left="116"/>
              <w:rPr>
                <w:sz w:val="21"/>
              </w:rPr>
            </w:pPr>
            <w:r>
              <w:rPr>
                <w:sz w:val="21"/>
              </w:rPr>
              <w:t>重大疾病是指被保险人初次发生符合下列定义的疾病，或初次接受符合下列定</w:t>
            </w:r>
          </w:p>
        </w:tc>
      </w:tr>
      <w:tr>
        <w:trPr>
          <w:trHeight w:val="425"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rPr>
              <w:t>义的手术。该疾病或手术应当由</w:t>
            </w:r>
            <w:r>
              <w:rPr>
                <w:rFonts w:ascii="黑体" w:eastAsia="黑体" w:hint="eastAsia"/>
                <w:b/>
                <w:sz w:val="21"/>
              </w:rPr>
              <w:t>专科医Th</w:t>
            </w:r>
            <w:r>
              <w:rPr>
                <w:sz w:val="21"/>
              </w:rPr>
              <w:t>（见 9.4）明确诊断。</w:t>
            </w:r>
          </w:p>
        </w:tc>
      </w:tr>
      <w:tr>
        <w:trPr>
          <w:trHeight w:val="538"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before="99"/>
              <w:ind w:left="116"/>
              <w:rPr>
                <w:sz w:val="21"/>
              </w:rPr>
            </w:pPr>
            <w:r>
              <w:rPr>
                <w:sz w:val="21"/>
              </w:rPr>
              <w:t>以下重大疾病是中国保险行业协会与中国医师协会制定了规范定义的疾病。</w:t>
            </w:r>
          </w:p>
        </w:tc>
      </w:tr>
      <w:tr>
        <w:trPr>
          <w:trHeight w:val="737" w:hRule="atLeast"/>
        </w:trPr>
        <w:tc>
          <w:tcPr>
            <w:tcW w:w="606" w:type="dxa"/>
          </w:tcPr>
          <w:p>
            <w:pPr>
              <w:pStyle w:val="TableParagraph"/>
              <w:rPr>
                <w:rFonts w:ascii="Times New Roman"/>
                <w:sz w:val="20"/>
              </w:rPr>
            </w:pPr>
          </w:p>
        </w:tc>
        <w:tc>
          <w:tcPr>
            <w:tcW w:w="2012" w:type="dxa"/>
          </w:tcPr>
          <w:p>
            <w:pPr>
              <w:pStyle w:val="TableParagraph"/>
              <w:spacing w:before="98"/>
              <w:ind w:left="141"/>
              <w:rPr>
                <w:rFonts w:ascii="等线" w:eastAsia="等线" w:hint="eastAsia"/>
                <w:b/>
                <w:sz w:val="24"/>
              </w:rPr>
            </w:pPr>
            <w:r>
              <w:rPr>
                <w:rFonts w:ascii="等线" w:eastAsia="等线" w:hint="eastAsia"/>
                <w:b/>
                <w:sz w:val="24"/>
              </w:rPr>
              <w:t>恶性肿瘤</w:t>
            </w:r>
          </w:p>
        </w:tc>
        <w:tc>
          <w:tcPr>
            <w:tcW w:w="7350" w:type="dxa"/>
          </w:tcPr>
          <w:p>
            <w:pPr>
              <w:pStyle w:val="TableParagraph"/>
              <w:spacing w:line="273" w:lineRule="auto" w:before="99"/>
              <w:ind w:left="116" w:right="64"/>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ight="-15"/>
              <w:rPr>
                <w:sz w:val="21"/>
              </w:rPr>
            </w:pPr>
            <w:r>
              <w:rPr>
                <w:spacing w:val="6"/>
                <w:sz w:val="21"/>
              </w:rPr>
              <w:t>诊断，临床诊断属于世界卫生组织《疾病和有关健康问题的国际统计分类》</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rPr>
              <w:t>（ICD-10）的恶性肿瘤范畴。</w:t>
            </w:r>
            <w:r>
              <w:rPr>
                <w:sz w:val="21"/>
                <w:shd w:fill="DADADA" w:color="auto" w:val="clear"/>
              </w:rPr>
              <w:t>下列疾病不在保障范围内： </w:t>
            </w:r>
          </w:p>
        </w:tc>
      </w:tr>
      <w:tr>
        <w:trPr>
          <w:trHeight w:val="311"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shd w:fill="DADADA" w:color="auto" w:val="clear"/>
              </w:rPr>
              <w:t>（1）原位癌； </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shd w:fill="DADADA" w:color="auto" w:val="clear"/>
              </w:rPr>
              <w:t>（2）相当于Binet 分期方案 A 期程度的慢性淋巴细胞白血病； </w:t>
            </w:r>
          </w:p>
        </w:tc>
      </w:tr>
      <w:tr>
        <w:trPr>
          <w:trHeight w:val="311"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shd w:fill="DADADA" w:color="auto" w:val="clear"/>
              </w:rPr>
              <w:t>（3）相当于Ann Arbor 分期方案 I 期程度的何杰金氏病； </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r>
              <w:rPr>
                <w:spacing w:val="-1"/>
                <w:sz w:val="21"/>
                <w:shd w:fill="DADADA" w:color="auto" w:val="clear"/>
              </w:rPr>
              <w:t> </w:t>
            </w:r>
          </w:p>
        </w:tc>
      </w:tr>
      <w:tr>
        <w:trPr>
          <w:trHeight w:val="311"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 </w:t>
            </w:r>
          </w:p>
        </w:tc>
      </w:tr>
      <w:tr>
        <w:trPr>
          <w:trHeight w:val="426"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shd w:fill="DADADA" w:color="auto" w:val="clear"/>
              </w:rPr>
              <w:t>（6）感染艾滋病病毒或患艾滋病期间所患恶性肿瘤。</w:t>
            </w:r>
          </w:p>
        </w:tc>
      </w:tr>
      <w:tr>
        <w:trPr>
          <w:trHeight w:val="738" w:hRule="atLeast"/>
        </w:trPr>
        <w:tc>
          <w:tcPr>
            <w:tcW w:w="606" w:type="dxa"/>
          </w:tcPr>
          <w:p>
            <w:pPr>
              <w:pStyle w:val="TableParagraph"/>
              <w:rPr>
                <w:rFonts w:ascii="Times New Roman"/>
                <w:sz w:val="20"/>
              </w:rPr>
            </w:pPr>
          </w:p>
        </w:tc>
        <w:tc>
          <w:tcPr>
            <w:tcW w:w="2012" w:type="dxa"/>
          </w:tcPr>
          <w:p>
            <w:pPr>
              <w:pStyle w:val="TableParagraph"/>
              <w:spacing w:before="99"/>
              <w:ind w:left="141"/>
              <w:rPr>
                <w:rFonts w:ascii="等线" w:eastAsia="等线" w:hint="eastAsia"/>
                <w:b/>
                <w:sz w:val="24"/>
              </w:rPr>
            </w:pPr>
            <w:r>
              <w:rPr>
                <w:rFonts w:ascii="等线" w:eastAsia="等线" w:hint="eastAsia"/>
                <w:b/>
                <w:w w:val="105"/>
                <w:sz w:val="24"/>
              </w:rPr>
              <w:t>急性心ft梗塞</w:t>
            </w:r>
          </w:p>
        </w:tc>
        <w:tc>
          <w:tcPr>
            <w:tcW w:w="7350" w:type="dxa"/>
          </w:tcPr>
          <w:p>
            <w:pPr>
              <w:pStyle w:val="TableParagraph"/>
              <w:spacing w:line="273" w:lineRule="auto" w:before="100"/>
              <w:ind w:left="116" w:right="64"/>
              <w:rPr>
                <w:sz w:val="21"/>
              </w:rPr>
            </w:pPr>
            <w:r>
              <w:rPr>
                <w:sz w:val="21"/>
              </w:rPr>
              <w:t>指因冠状动脉阻塞导致的相应区域供血不足造成部分心肌坏死。须满足下列至少三项条件：</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rPr>
              <w:t>（1）典型临床表现，例如急性胸痛等；</w:t>
            </w:r>
          </w:p>
        </w:tc>
      </w:tr>
      <w:tr>
        <w:trPr>
          <w:trHeight w:val="312" w:hRule="atLeast"/>
        </w:trPr>
        <w:tc>
          <w:tcPr>
            <w:tcW w:w="606" w:type="dxa"/>
          </w:tcPr>
          <w:p>
            <w:pPr>
              <w:pStyle w:val="TableParagraph"/>
              <w:rPr>
                <w:rFonts w:ascii="Times New Roman"/>
                <w:sz w:val="20"/>
              </w:rPr>
            </w:pPr>
          </w:p>
        </w:tc>
        <w:tc>
          <w:tcPr>
            <w:tcW w:w="2012" w:type="dxa"/>
          </w:tcPr>
          <w:p>
            <w:pPr>
              <w:pStyle w:val="TableParagraph"/>
              <w:rPr>
                <w:rFonts w:ascii="Times New Roman"/>
                <w:sz w:val="20"/>
              </w:rPr>
            </w:pPr>
          </w:p>
        </w:tc>
        <w:tc>
          <w:tcPr>
            <w:tcW w:w="7350" w:type="dxa"/>
          </w:tcPr>
          <w:p>
            <w:pPr>
              <w:pStyle w:val="TableParagraph"/>
              <w:spacing w:line="261" w:lineRule="exact"/>
              <w:ind w:left="116"/>
              <w:rPr>
                <w:sz w:val="21"/>
              </w:rPr>
            </w:pPr>
            <w:r>
              <w:rPr>
                <w:sz w:val="21"/>
              </w:rPr>
              <w:t>（2）新近的心电图改变提示急性心肌梗塞；</w:t>
            </w:r>
          </w:p>
        </w:tc>
      </w:tr>
      <w:tr>
        <w:trPr>
          <w:trHeight w:val="261" w:hRule="atLeast"/>
        </w:trPr>
        <w:tc>
          <w:tcPr>
            <w:tcW w:w="606" w:type="dxa"/>
          </w:tcPr>
          <w:p>
            <w:pPr>
              <w:pStyle w:val="TableParagraph"/>
              <w:rPr>
                <w:rFonts w:ascii="Times New Roman"/>
                <w:sz w:val="18"/>
              </w:rPr>
            </w:pPr>
          </w:p>
        </w:tc>
        <w:tc>
          <w:tcPr>
            <w:tcW w:w="2012" w:type="dxa"/>
          </w:tcPr>
          <w:p>
            <w:pPr>
              <w:pStyle w:val="TableParagraph"/>
              <w:rPr>
                <w:rFonts w:ascii="Times New Roman"/>
                <w:sz w:val="18"/>
              </w:rPr>
            </w:pPr>
          </w:p>
        </w:tc>
        <w:tc>
          <w:tcPr>
            <w:tcW w:w="7350" w:type="dxa"/>
          </w:tcPr>
          <w:p>
            <w:pPr>
              <w:pStyle w:val="TableParagraph"/>
              <w:spacing w:line="241" w:lineRule="exact"/>
              <w:ind w:left="122"/>
              <w:rPr>
                <w:sz w:val="21"/>
              </w:rPr>
            </w:pPr>
            <w:r>
              <w:rPr>
                <w:sz w:val="21"/>
              </w:rPr>
              <w:t>（3）心肌酶或肌钙蛋白有诊断意义的升高，或呈符合急性心肌梗塞的动态性</w:t>
            </w:r>
          </w:p>
        </w:tc>
      </w:tr>
    </w:tbl>
    <w:p>
      <w:pPr>
        <w:pStyle w:val="BodyText"/>
        <w:spacing w:before="42"/>
        <w:ind w:left="3379"/>
      </w:pPr>
      <w:r>
        <w:rPr/>
        <w:t>变化；</w:t>
      </w:r>
    </w:p>
    <w:p>
      <w:pPr>
        <w:pStyle w:val="BodyText"/>
        <w:spacing w:before="36"/>
        <w:ind w:left="2847"/>
      </w:pPr>
      <w:r>
        <w:rPr>
          <w:spacing w:val="-9"/>
        </w:rPr>
        <w:t>（4）</w:t>
      </w:r>
      <w:r>
        <w:rPr>
          <w:spacing w:val="-19"/>
        </w:rPr>
        <w:t>发病 </w:t>
      </w:r>
      <w:r>
        <w:rPr/>
        <w:t>90</w:t>
      </w:r>
      <w:r>
        <w:rPr>
          <w:spacing w:val="-12"/>
        </w:rPr>
        <w:t> 日后，经检查证实左心室功能降低，如左心室射血分数低于 </w:t>
      </w:r>
      <w:r>
        <w:rPr/>
        <w:t>50%。</w:t>
      </w:r>
    </w:p>
    <w:p>
      <w:pPr>
        <w:spacing w:after="0"/>
        <w:sectPr>
          <w:pgSz w:w="11910" w:h="16840"/>
          <w:pgMar w:top="116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554"/>
      </w:tblGrid>
      <w:tr>
        <w:trPr>
          <w:trHeight w:val="2246" w:hRule="atLeast"/>
        </w:trPr>
        <w:tc>
          <w:tcPr>
            <w:tcW w:w="2034" w:type="dxa"/>
          </w:tcPr>
          <w:p>
            <w:pPr>
              <w:pStyle w:val="TableParagraph"/>
              <w:spacing w:line="254" w:lineRule="exact"/>
              <w:ind w:left="200"/>
              <w:rPr>
                <w:rFonts w:ascii="等线" w:eastAsia="等线" w:hint="eastAsia"/>
                <w:b/>
                <w:sz w:val="24"/>
              </w:rPr>
            </w:pPr>
            <w:r>
              <w:rPr>
                <w:rFonts w:ascii="等线" w:eastAsia="等线" w:hint="eastAsia"/>
                <w:b/>
                <w:sz w:val="24"/>
              </w:rPr>
              <w:t>脑中风后遗症</w:t>
            </w:r>
          </w:p>
        </w:tc>
        <w:tc>
          <w:tcPr>
            <w:tcW w:w="7554" w:type="dxa"/>
          </w:tcPr>
          <w:p>
            <w:pPr>
              <w:pStyle w:val="TableParagraph"/>
              <w:spacing w:line="202" w:lineRule="exact"/>
              <w:ind w:left="153"/>
              <w:rPr>
                <w:sz w:val="21"/>
              </w:rPr>
            </w:pPr>
            <w:r>
              <w:rPr>
                <w:sz w:val="21"/>
              </w:rPr>
              <w:t>指因脑血管的突发病变引起脑血管出血、栓塞或梗塞，并导致神经系统永久性</w:t>
            </w:r>
          </w:p>
          <w:p>
            <w:pPr>
              <w:pStyle w:val="TableParagraph"/>
              <w:spacing w:line="273" w:lineRule="auto" w:before="37"/>
              <w:ind w:left="152" w:right="282"/>
              <w:rPr>
                <w:sz w:val="21"/>
              </w:rPr>
            </w:pPr>
            <w:r>
              <w:rPr>
                <w:spacing w:val="-6"/>
                <w:sz w:val="21"/>
              </w:rPr>
              <w:t>的功能障碍。神经系统永久性的功能障碍，指疾病确诊 </w:t>
            </w:r>
            <w:r>
              <w:rPr>
                <w:sz w:val="21"/>
              </w:rPr>
              <w:t>180</w:t>
            </w:r>
            <w:r>
              <w:rPr>
                <w:spacing w:val="-8"/>
                <w:sz w:val="21"/>
              </w:rPr>
              <w:t> 日后，仍遗留下列一种或一种以上障碍：</w:t>
            </w:r>
          </w:p>
          <w:p>
            <w:pPr>
              <w:pStyle w:val="TableParagraph"/>
              <w:spacing w:before="7"/>
              <w:ind w:left="152"/>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pStyle w:val="TableParagraph"/>
              <w:spacing w:before="36"/>
              <w:ind w:left="153"/>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pStyle w:val="TableParagraph"/>
              <w:spacing w:line="273" w:lineRule="auto" w:before="36"/>
              <w:ind w:left="678" w:right="132" w:hanging="526"/>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tc>
      </w:tr>
      <w:tr>
        <w:trPr>
          <w:trHeight w:val="1786" w:hRule="atLeast"/>
        </w:trPr>
        <w:tc>
          <w:tcPr>
            <w:tcW w:w="2034" w:type="dxa"/>
          </w:tcPr>
          <w:p>
            <w:pPr>
              <w:pStyle w:val="TableParagraph"/>
              <w:spacing w:line="235" w:lineRule="auto" w:before="97"/>
              <w:ind w:left="200" w:right="150"/>
              <w:jc w:val="both"/>
              <w:rPr>
                <w:rFonts w:ascii="等线" w:eastAsia="等线" w:hint="eastAsia"/>
                <w:b/>
                <w:sz w:val="24"/>
              </w:rPr>
            </w:pPr>
            <w:r>
              <w:rPr>
                <w:rFonts w:ascii="等线" w:eastAsia="等线" w:hint="eastAsia"/>
                <w:b/>
                <w:sz w:val="24"/>
              </w:rPr>
              <w:t>重大器官移植术或造血干细胞移植术</w:t>
            </w:r>
          </w:p>
        </w:tc>
        <w:tc>
          <w:tcPr>
            <w:tcW w:w="7554" w:type="dxa"/>
          </w:tcPr>
          <w:p>
            <w:pPr>
              <w:pStyle w:val="TableParagraph"/>
              <w:spacing w:line="273" w:lineRule="auto" w:before="92"/>
              <w:ind w:left="153" w:right="282"/>
              <w:jc w:val="both"/>
              <w:rPr>
                <w:sz w:val="21"/>
              </w:rPr>
            </w:pPr>
            <w:r>
              <w:rPr>
                <w:spacing w:val="-4"/>
                <w:sz w:val="21"/>
              </w:rPr>
              <w:t>重大器官移植术，指因相应器官功能衰竭，已经实施了肾脏、肝脏、心脏或肺脏的异体移植手术。</w:t>
            </w:r>
          </w:p>
          <w:p>
            <w:pPr>
              <w:pStyle w:val="TableParagraph"/>
              <w:spacing w:line="273" w:lineRule="auto" w:before="8"/>
              <w:ind w:left="153" w:right="282"/>
              <w:jc w:val="both"/>
              <w:rPr>
                <w:sz w:val="21"/>
              </w:rPr>
            </w:pPr>
            <w:r>
              <w:rPr>
                <w:spacing w:val="-3"/>
                <w:sz w:val="21"/>
              </w:rPr>
              <w:t>造血干细胞移植术，指因造血功能损害或造血系统恶性肿瘤，已经实施了造血</w:t>
            </w:r>
            <w:r>
              <w:rPr>
                <w:spacing w:val="-5"/>
                <w:sz w:val="21"/>
              </w:rPr>
              <w:t>干细胞</w:t>
            </w:r>
            <w:r>
              <w:rPr>
                <w:sz w:val="21"/>
              </w:rPr>
              <w:t>（</w:t>
            </w:r>
            <w:r>
              <w:rPr>
                <w:spacing w:val="-1"/>
                <w:sz w:val="21"/>
              </w:rPr>
              <w:t>包括骨髓造血干细胞、外周血造血干细胞和脐血造血干细胞</w:t>
            </w:r>
            <w:r>
              <w:rPr>
                <w:spacing w:val="-9"/>
                <w:sz w:val="21"/>
              </w:rPr>
              <w:t>）</w:t>
            </w:r>
            <w:r>
              <w:rPr>
                <w:sz w:val="21"/>
              </w:rPr>
              <w:t>的异体移植手术。</w:t>
            </w:r>
          </w:p>
        </w:tc>
      </w:tr>
      <w:tr>
        <w:trPr>
          <w:trHeight w:val="1475" w:hRule="atLeast"/>
        </w:trPr>
        <w:tc>
          <w:tcPr>
            <w:tcW w:w="2034" w:type="dxa"/>
          </w:tcPr>
          <w:p>
            <w:pPr>
              <w:pStyle w:val="TableParagraph"/>
              <w:spacing w:line="324" w:lineRule="exact" w:before="90"/>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150"/>
              <w:rPr>
                <w:rFonts w:ascii="等线" w:eastAsia="等线" w:hint="eastAsia"/>
                <w:b/>
                <w:sz w:val="24"/>
              </w:rPr>
            </w:pPr>
            <w:r>
              <w:rPr>
                <w:rFonts w:ascii="等线" w:eastAsia="等线" w:hint="eastAsia"/>
                <w:b/>
                <w:sz w:val="24"/>
              </w:rPr>
              <w:t>（或称冠状动脉旁路移植术）</w:t>
            </w:r>
          </w:p>
        </w:tc>
        <w:tc>
          <w:tcPr>
            <w:tcW w:w="7554" w:type="dxa"/>
          </w:tcPr>
          <w:p>
            <w:pPr>
              <w:pStyle w:val="TableParagraph"/>
              <w:spacing w:line="273" w:lineRule="auto" w:before="92"/>
              <w:ind w:left="153" w:right="283"/>
              <w:rPr>
                <w:sz w:val="21"/>
              </w:rPr>
            </w:pPr>
            <w:r>
              <w:rPr>
                <w:sz w:val="21"/>
              </w:rPr>
              <w:t>指为治疗严重的冠心病，实际实施了开胸进行的冠状动脉血管旁路移植的手术。</w:t>
            </w:r>
          </w:p>
          <w:p>
            <w:pPr>
              <w:pStyle w:val="TableParagraph"/>
              <w:spacing w:line="273" w:lineRule="auto" w:before="8"/>
              <w:ind w:left="153" w:right="231"/>
              <w:rPr>
                <w:sz w:val="21"/>
              </w:rPr>
            </w:pPr>
            <w:r>
              <w:rPr>
                <w:sz w:val="21"/>
                <w:shd w:fill="DADADA" w:color="auto" w:val="clear"/>
              </w:rPr>
              <w:t>冠状动脉支架植入术、心导管球囊扩张术、激光射频技术及其它非开胸的介入手术、腔镜手术不在保障范围内。</w:t>
            </w:r>
          </w:p>
        </w:tc>
      </w:tr>
      <w:tr>
        <w:trPr>
          <w:trHeight w:val="1209" w:hRule="atLeast"/>
        </w:trPr>
        <w:tc>
          <w:tcPr>
            <w:tcW w:w="2034" w:type="dxa"/>
          </w:tcPr>
          <w:p>
            <w:pPr>
              <w:pStyle w:val="TableParagraph"/>
              <w:spacing w:line="235" w:lineRule="auto" w:before="98"/>
              <w:ind w:left="200" w:right="150"/>
              <w:jc w:val="both"/>
              <w:rPr>
                <w:rFonts w:ascii="等线" w:eastAsia="等线" w:hint="eastAsia"/>
                <w:b/>
                <w:sz w:val="24"/>
              </w:rPr>
            </w:pPr>
            <w:r>
              <w:rPr>
                <w:rFonts w:ascii="等线" w:eastAsia="等线" w:hint="eastAsia"/>
                <w:b/>
                <w:sz w:val="24"/>
              </w:rPr>
              <w:t>终末期肾病（或称慢性肾功能衰竭尿毒症期）</w:t>
            </w:r>
          </w:p>
        </w:tc>
        <w:tc>
          <w:tcPr>
            <w:tcW w:w="7554" w:type="dxa"/>
          </w:tcPr>
          <w:p>
            <w:pPr>
              <w:pStyle w:val="TableParagraph"/>
              <w:spacing w:before="92"/>
              <w:ind w:left="153"/>
              <w:rPr>
                <w:sz w:val="21"/>
              </w:rPr>
            </w:pPr>
            <w:r>
              <w:rPr>
                <w:sz w:val="21"/>
              </w:rPr>
              <w:t>指双肾功能慢性不可逆性衰竭，达到尿毒症期，经诊断后已经进行了至少 90</w:t>
            </w:r>
          </w:p>
          <w:p>
            <w:pPr>
              <w:pStyle w:val="TableParagraph"/>
              <w:spacing w:before="36"/>
              <w:ind w:left="153"/>
              <w:rPr>
                <w:sz w:val="21"/>
              </w:rPr>
            </w:pPr>
            <w:r>
              <w:rPr>
                <w:sz w:val="21"/>
              </w:rPr>
              <w:t>日的规律性透析治疗或实施了肾脏移植手术。</w:t>
            </w:r>
          </w:p>
        </w:tc>
      </w:tr>
      <w:tr>
        <w:trPr>
          <w:trHeight w:val="828" w:hRule="atLeast"/>
        </w:trPr>
        <w:tc>
          <w:tcPr>
            <w:tcW w:w="2034" w:type="dxa"/>
          </w:tcPr>
          <w:p>
            <w:pPr>
              <w:pStyle w:val="TableParagraph"/>
              <w:spacing w:before="69"/>
              <w:ind w:left="200"/>
              <w:rPr>
                <w:rFonts w:ascii="等线" w:eastAsia="等线" w:hint="eastAsia"/>
                <w:b/>
                <w:sz w:val="24"/>
              </w:rPr>
            </w:pPr>
            <w:r>
              <w:rPr>
                <w:rFonts w:ascii="等线" w:eastAsia="等线" w:hint="eastAsia"/>
                <w:b/>
                <w:sz w:val="24"/>
              </w:rPr>
              <w:t>多个肢体缺失</w:t>
            </w:r>
          </w:p>
        </w:tc>
        <w:tc>
          <w:tcPr>
            <w:tcW w:w="7554" w:type="dxa"/>
          </w:tcPr>
          <w:p>
            <w:pPr>
              <w:pStyle w:val="TableParagraph"/>
              <w:spacing w:line="273" w:lineRule="auto" w:before="70"/>
              <w:ind w:left="153" w:right="231"/>
              <w:rPr>
                <w:sz w:val="21"/>
              </w:rPr>
            </w:pPr>
            <w:r>
              <w:rPr>
                <w:sz w:val="21"/>
              </w:rPr>
              <w:t>指因疾病或意外伤害导致两个或两个以上肢体自腕关节或踝关节近端（靠近躯干端）以上完全性断离。</w:t>
            </w:r>
          </w:p>
        </w:tc>
      </w:tr>
      <w:tr>
        <w:trPr>
          <w:trHeight w:val="2098" w:hRule="atLeast"/>
        </w:trPr>
        <w:tc>
          <w:tcPr>
            <w:tcW w:w="2034" w:type="dxa"/>
          </w:tcPr>
          <w:p>
            <w:pPr>
              <w:pStyle w:val="TableParagraph"/>
              <w:spacing w:line="235" w:lineRule="auto" w:before="97"/>
              <w:ind w:left="200" w:right="150"/>
              <w:rPr>
                <w:rFonts w:ascii="等线" w:eastAsia="等线" w:hint="eastAsia"/>
                <w:b/>
                <w:sz w:val="24"/>
              </w:rPr>
            </w:pPr>
            <w:r>
              <w:rPr>
                <w:rFonts w:ascii="等线" w:eastAsia="等线" w:hint="eastAsia"/>
                <w:b/>
                <w:sz w:val="24"/>
              </w:rPr>
              <w:t>急性或亚急性重症肝炎</w:t>
            </w:r>
          </w:p>
        </w:tc>
        <w:tc>
          <w:tcPr>
            <w:tcW w:w="7554" w:type="dxa"/>
          </w:tcPr>
          <w:p>
            <w:pPr>
              <w:pStyle w:val="TableParagraph"/>
              <w:spacing w:line="273" w:lineRule="auto" w:before="92"/>
              <w:ind w:left="153" w:right="231"/>
              <w:rPr>
                <w:sz w:val="21"/>
              </w:rPr>
            </w:pPr>
            <w:r>
              <w:rPr>
                <w:sz w:val="21"/>
              </w:rPr>
              <w:t>指因肝炎病毒感染引起肝脏组织弥漫性坏死，导致急性肝功能衰竭，且经血清学或病毒学检查证实，并须满足下列全部条件：</w:t>
            </w:r>
          </w:p>
          <w:p>
            <w:pPr>
              <w:pStyle w:val="TableParagraph"/>
              <w:spacing w:before="8"/>
              <w:ind w:left="153"/>
              <w:rPr>
                <w:sz w:val="21"/>
              </w:rPr>
            </w:pPr>
            <w:r>
              <w:rPr>
                <w:sz w:val="21"/>
              </w:rPr>
              <w:t>（1）重度黄疸或黄疸迅速加重；</w:t>
            </w:r>
          </w:p>
          <w:p>
            <w:pPr>
              <w:pStyle w:val="TableParagraph"/>
              <w:spacing w:before="37"/>
              <w:ind w:left="153"/>
              <w:rPr>
                <w:sz w:val="21"/>
              </w:rPr>
            </w:pPr>
            <w:r>
              <w:rPr>
                <w:sz w:val="21"/>
              </w:rPr>
              <w:t>（2）肝性脑病；</w:t>
            </w:r>
          </w:p>
          <w:p>
            <w:pPr>
              <w:pStyle w:val="TableParagraph"/>
              <w:spacing w:before="37"/>
              <w:ind w:left="153"/>
              <w:rPr>
                <w:sz w:val="21"/>
              </w:rPr>
            </w:pPr>
            <w:r>
              <w:rPr>
                <w:sz w:val="21"/>
              </w:rPr>
              <w:t>（3）B 超或其它影像学检查显示肝脏体积急速萎缩；</w:t>
            </w:r>
          </w:p>
          <w:p>
            <w:pPr>
              <w:pStyle w:val="TableParagraph"/>
              <w:spacing w:before="37"/>
              <w:ind w:left="152"/>
              <w:rPr>
                <w:sz w:val="21"/>
              </w:rPr>
            </w:pPr>
            <w:r>
              <w:rPr>
                <w:sz w:val="21"/>
              </w:rPr>
              <w:t>（4）肝功能指标进行性恶化。</w:t>
            </w:r>
          </w:p>
        </w:tc>
      </w:tr>
      <w:tr>
        <w:trPr>
          <w:trHeight w:val="2410" w:hRule="atLeast"/>
        </w:trPr>
        <w:tc>
          <w:tcPr>
            <w:tcW w:w="2034" w:type="dxa"/>
          </w:tcPr>
          <w:p>
            <w:pPr>
              <w:pStyle w:val="TableParagraph"/>
              <w:spacing w:before="90"/>
              <w:ind w:left="200"/>
              <w:rPr>
                <w:rFonts w:ascii="等线" w:eastAsia="等线" w:hint="eastAsia"/>
                <w:b/>
                <w:sz w:val="24"/>
              </w:rPr>
            </w:pPr>
            <w:r>
              <w:rPr>
                <w:rFonts w:ascii="等线" w:eastAsia="等线" w:hint="eastAsia"/>
                <w:b/>
                <w:sz w:val="24"/>
              </w:rPr>
              <w:t>良性脑肿瘤</w:t>
            </w:r>
          </w:p>
        </w:tc>
        <w:tc>
          <w:tcPr>
            <w:tcW w:w="7554" w:type="dxa"/>
          </w:tcPr>
          <w:p>
            <w:pPr>
              <w:pStyle w:val="TableParagraph"/>
              <w:spacing w:line="273" w:lineRule="auto" w:before="91"/>
              <w:ind w:left="153" w:right="281"/>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53"/>
              <w:jc w:val="both"/>
              <w:rPr>
                <w:sz w:val="21"/>
              </w:rPr>
            </w:pPr>
            <w:r>
              <w:rPr>
                <w:sz w:val="21"/>
              </w:rPr>
              <w:t>（1）实际实施了开颅进行的脑肿瘤完全切除或部分切除的手术；</w:t>
            </w:r>
          </w:p>
          <w:p>
            <w:pPr>
              <w:pStyle w:val="TableParagraph"/>
              <w:spacing w:before="37"/>
              <w:ind w:left="153"/>
              <w:jc w:val="both"/>
              <w:rPr>
                <w:sz w:val="21"/>
              </w:rPr>
            </w:pPr>
            <w:r>
              <w:rPr>
                <w:sz w:val="21"/>
              </w:rPr>
              <w:t>（2）实际实施了对脑肿瘤进行的放射治疗。</w:t>
            </w:r>
          </w:p>
          <w:p>
            <w:pPr>
              <w:pStyle w:val="TableParagraph"/>
              <w:spacing w:before="37"/>
              <w:ind w:left="153"/>
              <w:jc w:val="both"/>
              <w:rPr>
                <w:sz w:val="21"/>
              </w:rPr>
            </w:pPr>
            <w:r>
              <w:rPr>
                <w:sz w:val="21"/>
                <w:shd w:fill="DADADA" w:color="auto" w:val="clear"/>
              </w:rPr>
              <w:t>脑垂体瘤、脑囊肿、脑血管性疾病不在保障范围内。</w:t>
            </w:r>
          </w:p>
        </w:tc>
      </w:tr>
      <w:tr>
        <w:trPr>
          <w:trHeight w:val="1934" w:hRule="atLeast"/>
        </w:trPr>
        <w:tc>
          <w:tcPr>
            <w:tcW w:w="2034" w:type="dxa"/>
          </w:tcPr>
          <w:p>
            <w:pPr>
              <w:pStyle w:val="TableParagraph"/>
              <w:spacing w:line="235" w:lineRule="auto" w:before="97"/>
              <w:ind w:left="200" w:right="150"/>
              <w:rPr>
                <w:rFonts w:ascii="等线" w:eastAsia="等线" w:hint="eastAsia"/>
                <w:b/>
                <w:sz w:val="24"/>
              </w:rPr>
            </w:pPr>
            <w:r>
              <w:rPr>
                <w:rFonts w:ascii="等线" w:eastAsia="等线" w:hint="eastAsia"/>
                <w:b/>
                <w:sz w:val="24"/>
              </w:rPr>
              <w:t>慢性肝功能衰竭失代偿期</w:t>
            </w:r>
          </w:p>
        </w:tc>
        <w:tc>
          <w:tcPr>
            <w:tcW w:w="7554" w:type="dxa"/>
          </w:tcPr>
          <w:p>
            <w:pPr>
              <w:pStyle w:val="TableParagraph"/>
              <w:spacing w:before="92"/>
              <w:ind w:left="153"/>
              <w:rPr>
                <w:sz w:val="21"/>
              </w:rPr>
            </w:pPr>
            <w:r>
              <w:rPr>
                <w:sz w:val="21"/>
              </w:rPr>
              <w:t>指因慢性肝脏疾病导致肝功能衰竭。须满足下列全部条件：</w:t>
            </w:r>
          </w:p>
          <w:p>
            <w:pPr>
              <w:pStyle w:val="TableParagraph"/>
              <w:spacing w:before="37"/>
              <w:ind w:left="153"/>
              <w:rPr>
                <w:sz w:val="21"/>
              </w:rPr>
            </w:pPr>
            <w:r>
              <w:rPr>
                <w:sz w:val="21"/>
              </w:rPr>
              <w:t>（1）持续性黄疸；</w:t>
            </w:r>
          </w:p>
          <w:p>
            <w:pPr>
              <w:pStyle w:val="TableParagraph"/>
              <w:spacing w:before="37"/>
              <w:ind w:left="153"/>
              <w:rPr>
                <w:sz w:val="21"/>
              </w:rPr>
            </w:pPr>
            <w:r>
              <w:rPr>
                <w:sz w:val="21"/>
              </w:rPr>
              <w:t>（2）腹水；</w:t>
            </w:r>
          </w:p>
          <w:p>
            <w:pPr>
              <w:pStyle w:val="TableParagraph"/>
              <w:spacing w:before="37"/>
              <w:ind w:left="153"/>
              <w:rPr>
                <w:sz w:val="21"/>
              </w:rPr>
            </w:pPr>
            <w:r>
              <w:rPr>
                <w:sz w:val="21"/>
              </w:rPr>
              <w:t>（3）肝性脑病；</w:t>
            </w:r>
          </w:p>
          <w:p>
            <w:pPr>
              <w:pStyle w:val="TableParagraph"/>
              <w:spacing w:line="310" w:lineRule="atLeast" w:before="1"/>
              <w:ind w:left="153" w:right="2254"/>
              <w:rPr>
                <w:sz w:val="21"/>
              </w:rPr>
            </w:pPr>
            <w:r>
              <w:rPr>
                <w:sz w:val="21"/>
              </w:rPr>
              <w:t>（4）充血性脾肿大伴脾功能亢进或食管胃底静脉曲张。</w:t>
            </w:r>
            <w:r>
              <w:rPr>
                <w:sz w:val="21"/>
                <w:shd w:fill="DADADA" w:color="auto" w:val="clear"/>
              </w:rPr>
              <w:t>因酗酒或药物滥用导致的肝功能衰竭不在保障范围内。</w:t>
            </w:r>
          </w:p>
        </w:tc>
      </w:tr>
    </w:tbl>
    <w:p>
      <w:pPr>
        <w:spacing w:after="0" w:line="310" w:lineRule="atLeast"/>
        <w:rPr>
          <w:sz w:val="21"/>
        </w:rPr>
        <w:sectPr>
          <w:pgSz w:w="11910" w:h="16840"/>
          <w:pgMar w:top="1400" w:bottom="280" w:left="1360" w:right="7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575"/>
      </w:tblGrid>
      <w:tr>
        <w:trPr>
          <w:trHeight w:val="1934" w:hRule="atLeast"/>
        </w:trPr>
        <w:tc>
          <w:tcPr>
            <w:tcW w:w="2034" w:type="dxa"/>
          </w:tcPr>
          <w:p>
            <w:pPr>
              <w:pStyle w:val="TableParagraph"/>
              <w:spacing w:line="258" w:lineRule="exact"/>
              <w:ind w:left="200"/>
              <w:rPr>
                <w:rFonts w:ascii="等线" w:eastAsia="等线" w:hint="eastAsia"/>
                <w:b/>
                <w:sz w:val="24"/>
              </w:rPr>
            </w:pPr>
            <w:r>
              <w:rPr>
                <w:rFonts w:ascii="等线" w:eastAsia="等线" w:hint="eastAsia"/>
                <w:b/>
                <w:sz w:val="24"/>
              </w:rPr>
              <w:t>脑炎后遗症或脑</w:t>
            </w:r>
          </w:p>
          <w:p>
            <w:pPr>
              <w:pStyle w:val="TableParagraph"/>
              <w:spacing w:line="324" w:lineRule="exact"/>
              <w:ind w:left="200"/>
              <w:rPr>
                <w:rFonts w:ascii="等线" w:eastAsia="等线" w:hint="eastAsia"/>
                <w:b/>
                <w:sz w:val="24"/>
              </w:rPr>
            </w:pPr>
            <w:r>
              <w:rPr>
                <w:rFonts w:ascii="等线" w:eastAsia="等线" w:hint="eastAsia"/>
                <w:b/>
                <w:sz w:val="24"/>
              </w:rPr>
              <w:t>膜炎后遗症</w:t>
            </w:r>
          </w:p>
        </w:tc>
        <w:tc>
          <w:tcPr>
            <w:tcW w:w="7575" w:type="dxa"/>
          </w:tcPr>
          <w:p>
            <w:pPr>
              <w:pStyle w:val="TableParagraph"/>
              <w:spacing w:line="210" w:lineRule="exact"/>
              <w:ind w:left="153"/>
              <w:rPr>
                <w:sz w:val="21"/>
              </w:rPr>
            </w:pPr>
            <w:r>
              <w:rPr>
                <w:sz w:val="21"/>
              </w:rPr>
              <w:t>指因患脑炎或脑膜炎导致的神经系统永久性的功能障碍。神经系统永久性的功</w:t>
            </w:r>
          </w:p>
          <w:p>
            <w:pPr>
              <w:pStyle w:val="TableParagraph"/>
              <w:spacing w:before="37"/>
              <w:ind w:left="153"/>
              <w:rPr>
                <w:sz w:val="21"/>
              </w:rPr>
            </w:pPr>
            <w:r>
              <w:rPr>
                <w:sz w:val="21"/>
              </w:rPr>
              <w:t>能障碍，指疾病确诊 180 日后，仍遗留下列一种或一种以上障碍：</w:t>
            </w:r>
          </w:p>
          <w:p>
            <w:pPr>
              <w:pStyle w:val="TableParagraph"/>
              <w:spacing w:before="37"/>
              <w:ind w:left="152"/>
              <w:rPr>
                <w:sz w:val="21"/>
              </w:rPr>
            </w:pPr>
            <w:r>
              <w:rPr>
                <w:sz w:val="21"/>
              </w:rPr>
              <w:t>（1）一肢或一肢以上肢体机能完全丧失；</w:t>
            </w:r>
          </w:p>
          <w:p>
            <w:pPr>
              <w:pStyle w:val="TableParagraph"/>
              <w:spacing w:before="37"/>
              <w:ind w:left="152"/>
              <w:rPr>
                <w:sz w:val="21"/>
              </w:rPr>
            </w:pPr>
            <w:r>
              <w:rPr>
                <w:sz w:val="21"/>
              </w:rPr>
              <w:t>（2）语言能力或咀嚼吞咽能力完全丧失；</w:t>
            </w:r>
          </w:p>
          <w:p>
            <w:pPr>
              <w:pStyle w:val="TableParagraph"/>
              <w:spacing w:line="273" w:lineRule="auto" w:before="37"/>
              <w:ind w:left="678" w:right="305" w:hanging="526"/>
              <w:rPr>
                <w:sz w:val="21"/>
              </w:rPr>
            </w:pPr>
            <w:r>
              <w:rPr>
                <w:sz w:val="21"/>
              </w:rPr>
              <w:t>（3）自主生活能力完全丧失，无法独立完成六项基本日常生活活动中的三项或三项以上。</w:t>
            </w:r>
          </w:p>
        </w:tc>
      </w:tr>
      <w:tr>
        <w:trPr>
          <w:trHeight w:val="1474" w:hRule="atLeast"/>
        </w:trPr>
        <w:tc>
          <w:tcPr>
            <w:tcW w:w="2034" w:type="dxa"/>
          </w:tcPr>
          <w:p>
            <w:pPr>
              <w:pStyle w:val="TableParagraph"/>
              <w:spacing w:before="98"/>
              <w:ind w:left="200"/>
              <w:rPr>
                <w:rFonts w:ascii="等线" w:eastAsia="等线" w:hint="eastAsia"/>
                <w:b/>
                <w:sz w:val="24"/>
              </w:rPr>
            </w:pPr>
            <w:r>
              <w:rPr>
                <w:rFonts w:ascii="等线" w:eastAsia="等线" w:hint="eastAsia"/>
                <w:b/>
                <w:sz w:val="24"/>
              </w:rPr>
              <w:t>深度昏迷</w:t>
            </w:r>
          </w:p>
        </w:tc>
        <w:tc>
          <w:tcPr>
            <w:tcW w:w="7575" w:type="dxa"/>
          </w:tcPr>
          <w:p>
            <w:pPr>
              <w:pStyle w:val="TableParagraph"/>
              <w:spacing w:line="273" w:lineRule="auto" w:before="99"/>
              <w:ind w:left="153" w:right="303"/>
              <w:jc w:val="both"/>
              <w:rPr>
                <w:sz w:val="21"/>
              </w:rPr>
            </w:pPr>
            <w:r>
              <w:rPr>
                <w:spacing w:val="-2"/>
                <w:sz w:val="21"/>
              </w:rPr>
              <w:t>指因疾病或意外伤害导致意识丧失，对外界刺激和体内需求均无反应，昏迷程度按照格拉斯哥昏迷分级（Glasgow </w:t>
            </w:r>
            <w:r>
              <w:rPr>
                <w:sz w:val="21"/>
              </w:rPr>
              <w:t>coma scale）结果为5分或5分以下，且已</w:t>
            </w:r>
            <w:r>
              <w:rPr>
                <w:spacing w:val="-1"/>
                <w:sz w:val="21"/>
              </w:rPr>
              <w:t>经持续使用呼吸机及其它生命维持系统</w:t>
            </w:r>
            <w:r>
              <w:rPr>
                <w:sz w:val="21"/>
              </w:rPr>
              <w:t>96小时以上。</w:t>
            </w:r>
          </w:p>
          <w:p>
            <w:pPr>
              <w:pStyle w:val="TableParagraph"/>
              <w:spacing w:before="7"/>
              <w:ind w:left="153"/>
              <w:jc w:val="both"/>
              <w:rPr>
                <w:sz w:val="21"/>
              </w:rPr>
            </w:pPr>
            <w:r>
              <w:rPr>
                <w:sz w:val="21"/>
                <w:shd w:fill="DADADA" w:color="auto" w:val="clear"/>
              </w:rPr>
              <w:t>因酗酒或药物滥用导致的深度昏迷不在保障范围内。</w:t>
            </w:r>
          </w:p>
        </w:tc>
      </w:tr>
      <w:tr>
        <w:trPr>
          <w:trHeight w:val="1474" w:hRule="atLeast"/>
        </w:trPr>
        <w:tc>
          <w:tcPr>
            <w:tcW w:w="2034" w:type="dxa"/>
          </w:tcPr>
          <w:p>
            <w:pPr>
              <w:pStyle w:val="TableParagraph"/>
              <w:spacing w:before="98"/>
              <w:ind w:left="200"/>
              <w:rPr>
                <w:rFonts w:ascii="等线" w:eastAsia="等线" w:hint="eastAsia"/>
                <w:b/>
                <w:sz w:val="24"/>
              </w:rPr>
            </w:pPr>
            <w:r>
              <w:rPr>
                <w:rFonts w:ascii="等线" w:eastAsia="等线" w:hint="eastAsia"/>
                <w:b/>
                <w:sz w:val="24"/>
              </w:rPr>
              <w:t>双耳失聪</w:t>
            </w:r>
          </w:p>
        </w:tc>
        <w:tc>
          <w:tcPr>
            <w:tcW w:w="7575" w:type="dxa"/>
          </w:tcPr>
          <w:p>
            <w:pPr>
              <w:pStyle w:val="TableParagraph"/>
              <w:spacing w:before="99"/>
              <w:ind w:left="153"/>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6"/>
              <w:ind w:left="153" w:right="281"/>
              <w:rPr>
                <w:sz w:val="21"/>
              </w:rPr>
            </w:pPr>
            <w:r>
              <w:rPr>
                <w:sz w:val="21"/>
              </w:rPr>
              <w:t>1000赫兹和2000赫兹语音频率下，平均听阈大于90分贝，且经纯音听力测试、声导抗检测或听觉诱发电位检测等证实。</w:t>
            </w:r>
          </w:p>
          <w:p>
            <w:pPr>
              <w:pStyle w:val="TableParagraph"/>
              <w:spacing w:before="7"/>
              <w:ind w:left="153"/>
              <w:rPr>
                <w:sz w:val="21"/>
              </w:rPr>
            </w:pPr>
            <w:r>
              <w:rPr>
                <w:sz w:val="21"/>
                <w:shd w:fill="DADADA" w:color="auto" w:val="clear"/>
              </w:rPr>
              <w:t>在 0 至 3 周岁保单周年日期间，被保险人双耳失聪不在保障范围内。</w:t>
            </w:r>
          </w:p>
        </w:tc>
      </w:tr>
      <w:tr>
        <w:trPr>
          <w:trHeight w:val="2099" w:hRule="atLeast"/>
        </w:trPr>
        <w:tc>
          <w:tcPr>
            <w:tcW w:w="2034" w:type="dxa"/>
          </w:tcPr>
          <w:p>
            <w:pPr>
              <w:pStyle w:val="TableParagraph"/>
              <w:spacing w:before="98"/>
              <w:ind w:left="200"/>
              <w:rPr>
                <w:rFonts w:ascii="等线" w:eastAsia="等线" w:hint="eastAsia"/>
                <w:b/>
                <w:sz w:val="24"/>
              </w:rPr>
            </w:pPr>
            <w:r>
              <w:rPr>
                <w:rFonts w:ascii="等线" w:eastAsia="等线" w:hint="eastAsia"/>
                <w:b/>
                <w:sz w:val="24"/>
              </w:rPr>
              <w:t>双目失明</w:t>
            </w:r>
          </w:p>
        </w:tc>
        <w:tc>
          <w:tcPr>
            <w:tcW w:w="7575" w:type="dxa"/>
          </w:tcPr>
          <w:p>
            <w:pPr>
              <w:pStyle w:val="TableParagraph"/>
              <w:spacing w:line="273" w:lineRule="auto" w:before="99"/>
              <w:ind w:left="153" w:right="252"/>
              <w:rPr>
                <w:sz w:val="21"/>
              </w:rPr>
            </w:pPr>
            <w:r>
              <w:rPr>
                <w:sz w:val="21"/>
              </w:rPr>
              <w:t>指因疾病或意外伤害导致双眼视力永久不可逆性丧失，双眼中较好眼须满足下列至少一项条件：</w:t>
            </w:r>
          </w:p>
          <w:p>
            <w:pPr>
              <w:pStyle w:val="TableParagraph"/>
              <w:spacing w:before="7"/>
              <w:ind w:left="153"/>
              <w:rPr>
                <w:sz w:val="21"/>
              </w:rPr>
            </w:pPr>
            <w:r>
              <w:rPr>
                <w:sz w:val="21"/>
              </w:rPr>
              <w:t>（1）眼球缺失或摘除；</w:t>
            </w:r>
          </w:p>
          <w:p>
            <w:pPr>
              <w:pStyle w:val="TableParagraph"/>
              <w:spacing w:line="273" w:lineRule="auto" w:before="37"/>
              <w:ind w:left="684"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8"/>
              <w:ind w:left="153"/>
              <w:rPr>
                <w:sz w:val="21"/>
              </w:rPr>
            </w:pPr>
            <w:r>
              <w:rPr>
                <w:sz w:val="21"/>
              </w:rPr>
              <w:t>（3）视野半径小于 5 度。</w:t>
            </w:r>
          </w:p>
        </w:tc>
      </w:tr>
      <w:tr>
        <w:trPr>
          <w:trHeight w:val="1163" w:hRule="atLeast"/>
        </w:trPr>
        <w:tc>
          <w:tcPr>
            <w:tcW w:w="2034" w:type="dxa"/>
          </w:tcPr>
          <w:p>
            <w:pPr>
              <w:pStyle w:val="TableParagraph"/>
              <w:spacing w:before="99"/>
              <w:ind w:left="200"/>
              <w:rPr>
                <w:rFonts w:ascii="等线" w:eastAsia="等线" w:hint="eastAsia"/>
                <w:b/>
                <w:sz w:val="24"/>
              </w:rPr>
            </w:pPr>
            <w:r>
              <w:rPr>
                <w:rFonts w:ascii="等线" w:eastAsia="等线" w:hint="eastAsia"/>
                <w:b/>
                <w:sz w:val="24"/>
              </w:rPr>
              <w:t>瘫痪</w:t>
            </w:r>
          </w:p>
        </w:tc>
        <w:tc>
          <w:tcPr>
            <w:tcW w:w="7575" w:type="dxa"/>
          </w:tcPr>
          <w:p>
            <w:pPr>
              <w:pStyle w:val="TableParagraph"/>
              <w:spacing w:line="273" w:lineRule="auto" w:before="100"/>
              <w:ind w:left="152"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569" w:hRule="atLeast"/>
        </w:trPr>
        <w:tc>
          <w:tcPr>
            <w:tcW w:w="2034" w:type="dxa"/>
          </w:tcPr>
          <w:p>
            <w:pPr>
              <w:pStyle w:val="TableParagraph"/>
              <w:spacing w:before="98"/>
              <w:ind w:left="200"/>
              <w:rPr>
                <w:rFonts w:ascii="等线" w:eastAsia="等线" w:hint="eastAsia"/>
                <w:b/>
                <w:sz w:val="24"/>
              </w:rPr>
            </w:pPr>
            <w:r>
              <w:rPr>
                <w:rFonts w:ascii="等线" w:eastAsia="等线" w:hint="eastAsia"/>
                <w:b/>
                <w:sz w:val="24"/>
              </w:rPr>
              <w:t>心脏瓣膜手术</w:t>
            </w:r>
          </w:p>
        </w:tc>
        <w:tc>
          <w:tcPr>
            <w:tcW w:w="7575" w:type="dxa"/>
          </w:tcPr>
          <w:p>
            <w:pPr>
              <w:pStyle w:val="TableParagraph"/>
              <w:spacing w:before="99"/>
              <w:ind w:left="153"/>
              <w:rPr>
                <w:sz w:val="21"/>
              </w:rPr>
            </w:pPr>
            <w:r>
              <w:rPr>
                <w:sz w:val="21"/>
              </w:rPr>
              <w:t>指为治疗心脏瓣膜疾病，实际实施了开胸进行的心脏瓣膜置换或修复的手术。</w:t>
            </w:r>
          </w:p>
        </w:tc>
      </w:tr>
      <w:tr>
        <w:trPr>
          <w:trHeight w:val="2076" w:hRule="atLeast"/>
        </w:trPr>
        <w:tc>
          <w:tcPr>
            <w:tcW w:w="2034" w:type="dxa"/>
          </w:tcPr>
          <w:p>
            <w:pPr>
              <w:pStyle w:val="TableParagraph"/>
              <w:spacing w:line="235" w:lineRule="auto" w:before="83"/>
              <w:ind w:left="200" w:right="150"/>
              <w:rPr>
                <w:rFonts w:ascii="等线" w:eastAsia="等线" w:hint="eastAsia"/>
                <w:b/>
                <w:sz w:val="24"/>
              </w:rPr>
            </w:pPr>
            <w:r>
              <w:rPr>
                <w:rFonts w:ascii="等线" w:eastAsia="等线" w:hint="eastAsia"/>
                <w:b/>
                <w:sz w:val="24"/>
              </w:rPr>
              <w:t>严重阿尔茨海默病</w:t>
            </w:r>
          </w:p>
        </w:tc>
        <w:tc>
          <w:tcPr>
            <w:tcW w:w="7575" w:type="dxa"/>
          </w:tcPr>
          <w:p>
            <w:pPr>
              <w:pStyle w:val="TableParagraph"/>
              <w:spacing w:line="273" w:lineRule="auto" w:before="77"/>
              <w:ind w:left="153"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7"/>
              <w:ind w:left="153"/>
              <w:rPr>
                <w:sz w:val="21"/>
              </w:rPr>
            </w:pPr>
            <w:r>
              <w:rPr>
                <w:sz w:val="21"/>
                <w:shd w:fill="DADADA" w:color="auto" w:val="clear"/>
              </w:rPr>
              <w:t>神经官能症和精神疾病不在保障范围内。</w:t>
            </w:r>
          </w:p>
        </w:tc>
      </w:tr>
      <w:tr>
        <w:trPr>
          <w:trHeight w:val="2722" w:hRule="atLeast"/>
        </w:trPr>
        <w:tc>
          <w:tcPr>
            <w:tcW w:w="2034" w:type="dxa"/>
          </w:tcPr>
          <w:p>
            <w:pPr>
              <w:pStyle w:val="TableParagraph"/>
              <w:spacing w:before="98"/>
              <w:ind w:left="200"/>
              <w:rPr>
                <w:rFonts w:ascii="等线" w:eastAsia="等线" w:hint="eastAsia"/>
                <w:b/>
                <w:sz w:val="24"/>
              </w:rPr>
            </w:pPr>
            <w:r>
              <w:rPr>
                <w:rFonts w:ascii="等线" w:eastAsia="等线" w:hint="eastAsia"/>
                <w:b/>
                <w:sz w:val="24"/>
              </w:rPr>
              <w:t>严重脑损伤</w:t>
            </w:r>
          </w:p>
        </w:tc>
        <w:tc>
          <w:tcPr>
            <w:tcW w:w="7575" w:type="dxa"/>
          </w:tcPr>
          <w:p>
            <w:pPr>
              <w:pStyle w:val="TableParagraph"/>
              <w:spacing w:line="273" w:lineRule="auto" w:before="99"/>
              <w:ind w:left="153"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left="153"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9"/>
              <w:ind w:left="153"/>
              <w:rPr>
                <w:sz w:val="21"/>
              </w:rPr>
            </w:pPr>
            <w:r>
              <w:rPr>
                <w:sz w:val="21"/>
              </w:rPr>
              <w:t>（1）一肢或一肢以上肢体机能完全丧失；</w:t>
            </w:r>
          </w:p>
          <w:p>
            <w:pPr>
              <w:pStyle w:val="TableParagraph"/>
              <w:spacing w:before="36"/>
              <w:ind w:left="153"/>
              <w:rPr>
                <w:sz w:val="21"/>
              </w:rPr>
            </w:pPr>
            <w:r>
              <w:rPr>
                <w:sz w:val="21"/>
              </w:rPr>
              <w:t>（2）语言能力或咀嚼吞咽能力完全丧失；</w:t>
            </w:r>
          </w:p>
          <w:p>
            <w:pPr>
              <w:pStyle w:val="TableParagraph"/>
              <w:spacing w:line="273" w:lineRule="auto" w:before="36"/>
              <w:ind w:left="678" w:right="305" w:hanging="526"/>
              <w:rPr>
                <w:sz w:val="21"/>
              </w:rPr>
            </w:pPr>
            <w:r>
              <w:rPr>
                <w:sz w:val="21"/>
              </w:rPr>
              <w:t>（3）自主生活能力完全丧失，无法独立完成六项基本日常生活活动中的三项或三项以上。</w:t>
            </w:r>
          </w:p>
        </w:tc>
      </w:tr>
      <w:tr>
        <w:trPr>
          <w:trHeight w:val="686" w:hRule="atLeast"/>
        </w:trPr>
        <w:tc>
          <w:tcPr>
            <w:tcW w:w="2034" w:type="dxa"/>
          </w:tcPr>
          <w:p>
            <w:pPr>
              <w:pStyle w:val="TableParagraph"/>
              <w:spacing w:before="98"/>
              <w:ind w:left="200"/>
              <w:rPr>
                <w:rFonts w:ascii="等线" w:eastAsia="等线" w:hint="eastAsia"/>
                <w:b/>
                <w:sz w:val="24"/>
              </w:rPr>
            </w:pPr>
            <w:r>
              <w:rPr>
                <w:rFonts w:ascii="等线" w:eastAsia="等线" w:hint="eastAsia"/>
                <w:b/>
                <w:sz w:val="24"/>
              </w:rPr>
              <w:t>严重帕金森病</w:t>
            </w:r>
          </w:p>
        </w:tc>
        <w:tc>
          <w:tcPr>
            <w:tcW w:w="7575" w:type="dxa"/>
          </w:tcPr>
          <w:p>
            <w:pPr>
              <w:pStyle w:val="TableParagraph"/>
              <w:spacing w:line="310" w:lineRule="atLeast" w:before="64"/>
              <w:ind w:left="153" w:right="253"/>
              <w:rPr>
                <w:sz w:val="21"/>
              </w:rPr>
            </w:pPr>
            <w:r>
              <w:rPr>
                <w:sz w:val="21"/>
              </w:rPr>
              <w:t>是一种中枢神经系统的退行性疾病，临床表现为震颤麻痹、共济失调等。须满足下列全部条件：</w:t>
            </w:r>
          </w:p>
        </w:tc>
      </w:tr>
    </w:tbl>
    <w:p>
      <w:pPr>
        <w:spacing w:after="0" w:line="310" w:lineRule="atLeast"/>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493"/>
      </w:tblGrid>
      <w:tr>
        <w:trPr>
          <w:trHeight w:val="1310" w:hRule="atLeast"/>
        </w:trPr>
        <w:tc>
          <w:tcPr>
            <w:tcW w:w="2034" w:type="dxa"/>
          </w:tcPr>
          <w:p>
            <w:pPr>
              <w:pStyle w:val="TableParagraph"/>
              <w:rPr>
                <w:rFonts w:ascii="Times New Roman"/>
                <w:sz w:val="20"/>
              </w:rPr>
            </w:pPr>
          </w:p>
        </w:tc>
        <w:tc>
          <w:tcPr>
            <w:tcW w:w="7493" w:type="dxa"/>
          </w:tcPr>
          <w:p>
            <w:pPr>
              <w:pStyle w:val="TableParagraph"/>
              <w:spacing w:line="210" w:lineRule="exact"/>
              <w:ind w:left="153"/>
              <w:rPr>
                <w:sz w:val="21"/>
              </w:rPr>
            </w:pPr>
            <w:r>
              <w:rPr>
                <w:sz w:val="21"/>
              </w:rPr>
              <w:t>（1）药物治疗无法控制病情；</w:t>
            </w:r>
          </w:p>
          <w:p>
            <w:pPr>
              <w:pStyle w:val="TableParagraph"/>
              <w:spacing w:line="273" w:lineRule="auto" w:before="37"/>
              <w:ind w:left="684" w:right="225" w:hanging="526"/>
              <w:rPr>
                <w:sz w:val="21"/>
              </w:rPr>
            </w:pPr>
            <w:r>
              <w:rPr>
                <w:sz w:val="21"/>
              </w:rPr>
              <w:t>（2）自主生活能力完全丧失，无法独立完成六项基本日常生活活动中的三项或三项以上。</w:t>
            </w:r>
          </w:p>
          <w:p>
            <w:pPr>
              <w:pStyle w:val="TableParagraph"/>
              <w:spacing w:before="7"/>
              <w:ind w:left="153"/>
              <w:rPr>
                <w:sz w:val="21"/>
              </w:rPr>
            </w:pPr>
            <w:r>
              <w:rPr>
                <w:sz w:val="21"/>
                <w:shd w:fill="DADADA" w:color="auto" w:val="clear"/>
              </w:rPr>
              <w:t>继发性帕金森综合征不在保障范围内。</w:t>
            </w:r>
          </w:p>
        </w:tc>
      </w:tr>
      <w:tr>
        <w:trPr>
          <w:trHeight w:val="850" w:hRule="atLeast"/>
        </w:trPr>
        <w:tc>
          <w:tcPr>
            <w:tcW w:w="2034" w:type="dxa"/>
          </w:tcPr>
          <w:p>
            <w:pPr>
              <w:pStyle w:val="TableParagraph"/>
              <w:spacing w:before="98"/>
              <w:ind w:left="200"/>
              <w:rPr>
                <w:rFonts w:ascii="等线" w:hAnsi="等线" w:eastAsia="等线" w:hint="eastAsia"/>
                <w:b/>
                <w:sz w:val="24"/>
              </w:rPr>
            </w:pPr>
            <w:r>
              <w:rPr>
                <w:rFonts w:ascii="等线" w:hAnsi="等线" w:eastAsia="等线" w:hint="eastAsia"/>
                <w:b/>
                <w:sz w:val="24"/>
              </w:rPr>
              <w:t>严重Ⅲ度烧伤</w:t>
            </w:r>
          </w:p>
        </w:tc>
        <w:tc>
          <w:tcPr>
            <w:tcW w:w="7493" w:type="dxa"/>
          </w:tcPr>
          <w:p>
            <w:pPr>
              <w:pStyle w:val="TableParagraph"/>
              <w:spacing w:line="273" w:lineRule="auto" w:before="99"/>
              <w:ind w:left="153" w:right="170"/>
              <w:rPr>
                <w:sz w:val="21"/>
              </w:rPr>
            </w:pPr>
            <w:r>
              <w:rPr>
                <w:sz w:val="21"/>
              </w:rPr>
              <w:t>指烧伤程度为Ⅲ度，且Ⅲ度烧伤的面积达到全身体表面积的 20%或 20%以上。体表面积根据《中国新九分法》计算。</w:t>
            </w:r>
          </w:p>
        </w:tc>
      </w:tr>
      <w:tr>
        <w:trPr>
          <w:trHeight w:val="1162" w:hRule="atLeast"/>
        </w:trPr>
        <w:tc>
          <w:tcPr>
            <w:tcW w:w="2034" w:type="dxa"/>
          </w:tcPr>
          <w:p>
            <w:pPr>
              <w:pStyle w:val="TableParagraph"/>
              <w:spacing w:line="235" w:lineRule="auto" w:before="105"/>
              <w:ind w:left="200" w:right="150"/>
              <w:rPr>
                <w:rFonts w:ascii="等线" w:eastAsia="等线" w:hint="eastAsia"/>
                <w:b/>
                <w:sz w:val="24"/>
              </w:rPr>
            </w:pPr>
            <w:r>
              <w:rPr>
                <w:rFonts w:ascii="等线" w:eastAsia="等线" w:hint="eastAsia"/>
                <w:b/>
                <w:sz w:val="24"/>
              </w:rPr>
              <w:t>严重原发性肺动脉高压</w:t>
            </w:r>
          </w:p>
        </w:tc>
        <w:tc>
          <w:tcPr>
            <w:tcW w:w="7493" w:type="dxa"/>
          </w:tcPr>
          <w:p>
            <w:pPr>
              <w:pStyle w:val="TableParagraph"/>
              <w:spacing w:line="273" w:lineRule="auto" w:before="99"/>
              <w:ind w:left="153" w:right="221"/>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r>
        <w:trPr>
          <w:trHeight w:val="1475" w:hRule="atLeast"/>
        </w:trPr>
        <w:tc>
          <w:tcPr>
            <w:tcW w:w="2034" w:type="dxa"/>
          </w:tcPr>
          <w:p>
            <w:pPr>
              <w:pStyle w:val="TableParagraph"/>
              <w:spacing w:line="235" w:lineRule="auto" w:before="105"/>
              <w:ind w:left="200" w:right="150"/>
              <w:rPr>
                <w:rFonts w:ascii="等线" w:eastAsia="等线" w:hint="eastAsia"/>
                <w:b/>
                <w:sz w:val="24"/>
              </w:rPr>
            </w:pPr>
            <w:r>
              <w:rPr>
                <w:rFonts w:ascii="等线" w:eastAsia="等线" w:hint="eastAsia"/>
                <w:b/>
                <w:sz w:val="24"/>
              </w:rPr>
              <w:t>严重运动神经元病</w:t>
            </w:r>
          </w:p>
        </w:tc>
        <w:tc>
          <w:tcPr>
            <w:tcW w:w="7493" w:type="dxa"/>
          </w:tcPr>
          <w:p>
            <w:pPr>
              <w:pStyle w:val="TableParagraph"/>
              <w:spacing w:line="273" w:lineRule="auto" w:before="99"/>
              <w:ind w:left="153" w:right="197"/>
              <w:jc w:val="both"/>
              <w:rPr>
                <w:sz w:val="21"/>
              </w:rPr>
            </w:pPr>
            <w:r>
              <w:rPr>
                <w:sz w:val="21"/>
              </w:rPr>
              <w:t>是一组中枢神经系统运动神经元的进行性变性疾病，包括进行性脊肌萎缩症、</w:t>
            </w: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475" w:hRule="atLeast"/>
        </w:trPr>
        <w:tc>
          <w:tcPr>
            <w:tcW w:w="2034" w:type="dxa"/>
          </w:tcPr>
          <w:p>
            <w:pPr>
              <w:pStyle w:val="TableParagraph"/>
              <w:spacing w:before="99"/>
              <w:ind w:left="200"/>
              <w:rPr>
                <w:rFonts w:ascii="等线" w:eastAsia="等线" w:hint="eastAsia"/>
                <w:b/>
                <w:sz w:val="24"/>
              </w:rPr>
            </w:pPr>
            <w:r>
              <w:rPr>
                <w:rFonts w:ascii="等线" w:eastAsia="等线" w:hint="eastAsia"/>
                <w:b/>
                <w:sz w:val="24"/>
              </w:rPr>
              <w:t>语言能力丧失</w:t>
            </w:r>
          </w:p>
        </w:tc>
        <w:tc>
          <w:tcPr>
            <w:tcW w:w="7493" w:type="dxa"/>
          </w:tcPr>
          <w:p>
            <w:pPr>
              <w:pStyle w:val="TableParagraph"/>
              <w:spacing w:line="273" w:lineRule="auto" w:before="100"/>
              <w:ind w:left="153" w:right="221"/>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153"/>
              <w:rPr>
                <w:sz w:val="21"/>
              </w:rPr>
            </w:pPr>
            <w:r>
              <w:rPr>
                <w:sz w:val="21"/>
                <w:shd w:fill="DADADA" w:color="auto" w:val="clear"/>
              </w:rPr>
              <w:t>精神心理因素所致的语言能力丧失不在保障范围内。</w:t>
            </w:r>
          </w:p>
          <w:p>
            <w:pPr>
              <w:pStyle w:val="TableParagraph"/>
              <w:spacing w:before="36"/>
              <w:ind w:left="153"/>
              <w:rPr>
                <w:sz w:val="21"/>
              </w:rPr>
            </w:pPr>
            <w:r>
              <w:rPr>
                <w:sz w:val="21"/>
                <w:shd w:fill="DADADA" w:color="auto" w:val="clear"/>
              </w:rPr>
              <w:t>在 0 至 3 周岁保单周年日期间，被保险人语言能力丧失不在保障范围内。</w:t>
            </w:r>
          </w:p>
        </w:tc>
      </w:tr>
      <w:tr>
        <w:trPr>
          <w:trHeight w:val="2410" w:hRule="atLeast"/>
        </w:trPr>
        <w:tc>
          <w:tcPr>
            <w:tcW w:w="2034" w:type="dxa"/>
          </w:tcPr>
          <w:p>
            <w:pPr>
              <w:pStyle w:val="TableParagraph"/>
              <w:spacing w:line="235" w:lineRule="auto" w:before="105"/>
              <w:ind w:left="200" w:right="150"/>
              <w:rPr>
                <w:rFonts w:ascii="等线" w:eastAsia="等线" w:hint="eastAsia"/>
                <w:b/>
                <w:sz w:val="24"/>
              </w:rPr>
            </w:pPr>
            <w:r>
              <w:rPr>
                <w:rFonts w:ascii="等线" w:eastAsia="等线" w:hint="eastAsia"/>
                <w:b/>
                <w:sz w:val="24"/>
              </w:rPr>
              <w:t>重型再生障碍性贫血</w:t>
            </w:r>
          </w:p>
        </w:tc>
        <w:tc>
          <w:tcPr>
            <w:tcW w:w="7493" w:type="dxa"/>
          </w:tcPr>
          <w:p>
            <w:pPr>
              <w:pStyle w:val="TableParagraph"/>
              <w:spacing w:line="273" w:lineRule="auto" w:before="99"/>
              <w:ind w:left="153" w:right="215"/>
              <w:rPr>
                <w:sz w:val="21"/>
              </w:rPr>
            </w:pPr>
            <w:r>
              <w:rPr>
                <w:sz w:val="21"/>
              </w:rPr>
              <w:t>指因骨髓造血功能慢性持续性衰竭导致的贫血、中性粒细胞减少及血小板减少。须满足下列全部条件：</w:t>
            </w:r>
          </w:p>
          <w:p>
            <w:pPr>
              <w:pStyle w:val="TableParagraph"/>
              <w:spacing w:before="7"/>
              <w:ind w:left="153"/>
              <w:rPr>
                <w:sz w:val="21"/>
              </w:rPr>
            </w:pPr>
            <w:r>
              <w:rPr>
                <w:sz w:val="21"/>
              </w:rPr>
              <w:t>（1）骨髓穿刺检查或骨髓活检结果支持诊断；</w:t>
            </w:r>
          </w:p>
          <w:p>
            <w:pPr>
              <w:pStyle w:val="TableParagraph"/>
              <w:spacing w:before="37"/>
              <w:ind w:left="153"/>
              <w:rPr>
                <w:sz w:val="21"/>
              </w:rPr>
            </w:pPr>
            <w:r>
              <w:rPr>
                <w:sz w:val="21"/>
              </w:rPr>
              <w:t>（2）外周血象须具备以下三项条件：</w:t>
            </w:r>
          </w:p>
          <w:p>
            <w:pPr>
              <w:pStyle w:val="TableParagraph"/>
              <w:spacing w:before="37"/>
              <w:ind w:left="363"/>
              <w:rPr>
                <w:sz w:val="21"/>
              </w:rPr>
            </w:pPr>
            <w:r>
              <w:rPr>
                <w:sz w:val="21"/>
              </w:rPr>
              <w:t>① 中性粒细胞绝对值≤0.5×10</w:t>
            </w:r>
            <w:r>
              <w:rPr>
                <w:position w:val="11"/>
                <w:sz w:val="11"/>
              </w:rPr>
              <w:t>9</w:t>
            </w:r>
            <w:r>
              <w:rPr>
                <w:sz w:val="21"/>
              </w:rPr>
              <w:t>/L；</w:t>
            </w:r>
          </w:p>
          <w:p>
            <w:pPr>
              <w:pStyle w:val="TableParagraph"/>
              <w:spacing w:before="36"/>
              <w:ind w:left="363"/>
              <w:rPr>
                <w:sz w:val="21"/>
              </w:rPr>
            </w:pPr>
            <w:r>
              <w:rPr>
                <w:sz w:val="21"/>
              </w:rPr>
              <w:t>② 网织红细胞＜1%；</w:t>
            </w:r>
          </w:p>
          <w:p>
            <w:pPr>
              <w:pStyle w:val="TableParagraph"/>
              <w:spacing w:before="36"/>
              <w:ind w:left="363"/>
              <w:rPr>
                <w:sz w:val="21"/>
              </w:rPr>
            </w:pPr>
            <w:r>
              <w:rPr>
                <w:sz w:val="21"/>
              </w:rPr>
              <w:t>③ 血小板绝对值≤20×10</w:t>
            </w:r>
            <w:r>
              <w:rPr>
                <w:position w:val="11"/>
                <w:sz w:val="11"/>
              </w:rPr>
              <w:t>9</w:t>
            </w:r>
            <w:r>
              <w:rPr>
                <w:sz w:val="21"/>
              </w:rPr>
              <w:t>/L。</w:t>
            </w:r>
          </w:p>
        </w:tc>
      </w:tr>
      <w:tr>
        <w:trPr>
          <w:trHeight w:val="1474" w:hRule="atLeast"/>
        </w:trPr>
        <w:tc>
          <w:tcPr>
            <w:tcW w:w="2034" w:type="dxa"/>
          </w:tcPr>
          <w:p>
            <w:pPr>
              <w:pStyle w:val="TableParagraph"/>
              <w:spacing w:before="98"/>
              <w:ind w:left="200"/>
              <w:rPr>
                <w:rFonts w:ascii="等线" w:eastAsia="等线" w:hint="eastAsia"/>
                <w:b/>
                <w:sz w:val="24"/>
              </w:rPr>
            </w:pPr>
            <w:r>
              <w:rPr>
                <w:rFonts w:ascii="等线" w:eastAsia="等线" w:hint="eastAsia"/>
                <w:b/>
                <w:sz w:val="24"/>
              </w:rPr>
              <w:t>主动脉手术</w:t>
            </w:r>
          </w:p>
        </w:tc>
        <w:tc>
          <w:tcPr>
            <w:tcW w:w="7493" w:type="dxa"/>
          </w:tcPr>
          <w:p>
            <w:pPr>
              <w:pStyle w:val="TableParagraph"/>
              <w:spacing w:line="273" w:lineRule="auto" w:before="99"/>
              <w:ind w:left="153" w:right="221"/>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153"/>
              <w:jc w:val="both"/>
              <w:rPr>
                <w:sz w:val="21"/>
              </w:rPr>
            </w:pPr>
            <w:r>
              <w:rPr>
                <w:sz w:val="21"/>
                <w:shd w:fill="DADADA" w:color="auto" w:val="clear"/>
              </w:rPr>
              <w:t>动脉内血管成形术不在保障范围内。</w:t>
            </w:r>
          </w:p>
        </w:tc>
      </w:tr>
      <w:tr>
        <w:trPr>
          <w:trHeight w:val="850" w:hRule="atLeast"/>
        </w:trPr>
        <w:tc>
          <w:tcPr>
            <w:tcW w:w="2034" w:type="dxa"/>
          </w:tcPr>
          <w:p>
            <w:pPr>
              <w:pStyle w:val="TableParagraph"/>
              <w:rPr>
                <w:rFonts w:ascii="Times New Roman"/>
                <w:sz w:val="20"/>
              </w:rPr>
            </w:pPr>
          </w:p>
        </w:tc>
        <w:tc>
          <w:tcPr>
            <w:tcW w:w="7493" w:type="dxa"/>
          </w:tcPr>
          <w:p>
            <w:pPr>
              <w:pStyle w:val="TableParagraph"/>
              <w:spacing w:line="273" w:lineRule="auto" w:before="99"/>
              <w:ind w:left="153" w:right="215"/>
              <w:rPr>
                <w:sz w:val="21"/>
              </w:rPr>
            </w:pPr>
            <w:r>
              <w:rPr>
                <w:sz w:val="21"/>
              </w:rPr>
              <w:t>以下重大疾病是本公司在中国保险行业协会与中国医师协会制定了规范定义的疾病范围之外增加的疾病。</w:t>
            </w:r>
          </w:p>
        </w:tc>
      </w:tr>
      <w:tr>
        <w:trPr>
          <w:trHeight w:val="2410" w:hRule="atLeast"/>
        </w:trPr>
        <w:tc>
          <w:tcPr>
            <w:tcW w:w="2034" w:type="dxa"/>
          </w:tcPr>
          <w:p>
            <w:pPr>
              <w:pStyle w:val="TableParagraph"/>
              <w:spacing w:line="235" w:lineRule="auto" w:before="105"/>
              <w:ind w:left="200" w:right="150"/>
              <w:rPr>
                <w:rFonts w:ascii="等线" w:eastAsia="等线" w:hint="eastAsia"/>
                <w:b/>
                <w:sz w:val="24"/>
              </w:rPr>
            </w:pPr>
            <w:r>
              <w:rPr>
                <w:rFonts w:ascii="等线" w:eastAsia="等线" w:hint="eastAsia"/>
                <w:b/>
                <w:sz w:val="24"/>
              </w:rPr>
              <w:t>严重的多发性硬化</w:t>
            </w:r>
          </w:p>
        </w:tc>
        <w:tc>
          <w:tcPr>
            <w:tcW w:w="7493" w:type="dxa"/>
          </w:tcPr>
          <w:p>
            <w:pPr>
              <w:pStyle w:val="TableParagraph"/>
              <w:spacing w:line="273" w:lineRule="auto" w:before="99"/>
              <w:ind w:left="153"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152"/>
              <w:jc w:val="both"/>
              <w:rPr>
                <w:sz w:val="21"/>
              </w:rPr>
            </w:pPr>
            <w:r>
              <w:rPr>
                <w:sz w:val="21"/>
              </w:rPr>
              <w:t>由神经科专科医生提供的明确诊断必须同时包含下列内容：</w:t>
            </w:r>
          </w:p>
          <w:p>
            <w:pPr>
              <w:pStyle w:val="TableParagraph"/>
              <w:spacing w:before="37"/>
              <w:ind w:left="152"/>
              <w:jc w:val="both"/>
              <w:rPr>
                <w:sz w:val="21"/>
              </w:rPr>
            </w:pPr>
            <w:r>
              <w:rPr>
                <w:sz w:val="21"/>
              </w:rPr>
              <w:t>（1）明确出现因视神经、脑干和脊髓损伤而导致的临床表现；</w:t>
            </w:r>
          </w:p>
          <w:p>
            <w:pPr>
              <w:pStyle w:val="TableParagraph"/>
              <w:spacing w:before="37"/>
              <w:ind w:left="152"/>
              <w:jc w:val="both"/>
              <w:rPr>
                <w:sz w:val="21"/>
              </w:rPr>
            </w:pPr>
            <w:r>
              <w:rPr>
                <w:sz w:val="21"/>
              </w:rPr>
              <w:t>（2）神经系统散在的多部位病变；</w:t>
            </w:r>
          </w:p>
          <w:p>
            <w:pPr>
              <w:pStyle w:val="TableParagraph"/>
              <w:spacing w:before="37"/>
              <w:ind w:left="152"/>
              <w:jc w:val="both"/>
              <w:rPr>
                <w:sz w:val="21"/>
              </w:rPr>
            </w:pPr>
            <w:r>
              <w:rPr>
                <w:sz w:val="21"/>
              </w:rPr>
              <w:t>（3）有明确的上述症状及神经损伤反复恶化、减轻的病史纪录。</w:t>
            </w:r>
          </w:p>
        </w:tc>
      </w:tr>
      <w:tr>
        <w:trPr>
          <w:trHeight w:val="998" w:hRule="atLeast"/>
        </w:trPr>
        <w:tc>
          <w:tcPr>
            <w:tcW w:w="2034" w:type="dxa"/>
          </w:tcPr>
          <w:p>
            <w:pPr>
              <w:pStyle w:val="TableParagraph"/>
              <w:spacing w:line="235" w:lineRule="auto" w:before="105"/>
              <w:ind w:left="200" w:right="111"/>
              <w:rPr>
                <w:rFonts w:ascii="等线" w:eastAsia="等线" w:hint="eastAsia"/>
                <w:b/>
                <w:sz w:val="24"/>
              </w:rPr>
            </w:pPr>
            <w:r>
              <w:rPr>
                <w:rFonts w:ascii="等线" w:eastAsia="等线" w:hint="eastAsia"/>
                <w:b/>
                <w:sz w:val="24"/>
              </w:rPr>
              <w:t>严重的 1 型糖尿病</w:t>
            </w:r>
          </w:p>
        </w:tc>
        <w:tc>
          <w:tcPr>
            <w:tcW w:w="7493" w:type="dxa"/>
          </w:tcPr>
          <w:p>
            <w:pPr>
              <w:pStyle w:val="TableParagraph"/>
              <w:spacing w:line="310" w:lineRule="atLeast" w:before="64"/>
              <w:ind w:left="152"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p>
        </w:tc>
      </w:tr>
    </w:tbl>
    <w:p>
      <w:pPr>
        <w:spacing w:after="0" w:line="310" w:lineRule="atLeast"/>
        <w:jc w:val="both"/>
        <w:rPr>
          <w:sz w:val="21"/>
        </w:rPr>
        <w:sectPr>
          <w:pgSz w:w="11910" w:h="16840"/>
          <w:pgMar w:top="116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1"/>
        <w:gridCol w:w="7499"/>
      </w:tblGrid>
      <w:tr>
        <w:trPr>
          <w:trHeight w:val="1310" w:hRule="atLeast"/>
        </w:trPr>
        <w:tc>
          <w:tcPr>
            <w:tcW w:w="679" w:type="dxa"/>
          </w:tcPr>
          <w:p>
            <w:pPr>
              <w:pStyle w:val="TableParagraph"/>
              <w:rPr>
                <w:rFonts w:ascii="Times New Roman"/>
                <w:sz w:val="20"/>
              </w:rPr>
            </w:pPr>
          </w:p>
        </w:tc>
        <w:tc>
          <w:tcPr>
            <w:tcW w:w="1991" w:type="dxa"/>
          </w:tcPr>
          <w:p>
            <w:pPr>
              <w:pStyle w:val="TableParagraph"/>
              <w:rPr>
                <w:rFonts w:ascii="Times New Roman"/>
                <w:sz w:val="20"/>
              </w:rPr>
            </w:pPr>
          </w:p>
        </w:tc>
        <w:tc>
          <w:tcPr>
            <w:tcW w:w="7499" w:type="dxa"/>
          </w:tcPr>
          <w:p>
            <w:pPr>
              <w:pStyle w:val="TableParagraph"/>
              <w:spacing w:line="210" w:lineRule="exact"/>
              <w:ind w:left="156"/>
              <w:rPr>
                <w:sz w:val="21"/>
              </w:rPr>
            </w:pPr>
            <w:r>
              <w:rPr>
                <w:sz w:val="21"/>
              </w:rPr>
              <w:t>同有效期内，满足下述至少 1 个条件：</w:t>
            </w:r>
          </w:p>
          <w:p>
            <w:pPr>
              <w:pStyle w:val="TableParagraph"/>
              <w:spacing w:before="37"/>
              <w:ind w:left="156"/>
              <w:rPr>
                <w:sz w:val="21"/>
              </w:rPr>
            </w:pPr>
            <w:r>
              <w:rPr>
                <w:sz w:val="21"/>
              </w:rPr>
              <w:t>（1）已出现增殖性视网膜病变；</w:t>
            </w:r>
          </w:p>
          <w:p>
            <w:pPr>
              <w:pStyle w:val="TableParagraph"/>
              <w:spacing w:before="37"/>
              <w:ind w:left="156"/>
              <w:rPr>
                <w:sz w:val="21"/>
              </w:rPr>
            </w:pPr>
            <w:r>
              <w:rPr>
                <w:sz w:val="21"/>
              </w:rPr>
              <w:t>（2）须植入心脏起搏器治疗心脏病；</w:t>
            </w:r>
          </w:p>
          <w:p>
            <w:pPr>
              <w:pStyle w:val="TableParagraph"/>
              <w:spacing w:before="37"/>
              <w:ind w:left="156"/>
              <w:rPr>
                <w:sz w:val="21"/>
              </w:rPr>
            </w:pPr>
            <w:r>
              <w:rPr>
                <w:sz w:val="21"/>
              </w:rPr>
              <w:t>（3）因坏疽需切除至少一个脚趾。</w:t>
            </w:r>
          </w:p>
        </w:tc>
      </w:tr>
      <w:tr>
        <w:trPr>
          <w:trHeight w:val="1208" w:hRule="atLeast"/>
        </w:trPr>
        <w:tc>
          <w:tcPr>
            <w:tcW w:w="679" w:type="dxa"/>
          </w:tcPr>
          <w:p>
            <w:pPr>
              <w:pStyle w:val="TableParagraph"/>
              <w:rPr>
                <w:rFonts w:ascii="Times New Roman"/>
                <w:sz w:val="20"/>
              </w:rPr>
            </w:pPr>
          </w:p>
        </w:tc>
        <w:tc>
          <w:tcPr>
            <w:tcW w:w="1991" w:type="dxa"/>
          </w:tcPr>
          <w:p>
            <w:pPr>
              <w:pStyle w:val="TableParagraph"/>
              <w:spacing w:line="324" w:lineRule="exact" w:before="98"/>
              <w:ind w:left="160"/>
              <w:rPr>
                <w:rFonts w:ascii="等线" w:eastAsia="等线" w:hint="eastAsia"/>
                <w:b/>
                <w:sz w:val="24"/>
              </w:rPr>
            </w:pPr>
            <w:r>
              <w:rPr>
                <w:rFonts w:ascii="等线" w:eastAsia="等线" w:hint="eastAsia"/>
                <w:b/>
                <w:sz w:val="24"/>
              </w:rPr>
              <w:t>侵蚀性葡萄胎</w:t>
            </w:r>
          </w:p>
          <w:p>
            <w:pPr>
              <w:pStyle w:val="TableParagraph"/>
              <w:spacing w:line="235" w:lineRule="auto" w:before="2"/>
              <w:ind w:left="160" w:right="147"/>
              <w:rPr>
                <w:rFonts w:ascii="等线" w:eastAsia="等线" w:hint="eastAsia"/>
                <w:b/>
                <w:sz w:val="24"/>
              </w:rPr>
            </w:pPr>
            <w:r>
              <w:rPr>
                <w:rFonts w:ascii="等线" w:eastAsia="等线" w:hint="eastAsia"/>
                <w:b/>
                <w:sz w:val="24"/>
              </w:rPr>
              <w:t>（或称恶性葡萄胎）</w:t>
            </w:r>
          </w:p>
        </w:tc>
        <w:tc>
          <w:tcPr>
            <w:tcW w:w="7499" w:type="dxa"/>
          </w:tcPr>
          <w:p>
            <w:pPr>
              <w:pStyle w:val="TableParagraph"/>
              <w:spacing w:line="273" w:lineRule="auto" w:before="99"/>
              <w:ind w:left="156" w:right="217"/>
              <w:rPr>
                <w:sz w:val="21"/>
              </w:rPr>
            </w:pPr>
            <w:r>
              <w:rPr>
                <w:sz w:val="21"/>
              </w:rPr>
              <w:t>该类疾病是指异常增生的绒毛组织浸润性生长浸入子宫肌层或转移至其他器官或组织的葡萄胎，并已经进行化疗或手术治疗的。</w:t>
            </w:r>
          </w:p>
        </w:tc>
      </w:tr>
      <w:tr>
        <w:trPr>
          <w:trHeight w:val="6445" w:hRule="atLeast"/>
        </w:trPr>
        <w:tc>
          <w:tcPr>
            <w:tcW w:w="679" w:type="dxa"/>
          </w:tcPr>
          <w:p>
            <w:pPr>
              <w:pStyle w:val="TableParagraph"/>
              <w:rPr>
                <w:rFonts w:ascii="Times New Roman"/>
                <w:sz w:val="20"/>
              </w:rPr>
            </w:pPr>
          </w:p>
        </w:tc>
        <w:tc>
          <w:tcPr>
            <w:tcW w:w="1991" w:type="dxa"/>
          </w:tcPr>
          <w:p>
            <w:pPr>
              <w:pStyle w:val="TableParagraph"/>
              <w:spacing w:line="235" w:lineRule="auto" w:before="83"/>
              <w:ind w:left="160" w:right="147"/>
              <w:jc w:val="both"/>
              <w:rPr>
                <w:rFonts w:ascii="等线" w:eastAsia="等线" w:hint="eastAsia"/>
                <w:b/>
                <w:sz w:val="24"/>
              </w:rPr>
            </w:pPr>
            <w:r>
              <w:rPr>
                <w:rFonts w:ascii="等线" w:eastAsia="等线" w:hint="eastAsia"/>
                <w:b/>
                <w:sz w:val="24"/>
              </w:rPr>
              <w:t>系统性红斑狼疮并发重度的肾功能损害</w:t>
            </w:r>
          </w:p>
        </w:tc>
        <w:tc>
          <w:tcPr>
            <w:tcW w:w="7499" w:type="dxa"/>
          </w:tcPr>
          <w:p>
            <w:pPr>
              <w:pStyle w:val="TableParagraph"/>
              <w:spacing w:before="77"/>
              <w:ind w:left="156"/>
              <w:rPr>
                <w:sz w:val="21"/>
              </w:rPr>
            </w:pPr>
            <w:r>
              <w:rPr>
                <w:sz w:val="21"/>
              </w:rPr>
              <w:t>该类疾病保障仅限于女性。</w:t>
            </w:r>
          </w:p>
          <w:p>
            <w:pPr>
              <w:pStyle w:val="TableParagraph"/>
              <w:spacing w:line="273" w:lineRule="auto" w:before="36"/>
              <w:ind w:left="156" w:right="200"/>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156"/>
              <w:jc w:val="both"/>
              <w:rPr>
                <w:sz w:val="21"/>
              </w:rPr>
            </w:pPr>
            <w:r>
              <w:rPr>
                <w:sz w:val="21"/>
              </w:rPr>
              <w:t>（1）临床表现至少具备下列条件中的 4 个：</w:t>
            </w:r>
          </w:p>
          <w:p>
            <w:pPr>
              <w:pStyle w:val="TableParagraph"/>
              <w:spacing w:before="37"/>
              <w:ind w:left="366"/>
              <w:rPr>
                <w:sz w:val="21"/>
              </w:rPr>
            </w:pPr>
            <w:r>
              <w:rPr>
                <w:sz w:val="21"/>
              </w:rPr>
              <w:t>① 蝶形红斑或盘形红斑；</w:t>
            </w:r>
          </w:p>
          <w:p>
            <w:pPr>
              <w:pStyle w:val="TableParagraph"/>
              <w:spacing w:before="37"/>
              <w:ind w:left="366"/>
              <w:rPr>
                <w:sz w:val="21"/>
              </w:rPr>
            </w:pPr>
            <w:r>
              <w:rPr>
                <w:sz w:val="21"/>
              </w:rPr>
              <w:t>② 光敏感；</w:t>
            </w:r>
          </w:p>
          <w:p>
            <w:pPr>
              <w:pStyle w:val="TableParagraph"/>
              <w:spacing w:before="37"/>
              <w:ind w:left="366"/>
              <w:rPr>
                <w:sz w:val="21"/>
              </w:rPr>
            </w:pPr>
            <w:r>
              <w:rPr>
                <w:sz w:val="21"/>
              </w:rPr>
              <w:t>③ 口鼻腔黏膜溃疡；</w:t>
            </w:r>
          </w:p>
          <w:p>
            <w:pPr>
              <w:pStyle w:val="TableParagraph"/>
              <w:spacing w:before="37"/>
              <w:ind w:left="366"/>
              <w:rPr>
                <w:sz w:val="21"/>
              </w:rPr>
            </w:pPr>
            <w:r>
              <w:rPr>
                <w:sz w:val="21"/>
              </w:rPr>
              <w:t>④ 非畸形性关节炎或多关节痛；</w:t>
            </w:r>
          </w:p>
          <w:p>
            <w:pPr>
              <w:pStyle w:val="TableParagraph"/>
              <w:spacing w:before="37"/>
              <w:ind w:left="366"/>
              <w:rPr>
                <w:sz w:val="21"/>
              </w:rPr>
            </w:pPr>
            <w:r>
              <w:rPr>
                <w:sz w:val="21"/>
              </w:rPr>
              <w:t>⑤ 胸膜炎或心包炎；</w:t>
            </w:r>
          </w:p>
          <w:p>
            <w:pPr>
              <w:pStyle w:val="TableParagraph"/>
              <w:spacing w:before="37"/>
              <w:ind w:left="366"/>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51" w:right="224" w:hanging="285"/>
              <w:rPr>
                <w:sz w:val="21"/>
              </w:rPr>
            </w:pPr>
            <w:r>
              <w:rPr>
                <w:spacing w:val="-2"/>
                <w:sz w:val="21"/>
              </w:rPr>
              <w:t>⑦ 血象异常</w:t>
            </w:r>
            <w:r>
              <w:rPr>
                <w:sz w:val="21"/>
              </w:rPr>
              <w:t>（</w:t>
            </w:r>
            <w:r>
              <w:rPr>
                <w:spacing w:val="-6"/>
                <w:sz w:val="21"/>
              </w:rPr>
              <w:t>白细胞小于 </w:t>
            </w:r>
            <w:r>
              <w:rPr>
                <w:sz w:val="21"/>
              </w:rPr>
              <w:t>4000/μl</w:t>
            </w:r>
            <w:r>
              <w:rPr>
                <w:spacing w:val="-10"/>
                <w:sz w:val="21"/>
              </w:rPr>
              <w:t> 或血小板小于 </w:t>
            </w:r>
            <w:r>
              <w:rPr>
                <w:sz w:val="21"/>
              </w:rPr>
              <w:t>100000/μl</w:t>
            </w:r>
            <w:r>
              <w:rPr>
                <w:spacing w:val="-7"/>
                <w:sz w:val="21"/>
              </w:rPr>
              <w:t> 或溶血性贫血</w:t>
            </w:r>
            <w:r>
              <w:rPr>
                <w:spacing w:val="-105"/>
                <w:sz w:val="21"/>
              </w:rPr>
              <w:t>）。</w:t>
            </w:r>
          </w:p>
          <w:p>
            <w:pPr>
              <w:pStyle w:val="TableParagraph"/>
              <w:spacing w:before="8"/>
              <w:ind w:left="157"/>
              <w:jc w:val="both"/>
              <w:rPr>
                <w:sz w:val="21"/>
              </w:rPr>
            </w:pPr>
            <w:r>
              <w:rPr>
                <w:sz w:val="21"/>
              </w:rPr>
              <w:t>（2）检测结果至少具备下列条件中的 2 个：</w:t>
            </w:r>
          </w:p>
          <w:p>
            <w:pPr>
              <w:pStyle w:val="TableParagraph"/>
              <w:spacing w:before="37"/>
              <w:ind w:left="367"/>
              <w:rPr>
                <w:sz w:val="21"/>
              </w:rPr>
            </w:pPr>
            <w:r>
              <w:rPr>
                <w:sz w:val="21"/>
              </w:rPr>
              <w:t>① 抗 dsDNA 抗体阳性；</w:t>
            </w:r>
          </w:p>
          <w:p>
            <w:pPr>
              <w:pStyle w:val="TableParagraph"/>
              <w:spacing w:before="37"/>
              <w:ind w:left="367"/>
              <w:rPr>
                <w:sz w:val="21"/>
              </w:rPr>
            </w:pPr>
            <w:r>
              <w:rPr>
                <w:sz w:val="21"/>
              </w:rPr>
              <w:t>② 抗 Sm 抗体阳性；</w:t>
            </w:r>
          </w:p>
          <w:p>
            <w:pPr>
              <w:pStyle w:val="TableParagraph"/>
              <w:spacing w:before="37"/>
              <w:ind w:left="366"/>
              <w:rPr>
                <w:sz w:val="21"/>
              </w:rPr>
            </w:pPr>
            <w:r>
              <w:rPr>
                <w:sz w:val="21"/>
              </w:rPr>
              <w:t>③ 抗核抗体阳性；</w:t>
            </w:r>
          </w:p>
          <w:p>
            <w:pPr>
              <w:pStyle w:val="TableParagraph"/>
              <w:spacing w:before="37"/>
              <w:ind w:left="366"/>
              <w:rPr>
                <w:sz w:val="21"/>
              </w:rPr>
            </w:pPr>
            <w:r>
              <w:rPr>
                <w:sz w:val="21"/>
              </w:rPr>
              <w:t>④ 皮肤狼疮带试验（非病损部位）或肾活检阳性；</w:t>
            </w:r>
          </w:p>
          <w:p>
            <w:pPr>
              <w:pStyle w:val="TableParagraph"/>
              <w:spacing w:before="37"/>
              <w:ind w:left="366"/>
              <w:rPr>
                <w:sz w:val="21"/>
              </w:rPr>
            </w:pPr>
            <w:r>
              <w:rPr>
                <w:sz w:val="21"/>
              </w:rPr>
              <w:t>⑤ C3 低于正常值。</w:t>
            </w:r>
          </w:p>
          <w:p>
            <w:pPr>
              <w:pStyle w:val="TableParagraph"/>
              <w:spacing w:before="37"/>
              <w:ind w:left="156"/>
              <w:jc w:val="both"/>
              <w:rPr>
                <w:sz w:val="21"/>
              </w:rPr>
            </w:pPr>
            <w:r>
              <w:rPr>
                <w:sz w:val="21"/>
              </w:rPr>
              <w:t>（3）狼疮肾炎致使肾功能减弱，内生肌酐清除率低于每分钟 30ml。</w:t>
            </w:r>
          </w:p>
        </w:tc>
      </w:tr>
      <w:tr>
        <w:trPr>
          <w:trHeight w:val="2722" w:hRule="atLeast"/>
        </w:trPr>
        <w:tc>
          <w:tcPr>
            <w:tcW w:w="679" w:type="dxa"/>
          </w:tcPr>
          <w:p>
            <w:pPr>
              <w:pStyle w:val="TableParagraph"/>
              <w:rPr>
                <w:rFonts w:ascii="Times New Roman"/>
                <w:sz w:val="20"/>
              </w:rPr>
            </w:pPr>
          </w:p>
        </w:tc>
        <w:tc>
          <w:tcPr>
            <w:tcW w:w="1991" w:type="dxa"/>
          </w:tcPr>
          <w:p>
            <w:pPr>
              <w:pStyle w:val="TableParagraph"/>
              <w:spacing w:line="235" w:lineRule="auto" w:before="104"/>
              <w:ind w:left="160" w:right="14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99" w:type="dxa"/>
          </w:tcPr>
          <w:p>
            <w:pPr>
              <w:pStyle w:val="TableParagraph"/>
              <w:spacing w:line="273" w:lineRule="auto" w:before="99"/>
              <w:ind w:left="156" w:right="218"/>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2"/>
                <w:sz w:val="21"/>
              </w:rPr>
              <w:t>指按照美国纽约心脏协会心功能分类标准心功能达四级</w:t>
            </w:r>
          </w:p>
          <w:p>
            <w:pPr>
              <w:pStyle w:val="TableParagraph"/>
              <w:spacing w:before="8"/>
              <w:ind w:left="156"/>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7"/>
              <w:ind w:left="156" w:right="224"/>
              <w:jc w:val="both"/>
              <w:rPr>
                <w:sz w:val="21"/>
              </w:rPr>
            </w:pPr>
            <w:r>
              <w:rPr>
                <w:spacing w:val="-2"/>
                <w:sz w:val="21"/>
              </w:rPr>
              <w:t>本病须经专科医生明确诊断。</w:t>
            </w:r>
            <w:r>
              <w:rPr>
                <w:sz w:val="21"/>
                <w:shd w:fill="DADADA" w:color="auto" w:val="clear"/>
              </w:rPr>
              <w:t>继发于全身性疾病或其它器官系统疾病造成的心</w:t>
            </w:r>
            <w:r>
              <w:rPr>
                <w:spacing w:val="-210"/>
                <w:sz w:val="21"/>
                <w:shd w:fill="DADADA" w:color="auto" w:val="clear"/>
              </w:rPr>
              <w:t>肌</w:t>
            </w:r>
            <w:r>
              <w:rPr>
                <w:sz w:val="21"/>
                <w:shd w:fill="DADADA" w:color="auto" w:val="clear"/>
              </w:rPr>
              <w:t>病变不在保障范围内。</w:t>
            </w:r>
          </w:p>
          <w:p>
            <w:pPr>
              <w:pStyle w:val="TableParagraph"/>
              <w:spacing w:line="273" w:lineRule="auto" w:before="7"/>
              <w:ind w:left="156" w:right="22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247" w:hRule="atLeast"/>
        </w:trPr>
        <w:tc>
          <w:tcPr>
            <w:tcW w:w="679" w:type="dxa"/>
          </w:tcPr>
          <w:p>
            <w:pPr>
              <w:pStyle w:val="TableParagraph"/>
              <w:spacing w:before="100"/>
              <w:ind w:left="200"/>
              <w:rPr>
                <w:b/>
                <w:sz w:val="21"/>
              </w:rPr>
            </w:pPr>
            <w:r>
              <w:rPr>
                <w:b/>
                <w:sz w:val="21"/>
              </w:rPr>
              <w:t>9.4</w:t>
            </w:r>
          </w:p>
        </w:tc>
        <w:tc>
          <w:tcPr>
            <w:tcW w:w="1991" w:type="dxa"/>
          </w:tcPr>
          <w:p>
            <w:pPr>
              <w:pStyle w:val="TableParagraph"/>
              <w:spacing w:before="100"/>
              <w:ind w:left="160"/>
              <w:rPr>
                <w:b/>
                <w:sz w:val="21"/>
              </w:rPr>
            </w:pPr>
            <w:r>
              <w:rPr>
                <w:b/>
                <w:sz w:val="21"/>
              </w:rPr>
              <w:t>专科医生</w:t>
            </w:r>
          </w:p>
        </w:tc>
        <w:tc>
          <w:tcPr>
            <w:tcW w:w="7499" w:type="dxa"/>
          </w:tcPr>
          <w:p>
            <w:pPr>
              <w:pStyle w:val="TableParagraph"/>
              <w:spacing w:before="100"/>
              <w:ind w:left="147"/>
              <w:rPr>
                <w:sz w:val="21"/>
              </w:rPr>
            </w:pPr>
            <w:r>
              <w:rPr>
                <w:sz w:val="21"/>
              </w:rPr>
              <w:t>专科医生应当同时满足以下四项资格条件：</w:t>
            </w:r>
          </w:p>
          <w:p>
            <w:pPr>
              <w:pStyle w:val="TableParagraph"/>
              <w:spacing w:before="37"/>
              <w:ind w:left="147"/>
              <w:rPr>
                <w:sz w:val="21"/>
              </w:rPr>
            </w:pPr>
            <w:r>
              <w:rPr>
                <w:sz w:val="21"/>
              </w:rPr>
              <w:t>（1）具有有效的中华人民共和国《医师资格证书》；</w:t>
            </w:r>
          </w:p>
          <w:p>
            <w:pPr>
              <w:pStyle w:val="TableParagraph"/>
              <w:spacing w:line="271" w:lineRule="auto" w:before="37"/>
              <w:ind w:left="678" w:right="224" w:hanging="524"/>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10"/>
              <w:ind w:left="678" w:right="223" w:hanging="526"/>
              <w:rPr>
                <w:sz w:val="21"/>
              </w:rPr>
            </w:pPr>
            <w:r>
              <w:rPr>
                <w:sz w:val="21"/>
              </w:rPr>
              <w:t>（3）具有有效的中华人民共和国主治医师或主治医师以上职称的《医师职称证书》；</w:t>
            </w:r>
          </w:p>
          <w:p>
            <w:pPr>
              <w:pStyle w:val="TableParagraph"/>
              <w:spacing w:line="255" w:lineRule="exact" w:before="8"/>
              <w:ind w:left="146"/>
              <w:rPr>
                <w:sz w:val="21"/>
              </w:rPr>
            </w:pPr>
            <w:r>
              <w:rPr>
                <w:sz w:val="21"/>
              </w:rPr>
              <w:t>（4）在二级或二级以上医院的相应科室从事临床工作三年以上。</w:t>
            </w:r>
          </w:p>
        </w:tc>
      </w:tr>
    </w:tbl>
    <w:p>
      <w:pPr>
        <w:spacing w:after="0" w:line="255" w:lineRule="exact"/>
        <w:rPr>
          <w:sz w:val="21"/>
        </w:rPr>
        <w:sectPr>
          <w:pgSz w:w="11910" w:h="16840"/>
          <w:pgMar w:top="1160" w:bottom="280" w:left="72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1"/>
        <w:gridCol w:w="7577"/>
      </w:tblGrid>
      <w:tr>
        <w:trPr>
          <w:trHeight w:val="686" w:hRule="atLeast"/>
        </w:trPr>
        <w:tc>
          <w:tcPr>
            <w:tcW w:w="732" w:type="dxa"/>
          </w:tcPr>
          <w:p>
            <w:pPr>
              <w:pStyle w:val="TableParagraph"/>
              <w:spacing w:line="210" w:lineRule="exact"/>
              <w:ind w:left="200"/>
              <w:rPr>
                <w:b/>
                <w:sz w:val="21"/>
              </w:rPr>
            </w:pPr>
            <w:r>
              <w:rPr>
                <w:b/>
                <w:sz w:val="21"/>
              </w:rPr>
              <w:t>9.5</w:t>
            </w:r>
          </w:p>
        </w:tc>
        <w:tc>
          <w:tcPr>
            <w:tcW w:w="1941" w:type="dxa"/>
          </w:tcPr>
          <w:p>
            <w:pPr>
              <w:pStyle w:val="TableParagraph"/>
              <w:spacing w:line="210" w:lineRule="exact"/>
              <w:ind w:left="107"/>
              <w:rPr>
                <w:b/>
                <w:sz w:val="21"/>
              </w:rPr>
            </w:pPr>
            <w:r>
              <w:rPr>
                <w:b/>
                <w:w w:val="95"/>
                <w:sz w:val="21"/>
              </w:rPr>
              <w:t>肢体机能完全丧失</w:t>
            </w:r>
          </w:p>
        </w:tc>
        <w:tc>
          <w:tcPr>
            <w:tcW w:w="7577" w:type="dxa"/>
          </w:tcPr>
          <w:p>
            <w:pPr>
              <w:pStyle w:val="TableParagraph"/>
              <w:spacing w:line="210" w:lineRule="exact"/>
              <w:ind w:left="144"/>
              <w:rPr>
                <w:sz w:val="21"/>
              </w:rPr>
            </w:pPr>
            <w:r>
              <w:rPr>
                <w:sz w:val="21"/>
              </w:rPr>
              <w:t>指肢体的三大关节中的两大关节僵硬，或不能随意识活动。肢体是指包括肩关</w:t>
            </w:r>
          </w:p>
          <w:p>
            <w:pPr>
              <w:pStyle w:val="TableParagraph"/>
              <w:spacing w:before="37"/>
              <w:ind w:left="144"/>
              <w:rPr>
                <w:sz w:val="21"/>
              </w:rPr>
            </w:pPr>
            <w:r>
              <w:rPr>
                <w:sz w:val="21"/>
              </w:rPr>
              <w:t>节的整个上肢或包括髋关节的整个下肢。</w:t>
            </w:r>
          </w:p>
        </w:tc>
      </w:tr>
      <w:tr>
        <w:trPr>
          <w:trHeight w:val="1474" w:hRule="atLeast"/>
        </w:trPr>
        <w:tc>
          <w:tcPr>
            <w:tcW w:w="732" w:type="dxa"/>
          </w:tcPr>
          <w:p>
            <w:pPr>
              <w:pStyle w:val="TableParagraph"/>
              <w:spacing w:before="99"/>
              <w:ind w:left="200"/>
              <w:rPr>
                <w:b/>
                <w:sz w:val="21"/>
              </w:rPr>
            </w:pPr>
            <w:r>
              <w:rPr>
                <w:b/>
                <w:sz w:val="21"/>
              </w:rPr>
              <w:t>9.6</w:t>
            </w:r>
          </w:p>
        </w:tc>
        <w:tc>
          <w:tcPr>
            <w:tcW w:w="1941" w:type="dxa"/>
          </w:tcPr>
          <w:p>
            <w:pPr>
              <w:pStyle w:val="TableParagraph"/>
              <w:spacing w:line="273" w:lineRule="auto" w:before="99"/>
              <w:ind w:left="107" w:right="143"/>
              <w:rPr>
                <w:b/>
                <w:sz w:val="21"/>
              </w:rPr>
            </w:pPr>
            <w:r>
              <w:rPr>
                <w:b/>
                <w:sz w:val="21"/>
              </w:rPr>
              <w:t>语言能力或咀嚼吞</w:t>
            </w:r>
            <w:r>
              <w:rPr>
                <w:b/>
                <w:w w:val="95"/>
                <w:sz w:val="21"/>
              </w:rPr>
              <w:t>咽能力完全丧失</w:t>
            </w:r>
          </w:p>
        </w:tc>
        <w:tc>
          <w:tcPr>
            <w:tcW w:w="7577" w:type="dxa"/>
          </w:tcPr>
          <w:p>
            <w:pPr>
              <w:pStyle w:val="TableParagraph"/>
              <w:spacing w:line="273" w:lineRule="auto" w:before="99"/>
              <w:ind w:left="144" w:right="199"/>
              <w:rPr>
                <w:sz w:val="21"/>
              </w:rPr>
            </w:pPr>
            <w:r>
              <w:rPr>
                <w:spacing w:val="-2"/>
                <w:sz w:val="21"/>
              </w:rPr>
              <w:t>语言能力完全丧失，指无法发出四种语音</w:t>
            </w:r>
            <w:r>
              <w:rPr>
                <w:sz w:val="21"/>
              </w:rPr>
              <w:t>（</w:t>
            </w:r>
            <w:r>
              <w:rPr>
                <w:spacing w:val="-2"/>
                <w:sz w:val="21"/>
              </w:rPr>
              <w:t>包括口唇音、齿舌音、口盖音和喉头音</w:t>
            </w:r>
            <w:r>
              <w:rPr>
                <w:spacing w:val="-40"/>
                <w:sz w:val="21"/>
              </w:rPr>
              <w:t>）</w:t>
            </w:r>
            <w:r>
              <w:rPr>
                <w:spacing w:val="-9"/>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410" w:hRule="atLeast"/>
        </w:trPr>
        <w:tc>
          <w:tcPr>
            <w:tcW w:w="732" w:type="dxa"/>
          </w:tcPr>
          <w:p>
            <w:pPr>
              <w:pStyle w:val="TableParagraph"/>
              <w:spacing w:before="99"/>
              <w:ind w:left="200"/>
              <w:rPr>
                <w:b/>
                <w:sz w:val="21"/>
              </w:rPr>
            </w:pPr>
            <w:r>
              <w:rPr>
                <w:b/>
                <w:sz w:val="21"/>
              </w:rPr>
              <w:t>9.7</w:t>
            </w:r>
          </w:p>
        </w:tc>
        <w:tc>
          <w:tcPr>
            <w:tcW w:w="1941" w:type="dxa"/>
          </w:tcPr>
          <w:p>
            <w:pPr>
              <w:pStyle w:val="TableParagraph"/>
              <w:spacing w:line="273" w:lineRule="auto" w:before="99"/>
              <w:ind w:left="107" w:right="143"/>
              <w:rPr>
                <w:b/>
                <w:sz w:val="21"/>
              </w:rPr>
            </w:pPr>
            <w:r>
              <w:rPr>
                <w:b/>
                <w:sz w:val="21"/>
              </w:rPr>
              <w:t>六项基本日常生活活动</w:t>
            </w:r>
          </w:p>
        </w:tc>
        <w:tc>
          <w:tcPr>
            <w:tcW w:w="7577" w:type="dxa"/>
          </w:tcPr>
          <w:p>
            <w:pPr>
              <w:pStyle w:val="TableParagraph"/>
              <w:spacing w:before="99"/>
              <w:ind w:left="144"/>
              <w:rPr>
                <w:sz w:val="21"/>
              </w:rPr>
            </w:pPr>
            <w:r>
              <w:rPr>
                <w:sz w:val="21"/>
              </w:rPr>
              <w:t>六项基本日常生活活动是指：</w:t>
            </w:r>
          </w:p>
          <w:p>
            <w:pPr>
              <w:pStyle w:val="TableParagraph"/>
              <w:spacing w:before="36"/>
              <w:ind w:left="144"/>
              <w:rPr>
                <w:sz w:val="21"/>
              </w:rPr>
            </w:pPr>
            <w:r>
              <w:rPr>
                <w:sz w:val="21"/>
              </w:rPr>
              <w:t>（1）穿衣：自己能够穿衣及脱衣；</w:t>
            </w:r>
          </w:p>
          <w:p>
            <w:pPr>
              <w:pStyle w:val="TableParagraph"/>
              <w:spacing w:before="36"/>
              <w:ind w:left="144"/>
              <w:rPr>
                <w:sz w:val="21"/>
              </w:rPr>
            </w:pPr>
            <w:r>
              <w:rPr>
                <w:sz w:val="21"/>
              </w:rPr>
              <w:t>（2）移动：自己从一个房间到另一个房间；</w:t>
            </w:r>
          </w:p>
          <w:p>
            <w:pPr>
              <w:pStyle w:val="TableParagraph"/>
              <w:spacing w:before="36"/>
              <w:ind w:left="144"/>
              <w:rPr>
                <w:sz w:val="21"/>
              </w:rPr>
            </w:pPr>
            <w:r>
              <w:rPr>
                <w:sz w:val="21"/>
              </w:rPr>
              <w:t>（3）行动：自己上下床或上下轮椅；</w:t>
            </w:r>
          </w:p>
          <w:p>
            <w:pPr>
              <w:pStyle w:val="TableParagraph"/>
              <w:spacing w:before="36"/>
              <w:ind w:left="144"/>
              <w:rPr>
                <w:sz w:val="21"/>
              </w:rPr>
            </w:pPr>
            <w:r>
              <w:rPr>
                <w:sz w:val="21"/>
              </w:rPr>
              <w:t>（4）如厕：自己控制进行大小便；</w:t>
            </w:r>
          </w:p>
          <w:p>
            <w:pPr>
              <w:pStyle w:val="TableParagraph"/>
              <w:spacing w:before="36"/>
              <w:ind w:left="144"/>
              <w:rPr>
                <w:sz w:val="21"/>
              </w:rPr>
            </w:pPr>
            <w:r>
              <w:rPr>
                <w:sz w:val="21"/>
              </w:rPr>
              <w:t>（5）进食：自己从已准备好的碗或碟中取食物放入口中；</w:t>
            </w:r>
          </w:p>
          <w:p>
            <w:pPr>
              <w:pStyle w:val="TableParagraph"/>
              <w:spacing w:before="36"/>
              <w:ind w:left="144"/>
              <w:rPr>
                <w:sz w:val="21"/>
              </w:rPr>
            </w:pPr>
            <w:r>
              <w:rPr>
                <w:sz w:val="21"/>
              </w:rPr>
              <w:t>（6）洗澡：自己进行淋浴或盆浴。</w:t>
            </w:r>
          </w:p>
        </w:tc>
      </w:tr>
      <w:tr>
        <w:trPr>
          <w:trHeight w:val="851" w:hRule="atLeast"/>
        </w:trPr>
        <w:tc>
          <w:tcPr>
            <w:tcW w:w="732" w:type="dxa"/>
          </w:tcPr>
          <w:p>
            <w:pPr>
              <w:pStyle w:val="TableParagraph"/>
              <w:spacing w:before="99"/>
              <w:ind w:left="200"/>
              <w:rPr>
                <w:b/>
                <w:sz w:val="21"/>
              </w:rPr>
            </w:pPr>
            <w:r>
              <w:rPr>
                <w:b/>
                <w:sz w:val="21"/>
              </w:rPr>
              <w:t>9.8</w:t>
            </w:r>
          </w:p>
        </w:tc>
        <w:tc>
          <w:tcPr>
            <w:tcW w:w="1941" w:type="dxa"/>
          </w:tcPr>
          <w:p>
            <w:pPr>
              <w:pStyle w:val="TableParagraph"/>
              <w:spacing w:before="99"/>
              <w:ind w:left="107"/>
              <w:rPr>
                <w:b/>
                <w:sz w:val="21"/>
              </w:rPr>
            </w:pPr>
            <w:r>
              <w:rPr>
                <w:b/>
                <w:w w:val="95"/>
                <w:sz w:val="21"/>
              </w:rPr>
              <w:t>永久不可逆</w:t>
            </w:r>
          </w:p>
        </w:tc>
        <w:tc>
          <w:tcPr>
            <w:tcW w:w="7577" w:type="dxa"/>
          </w:tcPr>
          <w:p>
            <w:pPr>
              <w:pStyle w:val="TableParagraph"/>
              <w:spacing w:line="273" w:lineRule="auto" w:before="99"/>
              <w:ind w:left="144" w:right="305"/>
              <w:rPr>
                <w:sz w:val="21"/>
              </w:rPr>
            </w:pPr>
            <w:r>
              <w:rPr>
                <w:spacing w:val="-4"/>
                <w:sz w:val="21"/>
              </w:rPr>
              <w:t>指自疾病确诊或意外伤害发生之日起，经过积极治疗 </w:t>
            </w:r>
            <w:r>
              <w:rPr>
                <w:sz w:val="21"/>
              </w:rPr>
              <w:t>180</w:t>
            </w:r>
            <w:r>
              <w:rPr>
                <w:spacing w:val="-8"/>
                <w:sz w:val="21"/>
              </w:rPr>
              <w:t> 日后，仍无法通过现有医疗手段恢复。</w:t>
            </w:r>
          </w:p>
        </w:tc>
      </w:tr>
      <w:tr>
        <w:trPr>
          <w:trHeight w:val="539" w:hRule="atLeast"/>
        </w:trPr>
        <w:tc>
          <w:tcPr>
            <w:tcW w:w="732" w:type="dxa"/>
          </w:tcPr>
          <w:p>
            <w:pPr>
              <w:pStyle w:val="TableParagraph"/>
              <w:spacing w:before="100"/>
              <w:ind w:left="200"/>
              <w:rPr>
                <w:b/>
                <w:sz w:val="21"/>
              </w:rPr>
            </w:pPr>
            <w:r>
              <w:rPr>
                <w:b/>
                <w:sz w:val="21"/>
              </w:rPr>
              <w:t>9.9</w:t>
            </w:r>
          </w:p>
        </w:tc>
        <w:tc>
          <w:tcPr>
            <w:tcW w:w="1941" w:type="dxa"/>
          </w:tcPr>
          <w:p>
            <w:pPr>
              <w:pStyle w:val="TableParagraph"/>
              <w:spacing w:before="100"/>
              <w:ind w:left="107"/>
              <w:rPr>
                <w:b/>
                <w:sz w:val="21"/>
              </w:rPr>
            </w:pPr>
            <w:r>
              <w:rPr>
                <w:b/>
                <w:sz w:val="21"/>
              </w:rPr>
              <w:t>意外伤害</w:t>
            </w:r>
          </w:p>
        </w:tc>
        <w:tc>
          <w:tcPr>
            <w:tcW w:w="7577" w:type="dxa"/>
          </w:tcPr>
          <w:p>
            <w:pPr>
              <w:pStyle w:val="TableParagraph"/>
              <w:spacing w:before="100"/>
              <w:ind w:left="144"/>
              <w:rPr>
                <w:sz w:val="21"/>
              </w:rPr>
            </w:pPr>
            <w:r>
              <w:rPr>
                <w:sz w:val="21"/>
              </w:rPr>
              <w:t>指遭受外来的、突发的、非本意的、非疾病的使身体受到伤害的客观事件。</w:t>
            </w:r>
          </w:p>
        </w:tc>
      </w:tr>
      <w:tr>
        <w:trPr>
          <w:trHeight w:val="1474" w:hRule="atLeast"/>
        </w:trPr>
        <w:tc>
          <w:tcPr>
            <w:tcW w:w="732" w:type="dxa"/>
          </w:tcPr>
          <w:p>
            <w:pPr>
              <w:pStyle w:val="TableParagraph"/>
              <w:spacing w:before="99"/>
              <w:ind w:left="200"/>
              <w:rPr>
                <w:b/>
                <w:sz w:val="21"/>
              </w:rPr>
            </w:pPr>
            <w:r>
              <w:rPr>
                <w:b/>
                <w:sz w:val="21"/>
              </w:rPr>
              <w:t>9.10</w:t>
            </w:r>
          </w:p>
        </w:tc>
        <w:tc>
          <w:tcPr>
            <w:tcW w:w="1941" w:type="dxa"/>
          </w:tcPr>
          <w:p>
            <w:pPr>
              <w:pStyle w:val="TableParagraph"/>
              <w:spacing w:before="99"/>
              <w:ind w:left="107"/>
              <w:rPr>
                <w:b/>
                <w:sz w:val="21"/>
              </w:rPr>
            </w:pPr>
            <w:r>
              <w:rPr>
                <w:b/>
                <w:sz w:val="21"/>
              </w:rPr>
              <w:t>医院</w:t>
            </w:r>
          </w:p>
        </w:tc>
        <w:tc>
          <w:tcPr>
            <w:tcW w:w="7577" w:type="dxa"/>
          </w:tcPr>
          <w:p>
            <w:pPr>
              <w:pStyle w:val="TableParagraph"/>
              <w:spacing w:line="273" w:lineRule="auto" w:before="99"/>
              <w:ind w:left="144" w:right="305"/>
              <w:jc w:val="both"/>
              <w:rPr>
                <w:sz w:val="21"/>
              </w:rPr>
            </w:pPr>
            <w:r>
              <w:rPr>
                <w:spacing w:val="-1"/>
                <w:sz w:val="21"/>
              </w:rPr>
              <w:t>指经中华人民共和国卫生部门评审确定的二级或二级以上的公立医院，但不包</w:t>
            </w:r>
            <w:r>
              <w:rPr>
                <w:spacing w:val="-4"/>
                <w:sz w:val="21"/>
              </w:rPr>
              <w:t>括精神病院及专供康复、休养、戒毒、戒酒、护理、养老等非以直接诊治病人</w:t>
            </w:r>
            <w:r>
              <w:rPr>
                <w:spacing w:val="-6"/>
                <w:sz w:val="21"/>
              </w:rPr>
              <w:t>为目的的医疗机构。该医院必须具有符合国家有关医院管理规则设置标准的医疗设备，且全天二十四小时有合格医师及护士驻院提供医疗及护理服务。</w:t>
            </w:r>
          </w:p>
        </w:tc>
      </w:tr>
      <w:tr>
        <w:trPr>
          <w:trHeight w:val="538" w:hRule="atLeast"/>
        </w:trPr>
        <w:tc>
          <w:tcPr>
            <w:tcW w:w="732" w:type="dxa"/>
          </w:tcPr>
          <w:p>
            <w:pPr>
              <w:pStyle w:val="TableParagraph"/>
              <w:spacing w:before="99"/>
              <w:ind w:left="200"/>
              <w:rPr>
                <w:b/>
                <w:sz w:val="21"/>
              </w:rPr>
            </w:pPr>
            <w:r>
              <w:rPr>
                <w:b/>
                <w:sz w:val="21"/>
              </w:rPr>
              <w:t>9.11</w:t>
            </w:r>
          </w:p>
        </w:tc>
        <w:tc>
          <w:tcPr>
            <w:tcW w:w="1941" w:type="dxa"/>
          </w:tcPr>
          <w:p>
            <w:pPr>
              <w:pStyle w:val="TableParagraph"/>
              <w:spacing w:before="99"/>
              <w:ind w:left="107"/>
              <w:rPr>
                <w:b/>
                <w:sz w:val="21"/>
              </w:rPr>
            </w:pPr>
            <w:r>
              <w:rPr>
                <w:b/>
                <w:w w:val="95"/>
                <w:sz w:val="21"/>
              </w:rPr>
              <w:t>本条款约定确诊日</w:t>
            </w:r>
          </w:p>
        </w:tc>
        <w:tc>
          <w:tcPr>
            <w:tcW w:w="7577" w:type="dxa"/>
          </w:tcPr>
          <w:p>
            <w:pPr>
              <w:pStyle w:val="TableParagraph"/>
              <w:spacing w:before="99"/>
              <w:ind w:left="144"/>
              <w:rPr>
                <w:sz w:val="21"/>
              </w:rPr>
            </w:pPr>
            <w:r>
              <w:rPr>
                <w:sz w:val="21"/>
              </w:rPr>
              <w:t>指满足本附加险合同“重大疾病”定义所有条件之日。</w:t>
            </w:r>
          </w:p>
        </w:tc>
      </w:tr>
      <w:tr>
        <w:trPr>
          <w:trHeight w:val="1474" w:hRule="atLeast"/>
        </w:trPr>
        <w:tc>
          <w:tcPr>
            <w:tcW w:w="732" w:type="dxa"/>
          </w:tcPr>
          <w:p>
            <w:pPr>
              <w:pStyle w:val="TableParagraph"/>
              <w:spacing w:before="99"/>
              <w:ind w:left="200"/>
              <w:rPr>
                <w:b/>
                <w:sz w:val="21"/>
              </w:rPr>
            </w:pPr>
            <w:r>
              <w:rPr>
                <w:b/>
                <w:sz w:val="21"/>
              </w:rPr>
              <w:t>9.12</w:t>
            </w:r>
          </w:p>
        </w:tc>
        <w:tc>
          <w:tcPr>
            <w:tcW w:w="1941" w:type="dxa"/>
          </w:tcPr>
          <w:p>
            <w:pPr>
              <w:pStyle w:val="TableParagraph"/>
              <w:spacing w:before="99"/>
              <w:ind w:left="107"/>
              <w:rPr>
                <w:b/>
                <w:sz w:val="21"/>
              </w:rPr>
            </w:pPr>
            <w:r>
              <w:rPr>
                <w:b/>
                <w:sz w:val="21"/>
              </w:rPr>
              <w:t>毒品</w:t>
            </w:r>
          </w:p>
        </w:tc>
        <w:tc>
          <w:tcPr>
            <w:tcW w:w="7577" w:type="dxa"/>
          </w:tcPr>
          <w:p>
            <w:pPr>
              <w:pStyle w:val="TableParagraph"/>
              <w:spacing w:line="273" w:lineRule="auto" w:before="99"/>
              <w:ind w:left="144" w:right="304"/>
              <w:jc w:val="both"/>
              <w:rPr>
                <w:sz w:val="21"/>
              </w:rPr>
            </w:pPr>
            <w:r>
              <w:rPr>
                <w:sz w:val="21"/>
              </w:rPr>
              <w:t>指中华人民共和国刑法规定的鸦片、海洛因、甲基苯丙胺（冰毒</w:t>
            </w:r>
            <w:r>
              <w:rPr>
                <w:spacing w:val="-102"/>
                <w:sz w:val="21"/>
              </w:rPr>
              <w:t>）</w:t>
            </w:r>
            <w:r>
              <w:rPr>
                <w:sz w:val="21"/>
              </w:rPr>
              <w:t>、吗啡、大</w:t>
            </w:r>
            <w:r>
              <w:rPr>
                <w:spacing w:val="3"/>
                <w:sz w:val="21"/>
              </w:rPr>
              <w:t>麻、可卡因以及国家规定管制的其他能够使人形成瘾癖的麻醉药品和精神药</w:t>
            </w:r>
            <w:r>
              <w:rPr>
                <w:spacing w:val="-3"/>
                <w:sz w:val="21"/>
              </w:rPr>
              <w:t>品，但不包括由医生开具并遵医嘱使用的用于治疗疾病但含有毒品成分的处方药品。</w:t>
            </w:r>
          </w:p>
        </w:tc>
      </w:tr>
      <w:tr>
        <w:trPr>
          <w:trHeight w:val="1162" w:hRule="atLeast"/>
        </w:trPr>
        <w:tc>
          <w:tcPr>
            <w:tcW w:w="732" w:type="dxa"/>
          </w:tcPr>
          <w:p>
            <w:pPr>
              <w:pStyle w:val="TableParagraph"/>
              <w:spacing w:before="99"/>
              <w:ind w:left="200"/>
              <w:rPr>
                <w:b/>
                <w:sz w:val="21"/>
              </w:rPr>
            </w:pPr>
            <w:r>
              <w:rPr>
                <w:b/>
                <w:sz w:val="21"/>
              </w:rPr>
              <w:t>9.13</w:t>
            </w:r>
          </w:p>
        </w:tc>
        <w:tc>
          <w:tcPr>
            <w:tcW w:w="1941" w:type="dxa"/>
          </w:tcPr>
          <w:p>
            <w:pPr>
              <w:pStyle w:val="TableParagraph"/>
              <w:spacing w:before="99"/>
              <w:ind w:left="107"/>
              <w:rPr>
                <w:b/>
                <w:sz w:val="21"/>
              </w:rPr>
            </w:pPr>
            <w:r>
              <w:rPr>
                <w:b/>
                <w:sz w:val="21"/>
              </w:rPr>
              <w:t>酒后驾驶</w:t>
            </w:r>
          </w:p>
        </w:tc>
        <w:tc>
          <w:tcPr>
            <w:tcW w:w="7577" w:type="dxa"/>
          </w:tcPr>
          <w:p>
            <w:pPr>
              <w:pStyle w:val="TableParagraph"/>
              <w:spacing w:line="273" w:lineRule="auto" w:before="99"/>
              <w:ind w:left="144" w:right="305"/>
              <w:jc w:val="both"/>
              <w:rPr>
                <w:sz w:val="21"/>
              </w:rPr>
            </w:pPr>
            <w:r>
              <w:rPr>
                <w:spacing w:val="-2"/>
                <w:sz w:val="21"/>
              </w:rPr>
              <w:t>指经检测或鉴定，发生事故时车辆驾驶人员每百毫升血液中的酒精含量达到或</w:t>
            </w:r>
            <w:r>
              <w:rPr>
                <w:spacing w:val="-5"/>
                <w:sz w:val="21"/>
              </w:rPr>
              <w:t>超过一定的标准，公安机关交通管理部门依据《道路交通安全法》的规定认定为饮酒后驾驶或醉酒后驾驶。</w:t>
            </w:r>
          </w:p>
        </w:tc>
      </w:tr>
      <w:tr>
        <w:trPr>
          <w:trHeight w:val="2099" w:hRule="atLeast"/>
        </w:trPr>
        <w:tc>
          <w:tcPr>
            <w:tcW w:w="732" w:type="dxa"/>
          </w:tcPr>
          <w:p>
            <w:pPr>
              <w:pStyle w:val="TableParagraph"/>
              <w:spacing w:before="99"/>
              <w:ind w:left="200"/>
              <w:rPr>
                <w:b/>
                <w:sz w:val="21"/>
              </w:rPr>
            </w:pPr>
            <w:r>
              <w:rPr>
                <w:b/>
                <w:sz w:val="21"/>
              </w:rPr>
              <w:t>9.14</w:t>
            </w:r>
          </w:p>
        </w:tc>
        <w:tc>
          <w:tcPr>
            <w:tcW w:w="1941" w:type="dxa"/>
          </w:tcPr>
          <w:p>
            <w:pPr>
              <w:pStyle w:val="TableParagraph"/>
              <w:spacing w:line="273" w:lineRule="auto" w:before="99"/>
              <w:ind w:left="107" w:right="143"/>
              <w:rPr>
                <w:b/>
                <w:sz w:val="21"/>
              </w:rPr>
            </w:pPr>
            <w:r>
              <w:rPr>
                <w:b/>
                <w:sz w:val="21"/>
              </w:rPr>
              <w:t>无合法有效驾驶证驾驶</w:t>
            </w:r>
          </w:p>
        </w:tc>
        <w:tc>
          <w:tcPr>
            <w:tcW w:w="7577" w:type="dxa"/>
          </w:tcPr>
          <w:p>
            <w:pPr>
              <w:pStyle w:val="TableParagraph"/>
              <w:spacing w:before="99"/>
              <w:ind w:left="144"/>
              <w:rPr>
                <w:sz w:val="21"/>
              </w:rPr>
            </w:pPr>
            <w:r>
              <w:rPr>
                <w:sz w:val="21"/>
              </w:rPr>
              <w:t>指下列情形之一：</w:t>
            </w:r>
          </w:p>
          <w:p>
            <w:pPr>
              <w:pStyle w:val="TableParagraph"/>
              <w:spacing w:before="36"/>
              <w:ind w:left="144"/>
              <w:rPr>
                <w:sz w:val="21"/>
              </w:rPr>
            </w:pPr>
            <w:r>
              <w:rPr>
                <w:sz w:val="21"/>
              </w:rPr>
              <w:t>（1）没有取得驾驶资格；</w:t>
            </w:r>
          </w:p>
          <w:p>
            <w:pPr>
              <w:pStyle w:val="TableParagraph"/>
              <w:spacing w:before="36"/>
              <w:ind w:left="144"/>
              <w:rPr>
                <w:sz w:val="21"/>
              </w:rPr>
            </w:pPr>
            <w:r>
              <w:rPr>
                <w:sz w:val="21"/>
              </w:rPr>
              <w:t>（2）驾驶与驾驶证准驾车型不相符合的车辆；</w:t>
            </w:r>
          </w:p>
          <w:p>
            <w:pPr>
              <w:pStyle w:val="TableParagraph"/>
              <w:spacing w:before="36"/>
              <w:ind w:left="144"/>
              <w:rPr>
                <w:sz w:val="21"/>
              </w:rPr>
            </w:pPr>
            <w:r>
              <w:rPr>
                <w:sz w:val="21"/>
              </w:rPr>
              <w:t>（3）持审验不合格的驾驶证驾驶；</w:t>
            </w:r>
          </w:p>
          <w:p>
            <w:pPr>
              <w:pStyle w:val="TableParagraph"/>
              <w:spacing w:line="273" w:lineRule="auto" w:before="36"/>
              <w:ind w:left="669" w:right="309" w:hanging="526"/>
              <w:rPr>
                <w:sz w:val="21"/>
              </w:rPr>
            </w:pPr>
            <w:r>
              <w:rPr>
                <w:sz w:val="21"/>
              </w:rPr>
              <w:t>（4）持学习驾驶证学习驾车时，无教练员随车指导，或不按指定时间、路线学习驾车。</w:t>
            </w:r>
          </w:p>
        </w:tc>
      </w:tr>
      <w:tr>
        <w:trPr>
          <w:trHeight w:val="1311" w:hRule="atLeast"/>
        </w:trPr>
        <w:tc>
          <w:tcPr>
            <w:tcW w:w="732" w:type="dxa"/>
          </w:tcPr>
          <w:p>
            <w:pPr>
              <w:pStyle w:val="TableParagraph"/>
              <w:spacing w:before="100"/>
              <w:ind w:left="200"/>
              <w:rPr>
                <w:b/>
                <w:sz w:val="21"/>
              </w:rPr>
            </w:pPr>
            <w:r>
              <w:rPr>
                <w:b/>
                <w:sz w:val="21"/>
              </w:rPr>
              <w:t>9.15</w:t>
            </w:r>
          </w:p>
        </w:tc>
        <w:tc>
          <w:tcPr>
            <w:tcW w:w="1941" w:type="dxa"/>
          </w:tcPr>
          <w:p>
            <w:pPr>
              <w:pStyle w:val="TableParagraph"/>
              <w:spacing w:before="100"/>
              <w:ind w:left="107"/>
              <w:rPr>
                <w:b/>
                <w:sz w:val="21"/>
              </w:rPr>
            </w:pPr>
            <w:r>
              <w:rPr>
                <w:b/>
                <w:w w:val="95"/>
                <w:sz w:val="21"/>
              </w:rPr>
              <w:t>无有效行驶证</w:t>
            </w:r>
          </w:p>
        </w:tc>
        <w:tc>
          <w:tcPr>
            <w:tcW w:w="7577" w:type="dxa"/>
          </w:tcPr>
          <w:p>
            <w:pPr>
              <w:pStyle w:val="TableParagraph"/>
              <w:spacing w:before="100"/>
              <w:ind w:left="144"/>
              <w:rPr>
                <w:sz w:val="21"/>
              </w:rPr>
            </w:pPr>
            <w:r>
              <w:rPr>
                <w:sz w:val="21"/>
              </w:rPr>
              <w:t>指下列情形之一：</w:t>
            </w:r>
          </w:p>
          <w:p>
            <w:pPr>
              <w:pStyle w:val="TableParagraph"/>
              <w:spacing w:before="37"/>
              <w:ind w:left="144"/>
              <w:rPr>
                <w:sz w:val="21"/>
              </w:rPr>
            </w:pPr>
            <w:r>
              <w:rPr>
                <w:sz w:val="21"/>
              </w:rPr>
              <w:t>（1）未取得行驶证；</w:t>
            </w:r>
          </w:p>
          <w:p>
            <w:pPr>
              <w:pStyle w:val="TableParagraph"/>
              <w:spacing w:before="37"/>
              <w:ind w:left="144"/>
              <w:rPr>
                <w:sz w:val="21"/>
              </w:rPr>
            </w:pPr>
            <w:r>
              <w:rPr>
                <w:sz w:val="21"/>
              </w:rPr>
              <w:t>（2）机动车被依法注销登记的；</w:t>
            </w:r>
          </w:p>
          <w:p>
            <w:pPr>
              <w:pStyle w:val="TableParagraph"/>
              <w:spacing w:line="255" w:lineRule="exact" w:before="37"/>
              <w:ind w:left="144"/>
              <w:rPr>
                <w:sz w:val="21"/>
              </w:rPr>
            </w:pPr>
            <w:r>
              <w:rPr>
                <w:sz w:val="21"/>
              </w:rPr>
              <w:t>（3）未依法按时进行或通过机动车安全技术检验。</w:t>
            </w:r>
          </w:p>
        </w:tc>
      </w:tr>
    </w:tbl>
    <w:p>
      <w:pPr>
        <w:spacing w:after="0" w:line="255" w:lineRule="exac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1"/>
        <w:gridCol w:w="7577"/>
      </w:tblGrid>
      <w:tr>
        <w:trPr>
          <w:trHeight w:val="686" w:hRule="atLeast"/>
        </w:trPr>
        <w:tc>
          <w:tcPr>
            <w:tcW w:w="732" w:type="dxa"/>
          </w:tcPr>
          <w:p>
            <w:pPr>
              <w:pStyle w:val="TableParagraph"/>
              <w:spacing w:line="210" w:lineRule="exact"/>
              <w:ind w:right="106"/>
              <w:jc w:val="right"/>
              <w:rPr>
                <w:b/>
                <w:sz w:val="21"/>
              </w:rPr>
            </w:pPr>
            <w:r>
              <w:rPr>
                <w:b/>
                <w:w w:val="95"/>
                <w:sz w:val="21"/>
              </w:rPr>
              <w:t>9.16</w:t>
            </w:r>
          </w:p>
        </w:tc>
        <w:tc>
          <w:tcPr>
            <w:tcW w:w="1941" w:type="dxa"/>
          </w:tcPr>
          <w:p>
            <w:pPr>
              <w:pStyle w:val="TableParagraph"/>
              <w:spacing w:line="210" w:lineRule="exact"/>
              <w:ind w:left="107"/>
              <w:rPr>
                <w:b/>
                <w:sz w:val="21"/>
              </w:rPr>
            </w:pPr>
            <w:r>
              <w:rPr>
                <w:b/>
                <w:sz w:val="21"/>
              </w:rPr>
              <w:t>机动车</w:t>
            </w:r>
          </w:p>
        </w:tc>
        <w:tc>
          <w:tcPr>
            <w:tcW w:w="7577" w:type="dxa"/>
          </w:tcPr>
          <w:p>
            <w:pPr>
              <w:pStyle w:val="TableParagraph"/>
              <w:spacing w:line="210" w:lineRule="exact"/>
              <w:ind w:left="144"/>
              <w:rPr>
                <w:sz w:val="21"/>
              </w:rPr>
            </w:pPr>
            <w:r>
              <w:rPr>
                <w:sz w:val="21"/>
              </w:rPr>
              <w:t>指以动力装置驱动或者牵引，上道路行驶的供人员乘用或者用于运送物品以及</w:t>
            </w:r>
          </w:p>
          <w:p>
            <w:pPr>
              <w:pStyle w:val="TableParagraph"/>
              <w:spacing w:before="37"/>
              <w:ind w:left="144"/>
              <w:rPr>
                <w:sz w:val="21"/>
              </w:rPr>
            </w:pPr>
            <w:r>
              <w:rPr>
                <w:sz w:val="21"/>
              </w:rPr>
              <w:t>进行工程专项作业的轮式车辆。</w:t>
            </w:r>
          </w:p>
        </w:tc>
      </w:tr>
      <w:tr>
        <w:trPr>
          <w:trHeight w:val="1786" w:hRule="atLeast"/>
        </w:trPr>
        <w:tc>
          <w:tcPr>
            <w:tcW w:w="732" w:type="dxa"/>
          </w:tcPr>
          <w:p>
            <w:pPr>
              <w:pStyle w:val="TableParagraph"/>
              <w:spacing w:before="99"/>
              <w:ind w:right="106"/>
              <w:jc w:val="right"/>
              <w:rPr>
                <w:b/>
                <w:sz w:val="21"/>
              </w:rPr>
            </w:pPr>
            <w:r>
              <w:rPr>
                <w:b/>
                <w:w w:val="95"/>
                <w:sz w:val="21"/>
              </w:rPr>
              <w:t>9.17</w:t>
            </w:r>
          </w:p>
        </w:tc>
        <w:tc>
          <w:tcPr>
            <w:tcW w:w="1941" w:type="dxa"/>
          </w:tcPr>
          <w:p>
            <w:pPr>
              <w:pStyle w:val="TableParagraph"/>
              <w:spacing w:line="273" w:lineRule="auto" w:before="99"/>
              <w:ind w:left="107" w:right="143"/>
              <w:rPr>
                <w:b/>
                <w:sz w:val="21"/>
              </w:rPr>
            </w:pPr>
            <w:r>
              <w:rPr>
                <w:b/>
                <w:sz w:val="21"/>
              </w:rPr>
              <w:t>感染艾滋病病毒或患艾滋病</w:t>
            </w:r>
          </w:p>
        </w:tc>
        <w:tc>
          <w:tcPr>
            <w:tcW w:w="7577" w:type="dxa"/>
          </w:tcPr>
          <w:p>
            <w:pPr>
              <w:pStyle w:val="TableParagraph"/>
              <w:spacing w:line="273" w:lineRule="auto" w:before="99"/>
              <w:ind w:left="144" w:right="305"/>
              <w:jc w:val="both"/>
              <w:rPr>
                <w:sz w:val="21"/>
              </w:rPr>
            </w:pPr>
            <w:r>
              <w:rPr>
                <w:spacing w:val="-1"/>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7"/>
              <w:ind w:left="143" w:right="305"/>
              <w:jc w:val="both"/>
              <w:rPr>
                <w:sz w:val="21"/>
              </w:rPr>
            </w:pPr>
            <w:r>
              <w:rPr>
                <w:spacing w:val="-1"/>
                <w:sz w:val="21"/>
              </w:rPr>
              <w:t>在人体血液或其它样本中检测到艾滋病病毒或其抗体呈阳性，没有出现临床症</w:t>
            </w:r>
            <w:r>
              <w:rPr>
                <w:spacing w:val="-4"/>
                <w:sz w:val="21"/>
              </w:rPr>
              <w:t>状或体征的，为感染艾滋病病毒；如果同时出现了明显临床症状或体征的，为患艾滋病。</w:t>
            </w:r>
          </w:p>
        </w:tc>
      </w:tr>
      <w:tr>
        <w:trPr>
          <w:trHeight w:val="850" w:hRule="atLeast"/>
        </w:trPr>
        <w:tc>
          <w:tcPr>
            <w:tcW w:w="732" w:type="dxa"/>
          </w:tcPr>
          <w:p>
            <w:pPr>
              <w:pStyle w:val="TableParagraph"/>
              <w:spacing w:before="99"/>
              <w:ind w:right="106"/>
              <w:jc w:val="right"/>
              <w:rPr>
                <w:b/>
                <w:sz w:val="21"/>
              </w:rPr>
            </w:pPr>
            <w:r>
              <w:rPr>
                <w:b/>
                <w:w w:val="95"/>
                <w:sz w:val="21"/>
              </w:rPr>
              <w:t>9.18</w:t>
            </w:r>
          </w:p>
        </w:tc>
        <w:tc>
          <w:tcPr>
            <w:tcW w:w="1941" w:type="dxa"/>
          </w:tcPr>
          <w:p>
            <w:pPr>
              <w:pStyle w:val="TableParagraph"/>
              <w:spacing w:before="99"/>
              <w:ind w:left="107"/>
              <w:rPr>
                <w:b/>
                <w:sz w:val="21"/>
              </w:rPr>
            </w:pPr>
            <w:r>
              <w:rPr>
                <w:b/>
                <w:w w:val="95"/>
                <w:sz w:val="21"/>
              </w:rPr>
              <w:t>遗传性疾病</w:t>
            </w:r>
          </w:p>
        </w:tc>
        <w:tc>
          <w:tcPr>
            <w:tcW w:w="7577" w:type="dxa"/>
          </w:tcPr>
          <w:p>
            <w:pPr>
              <w:pStyle w:val="TableParagraph"/>
              <w:spacing w:line="273" w:lineRule="auto" w:before="99"/>
              <w:ind w:left="144" w:right="258"/>
              <w:rPr>
                <w:sz w:val="21"/>
              </w:rPr>
            </w:pPr>
            <w:r>
              <w:rPr>
                <w:sz w:val="21"/>
              </w:rPr>
              <w:t>指生殖细胞或受精卵的遗传物质（染色体和基因）发生突变或畸变所引起的疾病，通常具有由亲代传至后代的垂直传递的特征。</w:t>
            </w:r>
          </w:p>
        </w:tc>
      </w:tr>
      <w:tr>
        <w:trPr>
          <w:trHeight w:val="1163" w:hRule="atLeast"/>
        </w:trPr>
        <w:tc>
          <w:tcPr>
            <w:tcW w:w="732" w:type="dxa"/>
          </w:tcPr>
          <w:p>
            <w:pPr>
              <w:pStyle w:val="TableParagraph"/>
              <w:spacing w:before="99"/>
              <w:ind w:right="106"/>
              <w:jc w:val="right"/>
              <w:rPr>
                <w:b/>
                <w:sz w:val="21"/>
              </w:rPr>
            </w:pPr>
            <w:r>
              <w:rPr>
                <w:b/>
                <w:w w:val="95"/>
                <w:sz w:val="21"/>
              </w:rPr>
              <w:t>9.19</w:t>
            </w:r>
          </w:p>
        </w:tc>
        <w:tc>
          <w:tcPr>
            <w:tcW w:w="1941" w:type="dxa"/>
          </w:tcPr>
          <w:p>
            <w:pPr>
              <w:pStyle w:val="TableParagraph"/>
              <w:spacing w:line="273" w:lineRule="auto" w:before="99"/>
              <w:ind w:left="107" w:right="143"/>
              <w:rPr>
                <w:b/>
                <w:sz w:val="21"/>
              </w:rPr>
            </w:pPr>
            <w:r>
              <w:rPr>
                <w:b/>
                <w:sz w:val="21"/>
              </w:rPr>
              <w:t>先天性畸形、变形</w:t>
            </w:r>
            <w:r>
              <w:rPr>
                <w:b/>
                <w:w w:val="95"/>
                <w:sz w:val="21"/>
              </w:rPr>
              <w:t>或染色体异常</w:t>
            </w:r>
          </w:p>
        </w:tc>
        <w:tc>
          <w:tcPr>
            <w:tcW w:w="7577" w:type="dxa"/>
          </w:tcPr>
          <w:p>
            <w:pPr>
              <w:pStyle w:val="TableParagraph"/>
              <w:spacing w:line="273" w:lineRule="auto" w:before="99"/>
              <w:ind w:left="144" w:right="199"/>
              <w:rPr>
                <w:sz w:val="21"/>
              </w:rPr>
            </w:pPr>
            <w:r>
              <w:rPr>
                <w:spacing w:val="-3"/>
                <w:sz w:val="21"/>
              </w:rPr>
              <w:t>指被保险人出生时就具有的畸形、变形或染色体异常。先天性畸形、变形和染</w:t>
            </w:r>
            <w:r>
              <w:rPr>
                <w:spacing w:val="-8"/>
                <w:sz w:val="21"/>
              </w:rPr>
              <w:t>色体异常依照世界卫生组织《疾病和有关健康问题的国际统计分类》</w:t>
            </w:r>
            <w:r>
              <w:rPr>
                <w:sz w:val="21"/>
              </w:rPr>
              <w:t>（ICD-10） 确定。</w:t>
            </w:r>
          </w:p>
        </w:tc>
      </w:tr>
      <w:tr>
        <w:trPr>
          <w:trHeight w:val="851" w:hRule="atLeast"/>
        </w:trPr>
        <w:tc>
          <w:tcPr>
            <w:tcW w:w="732" w:type="dxa"/>
          </w:tcPr>
          <w:p>
            <w:pPr>
              <w:pStyle w:val="TableParagraph"/>
              <w:spacing w:before="100"/>
              <w:ind w:right="106"/>
              <w:jc w:val="right"/>
              <w:rPr>
                <w:b/>
                <w:sz w:val="21"/>
              </w:rPr>
            </w:pPr>
            <w:r>
              <w:rPr>
                <w:b/>
                <w:w w:val="95"/>
                <w:sz w:val="21"/>
              </w:rPr>
              <w:t>9.20</w:t>
            </w:r>
          </w:p>
        </w:tc>
        <w:tc>
          <w:tcPr>
            <w:tcW w:w="1941" w:type="dxa"/>
          </w:tcPr>
          <w:p>
            <w:pPr>
              <w:pStyle w:val="TableParagraph"/>
              <w:spacing w:before="100"/>
              <w:ind w:left="107"/>
              <w:rPr>
                <w:b/>
                <w:sz w:val="21"/>
              </w:rPr>
            </w:pPr>
            <w:r>
              <w:rPr>
                <w:b/>
                <w:w w:val="95"/>
                <w:sz w:val="21"/>
              </w:rPr>
              <w:t>保险费约定支付日</w:t>
            </w:r>
          </w:p>
        </w:tc>
        <w:tc>
          <w:tcPr>
            <w:tcW w:w="7577" w:type="dxa"/>
          </w:tcPr>
          <w:p>
            <w:pPr>
              <w:pStyle w:val="TableParagraph"/>
              <w:spacing w:line="273" w:lineRule="auto" w:before="100"/>
              <w:ind w:left="144" w:right="258"/>
              <w:rPr>
                <w:sz w:val="21"/>
              </w:rPr>
            </w:pPr>
            <w:r>
              <w:rPr>
                <w:sz w:val="21"/>
              </w:rPr>
              <w:t>指保险合同生效日在每年的对应日。如果当月无对应的同一日，则以该月最后一日为对应日。</w:t>
            </w:r>
          </w:p>
        </w:tc>
      </w:tr>
      <w:tr>
        <w:trPr>
          <w:trHeight w:val="686" w:hRule="atLeast"/>
        </w:trPr>
        <w:tc>
          <w:tcPr>
            <w:tcW w:w="732" w:type="dxa"/>
          </w:tcPr>
          <w:p>
            <w:pPr>
              <w:pStyle w:val="TableParagraph"/>
              <w:spacing w:before="99"/>
              <w:ind w:right="106"/>
              <w:jc w:val="right"/>
              <w:rPr>
                <w:b/>
                <w:sz w:val="21"/>
              </w:rPr>
            </w:pPr>
            <w:r>
              <w:rPr>
                <w:b/>
                <w:w w:val="95"/>
                <w:sz w:val="21"/>
              </w:rPr>
              <w:t>9.21</w:t>
            </w:r>
          </w:p>
        </w:tc>
        <w:tc>
          <w:tcPr>
            <w:tcW w:w="1941" w:type="dxa"/>
          </w:tcPr>
          <w:p>
            <w:pPr>
              <w:pStyle w:val="TableParagraph"/>
              <w:spacing w:before="99"/>
              <w:ind w:left="107"/>
              <w:rPr>
                <w:b/>
                <w:sz w:val="21"/>
              </w:rPr>
            </w:pPr>
            <w:r>
              <w:rPr>
                <w:b/>
                <w:w w:val="95"/>
                <w:sz w:val="21"/>
              </w:rPr>
              <w:t>本条款约定利率</w:t>
            </w:r>
          </w:p>
        </w:tc>
        <w:tc>
          <w:tcPr>
            <w:tcW w:w="7577" w:type="dxa"/>
          </w:tcPr>
          <w:p>
            <w:pPr>
              <w:pStyle w:val="TableParagraph"/>
              <w:spacing w:line="310" w:lineRule="atLeast" w:before="64"/>
              <w:ind w:left="144" w:right="305" w:hanging="1"/>
              <w:rPr>
                <w:sz w:val="21"/>
              </w:rPr>
            </w:pPr>
            <w:r>
              <w:rPr>
                <w:spacing w:val="-6"/>
                <w:sz w:val="21"/>
              </w:rPr>
              <w:t>按“计息期间人民银行每月第一个营业日适用的人民币 </w:t>
            </w:r>
            <w:r>
              <w:rPr>
                <w:sz w:val="21"/>
              </w:rPr>
              <w:t>6</w:t>
            </w:r>
            <w:r>
              <w:rPr>
                <w:spacing w:val="-8"/>
                <w:sz w:val="21"/>
              </w:rPr>
              <w:t> 个月期贷款利率平均</w:t>
            </w:r>
            <w:r>
              <w:rPr>
                <w:spacing w:val="-24"/>
                <w:sz w:val="21"/>
              </w:rPr>
              <w:t>值与 </w:t>
            </w:r>
            <w:r>
              <w:rPr>
                <w:sz w:val="21"/>
              </w:rPr>
              <w:t>4.5%之较大者”计算。本条款约定利率为年利率，按年计收复利。</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等线">
    <w:altName w:val="等线"/>
    <w:charset w:val="86"/>
    <w:family w:val="auto"/>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2838" w:hanging="640"/>
        <w:jc w:val="left"/>
      </w:pPr>
      <w:rPr>
        <w:rFonts w:hint="default"/>
      </w:rPr>
    </w:lvl>
    <w:lvl w:ilvl="1">
      <w:start w:val="1"/>
      <w:numFmt w:val="decimal"/>
      <w:lvlText w:val="%1.%2"/>
      <w:lvlJc w:val="left"/>
      <w:pPr>
        <w:ind w:left="2838" w:hanging="640"/>
        <w:jc w:val="left"/>
      </w:pPr>
      <w:rPr>
        <w:rFonts w:hint="default" w:ascii="宋体" w:hAnsi="宋体" w:eastAsia="宋体" w:cs="宋体"/>
        <w:b/>
        <w:bCs/>
        <w:w w:val="99"/>
        <w:sz w:val="21"/>
        <w:szCs w:val="21"/>
      </w:rPr>
    </w:lvl>
    <w:lvl w:ilvl="2">
      <w:start w:val="0"/>
      <w:numFmt w:val="bullet"/>
      <w:lvlText w:val="•"/>
      <w:lvlJc w:val="left"/>
      <w:pPr>
        <w:ind w:left="4309"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8" w:hanging="640"/>
      </w:pPr>
      <w:rPr>
        <w:rFonts w:hint="default"/>
      </w:rPr>
    </w:lvl>
    <w:lvl w:ilvl="5">
      <w:start w:val="0"/>
      <w:numFmt w:val="bullet"/>
      <w:lvlText w:val="•"/>
      <w:lvlJc w:val="left"/>
      <w:pPr>
        <w:ind w:left="6513" w:hanging="640"/>
      </w:pPr>
      <w:rPr>
        <w:rFonts w:hint="default"/>
      </w:rPr>
    </w:lvl>
    <w:lvl w:ilvl="6">
      <w:start w:val="0"/>
      <w:numFmt w:val="bullet"/>
      <w:lvlText w:val="•"/>
      <w:lvlJc w:val="left"/>
      <w:pPr>
        <w:ind w:left="7247" w:hanging="640"/>
      </w:pPr>
      <w:rPr>
        <w:rFonts w:hint="default"/>
      </w:rPr>
    </w:lvl>
    <w:lvl w:ilvl="7">
      <w:start w:val="0"/>
      <w:numFmt w:val="bullet"/>
      <w:lvlText w:val="•"/>
      <w:lvlJc w:val="left"/>
      <w:pPr>
        <w:ind w:left="7982" w:hanging="640"/>
      </w:pPr>
      <w:rPr>
        <w:rFonts w:hint="default"/>
      </w:rPr>
    </w:lvl>
    <w:lvl w:ilvl="8">
      <w:start w:val="0"/>
      <w:numFmt w:val="bullet"/>
      <w:lvlText w:val="•"/>
      <w:lvlJc w:val="left"/>
      <w:pPr>
        <w:ind w:left="8717" w:hanging="640"/>
      </w:pPr>
      <w:rPr>
        <w:rFonts w:hint="default"/>
      </w:rPr>
    </w:lvl>
  </w:abstractNum>
  <w:abstractNum w:abstractNumId="7">
    <w:multiLevelType w:val="hybridMultilevel"/>
    <w:lvl w:ilvl="0">
      <w:start w:val="9"/>
      <w:numFmt w:val="decimal"/>
      <w:lvlText w:val="%1"/>
      <w:lvlJc w:val="left"/>
      <w:pPr>
        <w:ind w:left="895" w:hanging="420"/>
        <w:jc w:val="left"/>
      </w:pPr>
      <w:rPr>
        <w:rFonts w:hint="default"/>
      </w:rPr>
    </w:lvl>
    <w:lvl w:ilvl="1">
      <w:start w:val="1"/>
      <w:numFmt w:val="decimal"/>
      <w:lvlText w:val="%1.%2"/>
      <w:lvlJc w:val="left"/>
      <w:pPr>
        <w:ind w:left="895" w:hanging="420"/>
        <w:jc w:val="right"/>
      </w:pPr>
      <w:rPr>
        <w:rFonts w:hint="default" w:ascii="宋体" w:hAnsi="宋体" w:eastAsia="宋体" w:cs="宋体"/>
        <w:spacing w:val="-1"/>
        <w:w w:val="100"/>
        <w:sz w:val="21"/>
        <w:szCs w:val="21"/>
      </w:rPr>
    </w:lvl>
    <w:lvl w:ilvl="2">
      <w:start w:val="0"/>
      <w:numFmt w:val="bullet"/>
      <w:lvlText w:val="•"/>
      <w:lvlJc w:val="left"/>
      <w:pPr>
        <w:ind w:left="1309" w:hanging="420"/>
      </w:pPr>
      <w:rPr>
        <w:rFonts w:hint="default"/>
      </w:rPr>
    </w:lvl>
    <w:lvl w:ilvl="3">
      <w:start w:val="0"/>
      <w:numFmt w:val="bullet"/>
      <w:lvlText w:val="•"/>
      <w:lvlJc w:val="left"/>
      <w:pPr>
        <w:ind w:left="1514" w:hanging="420"/>
      </w:pPr>
      <w:rPr>
        <w:rFonts w:hint="default"/>
      </w:rPr>
    </w:lvl>
    <w:lvl w:ilvl="4">
      <w:start w:val="0"/>
      <w:numFmt w:val="bullet"/>
      <w:lvlText w:val="•"/>
      <w:lvlJc w:val="left"/>
      <w:pPr>
        <w:ind w:left="1718" w:hanging="420"/>
      </w:pPr>
      <w:rPr>
        <w:rFonts w:hint="default"/>
      </w:rPr>
    </w:lvl>
    <w:lvl w:ilvl="5">
      <w:start w:val="0"/>
      <w:numFmt w:val="bullet"/>
      <w:lvlText w:val="•"/>
      <w:lvlJc w:val="left"/>
      <w:pPr>
        <w:ind w:left="1923" w:hanging="420"/>
      </w:pPr>
      <w:rPr>
        <w:rFonts w:hint="default"/>
      </w:rPr>
    </w:lvl>
    <w:lvl w:ilvl="6">
      <w:start w:val="0"/>
      <w:numFmt w:val="bullet"/>
      <w:lvlText w:val="•"/>
      <w:lvlJc w:val="left"/>
      <w:pPr>
        <w:ind w:left="2128" w:hanging="420"/>
      </w:pPr>
      <w:rPr>
        <w:rFonts w:hint="default"/>
      </w:rPr>
    </w:lvl>
    <w:lvl w:ilvl="7">
      <w:start w:val="0"/>
      <w:numFmt w:val="bullet"/>
      <w:lvlText w:val="•"/>
      <w:lvlJc w:val="left"/>
      <w:pPr>
        <w:ind w:left="2333" w:hanging="420"/>
      </w:pPr>
      <w:rPr>
        <w:rFonts w:hint="default"/>
      </w:rPr>
    </w:lvl>
    <w:lvl w:ilvl="8">
      <w:start w:val="0"/>
      <w:numFmt w:val="bullet"/>
      <w:lvlText w:val="•"/>
      <w:lvlJc w:val="left"/>
      <w:pPr>
        <w:ind w:left="2537" w:hanging="420"/>
      </w:pPr>
      <w:rPr>
        <w:rFonts w:hint="default"/>
      </w:rPr>
    </w:lvl>
  </w:abstractNum>
  <w:abstractNum w:abstractNumId="6">
    <w:multiLevelType w:val="hybridMultilevel"/>
    <w:lvl w:ilvl="0">
      <w:start w:val="8"/>
      <w:numFmt w:val="decimal"/>
      <w:lvlText w:val="%1"/>
      <w:lvlJc w:val="left"/>
      <w:pPr>
        <w:ind w:left="895" w:hanging="420"/>
        <w:jc w:val="left"/>
      </w:pPr>
      <w:rPr>
        <w:rFonts w:hint="default"/>
      </w:rPr>
    </w:lvl>
    <w:lvl w:ilvl="1">
      <w:start w:val="1"/>
      <w:numFmt w:val="decimal"/>
      <w:lvlText w:val="%1.%2"/>
      <w:lvlJc w:val="left"/>
      <w:pPr>
        <w:ind w:left="895" w:hanging="420"/>
        <w:jc w:val="left"/>
      </w:pPr>
      <w:rPr>
        <w:rFonts w:hint="default" w:ascii="宋体" w:hAnsi="宋体" w:eastAsia="宋体" w:cs="宋体"/>
        <w:spacing w:val="-1"/>
        <w:w w:val="100"/>
        <w:sz w:val="21"/>
        <w:szCs w:val="21"/>
      </w:rPr>
    </w:lvl>
    <w:lvl w:ilvl="2">
      <w:start w:val="0"/>
      <w:numFmt w:val="bullet"/>
      <w:lvlText w:val="•"/>
      <w:lvlJc w:val="left"/>
      <w:pPr>
        <w:ind w:left="1309" w:hanging="420"/>
      </w:pPr>
      <w:rPr>
        <w:rFonts w:hint="default"/>
      </w:rPr>
    </w:lvl>
    <w:lvl w:ilvl="3">
      <w:start w:val="0"/>
      <w:numFmt w:val="bullet"/>
      <w:lvlText w:val="•"/>
      <w:lvlJc w:val="left"/>
      <w:pPr>
        <w:ind w:left="1514" w:hanging="420"/>
      </w:pPr>
      <w:rPr>
        <w:rFonts w:hint="default"/>
      </w:rPr>
    </w:lvl>
    <w:lvl w:ilvl="4">
      <w:start w:val="0"/>
      <w:numFmt w:val="bullet"/>
      <w:lvlText w:val="•"/>
      <w:lvlJc w:val="left"/>
      <w:pPr>
        <w:ind w:left="1718" w:hanging="420"/>
      </w:pPr>
      <w:rPr>
        <w:rFonts w:hint="default"/>
      </w:rPr>
    </w:lvl>
    <w:lvl w:ilvl="5">
      <w:start w:val="0"/>
      <w:numFmt w:val="bullet"/>
      <w:lvlText w:val="•"/>
      <w:lvlJc w:val="left"/>
      <w:pPr>
        <w:ind w:left="1923" w:hanging="420"/>
      </w:pPr>
      <w:rPr>
        <w:rFonts w:hint="default"/>
      </w:rPr>
    </w:lvl>
    <w:lvl w:ilvl="6">
      <w:start w:val="0"/>
      <w:numFmt w:val="bullet"/>
      <w:lvlText w:val="•"/>
      <w:lvlJc w:val="left"/>
      <w:pPr>
        <w:ind w:left="2128" w:hanging="420"/>
      </w:pPr>
      <w:rPr>
        <w:rFonts w:hint="default"/>
      </w:rPr>
    </w:lvl>
    <w:lvl w:ilvl="7">
      <w:start w:val="0"/>
      <w:numFmt w:val="bullet"/>
      <w:lvlText w:val="•"/>
      <w:lvlJc w:val="left"/>
      <w:pPr>
        <w:ind w:left="2333" w:hanging="420"/>
      </w:pPr>
      <w:rPr>
        <w:rFonts w:hint="default"/>
      </w:rPr>
    </w:lvl>
    <w:lvl w:ilvl="8">
      <w:start w:val="0"/>
      <w:numFmt w:val="bullet"/>
      <w:lvlText w:val="•"/>
      <w:lvlJc w:val="left"/>
      <w:pPr>
        <w:ind w:left="2537" w:hanging="420"/>
      </w:pPr>
      <w:rPr>
        <w:rFonts w:hint="default"/>
      </w:rPr>
    </w:lvl>
  </w:abstractNum>
  <w:abstractNum w:abstractNumId="5">
    <w:multiLevelType w:val="hybridMultilevel"/>
    <w:lvl w:ilvl="0">
      <w:start w:val="6"/>
      <w:numFmt w:val="decimal"/>
      <w:lvlText w:val="%1"/>
      <w:lvlJc w:val="left"/>
      <w:pPr>
        <w:ind w:left="895" w:hanging="420"/>
        <w:jc w:val="left"/>
      </w:pPr>
      <w:rPr>
        <w:rFonts w:hint="default"/>
      </w:rPr>
    </w:lvl>
    <w:lvl w:ilvl="1">
      <w:start w:val="1"/>
      <w:numFmt w:val="decimal"/>
      <w:lvlText w:val="%1.%2"/>
      <w:lvlJc w:val="left"/>
      <w:pPr>
        <w:ind w:left="895" w:hanging="420"/>
        <w:jc w:val="left"/>
      </w:pPr>
      <w:rPr>
        <w:rFonts w:hint="default" w:ascii="宋体" w:hAnsi="宋体" w:eastAsia="宋体" w:cs="宋体"/>
        <w:spacing w:val="-1"/>
        <w:w w:val="100"/>
        <w:sz w:val="21"/>
        <w:szCs w:val="21"/>
      </w:rPr>
    </w:lvl>
    <w:lvl w:ilvl="2">
      <w:start w:val="0"/>
      <w:numFmt w:val="bullet"/>
      <w:lvlText w:val="•"/>
      <w:lvlJc w:val="left"/>
      <w:pPr>
        <w:ind w:left="1309" w:hanging="420"/>
      </w:pPr>
      <w:rPr>
        <w:rFonts w:hint="default"/>
      </w:rPr>
    </w:lvl>
    <w:lvl w:ilvl="3">
      <w:start w:val="0"/>
      <w:numFmt w:val="bullet"/>
      <w:lvlText w:val="•"/>
      <w:lvlJc w:val="left"/>
      <w:pPr>
        <w:ind w:left="1514" w:hanging="420"/>
      </w:pPr>
      <w:rPr>
        <w:rFonts w:hint="default"/>
      </w:rPr>
    </w:lvl>
    <w:lvl w:ilvl="4">
      <w:start w:val="0"/>
      <w:numFmt w:val="bullet"/>
      <w:lvlText w:val="•"/>
      <w:lvlJc w:val="left"/>
      <w:pPr>
        <w:ind w:left="1718" w:hanging="420"/>
      </w:pPr>
      <w:rPr>
        <w:rFonts w:hint="default"/>
      </w:rPr>
    </w:lvl>
    <w:lvl w:ilvl="5">
      <w:start w:val="0"/>
      <w:numFmt w:val="bullet"/>
      <w:lvlText w:val="•"/>
      <w:lvlJc w:val="left"/>
      <w:pPr>
        <w:ind w:left="1923" w:hanging="420"/>
      </w:pPr>
      <w:rPr>
        <w:rFonts w:hint="default"/>
      </w:rPr>
    </w:lvl>
    <w:lvl w:ilvl="6">
      <w:start w:val="0"/>
      <w:numFmt w:val="bullet"/>
      <w:lvlText w:val="•"/>
      <w:lvlJc w:val="left"/>
      <w:pPr>
        <w:ind w:left="2128" w:hanging="420"/>
      </w:pPr>
      <w:rPr>
        <w:rFonts w:hint="default"/>
      </w:rPr>
    </w:lvl>
    <w:lvl w:ilvl="7">
      <w:start w:val="0"/>
      <w:numFmt w:val="bullet"/>
      <w:lvlText w:val="•"/>
      <w:lvlJc w:val="left"/>
      <w:pPr>
        <w:ind w:left="2333" w:hanging="420"/>
      </w:pPr>
      <w:rPr>
        <w:rFonts w:hint="default"/>
      </w:rPr>
    </w:lvl>
    <w:lvl w:ilvl="8">
      <w:start w:val="0"/>
      <w:numFmt w:val="bullet"/>
      <w:lvlText w:val="•"/>
      <w:lvlJc w:val="left"/>
      <w:pPr>
        <w:ind w:left="2537" w:hanging="420"/>
      </w:pPr>
      <w:rPr>
        <w:rFonts w:hint="default"/>
      </w:rPr>
    </w:lvl>
  </w:abstractNum>
  <w:abstractNum w:abstractNumId="4">
    <w:multiLevelType w:val="hybridMultilevel"/>
    <w:lvl w:ilvl="0">
      <w:start w:val="4"/>
      <w:numFmt w:val="decimal"/>
      <w:lvlText w:val="%1"/>
      <w:lvlJc w:val="left"/>
      <w:pPr>
        <w:ind w:left="1993" w:hanging="420"/>
        <w:jc w:val="left"/>
      </w:pPr>
      <w:rPr>
        <w:rFonts w:hint="default"/>
      </w:rPr>
    </w:lvl>
    <w:lvl w:ilvl="1">
      <w:start w:val="1"/>
      <w:numFmt w:val="decimal"/>
      <w:lvlText w:val="%1.%2"/>
      <w:lvlJc w:val="left"/>
      <w:pPr>
        <w:ind w:left="1993" w:hanging="420"/>
        <w:jc w:val="left"/>
      </w:pPr>
      <w:rPr>
        <w:rFonts w:hint="default" w:ascii="宋体" w:hAnsi="宋体" w:eastAsia="宋体" w:cs="宋体"/>
        <w:spacing w:val="-1"/>
        <w:w w:val="100"/>
        <w:sz w:val="21"/>
        <w:szCs w:val="21"/>
      </w:rPr>
    </w:lvl>
    <w:lvl w:ilvl="2">
      <w:start w:val="0"/>
      <w:numFmt w:val="bullet"/>
      <w:lvlText w:val="•"/>
      <w:lvlJc w:val="left"/>
      <w:pPr>
        <w:ind w:left="2294" w:hanging="420"/>
      </w:pPr>
      <w:rPr>
        <w:rFonts w:hint="default"/>
      </w:rPr>
    </w:lvl>
    <w:lvl w:ilvl="3">
      <w:start w:val="0"/>
      <w:numFmt w:val="bullet"/>
      <w:lvlText w:val="•"/>
      <w:lvlJc w:val="left"/>
      <w:pPr>
        <w:ind w:left="2441" w:hanging="420"/>
      </w:pPr>
      <w:rPr>
        <w:rFonts w:hint="default"/>
      </w:rPr>
    </w:lvl>
    <w:lvl w:ilvl="4">
      <w:start w:val="0"/>
      <w:numFmt w:val="bullet"/>
      <w:lvlText w:val="•"/>
      <w:lvlJc w:val="left"/>
      <w:pPr>
        <w:ind w:left="2588" w:hanging="420"/>
      </w:pPr>
      <w:rPr>
        <w:rFonts w:hint="default"/>
      </w:rPr>
    </w:lvl>
    <w:lvl w:ilvl="5">
      <w:start w:val="0"/>
      <w:numFmt w:val="bullet"/>
      <w:lvlText w:val="•"/>
      <w:lvlJc w:val="left"/>
      <w:pPr>
        <w:ind w:left="2735" w:hanging="420"/>
      </w:pPr>
      <w:rPr>
        <w:rFonts w:hint="default"/>
      </w:rPr>
    </w:lvl>
    <w:lvl w:ilvl="6">
      <w:start w:val="0"/>
      <w:numFmt w:val="bullet"/>
      <w:lvlText w:val="•"/>
      <w:lvlJc w:val="left"/>
      <w:pPr>
        <w:ind w:left="2883" w:hanging="420"/>
      </w:pPr>
      <w:rPr>
        <w:rFonts w:hint="default"/>
      </w:rPr>
    </w:lvl>
    <w:lvl w:ilvl="7">
      <w:start w:val="0"/>
      <w:numFmt w:val="bullet"/>
      <w:lvlText w:val="•"/>
      <w:lvlJc w:val="left"/>
      <w:pPr>
        <w:ind w:left="3030" w:hanging="420"/>
      </w:pPr>
      <w:rPr>
        <w:rFonts w:hint="default"/>
      </w:rPr>
    </w:lvl>
    <w:lvl w:ilvl="8">
      <w:start w:val="0"/>
      <w:numFmt w:val="bullet"/>
      <w:lvlText w:val="•"/>
      <w:lvlJc w:val="left"/>
      <w:pPr>
        <w:ind w:left="3177" w:hanging="420"/>
      </w:pPr>
      <w:rPr>
        <w:rFonts w:hint="default"/>
      </w:rPr>
    </w:lvl>
  </w:abstractNum>
  <w:abstractNum w:abstractNumId="3">
    <w:multiLevelType w:val="hybridMultilevel"/>
    <w:lvl w:ilvl="0">
      <w:start w:val="3"/>
      <w:numFmt w:val="decimal"/>
      <w:lvlText w:val="%1"/>
      <w:lvlJc w:val="left"/>
      <w:pPr>
        <w:ind w:left="1993" w:hanging="420"/>
        <w:jc w:val="left"/>
      </w:pPr>
      <w:rPr>
        <w:rFonts w:hint="default"/>
      </w:rPr>
    </w:lvl>
    <w:lvl w:ilvl="1">
      <w:start w:val="1"/>
      <w:numFmt w:val="decimal"/>
      <w:lvlText w:val="%1.%2"/>
      <w:lvlJc w:val="left"/>
      <w:pPr>
        <w:ind w:left="1993" w:hanging="420"/>
        <w:jc w:val="left"/>
      </w:pPr>
      <w:rPr>
        <w:rFonts w:hint="default" w:ascii="宋体" w:hAnsi="宋体" w:eastAsia="宋体" w:cs="宋体"/>
        <w:spacing w:val="-1"/>
        <w:w w:val="100"/>
        <w:sz w:val="21"/>
        <w:szCs w:val="21"/>
      </w:rPr>
    </w:lvl>
    <w:lvl w:ilvl="2">
      <w:start w:val="0"/>
      <w:numFmt w:val="bullet"/>
      <w:lvlText w:val="•"/>
      <w:lvlJc w:val="left"/>
      <w:pPr>
        <w:ind w:left="2294" w:hanging="420"/>
      </w:pPr>
      <w:rPr>
        <w:rFonts w:hint="default"/>
      </w:rPr>
    </w:lvl>
    <w:lvl w:ilvl="3">
      <w:start w:val="0"/>
      <w:numFmt w:val="bullet"/>
      <w:lvlText w:val="•"/>
      <w:lvlJc w:val="left"/>
      <w:pPr>
        <w:ind w:left="2441" w:hanging="420"/>
      </w:pPr>
      <w:rPr>
        <w:rFonts w:hint="default"/>
      </w:rPr>
    </w:lvl>
    <w:lvl w:ilvl="4">
      <w:start w:val="0"/>
      <w:numFmt w:val="bullet"/>
      <w:lvlText w:val="•"/>
      <w:lvlJc w:val="left"/>
      <w:pPr>
        <w:ind w:left="2588" w:hanging="420"/>
      </w:pPr>
      <w:rPr>
        <w:rFonts w:hint="default"/>
      </w:rPr>
    </w:lvl>
    <w:lvl w:ilvl="5">
      <w:start w:val="0"/>
      <w:numFmt w:val="bullet"/>
      <w:lvlText w:val="•"/>
      <w:lvlJc w:val="left"/>
      <w:pPr>
        <w:ind w:left="2735" w:hanging="420"/>
      </w:pPr>
      <w:rPr>
        <w:rFonts w:hint="default"/>
      </w:rPr>
    </w:lvl>
    <w:lvl w:ilvl="6">
      <w:start w:val="0"/>
      <w:numFmt w:val="bullet"/>
      <w:lvlText w:val="•"/>
      <w:lvlJc w:val="left"/>
      <w:pPr>
        <w:ind w:left="2883" w:hanging="420"/>
      </w:pPr>
      <w:rPr>
        <w:rFonts w:hint="default"/>
      </w:rPr>
    </w:lvl>
    <w:lvl w:ilvl="7">
      <w:start w:val="0"/>
      <w:numFmt w:val="bullet"/>
      <w:lvlText w:val="•"/>
      <w:lvlJc w:val="left"/>
      <w:pPr>
        <w:ind w:left="3030" w:hanging="420"/>
      </w:pPr>
      <w:rPr>
        <w:rFonts w:hint="default"/>
      </w:rPr>
    </w:lvl>
    <w:lvl w:ilvl="8">
      <w:start w:val="0"/>
      <w:numFmt w:val="bullet"/>
      <w:lvlText w:val="•"/>
      <w:lvlJc w:val="left"/>
      <w:pPr>
        <w:ind w:left="3177" w:hanging="420"/>
      </w:pPr>
      <w:rPr>
        <w:rFonts w:hint="default"/>
      </w:rPr>
    </w:lvl>
  </w:abstractNum>
  <w:abstractNum w:abstractNumId="2">
    <w:multiLevelType w:val="hybridMultilevel"/>
    <w:lvl w:ilvl="0">
      <w:start w:val="2"/>
      <w:numFmt w:val="decimal"/>
      <w:lvlText w:val="%1"/>
      <w:lvlJc w:val="left"/>
      <w:pPr>
        <w:ind w:left="1993" w:hanging="420"/>
        <w:jc w:val="left"/>
      </w:pPr>
      <w:rPr>
        <w:rFonts w:hint="default"/>
      </w:rPr>
    </w:lvl>
    <w:lvl w:ilvl="1">
      <w:start w:val="1"/>
      <w:numFmt w:val="decimal"/>
      <w:lvlText w:val="%1.%2"/>
      <w:lvlJc w:val="left"/>
      <w:pPr>
        <w:ind w:left="1993" w:hanging="420"/>
        <w:jc w:val="left"/>
      </w:pPr>
      <w:rPr>
        <w:rFonts w:hint="default" w:ascii="宋体" w:hAnsi="宋体" w:eastAsia="宋体" w:cs="宋体"/>
        <w:spacing w:val="-1"/>
        <w:w w:val="100"/>
        <w:sz w:val="21"/>
        <w:szCs w:val="21"/>
      </w:rPr>
    </w:lvl>
    <w:lvl w:ilvl="2">
      <w:start w:val="0"/>
      <w:numFmt w:val="bullet"/>
      <w:lvlText w:val="•"/>
      <w:lvlJc w:val="left"/>
      <w:pPr>
        <w:ind w:left="2294" w:hanging="420"/>
      </w:pPr>
      <w:rPr>
        <w:rFonts w:hint="default"/>
      </w:rPr>
    </w:lvl>
    <w:lvl w:ilvl="3">
      <w:start w:val="0"/>
      <w:numFmt w:val="bullet"/>
      <w:lvlText w:val="•"/>
      <w:lvlJc w:val="left"/>
      <w:pPr>
        <w:ind w:left="2441" w:hanging="420"/>
      </w:pPr>
      <w:rPr>
        <w:rFonts w:hint="default"/>
      </w:rPr>
    </w:lvl>
    <w:lvl w:ilvl="4">
      <w:start w:val="0"/>
      <w:numFmt w:val="bullet"/>
      <w:lvlText w:val="•"/>
      <w:lvlJc w:val="left"/>
      <w:pPr>
        <w:ind w:left="2588" w:hanging="420"/>
      </w:pPr>
      <w:rPr>
        <w:rFonts w:hint="default"/>
      </w:rPr>
    </w:lvl>
    <w:lvl w:ilvl="5">
      <w:start w:val="0"/>
      <w:numFmt w:val="bullet"/>
      <w:lvlText w:val="•"/>
      <w:lvlJc w:val="left"/>
      <w:pPr>
        <w:ind w:left="2735" w:hanging="420"/>
      </w:pPr>
      <w:rPr>
        <w:rFonts w:hint="default"/>
      </w:rPr>
    </w:lvl>
    <w:lvl w:ilvl="6">
      <w:start w:val="0"/>
      <w:numFmt w:val="bullet"/>
      <w:lvlText w:val="•"/>
      <w:lvlJc w:val="left"/>
      <w:pPr>
        <w:ind w:left="2883" w:hanging="420"/>
      </w:pPr>
      <w:rPr>
        <w:rFonts w:hint="default"/>
      </w:rPr>
    </w:lvl>
    <w:lvl w:ilvl="7">
      <w:start w:val="0"/>
      <w:numFmt w:val="bullet"/>
      <w:lvlText w:val="•"/>
      <w:lvlJc w:val="left"/>
      <w:pPr>
        <w:ind w:left="3030" w:hanging="420"/>
      </w:pPr>
      <w:rPr>
        <w:rFonts w:hint="default"/>
      </w:rPr>
    </w:lvl>
    <w:lvl w:ilvl="8">
      <w:start w:val="0"/>
      <w:numFmt w:val="bullet"/>
      <w:lvlText w:val="•"/>
      <w:lvlJc w:val="left"/>
      <w:pPr>
        <w:ind w:left="3177" w:hanging="420"/>
      </w:pPr>
      <w:rPr>
        <w:rFonts w:hint="default"/>
      </w:rPr>
    </w:lvl>
  </w:abstractNum>
  <w:abstractNum w:abstractNumId="1">
    <w:multiLevelType w:val="hybridMultilevel"/>
    <w:lvl w:ilvl="0">
      <w:start w:val="1"/>
      <w:numFmt w:val="decimal"/>
      <w:lvlText w:val="%1"/>
      <w:lvlJc w:val="left"/>
      <w:pPr>
        <w:ind w:left="1993" w:hanging="420"/>
        <w:jc w:val="left"/>
      </w:pPr>
      <w:rPr>
        <w:rFonts w:hint="default"/>
      </w:rPr>
    </w:lvl>
    <w:lvl w:ilvl="1">
      <w:start w:val="1"/>
      <w:numFmt w:val="decimal"/>
      <w:lvlText w:val="%1.%2"/>
      <w:lvlJc w:val="left"/>
      <w:pPr>
        <w:ind w:left="1993" w:hanging="420"/>
        <w:jc w:val="left"/>
      </w:pPr>
      <w:rPr>
        <w:rFonts w:hint="default" w:ascii="宋体" w:hAnsi="宋体" w:eastAsia="宋体" w:cs="宋体"/>
        <w:spacing w:val="-1"/>
        <w:w w:val="100"/>
        <w:sz w:val="21"/>
        <w:szCs w:val="21"/>
      </w:rPr>
    </w:lvl>
    <w:lvl w:ilvl="2">
      <w:start w:val="0"/>
      <w:numFmt w:val="bullet"/>
      <w:lvlText w:val="•"/>
      <w:lvlJc w:val="left"/>
      <w:pPr>
        <w:ind w:left="2294" w:hanging="420"/>
      </w:pPr>
      <w:rPr>
        <w:rFonts w:hint="default"/>
      </w:rPr>
    </w:lvl>
    <w:lvl w:ilvl="3">
      <w:start w:val="0"/>
      <w:numFmt w:val="bullet"/>
      <w:lvlText w:val="•"/>
      <w:lvlJc w:val="left"/>
      <w:pPr>
        <w:ind w:left="2441" w:hanging="420"/>
      </w:pPr>
      <w:rPr>
        <w:rFonts w:hint="default"/>
      </w:rPr>
    </w:lvl>
    <w:lvl w:ilvl="4">
      <w:start w:val="0"/>
      <w:numFmt w:val="bullet"/>
      <w:lvlText w:val="•"/>
      <w:lvlJc w:val="left"/>
      <w:pPr>
        <w:ind w:left="2588" w:hanging="420"/>
      </w:pPr>
      <w:rPr>
        <w:rFonts w:hint="default"/>
      </w:rPr>
    </w:lvl>
    <w:lvl w:ilvl="5">
      <w:start w:val="0"/>
      <w:numFmt w:val="bullet"/>
      <w:lvlText w:val="•"/>
      <w:lvlJc w:val="left"/>
      <w:pPr>
        <w:ind w:left="2735" w:hanging="420"/>
      </w:pPr>
      <w:rPr>
        <w:rFonts w:hint="default"/>
      </w:rPr>
    </w:lvl>
    <w:lvl w:ilvl="6">
      <w:start w:val="0"/>
      <w:numFmt w:val="bullet"/>
      <w:lvlText w:val="•"/>
      <w:lvlJc w:val="left"/>
      <w:pPr>
        <w:ind w:left="2883" w:hanging="420"/>
      </w:pPr>
      <w:rPr>
        <w:rFonts w:hint="default"/>
      </w:rPr>
    </w:lvl>
    <w:lvl w:ilvl="7">
      <w:start w:val="0"/>
      <w:numFmt w:val="bullet"/>
      <w:lvlText w:val="•"/>
      <w:lvlJc w:val="left"/>
      <w:pPr>
        <w:ind w:left="3030" w:hanging="420"/>
      </w:pPr>
      <w:rPr>
        <w:rFonts w:hint="default"/>
      </w:rPr>
    </w:lvl>
    <w:lvl w:ilvl="8">
      <w:start w:val="0"/>
      <w:numFmt w:val="bullet"/>
      <w:lvlText w:val="•"/>
      <w:lvlJc w:val="left"/>
      <w:pPr>
        <w:ind w:left="3177" w:hanging="42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65"/>
      <w:ind w:left="199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2018-10-20T07:59:44Z</dcterms:created>
  <dcterms:modified xsi:type="dcterms:W3CDTF">2018-10-20T07:59:44Z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