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75" w:lineRule="exact" w:before="0"/>
        <w:ind w:left="1930" w:right="0" w:firstLine="0"/>
        <w:jc w:val="left"/>
        <w:rPr>
          <w:rFonts w:ascii="Microsoft JhengHei" w:eastAsia="Microsoft JhengHei" w:hint="eastAsia"/>
          <w:b/>
          <w:sz w:val="44"/>
        </w:rPr>
      </w:pPr>
      <w:r>
        <w:rPr>
          <w:rFonts w:ascii="Microsoft JhengHei" w:eastAsia="Microsoft JhengHei" w:hint="eastAsia"/>
          <w:b/>
          <w:sz w:val="44"/>
        </w:rPr>
        <w:t>光大永明人寿保险有限公司</w:t>
      </w:r>
    </w:p>
    <w:p>
      <w:pPr>
        <w:spacing w:line="418" w:lineRule="exact" w:before="0"/>
        <w:ind w:left="1008" w:right="0" w:firstLine="0"/>
        <w:jc w:val="left"/>
        <w:rPr>
          <w:rFonts w:ascii="Microsoft JhengHei" w:eastAsia="Microsoft JhengHei" w:hint="eastAsia"/>
          <w:b/>
          <w:sz w:val="30"/>
        </w:rPr>
      </w:pPr>
      <w:r>
        <w:rPr>
          <w:rFonts w:ascii="Microsoft JhengHei" w:eastAsia="Microsoft JhengHei" w:hint="eastAsia"/>
          <w:b/>
          <w:sz w:val="30"/>
        </w:rPr>
        <w:t>光大永明附加丰盛豁免保险费定期重大疾病保险（</w:t>
      </w:r>
      <w:r>
        <w:rPr>
          <w:rFonts w:ascii="Times New Roman" w:eastAsia="Times New Roman"/>
          <w:b/>
          <w:sz w:val="30"/>
        </w:rPr>
        <w:t>A</w:t>
      </w:r>
      <w:r>
        <w:rPr>
          <w:rFonts w:ascii="Microsoft JhengHei" w:eastAsia="Microsoft JhengHei" w:hint="eastAsia"/>
          <w:b/>
          <w:sz w:val="30"/>
        </w:rPr>
        <w:t>）</w:t>
      </w:r>
    </w:p>
    <w:p>
      <w:pPr>
        <w:pStyle w:val="BodyText"/>
        <w:spacing w:before="2"/>
        <w:rPr>
          <w:rFonts w:ascii="Microsoft JhengHei"/>
          <w:b/>
          <w:sz w:val="19"/>
        </w:rPr>
      </w:pPr>
    </w:p>
    <w:p>
      <w:pPr>
        <w:spacing w:line="201" w:lineRule="auto" w:before="0"/>
        <w:ind w:left="101" w:right="100" w:firstLine="0"/>
        <w:jc w:val="left"/>
        <w:rPr>
          <w:rFonts w:ascii="Microsoft JhengHei" w:eastAsia="Microsoft JhengHei" w:hint="eastAsia"/>
          <w:b/>
          <w:sz w:val="24"/>
        </w:rPr>
      </w:pPr>
      <w:r>
        <w:rPr>
          <w:rFonts w:ascii="Microsoft JhengHei" w:eastAsia="Microsoft JhengHei" w:hint="eastAsia"/>
          <w:b/>
          <w:sz w:val="24"/>
        </w:rPr>
        <w:t>感谢您选择了光大永明人寿。为了帮助您更好地理解本条款，在阅读本条款前，请您注意阅读提示和名词释义。</w:t>
      </w:r>
    </w:p>
    <w:p>
      <w:pPr>
        <w:pStyle w:val="BodyText"/>
        <w:spacing w:before="15"/>
        <w:rPr>
          <w:rFonts w:ascii="Microsoft JhengHei"/>
          <w:b/>
          <w:sz w:val="32"/>
        </w:rPr>
      </w:pPr>
    </w:p>
    <w:p>
      <w:pPr>
        <w:spacing w:before="0"/>
        <w:ind w:left="3844" w:right="3845" w:firstLine="0"/>
        <w:jc w:val="center"/>
        <w:rPr>
          <w:rFonts w:ascii="Microsoft JhengHei" w:eastAsia="Microsoft JhengHei" w:hint="eastAsia"/>
          <w:b/>
          <w:sz w:val="28"/>
        </w:rPr>
      </w:pPr>
      <w:r>
        <w:rPr>
          <w:rFonts w:ascii="Microsoft JhengHei" w:eastAsia="Microsoft JhengHei" w:hint="eastAsia"/>
          <w:b/>
          <w:sz w:val="28"/>
        </w:rPr>
        <w:t>阅读提示</w: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8"/>
        <w:gridCol w:w="1295"/>
      </w:tblGrid>
      <w:tr>
        <w:trPr>
          <w:trHeight w:val="492" w:hRule="atLeast"/>
        </w:trPr>
        <w:tc>
          <w:tcPr>
            <w:tcW w:w="7098" w:type="dxa"/>
            <w:tcBorders>
              <w:top w:val="single" w:sz="4" w:space="0" w:color="000000"/>
            </w:tcBorders>
          </w:tcPr>
          <w:p>
            <w:pPr>
              <w:pStyle w:val="TableParagraph"/>
              <w:spacing w:line="398" w:lineRule="exact"/>
              <w:ind w:left="3114"/>
              <w:rPr>
                <w:rFonts w:ascii="Microsoft JhengHei" w:eastAsia="Microsoft JhengHei" w:hint="eastAsia"/>
                <w:b/>
                <w:sz w:val="24"/>
              </w:rPr>
            </w:pPr>
            <w:r>
              <w:rPr>
                <w:rFonts w:ascii="Microsoft JhengHei" w:eastAsia="Microsoft JhengHei" w:hint="eastAsia"/>
                <w:b/>
                <w:sz w:val="24"/>
              </w:rPr>
              <w:t>您所享有的重要权益</w:t>
            </w:r>
          </w:p>
        </w:tc>
        <w:tc>
          <w:tcPr>
            <w:tcW w:w="1295" w:type="dxa"/>
            <w:tcBorders>
              <w:top w:val="single" w:sz="4" w:space="0" w:color="000000"/>
            </w:tcBorders>
          </w:tcPr>
          <w:p>
            <w:pPr>
              <w:pStyle w:val="TableParagraph"/>
              <w:ind w:left="0"/>
              <w:rPr>
                <w:sz w:val="22"/>
              </w:rPr>
            </w:pPr>
          </w:p>
        </w:tc>
      </w:tr>
      <w:tr>
        <w:trPr>
          <w:trHeight w:val="469" w:hRule="atLeast"/>
        </w:trPr>
        <w:tc>
          <w:tcPr>
            <w:tcW w:w="7098" w:type="dxa"/>
          </w:tcPr>
          <w:p>
            <w:pPr>
              <w:pStyle w:val="TableParagraph"/>
              <w:spacing w:before="63"/>
              <w:rPr>
                <w:sz w:val="21"/>
              </w:rPr>
            </w:pPr>
            <w:r>
              <w:rPr>
                <w:rFonts w:ascii="宋体" w:hAnsi="宋体" w:eastAsia="宋体" w:hint="eastAsia"/>
                <w:sz w:val="21"/>
              </w:rPr>
              <w:t>本附加合同所提供的保障</w:t>
            </w:r>
            <w:r>
              <w:rPr>
                <w:sz w:val="21"/>
              </w:rPr>
              <w:t>........................................…………………………….</w:t>
            </w:r>
          </w:p>
        </w:tc>
        <w:tc>
          <w:tcPr>
            <w:tcW w:w="1295" w:type="dxa"/>
          </w:tcPr>
          <w:p>
            <w:pPr>
              <w:pStyle w:val="TableParagraph"/>
              <w:spacing w:line="362" w:lineRule="exact"/>
              <w:ind w:left="172"/>
              <w:rPr>
                <w:rFonts w:ascii="Microsoft JhengHei" w:eastAsia="Microsoft JhengHei" w:hint="eastAsia"/>
                <w:b/>
                <w:sz w:val="21"/>
              </w:rPr>
            </w:pPr>
            <w:hyperlink w:history="true" w:anchor="_bookmark3">
              <w:r>
                <w:rPr>
                  <w:rFonts w:ascii="Microsoft JhengHei" w:eastAsia="Microsoft JhengHei" w:hint="eastAsia"/>
                  <w:b/>
                  <w:sz w:val="21"/>
                </w:rPr>
                <w:t>第   六 条</w:t>
              </w:r>
            </w:hyperlink>
          </w:p>
        </w:tc>
      </w:tr>
      <w:tr>
        <w:trPr>
          <w:trHeight w:val="454" w:hRule="atLeast"/>
        </w:trPr>
        <w:tc>
          <w:tcPr>
            <w:tcW w:w="7098" w:type="dxa"/>
          </w:tcPr>
          <w:p>
            <w:pPr>
              <w:pStyle w:val="TableParagraph"/>
              <w:spacing w:before="57"/>
              <w:rPr>
                <w:sz w:val="21"/>
              </w:rPr>
            </w:pPr>
            <w:r>
              <w:rPr>
                <w:rFonts w:ascii="宋体" w:hAnsi="宋体" w:eastAsia="宋体" w:hint="eastAsia"/>
                <w:sz w:val="21"/>
              </w:rPr>
              <w:t>签收保险合同后十天内，您可以要求退还保险费</w:t>
            </w:r>
            <w:r>
              <w:rPr>
                <w:sz w:val="21"/>
              </w:rPr>
              <w:t>..........................…………….</w:t>
            </w:r>
          </w:p>
        </w:tc>
        <w:tc>
          <w:tcPr>
            <w:tcW w:w="1295" w:type="dxa"/>
          </w:tcPr>
          <w:p>
            <w:pPr>
              <w:pStyle w:val="TableParagraph"/>
              <w:spacing w:line="356" w:lineRule="exact"/>
              <w:ind w:left="176"/>
              <w:rPr>
                <w:rFonts w:ascii="Microsoft JhengHei" w:eastAsia="Microsoft JhengHei" w:hint="eastAsia"/>
                <w:b/>
                <w:sz w:val="21"/>
              </w:rPr>
            </w:pPr>
            <w:hyperlink w:history="true" w:anchor="_bookmark10">
              <w:r>
                <w:rPr>
                  <w:rFonts w:ascii="Microsoft JhengHei" w:eastAsia="Microsoft JhengHei" w:hint="eastAsia"/>
                  <w:b/>
                  <w:sz w:val="21"/>
                </w:rPr>
                <w:t>第   十  条</w:t>
              </w:r>
            </w:hyperlink>
          </w:p>
        </w:tc>
      </w:tr>
      <w:tr>
        <w:trPr>
          <w:trHeight w:val="468" w:hRule="atLeast"/>
        </w:trPr>
        <w:tc>
          <w:tcPr>
            <w:tcW w:w="7098" w:type="dxa"/>
          </w:tcPr>
          <w:p>
            <w:pPr>
              <w:pStyle w:val="TableParagraph"/>
              <w:spacing w:line="374" w:lineRule="exact"/>
              <w:ind w:left="2994"/>
              <w:rPr>
                <w:rFonts w:ascii="Microsoft JhengHei" w:eastAsia="Microsoft JhengHei" w:hint="eastAsia"/>
                <w:b/>
                <w:sz w:val="24"/>
              </w:rPr>
            </w:pPr>
            <w:r>
              <w:rPr>
                <w:rFonts w:ascii="Microsoft JhengHei" w:eastAsia="Microsoft JhengHei" w:hint="eastAsia"/>
                <w:b/>
                <w:sz w:val="24"/>
              </w:rPr>
              <w:t>您应当特别注意的事项</w:t>
            </w:r>
          </w:p>
        </w:tc>
        <w:tc>
          <w:tcPr>
            <w:tcW w:w="1295" w:type="dxa"/>
          </w:tcPr>
          <w:p>
            <w:pPr>
              <w:pStyle w:val="TableParagraph"/>
              <w:ind w:left="0"/>
              <w:rPr>
                <w:sz w:val="22"/>
              </w:rPr>
            </w:pPr>
          </w:p>
        </w:tc>
      </w:tr>
      <w:tr>
        <w:trPr>
          <w:trHeight w:val="469" w:hRule="atLeast"/>
        </w:trPr>
        <w:tc>
          <w:tcPr>
            <w:tcW w:w="7098" w:type="dxa"/>
          </w:tcPr>
          <w:p>
            <w:pPr>
              <w:pStyle w:val="TableParagraph"/>
              <w:spacing w:before="63"/>
              <w:rPr>
                <w:sz w:val="21"/>
              </w:rPr>
            </w:pPr>
            <w:r>
              <w:rPr>
                <w:rFonts w:ascii="宋体" w:hAnsi="宋体" w:eastAsia="宋体" w:hint="eastAsia"/>
                <w:sz w:val="21"/>
              </w:rPr>
              <w:t>在某些情况下，我们不承担保险责任</w:t>
            </w:r>
            <w:r>
              <w:rPr>
                <w:sz w:val="21"/>
              </w:rPr>
              <w:t>..............................………………………</w:t>
            </w:r>
          </w:p>
        </w:tc>
        <w:tc>
          <w:tcPr>
            <w:tcW w:w="1295" w:type="dxa"/>
          </w:tcPr>
          <w:p>
            <w:pPr>
              <w:pStyle w:val="TableParagraph"/>
              <w:spacing w:line="362" w:lineRule="exact"/>
              <w:ind w:left="172"/>
              <w:rPr>
                <w:rFonts w:ascii="Microsoft JhengHei" w:eastAsia="Microsoft JhengHei" w:hint="eastAsia"/>
                <w:b/>
                <w:sz w:val="21"/>
              </w:rPr>
            </w:pPr>
            <w:hyperlink w:history="true" w:anchor="_bookmark4">
              <w:r>
                <w:rPr>
                  <w:rFonts w:ascii="Microsoft JhengHei" w:eastAsia="Microsoft JhengHei" w:hint="eastAsia"/>
                  <w:b/>
                  <w:sz w:val="21"/>
                </w:rPr>
                <w:t>第   七 条</w:t>
              </w:r>
            </w:hyperlink>
          </w:p>
        </w:tc>
      </w:tr>
      <w:tr>
        <w:trPr>
          <w:trHeight w:val="463" w:hRule="atLeast"/>
        </w:trPr>
        <w:tc>
          <w:tcPr>
            <w:tcW w:w="7098" w:type="dxa"/>
          </w:tcPr>
          <w:p>
            <w:pPr>
              <w:pStyle w:val="TableParagraph"/>
              <w:spacing w:before="57"/>
              <w:rPr>
                <w:sz w:val="21"/>
              </w:rPr>
            </w:pPr>
            <w:r>
              <w:rPr>
                <w:rFonts w:ascii="宋体" w:hAnsi="宋体" w:eastAsia="宋体" w:hint="eastAsia"/>
                <w:sz w:val="21"/>
              </w:rPr>
              <w:t>如何申请保险费豁免</w:t>
            </w:r>
            <w:r>
              <w:rPr>
                <w:sz w:val="21"/>
              </w:rPr>
              <w:t>............................................……………………………….</w:t>
            </w:r>
          </w:p>
        </w:tc>
        <w:tc>
          <w:tcPr>
            <w:tcW w:w="1295" w:type="dxa"/>
          </w:tcPr>
          <w:p>
            <w:pPr>
              <w:pStyle w:val="TableParagraph"/>
              <w:spacing w:line="356" w:lineRule="exact"/>
              <w:ind w:left="172"/>
              <w:rPr>
                <w:rFonts w:ascii="Microsoft JhengHei" w:eastAsia="Microsoft JhengHei" w:hint="eastAsia"/>
                <w:b/>
                <w:sz w:val="21"/>
              </w:rPr>
            </w:pPr>
            <w:hyperlink w:history="true" w:anchor="_bookmark8">
              <w:r>
                <w:rPr>
                  <w:rFonts w:ascii="Microsoft JhengHei" w:eastAsia="Microsoft JhengHei" w:hint="eastAsia"/>
                  <w:b/>
                  <w:sz w:val="21"/>
                </w:rPr>
                <w:t>第   九 条</w:t>
              </w:r>
            </w:hyperlink>
          </w:p>
        </w:tc>
      </w:tr>
      <w:tr>
        <w:trPr>
          <w:trHeight w:val="348" w:hRule="atLeast"/>
        </w:trPr>
        <w:tc>
          <w:tcPr>
            <w:tcW w:w="7098" w:type="dxa"/>
          </w:tcPr>
          <w:p>
            <w:pPr>
              <w:pStyle w:val="TableParagraph"/>
              <w:spacing w:line="271" w:lineRule="exact" w:before="57"/>
              <w:rPr>
                <w:sz w:val="21"/>
              </w:rPr>
            </w:pPr>
            <w:r>
              <w:rPr>
                <w:rFonts w:ascii="宋体" w:hAnsi="宋体" w:eastAsia="宋体" w:hint="eastAsia"/>
                <w:sz w:val="21"/>
              </w:rPr>
              <w:t>您有解除附加合同的权利，请您慎重决定</w:t>
            </w:r>
            <w:r>
              <w:rPr>
                <w:sz w:val="21"/>
              </w:rPr>
              <w:t>..........................……………………</w:t>
            </w:r>
          </w:p>
        </w:tc>
        <w:tc>
          <w:tcPr>
            <w:tcW w:w="1295" w:type="dxa"/>
          </w:tcPr>
          <w:p>
            <w:pPr>
              <w:pStyle w:val="TableParagraph"/>
              <w:spacing w:line="328" w:lineRule="exact"/>
              <w:ind w:left="172"/>
              <w:rPr>
                <w:rFonts w:ascii="Microsoft JhengHei" w:eastAsia="Microsoft JhengHei" w:hint="eastAsia"/>
                <w:b/>
                <w:sz w:val="21"/>
              </w:rPr>
            </w:pPr>
            <w:hyperlink w:history="true" w:anchor="_bookmark10">
              <w:r>
                <w:rPr>
                  <w:rFonts w:ascii="Microsoft JhengHei" w:eastAsia="Microsoft JhengHei" w:hint="eastAsia"/>
                  <w:b/>
                  <w:sz w:val="21"/>
                </w:rPr>
                <w:t>第   十 条</w:t>
              </w:r>
            </w:hyperlink>
          </w:p>
        </w:tc>
      </w:tr>
    </w:tbl>
    <w:p>
      <w:pPr>
        <w:pStyle w:val="BodyText"/>
        <w:rPr>
          <w:rFonts w:ascii="Microsoft JhengHei"/>
          <w:b/>
          <w:sz w:val="28"/>
        </w:rPr>
      </w:pPr>
    </w:p>
    <w:p>
      <w:pPr>
        <w:pStyle w:val="BodyText"/>
        <w:rPr>
          <w:rFonts w:ascii="Microsoft JhengHei"/>
          <w:b/>
          <w:sz w:val="28"/>
        </w:rPr>
      </w:pPr>
    </w:p>
    <w:p>
      <w:pPr>
        <w:pStyle w:val="BodyText"/>
        <w:spacing w:before="13"/>
        <w:rPr>
          <w:rFonts w:ascii="Microsoft JhengHei"/>
          <w:b/>
          <w:sz w:val="27"/>
        </w:rPr>
      </w:pPr>
    </w:p>
    <w:p>
      <w:pPr>
        <w:spacing w:before="0"/>
        <w:ind w:left="3844" w:right="3845" w:firstLine="0"/>
        <w:jc w:val="center"/>
        <w:rPr>
          <w:rFonts w:ascii="Microsoft JhengHei" w:eastAsia="Microsoft JhengHei" w:hint="eastAsia"/>
          <w:b/>
          <w:sz w:val="28"/>
        </w:rPr>
      </w:pPr>
      <w:r>
        <w:rPr>
          <w:rFonts w:ascii="Microsoft JhengHei" w:eastAsia="Microsoft JhengHei" w:hint="eastAsia"/>
          <w:b/>
          <w:sz w:val="28"/>
        </w:rPr>
        <w:t>名词说明</w: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693"/>
        <w:gridCol w:w="6371"/>
      </w:tblGrid>
      <w:tr>
        <w:trPr>
          <w:trHeight w:val="379" w:hRule="atLeast"/>
        </w:trPr>
        <w:tc>
          <w:tcPr>
            <w:tcW w:w="1422" w:type="dxa"/>
            <w:tcBorders>
              <w:top w:val="single" w:sz="4" w:space="0" w:color="000000"/>
            </w:tcBorders>
          </w:tcPr>
          <w:p>
            <w:pPr>
              <w:pStyle w:val="TableParagraph"/>
              <w:spacing w:line="333" w:lineRule="exact"/>
              <w:rPr>
                <w:rFonts w:ascii="Microsoft JhengHei" w:eastAsia="Microsoft JhengHei" w:hint="eastAsia"/>
                <w:b/>
                <w:sz w:val="21"/>
              </w:rPr>
            </w:pPr>
            <w:r>
              <w:rPr>
                <w:rFonts w:ascii="Microsoft JhengHei" w:eastAsia="Microsoft JhengHei" w:hint="eastAsia"/>
                <w:b/>
                <w:sz w:val="21"/>
              </w:rPr>
              <w:t>我们</w:t>
            </w:r>
          </w:p>
        </w:tc>
        <w:tc>
          <w:tcPr>
            <w:tcW w:w="693" w:type="dxa"/>
            <w:tcBorders>
              <w:top w:val="single" w:sz="4" w:space="0" w:color="000000"/>
            </w:tcBorders>
          </w:tcPr>
          <w:p>
            <w:pPr>
              <w:pStyle w:val="TableParagraph"/>
              <w:spacing w:line="333"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1" w:type="dxa"/>
            <w:tcBorders>
              <w:top w:val="single" w:sz="4" w:space="0" w:color="000000"/>
            </w:tcBorders>
          </w:tcPr>
          <w:p>
            <w:pPr>
              <w:pStyle w:val="TableParagraph"/>
              <w:spacing w:before="34"/>
              <w:ind w:left="12"/>
              <w:rPr>
                <w:rFonts w:ascii="宋体" w:eastAsia="宋体" w:hint="eastAsia"/>
                <w:sz w:val="21"/>
              </w:rPr>
            </w:pPr>
            <w:r>
              <w:rPr>
                <w:rFonts w:ascii="宋体" w:eastAsia="宋体" w:hint="eastAsia"/>
                <w:sz w:val="21"/>
              </w:rPr>
              <w:t>指光大永明人寿保险有限公司。</w:t>
            </w:r>
          </w:p>
        </w:tc>
      </w:tr>
      <w:tr>
        <w:trPr>
          <w:trHeight w:val="350" w:hRule="atLeast"/>
        </w:trPr>
        <w:tc>
          <w:tcPr>
            <w:tcW w:w="1422" w:type="dxa"/>
          </w:tcPr>
          <w:p>
            <w:pPr>
              <w:pStyle w:val="TableParagraph"/>
              <w:spacing w:line="304" w:lineRule="exact"/>
              <w:rPr>
                <w:rFonts w:ascii="Microsoft JhengHei" w:eastAsia="Microsoft JhengHei" w:hint="eastAsia"/>
                <w:b/>
                <w:sz w:val="21"/>
              </w:rPr>
            </w:pPr>
            <w:r>
              <w:rPr>
                <w:rFonts w:ascii="Microsoft JhengHei" w:eastAsia="Microsoft JhengHei" w:hint="eastAsia"/>
                <w:b/>
                <w:sz w:val="21"/>
              </w:rPr>
              <w:t>您</w:t>
            </w:r>
          </w:p>
        </w:tc>
        <w:tc>
          <w:tcPr>
            <w:tcW w:w="693" w:type="dxa"/>
          </w:tcPr>
          <w:p>
            <w:pPr>
              <w:pStyle w:val="TableParagraph"/>
              <w:spacing w:line="304"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1" w:type="dxa"/>
          </w:tcPr>
          <w:p>
            <w:pPr>
              <w:pStyle w:val="TableParagraph"/>
              <w:spacing w:before="5"/>
              <w:ind w:left="12"/>
              <w:rPr>
                <w:rFonts w:ascii="宋体" w:eastAsia="宋体" w:hint="eastAsia"/>
                <w:sz w:val="21"/>
              </w:rPr>
            </w:pPr>
            <w:r>
              <w:rPr>
                <w:rFonts w:ascii="宋体" w:eastAsia="宋体" w:hint="eastAsia"/>
                <w:sz w:val="21"/>
              </w:rPr>
              <w:t>指本附加合同的投保人。</w:t>
            </w:r>
          </w:p>
        </w:tc>
      </w:tr>
      <w:tr>
        <w:trPr>
          <w:trHeight w:val="280" w:hRule="atLeast"/>
        </w:trPr>
        <w:tc>
          <w:tcPr>
            <w:tcW w:w="1422" w:type="dxa"/>
          </w:tcPr>
          <w:p>
            <w:pPr>
              <w:pStyle w:val="TableParagraph"/>
              <w:spacing w:line="260" w:lineRule="exact"/>
              <w:rPr>
                <w:rFonts w:ascii="Microsoft JhengHei" w:eastAsia="Microsoft JhengHei" w:hint="eastAsia"/>
                <w:b/>
                <w:sz w:val="21"/>
              </w:rPr>
            </w:pPr>
            <w:r>
              <w:rPr>
                <w:rFonts w:ascii="Microsoft JhengHei" w:eastAsia="Microsoft JhengHei" w:hint="eastAsia"/>
                <w:b/>
                <w:sz w:val="21"/>
              </w:rPr>
              <w:t>保险条款</w:t>
            </w:r>
          </w:p>
        </w:tc>
        <w:tc>
          <w:tcPr>
            <w:tcW w:w="693" w:type="dxa"/>
          </w:tcPr>
          <w:p>
            <w:pPr>
              <w:pStyle w:val="TableParagraph"/>
              <w:spacing w:line="260"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1" w:type="dxa"/>
          </w:tcPr>
          <w:p>
            <w:pPr>
              <w:pStyle w:val="TableParagraph"/>
              <w:spacing w:line="255" w:lineRule="exact" w:before="5"/>
              <w:ind w:left="12"/>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10" w:h="16840"/>
          <w:pgMar w:footer="740" w:top="1060" w:bottom="920" w:left="1600" w:right="1140"/>
          <w:pgNumType w:start="1"/>
        </w:sectPr>
      </w:pPr>
    </w:p>
    <w:p>
      <w:pPr>
        <w:spacing w:line="480" w:lineRule="exact" w:before="0"/>
        <w:ind w:left="3844" w:right="3846" w:firstLine="0"/>
        <w:jc w:val="center"/>
        <w:rPr>
          <w:rFonts w:ascii="Microsoft JhengHei" w:eastAsia="Microsoft JhengHei" w:hint="eastAsia"/>
          <w:b/>
          <w:sz w:val="36"/>
        </w:rPr>
      </w:pPr>
      <w:r>
        <w:rPr>
          <w:rFonts w:ascii="Microsoft JhengHei" w:eastAsia="Microsoft JhengHei" w:hint="eastAsia"/>
          <w:b/>
          <w:sz w:val="36"/>
        </w:rPr>
        <w:t>条款目录</w:t>
      </w:r>
    </w:p>
    <w:sdt>
      <w:sdtPr>
        <w:docPartObj>
          <w:docPartGallery w:val="Table of Contents"/>
          <w:docPartUnique/>
        </w:docPartObj>
      </w:sdtPr>
      <w:sdtEndPr/>
      <w:sdtContent>
        <w:p>
          <w:pPr>
            <w:pStyle w:val="TOC1"/>
            <w:tabs>
              <w:tab w:pos="9049" w:val="right" w:leader="dot"/>
            </w:tabs>
            <w:spacing w:before="171"/>
            <w:rPr>
              <w:rFonts w:ascii="Times New Roman" w:eastAsia="Times New Roman"/>
            </w:rPr>
          </w:pPr>
          <w:hyperlink w:history="true" w:anchor="_bookmark0">
            <w:r>
              <w:rPr/>
              <w:t>第一部分</w:t>
            </w:r>
            <w:r>
              <w:rPr>
                <w:spacing w:val="-6"/>
              </w:rPr>
              <w:t> </w:t>
            </w:r>
            <w:r>
              <w:rPr/>
              <w:t>您与我们的合同</w:t>
              <w:tab/>
            </w:r>
            <w:r>
              <w:rPr>
                <w:rFonts w:ascii="Times New Roman" w:eastAsia="Times New Roman"/>
              </w:rPr>
              <w:t>1</w:t>
            </w:r>
          </w:hyperlink>
        </w:p>
        <w:p>
          <w:pPr>
            <w:pStyle w:val="TOC2"/>
            <w:tabs>
              <w:tab w:pos="1541" w:val="left" w:leader="none"/>
              <w:tab w:pos="9049" w:val="right" w:leader="dot"/>
            </w:tabs>
            <w:spacing w:before="99"/>
            <w:rPr>
              <w:rFonts w:ascii="Times New Roman" w:eastAsia="Times New Roman"/>
            </w:rPr>
          </w:pPr>
          <w:hyperlink w:history="true" w:anchor="_bookmark0">
            <w:r>
              <w:rPr/>
              <w:t>第一条</w:t>
              <w:tab/>
              <w:t>附加保险合同的构成</w:t>
              <w:tab/>
            </w:r>
            <w:r>
              <w:rPr>
                <w:rFonts w:ascii="Times New Roman" w:eastAsia="Times New Roman"/>
              </w:rPr>
              <w:t>1</w:t>
            </w:r>
          </w:hyperlink>
        </w:p>
        <w:p>
          <w:pPr>
            <w:pStyle w:val="TOC2"/>
            <w:tabs>
              <w:tab w:pos="1541" w:val="left" w:leader="none"/>
              <w:tab w:pos="9049" w:val="right" w:leader="dot"/>
            </w:tabs>
            <w:spacing w:line="312" w:lineRule="exact"/>
            <w:rPr>
              <w:rFonts w:ascii="Times New Roman" w:eastAsia="Times New Roman"/>
            </w:rPr>
          </w:pPr>
          <w:hyperlink w:history="true" w:anchor="_bookmark0">
            <w:r>
              <w:rPr/>
              <w:t>第二条</w:t>
              <w:tab/>
              <w:t>投保条件</w:t>
              <w:tab/>
            </w:r>
            <w:r>
              <w:rPr>
                <w:rFonts w:ascii="Times New Roman" w:eastAsia="Times New Roman"/>
              </w:rPr>
              <w:t>1</w:t>
            </w:r>
          </w:hyperlink>
        </w:p>
        <w:p>
          <w:pPr>
            <w:pStyle w:val="TOC2"/>
            <w:tabs>
              <w:tab w:pos="1541" w:val="left" w:leader="none"/>
              <w:tab w:pos="9049" w:val="right" w:leader="dot"/>
            </w:tabs>
            <w:spacing w:line="312" w:lineRule="exact"/>
            <w:rPr>
              <w:rFonts w:ascii="Times New Roman" w:eastAsia="Times New Roman"/>
            </w:rPr>
          </w:pPr>
          <w:hyperlink w:history="true" w:anchor="_bookmark0">
            <w:r>
              <w:rPr/>
              <w:t>第三条</w:t>
              <w:tab/>
              <w:t>保险责任的开始</w:t>
              <w:tab/>
            </w:r>
            <w:r>
              <w:rPr>
                <w:rFonts w:ascii="Times New Roman" w:eastAsia="Times New Roman"/>
              </w:rPr>
              <w:t>1</w:t>
            </w:r>
          </w:hyperlink>
        </w:p>
        <w:p>
          <w:pPr>
            <w:pStyle w:val="TOC2"/>
            <w:tabs>
              <w:tab w:pos="1541" w:val="left" w:leader="none"/>
              <w:tab w:pos="9049" w:val="right" w:leader="dot"/>
            </w:tabs>
            <w:spacing w:line="312" w:lineRule="exact"/>
            <w:rPr>
              <w:rFonts w:ascii="Times New Roman" w:eastAsia="Times New Roman"/>
            </w:rPr>
          </w:pPr>
          <w:hyperlink w:history="true" w:anchor="_bookmark0">
            <w:r>
              <w:rPr/>
              <w:t>第四条</w:t>
              <w:tab/>
              <w:t>保险期间和保证续保</w:t>
              <w:tab/>
            </w:r>
            <w:r>
              <w:rPr>
                <w:rFonts w:ascii="Times New Roman" w:eastAsia="Times New Roman"/>
              </w:rPr>
              <w:t>1</w:t>
            </w:r>
          </w:hyperlink>
        </w:p>
        <w:p>
          <w:pPr>
            <w:pStyle w:val="TOC2"/>
            <w:tabs>
              <w:tab w:pos="1541" w:val="left" w:leader="none"/>
              <w:tab w:pos="9049" w:val="right" w:leader="dot"/>
            </w:tabs>
            <w:rPr>
              <w:rFonts w:ascii="Times New Roman" w:eastAsia="Times New Roman"/>
            </w:rPr>
          </w:pPr>
          <w:hyperlink w:history="true" w:anchor="_bookmark0">
            <w:r>
              <w:rPr/>
              <w:t>第五条</w:t>
              <w:tab/>
              <w:t>附加保险合同的终止</w:t>
              <w:tab/>
            </w:r>
            <w:r>
              <w:rPr>
                <w:rFonts w:ascii="Times New Roman" w:eastAsia="Times New Roman"/>
              </w:rPr>
              <w:t>1</w:t>
            </w:r>
          </w:hyperlink>
        </w:p>
        <w:p>
          <w:pPr>
            <w:pStyle w:val="TOC1"/>
            <w:tabs>
              <w:tab w:pos="9049" w:val="right" w:leader="dot"/>
            </w:tabs>
            <w:spacing w:before="99"/>
            <w:rPr>
              <w:rFonts w:ascii="Times New Roman" w:eastAsia="Times New Roman"/>
            </w:rPr>
          </w:pPr>
          <w:hyperlink w:history="true" w:anchor="_bookmark2">
            <w:r>
              <w:rPr/>
              <w:t>第二部分</w:t>
            </w:r>
            <w:r>
              <w:rPr>
                <w:spacing w:val="-6"/>
              </w:rPr>
              <w:t> </w:t>
            </w:r>
            <w:r>
              <w:rPr/>
              <w:t>我们提供的保障</w:t>
              <w:tab/>
            </w:r>
            <w:r>
              <w:rPr>
                <w:rFonts w:ascii="Times New Roman" w:eastAsia="Times New Roman"/>
              </w:rPr>
              <w:t>2</w:t>
            </w:r>
          </w:hyperlink>
        </w:p>
        <w:p>
          <w:pPr>
            <w:pStyle w:val="TOC2"/>
            <w:tabs>
              <w:tab w:pos="1541" w:val="left" w:leader="none"/>
              <w:tab w:pos="9049" w:val="right" w:leader="dot"/>
            </w:tabs>
            <w:spacing w:before="99"/>
            <w:rPr>
              <w:rFonts w:ascii="Times New Roman" w:eastAsia="Times New Roman"/>
            </w:rPr>
          </w:pPr>
          <w:hyperlink w:history="true" w:anchor="_bookmark2">
            <w:r>
              <w:rPr/>
              <w:t>第六条</w:t>
              <w:tab/>
              <w:t>保险责任</w:t>
              <w:tab/>
            </w:r>
            <w:r>
              <w:rPr>
                <w:rFonts w:ascii="Times New Roman" w:eastAsia="Times New Roman"/>
              </w:rPr>
              <w:t>2</w:t>
            </w:r>
          </w:hyperlink>
        </w:p>
        <w:p>
          <w:pPr>
            <w:pStyle w:val="TOC2"/>
            <w:tabs>
              <w:tab w:pos="1541" w:val="left" w:leader="none"/>
              <w:tab w:pos="9049" w:val="right" w:leader="dot"/>
            </w:tabs>
            <w:rPr>
              <w:rFonts w:ascii="Times New Roman" w:eastAsia="Times New Roman"/>
            </w:rPr>
          </w:pPr>
          <w:hyperlink w:history="true" w:anchor="_bookmark2">
            <w:r>
              <w:rPr/>
              <w:t>第七条</w:t>
              <w:tab/>
              <w:t>责任免除</w:t>
              <w:tab/>
            </w:r>
            <w:r>
              <w:rPr>
                <w:rFonts w:ascii="Times New Roman" w:eastAsia="Times New Roman"/>
              </w:rPr>
              <w:t>2</w:t>
            </w:r>
          </w:hyperlink>
        </w:p>
        <w:p>
          <w:pPr>
            <w:pStyle w:val="TOC1"/>
            <w:tabs>
              <w:tab w:pos="9049" w:val="right" w:leader="dot"/>
            </w:tabs>
            <w:rPr>
              <w:rFonts w:ascii="Times New Roman" w:eastAsia="Times New Roman"/>
            </w:rPr>
          </w:pPr>
          <w:hyperlink w:history="true" w:anchor="_bookmark7">
            <w:r>
              <w:rPr/>
              <w:t>第三部分</w:t>
            </w:r>
            <w:r>
              <w:rPr>
                <w:spacing w:val="-6"/>
              </w:rPr>
              <w:t> </w:t>
            </w:r>
            <w:r>
              <w:rPr/>
              <w:t>保险费的交纳</w:t>
              <w:tab/>
            </w:r>
            <w:r>
              <w:rPr>
                <w:rFonts w:ascii="Times New Roman" w:eastAsia="Times New Roman"/>
              </w:rPr>
              <w:t>3</w:t>
            </w:r>
          </w:hyperlink>
        </w:p>
        <w:p>
          <w:pPr>
            <w:pStyle w:val="TOC2"/>
            <w:tabs>
              <w:tab w:pos="1541" w:val="left" w:leader="none"/>
              <w:tab w:pos="9049" w:val="right" w:leader="dot"/>
            </w:tabs>
            <w:spacing w:line="240" w:lineRule="auto" w:before="100"/>
            <w:rPr>
              <w:rFonts w:ascii="Times New Roman" w:eastAsia="Times New Roman"/>
            </w:rPr>
          </w:pPr>
          <w:hyperlink w:history="true" w:anchor="_bookmark7">
            <w:r>
              <w:rPr/>
              <w:t>第八条</w:t>
              <w:tab/>
              <w:t>保险费的交纳</w:t>
              <w:tab/>
            </w:r>
            <w:r>
              <w:rPr>
                <w:rFonts w:ascii="Times New Roman" w:eastAsia="Times New Roman"/>
              </w:rPr>
              <w:t>3</w:t>
            </w:r>
          </w:hyperlink>
        </w:p>
        <w:p>
          <w:pPr>
            <w:pStyle w:val="TOC1"/>
            <w:tabs>
              <w:tab w:pos="9049" w:val="right" w:leader="dot"/>
            </w:tabs>
            <w:rPr>
              <w:rFonts w:ascii="Times New Roman" w:eastAsia="Times New Roman"/>
            </w:rPr>
          </w:pPr>
          <w:hyperlink w:history="true" w:anchor="_bookmark7">
            <w:r>
              <w:rPr/>
              <w:t>第四部分</w:t>
            </w:r>
            <w:r>
              <w:rPr>
                <w:spacing w:val="-6"/>
              </w:rPr>
              <w:t> </w:t>
            </w:r>
            <w:r>
              <w:rPr/>
              <w:t>如何申请保险费豁免</w:t>
              <w:tab/>
            </w:r>
            <w:r>
              <w:rPr>
                <w:rFonts w:ascii="Times New Roman" w:eastAsia="Times New Roman"/>
              </w:rPr>
              <w:t>3</w:t>
            </w:r>
          </w:hyperlink>
        </w:p>
        <w:p>
          <w:pPr>
            <w:pStyle w:val="TOC2"/>
            <w:tabs>
              <w:tab w:pos="1541" w:val="left" w:leader="none"/>
              <w:tab w:pos="9049" w:val="right" w:leader="dot"/>
            </w:tabs>
            <w:spacing w:line="240" w:lineRule="auto" w:before="100"/>
            <w:rPr>
              <w:rFonts w:ascii="Times New Roman" w:eastAsia="Times New Roman"/>
            </w:rPr>
          </w:pPr>
          <w:hyperlink w:history="true" w:anchor="_bookmark7">
            <w:r>
              <w:rPr/>
              <w:t>第九条</w:t>
              <w:tab/>
              <w:t>保险费豁免的申请</w:t>
              <w:tab/>
            </w:r>
            <w:r>
              <w:rPr>
                <w:rFonts w:ascii="Times New Roman" w:eastAsia="Times New Roman"/>
              </w:rPr>
              <w:t>3</w:t>
            </w:r>
          </w:hyperlink>
        </w:p>
        <w:p>
          <w:pPr>
            <w:pStyle w:val="TOC1"/>
            <w:tabs>
              <w:tab w:pos="9049" w:val="right" w:leader="dot"/>
            </w:tabs>
            <w:rPr>
              <w:rFonts w:ascii="Times New Roman" w:eastAsia="Times New Roman"/>
            </w:rPr>
          </w:pPr>
          <w:hyperlink w:history="true" w:anchor="_bookmark9">
            <w:r>
              <w:rPr/>
              <w:t>第五部分</w:t>
            </w:r>
            <w:r>
              <w:rPr>
                <w:spacing w:val="-6"/>
              </w:rPr>
              <w:t> </w:t>
            </w:r>
            <w:r>
              <w:rPr/>
              <w:t>您所拥有的重要权益</w:t>
              <w:tab/>
            </w:r>
            <w:r>
              <w:rPr>
                <w:rFonts w:ascii="Times New Roman" w:eastAsia="Times New Roman"/>
              </w:rPr>
              <w:t>4</w:t>
            </w:r>
          </w:hyperlink>
        </w:p>
        <w:p>
          <w:pPr>
            <w:pStyle w:val="TOC2"/>
            <w:tabs>
              <w:tab w:pos="1541" w:val="left" w:leader="none"/>
              <w:tab w:pos="9049" w:val="right" w:leader="dot"/>
            </w:tabs>
            <w:spacing w:line="240" w:lineRule="auto" w:before="100"/>
            <w:rPr>
              <w:rFonts w:ascii="Times New Roman" w:eastAsia="Times New Roman"/>
            </w:rPr>
          </w:pPr>
          <w:hyperlink w:history="true" w:anchor="_bookmark9">
            <w:r>
              <w:rPr/>
              <w:t>第十条</w:t>
              <w:tab/>
              <w:t>附加合同的解除权</w:t>
              <w:tab/>
            </w:r>
            <w:r>
              <w:rPr>
                <w:rFonts w:ascii="Times New Roman" w:eastAsia="Times New Roman"/>
              </w:rPr>
              <w:t>4</w:t>
            </w:r>
          </w:hyperlink>
        </w:p>
        <w:p>
          <w:pPr>
            <w:pStyle w:val="TOC1"/>
            <w:tabs>
              <w:tab w:pos="9049" w:val="right" w:leader="dot"/>
            </w:tabs>
            <w:rPr>
              <w:rFonts w:ascii="Times New Roman" w:eastAsia="Times New Roman"/>
            </w:rPr>
          </w:pPr>
          <w:hyperlink w:history="true" w:anchor="_bookmark9">
            <w:r>
              <w:rPr/>
              <w:t>第六部分</w:t>
            </w:r>
            <w:r>
              <w:rPr>
                <w:spacing w:val="-6"/>
              </w:rPr>
              <w:t> </w:t>
            </w:r>
            <w:r>
              <w:rPr/>
              <w:t>就医须知</w:t>
              <w:tab/>
            </w:r>
            <w:r>
              <w:rPr>
                <w:rFonts w:ascii="Times New Roman" w:eastAsia="Times New Roman"/>
              </w:rPr>
              <w:t>4</w:t>
            </w:r>
          </w:hyperlink>
        </w:p>
        <w:p>
          <w:pPr>
            <w:pStyle w:val="TOC1"/>
            <w:tabs>
              <w:tab w:pos="9049" w:val="right" w:leader="dot"/>
            </w:tabs>
            <w:rPr>
              <w:rFonts w:ascii="Times New Roman" w:eastAsia="Times New Roman"/>
            </w:rPr>
          </w:pPr>
          <w:hyperlink w:history="true" w:anchor="_bookmark9">
            <w:r>
              <w:rPr/>
              <w:t>第七部分</w:t>
            </w:r>
            <w:r>
              <w:rPr>
                <w:spacing w:val="-6"/>
              </w:rPr>
              <w:t> </w:t>
            </w:r>
            <w:r>
              <w:rPr/>
              <w:t>名词释义</w:t>
              <w:tab/>
            </w:r>
            <w:r>
              <w:rPr>
                <w:rFonts w:ascii="Times New Roman" w:eastAsia="Times New Roman"/>
              </w:rPr>
              <w:t>4</w:t>
            </w:r>
          </w:hyperlink>
        </w:p>
      </w:sdtContent>
    </w:sdt>
    <w:p>
      <w:pPr>
        <w:spacing w:after="0"/>
        <w:rPr>
          <w:rFonts w:ascii="Times New Roman" w:eastAsia="Times New Roman"/>
        </w:rPr>
        <w:sectPr>
          <w:pgSz w:w="11910" w:h="16840"/>
          <w:pgMar w:header="0" w:footer="740" w:top="1300" w:bottom="920" w:left="1600" w:right="1140"/>
        </w:sectPr>
      </w:pPr>
    </w:p>
    <w:p>
      <w:pPr>
        <w:pStyle w:val="BodyText"/>
        <w:spacing w:before="3"/>
        <w:rPr>
          <w:rFonts w:ascii="Times New Roman"/>
          <w:b/>
          <w:sz w:val="35"/>
        </w:rPr>
      </w:pPr>
    </w:p>
    <w:p>
      <w:pPr>
        <w:pStyle w:val="Heading1"/>
        <w:tabs>
          <w:tab w:pos="4206" w:val="left" w:leader="none"/>
        </w:tabs>
        <w:ind w:left="2340"/>
      </w:pPr>
      <w:bookmarkStart w:name="第一部分 您与我们的合同 " w:id="1"/>
      <w:bookmarkEnd w:id="1"/>
      <w:r>
        <w:rPr>
          <w:b w:val="0"/>
        </w:rPr>
      </w:r>
      <w:bookmarkStart w:name="_bookmark0" w:id="2"/>
      <w:bookmarkEnd w:id="2"/>
      <w:r>
        <w:rPr>
          <w:b w:val="0"/>
        </w:rPr>
      </w:r>
      <w:r>
        <w:rPr/>
        <w:t>第一部分</w:t>
        <w:tab/>
      </w:r>
      <w:r>
        <w:rPr>
          <w:w w:val="95"/>
        </w:rPr>
        <w:t>您与我们的合同</w:t>
      </w:r>
    </w:p>
    <w:p>
      <w:pPr>
        <w:pStyle w:val="BodyText"/>
        <w:spacing w:before="12"/>
        <w:rPr>
          <w:rFonts w:ascii="黑体"/>
          <w:b/>
          <w:sz w:val="27"/>
        </w:rPr>
      </w:pPr>
    </w:p>
    <w:p>
      <w:pPr>
        <w:pStyle w:val="Heading2"/>
        <w:tabs>
          <w:tab w:pos="1462" w:val="left" w:leader="none"/>
        </w:tabs>
        <w:spacing w:before="1"/>
      </w:pPr>
      <w:bookmarkStart w:name="第一条 附加保险合同的构成 " w:id="3"/>
      <w:bookmarkEnd w:id="3"/>
      <w:r>
        <w:rPr>
          <w:b w:val="0"/>
        </w:rPr>
      </w:r>
      <w:r>
        <w:rPr/>
        <w:t>第一条</w:t>
        <w:tab/>
        <w:t>附加保险合同的构成</w:t>
      </w:r>
    </w:p>
    <w:p>
      <w:pPr>
        <w:pStyle w:val="BodyText"/>
        <w:spacing w:before="6"/>
        <w:rPr>
          <w:rFonts w:ascii="Microsoft JhengHei"/>
          <w:b/>
          <w:sz w:val="20"/>
        </w:rPr>
      </w:pPr>
    </w:p>
    <w:p>
      <w:pPr>
        <w:pStyle w:val="BodyText"/>
        <w:spacing w:line="237" w:lineRule="auto"/>
        <w:ind w:left="101" w:right="105" w:firstLine="420"/>
      </w:pPr>
      <w:r>
        <w:rPr/>
        <w:t>本附加保险合同（</w:t>
      </w:r>
      <w:r>
        <w:rPr>
          <w:spacing w:val="-10"/>
        </w:rPr>
        <w:t>以下简称“本附加合同”</w:t>
      </w:r>
      <w:r>
        <w:rPr/>
        <w:t>）可附加于我们规定的主保险合同（以下简称“主</w:t>
      </w:r>
      <w:r>
        <w:rPr>
          <w:spacing w:val="-22"/>
        </w:rPr>
        <w:t>合同”</w:t>
      </w:r>
      <w:r>
        <w:rPr>
          <w:spacing w:val="-66"/>
        </w:rPr>
        <w:t>）</w:t>
      </w:r>
      <w:r>
        <w:rPr>
          <w:spacing w:val="-8"/>
        </w:rPr>
        <w:t>上。主合同所包含的条款、投保单及与本附加合同有关的其他投保文件、合法有效的声明、批注和其他书面协议，凡与本附加合同相关者，均为本附加合同的构成部分。</w:t>
      </w:r>
    </w:p>
    <w:p>
      <w:pPr>
        <w:pStyle w:val="BodyText"/>
        <w:spacing w:line="272" w:lineRule="exact"/>
        <w:ind w:left="521"/>
      </w:pPr>
      <w:r>
        <w:rPr/>
        <w:t>除本附加合同另有约定外，主合同条款适用于本附加合同。</w:t>
      </w:r>
    </w:p>
    <w:p>
      <w:pPr>
        <w:pStyle w:val="BodyText"/>
        <w:spacing w:before="6"/>
        <w:rPr>
          <w:sz w:val="20"/>
        </w:rPr>
      </w:pPr>
    </w:p>
    <w:p>
      <w:pPr>
        <w:pStyle w:val="Heading2"/>
        <w:tabs>
          <w:tab w:pos="1462" w:val="left" w:leader="none"/>
        </w:tabs>
      </w:pPr>
      <w:bookmarkStart w:name="第二条 投保条件 " w:id="4"/>
      <w:bookmarkEnd w:id="4"/>
      <w:r>
        <w:rPr>
          <w:b w:val="0"/>
        </w:rPr>
      </w:r>
      <w:r>
        <w:rPr/>
        <w:t>第二条</w:t>
        <w:tab/>
        <w:t>投保条件</w:t>
      </w:r>
    </w:p>
    <w:p>
      <w:pPr>
        <w:pStyle w:val="BodyText"/>
        <w:spacing w:before="7"/>
        <w:rPr>
          <w:rFonts w:ascii="Microsoft JhengHei"/>
          <w:b/>
          <w:sz w:val="20"/>
        </w:rPr>
      </w:pPr>
    </w:p>
    <w:p>
      <w:pPr>
        <w:pStyle w:val="BodyText"/>
        <w:spacing w:line="237" w:lineRule="auto"/>
        <w:ind w:left="101" w:right="211" w:firstLine="420"/>
      </w:pPr>
      <w:r>
        <w:rPr>
          <w:spacing w:val="-6"/>
        </w:rPr>
        <w:t>凡投保时年龄在十八周岁至六十周岁，身体健康、能正常工作或学习的主合同投保人均可作为本附加合同的被保险人。</w:t>
      </w:r>
    </w:p>
    <w:p>
      <w:pPr>
        <w:pStyle w:val="BodyText"/>
        <w:spacing w:line="237" w:lineRule="auto"/>
        <w:ind w:left="101" w:right="211" w:firstLine="420"/>
      </w:pPr>
      <w:r>
        <w:rPr>
          <w:spacing w:val="-6"/>
        </w:rPr>
        <w:t>投保本附加合同时，主合同的被保险人须为出生满三十天至十七周岁，身体健康、发育正常的未成年人。</w:t>
      </w:r>
    </w:p>
    <w:p>
      <w:pPr>
        <w:pStyle w:val="BodyText"/>
        <w:spacing w:before="5"/>
        <w:rPr>
          <w:sz w:val="20"/>
        </w:rPr>
      </w:pPr>
    </w:p>
    <w:p>
      <w:pPr>
        <w:pStyle w:val="Heading2"/>
        <w:tabs>
          <w:tab w:pos="1462" w:val="left" w:leader="none"/>
        </w:tabs>
      </w:pPr>
      <w:bookmarkStart w:name="第三条 保险责任的开始 " w:id="5"/>
      <w:bookmarkEnd w:id="5"/>
      <w:r>
        <w:rPr>
          <w:b w:val="0"/>
        </w:rPr>
      </w:r>
      <w:r>
        <w:rPr/>
        <w:t>第三条</w:t>
        <w:tab/>
        <w:t>保险责任的开始</w:t>
      </w:r>
    </w:p>
    <w:p>
      <w:pPr>
        <w:pStyle w:val="BodyText"/>
        <w:spacing w:before="6"/>
        <w:rPr>
          <w:rFonts w:ascii="Microsoft JhengHei"/>
          <w:b/>
          <w:sz w:val="20"/>
        </w:rPr>
      </w:pPr>
    </w:p>
    <w:p>
      <w:pPr>
        <w:pStyle w:val="BodyText"/>
        <w:spacing w:line="237" w:lineRule="auto"/>
        <w:ind w:left="101" w:right="211" w:firstLine="420"/>
      </w:pPr>
      <w:r>
        <w:rPr>
          <w:spacing w:val="-5"/>
        </w:rPr>
        <w:t>我们在同意承保并收取首期保险费后，将签发保险单作为保险凭证。我们自本附加合同生效日即保险单所载的保险单生效日的零时起承担保险责任。</w:t>
      </w:r>
    </w:p>
    <w:p>
      <w:pPr>
        <w:pStyle w:val="BodyText"/>
        <w:spacing w:line="288" w:lineRule="exact"/>
        <w:ind w:left="521"/>
      </w:pPr>
      <w:r>
        <w:rPr>
          <w:w w:val="95"/>
        </w:rPr>
        <w:t>本附加合同的保险单周年日</w:t>
      </w:r>
      <w:hyperlink w:history="true" w:anchor="_bookmark1">
        <w:r>
          <w:rPr>
            <w:rFonts w:ascii="Times New Roman" w:eastAsia="Times New Roman"/>
            <w:w w:val="95"/>
            <w:vertAlign w:val="superscript"/>
          </w:rPr>
          <w:t>1</w:t>
        </w:r>
        <w:r>
          <w:rPr>
            <w:rFonts w:ascii="Times New Roman" w:eastAsia="Times New Roman"/>
            <w:w w:val="95"/>
            <w:vertAlign w:val="baseline"/>
          </w:rPr>
        </w:r>
      </w:hyperlink>
      <w:r>
        <w:rPr>
          <w:w w:val="95"/>
          <w:vertAlign w:val="baseline"/>
        </w:rPr>
        <w:t>、保险单年度、保险费到期日均以本附加合同生效日为基础计算。</w:t>
      </w:r>
    </w:p>
    <w:p>
      <w:pPr>
        <w:pStyle w:val="BodyText"/>
        <w:spacing w:before="3"/>
        <w:rPr>
          <w:sz w:val="19"/>
        </w:rPr>
      </w:pPr>
    </w:p>
    <w:p>
      <w:pPr>
        <w:pStyle w:val="Heading2"/>
        <w:tabs>
          <w:tab w:pos="1462" w:val="left" w:leader="none"/>
        </w:tabs>
      </w:pPr>
      <w:bookmarkStart w:name="第四条 保险期间和保证续保 " w:id="6"/>
      <w:bookmarkEnd w:id="6"/>
      <w:r>
        <w:rPr>
          <w:b w:val="0"/>
        </w:rPr>
      </w:r>
      <w:r>
        <w:rPr/>
        <w:t>第四条</w:t>
        <w:tab/>
        <w:t>保险期间和保证续保</w:t>
      </w:r>
    </w:p>
    <w:p>
      <w:pPr>
        <w:pStyle w:val="BodyText"/>
        <w:spacing w:before="5"/>
        <w:rPr>
          <w:rFonts w:ascii="Microsoft JhengHei"/>
          <w:b/>
        </w:rPr>
      </w:pPr>
    </w:p>
    <w:p>
      <w:pPr>
        <w:pStyle w:val="BodyText"/>
        <w:spacing w:line="273" w:lineRule="auto" w:before="1"/>
        <w:ind w:left="101" w:right="119" w:firstLine="420"/>
      </w:pPr>
      <w:r>
        <w:rPr/>
        <w:t>本附加合同保险期间为一年，但我们保证续保并收取您的续期保险费，除非有以下任何一种情况发生：</w:t>
      </w:r>
    </w:p>
    <w:p>
      <w:pPr>
        <w:pStyle w:val="ListParagraph"/>
        <w:numPr>
          <w:ilvl w:val="0"/>
          <w:numId w:val="1"/>
        </w:numPr>
        <w:tabs>
          <w:tab w:pos="837" w:val="left" w:leader="none"/>
        </w:tabs>
        <w:spacing w:line="240" w:lineRule="auto" w:before="8" w:after="0"/>
        <w:ind w:left="521" w:right="0" w:firstLine="0"/>
        <w:jc w:val="left"/>
        <w:rPr>
          <w:sz w:val="21"/>
        </w:rPr>
      </w:pPr>
      <w:r>
        <w:rPr>
          <w:spacing w:val="-1"/>
          <w:sz w:val="21"/>
        </w:rPr>
        <w:t>本附加合同被保险人年龄超过六十四周岁；</w:t>
      </w:r>
    </w:p>
    <w:p>
      <w:pPr>
        <w:pStyle w:val="ListParagraph"/>
        <w:numPr>
          <w:ilvl w:val="0"/>
          <w:numId w:val="1"/>
        </w:numPr>
        <w:tabs>
          <w:tab w:pos="837" w:val="left" w:leader="none"/>
        </w:tabs>
        <w:spacing w:line="240" w:lineRule="auto" w:before="37" w:after="0"/>
        <w:ind w:left="836" w:right="0" w:hanging="315"/>
        <w:jc w:val="left"/>
        <w:rPr>
          <w:sz w:val="21"/>
        </w:rPr>
      </w:pPr>
      <w:r>
        <w:rPr>
          <w:spacing w:val="-1"/>
          <w:sz w:val="21"/>
        </w:rPr>
        <w:t>主合同的交费期结束；</w:t>
      </w:r>
    </w:p>
    <w:p>
      <w:pPr>
        <w:pStyle w:val="ListParagraph"/>
        <w:numPr>
          <w:ilvl w:val="0"/>
          <w:numId w:val="1"/>
        </w:numPr>
        <w:tabs>
          <w:tab w:pos="837" w:val="left" w:leader="none"/>
        </w:tabs>
        <w:spacing w:line="240" w:lineRule="auto" w:before="37" w:after="0"/>
        <w:ind w:left="836" w:right="0" w:hanging="315"/>
        <w:jc w:val="left"/>
        <w:rPr>
          <w:sz w:val="21"/>
        </w:rPr>
      </w:pPr>
      <w:r>
        <w:rPr>
          <w:spacing w:val="-1"/>
          <w:sz w:val="21"/>
        </w:rPr>
        <w:t>主合同被保险人超过二十四周岁；</w:t>
      </w:r>
    </w:p>
    <w:p>
      <w:pPr>
        <w:pStyle w:val="ListParagraph"/>
        <w:numPr>
          <w:ilvl w:val="0"/>
          <w:numId w:val="1"/>
        </w:numPr>
        <w:tabs>
          <w:tab w:pos="837" w:val="left" w:leader="none"/>
        </w:tabs>
        <w:spacing w:line="273" w:lineRule="auto" w:before="37" w:after="0"/>
        <w:ind w:left="521" w:right="5466" w:firstLine="0"/>
        <w:jc w:val="left"/>
        <w:rPr>
          <w:sz w:val="21"/>
        </w:rPr>
      </w:pPr>
      <w:r>
        <w:rPr>
          <w:sz w:val="21"/>
        </w:rPr>
        <w:t>您向我们申请解除本附加合同。</w:t>
      </w:r>
      <w:r>
        <w:rPr>
          <w:spacing w:val="-1"/>
          <w:sz w:val="21"/>
        </w:rPr>
        <w:t>5．本附加合同终止。</w:t>
      </w:r>
    </w:p>
    <w:p>
      <w:pPr>
        <w:pStyle w:val="BodyText"/>
        <w:spacing w:before="5"/>
        <w:rPr>
          <w:sz w:val="24"/>
        </w:rPr>
      </w:pPr>
    </w:p>
    <w:p>
      <w:pPr>
        <w:pStyle w:val="BodyText"/>
        <w:spacing w:line="273" w:lineRule="auto"/>
        <w:ind w:left="101" w:right="110" w:firstLine="420"/>
      </w:pPr>
      <w:r>
        <w:rPr/>
        <w:t>续期保险费以您投保时与我们约定被在保险单上载明的数额为准。我们不得因为被保险人的健康状况而拒绝为您续保本附加合同。</w:t>
      </w:r>
    </w:p>
    <w:p>
      <w:pPr>
        <w:pStyle w:val="BodyText"/>
        <w:spacing w:before="8"/>
        <w:rPr>
          <w:sz w:val="19"/>
        </w:rPr>
      </w:pPr>
    </w:p>
    <w:p>
      <w:pPr>
        <w:pStyle w:val="Heading2"/>
        <w:tabs>
          <w:tab w:pos="1462" w:val="left" w:leader="none"/>
        </w:tabs>
      </w:pPr>
      <w:bookmarkStart w:name="第五条 附加保险合同的终止 " w:id="7"/>
      <w:bookmarkEnd w:id="7"/>
      <w:r>
        <w:rPr>
          <w:b w:val="0"/>
        </w:rPr>
      </w:r>
      <w:r>
        <w:rPr/>
        <w:t>第五条</w:t>
        <w:tab/>
        <w:t>附加保险合同的终止</w:t>
      </w:r>
    </w:p>
    <w:p>
      <w:pPr>
        <w:pStyle w:val="BodyText"/>
        <w:spacing w:before="3"/>
        <w:rPr>
          <w:rFonts w:ascii="Microsoft JhengHei"/>
          <w:b/>
          <w:sz w:val="20"/>
        </w:rPr>
      </w:pPr>
    </w:p>
    <w:p>
      <w:pPr>
        <w:pStyle w:val="BodyText"/>
        <w:ind w:left="521"/>
      </w:pPr>
      <w:r>
        <w:rPr/>
        <w:t>发生下列情况之一时，本附加合同终止：</w:t>
      </w:r>
    </w:p>
    <w:p>
      <w:pPr>
        <w:pStyle w:val="ListParagraph"/>
        <w:numPr>
          <w:ilvl w:val="1"/>
          <w:numId w:val="1"/>
        </w:numPr>
        <w:tabs>
          <w:tab w:pos="919" w:val="left" w:leader="none"/>
        </w:tabs>
        <w:spacing w:line="240" w:lineRule="auto" w:before="3" w:after="0"/>
        <w:ind w:left="918" w:right="0" w:hanging="312"/>
        <w:jc w:val="left"/>
        <w:rPr>
          <w:sz w:val="21"/>
        </w:rPr>
      </w:pPr>
      <w:r>
        <w:rPr>
          <w:sz w:val="21"/>
        </w:rPr>
        <w:t>您向我们申请解除本附加合同；</w:t>
      </w:r>
    </w:p>
    <w:p>
      <w:pPr>
        <w:pStyle w:val="ListParagraph"/>
        <w:numPr>
          <w:ilvl w:val="1"/>
          <w:numId w:val="1"/>
        </w:numPr>
        <w:tabs>
          <w:tab w:pos="918" w:val="left" w:leader="none"/>
          <w:tab w:pos="919" w:val="left" w:leader="none"/>
        </w:tabs>
        <w:spacing w:line="240" w:lineRule="auto" w:before="21" w:after="0"/>
        <w:ind w:left="918" w:right="0" w:hanging="397"/>
        <w:jc w:val="left"/>
        <w:rPr>
          <w:sz w:val="21"/>
        </w:rPr>
      </w:pPr>
      <w:r>
        <w:rPr>
          <w:spacing w:val="-6"/>
          <w:sz w:val="21"/>
        </w:rPr>
        <w:t>本附加合同因其他条款所列情况而效力终止；；</w:t>
      </w:r>
    </w:p>
    <w:p>
      <w:pPr>
        <w:pStyle w:val="BodyText"/>
        <w:spacing w:before="7"/>
        <w:rPr>
          <w:sz w:val="14"/>
        </w:rPr>
      </w:pPr>
      <w:r>
        <w:rPr/>
        <w:pict>
          <v:line style="position:absolute;mso-position-horizontal-relative:page;mso-position-vertical-relative:paragraph;z-index:0;mso-wrap-distance-left:0;mso-wrap-distance-right:0" from="85.080002pt,11.796433pt" to="229.080002pt,11.796433pt" stroked="true" strokeweight=".54pt" strokecolor="#000000">
            <v:stroke dashstyle="solid"/>
            <w10:wrap type="topAndBottom"/>
          </v:line>
        </w:pict>
      </w:r>
    </w:p>
    <w:p>
      <w:pPr>
        <w:spacing w:line="235" w:lineRule="exact" w:before="30"/>
        <w:ind w:left="101" w:right="0" w:firstLine="0"/>
        <w:jc w:val="left"/>
        <w:rPr>
          <w:sz w:val="18"/>
        </w:rPr>
      </w:pPr>
      <w:bookmarkStart w:name="_bookmark1" w:id="8"/>
      <w:bookmarkEnd w:id="8"/>
      <w:r>
        <w:rPr/>
      </w:r>
      <w:r>
        <w:rPr>
          <w:rFonts w:ascii="Times New Roman" w:eastAsia="Times New Roman"/>
          <w:position w:val="8"/>
          <w:sz w:val="12"/>
        </w:rPr>
        <w:t>1</w:t>
      </w:r>
      <w:r>
        <w:rPr>
          <w:sz w:val="18"/>
        </w:rPr>
        <w:t>保险单周年日指在本附加合同有效期内的每一个保险单年度内本附加合同生效日的对应日。第一个保险单周年日</w:t>
      </w:r>
    </w:p>
    <w:p>
      <w:pPr>
        <w:spacing w:line="235" w:lineRule="exact" w:before="0"/>
        <w:ind w:left="101" w:right="0" w:firstLine="0"/>
        <w:jc w:val="left"/>
        <w:rPr>
          <w:sz w:val="18"/>
        </w:rPr>
      </w:pPr>
      <w:r>
        <w:rPr>
          <w:sz w:val="18"/>
        </w:rPr>
        <w:t>是指保险单生效一年后的本附加合同生效日期的对应日。</w:t>
      </w:r>
    </w:p>
    <w:p>
      <w:pPr>
        <w:spacing w:after="0" w:line="235" w:lineRule="exact"/>
        <w:jc w:val="left"/>
        <w:rPr>
          <w:sz w:val="18"/>
        </w:rPr>
        <w:sectPr>
          <w:headerReference w:type="default" r:id="rId6"/>
          <w:footerReference w:type="default" r:id="rId7"/>
          <w:pgSz w:w="11910" w:h="16840"/>
          <w:pgMar w:header="782" w:footer="753" w:top="1100" w:bottom="940" w:left="1600" w:right="1060"/>
          <w:pgNumType w:start="1"/>
        </w:sectPr>
      </w:pPr>
    </w:p>
    <w:p>
      <w:pPr>
        <w:pStyle w:val="BodyText"/>
        <w:spacing w:before="115"/>
        <w:ind w:left="606"/>
      </w:pPr>
      <w:bookmarkStart w:name="_bookmark2" w:id="9"/>
      <w:bookmarkEnd w:id="9"/>
      <w:r>
        <w:rPr/>
      </w:r>
      <w:r>
        <w:rPr>
          <w:rFonts w:ascii="Times New Roman" w:eastAsia="Times New Roman"/>
        </w:rPr>
        <w:t>3</w:t>
      </w:r>
      <w:r>
        <w:rPr/>
        <w:t>．主合同终止。</w:t>
      </w:r>
    </w:p>
    <w:p>
      <w:pPr>
        <w:pStyle w:val="BodyText"/>
        <w:spacing w:before="8"/>
        <w:rPr>
          <w:sz w:val="24"/>
        </w:rPr>
      </w:pPr>
    </w:p>
    <w:p>
      <w:pPr>
        <w:pStyle w:val="Heading1"/>
        <w:tabs>
          <w:tab w:pos="4206" w:val="left" w:leader="none"/>
        </w:tabs>
        <w:spacing w:line="460" w:lineRule="exact"/>
        <w:ind w:left="2340"/>
      </w:pPr>
      <w:bookmarkStart w:name="第二部分 我们提供的保障 " w:id="10"/>
      <w:bookmarkEnd w:id="10"/>
      <w:r>
        <w:rPr>
          <w:b w:val="0"/>
        </w:rPr>
      </w:r>
      <w:r>
        <w:rPr/>
        <w:t>第二部分</w:t>
        <w:tab/>
      </w:r>
      <w:r>
        <w:rPr>
          <w:w w:val="95"/>
        </w:rPr>
        <w:t>我们提供的保障</w:t>
      </w:r>
    </w:p>
    <w:p>
      <w:pPr>
        <w:pStyle w:val="BodyText"/>
        <w:spacing w:before="13"/>
        <w:rPr>
          <w:rFonts w:ascii="黑体"/>
          <w:b/>
          <w:sz w:val="27"/>
        </w:rPr>
      </w:pPr>
    </w:p>
    <w:p>
      <w:pPr>
        <w:pStyle w:val="Heading2"/>
        <w:tabs>
          <w:tab w:pos="1462" w:val="left" w:leader="none"/>
        </w:tabs>
      </w:pPr>
      <w:bookmarkStart w:name="第六条 保险责任 " w:id="11"/>
      <w:bookmarkEnd w:id="11"/>
      <w:r>
        <w:rPr>
          <w:b w:val="0"/>
        </w:rPr>
      </w:r>
      <w:bookmarkStart w:name="_bookmark3" w:id="12"/>
      <w:bookmarkEnd w:id="12"/>
      <w:r>
        <w:rPr>
          <w:b w:val="0"/>
        </w:rPr>
      </w:r>
      <w:r>
        <w:rPr/>
        <w:t>第六条</w:t>
        <w:tab/>
        <w:t>保险责任</w:t>
      </w:r>
    </w:p>
    <w:p>
      <w:pPr>
        <w:pStyle w:val="BodyText"/>
        <w:spacing w:before="6"/>
        <w:rPr>
          <w:rFonts w:ascii="Microsoft JhengHei"/>
          <w:b/>
          <w:sz w:val="20"/>
        </w:rPr>
      </w:pPr>
    </w:p>
    <w:p>
      <w:pPr>
        <w:pStyle w:val="BodyText"/>
        <w:spacing w:line="237" w:lineRule="auto"/>
        <w:ind w:left="101" w:right="226" w:firstLine="420"/>
      </w:pPr>
      <w:r>
        <w:rPr/>
        <w:t>本条所称保险费豁免期是指本附加合同的被保险人发生本附加合同约定保险事故后的首个保险单周年日起，至以下情况最先发生日期为止：</w:t>
      </w:r>
    </w:p>
    <w:p>
      <w:pPr>
        <w:pStyle w:val="ListParagraph"/>
        <w:numPr>
          <w:ilvl w:val="2"/>
          <w:numId w:val="1"/>
        </w:numPr>
        <w:tabs>
          <w:tab w:pos="1361" w:val="left" w:leader="none"/>
          <w:tab w:pos="1362" w:val="left" w:leader="none"/>
        </w:tabs>
        <w:spacing w:line="279" w:lineRule="exact" w:before="0" w:after="0"/>
        <w:ind w:left="1361" w:right="0" w:hanging="420"/>
        <w:jc w:val="left"/>
        <w:rPr>
          <w:sz w:val="21"/>
        </w:rPr>
      </w:pPr>
      <w:r>
        <w:rPr>
          <w:sz w:val="21"/>
        </w:rPr>
        <w:t>主合同被保险人年满二十五周岁；</w:t>
      </w:r>
    </w:p>
    <w:p>
      <w:pPr>
        <w:pStyle w:val="ListParagraph"/>
        <w:numPr>
          <w:ilvl w:val="2"/>
          <w:numId w:val="1"/>
        </w:numPr>
        <w:tabs>
          <w:tab w:pos="1361" w:val="left" w:leader="none"/>
          <w:tab w:pos="1362" w:val="left" w:leader="none"/>
        </w:tabs>
        <w:spacing w:line="272" w:lineRule="exact" w:before="0" w:after="0"/>
        <w:ind w:left="1361" w:right="0" w:hanging="420"/>
        <w:jc w:val="left"/>
        <w:rPr>
          <w:sz w:val="21"/>
        </w:rPr>
      </w:pPr>
      <w:r>
        <w:rPr>
          <w:sz w:val="21"/>
        </w:rPr>
        <w:t>主合同交费期满；</w:t>
      </w:r>
    </w:p>
    <w:p>
      <w:pPr>
        <w:pStyle w:val="ListParagraph"/>
        <w:numPr>
          <w:ilvl w:val="2"/>
          <w:numId w:val="1"/>
        </w:numPr>
        <w:tabs>
          <w:tab w:pos="1301" w:val="left" w:leader="none"/>
          <w:tab w:pos="1302" w:val="left" w:leader="none"/>
        </w:tabs>
        <w:spacing w:line="282" w:lineRule="exact" w:before="0" w:after="0"/>
        <w:ind w:left="1301" w:right="0" w:hanging="360"/>
        <w:jc w:val="left"/>
        <w:rPr>
          <w:sz w:val="21"/>
        </w:rPr>
      </w:pPr>
      <w:r>
        <w:rPr>
          <w:sz w:val="21"/>
        </w:rPr>
        <w:t>本附加合同被保险人满六十五周岁。</w:t>
      </w:r>
    </w:p>
    <w:p>
      <w:pPr>
        <w:pStyle w:val="BodyText"/>
        <w:rPr>
          <w:sz w:val="17"/>
        </w:rPr>
      </w:pPr>
    </w:p>
    <w:p>
      <w:pPr>
        <w:pStyle w:val="BodyText"/>
        <w:spacing w:line="256" w:lineRule="auto"/>
        <w:ind w:left="521" w:right="4120"/>
      </w:pPr>
      <w:r>
        <w:rPr/>
        <w:t>在本附加合同有效期内，我们承担下列保险责任： 一、身故豁免保险费</w:t>
      </w:r>
    </w:p>
    <w:p>
      <w:pPr>
        <w:pStyle w:val="BodyText"/>
        <w:spacing w:line="237" w:lineRule="auto" w:before="4"/>
        <w:ind w:left="101" w:right="231" w:firstLine="420"/>
      </w:pPr>
      <w:r>
        <w:rPr>
          <w:spacing w:val="-6"/>
        </w:rPr>
        <w:t>如果本附加合同的被保险人身故，本附加合同终止。在保险费豁免期内，我们按本附加合同的保险金额豁免各期计划保险费并视为已交付。</w:t>
      </w:r>
    </w:p>
    <w:p>
      <w:pPr>
        <w:pStyle w:val="BodyText"/>
        <w:spacing w:line="256" w:lineRule="auto"/>
        <w:ind w:left="521" w:right="3490"/>
      </w:pPr>
      <w:r>
        <w:rPr/>
        <w:t>被保险人的身故时间以死亡证明上载明的身故时间为准。二、高度残疾豁免保险费</w:t>
      </w:r>
    </w:p>
    <w:p>
      <w:pPr>
        <w:pStyle w:val="BodyText"/>
        <w:spacing w:line="237" w:lineRule="auto" w:before="7"/>
        <w:ind w:left="101" w:right="231" w:firstLine="420"/>
        <w:jc w:val="both"/>
      </w:pPr>
      <w:r>
        <w:rPr>
          <w:spacing w:val="-3"/>
        </w:rPr>
        <w:t>如果本附加合同的被保险人因意外或于本附加合同生效</w:t>
      </w:r>
      <w:r>
        <w:rPr/>
        <w:t>（或复效</w:t>
      </w:r>
      <w:r>
        <w:rPr>
          <w:spacing w:val="-51"/>
        </w:rPr>
        <w:t>）</w:t>
      </w:r>
      <w:r>
        <w:rPr/>
        <w:t>一百八十天后因疾病高度残</w:t>
      </w:r>
      <w:r>
        <w:rPr>
          <w:spacing w:val="-11"/>
        </w:rPr>
        <w:t>疾，本附加合同终止。在保险费豁免期内，我们按本附加合同的保险金额豁免各期计划保险费并视为已交付。</w:t>
      </w:r>
    </w:p>
    <w:p>
      <w:pPr>
        <w:pStyle w:val="BodyText"/>
        <w:spacing w:before="17"/>
        <w:ind w:left="521"/>
      </w:pPr>
      <w:r>
        <w:rPr/>
        <w:t>三、重大疾病豁免保险费</w:t>
      </w:r>
    </w:p>
    <w:p>
      <w:pPr>
        <w:pStyle w:val="BodyText"/>
        <w:spacing w:line="237" w:lineRule="auto" w:before="19"/>
        <w:ind w:left="101" w:right="231" w:firstLine="420"/>
        <w:jc w:val="both"/>
      </w:pPr>
      <w:r>
        <w:rPr>
          <w:spacing w:val="-3"/>
        </w:rPr>
        <w:t>如果本附加合同的被保险人于本附加合同生效</w:t>
      </w:r>
      <w:r>
        <w:rPr/>
        <w:t>（或复效</w:t>
      </w:r>
      <w:r>
        <w:rPr>
          <w:spacing w:val="-51"/>
        </w:rPr>
        <w:t>）</w:t>
      </w:r>
      <w:r>
        <w:rPr/>
        <w:t>一百八十天后经定点医疗机构确诊患</w:t>
      </w:r>
      <w:r>
        <w:rPr>
          <w:spacing w:val="-5"/>
        </w:rPr>
        <w:t>有本附加合同约定的重大疾病中的一种或多种，本附加合同终止。在保险费豁免期内，我们按本附加合同的保险金额豁免各期计划保险费并视为已交付。</w:t>
      </w:r>
    </w:p>
    <w:p>
      <w:pPr>
        <w:pStyle w:val="BodyText"/>
        <w:spacing w:line="271" w:lineRule="exact"/>
        <w:ind w:left="521"/>
      </w:pPr>
      <w:r>
        <w:rPr/>
        <w:t>四、保险费返还</w:t>
      </w:r>
    </w:p>
    <w:p>
      <w:pPr>
        <w:pStyle w:val="BodyText"/>
        <w:spacing w:line="237" w:lineRule="auto" w:before="1"/>
        <w:ind w:left="101" w:right="202" w:firstLine="420"/>
        <w:jc w:val="both"/>
      </w:pPr>
      <w:r>
        <w:rPr>
          <w:spacing w:val="-2"/>
        </w:rPr>
        <w:t>被保险人经定点医疗机构诊断于本附加合同生效</w:t>
      </w:r>
      <w:r>
        <w:rPr/>
        <w:t>（或复效</w:t>
      </w:r>
      <w:r>
        <w:rPr>
          <w:spacing w:val="-24"/>
        </w:rPr>
        <w:t>）</w:t>
      </w:r>
      <w:r>
        <w:rPr>
          <w:spacing w:val="-3"/>
        </w:rPr>
        <w:t>日起一百八十日内，初次患有本附</w:t>
      </w:r>
      <w:r>
        <w:rPr>
          <w:spacing w:val="-6"/>
        </w:rPr>
        <w:t>加合同约定的重大疾病中的一项或多项或因疾病导致高度残疾时，本附加合同终止。我们向您无息返还已交保险费（复效情况下返还最后一次申请复效时所交保险费</w:t>
      </w:r>
      <w:r>
        <w:rPr>
          <w:spacing w:val="-105"/>
        </w:rPr>
        <w:t>）</w:t>
      </w:r>
      <w:r>
        <w:rPr/>
        <w:t>。</w:t>
      </w:r>
    </w:p>
    <w:p>
      <w:pPr>
        <w:pStyle w:val="BodyText"/>
        <w:spacing w:before="2"/>
        <w:rPr>
          <w:sz w:val="18"/>
        </w:rPr>
      </w:pPr>
    </w:p>
    <w:p>
      <w:pPr>
        <w:pStyle w:val="BodyText"/>
        <w:spacing w:before="1"/>
        <w:ind w:left="521"/>
      </w:pPr>
      <w:r>
        <w:rPr/>
        <w:t>若保险费豁免期结束以后主合同需要继续交费，则以后各保险单年度的保险费仍须交付。</w:t>
      </w:r>
    </w:p>
    <w:p>
      <w:pPr>
        <w:pStyle w:val="BodyText"/>
        <w:spacing w:before="5"/>
        <w:rPr>
          <w:sz w:val="20"/>
        </w:rPr>
      </w:pPr>
    </w:p>
    <w:p>
      <w:pPr>
        <w:pStyle w:val="Heading2"/>
        <w:tabs>
          <w:tab w:pos="1462" w:val="left" w:leader="none"/>
        </w:tabs>
        <w:spacing w:before="1"/>
      </w:pPr>
      <w:bookmarkStart w:name="第七条 责任免除 " w:id="13"/>
      <w:bookmarkEnd w:id="13"/>
      <w:r>
        <w:rPr>
          <w:b w:val="0"/>
        </w:rPr>
      </w:r>
      <w:bookmarkStart w:name="_bookmark4" w:id="14"/>
      <w:bookmarkEnd w:id="14"/>
      <w:r>
        <w:rPr>
          <w:b w:val="0"/>
        </w:rPr>
      </w:r>
      <w:r>
        <w:rPr/>
        <w:t>第七条</w:t>
        <w:tab/>
        <w:t>责任免除</w:t>
      </w:r>
    </w:p>
    <w:p>
      <w:pPr>
        <w:pStyle w:val="BodyText"/>
        <w:spacing w:before="6"/>
        <w:rPr>
          <w:rFonts w:ascii="Microsoft JhengHei"/>
          <w:b/>
          <w:sz w:val="20"/>
        </w:rPr>
      </w:pPr>
    </w:p>
    <w:p>
      <w:pPr>
        <w:pStyle w:val="BodyText"/>
        <w:spacing w:line="237" w:lineRule="auto"/>
        <w:ind w:left="101" w:right="230" w:firstLine="420"/>
        <w:rPr>
          <w:rFonts w:ascii="黑体" w:eastAsia="黑体" w:hint="eastAsia"/>
        </w:rPr>
      </w:pPr>
      <w:r>
        <w:rPr>
          <w:rFonts w:ascii="黑体" w:eastAsia="黑体" w:hint="eastAsia"/>
        </w:rPr>
        <w:t>本附加合同的被保险人因下列情形之一导致发Th</w:t>
      </w:r>
      <w:r>
        <w:rPr>
          <w:rFonts w:ascii="黑体" w:eastAsia="黑体" w:hint="eastAsia"/>
          <w:spacing w:val="-11"/>
        </w:rPr>
        <w:t>保险事故的，我们不承担本附加合同所列的保险责任，本附加合同终止：</w:t>
      </w:r>
    </w:p>
    <w:p>
      <w:pPr>
        <w:pStyle w:val="ListParagraph"/>
        <w:numPr>
          <w:ilvl w:val="0"/>
          <w:numId w:val="2"/>
        </w:numPr>
        <w:tabs>
          <w:tab w:pos="919" w:val="left" w:leader="none"/>
        </w:tabs>
        <w:spacing w:line="240" w:lineRule="auto" w:before="17" w:after="0"/>
        <w:ind w:left="918" w:right="0" w:hanging="397"/>
        <w:jc w:val="left"/>
        <w:rPr>
          <w:rFonts w:ascii="黑体" w:eastAsia="黑体" w:hint="eastAsia"/>
          <w:sz w:val="21"/>
        </w:rPr>
      </w:pPr>
      <w:r>
        <w:rPr>
          <w:rFonts w:ascii="黑体" w:eastAsia="黑体" w:hint="eastAsia"/>
          <w:sz w:val="21"/>
        </w:rPr>
        <w:t>您、受益人对被保险人的故意行为；</w:t>
      </w:r>
    </w:p>
    <w:p>
      <w:pPr>
        <w:pStyle w:val="ListParagraph"/>
        <w:numPr>
          <w:ilvl w:val="0"/>
          <w:numId w:val="2"/>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被保险人犯罪、拒捕；</w:t>
      </w:r>
    </w:p>
    <w:p>
      <w:pPr>
        <w:pStyle w:val="ListParagraph"/>
        <w:numPr>
          <w:ilvl w:val="0"/>
          <w:numId w:val="2"/>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2"/>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被保险人在本附加合同Th效日起两年内或最后复效日起两年内自杀或故意自伤；</w:t>
      </w:r>
    </w:p>
    <w:p>
      <w:pPr>
        <w:pStyle w:val="ListParagraph"/>
        <w:numPr>
          <w:ilvl w:val="0"/>
          <w:numId w:val="2"/>
        </w:numPr>
        <w:tabs>
          <w:tab w:pos="919" w:val="left" w:leader="none"/>
        </w:tabs>
        <w:spacing w:line="240" w:lineRule="auto" w:before="36" w:after="0"/>
        <w:ind w:left="918" w:right="0" w:hanging="397"/>
        <w:jc w:val="left"/>
        <w:rPr>
          <w:rFonts w:ascii="黑体" w:eastAsia="黑体" w:hint="eastAsia"/>
          <w:sz w:val="21"/>
        </w:rPr>
      </w:pPr>
      <w:r>
        <w:rPr>
          <w:rFonts w:ascii="黑体" w:eastAsia="黑体" w:hint="eastAsia"/>
          <w:sz w:val="21"/>
        </w:rPr>
        <w:t>被保险人酒后驾驶、无有效驾驶证件驾驶或驾驶无有效行驶证件的机动交通工具；</w:t>
      </w:r>
    </w:p>
    <w:p>
      <w:pPr>
        <w:pStyle w:val="ListParagraph"/>
        <w:numPr>
          <w:ilvl w:val="0"/>
          <w:numId w:val="2"/>
        </w:numPr>
        <w:tabs>
          <w:tab w:pos="919" w:val="left" w:leader="none"/>
        </w:tabs>
        <w:spacing w:line="273" w:lineRule="auto" w:before="36" w:after="0"/>
        <w:ind w:left="918" w:right="212" w:hanging="397"/>
        <w:jc w:val="left"/>
        <w:rPr>
          <w:rFonts w:ascii="黑体" w:eastAsia="黑体" w:hint="eastAsia"/>
          <w:sz w:val="21"/>
        </w:rPr>
      </w:pPr>
      <w:r>
        <w:rPr>
          <w:rFonts w:ascii="黑体" w:eastAsia="黑体" w:hint="eastAsia"/>
          <w:sz w:val="21"/>
        </w:rPr>
        <w:t>被保险人患艾滋病</w:t>
      </w:r>
      <w:hyperlink w:history="true" w:anchor="_bookmark5">
        <w:r>
          <w:rPr>
            <w:rFonts w:ascii="黑体" w:eastAsia="黑体" w:hint="eastAsia"/>
            <w:spacing w:val="5"/>
            <w:position w:val="11"/>
            <w:sz w:val="11"/>
          </w:rPr>
          <w:t>2</w:t>
        </w:r>
      </w:hyperlink>
      <w:r>
        <w:rPr>
          <w:rFonts w:ascii="黑体" w:eastAsia="黑体" w:hint="eastAsia"/>
          <w:spacing w:val="0"/>
          <w:sz w:val="21"/>
        </w:rPr>
        <w:t>或感染艾滋病病毒</w:t>
      </w:r>
      <w:hyperlink w:history="true" w:anchor="_bookmark6">
        <w:r>
          <w:rPr>
            <w:rFonts w:ascii="黑体" w:eastAsia="黑体" w:hint="eastAsia"/>
            <w:spacing w:val="5"/>
            <w:position w:val="11"/>
            <w:sz w:val="11"/>
          </w:rPr>
          <w:t>3</w:t>
        </w:r>
      </w:hyperlink>
      <w:r>
        <w:rPr>
          <w:rFonts w:ascii="黑体" w:eastAsia="黑体" w:hint="eastAsia"/>
          <w:sz w:val="21"/>
        </w:rPr>
        <w:t>期间，但不包括【名词释义】中所定义的由输血或输液而感染艾滋病病毒；</w:t>
      </w:r>
    </w:p>
    <w:p>
      <w:pPr>
        <w:pStyle w:val="ListParagraph"/>
        <w:numPr>
          <w:ilvl w:val="0"/>
          <w:numId w:val="2"/>
        </w:numPr>
        <w:tabs>
          <w:tab w:pos="919" w:val="left" w:leader="none"/>
        </w:tabs>
        <w:spacing w:line="240" w:lineRule="auto" w:before="7" w:after="0"/>
        <w:ind w:left="918" w:right="0" w:hanging="397"/>
        <w:jc w:val="left"/>
        <w:rPr>
          <w:rFonts w:ascii="黑体" w:eastAsia="黑体" w:hint="eastAsia"/>
          <w:sz w:val="21"/>
        </w:rPr>
      </w:pPr>
      <w:r>
        <w:rPr>
          <w:rFonts w:ascii="黑体" w:eastAsia="黑体" w:hint="eastAsia"/>
          <w:sz w:val="21"/>
        </w:rPr>
        <w:t>战争、军事行动、暴乱或武装叛乱；</w:t>
      </w:r>
    </w:p>
    <w:p>
      <w:pPr>
        <w:pStyle w:val="BodyText"/>
        <w:spacing w:before="1"/>
        <w:rPr>
          <w:rFonts w:ascii="黑体"/>
          <w:sz w:val="14"/>
        </w:rPr>
      </w:pPr>
      <w:r>
        <w:rPr/>
        <w:pict>
          <v:line style="position:absolute;mso-position-horizontal-relative:page;mso-position-vertical-relative:paragraph;z-index:1048;mso-wrap-distance-left:0;mso-wrap-distance-right:0" from="85.080002pt,11.503475pt" to="229.080002pt,11.503475pt" stroked="true" strokeweight=".54pt" strokecolor="#000000">
            <v:stroke dashstyle="solid"/>
            <w10:wrap type="topAndBottom"/>
          </v:line>
        </w:pict>
      </w:r>
    </w:p>
    <w:p>
      <w:pPr>
        <w:spacing w:line="241" w:lineRule="exact" w:before="30"/>
        <w:ind w:left="101" w:right="0" w:firstLine="0"/>
        <w:jc w:val="left"/>
        <w:rPr>
          <w:sz w:val="18"/>
        </w:rPr>
      </w:pPr>
      <w:bookmarkStart w:name="_bookmark5" w:id="15"/>
      <w:bookmarkEnd w:id="15"/>
      <w:r>
        <w:rPr/>
      </w:r>
      <w:r>
        <w:rPr>
          <w:rFonts w:ascii="Times New Roman" w:eastAsia="Times New Roman"/>
          <w:w w:val="95"/>
          <w:position w:val="8"/>
          <w:sz w:val="12"/>
        </w:rPr>
        <w:t>2</w:t>
      </w:r>
      <w:r>
        <w:rPr>
          <w:w w:val="95"/>
          <w:sz w:val="18"/>
        </w:rPr>
        <w:t>艾滋病：获得性免疫力缺乏综合征（</w:t>
      </w:r>
      <w:r>
        <w:rPr>
          <w:rFonts w:ascii="Times New Roman" w:eastAsia="Times New Roman"/>
          <w:w w:val="95"/>
          <w:sz w:val="18"/>
        </w:rPr>
        <w:t>AIDS</w:t>
      </w:r>
      <w:r>
        <w:rPr>
          <w:w w:val="95"/>
          <w:sz w:val="18"/>
        </w:rPr>
        <w:t>）的简称。</w:t>
      </w:r>
    </w:p>
    <w:p>
      <w:pPr>
        <w:spacing w:line="233" w:lineRule="exact" w:before="0"/>
        <w:ind w:left="101" w:right="0" w:firstLine="0"/>
        <w:jc w:val="left"/>
        <w:rPr>
          <w:sz w:val="18"/>
        </w:rPr>
      </w:pPr>
      <w:bookmarkStart w:name="_bookmark6" w:id="16"/>
      <w:bookmarkEnd w:id="16"/>
      <w:r>
        <w:rPr/>
      </w:r>
      <w:r>
        <w:rPr>
          <w:rFonts w:ascii="Times New Roman" w:eastAsia="Times New Roman"/>
          <w:position w:val="8"/>
          <w:sz w:val="12"/>
        </w:rPr>
        <w:t>3</w:t>
      </w:r>
      <w:r>
        <w:rPr>
          <w:sz w:val="18"/>
        </w:rPr>
        <w:t>艾滋病病毒：获得性免疫力缺乏综合征病毒（</w:t>
      </w:r>
      <w:r>
        <w:rPr>
          <w:rFonts w:ascii="Times New Roman" w:eastAsia="Times New Roman"/>
          <w:sz w:val="18"/>
        </w:rPr>
        <w:t>HIV</w:t>
      </w:r>
      <w:r>
        <w:rPr>
          <w:sz w:val="18"/>
        </w:rPr>
        <w:t>）的简称。获得性免疫力缺乏综合征的定义应按世界卫生组织制</w:t>
      </w:r>
    </w:p>
    <w:p>
      <w:pPr>
        <w:spacing w:line="228" w:lineRule="exact" w:before="0"/>
        <w:ind w:left="101" w:right="0" w:firstLine="0"/>
        <w:jc w:val="left"/>
        <w:rPr>
          <w:sz w:val="18"/>
        </w:rPr>
      </w:pPr>
      <w:r>
        <w:rPr>
          <w:spacing w:val="-10"/>
          <w:sz w:val="18"/>
        </w:rPr>
        <w:t>定的定义为准，如在血液样本中发现获得性免疫力缺乏综合征病毒或其抗体，则可认定为感染艾滋病或艾滋病病毒。</w:t>
      </w:r>
    </w:p>
    <w:p>
      <w:pPr>
        <w:spacing w:after="0" w:line="228" w:lineRule="exact"/>
        <w:jc w:val="left"/>
        <w:rPr>
          <w:sz w:val="18"/>
        </w:rPr>
        <w:sectPr>
          <w:pgSz w:w="11910" w:h="16840"/>
          <w:pgMar w:header="782" w:footer="753" w:top="1100" w:bottom="940" w:left="1600" w:right="1040"/>
        </w:sectPr>
      </w:pPr>
    </w:p>
    <w:p>
      <w:pPr>
        <w:tabs>
          <w:tab w:pos="5223" w:val="left" w:leader="none"/>
        </w:tabs>
        <w:spacing w:line="439" w:lineRule="exact" w:before="0"/>
        <w:ind w:left="120" w:right="0" w:firstLine="0"/>
        <w:jc w:val="left"/>
        <w:rPr>
          <w:rFonts w:ascii="Microsoft JhengHei" w:eastAsia="Microsoft JhengHei" w:hint="eastAsia"/>
          <w:b/>
          <w:sz w:val="32"/>
        </w:rPr>
      </w:pPr>
      <w:bookmarkStart w:name="_bookmark7" w:id="17"/>
      <w:bookmarkEnd w:id="17"/>
      <w:r>
        <w:rPr/>
      </w:r>
      <w:r>
        <w:rPr>
          <w:rFonts w:ascii="Times New Roman" w:eastAsia="Times New Roman"/>
          <w:b/>
          <w:w w:val="100"/>
          <w:sz w:val="32"/>
          <w:u w:val="single"/>
        </w:rPr>
        <w:t> </w:t>
      </w:r>
      <w:r>
        <w:rPr>
          <w:rFonts w:ascii="Times New Roman" w:eastAsia="Times New Roman"/>
          <w:b/>
          <w:sz w:val="32"/>
          <w:u w:val="single"/>
        </w:rPr>
        <w:tab/>
      </w:r>
      <w:r>
        <w:rPr>
          <w:rFonts w:ascii="Microsoft JhengHei" w:eastAsia="Microsoft JhengHei" w:hint="eastAsia"/>
          <w:b/>
          <w:sz w:val="32"/>
          <w:u w:val="single"/>
        </w:rPr>
        <w:t>光大永明人寿保险有限公司</w:t>
      </w:r>
    </w:p>
    <w:p>
      <w:pPr>
        <w:pStyle w:val="ListParagraph"/>
        <w:numPr>
          <w:ilvl w:val="0"/>
          <w:numId w:val="2"/>
        </w:numPr>
        <w:tabs>
          <w:tab w:pos="939" w:val="left" w:leader="none"/>
        </w:tabs>
        <w:spacing w:line="240" w:lineRule="auto" w:before="93" w:after="0"/>
        <w:ind w:left="938" w:right="0" w:hanging="397"/>
        <w:jc w:val="left"/>
        <w:rPr>
          <w:rFonts w:ascii="黑体" w:eastAsia="黑体" w:hint="eastAsia"/>
          <w:sz w:val="21"/>
        </w:rPr>
      </w:pPr>
      <w:r>
        <w:rPr>
          <w:rFonts w:ascii="黑体" w:eastAsia="黑体" w:hint="eastAsia"/>
          <w:sz w:val="21"/>
        </w:rPr>
        <w:t>核爆炸、核辐射或核污染。</w:t>
      </w:r>
    </w:p>
    <w:p>
      <w:pPr>
        <w:pStyle w:val="BodyText"/>
        <w:spacing w:line="273" w:lineRule="auto" w:before="37"/>
        <w:ind w:left="121" w:right="102" w:firstLine="419"/>
        <w:rPr>
          <w:rFonts w:ascii="黑体" w:eastAsia="黑体" w:hint="eastAsia"/>
        </w:rPr>
      </w:pPr>
      <w:r>
        <w:rPr>
          <w:rFonts w:ascii="黑体" w:eastAsia="黑体" w:hint="eastAsia"/>
        </w:rPr>
        <w:t>发Th</w:t>
      </w:r>
      <w:r>
        <w:rPr>
          <w:rFonts w:ascii="黑体" w:eastAsia="黑体" w:hint="eastAsia"/>
          <w:spacing w:val="-7"/>
        </w:rPr>
        <w:t>上述情形之一，本附加合同终止。除法律及本附加合同另有规定外，我们将按</w:t>
      </w:r>
      <w:hyperlink w:history="true" w:anchor="_bookmark10">
        <w:r>
          <w:rPr>
            <w:rFonts w:ascii="黑体" w:eastAsia="黑体" w:hint="eastAsia"/>
          </w:rPr>
          <w:t>【附加合同</w:t>
        </w:r>
      </w:hyperlink>
      <w:hyperlink w:history="true" w:anchor="_bookmark10">
        <w:r>
          <w:rPr>
            <w:rFonts w:ascii="黑体" w:eastAsia="黑体" w:hint="eastAsia"/>
            <w:spacing w:val="-1"/>
          </w:rPr>
          <w:t>的解除权</w:t>
        </w:r>
      </w:hyperlink>
      <w:r>
        <w:rPr>
          <w:rFonts w:ascii="黑体" w:eastAsia="黑体" w:hint="eastAsia"/>
        </w:rPr>
        <w:t>】第二款处理。</w:t>
      </w:r>
    </w:p>
    <w:p>
      <w:pPr>
        <w:pStyle w:val="BodyText"/>
        <w:spacing w:before="9"/>
        <w:rPr>
          <w:rFonts w:ascii="黑体"/>
        </w:rPr>
      </w:pPr>
    </w:p>
    <w:p>
      <w:pPr>
        <w:pStyle w:val="Heading1"/>
        <w:tabs>
          <w:tab w:pos="4406" w:val="left" w:leader="none"/>
        </w:tabs>
        <w:ind w:left="2540"/>
      </w:pPr>
      <w:bookmarkStart w:name="第三部分 保险费的交纳 " w:id="18"/>
      <w:bookmarkEnd w:id="18"/>
      <w:r>
        <w:rPr>
          <w:b w:val="0"/>
        </w:rPr>
      </w:r>
      <w:r>
        <w:rPr/>
        <w:t>第三部分</w:t>
        <w:tab/>
      </w:r>
      <w:r>
        <w:rPr>
          <w:w w:val="95"/>
        </w:rPr>
        <w:t>保险费的交纳</w:t>
      </w:r>
    </w:p>
    <w:p>
      <w:pPr>
        <w:pStyle w:val="BodyText"/>
        <w:spacing w:before="12"/>
        <w:rPr>
          <w:rFonts w:ascii="黑体"/>
          <w:b/>
          <w:sz w:val="27"/>
        </w:rPr>
      </w:pPr>
    </w:p>
    <w:p>
      <w:pPr>
        <w:pStyle w:val="Heading2"/>
        <w:tabs>
          <w:tab w:pos="1482" w:val="left" w:leader="none"/>
        </w:tabs>
        <w:spacing w:before="1"/>
        <w:ind w:left="121"/>
      </w:pPr>
      <w:bookmarkStart w:name="第八条 保险费的交纳 " w:id="19"/>
      <w:bookmarkEnd w:id="19"/>
      <w:r>
        <w:rPr>
          <w:b w:val="0"/>
        </w:rPr>
      </w:r>
      <w:r>
        <w:rPr/>
        <w:t>第八条</w:t>
        <w:tab/>
        <w:t>保险费的交纳</w:t>
      </w:r>
    </w:p>
    <w:p>
      <w:pPr>
        <w:pStyle w:val="BodyText"/>
        <w:spacing w:before="6"/>
        <w:rPr>
          <w:rFonts w:ascii="Microsoft JhengHei"/>
          <w:b/>
          <w:sz w:val="20"/>
        </w:rPr>
      </w:pPr>
    </w:p>
    <w:p>
      <w:pPr>
        <w:pStyle w:val="BodyText"/>
        <w:spacing w:line="237" w:lineRule="auto"/>
        <w:ind w:left="121" w:right="130" w:firstLine="420"/>
      </w:pPr>
      <w:r>
        <w:rPr>
          <w:spacing w:val="-5"/>
        </w:rPr>
        <w:t>您须按照保险单上所载的交费方式交付保险费。首期以后的保险费应在每个保险费到期日或之前由您自行交付。</w:t>
      </w:r>
    </w:p>
    <w:p>
      <w:pPr>
        <w:pStyle w:val="BodyText"/>
        <w:spacing w:before="5"/>
        <w:rPr>
          <w:sz w:val="22"/>
        </w:rPr>
      </w:pPr>
    </w:p>
    <w:p>
      <w:pPr>
        <w:pStyle w:val="Heading1"/>
        <w:tabs>
          <w:tab w:pos="3865" w:val="left" w:leader="none"/>
        </w:tabs>
        <w:spacing w:before="1"/>
      </w:pPr>
      <w:bookmarkStart w:name="第四部分 如何申请保险费豁免 " w:id="20"/>
      <w:bookmarkEnd w:id="20"/>
      <w:r>
        <w:rPr>
          <w:b w:val="0"/>
        </w:rPr>
      </w:r>
      <w:r>
        <w:rPr/>
        <w:t>第四部分</w:t>
        <w:tab/>
      </w:r>
      <w:r>
        <w:rPr>
          <w:w w:val="95"/>
        </w:rPr>
        <w:t>如何申请保险费豁免</w:t>
      </w:r>
    </w:p>
    <w:p>
      <w:pPr>
        <w:pStyle w:val="BodyText"/>
        <w:rPr>
          <w:rFonts w:ascii="黑体"/>
          <w:b/>
          <w:sz w:val="28"/>
        </w:rPr>
      </w:pPr>
    </w:p>
    <w:p>
      <w:pPr>
        <w:pStyle w:val="Heading2"/>
        <w:tabs>
          <w:tab w:pos="1482" w:val="left" w:leader="none"/>
        </w:tabs>
        <w:ind w:left="121"/>
      </w:pPr>
      <w:bookmarkStart w:name="第九条 保险费豁免的申请 " w:id="21"/>
      <w:bookmarkEnd w:id="21"/>
      <w:r>
        <w:rPr>
          <w:b w:val="0"/>
        </w:rPr>
      </w:r>
      <w:bookmarkStart w:name="_bookmark8" w:id="22"/>
      <w:bookmarkEnd w:id="22"/>
      <w:r>
        <w:rPr>
          <w:b w:val="0"/>
        </w:rPr>
      </w:r>
      <w:r>
        <w:rPr/>
        <w:t>第九条</w:t>
        <w:tab/>
        <w:t>保险费豁免的申请</w:t>
      </w:r>
    </w:p>
    <w:p>
      <w:pPr>
        <w:pStyle w:val="BodyText"/>
        <w:spacing w:before="7"/>
        <w:rPr>
          <w:rFonts w:ascii="Microsoft JhengHei"/>
          <w:b/>
        </w:rPr>
      </w:pPr>
    </w:p>
    <w:p>
      <w:pPr>
        <w:pStyle w:val="BodyText"/>
        <w:ind w:left="541"/>
      </w:pPr>
      <w:r>
        <w:rPr/>
        <w:t>一、身故豁免保险费</w:t>
      </w:r>
    </w:p>
    <w:p>
      <w:pPr>
        <w:pStyle w:val="BodyText"/>
        <w:spacing w:line="273" w:lineRule="auto" w:before="36"/>
        <w:ind w:left="121" w:right="39" w:firstLine="420"/>
      </w:pPr>
      <w:r>
        <w:rPr/>
        <w:t>若本附加合同的被保险人身故，需由索赔权利人填写保险金给付申请书，并凭下列证明材料向我们申请理赔：</w:t>
      </w:r>
    </w:p>
    <w:p>
      <w:pPr>
        <w:pStyle w:val="ListParagraph"/>
        <w:numPr>
          <w:ilvl w:val="0"/>
          <w:numId w:val="3"/>
        </w:numPr>
        <w:tabs>
          <w:tab w:pos="961" w:val="left" w:leader="none"/>
          <w:tab w:pos="962" w:val="left" w:leader="none"/>
        </w:tabs>
        <w:spacing w:line="284" w:lineRule="exact" w:before="0" w:after="0"/>
        <w:ind w:left="541" w:right="0" w:firstLine="0"/>
        <w:jc w:val="left"/>
        <w:rPr>
          <w:sz w:val="21"/>
        </w:rPr>
      </w:pPr>
      <w:r>
        <w:rPr>
          <w:sz w:val="21"/>
        </w:rPr>
        <w:t>本附加合同；</w:t>
      </w:r>
    </w:p>
    <w:p>
      <w:pPr>
        <w:pStyle w:val="ListParagraph"/>
        <w:numPr>
          <w:ilvl w:val="0"/>
          <w:numId w:val="3"/>
        </w:numPr>
        <w:tabs>
          <w:tab w:pos="961" w:val="left" w:leader="none"/>
          <w:tab w:pos="962" w:val="left" w:leader="none"/>
        </w:tabs>
        <w:spacing w:line="240" w:lineRule="auto" w:before="22" w:after="0"/>
        <w:ind w:left="541" w:right="0" w:firstLine="0"/>
        <w:jc w:val="left"/>
        <w:rPr>
          <w:sz w:val="21"/>
        </w:rPr>
      </w:pPr>
      <w:r>
        <w:rPr>
          <w:sz w:val="21"/>
        </w:rPr>
        <w:t>申请人的身份证明；</w:t>
      </w:r>
    </w:p>
    <w:p>
      <w:pPr>
        <w:pStyle w:val="ListParagraph"/>
        <w:numPr>
          <w:ilvl w:val="0"/>
          <w:numId w:val="3"/>
        </w:numPr>
        <w:tabs>
          <w:tab w:pos="961" w:val="left" w:leader="none"/>
          <w:tab w:pos="962" w:val="left" w:leader="none"/>
        </w:tabs>
        <w:spacing w:line="240" w:lineRule="auto" w:before="21" w:after="0"/>
        <w:ind w:left="541" w:right="0" w:firstLine="0"/>
        <w:jc w:val="left"/>
        <w:rPr>
          <w:sz w:val="21"/>
        </w:rPr>
      </w:pPr>
      <w:r>
        <w:rPr>
          <w:sz w:val="21"/>
        </w:rPr>
        <w:t>定点医疗机构出具的被保险人死亡证明书或政府职能部门法医出具的尸体检验报告；</w:t>
      </w:r>
    </w:p>
    <w:p>
      <w:pPr>
        <w:pStyle w:val="ListParagraph"/>
        <w:numPr>
          <w:ilvl w:val="0"/>
          <w:numId w:val="3"/>
        </w:numPr>
        <w:tabs>
          <w:tab w:pos="961" w:val="left" w:leader="none"/>
          <w:tab w:pos="962" w:val="left" w:leader="none"/>
        </w:tabs>
        <w:spacing w:line="240" w:lineRule="auto" w:before="21" w:after="0"/>
        <w:ind w:left="541" w:right="0" w:firstLine="0"/>
        <w:jc w:val="left"/>
        <w:rPr>
          <w:sz w:val="21"/>
        </w:rPr>
      </w:pPr>
      <w:r>
        <w:rPr>
          <w:sz w:val="21"/>
        </w:rPr>
        <w:t>若被保险人为宣告死亡，索赔权利人须提供由法院出具的宣告死亡证明文件；</w:t>
      </w:r>
    </w:p>
    <w:p>
      <w:pPr>
        <w:pStyle w:val="ListParagraph"/>
        <w:numPr>
          <w:ilvl w:val="0"/>
          <w:numId w:val="3"/>
        </w:numPr>
        <w:tabs>
          <w:tab w:pos="961" w:val="left" w:leader="none"/>
          <w:tab w:pos="962" w:val="left" w:leader="none"/>
        </w:tabs>
        <w:spacing w:line="240" w:lineRule="auto" w:before="21" w:after="0"/>
        <w:ind w:left="541" w:right="0" w:firstLine="0"/>
        <w:jc w:val="left"/>
        <w:rPr>
          <w:sz w:val="21"/>
        </w:rPr>
      </w:pPr>
      <w:r>
        <w:rPr>
          <w:sz w:val="21"/>
        </w:rPr>
        <w:t>被保险人的户籍注销证明；</w:t>
      </w:r>
    </w:p>
    <w:p>
      <w:pPr>
        <w:pStyle w:val="ListParagraph"/>
        <w:numPr>
          <w:ilvl w:val="0"/>
          <w:numId w:val="3"/>
        </w:numPr>
        <w:tabs>
          <w:tab w:pos="961" w:val="left" w:leader="none"/>
          <w:tab w:pos="962" w:val="left" w:leader="none"/>
        </w:tabs>
        <w:spacing w:line="268" w:lineRule="auto" w:before="21" w:after="0"/>
        <w:ind w:left="541" w:right="2340" w:firstLine="0"/>
        <w:jc w:val="left"/>
        <w:rPr>
          <w:sz w:val="21"/>
        </w:rPr>
      </w:pPr>
      <w:r>
        <w:rPr>
          <w:sz w:val="21"/>
        </w:rPr>
        <w:t>我们所需的并且索赔权利人能够提供的与事故有关的其他材料。二、高度残疾豁免保险费</w:t>
      </w:r>
    </w:p>
    <w:p>
      <w:pPr>
        <w:pStyle w:val="BodyText"/>
        <w:spacing w:line="273" w:lineRule="auto" w:before="12"/>
        <w:ind w:left="121" w:right="30" w:firstLine="419"/>
      </w:pPr>
      <w:r>
        <w:rPr/>
        <w:t>若本附加合同的被保险人身体因意外或于本附加合同生效（或复效）一百八十天后因疾病高度残疾，需由被保险人填写保险金给付申请书，并凭下列证明材料向我们申请理赔：</w:t>
      </w:r>
    </w:p>
    <w:p>
      <w:pPr>
        <w:pStyle w:val="ListParagraph"/>
        <w:numPr>
          <w:ilvl w:val="0"/>
          <w:numId w:val="4"/>
        </w:numPr>
        <w:tabs>
          <w:tab w:pos="961" w:val="left" w:leader="none"/>
          <w:tab w:pos="962" w:val="left" w:leader="none"/>
        </w:tabs>
        <w:spacing w:line="284" w:lineRule="exact" w:before="0" w:after="0"/>
        <w:ind w:left="541" w:right="0" w:firstLine="0"/>
        <w:jc w:val="left"/>
        <w:rPr>
          <w:sz w:val="21"/>
        </w:rPr>
      </w:pPr>
      <w:r>
        <w:rPr>
          <w:sz w:val="21"/>
        </w:rPr>
        <w:t>本附加合同；</w:t>
      </w:r>
    </w:p>
    <w:p>
      <w:pPr>
        <w:pStyle w:val="ListParagraph"/>
        <w:numPr>
          <w:ilvl w:val="0"/>
          <w:numId w:val="4"/>
        </w:numPr>
        <w:tabs>
          <w:tab w:pos="961" w:val="left" w:leader="none"/>
          <w:tab w:pos="962" w:val="left" w:leader="none"/>
        </w:tabs>
        <w:spacing w:line="240" w:lineRule="auto" w:before="21" w:after="0"/>
        <w:ind w:left="541" w:right="0" w:firstLine="0"/>
        <w:jc w:val="left"/>
        <w:rPr>
          <w:sz w:val="21"/>
        </w:rPr>
      </w:pPr>
      <w:r>
        <w:rPr>
          <w:sz w:val="21"/>
        </w:rPr>
        <w:t>被保险人的身份证明；</w:t>
      </w:r>
    </w:p>
    <w:p>
      <w:pPr>
        <w:pStyle w:val="ListParagraph"/>
        <w:numPr>
          <w:ilvl w:val="0"/>
          <w:numId w:val="4"/>
        </w:numPr>
        <w:tabs>
          <w:tab w:pos="961" w:val="left" w:leader="none"/>
          <w:tab w:pos="962" w:val="left" w:leader="none"/>
        </w:tabs>
        <w:spacing w:line="240" w:lineRule="auto" w:before="21" w:after="0"/>
        <w:ind w:left="541" w:right="0" w:firstLine="0"/>
        <w:jc w:val="left"/>
        <w:rPr>
          <w:sz w:val="21"/>
        </w:rPr>
      </w:pPr>
      <w:r>
        <w:rPr>
          <w:sz w:val="21"/>
        </w:rPr>
        <w:t>定点医疗机构出具的诊断证明或政府职能部门法医出具的残疾鉴定书；</w:t>
      </w:r>
    </w:p>
    <w:p>
      <w:pPr>
        <w:pStyle w:val="ListParagraph"/>
        <w:numPr>
          <w:ilvl w:val="0"/>
          <w:numId w:val="4"/>
        </w:numPr>
        <w:tabs>
          <w:tab w:pos="961" w:val="left" w:leader="none"/>
          <w:tab w:pos="962" w:val="left" w:leader="none"/>
        </w:tabs>
        <w:spacing w:line="268" w:lineRule="auto" w:before="21" w:after="0"/>
        <w:ind w:left="541" w:right="2550" w:firstLine="0"/>
        <w:jc w:val="left"/>
        <w:rPr>
          <w:sz w:val="21"/>
        </w:rPr>
      </w:pPr>
      <w:r>
        <w:rPr>
          <w:sz w:val="21"/>
        </w:rPr>
        <w:t>我们所需的并且被保险人能够提供的与事故有关的其他材料。三、重大疾病豁免保险费</w:t>
      </w:r>
    </w:p>
    <w:p>
      <w:pPr>
        <w:pStyle w:val="BodyText"/>
        <w:spacing w:line="273" w:lineRule="auto" w:before="11"/>
        <w:ind w:left="113" w:right="102" w:firstLine="426"/>
        <w:jc w:val="both"/>
      </w:pPr>
      <w:r>
        <w:rPr>
          <w:spacing w:val="-2"/>
        </w:rPr>
        <w:t>若本附加合同的被保险人经定点医疗机构诊断于本附加合同生效</w:t>
      </w:r>
      <w:r>
        <w:rPr/>
        <w:t>（或复效</w:t>
      </w:r>
      <w:r>
        <w:rPr>
          <w:spacing w:val="-35"/>
        </w:rPr>
        <w:t>）</w:t>
      </w:r>
      <w:r>
        <w:rPr/>
        <w:t>日起一百八十日后</w:t>
      </w:r>
      <w:r>
        <w:rPr>
          <w:spacing w:val="-3"/>
        </w:rPr>
        <w:t>初次患本附加合同约定的重大疾病中的一种或多种，需由被保险人填写保险金给付申请书并凭下列证明材料向我们申请理赔：</w:t>
      </w:r>
    </w:p>
    <w:p>
      <w:pPr>
        <w:pStyle w:val="BodyText"/>
        <w:spacing w:before="7"/>
        <w:ind w:left="541"/>
      </w:pPr>
      <w:r>
        <w:rPr>
          <w:rFonts w:ascii="Times New Roman" w:eastAsia="Times New Roman"/>
        </w:rPr>
        <w:t>1</w:t>
      </w:r>
      <w:r>
        <w:rPr/>
        <w:t>、本附加合同；</w:t>
      </w:r>
    </w:p>
    <w:p>
      <w:pPr>
        <w:pStyle w:val="BodyText"/>
        <w:spacing w:before="21"/>
        <w:ind w:left="541"/>
      </w:pPr>
      <w:r>
        <w:rPr>
          <w:rFonts w:ascii="Times New Roman" w:eastAsia="Times New Roman"/>
        </w:rPr>
        <w:t>2</w:t>
      </w:r>
      <w:r>
        <w:rPr/>
        <w:t>、被保险人的身份证明；</w:t>
      </w:r>
    </w:p>
    <w:p>
      <w:pPr>
        <w:pStyle w:val="BodyText"/>
        <w:spacing w:before="21"/>
        <w:ind w:left="541"/>
      </w:pPr>
      <w:r>
        <w:rPr>
          <w:rFonts w:ascii="Times New Roman" w:eastAsia="Times New Roman"/>
        </w:rPr>
        <w:t>3</w:t>
      </w:r>
      <w:r>
        <w:rPr/>
        <w:t>、定点医疗机构出具的医学诊断证明及相关资料；</w:t>
      </w:r>
    </w:p>
    <w:p>
      <w:pPr>
        <w:pStyle w:val="BodyText"/>
        <w:spacing w:line="256" w:lineRule="auto" w:before="21"/>
        <w:ind w:left="541" w:right="2656"/>
      </w:pPr>
      <w:r>
        <w:rPr>
          <w:rFonts w:ascii="Times New Roman" w:eastAsia="Times New Roman"/>
        </w:rPr>
        <w:t>4</w:t>
      </w:r>
      <w:r>
        <w:rPr/>
        <w:t>、我们所需的并且被保险人能够提供的与事故有关的其他材料。四、保险费返还</w:t>
      </w:r>
    </w:p>
    <w:p>
      <w:pPr>
        <w:pStyle w:val="BodyText"/>
        <w:spacing w:line="273" w:lineRule="auto" w:before="22"/>
        <w:ind w:left="121" w:right="102" w:firstLine="420"/>
        <w:jc w:val="both"/>
      </w:pPr>
      <w:r>
        <w:rPr>
          <w:spacing w:val="-2"/>
        </w:rPr>
        <w:t>被保险人经定点医疗机构诊断于本附加合同生效</w:t>
      </w:r>
      <w:r>
        <w:rPr/>
        <w:t>（或复效</w:t>
      </w:r>
      <w:r>
        <w:rPr>
          <w:spacing w:val="-24"/>
        </w:rPr>
        <w:t>）</w:t>
      </w:r>
      <w:r>
        <w:rPr>
          <w:spacing w:val="-3"/>
        </w:rPr>
        <w:t>日起一百八十日内，初次患有本附</w:t>
      </w:r>
      <w:r>
        <w:rPr>
          <w:spacing w:val="-6"/>
        </w:rPr>
        <w:t>加合同约定的重大疾病中的一项或多项或因疾病导致高度残疾时，您需填写保险金给付申请书，并凭下列证明材料向我们申请保险费返还：</w:t>
      </w:r>
    </w:p>
    <w:p>
      <w:pPr>
        <w:spacing w:after="0" w:line="273" w:lineRule="auto"/>
        <w:jc w:val="both"/>
        <w:sectPr>
          <w:headerReference w:type="default" r:id="rId8"/>
          <w:footerReference w:type="default" r:id="rId9"/>
          <w:pgSz w:w="11910" w:h="16840"/>
          <w:pgMar w:header="0" w:footer="753" w:top="700" w:bottom="940" w:left="1580" w:right="1140"/>
          <w:pgNumType w:start="3"/>
        </w:sectPr>
      </w:pPr>
    </w:p>
    <w:p>
      <w:pPr>
        <w:pStyle w:val="ListParagraph"/>
        <w:numPr>
          <w:ilvl w:val="0"/>
          <w:numId w:val="5"/>
        </w:numPr>
        <w:tabs>
          <w:tab w:pos="961" w:val="left" w:leader="none"/>
          <w:tab w:pos="962" w:val="left" w:leader="none"/>
        </w:tabs>
        <w:spacing w:line="240" w:lineRule="auto" w:before="129" w:after="0"/>
        <w:ind w:left="961" w:right="0" w:hanging="420"/>
        <w:jc w:val="left"/>
        <w:rPr>
          <w:sz w:val="21"/>
        </w:rPr>
      </w:pPr>
      <w:bookmarkStart w:name="_bookmark9" w:id="23"/>
      <w:bookmarkEnd w:id="23"/>
      <w:r>
        <w:rPr/>
      </w:r>
      <w:bookmarkStart w:name="_bookmark9" w:id="24"/>
      <w:bookmarkEnd w:id="24"/>
      <w:r>
        <w:rPr>
          <w:sz w:val="21"/>
        </w:rPr>
        <w:t>本附加合同；</w:t>
      </w:r>
    </w:p>
    <w:p>
      <w:pPr>
        <w:pStyle w:val="ListParagraph"/>
        <w:numPr>
          <w:ilvl w:val="0"/>
          <w:numId w:val="5"/>
        </w:numPr>
        <w:tabs>
          <w:tab w:pos="961" w:val="left" w:leader="none"/>
          <w:tab w:pos="962" w:val="left" w:leader="none"/>
        </w:tabs>
        <w:spacing w:line="240" w:lineRule="auto" w:before="36" w:after="0"/>
        <w:ind w:left="961" w:right="0" w:hanging="420"/>
        <w:jc w:val="left"/>
        <w:rPr>
          <w:sz w:val="21"/>
        </w:rPr>
      </w:pPr>
      <w:r>
        <w:rPr>
          <w:sz w:val="21"/>
        </w:rPr>
        <w:t>被保险人高度残疾证明或定点医疗机构出具的医学诊断证明及相关资料；</w:t>
      </w:r>
    </w:p>
    <w:p>
      <w:pPr>
        <w:pStyle w:val="ListParagraph"/>
        <w:numPr>
          <w:ilvl w:val="0"/>
          <w:numId w:val="5"/>
        </w:numPr>
        <w:tabs>
          <w:tab w:pos="961" w:val="left" w:leader="none"/>
          <w:tab w:pos="962" w:val="left" w:leader="none"/>
        </w:tabs>
        <w:spacing w:line="240" w:lineRule="auto" w:before="22" w:after="0"/>
        <w:ind w:left="961" w:right="0" w:hanging="420"/>
        <w:jc w:val="left"/>
        <w:rPr>
          <w:rFonts w:ascii="Times New Roman" w:eastAsia="Times New Roman"/>
          <w:sz w:val="21"/>
        </w:rPr>
      </w:pPr>
      <w:r>
        <w:rPr>
          <w:sz w:val="21"/>
        </w:rPr>
        <w:t>我们所需的并且您能够提供的与事故有关的其他材料。</w:t>
      </w:r>
    </w:p>
    <w:p>
      <w:pPr>
        <w:pStyle w:val="BodyText"/>
        <w:spacing w:before="1"/>
      </w:pPr>
    </w:p>
    <w:p>
      <w:pPr>
        <w:pStyle w:val="BodyText"/>
        <w:spacing w:line="273" w:lineRule="auto" w:before="1"/>
        <w:ind w:left="121" w:right="102" w:firstLine="420"/>
        <w:jc w:val="both"/>
      </w:pPr>
      <w:r>
        <w:rPr>
          <w:spacing w:val="-2"/>
        </w:rPr>
        <w:t>我们收到申请人上述保险金给付申请书及所列的证明材料并确定事故属保险责任范围的，我们</w:t>
      </w:r>
      <w:r>
        <w:rPr>
          <w:spacing w:val="-6"/>
        </w:rPr>
        <w:t>十日内向申请人签发豁免保险费通知书；对不属于保险责任范围的，向申请人发出拒绝豁免保险费通知书。</w:t>
      </w:r>
    </w:p>
    <w:p>
      <w:pPr>
        <w:pStyle w:val="BodyText"/>
        <w:spacing w:before="9"/>
      </w:pPr>
    </w:p>
    <w:p>
      <w:pPr>
        <w:pStyle w:val="Heading1"/>
        <w:tabs>
          <w:tab w:pos="3865" w:val="left" w:leader="none"/>
        </w:tabs>
      </w:pPr>
      <w:bookmarkStart w:name="第五部分 您所拥有的重要权益 " w:id="25"/>
      <w:bookmarkEnd w:id="25"/>
      <w:r>
        <w:rPr>
          <w:b w:val="0"/>
        </w:rPr>
      </w:r>
      <w:r>
        <w:rPr/>
        <w:t>第五部分</w:t>
        <w:tab/>
      </w:r>
      <w:r>
        <w:rPr>
          <w:w w:val="95"/>
        </w:rPr>
        <w:t>您所拥有的重要权益</w:t>
      </w:r>
    </w:p>
    <w:p>
      <w:pPr>
        <w:pStyle w:val="BodyText"/>
        <w:spacing w:before="12"/>
        <w:rPr>
          <w:rFonts w:ascii="黑体"/>
          <w:b/>
          <w:sz w:val="27"/>
        </w:rPr>
      </w:pPr>
    </w:p>
    <w:p>
      <w:pPr>
        <w:pStyle w:val="Heading2"/>
        <w:tabs>
          <w:tab w:pos="1482" w:val="left" w:leader="none"/>
        </w:tabs>
        <w:spacing w:before="1"/>
        <w:ind w:left="121"/>
      </w:pPr>
      <w:bookmarkStart w:name="第十条 附加合同的解除权 " w:id="26"/>
      <w:bookmarkEnd w:id="26"/>
      <w:r>
        <w:rPr>
          <w:b w:val="0"/>
        </w:rPr>
      </w:r>
      <w:bookmarkStart w:name="_bookmark10" w:id="27"/>
      <w:bookmarkEnd w:id="27"/>
      <w:r>
        <w:rPr>
          <w:b w:val="0"/>
        </w:rPr>
      </w:r>
      <w:r>
        <w:rPr/>
        <w:t>第十条</w:t>
        <w:tab/>
        <w:t>附加合同的解除权</w:t>
      </w:r>
    </w:p>
    <w:p>
      <w:pPr>
        <w:pStyle w:val="BodyText"/>
        <w:spacing w:before="7"/>
        <w:rPr>
          <w:rFonts w:ascii="Microsoft JhengHei"/>
          <w:b/>
          <w:sz w:val="20"/>
        </w:rPr>
      </w:pPr>
    </w:p>
    <w:p>
      <w:pPr>
        <w:pStyle w:val="BodyText"/>
        <w:spacing w:line="237" w:lineRule="auto"/>
        <w:ind w:left="121" w:right="127" w:firstLine="420"/>
        <w:jc w:val="both"/>
      </w:pPr>
      <w:r>
        <w:rPr>
          <w:spacing w:val="-6"/>
        </w:rPr>
        <w:t>在本附加合同有效期内，您可以申请解除本附加合同。我们收到解除合同申请书时，本附加合</w:t>
      </w:r>
      <w:r>
        <w:rPr>
          <w:spacing w:val="-10"/>
        </w:rPr>
        <w:t>同终止。为了让您能够更清楚地了解相关的保险条款和内容，以及有更多的考虑时间，自您签收本附加合同之日起十天内为犹豫期。</w:t>
      </w:r>
    </w:p>
    <w:p>
      <w:pPr>
        <w:pStyle w:val="BodyText"/>
        <w:spacing w:line="273" w:lineRule="auto" w:before="17"/>
        <w:ind w:left="119" w:right="102" w:firstLine="422"/>
      </w:pPr>
      <w:r>
        <w:rPr>
          <w:spacing w:val="-8"/>
        </w:rPr>
        <w:t>一、您在犹豫期内要求解除本附加合同的，我们将于收到本条第三款所列的证明材料后在扣除被保险人体检费后无息退还已收的全部保险费。</w:t>
      </w:r>
    </w:p>
    <w:p>
      <w:pPr>
        <w:pStyle w:val="BodyText"/>
        <w:spacing w:line="273" w:lineRule="auto" w:before="7"/>
        <w:ind w:left="119" w:right="102" w:firstLine="422"/>
      </w:pPr>
      <w:r>
        <w:rPr>
          <w:spacing w:val="-8"/>
        </w:rPr>
        <w:t>二、您在犹豫期后要求解除本附加合同的，我们在收到本条第三款所列证明材料后本附加合同自动终止。</w:t>
      </w:r>
    </w:p>
    <w:p>
      <w:pPr>
        <w:pStyle w:val="BodyText"/>
        <w:spacing w:before="7"/>
        <w:ind w:left="541"/>
      </w:pPr>
      <w:r>
        <w:rPr/>
        <w:t>三、您应提供的证明材料包括：</w:t>
      </w:r>
    </w:p>
    <w:p>
      <w:pPr>
        <w:pStyle w:val="BodyText"/>
        <w:spacing w:before="36"/>
        <w:ind w:left="541"/>
      </w:pPr>
      <w:r>
        <w:rPr/>
        <w:t>1、 保险单及其他保险凭证；</w:t>
      </w:r>
    </w:p>
    <w:p>
      <w:pPr>
        <w:pStyle w:val="BodyText"/>
        <w:spacing w:before="36"/>
        <w:ind w:left="541"/>
      </w:pPr>
      <w:r>
        <w:rPr/>
        <w:t>2、 解除本附加合同的申请资料；</w:t>
      </w:r>
    </w:p>
    <w:p>
      <w:pPr>
        <w:pStyle w:val="BodyText"/>
        <w:spacing w:before="36"/>
        <w:ind w:left="541"/>
      </w:pPr>
      <w:r>
        <w:rPr/>
        <w:t>3、 您的身份证明。</w:t>
      </w:r>
    </w:p>
    <w:p>
      <w:pPr>
        <w:pStyle w:val="BodyText"/>
        <w:spacing w:before="11"/>
        <w:rPr>
          <w:sz w:val="23"/>
        </w:rPr>
      </w:pPr>
    </w:p>
    <w:p>
      <w:pPr>
        <w:pStyle w:val="Heading1"/>
        <w:tabs>
          <w:tab w:pos="4768" w:val="left" w:leader="none"/>
        </w:tabs>
        <w:ind w:left="2902"/>
      </w:pPr>
      <w:bookmarkStart w:name="第六部分 就医须知 " w:id="28"/>
      <w:bookmarkEnd w:id="28"/>
      <w:r>
        <w:rPr>
          <w:b w:val="0"/>
        </w:rPr>
      </w:r>
      <w:r>
        <w:rPr/>
        <w:t>第六部分</w:t>
        <w:tab/>
      </w:r>
      <w:r>
        <w:rPr>
          <w:w w:val="95"/>
        </w:rPr>
        <w:t>就医须知</w:t>
      </w:r>
    </w:p>
    <w:p>
      <w:pPr>
        <w:pStyle w:val="BodyText"/>
        <w:spacing w:before="11"/>
        <w:rPr>
          <w:rFonts w:ascii="黑体"/>
          <w:b/>
          <w:sz w:val="25"/>
        </w:rPr>
      </w:pPr>
    </w:p>
    <w:p>
      <w:pPr>
        <w:pStyle w:val="BodyText"/>
        <w:spacing w:line="237" w:lineRule="auto"/>
        <w:ind w:left="121" w:right="127" w:firstLine="420"/>
      </w:pPr>
      <w:r>
        <w:rPr>
          <w:spacing w:val="-4"/>
        </w:rPr>
        <w:t>被保险人须在定点医疗机构接受治疗，但被保险人紧急抢救不受此限制，在病情稳定后，应转入定点医疗机构继续治疗。</w:t>
      </w:r>
    </w:p>
    <w:p>
      <w:pPr>
        <w:pStyle w:val="BodyText"/>
        <w:spacing w:before="5"/>
        <w:rPr>
          <w:sz w:val="22"/>
        </w:rPr>
      </w:pPr>
    </w:p>
    <w:p>
      <w:pPr>
        <w:pStyle w:val="Heading1"/>
        <w:tabs>
          <w:tab w:pos="4768" w:val="left" w:leader="none"/>
        </w:tabs>
        <w:ind w:left="2902"/>
      </w:pPr>
      <w:bookmarkStart w:name="第七部分 名词释义 " w:id="29"/>
      <w:bookmarkEnd w:id="29"/>
      <w:r>
        <w:rPr>
          <w:b w:val="0"/>
        </w:rPr>
      </w:r>
      <w:r>
        <w:rPr/>
        <w:t>第七部分</w:t>
        <w:tab/>
      </w:r>
      <w:r>
        <w:rPr>
          <w:w w:val="95"/>
        </w:rPr>
        <w:t>名词释义</w:t>
      </w:r>
    </w:p>
    <w:p>
      <w:pPr>
        <w:pStyle w:val="BodyText"/>
        <w:spacing w:line="249" w:lineRule="auto" w:before="289"/>
        <w:ind w:left="121" w:right="30"/>
      </w:pPr>
      <w:r>
        <w:rPr>
          <w:rFonts w:ascii="Microsoft JhengHei" w:eastAsia="Microsoft JhengHei" w:hint="eastAsia"/>
          <w:b/>
        </w:rPr>
        <w:t>定点医疗机构：</w:t>
      </w:r>
      <w:r>
        <w:rPr/>
        <w:t>我们为被保险人提供多家不同层次的专业医疗机构名单，供被保险人在此范围内选择，定点医疗机构名单请见合同附件。</w:t>
      </w:r>
    </w:p>
    <w:p>
      <w:pPr>
        <w:spacing w:line="327" w:lineRule="exact" w:before="0"/>
        <w:ind w:left="121" w:right="0" w:firstLine="0"/>
        <w:jc w:val="left"/>
        <w:rPr>
          <w:sz w:val="21"/>
        </w:rPr>
      </w:pPr>
      <w:r>
        <w:rPr>
          <w:rFonts w:ascii="Microsoft JhengHei" w:eastAsia="Microsoft JhengHei" w:hint="eastAsia"/>
          <w:b/>
          <w:sz w:val="21"/>
        </w:rPr>
        <w:t>身体高度残疾</w:t>
      </w:r>
      <w:r>
        <w:rPr>
          <w:sz w:val="21"/>
        </w:rPr>
        <w:t>：指具有下列情况之一项或多项者：</w:t>
      </w:r>
    </w:p>
    <w:p>
      <w:pPr>
        <w:pStyle w:val="BodyText"/>
        <w:spacing w:before="13"/>
        <w:ind w:left="1561"/>
      </w:pPr>
      <w:r>
        <w:rPr/>
        <w:t>一、 双目永久完全失明的（</w:t>
      </w:r>
      <w:r>
        <w:rPr>
          <w:spacing w:val="-27"/>
        </w:rPr>
        <w:t>注 </w:t>
      </w:r>
      <w:r>
        <w:rPr>
          <w:rFonts w:ascii="Times New Roman" w:eastAsia="Times New Roman"/>
          <w:spacing w:val="-1"/>
        </w:rPr>
        <w:t>1</w:t>
      </w:r>
      <w:r>
        <w:rPr>
          <w:spacing w:val="-105"/>
        </w:rPr>
        <w:t>）</w:t>
      </w:r>
      <w:r>
        <w:rPr/>
        <w:t>；</w:t>
      </w:r>
    </w:p>
    <w:p>
      <w:pPr>
        <w:pStyle w:val="BodyText"/>
        <w:spacing w:line="273" w:lineRule="auto" w:before="20"/>
        <w:ind w:left="1561" w:right="990"/>
        <w:jc w:val="both"/>
      </w:pPr>
      <w:r>
        <w:rPr/>
        <w:t>二、 两上肢腕关节以上（远端）或两下肢踝关节以上（远端）缺失的； 三、 一上肢腕关节以上（远端）及一下肢踝关节以上（远端）缺失的； 四、 一目永久完全失明及一上肢腕关节以上（远端）缺失的；</w:t>
      </w:r>
    </w:p>
    <w:p>
      <w:pPr>
        <w:pStyle w:val="BodyText"/>
        <w:spacing w:line="273" w:lineRule="auto" w:before="7"/>
        <w:ind w:left="1561" w:right="1830"/>
      </w:pPr>
      <w:r>
        <w:rPr/>
        <w:t>五、 一目永久完全失明及一下肢踝关节以上（远端）缺失的； 六、 四肢关节机能永久完全丧失的（</w:t>
      </w:r>
      <w:r>
        <w:rPr>
          <w:spacing w:val="-27"/>
        </w:rPr>
        <w:t>注 </w:t>
      </w:r>
      <w:r>
        <w:rPr>
          <w:rFonts w:ascii="Times New Roman" w:eastAsia="Times New Roman"/>
          <w:spacing w:val="-1"/>
        </w:rPr>
        <w:t>2</w:t>
      </w:r>
      <w:r>
        <w:rPr/>
        <w:t>、</w:t>
      </w:r>
      <w:r>
        <w:rPr>
          <w:rFonts w:ascii="Times New Roman" w:eastAsia="Times New Roman"/>
          <w:spacing w:val="-1"/>
        </w:rPr>
        <w:t>5</w:t>
      </w:r>
      <w:r>
        <w:rPr>
          <w:spacing w:val="-105"/>
        </w:rPr>
        <w:t>）</w:t>
      </w:r>
      <w:r>
        <w:rPr/>
        <w:t>；</w:t>
      </w:r>
    </w:p>
    <w:p>
      <w:pPr>
        <w:pStyle w:val="BodyText"/>
        <w:spacing w:line="279" w:lineRule="exact"/>
        <w:ind w:left="1561"/>
      </w:pPr>
      <w:r>
        <w:rPr/>
        <w:t>七、 咀嚼、吞咽机能永久完全丧失的（</w:t>
      </w:r>
      <w:r>
        <w:rPr>
          <w:spacing w:val="-27"/>
        </w:rPr>
        <w:t>注 </w:t>
      </w:r>
      <w:r>
        <w:rPr>
          <w:rFonts w:ascii="Times New Roman" w:eastAsia="Times New Roman"/>
          <w:spacing w:val="-1"/>
        </w:rPr>
        <w:t>3</w:t>
      </w:r>
      <w:r>
        <w:rPr>
          <w:spacing w:val="0"/>
        </w:rPr>
        <w:t>、</w:t>
      </w:r>
      <w:r>
        <w:rPr>
          <w:rFonts w:ascii="Times New Roman" w:eastAsia="Times New Roman"/>
          <w:spacing w:val="-1"/>
        </w:rPr>
        <w:t>5</w:t>
      </w:r>
      <w:r>
        <w:rPr>
          <w:spacing w:val="-105"/>
        </w:rPr>
        <w:t>）</w:t>
      </w:r>
      <w:r>
        <w:rPr/>
        <w:t>；</w:t>
      </w:r>
    </w:p>
    <w:p>
      <w:pPr>
        <w:pStyle w:val="BodyText"/>
        <w:spacing w:line="273" w:lineRule="auto" w:before="21"/>
        <w:ind w:left="2101" w:right="103" w:hanging="540"/>
      </w:pPr>
      <w:r>
        <w:rPr/>
        <w:t>八、 中枢神经系统机能或胸、腹部脏器机能极度障碍，永久完全丧失基本日常生</w:t>
      </w:r>
      <w:r>
        <w:rPr>
          <w:spacing w:val="-27"/>
        </w:rPr>
        <w:t>活能力。</w:t>
      </w:r>
      <w:r>
        <w:rPr/>
        <w:t>（</w:t>
      </w:r>
      <w:r>
        <w:rPr>
          <w:spacing w:val="-27"/>
        </w:rPr>
        <w:t>注 </w:t>
      </w:r>
      <w:r>
        <w:rPr>
          <w:rFonts w:ascii="Times New Roman" w:eastAsia="Times New Roman"/>
          <w:spacing w:val="-1"/>
        </w:rPr>
        <w:t>4</w:t>
      </w:r>
      <w:r>
        <w:rPr>
          <w:spacing w:val="0"/>
        </w:rPr>
        <w:t>、</w:t>
      </w:r>
      <w:r>
        <w:rPr>
          <w:rFonts w:ascii="Times New Roman" w:eastAsia="Times New Roman"/>
          <w:spacing w:val="-1"/>
        </w:rPr>
        <w:t>5</w:t>
      </w:r>
      <w:r>
        <w:rPr>
          <w:spacing w:val="-105"/>
        </w:rPr>
        <w:t>）</w:t>
      </w:r>
      <w:r>
        <w:rPr/>
        <w:t>。</w:t>
      </w:r>
    </w:p>
    <w:p>
      <w:pPr>
        <w:pStyle w:val="BodyText"/>
        <w:spacing w:line="263" w:lineRule="exact"/>
        <w:ind w:left="1559"/>
      </w:pPr>
      <w:r>
        <w:rPr/>
        <w:t>注 1：失明包括眼球缺失或摘除，或不能辨别明暗，或仅能辨别眼前手动者，最佳</w:t>
      </w:r>
    </w:p>
    <w:p>
      <w:pPr>
        <w:spacing w:after="0" w:line="263" w:lineRule="exact"/>
        <w:sectPr>
          <w:headerReference w:type="default" r:id="rId10"/>
          <w:pgSz w:w="11910" w:h="16840"/>
          <w:pgMar w:header="782" w:footer="753" w:top="1100" w:bottom="940" w:left="1580" w:right="11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0"/>
        <w:ind w:left="101" w:right="0" w:firstLine="0"/>
        <w:jc w:val="left"/>
        <w:rPr>
          <w:rFonts w:ascii="Microsoft JhengHei" w:eastAsia="Microsoft JhengHei" w:hint="eastAsia"/>
          <w:b/>
          <w:sz w:val="21"/>
        </w:rPr>
      </w:pPr>
      <w:r>
        <w:rPr>
          <w:rFonts w:ascii="Microsoft JhengHei" w:eastAsia="Microsoft JhengHei" w:hint="eastAsia"/>
          <w:b/>
          <w:sz w:val="21"/>
        </w:rPr>
        <w:t>重大疾病：</w:t>
      </w:r>
    </w:p>
    <w:p>
      <w:pPr>
        <w:pStyle w:val="BodyText"/>
        <w:spacing w:line="256" w:lineRule="auto" w:before="129"/>
        <w:ind w:left="668" w:right="24"/>
      </w:pPr>
      <w:r>
        <w:rPr/>
        <w:br w:type="column"/>
      </w:r>
      <w:r>
        <w:rPr/>
        <w:t>矫正视力低于国际标准视力表 </w:t>
      </w:r>
      <w:r>
        <w:rPr>
          <w:rFonts w:ascii="Times New Roman" w:eastAsia="Times New Roman"/>
        </w:rPr>
        <w:t>0.02</w:t>
      </w:r>
      <w:r>
        <w:rPr/>
        <w:t>，或视野半径小于 </w:t>
      </w:r>
      <w:r>
        <w:rPr>
          <w:rFonts w:ascii="Times New Roman" w:eastAsia="Times New Roman"/>
        </w:rPr>
        <w:t>5 </w:t>
      </w:r>
      <w:r>
        <w:rPr/>
        <w:t>度，并由定点医疗机构的专科医生出具医疗诊断证明。但由白内障引起的失明除外。</w:t>
      </w:r>
    </w:p>
    <w:p>
      <w:pPr>
        <w:pStyle w:val="BodyText"/>
        <w:spacing w:before="21"/>
        <w:ind w:left="101"/>
      </w:pPr>
      <w:r>
        <w:rPr/>
        <w:t>注 2：关节机能的丧失是指关节永久完全僵硬、麻痹或关节不能随意识活动。</w:t>
      </w:r>
    </w:p>
    <w:p>
      <w:pPr>
        <w:pStyle w:val="BodyText"/>
        <w:spacing w:line="256" w:lineRule="auto" w:before="36"/>
        <w:ind w:left="731" w:right="46" w:hanging="630"/>
      </w:pPr>
      <w:r>
        <w:rPr/>
        <w:t>注 </w:t>
      </w:r>
      <w:r>
        <w:rPr>
          <w:rFonts w:ascii="Times New Roman" w:eastAsia="Times New Roman"/>
        </w:rPr>
        <w:t>3</w:t>
      </w:r>
      <w:r>
        <w:rPr/>
        <w:t>：咀嚼、吞咽机能的丧失是指由于牙齿以外的原因引起的器质或功能障碍，以致不能作咀嚼、吞咽运动，除流质食物外不能摄取或吞咽的状态。</w:t>
      </w:r>
    </w:p>
    <w:p>
      <w:pPr>
        <w:pStyle w:val="BodyText"/>
        <w:spacing w:line="256" w:lineRule="auto" w:before="22"/>
        <w:ind w:left="731" w:right="46" w:hanging="630"/>
      </w:pPr>
      <w:r>
        <w:rPr/>
        <w:t>注 </w:t>
      </w:r>
      <w:r>
        <w:rPr>
          <w:rFonts w:ascii="Times New Roman" w:eastAsia="Times New Roman"/>
        </w:rPr>
        <w:t>4</w:t>
      </w:r>
      <w:r>
        <w:rPr/>
        <w:t>：基本日常生活能力的丧失是指食物摄取、大小便始末、穿脱衣服、起居、步行、入浴等，皆不能自己为之，需要他人帮助。</w:t>
      </w:r>
    </w:p>
    <w:p>
      <w:pPr>
        <w:pStyle w:val="BodyText"/>
        <w:spacing w:line="256" w:lineRule="auto" w:before="22"/>
        <w:ind w:left="731" w:right="46" w:hanging="630"/>
      </w:pPr>
      <w:r>
        <w:rPr/>
        <w:t>注 </w:t>
      </w:r>
      <w:r>
        <w:rPr>
          <w:rFonts w:ascii="Times New Roman" w:eastAsia="Times New Roman"/>
        </w:rPr>
        <w:t>5</w:t>
      </w:r>
      <w:r>
        <w:rPr/>
        <w:t>：永久完全丧失是指自以上情况发生之日起经过一百八十天的治疗后，机能仍然完全丧失，但眼球摘除等无法恢复之情况，不在此限。</w:t>
      </w:r>
    </w:p>
    <w:p>
      <w:pPr>
        <w:spacing w:after="0" w:line="256" w:lineRule="auto"/>
        <w:sectPr>
          <w:pgSz w:w="11910" w:h="16840"/>
          <w:pgMar w:header="782" w:footer="753" w:top="1100" w:bottom="940" w:left="1600" w:right="1140"/>
          <w:cols w:num="2" w:equalWidth="0">
            <w:col w:w="1156" w:space="282"/>
            <w:col w:w="7732"/>
          </w:cols>
        </w:sectPr>
      </w:pPr>
    </w:p>
    <w:p>
      <w:pPr>
        <w:pStyle w:val="BodyText"/>
        <w:spacing w:line="273" w:lineRule="auto" w:before="13"/>
        <w:ind w:left="583" w:right="101" w:hanging="483"/>
        <w:jc w:val="both"/>
      </w:pPr>
      <w:r>
        <w:rPr/>
        <w:t>1、 癌症：本附加合同所指的癌症为医学上所称的恶性肿瘤。是指恶性肿瘤细胞不受控制的增长和蔓延并侵犯到正常组织。癌症的诊断必须由定点医疗机构的专科医生依据病理学检验结果做出。但不包括：</w:t>
      </w:r>
    </w:p>
    <w:p>
      <w:pPr>
        <w:pStyle w:val="ListParagraph"/>
        <w:numPr>
          <w:ilvl w:val="0"/>
          <w:numId w:val="6"/>
        </w:numPr>
        <w:tabs>
          <w:tab w:pos="944" w:val="left" w:leader="none"/>
        </w:tabs>
        <w:spacing w:line="240" w:lineRule="auto" w:before="7" w:after="0"/>
        <w:ind w:left="1001" w:right="0" w:hanging="417"/>
        <w:jc w:val="left"/>
        <w:rPr>
          <w:sz w:val="21"/>
        </w:rPr>
      </w:pPr>
      <w:r>
        <w:rPr>
          <w:sz w:val="21"/>
        </w:rPr>
        <w:t>原位癌和癌前病变</w:t>
      </w:r>
    </w:p>
    <w:p>
      <w:pPr>
        <w:pStyle w:val="ListParagraph"/>
        <w:numPr>
          <w:ilvl w:val="0"/>
          <w:numId w:val="6"/>
        </w:numPr>
        <w:tabs>
          <w:tab w:pos="1002" w:val="left" w:leader="none"/>
        </w:tabs>
        <w:spacing w:line="240" w:lineRule="auto" w:before="37" w:after="0"/>
        <w:ind w:left="1001" w:right="0" w:hanging="417"/>
        <w:jc w:val="left"/>
        <w:rPr>
          <w:sz w:val="21"/>
        </w:rPr>
      </w:pPr>
      <w:r>
        <w:rPr>
          <w:sz w:val="21"/>
        </w:rPr>
        <w:t>恶性黑色素瘤以外的皮肤癌</w:t>
      </w:r>
    </w:p>
    <w:p>
      <w:pPr>
        <w:pStyle w:val="ListParagraph"/>
        <w:numPr>
          <w:ilvl w:val="0"/>
          <w:numId w:val="6"/>
        </w:numPr>
        <w:tabs>
          <w:tab w:pos="1002" w:val="left" w:leader="none"/>
        </w:tabs>
        <w:spacing w:line="240" w:lineRule="auto" w:before="37" w:after="0"/>
        <w:ind w:left="1001" w:right="0" w:hanging="417"/>
        <w:jc w:val="left"/>
        <w:rPr>
          <w:sz w:val="21"/>
        </w:rPr>
      </w:pPr>
      <w:r>
        <w:rPr>
          <w:sz w:val="21"/>
        </w:rPr>
        <w:t>第一期何杰金氏病</w:t>
      </w:r>
    </w:p>
    <w:p>
      <w:pPr>
        <w:pStyle w:val="ListParagraph"/>
        <w:numPr>
          <w:ilvl w:val="0"/>
          <w:numId w:val="6"/>
        </w:numPr>
        <w:tabs>
          <w:tab w:pos="1002" w:val="left" w:leader="none"/>
        </w:tabs>
        <w:spacing w:line="240" w:lineRule="auto" w:before="37" w:after="0"/>
        <w:ind w:left="1001" w:right="0" w:hanging="417"/>
        <w:jc w:val="left"/>
        <w:rPr>
          <w:sz w:val="21"/>
        </w:rPr>
      </w:pPr>
      <w:r>
        <w:rPr>
          <w:sz w:val="21"/>
        </w:rPr>
        <w:t>慢性淋巴性白血病</w:t>
      </w:r>
    </w:p>
    <w:p>
      <w:pPr>
        <w:pStyle w:val="ListParagraph"/>
        <w:numPr>
          <w:ilvl w:val="0"/>
          <w:numId w:val="6"/>
        </w:numPr>
        <w:tabs>
          <w:tab w:pos="1002" w:val="left" w:leader="none"/>
        </w:tabs>
        <w:spacing w:line="240" w:lineRule="auto" w:before="37" w:after="0"/>
        <w:ind w:left="1001" w:right="0" w:hanging="417"/>
        <w:jc w:val="left"/>
        <w:rPr>
          <w:sz w:val="21"/>
        </w:rPr>
      </w:pPr>
      <w:r>
        <w:rPr>
          <w:sz w:val="21"/>
        </w:rPr>
        <w:t>早期前列腺癌（TNM</w:t>
      </w:r>
      <w:r>
        <w:rPr>
          <w:spacing w:val="-24"/>
          <w:sz w:val="21"/>
        </w:rPr>
        <w:t> 分期为 </w:t>
      </w:r>
      <w:r>
        <w:rPr>
          <w:sz w:val="21"/>
        </w:rPr>
        <w:t>T1a、T1b</w:t>
      </w:r>
      <w:r>
        <w:rPr>
          <w:spacing w:val="-15"/>
          <w:sz w:val="21"/>
        </w:rPr>
        <w:t> 或更早</w:t>
      </w:r>
      <w:r>
        <w:rPr>
          <w:sz w:val="21"/>
        </w:rPr>
        <w:t>）</w:t>
      </w:r>
    </w:p>
    <w:p>
      <w:pPr>
        <w:pStyle w:val="ListParagraph"/>
        <w:numPr>
          <w:ilvl w:val="0"/>
          <w:numId w:val="6"/>
        </w:numPr>
        <w:tabs>
          <w:tab w:pos="1002" w:val="left" w:leader="none"/>
        </w:tabs>
        <w:spacing w:line="273" w:lineRule="auto" w:before="37" w:after="0"/>
        <w:ind w:left="1001" w:right="98" w:hanging="417"/>
        <w:jc w:val="left"/>
        <w:rPr>
          <w:sz w:val="21"/>
        </w:rPr>
      </w:pPr>
      <w:r>
        <w:rPr>
          <w:sz w:val="21"/>
        </w:rPr>
        <w:t>与艾滋病病毒感染或艾滋病相关的癌症，但不包括【名词释义】中所定义的由输血或输液而感染艾滋病病毒。</w:t>
      </w:r>
    </w:p>
    <w:p>
      <w:pPr>
        <w:pStyle w:val="BodyText"/>
        <w:spacing w:line="273" w:lineRule="auto" w:before="8"/>
        <w:ind w:left="583" w:right="101" w:hanging="483"/>
        <w:jc w:val="both"/>
      </w:pPr>
      <w:r>
        <w:rPr/>
        <w:t>2、 急性心肌梗死：指因冠状动脉急性、机械性阻塞所导致的持久而严重的心肌缺血坏死，该疾病的诊断须经定点医疗机构的专科医生做出。</w:t>
      </w:r>
    </w:p>
    <w:p>
      <w:pPr>
        <w:pStyle w:val="BodyText"/>
        <w:spacing w:line="273" w:lineRule="auto" w:before="8"/>
        <w:ind w:left="584" w:right="101" w:hanging="483"/>
        <w:jc w:val="both"/>
      </w:pPr>
      <w:r>
        <w:rPr/>
        <w:t>3、 冠状动脉旁路移植手术：指确已进行的开胸手术以矫正冠状动脉狭窄或阻塞，但不包括血管成形术、激光治疗或其它冠状动脉手术。索赔时必须提供冠状动脉造影报告且该报告显示冠状动脉有严重阻塞。</w:t>
      </w:r>
    </w:p>
    <w:p>
      <w:pPr>
        <w:pStyle w:val="BodyText"/>
        <w:spacing w:line="273" w:lineRule="auto" w:before="8"/>
        <w:ind w:left="584" w:right="101" w:hanging="483"/>
        <w:jc w:val="both"/>
      </w:pPr>
      <w:r>
        <w:rPr/>
        <w:t>4、 主动脉手术：指因心脏主动脉疾病而接受切除及置换移植血管手术，但只包括胸、腹部的主动脉，而非其分支血管。</w:t>
      </w:r>
    </w:p>
    <w:p>
      <w:pPr>
        <w:pStyle w:val="BodyText"/>
        <w:spacing w:line="273" w:lineRule="auto" w:before="8"/>
        <w:ind w:left="584" w:right="101" w:hanging="483"/>
        <w:jc w:val="both"/>
      </w:pPr>
      <w:r>
        <w:rPr/>
        <w:t>5、 心脏瓣膜置换手术：因心脏瓣膜疾患确已接受心脏瓣膜置换手术（瓣膜包括生物瓣膜和机械瓣膜</w:t>
      </w:r>
      <w:r>
        <w:rPr>
          <w:spacing w:val="-105"/>
        </w:rPr>
        <w:t>）</w:t>
      </w:r>
      <w:r>
        <w:rPr>
          <w:spacing w:val="-1"/>
        </w:rPr>
        <w:t>，但瓣膜修复手术除外。</w:t>
      </w:r>
    </w:p>
    <w:p>
      <w:pPr>
        <w:pStyle w:val="BodyText"/>
        <w:spacing w:line="273" w:lineRule="auto" w:before="8"/>
        <w:ind w:left="584" w:right="99" w:hanging="483"/>
        <w:jc w:val="both"/>
      </w:pPr>
      <w:r>
        <w:rPr/>
        <w:t>6、 原发性心肌病：指经定点医疗机构的专科医生确诊被保险人因心肌病包括扩张型心肌病、肥厚型心肌病及限制型心肌病而导致出现明显的心功能衰竭(纽约心脏病协会分类标准心功能</w:t>
      </w:r>
      <w:r>
        <w:rPr>
          <w:spacing w:val="-1"/>
        </w:rPr>
        <w:t>至少达四级*)</w:t>
      </w:r>
      <w:r>
        <w:rPr>
          <w:spacing w:val="-5"/>
        </w:rPr>
        <w:t>。继发于酒精滥用性的心肌病不在此保障范围之内。</w:t>
      </w:r>
      <w:r>
        <w:rPr/>
        <w:t>*纽约心脏病协会分类标准心功能四级是指尽管病人已进行了药物治疗及饮食调节，但其在日常活动中仍出现心衰的症状，并且体检及实验室检查显示有心功能异常的证据。</w:t>
      </w:r>
    </w:p>
    <w:p>
      <w:pPr>
        <w:pStyle w:val="BodyText"/>
        <w:spacing w:line="273" w:lineRule="auto" w:before="7"/>
        <w:ind w:left="584" w:right="101" w:hanging="483"/>
        <w:jc w:val="both"/>
      </w:pPr>
      <w:r>
        <w:rPr/>
        <w:t>7、 原发性肺动脉高压：指由定点医疗机构确诊并经临床检验（包括心导管或肺血管造影检查） 证实，同时符合以下各项指标：</w:t>
      </w:r>
    </w:p>
    <w:p>
      <w:pPr>
        <w:pStyle w:val="ListParagraph"/>
        <w:numPr>
          <w:ilvl w:val="0"/>
          <w:numId w:val="7"/>
        </w:numPr>
        <w:tabs>
          <w:tab w:pos="945" w:val="left" w:leader="none"/>
        </w:tabs>
        <w:spacing w:line="240" w:lineRule="auto" w:before="7" w:after="0"/>
        <w:ind w:left="944" w:right="0" w:hanging="360"/>
        <w:jc w:val="left"/>
        <w:rPr>
          <w:sz w:val="21"/>
        </w:rPr>
      </w:pPr>
      <w:r>
        <w:rPr>
          <w:spacing w:val="-6"/>
          <w:sz w:val="21"/>
        </w:rPr>
        <w:t>肺动脉平均压力超过 </w:t>
      </w:r>
      <w:r>
        <w:rPr>
          <w:sz w:val="21"/>
        </w:rPr>
        <w:t>40mmHg;</w:t>
      </w:r>
    </w:p>
    <w:p>
      <w:pPr>
        <w:pStyle w:val="ListParagraph"/>
        <w:numPr>
          <w:ilvl w:val="0"/>
          <w:numId w:val="7"/>
        </w:numPr>
        <w:tabs>
          <w:tab w:pos="945" w:val="left" w:leader="none"/>
        </w:tabs>
        <w:spacing w:line="240" w:lineRule="auto" w:before="37" w:after="0"/>
        <w:ind w:left="944" w:right="0" w:hanging="360"/>
        <w:jc w:val="left"/>
        <w:rPr>
          <w:sz w:val="21"/>
        </w:rPr>
      </w:pPr>
      <w:r>
        <w:rPr>
          <w:spacing w:val="-5"/>
          <w:sz w:val="21"/>
        </w:rPr>
        <w:t>右心室舒张末期压力超过 </w:t>
      </w:r>
      <w:r>
        <w:rPr>
          <w:sz w:val="21"/>
        </w:rPr>
        <w:t>8mmHg;</w:t>
      </w:r>
    </w:p>
    <w:p>
      <w:pPr>
        <w:pStyle w:val="ListParagraph"/>
        <w:numPr>
          <w:ilvl w:val="0"/>
          <w:numId w:val="7"/>
        </w:numPr>
        <w:tabs>
          <w:tab w:pos="945" w:val="left" w:leader="none"/>
        </w:tabs>
        <w:spacing w:line="240" w:lineRule="auto" w:before="37" w:after="0"/>
        <w:ind w:left="944" w:right="0" w:hanging="360"/>
        <w:jc w:val="left"/>
        <w:rPr>
          <w:sz w:val="21"/>
        </w:rPr>
      </w:pPr>
      <w:r>
        <w:rPr>
          <w:sz w:val="21"/>
        </w:rPr>
        <w:t>右心失代偿、右心衰的症状。</w:t>
      </w:r>
    </w:p>
    <w:p>
      <w:pPr>
        <w:pStyle w:val="BodyText"/>
        <w:spacing w:line="273" w:lineRule="auto" w:before="37"/>
        <w:ind w:left="584" w:right="101" w:hanging="483"/>
        <w:jc w:val="both"/>
      </w:pPr>
      <w:r>
        <w:rPr/>
        <w:t>8、 肢体缺失：因治疗的需要或意外事故所致，两肢或两肢以上完全缺失。肢体的“完全缺失” 是指肢体自腕关节或踝关节以上远端缺失。</w:t>
      </w:r>
    </w:p>
    <w:p>
      <w:pPr>
        <w:pStyle w:val="BodyText"/>
        <w:spacing w:line="273" w:lineRule="auto" w:before="7"/>
        <w:ind w:left="584" w:right="101" w:hanging="483"/>
        <w:jc w:val="both"/>
      </w:pPr>
      <w:r>
        <w:rPr/>
        <w:t>9、 肢体瘫痪：指因意外或疾病所致的肢体机能永久完全丧失，四肢中任意两肢中各有三大关节中的两大关节以上机能永久完全丧失。关节机能永久完全丧失是指关节永久完全僵硬或关节不能随意活动超过六个月者。</w:t>
      </w:r>
    </w:p>
    <w:p>
      <w:pPr>
        <w:pStyle w:val="BodyText"/>
        <w:spacing w:line="273" w:lineRule="auto" w:before="7"/>
        <w:ind w:left="521" w:right="4440"/>
      </w:pPr>
      <w:r>
        <w:rPr/>
        <w:t>上肢三大关节包括肩关节、肘关节、腕关节。下肢三大关节包括髋关节、膝关节、踝关节。</w:t>
      </w:r>
    </w:p>
    <w:p>
      <w:pPr>
        <w:spacing w:after="0" w:line="273" w:lineRule="auto"/>
        <w:sectPr>
          <w:type w:val="continuous"/>
          <w:pgSz w:w="11910" w:h="16840"/>
          <w:pgMar w:top="1060" w:bottom="920" w:left="1600" w:right="1140"/>
        </w:sectPr>
      </w:pPr>
    </w:p>
    <w:p>
      <w:pPr>
        <w:pStyle w:val="BodyText"/>
        <w:spacing w:line="273" w:lineRule="auto" w:before="129"/>
        <w:ind w:left="583" w:right="221" w:hanging="483"/>
        <w:jc w:val="both"/>
      </w:pPr>
      <w:r>
        <w:rPr/>
        <w:t>10、 脑中风后遗症：指因脑血管出血、脑栓塞、脑梗塞致永久性神经机能障碍者。所谓永久性神经机能障碍，是指发病六个月后，经定点医疗机构认定，仍遗留下列障碍之一者：</w:t>
      </w:r>
    </w:p>
    <w:p>
      <w:pPr>
        <w:pStyle w:val="ListParagraph"/>
        <w:numPr>
          <w:ilvl w:val="0"/>
          <w:numId w:val="8"/>
        </w:numPr>
        <w:tabs>
          <w:tab w:pos="944" w:val="left" w:leader="none"/>
        </w:tabs>
        <w:spacing w:line="240" w:lineRule="auto" w:before="7" w:after="0"/>
        <w:ind w:left="943" w:right="0" w:hanging="360"/>
        <w:jc w:val="left"/>
        <w:rPr>
          <w:sz w:val="21"/>
        </w:rPr>
      </w:pPr>
      <w:r>
        <w:rPr>
          <w:sz w:val="21"/>
        </w:rPr>
        <w:t>一肢及以上肢体机能永久性完全丧失；</w:t>
      </w:r>
    </w:p>
    <w:p>
      <w:pPr>
        <w:pStyle w:val="ListParagraph"/>
        <w:numPr>
          <w:ilvl w:val="0"/>
          <w:numId w:val="8"/>
        </w:numPr>
        <w:tabs>
          <w:tab w:pos="944" w:val="left" w:leader="none"/>
        </w:tabs>
        <w:spacing w:line="240" w:lineRule="auto" w:before="37" w:after="0"/>
        <w:ind w:left="943" w:right="0" w:hanging="360"/>
        <w:jc w:val="left"/>
        <w:rPr>
          <w:sz w:val="21"/>
        </w:rPr>
      </w:pPr>
      <w:r>
        <w:rPr>
          <w:sz w:val="21"/>
        </w:rPr>
        <w:t>两肢及以上运动或感觉障碍而完全丧失基本日常生活活动的自理能力；</w:t>
      </w:r>
    </w:p>
    <w:p>
      <w:pPr>
        <w:pStyle w:val="ListParagraph"/>
        <w:numPr>
          <w:ilvl w:val="0"/>
          <w:numId w:val="8"/>
        </w:numPr>
        <w:tabs>
          <w:tab w:pos="944" w:val="left" w:leader="none"/>
        </w:tabs>
        <w:spacing w:line="240" w:lineRule="auto" w:before="37" w:after="0"/>
        <w:ind w:left="943" w:right="0" w:hanging="360"/>
        <w:jc w:val="left"/>
        <w:rPr>
          <w:sz w:val="21"/>
        </w:rPr>
      </w:pPr>
      <w:r>
        <w:rPr>
          <w:sz w:val="21"/>
        </w:rPr>
        <w:t>完全及永久丧失语言能力；</w:t>
      </w:r>
    </w:p>
    <w:p>
      <w:pPr>
        <w:pStyle w:val="ListParagraph"/>
        <w:numPr>
          <w:ilvl w:val="0"/>
          <w:numId w:val="8"/>
        </w:numPr>
        <w:tabs>
          <w:tab w:pos="944" w:val="left" w:leader="none"/>
        </w:tabs>
        <w:spacing w:line="240" w:lineRule="auto" w:before="37" w:after="0"/>
        <w:ind w:left="943" w:right="0" w:hanging="360"/>
        <w:jc w:val="left"/>
        <w:rPr>
          <w:sz w:val="21"/>
        </w:rPr>
      </w:pPr>
      <w:r>
        <w:rPr>
          <w:sz w:val="21"/>
        </w:rPr>
        <w:t>完全及永久丧失吞咽功能，必须永久使用鼻饲管；</w:t>
      </w:r>
    </w:p>
    <w:p>
      <w:pPr>
        <w:pStyle w:val="ListParagraph"/>
        <w:numPr>
          <w:ilvl w:val="0"/>
          <w:numId w:val="8"/>
        </w:numPr>
        <w:tabs>
          <w:tab w:pos="944" w:val="left" w:leader="none"/>
        </w:tabs>
        <w:spacing w:line="240" w:lineRule="auto" w:before="37" w:after="0"/>
        <w:ind w:left="943" w:right="0" w:hanging="360"/>
        <w:jc w:val="left"/>
        <w:rPr>
          <w:sz w:val="21"/>
        </w:rPr>
      </w:pPr>
      <w:r>
        <w:rPr>
          <w:sz w:val="21"/>
        </w:rPr>
        <w:t>中枢神经系统或胸、腹部器官的功能失常，致完全丧失基本日常生活活动的自理能力。</w:t>
      </w:r>
    </w:p>
    <w:p>
      <w:pPr>
        <w:pStyle w:val="BodyText"/>
        <w:spacing w:line="273" w:lineRule="auto" w:before="37"/>
        <w:ind w:left="583" w:right="221" w:hanging="483"/>
        <w:jc w:val="both"/>
      </w:pPr>
      <w:r>
        <w:rPr/>
        <w:t>11、 昏迷：指因脑部功能衰竭造成意识丧失的状态，并对外界刺激完全无反应，同时使用呼吸机和静脉注射营养液等生命维持系统至少持续一周以上，但因酒精或药物滥用或医疗上使用镇定剂所致的昏迷除外。</w:t>
      </w:r>
    </w:p>
    <w:p>
      <w:pPr>
        <w:pStyle w:val="BodyText"/>
        <w:spacing w:line="273" w:lineRule="auto" w:before="7"/>
        <w:ind w:left="583" w:right="117" w:hanging="483"/>
      </w:pPr>
      <w:r>
        <w:rPr/>
        <w:t>12</w:t>
      </w:r>
      <w:r>
        <w:rPr>
          <w:spacing w:val="-9"/>
        </w:rPr>
        <w:t>、 严重脑损伤：因意外伤害事故引起的大脑损伤造成神经缺陷，导致永久性的脑神经功能障碍。所谓永久性功能障碍是指事故发生六个月后，经定点医疗机构认定无法独立完成三项以上基本日常生活活动。</w:t>
      </w:r>
    </w:p>
    <w:p>
      <w:pPr>
        <w:pStyle w:val="BodyText"/>
        <w:spacing w:line="273" w:lineRule="auto" w:before="7"/>
        <w:ind w:left="583" w:right="194" w:hanging="483"/>
        <w:jc w:val="both"/>
      </w:pPr>
      <w:r>
        <w:rPr/>
        <w:t>13、 良性脑肿瘤：指由定点医疗机构确认的危及生命的非恶性脑肿瘤，引起颅内压的增高，导致视神经乳头水肿、意识障碍、癫痫发作和感觉功能损害等症状,且须经开颅手术后病理证实。囊肿、肉芽肿、垂体腺瘤、脑膜瘤不在此保障范围以内。</w:t>
      </w:r>
    </w:p>
    <w:p>
      <w:pPr>
        <w:pStyle w:val="BodyText"/>
        <w:spacing w:line="273" w:lineRule="auto" w:before="7"/>
        <w:ind w:left="583" w:right="221" w:hanging="483"/>
        <w:jc w:val="both"/>
      </w:pPr>
      <w:r>
        <w:rPr/>
        <w:t>14、 脑动脉瘤开颅手术：指确已进行开颅手术以夹闭、修复或切除脑动脉瘤。但不包括导管及血管内手术。</w:t>
      </w:r>
    </w:p>
    <w:p>
      <w:pPr>
        <w:pStyle w:val="BodyText"/>
        <w:spacing w:line="273" w:lineRule="auto" w:before="7"/>
        <w:ind w:left="583" w:right="221" w:hanging="483"/>
        <w:jc w:val="both"/>
      </w:pPr>
      <w:r>
        <w:rPr/>
        <w:t>15、 帕金森氏病：渐进性中枢神经系统的退行性疾病，主要症状包括静止性震颤、肌张力增高、行动迟缓、反应迟钝及联合动作减少。须由定点医疗机构的专科医生作出判断，且应同时满足下列各项：</w:t>
      </w:r>
    </w:p>
    <w:p>
      <w:pPr>
        <w:pStyle w:val="ListParagraph"/>
        <w:numPr>
          <w:ilvl w:val="0"/>
          <w:numId w:val="9"/>
        </w:numPr>
        <w:tabs>
          <w:tab w:pos="944" w:val="left" w:leader="none"/>
        </w:tabs>
        <w:spacing w:line="240" w:lineRule="auto" w:before="7" w:after="0"/>
        <w:ind w:left="943" w:right="0" w:hanging="360"/>
        <w:jc w:val="left"/>
        <w:rPr>
          <w:sz w:val="21"/>
        </w:rPr>
      </w:pPr>
      <w:r>
        <w:rPr>
          <w:sz w:val="21"/>
        </w:rPr>
        <w:t>无法以医疗方法控制；</w:t>
      </w:r>
    </w:p>
    <w:p>
      <w:pPr>
        <w:pStyle w:val="ListParagraph"/>
        <w:numPr>
          <w:ilvl w:val="0"/>
          <w:numId w:val="9"/>
        </w:numPr>
        <w:tabs>
          <w:tab w:pos="944" w:val="left" w:leader="none"/>
        </w:tabs>
        <w:spacing w:line="240" w:lineRule="auto" w:before="36" w:after="0"/>
        <w:ind w:left="943" w:right="0" w:hanging="360"/>
        <w:jc w:val="left"/>
        <w:rPr>
          <w:sz w:val="21"/>
        </w:rPr>
      </w:pPr>
      <w:r>
        <w:rPr>
          <w:sz w:val="21"/>
        </w:rPr>
        <w:t>被保险人无法独立完成三项以上基本日常生活活动；</w:t>
      </w:r>
    </w:p>
    <w:p>
      <w:pPr>
        <w:pStyle w:val="ListParagraph"/>
        <w:numPr>
          <w:ilvl w:val="0"/>
          <w:numId w:val="9"/>
        </w:numPr>
        <w:tabs>
          <w:tab w:pos="944" w:val="left" w:leader="none"/>
        </w:tabs>
        <w:spacing w:line="240" w:lineRule="auto" w:before="36" w:after="0"/>
        <w:ind w:left="943" w:right="0" w:hanging="360"/>
        <w:jc w:val="left"/>
        <w:rPr>
          <w:sz w:val="21"/>
        </w:rPr>
      </w:pPr>
      <w:r>
        <w:rPr>
          <w:sz w:val="21"/>
        </w:rPr>
        <w:t>病因不明，有明确病因如食物中毒、滥用药品或毒品引起者除外。</w:t>
      </w:r>
    </w:p>
    <w:p>
      <w:pPr>
        <w:pStyle w:val="BodyText"/>
        <w:spacing w:line="273" w:lineRule="auto" w:before="36"/>
        <w:ind w:left="583" w:right="117" w:hanging="483"/>
      </w:pPr>
      <w:r>
        <w:rPr/>
        <w:t>16</w:t>
      </w:r>
      <w:r>
        <w:rPr>
          <w:spacing w:val="-11"/>
        </w:rPr>
        <w:t>、 阿耳茨海默氏症(老年性痴呆和早老年性痴呆)：指慢性进行性脑病变所致的智能衰退或丧失， </w:t>
      </w:r>
      <w:r>
        <w:rPr>
          <w:spacing w:val="-12"/>
        </w:rPr>
        <w:t>主要表现为基本日常生活活动不能自理。阿耳茨海默氏症须由定点医疗机构的专科医生确诊； </w:t>
      </w:r>
      <w:r>
        <w:rPr>
          <w:spacing w:val="-15"/>
        </w:rPr>
        <w:t>并经临床验证和标准问答证实；同时须经 </w:t>
      </w:r>
      <w:r>
        <w:rPr/>
        <w:t>CT</w:t>
      </w:r>
      <w:r>
        <w:rPr>
          <w:spacing w:val="-10"/>
        </w:rPr>
        <w:t> 检查或核磁共振检查，显示有广泛的脑萎缩。但神经官能症及精神病除外。</w:t>
      </w:r>
    </w:p>
    <w:p>
      <w:pPr>
        <w:pStyle w:val="BodyText"/>
        <w:spacing w:line="273" w:lineRule="auto" w:before="7"/>
        <w:ind w:left="583" w:right="221" w:hanging="483"/>
        <w:jc w:val="both"/>
      </w:pPr>
      <w:r>
        <w:rPr/>
        <w:t>17、 多发性硬化：经定点医疗机构的专科医生诊断证实有典型中枢神经系统脱髓鞘病变及永久性神经功能障碍，且此不可逆性神经功能障碍诊断需于第一次诊断六个月后做出方有效。诊断须由神经科检查确定（由 CT 检查或核磁共振等检查来确定有中枢神经系统的脱髓鞘病变）</w:t>
      </w:r>
    </w:p>
    <w:p>
      <w:pPr>
        <w:pStyle w:val="BodyText"/>
        <w:spacing w:line="273" w:lineRule="auto" w:before="7"/>
        <w:ind w:left="583" w:right="117" w:hanging="483"/>
      </w:pPr>
      <w:r>
        <w:rPr/>
        <w:t>1</w:t>
      </w:r>
      <w:r>
        <w:rPr>
          <w:spacing w:val="-1"/>
        </w:rPr>
        <w:t>8</w:t>
      </w:r>
      <w:r>
        <w:rPr>
          <w:spacing w:val="-14"/>
        </w:rPr>
        <w:t>、 暴发性肝炎：指肝炎病毒感染导致大部分肝脏坏死并失去功能</w:t>
      </w:r>
      <w:r>
        <w:rPr/>
        <w:t>（自行服毒或酒精中毒者除外</w:t>
      </w:r>
      <w:r>
        <w:rPr>
          <w:spacing w:val="-105"/>
        </w:rPr>
        <w:t>）</w:t>
      </w:r>
      <w:r>
        <w:rPr/>
        <w:t>，其诊断必须同时具备下列条件：</w:t>
      </w:r>
    </w:p>
    <w:p>
      <w:pPr>
        <w:pStyle w:val="ListParagraph"/>
        <w:numPr>
          <w:ilvl w:val="0"/>
          <w:numId w:val="10"/>
        </w:numPr>
        <w:tabs>
          <w:tab w:pos="944" w:val="left" w:leader="none"/>
        </w:tabs>
        <w:spacing w:line="240" w:lineRule="auto" w:before="7" w:after="0"/>
        <w:ind w:left="943" w:right="0" w:hanging="360"/>
        <w:jc w:val="left"/>
        <w:rPr>
          <w:sz w:val="21"/>
        </w:rPr>
      </w:pPr>
      <w:r>
        <w:rPr>
          <w:sz w:val="21"/>
        </w:rPr>
        <w:t>肝脏急剧缩小；</w:t>
      </w:r>
    </w:p>
    <w:p>
      <w:pPr>
        <w:pStyle w:val="ListParagraph"/>
        <w:numPr>
          <w:ilvl w:val="0"/>
          <w:numId w:val="10"/>
        </w:numPr>
        <w:tabs>
          <w:tab w:pos="944" w:val="left" w:leader="none"/>
        </w:tabs>
        <w:spacing w:line="240" w:lineRule="auto" w:before="37" w:after="0"/>
        <w:ind w:left="943" w:right="0" w:hanging="360"/>
        <w:jc w:val="left"/>
        <w:rPr>
          <w:sz w:val="21"/>
        </w:rPr>
      </w:pPr>
      <w:r>
        <w:rPr>
          <w:sz w:val="21"/>
        </w:rPr>
        <w:t>肝细胞大量坏死；</w:t>
      </w:r>
    </w:p>
    <w:p>
      <w:pPr>
        <w:pStyle w:val="ListParagraph"/>
        <w:numPr>
          <w:ilvl w:val="0"/>
          <w:numId w:val="10"/>
        </w:numPr>
        <w:tabs>
          <w:tab w:pos="944" w:val="left" w:leader="none"/>
        </w:tabs>
        <w:spacing w:line="240" w:lineRule="auto" w:before="37" w:after="0"/>
        <w:ind w:left="943" w:right="0" w:hanging="360"/>
        <w:jc w:val="left"/>
        <w:rPr>
          <w:sz w:val="21"/>
        </w:rPr>
      </w:pPr>
      <w:r>
        <w:rPr>
          <w:sz w:val="21"/>
        </w:rPr>
        <w:t>肝功能迅速恶化；</w:t>
      </w:r>
    </w:p>
    <w:p>
      <w:pPr>
        <w:pStyle w:val="ListParagraph"/>
        <w:numPr>
          <w:ilvl w:val="0"/>
          <w:numId w:val="10"/>
        </w:numPr>
        <w:tabs>
          <w:tab w:pos="944" w:val="left" w:leader="none"/>
        </w:tabs>
        <w:spacing w:line="240" w:lineRule="auto" w:before="37" w:after="0"/>
        <w:ind w:left="943" w:right="0" w:hanging="360"/>
        <w:jc w:val="left"/>
        <w:rPr>
          <w:sz w:val="21"/>
        </w:rPr>
      </w:pPr>
      <w:r>
        <w:rPr>
          <w:sz w:val="21"/>
        </w:rPr>
        <w:t>肝性脑病;</w:t>
      </w:r>
    </w:p>
    <w:p>
      <w:pPr>
        <w:pStyle w:val="BodyText"/>
        <w:spacing w:before="37"/>
        <w:ind w:left="101"/>
      </w:pPr>
      <w:r>
        <w:rPr/>
        <w:t>19、 肝脏疾病终末期：经定点医疗机构的专科医生确认须同时具备下列情况：</w:t>
      </w:r>
    </w:p>
    <w:p>
      <w:pPr>
        <w:pStyle w:val="ListParagraph"/>
        <w:numPr>
          <w:ilvl w:val="0"/>
          <w:numId w:val="11"/>
        </w:numPr>
        <w:tabs>
          <w:tab w:pos="944" w:val="left" w:leader="none"/>
        </w:tabs>
        <w:spacing w:line="240" w:lineRule="auto" w:before="37" w:after="0"/>
        <w:ind w:left="943" w:right="0" w:hanging="360"/>
        <w:jc w:val="left"/>
        <w:rPr>
          <w:sz w:val="21"/>
        </w:rPr>
      </w:pPr>
      <w:r>
        <w:rPr>
          <w:sz w:val="21"/>
        </w:rPr>
        <w:t>肝脏结构严重紊乱；</w:t>
      </w:r>
    </w:p>
    <w:p>
      <w:pPr>
        <w:pStyle w:val="ListParagraph"/>
        <w:numPr>
          <w:ilvl w:val="0"/>
          <w:numId w:val="11"/>
        </w:numPr>
        <w:tabs>
          <w:tab w:pos="944" w:val="left" w:leader="none"/>
        </w:tabs>
        <w:spacing w:line="240" w:lineRule="auto" w:before="37" w:after="0"/>
        <w:ind w:left="943" w:right="0" w:hanging="360"/>
        <w:jc w:val="left"/>
        <w:rPr>
          <w:sz w:val="21"/>
        </w:rPr>
      </w:pPr>
      <w:r>
        <w:rPr>
          <w:sz w:val="21"/>
        </w:rPr>
        <w:t>肝功能明显异常；</w:t>
      </w:r>
    </w:p>
    <w:p>
      <w:pPr>
        <w:pStyle w:val="ListParagraph"/>
        <w:numPr>
          <w:ilvl w:val="0"/>
          <w:numId w:val="11"/>
        </w:numPr>
        <w:tabs>
          <w:tab w:pos="944" w:val="left" w:leader="none"/>
        </w:tabs>
        <w:spacing w:line="240" w:lineRule="auto" w:before="37" w:after="0"/>
        <w:ind w:left="943" w:right="0" w:hanging="360"/>
        <w:jc w:val="left"/>
        <w:rPr>
          <w:sz w:val="21"/>
        </w:rPr>
      </w:pPr>
      <w:r>
        <w:rPr>
          <w:sz w:val="21"/>
        </w:rPr>
        <w:t>腹水；</w:t>
      </w:r>
    </w:p>
    <w:p>
      <w:pPr>
        <w:pStyle w:val="ListParagraph"/>
        <w:numPr>
          <w:ilvl w:val="0"/>
          <w:numId w:val="11"/>
        </w:numPr>
        <w:tabs>
          <w:tab w:pos="944" w:val="left" w:leader="none"/>
        </w:tabs>
        <w:spacing w:line="240" w:lineRule="auto" w:before="37" w:after="0"/>
        <w:ind w:left="943" w:right="0" w:hanging="360"/>
        <w:jc w:val="left"/>
        <w:rPr>
          <w:sz w:val="21"/>
        </w:rPr>
      </w:pPr>
      <w:r>
        <w:rPr>
          <w:sz w:val="21"/>
        </w:rPr>
        <w:t>肝性脑病；</w:t>
      </w:r>
    </w:p>
    <w:p>
      <w:pPr>
        <w:pStyle w:val="ListParagraph"/>
        <w:numPr>
          <w:ilvl w:val="0"/>
          <w:numId w:val="11"/>
        </w:numPr>
        <w:tabs>
          <w:tab w:pos="944" w:val="left" w:leader="none"/>
        </w:tabs>
        <w:spacing w:line="240" w:lineRule="auto" w:before="37" w:after="0"/>
        <w:ind w:left="943" w:right="0" w:hanging="360"/>
        <w:jc w:val="left"/>
        <w:rPr>
          <w:sz w:val="21"/>
        </w:rPr>
      </w:pPr>
      <w:r>
        <w:rPr>
          <w:sz w:val="21"/>
        </w:rPr>
        <w:t>持久性黄疸。</w:t>
      </w:r>
    </w:p>
    <w:p>
      <w:pPr>
        <w:pStyle w:val="BodyText"/>
        <w:spacing w:before="37"/>
        <w:ind w:left="583"/>
      </w:pPr>
      <w:r>
        <w:rPr/>
        <w:t>因酒精、药物滥用及误用所致的继发性肝病除外。</w:t>
      </w:r>
    </w:p>
    <w:p>
      <w:pPr>
        <w:pStyle w:val="BodyText"/>
        <w:spacing w:line="273" w:lineRule="auto" w:before="37"/>
        <w:ind w:left="583" w:right="223" w:hanging="483"/>
        <w:jc w:val="both"/>
      </w:pPr>
      <w:r>
        <w:rPr/>
        <w:t>2</w:t>
      </w:r>
      <w:r>
        <w:rPr>
          <w:spacing w:val="-1"/>
        </w:rPr>
        <w:t>0</w:t>
      </w:r>
      <w:r>
        <w:rPr>
          <w:spacing w:val="-8"/>
        </w:rPr>
        <w:t>、 慢性肾功能衰竭</w:t>
      </w:r>
      <w:r>
        <w:rPr/>
        <w:t>（尿毒症期</w:t>
      </w:r>
      <w:r>
        <w:rPr>
          <w:spacing w:val="-105"/>
        </w:rPr>
        <w:t>）</w:t>
      </w:r>
      <w:r>
        <w:rPr>
          <w:spacing w:val="-4"/>
        </w:rPr>
        <w:t>：指两个肾脏慢性且不可复原的功能衰竭，确已接受八周以上定期的透析治疗者。</w:t>
      </w:r>
    </w:p>
    <w:p>
      <w:pPr>
        <w:spacing w:after="0" w:line="273" w:lineRule="auto"/>
        <w:jc w:val="both"/>
        <w:sectPr>
          <w:pgSz w:w="11910" w:h="16840"/>
          <w:pgMar w:header="782" w:footer="753" w:top="1100" w:bottom="940" w:left="1600" w:right="1020"/>
        </w:sectPr>
      </w:pPr>
    </w:p>
    <w:p>
      <w:pPr>
        <w:pStyle w:val="BodyText"/>
        <w:spacing w:line="273" w:lineRule="auto" w:before="129"/>
        <w:ind w:left="583" w:right="221" w:hanging="483"/>
        <w:jc w:val="both"/>
      </w:pPr>
      <w:r>
        <w:rPr/>
        <w:t>21、 重要器官移植手术：指被保险人作为受体确已接受心脏、肺脏、肝脏、胰腺、肾脏或骨髓移植手术，其它器官或组织的移植手术不包括在内。</w:t>
      </w:r>
    </w:p>
    <w:p>
      <w:pPr>
        <w:pStyle w:val="BodyText"/>
        <w:spacing w:line="273" w:lineRule="auto" w:before="7"/>
        <w:ind w:left="583" w:right="192" w:hanging="483"/>
        <w:jc w:val="both"/>
      </w:pPr>
      <w:r>
        <w:rPr/>
        <w:t>22</w:t>
      </w:r>
      <w:r>
        <w:rPr>
          <w:spacing w:val="-7"/>
        </w:rPr>
        <w:t>、 严重烧伤：指全身皮肤百分之二十以上受到Ⅲ度烧伤</w:t>
      </w:r>
      <w:r>
        <w:rPr/>
        <w:t>（计算方法根据烧伤面积中国九分法</w:t>
      </w:r>
      <w:r>
        <w:rPr>
          <w:spacing w:val="-105"/>
        </w:rPr>
        <w:t>）</w:t>
      </w:r>
      <w:r>
        <w:rPr/>
        <w:t>。但若烧伤为被保险人自发性或蓄意行为所致，不论当时清醒与否，皆不在本附加合同保障范围之内。</w:t>
      </w:r>
    </w:p>
    <w:p>
      <w:pPr>
        <w:pStyle w:val="BodyText"/>
        <w:spacing w:line="273" w:lineRule="auto" w:before="7"/>
        <w:ind w:left="583" w:right="221" w:hanging="483"/>
        <w:jc w:val="both"/>
      </w:pPr>
      <w:r>
        <w:rPr/>
        <w:t>23、 再生障碍性贫血：指因慢性永久完全性的骨髓造血功能衰竭而导致的以全血细胞减少为主要表现的一组综合征，因药物或放射线导致者除外。须经骨髓检查确诊为再生障碍性贫血，且确已接受下列至少一项的治疗：</w:t>
      </w:r>
    </w:p>
    <w:p>
      <w:pPr>
        <w:pStyle w:val="ListParagraph"/>
        <w:numPr>
          <w:ilvl w:val="0"/>
          <w:numId w:val="12"/>
        </w:numPr>
        <w:tabs>
          <w:tab w:pos="944" w:val="left" w:leader="none"/>
        </w:tabs>
        <w:spacing w:line="240" w:lineRule="auto" w:before="7" w:after="0"/>
        <w:ind w:left="943" w:right="0" w:hanging="360"/>
        <w:jc w:val="left"/>
        <w:rPr>
          <w:sz w:val="21"/>
        </w:rPr>
      </w:pPr>
      <w:r>
        <w:rPr>
          <w:sz w:val="21"/>
        </w:rPr>
        <w:t>定期输血（历时九十天以上</w:t>
      </w:r>
      <w:r>
        <w:rPr>
          <w:spacing w:val="-105"/>
          <w:sz w:val="21"/>
        </w:rPr>
        <w:t>）</w:t>
      </w:r>
      <w:r>
        <w:rPr>
          <w:sz w:val="21"/>
        </w:rPr>
        <w:t>；</w:t>
      </w:r>
    </w:p>
    <w:p>
      <w:pPr>
        <w:pStyle w:val="ListParagraph"/>
        <w:numPr>
          <w:ilvl w:val="0"/>
          <w:numId w:val="12"/>
        </w:numPr>
        <w:tabs>
          <w:tab w:pos="944" w:val="left" w:leader="none"/>
        </w:tabs>
        <w:spacing w:line="240" w:lineRule="auto" w:before="37" w:after="0"/>
        <w:ind w:left="943" w:right="0" w:hanging="359"/>
        <w:jc w:val="left"/>
        <w:rPr>
          <w:sz w:val="21"/>
        </w:rPr>
      </w:pPr>
      <w:r>
        <w:rPr>
          <w:sz w:val="21"/>
        </w:rPr>
        <w:t>骨髓刺激性药物（历时九十天以上</w:t>
      </w:r>
      <w:r>
        <w:rPr>
          <w:spacing w:val="-106"/>
          <w:sz w:val="21"/>
        </w:rPr>
        <w:t>）</w:t>
      </w:r>
      <w:r>
        <w:rPr>
          <w:sz w:val="21"/>
        </w:rPr>
        <w:t>；</w:t>
      </w:r>
    </w:p>
    <w:p>
      <w:pPr>
        <w:pStyle w:val="ListParagraph"/>
        <w:numPr>
          <w:ilvl w:val="0"/>
          <w:numId w:val="12"/>
        </w:numPr>
        <w:tabs>
          <w:tab w:pos="944" w:val="left" w:leader="none"/>
        </w:tabs>
        <w:spacing w:line="240" w:lineRule="auto" w:before="37" w:after="0"/>
        <w:ind w:left="943" w:right="0" w:hanging="359"/>
        <w:jc w:val="left"/>
        <w:rPr>
          <w:sz w:val="21"/>
        </w:rPr>
      </w:pPr>
      <w:r>
        <w:rPr>
          <w:sz w:val="21"/>
        </w:rPr>
        <w:t>免疫抑制剂（历时九十天以上</w:t>
      </w:r>
      <w:r>
        <w:rPr>
          <w:spacing w:val="-105"/>
          <w:sz w:val="21"/>
        </w:rPr>
        <w:t>）</w:t>
      </w:r>
      <w:r>
        <w:rPr>
          <w:sz w:val="21"/>
        </w:rPr>
        <w:t>；</w:t>
      </w:r>
    </w:p>
    <w:p>
      <w:pPr>
        <w:pStyle w:val="ListParagraph"/>
        <w:numPr>
          <w:ilvl w:val="0"/>
          <w:numId w:val="12"/>
        </w:numPr>
        <w:tabs>
          <w:tab w:pos="944" w:val="left" w:leader="none"/>
        </w:tabs>
        <w:spacing w:line="240" w:lineRule="auto" w:before="37" w:after="0"/>
        <w:ind w:left="943" w:right="0" w:hanging="359"/>
        <w:jc w:val="left"/>
        <w:rPr>
          <w:sz w:val="21"/>
        </w:rPr>
      </w:pPr>
      <w:r>
        <w:rPr>
          <w:sz w:val="21"/>
        </w:rPr>
        <w:t>骨髓移植。</w:t>
      </w:r>
    </w:p>
    <w:p>
      <w:pPr>
        <w:pStyle w:val="BodyText"/>
        <w:spacing w:line="273" w:lineRule="auto" w:before="37"/>
        <w:ind w:left="584" w:right="221" w:hanging="483"/>
        <w:jc w:val="both"/>
      </w:pPr>
      <w:r>
        <w:rPr/>
        <w:t>24、 听力丧失：因急性疾病或意外造成不可恢复性的双耳听力丧失，且持续一年以上。听力丧失须经定点医疗机构的专科医生检验证明。</w:t>
      </w:r>
    </w:p>
    <w:p>
      <w:pPr>
        <w:pStyle w:val="BodyText"/>
        <w:spacing w:line="273" w:lineRule="auto" w:before="7"/>
        <w:ind w:left="584" w:right="221" w:hanging="483"/>
        <w:jc w:val="both"/>
      </w:pPr>
      <w:r>
        <w:rPr/>
        <w:t>25、 语言机能丧失：指完全不可恢复性地失去说话能力，且持续一年以上，由于精神心理因素所致的语言机能障碍不属于本附加合同保障责任范围。</w:t>
      </w:r>
    </w:p>
    <w:p>
      <w:pPr>
        <w:pStyle w:val="BodyText"/>
        <w:spacing w:before="7"/>
        <w:ind w:left="101"/>
      </w:pPr>
      <w:r>
        <w:rPr/>
        <w:t>26、 由输血或输液而感染艾滋病病毒</w:t>
      </w:r>
    </w:p>
    <w:p>
      <w:pPr>
        <w:pStyle w:val="BodyText"/>
        <w:spacing w:line="273" w:lineRule="auto" w:before="37"/>
        <w:ind w:left="459" w:right="181" w:firstLine="420"/>
      </w:pPr>
      <w:r>
        <w:rPr/>
        <w:t>艾滋病病毒：获得性免疫力缺乏综合征病毒(HIV)的简称。获得性免疫力缺乏综合征的定义应按世界卫生组织制定的定义为准，如在血液样本中发现获得性免疫力缺乏综合征病毒或其抗体，则可认定为感染艾滋病或艾滋病病毒。此病症须同时满足以下条件：</w:t>
      </w:r>
    </w:p>
    <w:p>
      <w:pPr>
        <w:pStyle w:val="ListParagraph"/>
        <w:numPr>
          <w:ilvl w:val="0"/>
          <w:numId w:val="13"/>
        </w:numPr>
        <w:tabs>
          <w:tab w:pos="944" w:val="left" w:leader="none"/>
        </w:tabs>
        <w:spacing w:line="273" w:lineRule="auto" w:before="7" w:after="0"/>
        <w:ind w:left="828" w:right="224" w:hanging="244"/>
        <w:jc w:val="left"/>
        <w:rPr>
          <w:sz w:val="21"/>
        </w:rPr>
      </w:pPr>
      <w:r>
        <w:rPr>
          <w:spacing w:val="-3"/>
          <w:sz w:val="21"/>
        </w:rPr>
        <w:t>被保险人在本附加合同生效</w:t>
      </w:r>
      <w:r>
        <w:rPr>
          <w:sz w:val="21"/>
        </w:rPr>
        <w:t>（或复效</w:t>
      </w:r>
      <w:r>
        <w:rPr>
          <w:spacing w:val="-26"/>
          <w:sz w:val="21"/>
        </w:rPr>
        <w:t>）</w:t>
      </w:r>
      <w:r>
        <w:rPr>
          <w:spacing w:val="-4"/>
          <w:sz w:val="21"/>
        </w:rPr>
        <w:t>一百八十天后，在中华人民共和国司法管辖区范围内因医疗而接受输血或输液，并因该次输血或输液而感染上述病毒；</w:t>
      </w:r>
    </w:p>
    <w:p>
      <w:pPr>
        <w:pStyle w:val="ListParagraph"/>
        <w:numPr>
          <w:ilvl w:val="0"/>
          <w:numId w:val="13"/>
        </w:numPr>
        <w:tabs>
          <w:tab w:pos="944" w:val="left" w:leader="none"/>
        </w:tabs>
        <w:spacing w:line="240" w:lineRule="auto" w:before="7" w:after="0"/>
        <w:ind w:left="828" w:right="0" w:hanging="244"/>
        <w:jc w:val="left"/>
        <w:rPr>
          <w:sz w:val="21"/>
        </w:rPr>
      </w:pPr>
      <w:r>
        <w:rPr>
          <w:sz w:val="21"/>
        </w:rPr>
        <w:t>医疗机构确认该项输血或输液医疗行为是在该医疗机构进行的；</w:t>
      </w:r>
    </w:p>
    <w:p>
      <w:pPr>
        <w:pStyle w:val="ListParagraph"/>
        <w:numPr>
          <w:ilvl w:val="0"/>
          <w:numId w:val="13"/>
        </w:numPr>
        <w:tabs>
          <w:tab w:pos="944" w:val="left" w:leader="none"/>
        </w:tabs>
        <w:spacing w:line="240" w:lineRule="auto" w:before="37" w:after="0"/>
        <w:ind w:left="828" w:right="0" w:hanging="244"/>
        <w:jc w:val="left"/>
        <w:rPr>
          <w:sz w:val="21"/>
        </w:rPr>
      </w:pPr>
      <w:r>
        <w:rPr>
          <w:sz w:val="21"/>
        </w:rPr>
        <w:t>被保险人并非地中海贫血患者、血友病或再生障碍性贫血患者；</w:t>
      </w:r>
    </w:p>
    <w:p>
      <w:pPr>
        <w:pStyle w:val="BodyText"/>
        <w:spacing w:line="273" w:lineRule="auto" w:before="37"/>
        <w:ind w:left="101" w:right="222" w:firstLine="525"/>
      </w:pPr>
      <w:r>
        <w:rPr/>
        <w:t>如果感染前可能治愈、或者被保险人在感染前选择不接受有效的疫苗，保险公司不承担给付保险金的责任。</w:t>
      </w:r>
    </w:p>
    <w:p>
      <w:pPr>
        <w:pStyle w:val="BodyText"/>
        <w:spacing w:line="273" w:lineRule="auto" w:before="7"/>
        <w:ind w:left="583" w:right="221" w:hanging="483"/>
        <w:jc w:val="both"/>
      </w:pPr>
      <w:r>
        <w:rPr/>
        <w:t>27、 急性坏死性胰腺炎：是指由定点医疗机构的专科医生确诊为急性坏死性胰腺炎，需进行坏死组织清除、病灶切除或胰腺部分切除的手术治疗，但不包括因酒精中毒引起的急性坏死性胰腺炎。</w:t>
      </w:r>
    </w:p>
    <w:p>
      <w:pPr>
        <w:pStyle w:val="BodyText"/>
        <w:spacing w:line="273" w:lineRule="auto" w:before="7"/>
        <w:ind w:left="583" w:right="221" w:hanging="483"/>
        <w:jc w:val="both"/>
      </w:pPr>
      <w:r>
        <w:rPr/>
        <w:t>28、 运动神经元疾病：为一组选择性地累及脊髓前角、脑干颅神经运动神经核细胞以及大脑运动皮质锥体细胞的进行性、变性疾病。包括肌萎缩侧索硬化、进行性脊肌萎缩症、进行性延髓麻痹、原发性侧索硬化。此病症须经定点医疗机构的专科医生确诊有进行性和不可逆性的神经系统受损。</w:t>
      </w:r>
    </w:p>
    <w:p>
      <w:pPr>
        <w:pStyle w:val="BodyText"/>
        <w:spacing w:line="273" w:lineRule="auto" w:before="7"/>
        <w:ind w:left="583" w:right="117" w:hanging="483"/>
      </w:pPr>
      <w:r>
        <w:rPr/>
        <w:t>29</w:t>
      </w:r>
      <w:r>
        <w:rPr>
          <w:spacing w:val="-5"/>
        </w:rPr>
        <w:t>、 失明：是指由意外伤害或疾病引起器质性损伤，导致双眼视力永久完全丧失。双目失明包括两眼眼球缺失或摘除、或不能辨别明暗、或仅能辨别眼前手动者。同时最佳矫正视力低于国</w:t>
      </w:r>
      <w:r>
        <w:rPr>
          <w:spacing w:val="-12"/>
        </w:rPr>
        <w:t>际标准视力表 </w:t>
      </w:r>
      <w:r>
        <w:rPr>
          <w:spacing w:val="-9"/>
        </w:rPr>
        <w:t>0.02，或视野半径小于 </w:t>
      </w:r>
      <w:r>
        <w:rPr/>
        <w:t>5</w:t>
      </w:r>
      <w:r>
        <w:rPr>
          <w:spacing w:val="-11"/>
        </w:rPr>
        <w:t> 度，并经定点医疗机构的专科医生出具医疗诊断证明。白内障引起的失明不属于本附加合同所述的双目失明。</w:t>
      </w:r>
    </w:p>
    <w:p>
      <w:pPr>
        <w:pStyle w:val="BodyText"/>
        <w:spacing w:before="7"/>
        <w:ind w:left="101"/>
      </w:pPr>
      <w:r>
        <w:rPr/>
        <w:t>30、 严重的类风湿性关节炎</w:t>
      </w:r>
    </w:p>
    <w:p>
      <w:pPr>
        <w:pStyle w:val="BodyText"/>
        <w:spacing w:line="273" w:lineRule="auto" w:before="37"/>
        <w:ind w:left="641" w:right="117"/>
      </w:pPr>
      <w:r>
        <w:rPr>
          <w:spacing w:val="-8"/>
        </w:rPr>
        <w:t>广泛的关节损坏，临床上存在三个或三个以上下列关节的畸形：手、腕、肘、颈椎、膝、踝、蹠－趾关节。并且由定点医疗机构的专科医生确认被保险人在无他人协助下无法独立完成以</w:t>
      </w:r>
      <w:r>
        <w:rPr>
          <w:spacing w:val="-10"/>
        </w:rPr>
        <w:t>下至少三项日常生活活动。上述畸形及功能异常须持续至少达 </w:t>
      </w:r>
      <w:r>
        <w:rPr/>
        <w:t>180</w:t>
      </w:r>
      <w:r>
        <w:rPr>
          <w:spacing w:val="-18"/>
        </w:rPr>
        <w:t> 天。</w:t>
      </w:r>
    </w:p>
    <w:p>
      <w:pPr>
        <w:pStyle w:val="ListParagraph"/>
        <w:numPr>
          <w:ilvl w:val="0"/>
          <w:numId w:val="14"/>
        </w:numPr>
        <w:tabs>
          <w:tab w:pos="944" w:val="left" w:leader="none"/>
        </w:tabs>
        <w:spacing w:line="240" w:lineRule="auto" w:before="7" w:after="0"/>
        <w:ind w:left="943" w:right="0" w:hanging="359"/>
        <w:jc w:val="left"/>
        <w:rPr>
          <w:sz w:val="21"/>
        </w:rPr>
      </w:pPr>
      <w:r>
        <w:rPr>
          <w:spacing w:val="-3"/>
          <w:sz w:val="21"/>
        </w:rPr>
        <w:t>穿衣 自己能够穿衣及脱衣。</w:t>
      </w:r>
    </w:p>
    <w:p>
      <w:pPr>
        <w:pStyle w:val="ListParagraph"/>
        <w:numPr>
          <w:ilvl w:val="0"/>
          <w:numId w:val="14"/>
        </w:numPr>
        <w:tabs>
          <w:tab w:pos="944" w:val="left" w:leader="none"/>
        </w:tabs>
        <w:spacing w:line="240" w:lineRule="auto" w:before="36" w:after="0"/>
        <w:ind w:left="943" w:right="0" w:hanging="359"/>
        <w:jc w:val="left"/>
        <w:rPr>
          <w:sz w:val="21"/>
        </w:rPr>
      </w:pPr>
      <w:r>
        <w:rPr>
          <w:spacing w:val="-4"/>
          <w:sz w:val="21"/>
        </w:rPr>
        <w:t>移动 自己从一个房间到另一个房间。</w:t>
      </w:r>
    </w:p>
    <w:p>
      <w:pPr>
        <w:pStyle w:val="ListParagraph"/>
        <w:numPr>
          <w:ilvl w:val="0"/>
          <w:numId w:val="14"/>
        </w:numPr>
        <w:tabs>
          <w:tab w:pos="944" w:val="left" w:leader="none"/>
        </w:tabs>
        <w:spacing w:line="240" w:lineRule="auto" w:before="36" w:after="0"/>
        <w:ind w:left="943" w:right="0" w:hanging="359"/>
        <w:jc w:val="left"/>
        <w:rPr>
          <w:sz w:val="21"/>
        </w:rPr>
      </w:pPr>
      <w:r>
        <w:rPr>
          <w:spacing w:val="-4"/>
          <w:sz w:val="21"/>
        </w:rPr>
        <w:t>行动 自己上下床或上下轮椅。</w:t>
      </w:r>
    </w:p>
    <w:p>
      <w:pPr>
        <w:pStyle w:val="ListParagraph"/>
        <w:numPr>
          <w:ilvl w:val="0"/>
          <w:numId w:val="14"/>
        </w:numPr>
        <w:tabs>
          <w:tab w:pos="944" w:val="left" w:leader="none"/>
        </w:tabs>
        <w:spacing w:line="240" w:lineRule="auto" w:before="36" w:after="0"/>
        <w:ind w:left="943" w:right="0" w:hanging="359"/>
        <w:jc w:val="left"/>
        <w:rPr>
          <w:sz w:val="21"/>
        </w:rPr>
      </w:pPr>
      <w:r>
        <w:rPr>
          <w:spacing w:val="-3"/>
          <w:sz w:val="21"/>
        </w:rPr>
        <w:t>卫生 自己控制进行大小便。</w:t>
      </w:r>
    </w:p>
    <w:p>
      <w:pPr>
        <w:pStyle w:val="ListParagraph"/>
        <w:numPr>
          <w:ilvl w:val="0"/>
          <w:numId w:val="14"/>
        </w:numPr>
        <w:tabs>
          <w:tab w:pos="944" w:val="left" w:leader="none"/>
        </w:tabs>
        <w:spacing w:line="240" w:lineRule="auto" w:before="36" w:after="0"/>
        <w:ind w:left="943" w:right="0" w:hanging="359"/>
        <w:jc w:val="left"/>
        <w:rPr>
          <w:sz w:val="21"/>
        </w:rPr>
      </w:pPr>
      <w:r>
        <w:rPr>
          <w:spacing w:val="-5"/>
          <w:sz w:val="21"/>
        </w:rPr>
        <w:t>进食 自己从已准备好的碗</w:t>
      </w:r>
      <w:r>
        <w:rPr>
          <w:sz w:val="21"/>
        </w:rPr>
        <w:t>/碟中摄取食物放入口中。</w:t>
      </w:r>
    </w:p>
    <w:p>
      <w:pPr>
        <w:spacing w:after="0" w:line="240" w:lineRule="auto"/>
        <w:jc w:val="left"/>
        <w:rPr>
          <w:sz w:val="21"/>
        </w:rPr>
        <w:sectPr>
          <w:headerReference w:type="default" r:id="rId11"/>
          <w:pgSz w:w="11910" w:h="16840"/>
          <w:pgMar w:header="782" w:footer="753" w:top="1100" w:bottom="940" w:left="1600" w:right="1020"/>
        </w:sectPr>
      </w:pPr>
    </w:p>
    <w:p>
      <w:pPr>
        <w:pStyle w:val="ListParagraph"/>
        <w:numPr>
          <w:ilvl w:val="0"/>
          <w:numId w:val="14"/>
        </w:numPr>
        <w:tabs>
          <w:tab w:pos="944" w:val="left" w:leader="none"/>
        </w:tabs>
        <w:spacing w:line="240" w:lineRule="auto" w:before="129" w:after="0"/>
        <w:ind w:left="943" w:right="0" w:hanging="359"/>
        <w:jc w:val="left"/>
        <w:rPr>
          <w:sz w:val="21"/>
        </w:rPr>
      </w:pPr>
      <w:r>
        <w:rPr>
          <w:spacing w:val="-3"/>
          <w:sz w:val="21"/>
        </w:rPr>
        <w:t>洗澡 自己进行淋浴或盆浴。</w:t>
      </w:r>
    </w:p>
    <w:p>
      <w:pPr>
        <w:pStyle w:val="BodyText"/>
        <w:spacing w:line="273" w:lineRule="auto" w:before="36"/>
        <w:ind w:left="583" w:right="101" w:hanging="483"/>
      </w:pPr>
      <w:r>
        <w:rPr/>
        <w:t>31、 肌营养不良症：是一组原发于肌肉的遗传性疾病。主要临床特征为受累骨骼肌肉的无力和萎缩。经定点医疗机构的专科医生确认符合以下四项诊断指标中的三项：</w:t>
      </w:r>
    </w:p>
    <w:p>
      <w:pPr>
        <w:pStyle w:val="ListParagraph"/>
        <w:numPr>
          <w:ilvl w:val="0"/>
          <w:numId w:val="15"/>
        </w:numPr>
        <w:tabs>
          <w:tab w:pos="944" w:val="left" w:leader="none"/>
        </w:tabs>
        <w:spacing w:line="240" w:lineRule="auto" w:before="7" w:after="0"/>
        <w:ind w:left="943" w:right="0" w:hanging="359"/>
        <w:jc w:val="left"/>
        <w:rPr>
          <w:sz w:val="21"/>
        </w:rPr>
      </w:pPr>
      <w:r>
        <w:rPr>
          <w:sz w:val="21"/>
        </w:rPr>
        <w:t>家族史中有其他成员患相同疾病；</w:t>
      </w:r>
    </w:p>
    <w:p>
      <w:pPr>
        <w:pStyle w:val="ListParagraph"/>
        <w:numPr>
          <w:ilvl w:val="0"/>
          <w:numId w:val="15"/>
        </w:numPr>
        <w:tabs>
          <w:tab w:pos="944" w:val="left" w:leader="none"/>
        </w:tabs>
        <w:spacing w:line="240" w:lineRule="auto" w:before="37" w:after="0"/>
        <w:ind w:left="943" w:right="0" w:hanging="359"/>
        <w:jc w:val="left"/>
        <w:rPr>
          <w:sz w:val="21"/>
        </w:rPr>
      </w:pPr>
      <w:r>
        <w:rPr>
          <w:sz w:val="21"/>
        </w:rPr>
        <w:t>临床表现包括：无感觉神经紊乱，正常脑脊液及轻微腱反射的减退；</w:t>
      </w:r>
    </w:p>
    <w:p>
      <w:pPr>
        <w:pStyle w:val="ListParagraph"/>
        <w:numPr>
          <w:ilvl w:val="0"/>
          <w:numId w:val="15"/>
        </w:numPr>
        <w:tabs>
          <w:tab w:pos="944" w:val="left" w:leader="none"/>
        </w:tabs>
        <w:spacing w:line="240" w:lineRule="auto" w:before="37" w:after="0"/>
        <w:ind w:left="943" w:right="0" w:hanging="359"/>
        <w:jc w:val="left"/>
        <w:rPr>
          <w:sz w:val="21"/>
        </w:rPr>
      </w:pPr>
      <w:r>
        <w:rPr>
          <w:sz w:val="21"/>
        </w:rPr>
        <w:t>典型的肌电图；</w:t>
      </w:r>
    </w:p>
    <w:p>
      <w:pPr>
        <w:pStyle w:val="ListParagraph"/>
        <w:numPr>
          <w:ilvl w:val="0"/>
          <w:numId w:val="15"/>
        </w:numPr>
        <w:tabs>
          <w:tab w:pos="944" w:val="left" w:leader="none"/>
        </w:tabs>
        <w:spacing w:line="240" w:lineRule="auto" w:before="37" w:after="0"/>
        <w:ind w:left="943" w:right="0" w:hanging="359"/>
        <w:jc w:val="left"/>
        <w:rPr>
          <w:sz w:val="21"/>
        </w:rPr>
      </w:pPr>
      <w:r>
        <w:rPr>
          <w:sz w:val="21"/>
        </w:rPr>
        <w:t>临床推测必须有肌肉或组织检查加以证实。</w:t>
      </w:r>
    </w:p>
    <w:p>
      <w:pPr>
        <w:pStyle w:val="BodyText"/>
        <w:spacing w:before="37"/>
        <w:ind w:left="101"/>
      </w:pPr>
      <w:r>
        <w:rPr/>
        <w:t>32、 系统性红斑狼疮性肾炎</w:t>
      </w:r>
    </w:p>
    <w:p>
      <w:pPr>
        <w:pStyle w:val="BodyText"/>
        <w:spacing w:line="273" w:lineRule="auto" w:before="37"/>
        <w:ind w:left="101" w:right="32" w:firstLine="478"/>
      </w:pPr>
      <w:r>
        <w:rPr/>
        <w:t>系统性红斑狼疮性肾炎：是指系统性红斑狼疮患者并发狼疮性肾炎而影响和损害肾脏功能， 且肌酐清除率持续低于 30ml/分。系统性红斑狼疮性肾炎的诊断必须经定点医疗机构确诊，并满足下列条件：</w:t>
      </w:r>
    </w:p>
    <w:p>
      <w:pPr>
        <w:pStyle w:val="ListParagraph"/>
        <w:numPr>
          <w:ilvl w:val="0"/>
          <w:numId w:val="16"/>
        </w:numPr>
        <w:tabs>
          <w:tab w:pos="944" w:val="left" w:leader="none"/>
        </w:tabs>
        <w:spacing w:line="240" w:lineRule="auto" w:before="7" w:after="0"/>
        <w:ind w:left="943" w:right="0" w:hanging="359"/>
        <w:jc w:val="left"/>
        <w:rPr>
          <w:sz w:val="21"/>
        </w:rPr>
      </w:pPr>
      <w:r>
        <w:rPr>
          <w:sz w:val="21"/>
        </w:rPr>
        <w:t>临床表现至少具备下列条件的四个：</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蝶形红斑或盘形红斑；</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光敏感；</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口鼻腔黏膜溃疡；</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非畸形性关节炎或多关节痛；</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胸膜炎或心包炎；</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癫痫或精神症状；</w:t>
      </w:r>
    </w:p>
    <w:p>
      <w:pPr>
        <w:pStyle w:val="ListParagraph"/>
        <w:numPr>
          <w:ilvl w:val="1"/>
          <w:numId w:val="16"/>
        </w:numPr>
        <w:tabs>
          <w:tab w:pos="1782" w:val="left" w:leader="none"/>
        </w:tabs>
        <w:spacing w:line="240" w:lineRule="auto" w:before="36" w:after="0"/>
        <w:ind w:left="1781" w:right="0" w:hanging="420"/>
        <w:jc w:val="left"/>
        <w:rPr>
          <w:sz w:val="21"/>
        </w:rPr>
      </w:pPr>
      <w:r>
        <w:rPr>
          <w:spacing w:val="-6"/>
          <w:sz w:val="21"/>
        </w:rPr>
        <w:t>血象异常(白细胞小于 </w:t>
      </w:r>
      <w:r>
        <w:rPr>
          <w:sz w:val="21"/>
        </w:rPr>
        <w:t>4×10</w:t>
      </w:r>
      <w:r>
        <w:rPr>
          <w:position w:val="11"/>
          <w:sz w:val="11"/>
        </w:rPr>
        <w:t>9</w:t>
      </w:r>
      <w:r>
        <w:rPr>
          <w:sz w:val="21"/>
        </w:rPr>
        <w:t>/L</w:t>
      </w:r>
      <w:r>
        <w:rPr>
          <w:spacing w:val="-9"/>
          <w:sz w:val="21"/>
        </w:rPr>
        <w:t>或血小板小于 </w:t>
      </w:r>
      <w:r>
        <w:rPr>
          <w:sz w:val="21"/>
        </w:rPr>
        <w:t>100×10</w:t>
      </w:r>
      <w:r>
        <w:rPr>
          <w:position w:val="11"/>
          <w:sz w:val="11"/>
        </w:rPr>
        <w:t>9</w:t>
      </w:r>
      <w:r>
        <w:rPr>
          <w:sz w:val="21"/>
        </w:rPr>
        <w:t>/L或溶血性贫血)。</w:t>
      </w:r>
    </w:p>
    <w:p>
      <w:pPr>
        <w:pStyle w:val="ListParagraph"/>
        <w:numPr>
          <w:ilvl w:val="0"/>
          <w:numId w:val="16"/>
        </w:numPr>
        <w:tabs>
          <w:tab w:pos="944" w:val="left" w:leader="none"/>
        </w:tabs>
        <w:spacing w:line="240" w:lineRule="auto" w:before="36" w:after="0"/>
        <w:ind w:left="943" w:right="0" w:hanging="359"/>
        <w:jc w:val="left"/>
        <w:rPr>
          <w:sz w:val="21"/>
        </w:rPr>
      </w:pPr>
      <w:r>
        <w:rPr>
          <w:sz w:val="21"/>
        </w:rPr>
        <w:t>检测结果至少具备下列条件的两个：</w:t>
      </w:r>
    </w:p>
    <w:p>
      <w:pPr>
        <w:pStyle w:val="ListParagraph"/>
        <w:numPr>
          <w:ilvl w:val="1"/>
          <w:numId w:val="16"/>
        </w:numPr>
        <w:tabs>
          <w:tab w:pos="1782" w:val="left" w:leader="none"/>
        </w:tabs>
        <w:spacing w:line="240" w:lineRule="auto" w:before="36" w:after="0"/>
        <w:ind w:left="1781" w:right="0" w:hanging="420"/>
        <w:jc w:val="left"/>
        <w:rPr>
          <w:sz w:val="21"/>
        </w:rPr>
      </w:pPr>
      <w:r>
        <w:rPr>
          <w:spacing w:val="-29"/>
          <w:sz w:val="21"/>
        </w:rPr>
        <w:t>抗 </w:t>
      </w:r>
      <w:r>
        <w:rPr>
          <w:sz w:val="21"/>
        </w:rPr>
        <w:t>dsDNA</w:t>
      </w:r>
      <w:r>
        <w:rPr>
          <w:spacing w:val="-10"/>
          <w:sz w:val="21"/>
        </w:rPr>
        <w:t> 抗体阳性；</w:t>
      </w:r>
    </w:p>
    <w:p>
      <w:pPr>
        <w:pStyle w:val="ListParagraph"/>
        <w:numPr>
          <w:ilvl w:val="1"/>
          <w:numId w:val="16"/>
        </w:numPr>
        <w:tabs>
          <w:tab w:pos="1782" w:val="left" w:leader="none"/>
        </w:tabs>
        <w:spacing w:line="240" w:lineRule="auto" w:before="36" w:after="0"/>
        <w:ind w:left="1781" w:right="0" w:hanging="420"/>
        <w:jc w:val="left"/>
        <w:rPr>
          <w:sz w:val="21"/>
        </w:rPr>
      </w:pPr>
      <w:r>
        <w:rPr>
          <w:spacing w:val="-27"/>
          <w:sz w:val="21"/>
        </w:rPr>
        <w:t>抗 </w:t>
      </w:r>
      <w:r>
        <w:rPr>
          <w:sz w:val="21"/>
        </w:rPr>
        <w:t>Sm</w:t>
      </w:r>
      <w:r>
        <w:rPr>
          <w:spacing w:val="-10"/>
          <w:sz w:val="21"/>
        </w:rPr>
        <w:t> 抗体阳性；</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抗核抗体阳性；</w:t>
      </w:r>
    </w:p>
    <w:p>
      <w:pPr>
        <w:pStyle w:val="ListParagraph"/>
        <w:numPr>
          <w:ilvl w:val="1"/>
          <w:numId w:val="16"/>
        </w:numPr>
        <w:tabs>
          <w:tab w:pos="1782" w:val="left" w:leader="none"/>
        </w:tabs>
        <w:spacing w:line="240" w:lineRule="auto" w:before="36" w:after="0"/>
        <w:ind w:left="1781" w:right="0" w:hanging="420"/>
        <w:jc w:val="left"/>
        <w:rPr>
          <w:sz w:val="21"/>
        </w:rPr>
      </w:pPr>
      <w:r>
        <w:rPr>
          <w:spacing w:val="-1"/>
          <w:sz w:val="21"/>
        </w:rPr>
        <w:t>皮肤狼疮带试验(非病损部位)或肾活检阳性；</w:t>
      </w:r>
    </w:p>
    <w:p>
      <w:pPr>
        <w:pStyle w:val="ListParagraph"/>
        <w:numPr>
          <w:ilvl w:val="1"/>
          <w:numId w:val="16"/>
        </w:numPr>
        <w:tabs>
          <w:tab w:pos="1782" w:val="left" w:leader="none"/>
        </w:tabs>
        <w:spacing w:line="240" w:lineRule="auto" w:before="36" w:after="0"/>
        <w:ind w:left="1781" w:right="0" w:hanging="420"/>
        <w:jc w:val="left"/>
        <w:rPr>
          <w:sz w:val="21"/>
        </w:rPr>
      </w:pPr>
      <w:r>
        <w:rPr>
          <w:sz w:val="21"/>
        </w:rPr>
        <w:t>C3</w:t>
      </w:r>
      <w:r>
        <w:rPr>
          <w:spacing w:val="-14"/>
          <w:sz w:val="21"/>
        </w:rPr>
        <w:t> 降低。</w:t>
      </w:r>
    </w:p>
    <w:p>
      <w:pPr>
        <w:pStyle w:val="BodyText"/>
        <w:spacing w:before="36"/>
        <w:ind w:left="101"/>
      </w:pPr>
      <w:r>
        <w:rPr/>
        <w:t>33、 终末期肺病</w:t>
      </w:r>
    </w:p>
    <w:p>
      <w:pPr>
        <w:pStyle w:val="BodyText"/>
        <w:spacing w:line="273" w:lineRule="auto" w:before="36"/>
        <w:ind w:left="101" w:right="102" w:firstLine="420"/>
      </w:pPr>
      <w:r>
        <w:rPr/>
        <w:t>本保障是指被保险人必须经定点医疗机构的专科医生确诊患有终末期肺病而出现慢性呼吸功能衰竭，其诊断标准包括以下各项：</w:t>
      </w:r>
    </w:p>
    <w:p>
      <w:pPr>
        <w:pStyle w:val="ListParagraph"/>
        <w:numPr>
          <w:ilvl w:val="0"/>
          <w:numId w:val="17"/>
        </w:numPr>
        <w:tabs>
          <w:tab w:pos="944" w:val="left" w:leader="none"/>
        </w:tabs>
        <w:spacing w:line="240" w:lineRule="auto" w:before="7" w:after="0"/>
        <w:ind w:left="943" w:right="0" w:hanging="360"/>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7"/>
        </w:numPr>
        <w:tabs>
          <w:tab w:pos="944" w:val="left" w:leader="none"/>
        </w:tabs>
        <w:spacing w:line="240" w:lineRule="auto" w:before="37" w:after="0"/>
        <w:ind w:left="943" w:right="0" w:hanging="360"/>
        <w:jc w:val="left"/>
        <w:rPr>
          <w:sz w:val="21"/>
        </w:rPr>
      </w:pPr>
      <w:r>
        <w:rPr>
          <w:spacing w:val="-5"/>
          <w:sz w:val="21"/>
        </w:rPr>
        <w:t>气道内阻力增加，至少达到 </w:t>
      </w:r>
      <w:r>
        <w:rPr>
          <w:sz w:val="21"/>
        </w:rPr>
        <w:t>0.5kPa/l/s;</w:t>
      </w:r>
    </w:p>
    <w:p>
      <w:pPr>
        <w:pStyle w:val="ListParagraph"/>
        <w:numPr>
          <w:ilvl w:val="0"/>
          <w:numId w:val="17"/>
        </w:numPr>
        <w:tabs>
          <w:tab w:pos="944" w:val="left" w:leader="none"/>
        </w:tabs>
        <w:spacing w:line="240" w:lineRule="auto" w:before="37" w:after="0"/>
        <w:ind w:left="943" w:right="0" w:hanging="360"/>
        <w:jc w:val="left"/>
        <w:rPr>
          <w:sz w:val="21"/>
        </w:rPr>
      </w:pPr>
      <w:r>
        <w:rPr>
          <w:spacing w:val="-4"/>
          <w:sz w:val="21"/>
        </w:rPr>
        <w:t>动脉血气分析氧分压等于或低于 </w:t>
      </w:r>
      <w:r>
        <w:rPr>
          <w:sz w:val="21"/>
        </w:rPr>
        <w:t>55mmHg;</w:t>
      </w:r>
    </w:p>
    <w:p>
      <w:pPr>
        <w:pStyle w:val="ListParagraph"/>
        <w:numPr>
          <w:ilvl w:val="0"/>
          <w:numId w:val="17"/>
        </w:numPr>
        <w:tabs>
          <w:tab w:pos="944" w:val="left" w:leader="none"/>
        </w:tabs>
        <w:spacing w:line="240" w:lineRule="auto" w:before="42" w:after="0"/>
        <w:ind w:left="943" w:right="0" w:hanging="360"/>
        <w:jc w:val="left"/>
        <w:rPr>
          <w:sz w:val="21"/>
        </w:rPr>
      </w:pPr>
      <w:r>
        <w:rPr>
          <w:spacing w:val="-1"/>
          <w:sz w:val="21"/>
        </w:rPr>
        <w:t>残气容积占肺总量（TLC）</w:t>
      </w:r>
      <w:r>
        <w:rPr>
          <w:sz w:val="21"/>
        </w:rPr>
        <w:t>的</w:t>
      </w:r>
      <w:r>
        <w:rPr>
          <w:spacing w:val="-53"/>
          <w:sz w:val="21"/>
        </w:rPr>
        <w:t> </w:t>
      </w:r>
      <w:r>
        <w:rPr>
          <w:spacing w:val="3"/>
          <w:sz w:val="21"/>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p>
    <w:p>
      <w:pPr>
        <w:pStyle w:val="ListParagraph"/>
        <w:numPr>
          <w:ilvl w:val="0"/>
          <w:numId w:val="17"/>
        </w:numPr>
        <w:tabs>
          <w:tab w:pos="944" w:val="left" w:leader="none"/>
        </w:tabs>
        <w:spacing w:line="240" w:lineRule="auto" w:before="32" w:after="0"/>
        <w:ind w:left="943" w:right="0" w:hanging="360"/>
        <w:jc w:val="left"/>
        <w:rPr>
          <w:sz w:val="21"/>
        </w:rPr>
      </w:pPr>
      <w:r>
        <w:rPr>
          <w:sz w:val="21"/>
        </w:rPr>
        <w:t>休息时出现呼吸困难。</w:t>
      </w:r>
    </w:p>
    <w:p>
      <w:pPr>
        <w:spacing w:line="278" w:lineRule="auto" w:before="37"/>
        <w:ind w:left="583" w:right="100" w:hanging="483"/>
        <w:jc w:val="left"/>
        <w:rPr>
          <w:sz w:val="21"/>
        </w:rPr>
      </w:pPr>
      <w:r>
        <w:rPr>
          <w:sz w:val="21"/>
        </w:rPr>
        <w:t>34</w:t>
      </w:r>
      <w:r>
        <w:rPr>
          <w:spacing w:val="-21"/>
          <w:sz w:val="21"/>
        </w:rPr>
        <w:t>、 重症肌无力：</w:t>
      </w:r>
      <w:r>
        <w:rPr>
          <w:sz w:val="20"/>
        </w:rPr>
        <w:t>重症肌无力是一种神经-肌肉接头部位因乙酰胆硷受体减少而出现传递障碍的自家免疫性疾病，临床特征是局部或全身横纹肌于活动时易于疲劳乏力，颅神经眼外肌最易累及，也可</w:t>
      </w:r>
      <w:r>
        <w:rPr>
          <w:spacing w:val="-1"/>
          <w:sz w:val="20"/>
        </w:rPr>
        <w:t>涉及呼吸肌、下肢近端肌群乃至全身肌肉，须经</w:t>
      </w:r>
      <w:r>
        <w:rPr>
          <w:sz w:val="21"/>
        </w:rPr>
        <w:t>定点医疗机构的</w:t>
      </w:r>
      <w:r>
        <w:rPr>
          <w:sz w:val="20"/>
        </w:rPr>
        <w:t>神经科医师确诊。其诊断必须同时具有下列情况：                                                                  </w:t>
      </w:r>
      <w:r>
        <w:rPr>
          <w:sz w:val="21"/>
        </w:rPr>
        <w:t>1）</w:t>
      </w:r>
      <w:r>
        <w:rPr>
          <w:spacing w:val="-8"/>
          <w:sz w:val="21"/>
        </w:rPr>
        <w:t> 经药物、胸腺手术治疗一年以上无法控制病情，丧失正常工作能力；</w:t>
      </w:r>
    </w:p>
    <w:p>
      <w:pPr>
        <w:pStyle w:val="ListParagraph"/>
        <w:numPr>
          <w:ilvl w:val="0"/>
          <w:numId w:val="18"/>
        </w:numPr>
        <w:tabs>
          <w:tab w:pos="944" w:val="left" w:leader="none"/>
        </w:tabs>
        <w:spacing w:line="273" w:lineRule="auto" w:before="3" w:after="0"/>
        <w:ind w:left="828" w:right="101" w:hanging="245"/>
        <w:jc w:val="left"/>
        <w:rPr>
          <w:sz w:val="21"/>
        </w:rPr>
      </w:pPr>
      <w:r>
        <w:rPr>
          <w:spacing w:val="-6"/>
          <w:sz w:val="21"/>
        </w:rPr>
        <w:t>出现眼睑下垂，或延髓肌受累引起的构音困难、进食呛咳，或由于肌无力累及延髓肌、呼吸肌而致机体呼吸功能不正常的危急状态即肌无力危象；</w:t>
      </w:r>
    </w:p>
    <w:p>
      <w:pPr>
        <w:pStyle w:val="ListParagraph"/>
        <w:numPr>
          <w:ilvl w:val="0"/>
          <w:numId w:val="18"/>
        </w:numPr>
        <w:tabs>
          <w:tab w:pos="944" w:val="left" w:leader="none"/>
        </w:tabs>
        <w:spacing w:line="240" w:lineRule="auto" w:before="7" w:after="0"/>
        <w:ind w:left="828" w:right="0" w:hanging="245"/>
        <w:jc w:val="left"/>
        <w:rPr>
          <w:sz w:val="21"/>
        </w:rPr>
      </w:pPr>
      <w:r>
        <w:rPr>
          <w:sz w:val="21"/>
        </w:rPr>
        <w:t>症状缓解、复发及恶化交替出现，临床接受新斯的明等抗胆碱酶药物治疗的历史。</w:t>
      </w:r>
    </w:p>
    <w:p>
      <w:pPr>
        <w:spacing w:line="280" w:lineRule="auto" w:before="39"/>
        <w:ind w:left="584" w:right="102" w:hanging="483"/>
        <w:jc w:val="both"/>
        <w:rPr>
          <w:sz w:val="20"/>
        </w:rPr>
      </w:pPr>
      <w:r>
        <w:rPr>
          <w:sz w:val="21"/>
        </w:rPr>
        <w:t>35</w:t>
      </w:r>
      <w:r>
        <w:rPr>
          <w:spacing w:val="1"/>
          <w:sz w:val="21"/>
        </w:rPr>
        <w:t>、 </w:t>
      </w:r>
      <w:r>
        <w:rPr>
          <w:sz w:val="20"/>
        </w:rPr>
        <w:t>主动脉夹层瘤：是指主动脉壁在受到某些病理因素的破坏后，高速、高压的主动脉血流将其内膜撕裂，以致主动脉腔内的血流通过主动脉内膜的破裂口进入主动脉内壁而形成血肿。被保险人需</w:t>
      </w:r>
      <w:r>
        <w:rPr>
          <w:spacing w:val="-2"/>
          <w:sz w:val="20"/>
        </w:rPr>
        <w:t>通过电脑断层扫描</w:t>
      </w:r>
      <w:r>
        <w:rPr>
          <w:spacing w:val="-1"/>
          <w:sz w:val="20"/>
        </w:rPr>
        <w:t>（CT）</w:t>
      </w:r>
      <w:r>
        <w:rPr>
          <w:spacing w:val="-4"/>
          <w:sz w:val="20"/>
        </w:rPr>
        <w:t>、磁共振扫描</w:t>
      </w:r>
      <w:r>
        <w:rPr>
          <w:spacing w:val="-1"/>
          <w:sz w:val="20"/>
        </w:rPr>
        <w:t>（MRI）</w:t>
      </w:r>
      <w:r>
        <w:rPr>
          <w:spacing w:val="-3"/>
          <w:sz w:val="20"/>
        </w:rPr>
        <w:t>、磁共振血管检验法</w:t>
      </w:r>
      <w:r>
        <w:rPr>
          <w:sz w:val="20"/>
        </w:rPr>
        <w:t>（MRA）或血管扫描等检查,并</w:t>
      </w:r>
      <w:r>
        <w:rPr>
          <w:spacing w:val="-1"/>
          <w:sz w:val="20"/>
        </w:rPr>
        <w:t>须经</w:t>
      </w:r>
      <w:r>
        <w:rPr>
          <w:spacing w:val="-1"/>
          <w:sz w:val="21"/>
        </w:rPr>
        <w:t>定点医疗机构的</w:t>
      </w:r>
      <w:r>
        <w:rPr>
          <w:sz w:val="20"/>
        </w:rPr>
        <w:t>心血管专科医师确诊。</w:t>
      </w:r>
    </w:p>
    <w:p>
      <w:pPr>
        <w:spacing w:before="1"/>
        <w:ind w:left="101" w:right="0" w:firstLine="0"/>
        <w:jc w:val="left"/>
        <w:rPr>
          <w:sz w:val="20"/>
        </w:rPr>
      </w:pPr>
      <w:r>
        <w:rPr>
          <w:sz w:val="21"/>
        </w:rPr>
        <w:t>36、 </w:t>
      </w:r>
      <w:r>
        <w:rPr>
          <w:sz w:val="20"/>
        </w:rPr>
        <w:t>植物人：指经</w:t>
      </w:r>
      <w:r>
        <w:rPr>
          <w:sz w:val="21"/>
        </w:rPr>
        <w:t>定点医疗机构的</w:t>
      </w:r>
      <w:r>
        <w:rPr>
          <w:sz w:val="20"/>
        </w:rPr>
        <w:t>神经科医生确诊，大脑皮质全面坏死，意识完全丧失，但脑干仍保</w:t>
      </w:r>
    </w:p>
    <w:p>
      <w:pPr>
        <w:spacing w:after="0"/>
        <w:jc w:val="left"/>
        <w:rPr>
          <w:sz w:val="20"/>
        </w:rPr>
        <w:sectPr>
          <w:pgSz w:w="11910" w:h="16840"/>
          <w:pgMar w:header="782" w:footer="753" w:top="1100" w:bottom="940" w:left="1600" w:right="1140"/>
        </w:sectPr>
      </w:pPr>
    </w:p>
    <w:p>
      <w:pPr>
        <w:pStyle w:val="BodyText"/>
        <w:spacing w:before="8"/>
        <w:rPr>
          <w:sz w:val="7"/>
        </w:rPr>
      </w:pPr>
    </w:p>
    <w:p>
      <w:pPr>
        <w:spacing w:before="39"/>
        <w:ind w:left="584" w:right="0" w:firstLine="0"/>
        <w:jc w:val="left"/>
        <w:rPr>
          <w:sz w:val="20"/>
        </w:rPr>
      </w:pPr>
      <w:r>
        <w:rPr>
          <w:sz w:val="20"/>
        </w:rPr>
        <w:t>持完好，且此情况维持一个月以上。</w:t>
      </w:r>
    </w:p>
    <w:sectPr>
      <w:pgSz w:w="11910" w:h="16840"/>
      <w:pgMar w:header="782" w:footer="753" w:top="1100" w:bottom="940" w:left="16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179993pt;margin-top:794.010742pt;width:9.550pt;height:13.1pt;mso-position-horizontal-relative:page;mso-position-vertical-relative:page;z-index:-14296"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pt;margin-top:793.35968pt;width:74pt;height:12pt;mso-position-horizontal-relative:page;mso-position-vertical-relative:page;z-index:-142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页，共 </w:t>
                </w:r>
                <w:r>
                  <w:rPr>
                    <w:rFonts w:ascii="Times New Roman" w:eastAsia="Times New Roman"/>
                    <w:sz w:val="18"/>
                  </w:rPr>
                  <w:t>9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pt;margin-top:793.35968pt;width:74pt;height:12pt;mso-position-horizontal-relative:page;mso-position-vertical-relative:page;z-index:-142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3</w:t>
                </w:r>
                <w:r>
                  <w:rPr/>
                  <w:fldChar w:fldCharType="end"/>
                </w:r>
                <w:r>
                  <w:rPr>
                    <w:rFonts w:ascii="Times New Roman" w:eastAsia="Times New Roman"/>
                    <w:sz w:val="18"/>
                  </w:rPr>
                  <w:t>  </w:t>
                </w:r>
                <w:r>
                  <w:rPr>
                    <w:sz w:val="18"/>
                  </w:rPr>
                  <w:t>页，共 </w:t>
                </w:r>
                <w:r>
                  <w:rPr>
                    <w:rFonts w:ascii="Times New Roman" w:eastAsia="Times New Roman"/>
                    <w:sz w:val="18"/>
                  </w:rPr>
                  <w:t>9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19997pt;margin-top:37.584064pt;width:450pt;height:19.75pt;mso-position-horizontal-relative:page;mso-position-vertical-relative:page;z-index:-14272" type="#_x0000_t202" filled="false" stroked="false">
          <v:textbox inset="0,0,0,0">
            <w:txbxContent>
              <w:p>
                <w:pPr>
                  <w:tabs>
                    <w:tab w:pos="5123" w:val="left" w:leader="none"/>
                  </w:tabs>
                  <w:spacing w:line="387" w:lineRule="exact" w:before="0"/>
                  <w:ind w:left="20" w:right="0" w:firstLine="0"/>
                  <w:jc w:val="left"/>
                  <w:rPr>
                    <w:rFonts w:ascii="Microsoft JhengHei" w:eastAsia="Microsoft JhengHei" w:hint="eastAsia"/>
                    <w:b/>
                    <w:sz w:val="32"/>
                  </w:rPr>
                </w:pPr>
                <w:r>
                  <w:rPr>
                    <w:rFonts w:ascii="Times New Roman" w:eastAsia="Times New Roman"/>
                    <w:b/>
                    <w:w w:val="100"/>
                    <w:sz w:val="32"/>
                    <w:u w:val="single"/>
                  </w:rPr>
                  <w:t> </w:t>
                </w:r>
                <w:r>
                  <w:rPr>
                    <w:rFonts w:ascii="Times New Roman" w:eastAsia="Times New Roman"/>
                    <w:b/>
                    <w:sz w:val="32"/>
                    <w:u w:val="single"/>
                  </w:rPr>
                  <w:tab/>
                </w:r>
                <w:r>
                  <w:rPr>
                    <w:rFonts w:ascii="Microsoft JhengHei" w:eastAsia="Microsoft JhengHei" w:hint="eastAsia"/>
                    <w:b/>
                    <w:sz w:val="32"/>
                    <w:u w:val="single"/>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19997pt;margin-top:37.584064pt;width:450pt;height:19.75pt;mso-position-horizontal-relative:page;mso-position-vertical-relative:page;z-index:-14200" type="#_x0000_t202" filled="false" stroked="false">
          <v:textbox inset="0,0,0,0">
            <w:txbxContent>
              <w:p>
                <w:pPr>
                  <w:tabs>
                    <w:tab w:pos="5123" w:val="left" w:leader="none"/>
                  </w:tabs>
                  <w:spacing w:line="387" w:lineRule="exact" w:before="0"/>
                  <w:ind w:left="20" w:right="0" w:firstLine="0"/>
                  <w:jc w:val="left"/>
                  <w:rPr>
                    <w:rFonts w:ascii="Microsoft JhengHei" w:eastAsia="Microsoft JhengHei" w:hint="eastAsia"/>
                    <w:b/>
                    <w:sz w:val="32"/>
                  </w:rPr>
                </w:pPr>
                <w:r>
                  <w:rPr>
                    <w:rFonts w:ascii="Times New Roman" w:eastAsia="Times New Roman"/>
                    <w:b/>
                    <w:w w:val="100"/>
                    <w:sz w:val="32"/>
                    <w:u w:val="single"/>
                  </w:rPr>
                  <w:t> </w:t>
                </w:r>
                <w:r>
                  <w:rPr>
                    <w:rFonts w:ascii="Times New Roman" w:eastAsia="Times New Roman"/>
                    <w:b/>
                    <w:sz w:val="32"/>
                    <w:u w:val="single"/>
                  </w:rPr>
                  <w:tab/>
                </w:r>
                <w:r>
                  <w:rPr>
                    <w:rFonts w:ascii="Microsoft JhengHei" w:eastAsia="Microsoft JhengHei" w:hint="eastAsia"/>
                    <w:b/>
                    <w:sz w:val="32"/>
                    <w:u w:val="single"/>
                  </w:rPr>
                  <w:t>光大永明人寿保险有限公司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19997pt;margin-top:37.584064pt;width:450pt;height:19.75pt;mso-position-horizontal-relative:page;mso-position-vertical-relative:page;z-index:-14176" type="#_x0000_t202" filled="false" stroked="false">
          <v:textbox inset="0,0,0,0">
            <w:txbxContent>
              <w:p>
                <w:pPr>
                  <w:tabs>
                    <w:tab w:pos="5123" w:val="left" w:leader="none"/>
                  </w:tabs>
                  <w:spacing w:line="387" w:lineRule="exact" w:before="0"/>
                  <w:ind w:left="20" w:right="0" w:firstLine="0"/>
                  <w:jc w:val="left"/>
                  <w:rPr>
                    <w:rFonts w:ascii="Microsoft JhengHei" w:eastAsia="Microsoft JhengHei" w:hint="eastAsia"/>
                    <w:b/>
                    <w:sz w:val="32"/>
                  </w:rPr>
                </w:pPr>
                <w:r>
                  <w:rPr>
                    <w:rFonts w:ascii="Times New Roman" w:eastAsia="Times New Roman"/>
                    <w:b/>
                    <w:w w:val="100"/>
                    <w:sz w:val="32"/>
                    <w:u w:val="single"/>
                  </w:rPr>
                  <w:t> </w:t>
                </w:r>
                <w:r>
                  <w:rPr>
                    <w:rFonts w:ascii="Times New Roman" w:eastAsia="Times New Roman"/>
                    <w:b/>
                    <w:sz w:val="32"/>
                    <w:u w:val="single"/>
                  </w:rPr>
                  <w:tab/>
                </w:r>
                <w:r>
                  <w:rPr>
                    <w:rFonts w:ascii="Microsoft JhengHei" w:eastAsia="Microsoft JhengHei" w:hint="eastAsia"/>
                    <w:b/>
                    <w:sz w:val="32"/>
                    <w:u w:val="single"/>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2"/>
      <w:numFmt w:val="decimal"/>
      <w:lvlText w:val="%1）"/>
      <w:lvlJc w:val="left"/>
      <w:pPr>
        <w:ind w:left="828" w:hanging="360"/>
        <w:jc w:val="left"/>
      </w:pPr>
      <w:rPr>
        <w:rFonts w:hint="default" w:ascii="宋体" w:hAnsi="宋体" w:eastAsia="宋体" w:cs="宋体"/>
        <w:spacing w:val="-1"/>
        <w:w w:val="100"/>
        <w:sz w:val="21"/>
        <w:szCs w:val="21"/>
      </w:rPr>
    </w:lvl>
    <w:lvl w:ilvl="1">
      <w:start w:val="0"/>
      <w:numFmt w:val="bullet"/>
      <w:lvlText w:val="•"/>
      <w:lvlJc w:val="left"/>
      <w:pPr>
        <w:ind w:left="1654" w:hanging="360"/>
      </w:pPr>
      <w:rPr>
        <w:rFonts w:hint="default"/>
      </w:rPr>
    </w:lvl>
    <w:lvl w:ilvl="2">
      <w:start w:val="0"/>
      <w:numFmt w:val="bullet"/>
      <w:lvlText w:val="•"/>
      <w:lvlJc w:val="left"/>
      <w:pPr>
        <w:ind w:left="2488" w:hanging="360"/>
      </w:pPr>
      <w:rPr>
        <w:rFonts w:hint="default"/>
      </w:rPr>
    </w:lvl>
    <w:lvl w:ilvl="3">
      <w:start w:val="0"/>
      <w:numFmt w:val="bullet"/>
      <w:lvlText w:val="•"/>
      <w:lvlJc w:val="left"/>
      <w:pPr>
        <w:ind w:left="3323" w:hanging="360"/>
      </w:pPr>
      <w:rPr>
        <w:rFonts w:hint="default"/>
      </w:rPr>
    </w:lvl>
    <w:lvl w:ilvl="4">
      <w:start w:val="0"/>
      <w:numFmt w:val="bullet"/>
      <w:lvlText w:val="•"/>
      <w:lvlJc w:val="left"/>
      <w:pPr>
        <w:ind w:left="4157" w:hanging="360"/>
      </w:pPr>
      <w:rPr>
        <w:rFonts w:hint="default"/>
      </w:rPr>
    </w:lvl>
    <w:lvl w:ilvl="5">
      <w:start w:val="0"/>
      <w:numFmt w:val="bullet"/>
      <w:lvlText w:val="•"/>
      <w:lvlJc w:val="left"/>
      <w:pPr>
        <w:ind w:left="4992" w:hanging="360"/>
      </w:pPr>
      <w:rPr>
        <w:rFonts w:hint="default"/>
      </w:rPr>
    </w:lvl>
    <w:lvl w:ilvl="6">
      <w:start w:val="0"/>
      <w:numFmt w:val="bullet"/>
      <w:lvlText w:val="•"/>
      <w:lvlJc w:val="left"/>
      <w:pPr>
        <w:ind w:left="5826" w:hanging="360"/>
      </w:pPr>
      <w:rPr>
        <w:rFonts w:hint="default"/>
      </w:rPr>
    </w:lvl>
    <w:lvl w:ilvl="7">
      <w:start w:val="0"/>
      <w:numFmt w:val="bullet"/>
      <w:lvlText w:val="•"/>
      <w:lvlJc w:val="left"/>
      <w:pPr>
        <w:ind w:left="6661" w:hanging="360"/>
      </w:pPr>
      <w:rPr>
        <w:rFonts w:hint="default"/>
      </w:rPr>
    </w:lvl>
    <w:lvl w:ilvl="8">
      <w:start w:val="0"/>
      <w:numFmt w:val="bullet"/>
      <w:lvlText w:val="•"/>
      <w:lvlJc w:val="left"/>
      <w:pPr>
        <w:ind w:left="7495" w:hanging="360"/>
      </w:pPr>
      <w:rPr>
        <w:rFonts w:hint="default"/>
      </w:rPr>
    </w:lvl>
  </w:abstractNum>
  <w:abstractNum w:abstractNumId="16">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6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29"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74" w:hanging="360"/>
      </w:pPr>
      <w:rPr>
        <w:rFonts w:hint="default"/>
      </w:rPr>
    </w:lvl>
    <w:lvl w:ilvl="7">
      <w:start w:val="0"/>
      <w:numFmt w:val="bullet"/>
      <w:lvlText w:val="•"/>
      <w:lvlJc w:val="left"/>
      <w:pPr>
        <w:ind w:left="6697" w:hanging="360"/>
      </w:pPr>
      <w:rPr>
        <w:rFonts w:hint="default"/>
      </w:rPr>
    </w:lvl>
    <w:lvl w:ilvl="8">
      <w:start w:val="0"/>
      <w:numFmt w:val="bullet"/>
      <w:lvlText w:val="•"/>
      <w:lvlJc w:val="left"/>
      <w:pPr>
        <w:ind w:left="7519" w:hanging="360"/>
      </w:pPr>
      <w:rPr>
        <w:rFonts w:hint="default"/>
      </w:rPr>
    </w:lvl>
  </w:abstractNum>
  <w:abstractNum w:abstractNumId="15">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1"/>
      <w:numFmt w:val="decimal"/>
      <w:lvlText w:val="(%2)"/>
      <w:lvlJc w:val="left"/>
      <w:pPr>
        <w:ind w:left="1781" w:hanging="420"/>
        <w:jc w:val="left"/>
      </w:pPr>
      <w:rPr>
        <w:rFonts w:hint="default" w:ascii="宋体" w:hAnsi="宋体" w:eastAsia="宋体" w:cs="宋体"/>
        <w:spacing w:val="-1"/>
        <w:w w:val="100"/>
        <w:sz w:val="21"/>
        <w:szCs w:val="21"/>
      </w:rPr>
    </w:lvl>
    <w:lvl w:ilvl="2">
      <w:start w:val="0"/>
      <w:numFmt w:val="bullet"/>
      <w:lvlText w:val="•"/>
      <w:lvlJc w:val="left"/>
      <w:pPr>
        <w:ind w:left="2600" w:hanging="420"/>
      </w:pPr>
      <w:rPr>
        <w:rFonts w:hint="default"/>
      </w:rPr>
    </w:lvl>
    <w:lvl w:ilvl="3">
      <w:start w:val="0"/>
      <w:numFmt w:val="bullet"/>
      <w:lvlText w:val="•"/>
      <w:lvlJc w:val="left"/>
      <w:pPr>
        <w:ind w:left="3420" w:hanging="420"/>
      </w:pPr>
      <w:rPr>
        <w:rFonts w:hint="default"/>
      </w:rPr>
    </w:lvl>
    <w:lvl w:ilvl="4">
      <w:start w:val="0"/>
      <w:numFmt w:val="bullet"/>
      <w:lvlText w:val="•"/>
      <w:lvlJc w:val="left"/>
      <w:pPr>
        <w:ind w:left="4241" w:hanging="420"/>
      </w:pPr>
      <w:rPr>
        <w:rFonts w:hint="default"/>
      </w:rPr>
    </w:lvl>
    <w:lvl w:ilvl="5">
      <w:start w:val="0"/>
      <w:numFmt w:val="bullet"/>
      <w:lvlText w:val="•"/>
      <w:lvlJc w:val="left"/>
      <w:pPr>
        <w:ind w:left="5061" w:hanging="420"/>
      </w:pPr>
      <w:rPr>
        <w:rFonts w:hint="default"/>
      </w:rPr>
    </w:lvl>
    <w:lvl w:ilvl="6">
      <w:start w:val="0"/>
      <w:numFmt w:val="bullet"/>
      <w:lvlText w:val="•"/>
      <w:lvlJc w:val="left"/>
      <w:pPr>
        <w:ind w:left="5882" w:hanging="420"/>
      </w:pPr>
      <w:rPr>
        <w:rFonts w:hint="default"/>
      </w:rPr>
    </w:lvl>
    <w:lvl w:ilvl="7">
      <w:start w:val="0"/>
      <w:numFmt w:val="bullet"/>
      <w:lvlText w:val="•"/>
      <w:lvlJc w:val="left"/>
      <w:pPr>
        <w:ind w:left="6702" w:hanging="420"/>
      </w:pPr>
      <w:rPr>
        <w:rFonts w:hint="default"/>
      </w:rPr>
    </w:lvl>
    <w:lvl w:ilvl="8">
      <w:start w:val="0"/>
      <w:numFmt w:val="bullet"/>
      <w:lvlText w:val="•"/>
      <w:lvlJc w:val="left"/>
      <w:pPr>
        <w:ind w:left="7523" w:hanging="420"/>
      </w:pPr>
      <w:rPr>
        <w:rFonts w:hint="default"/>
      </w:rPr>
    </w:lvl>
  </w:abstractNum>
  <w:abstractNum w:abstractNumId="14">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6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29"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74" w:hanging="360"/>
      </w:pPr>
      <w:rPr>
        <w:rFonts w:hint="default"/>
      </w:rPr>
    </w:lvl>
    <w:lvl w:ilvl="7">
      <w:start w:val="0"/>
      <w:numFmt w:val="bullet"/>
      <w:lvlText w:val="•"/>
      <w:lvlJc w:val="left"/>
      <w:pPr>
        <w:ind w:left="6697" w:hanging="360"/>
      </w:pPr>
      <w:rPr>
        <w:rFonts w:hint="default"/>
      </w:rPr>
    </w:lvl>
    <w:lvl w:ilvl="8">
      <w:start w:val="0"/>
      <w:numFmt w:val="bullet"/>
      <w:lvlText w:val="•"/>
      <w:lvlJc w:val="left"/>
      <w:pPr>
        <w:ind w:left="7519" w:hanging="360"/>
      </w:pPr>
      <w:rPr>
        <w:rFonts w:hint="default"/>
      </w:rPr>
    </w:lvl>
  </w:abstractNum>
  <w:abstractNum w:abstractNumId="13">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12">
    <w:multiLevelType w:val="hybridMultilevel"/>
    <w:lvl w:ilvl="0">
      <w:start w:val="1"/>
      <w:numFmt w:val="decimal"/>
      <w:lvlText w:val="%1）"/>
      <w:lvlJc w:val="left"/>
      <w:pPr>
        <w:ind w:left="828" w:hanging="360"/>
        <w:jc w:val="left"/>
      </w:pPr>
      <w:rPr>
        <w:rFonts w:hint="default" w:ascii="宋体" w:hAnsi="宋体" w:eastAsia="宋体" w:cs="宋体"/>
        <w:spacing w:val="-1"/>
        <w:w w:val="100"/>
        <w:sz w:val="21"/>
        <w:szCs w:val="21"/>
      </w:rPr>
    </w:lvl>
    <w:lvl w:ilvl="1">
      <w:start w:val="0"/>
      <w:numFmt w:val="bullet"/>
      <w:lvlText w:val="•"/>
      <w:lvlJc w:val="left"/>
      <w:pPr>
        <w:ind w:left="166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359" w:hanging="360"/>
      </w:pPr>
      <w:rPr>
        <w:rFonts w:hint="default"/>
      </w:rPr>
    </w:lvl>
    <w:lvl w:ilvl="4">
      <w:start w:val="0"/>
      <w:numFmt w:val="bullet"/>
      <w:lvlText w:val="•"/>
      <w:lvlJc w:val="left"/>
      <w:pPr>
        <w:ind w:left="4205"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98" w:hanging="360"/>
      </w:pPr>
      <w:rPr>
        <w:rFonts w:hint="default"/>
      </w:rPr>
    </w:lvl>
    <w:lvl w:ilvl="7">
      <w:start w:val="0"/>
      <w:numFmt w:val="bullet"/>
      <w:lvlText w:val="•"/>
      <w:lvlJc w:val="left"/>
      <w:pPr>
        <w:ind w:left="6745" w:hanging="360"/>
      </w:pPr>
      <w:rPr>
        <w:rFonts w:hint="default"/>
      </w:rPr>
    </w:lvl>
    <w:lvl w:ilvl="8">
      <w:start w:val="0"/>
      <w:numFmt w:val="bullet"/>
      <w:lvlText w:val="•"/>
      <w:lvlJc w:val="left"/>
      <w:pPr>
        <w:ind w:left="7591" w:hanging="360"/>
      </w:pPr>
      <w:rPr>
        <w:rFonts w:hint="default"/>
      </w:rPr>
    </w:lvl>
  </w:abstractNum>
  <w:abstractNum w:abstractNumId="11">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10">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9">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8">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7">
    <w:multiLevelType w:val="hybridMultilevel"/>
    <w:lvl w:ilvl="0">
      <w:start w:val="1"/>
      <w:numFmt w:val="decimal"/>
      <w:lvlText w:val="%1）"/>
      <w:lvlJc w:val="left"/>
      <w:pPr>
        <w:ind w:left="943" w:hanging="360"/>
        <w:jc w:val="left"/>
      </w:pPr>
      <w:rPr>
        <w:rFonts w:hint="default" w:ascii="宋体" w:hAnsi="宋体" w:eastAsia="宋体" w:cs="宋体"/>
        <w:spacing w:val="-1"/>
        <w:w w:val="100"/>
        <w:sz w:val="21"/>
        <w:szCs w:val="21"/>
      </w:rPr>
    </w:lvl>
    <w:lvl w:ilvl="1">
      <w:start w:val="0"/>
      <w:numFmt w:val="bullet"/>
      <w:lvlText w:val="•"/>
      <w:lvlJc w:val="left"/>
      <w:pPr>
        <w:ind w:left="177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12" w:hanging="360"/>
      </w:pPr>
      <w:rPr>
        <w:rFonts w:hint="default"/>
      </w:rPr>
    </w:lvl>
    <w:lvl w:ilvl="6">
      <w:start w:val="0"/>
      <w:numFmt w:val="bullet"/>
      <w:lvlText w:val="•"/>
      <w:lvlJc w:val="left"/>
      <w:pPr>
        <w:ind w:left="5946" w:hanging="360"/>
      </w:pPr>
      <w:rPr>
        <w:rFonts w:hint="default"/>
      </w:rPr>
    </w:lvl>
    <w:lvl w:ilvl="7">
      <w:start w:val="0"/>
      <w:numFmt w:val="bullet"/>
      <w:lvlText w:val="•"/>
      <w:lvlJc w:val="left"/>
      <w:pPr>
        <w:ind w:left="6781" w:hanging="360"/>
      </w:pPr>
      <w:rPr>
        <w:rFonts w:hint="default"/>
      </w:rPr>
    </w:lvl>
    <w:lvl w:ilvl="8">
      <w:start w:val="0"/>
      <w:numFmt w:val="bullet"/>
      <w:lvlText w:val="•"/>
      <w:lvlJc w:val="left"/>
      <w:pPr>
        <w:ind w:left="7615" w:hanging="360"/>
      </w:pPr>
      <w:rPr>
        <w:rFonts w:hint="default"/>
      </w:rPr>
    </w:lvl>
  </w:abstractNum>
  <w:abstractNum w:abstractNumId="6">
    <w:multiLevelType w:val="hybridMultilevel"/>
    <w:lvl w:ilvl="0">
      <w:start w:val="1"/>
      <w:numFmt w:val="decimal"/>
      <w:lvlText w:val="%1）"/>
      <w:lvlJc w:val="left"/>
      <w:pPr>
        <w:ind w:left="944" w:hanging="360"/>
        <w:jc w:val="left"/>
      </w:pPr>
      <w:rPr>
        <w:rFonts w:hint="default" w:ascii="宋体" w:hAnsi="宋体" w:eastAsia="宋体" w:cs="宋体"/>
        <w:spacing w:val="-1"/>
        <w:w w:val="100"/>
        <w:sz w:val="21"/>
        <w:szCs w:val="21"/>
      </w:rPr>
    </w:lvl>
    <w:lvl w:ilvl="1">
      <w:start w:val="0"/>
      <w:numFmt w:val="bullet"/>
      <w:lvlText w:val="•"/>
      <w:lvlJc w:val="left"/>
      <w:pPr>
        <w:ind w:left="176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29" w:hanging="360"/>
      </w:pPr>
      <w:rPr>
        <w:rFonts w:hint="default"/>
      </w:rPr>
    </w:lvl>
    <w:lvl w:ilvl="5">
      <w:start w:val="0"/>
      <w:numFmt w:val="bullet"/>
      <w:lvlText w:val="•"/>
      <w:lvlJc w:val="left"/>
      <w:pPr>
        <w:ind w:left="5052" w:hanging="360"/>
      </w:pPr>
      <w:rPr>
        <w:rFonts w:hint="default"/>
      </w:rPr>
    </w:lvl>
    <w:lvl w:ilvl="6">
      <w:start w:val="0"/>
      <w:numFmt w:val="bullet"/>
      <w:lvlText w:val="•"/>
      <w:lvlJc w:val="left"/>
      <w:pPr>
        <w:ind w:left="5874" w:hanging="360"/>
      </w:pPr>
      <w:rPr>
        <w:rFonts w:hint="default"/>
      </w:rPr>
    </w:lvl>
    <w:lvl w:ilvl="7">
      <w:start w:val="0"/>
      <w:numFmt w:val="bullet"/>
      <w:lvlText w:val="•"/>
      <w:lvlJc w:val="left"/>
      <w:pPr>
        <w:ind w:left="6697" w:hanging="360"/>
      </w:pPr>
      <w:rPr>
        <w:rFonts w:hint="default"/>
      </w:rPr>
    </w:lvl>
    <w:lvl w:ilvl="8">
      <w:start w:val="0"/>
      <w:numFmt w:val="bullet"/>
      <w:lvlText w:val="•"/>
      <w:lvlJc w:val="left"/>
      <w:pPr>
        <w:ind w:left="7519" w:hanging="360"/>
      </w:pPr>
      <w:rPr>
        <w:rFonts w:hint="default"/>
      </w:rPr>
    </w:lvl>
  </w:abstractNum>
  <w:abstractNum w:abstractNumId="5">
    <w:multiLevelType w:val="hybridMultilevel"/>
    <w:lvl w:ilvl="0">
      <w:start w:val="1"/>
      <w:numFmt w:val="decimal"/>
      <w:lvlText w:val="%1）"/>
      <w:lvlJc w:val="left"/>
      <w:pPr>
        <w:ind w:left="1001" w:hanging="360"/>
        <w:jc w:val="left"/>
      </w:pPr>
      <w:rPr>
        <w:rFonts w:hint="default" w:ascii="宋体" w:hAnsi="宋体" w:eastAsia="宋体" w:cs="宋体"/>
        <w:spacing w:val="-1"/>
        <w:w w:val="100"/>
        <w:sz w:val="21"/>
        <w:szCs w:val="21"/>
      </w:rPr>
    </w:lvl>
    <w:lvl w:ilvl="1">
      <w:start w:val="0"/>
      <w:numFmt w:val="bullet"/>
      <w:lvlText w:val="•"/>
      <w:lvlJc w:val="left"/>
      <w:pPr>
        <w:ind w:left="1816" w:hanging="360"/>
      </w:pPr>
      <w:rPr>
        <w:rFonts w:hint="default"/>
      </w:rPr>
    </w:lvl>
    <w:lvl w:ilvl="2">
      <w:start w:val="0"/>
      <w:numFmt w:val="bullet"/>
      <w:lvlText w:val="•"/>
      <w:lvlJc w:val="left"/>
      <w:pPr>
        <w:ind w:left="2632" w:hanging="360"/>
      </w:pPr>
      <w:rPr>
        <w:rFonts w:hint="default"/>
      </w:rPr>
    </w:lvl>
    <w:lvl w:ilvl="3">
      <w:start w:val="0"/>
      <w:numFmt w:val="bullet"/>
      <w:lvlText w:val="•"/>
      <w:lvlJc w:val="left"/>
      <w:pPr>
        <w:ind w:left="3449" w:hanging="360"/>
      </w:pPr>
      <w:rPr>
        <w:rFonts w:hint="default"/>
      </w:rPr>
    </w:lvl>
    <w:lvl w:ilvl="4">
      <w:start w:val="0"/>
      <w:numFmt w:val="bullet"/>
      <w:lvlText w:val="•"/>
      <w:lvlJc w:val="left"/>
      <w:pPr>
        <w:ind w:left="4265" w:hanging="360"/>
      </w:pPr>
      <w:rPr>
        <w:rFonts w:hint="default"/>
      </w:rPr>
    </w:lvl>
    <w:lvl w:ilvl="5">
      <w:start w:val="0"/>
      <w:numFmt w:val="bullet"/>
      <w:lvlText w:val="•"/>
      <w:lvlJc w:val="left"/>
      <w:pPr>
        <w:ind w:left="5082" w:hanging="360"/>
      </w:pPr>
      <w:rPr>
        <w:rFonts w:hint="default"/>
      </w:rPr>
    </w:lvl>
    <w:lvl w:ilvl="6">
      <w:start w:val="0"/>
      <w:numFmt w:val="bullet"/>
      <w:lvlText w:val="•"/>
      <w:lvlJc w:val="left"/>
      <w:pPr>
        <w:ind w:left="5898" w:hanging="360"/>
      </w:pPr>
      <w:rPr>
        <w:rFonts w:hint="default"/>
      </w:rPr>
    </w:lvl>
    <w:lvl w:ilvl="7">
      <w:start w:val="0"/>
      <w:numFmt w:val="bullet"/>
      <w:lvlText w:val="•"/>
      <w:lvlJc w:val="left"/>
      <w:pPr>
        <w:ind w:left="6715" w:hanging="360"/>
      </w:pPr>
      <w:rPr>
        <w:rFonts w:hint="default"/>
      </w:rPr>
    </w:lvl>
    <w:lvl w:ilvl="8">
      <w:start w:val="0"/>
      <w:numFmt w:val="bullet"/>
      <w:lvlText w:val="•"/>
      <w:lvlJc w:val="left"/>
      <w:pPr>
        <w:ind w:left="7531" w:hanging="360"/>
      </w:pPr>
      <w:rPr>
        <w:rFonts w:hint="default"/>
      </w:rPr>
    </w:lvl>
  </w:abstractNum>
  <w:abstractNum w:abstractNumId="4">
    <w:multiLevelType w:val="hybridMultilevel"/>
    <w:lvl w:ilvl="0">
      <w:start w:val="1"/>
      <w:numFmt w:val="decimal"/>
      <w:lvlText w:val="%1."/>
      <w:lvlJc w:val="left"/>
      <w:pPr>
        <w:ind w:left="961" w:hanging="420"/>
        <w:jc w:val="left"/>
      </w:pPr>
      <w:rPr>
        <w:rFonts w:hint="default"/>
        <w:w w:val="100"/>
      </w:rPr>
    </w:lvl>
    <w:lvl w:ilvl="1">
      <w:start w:val="0"/>
      <w:numFmt w:val="bullet"/>
      <w:lvlText w:val="•"/>
      <w:lvlJc w:val="left"/>
      <w:pPr>
        <w:ind w:left="1782" w:hanging="420"/>
      </w:pPr>
      <w:rPr>
        <w:rFonts w:hint="default"/>
      </w:rPr>
    </w:lvl>
    <w:lvl w:ilvl="2">
      <w:start w:val="0"/>
      <w:numFmt w:val="bullet"/>
      <w:lvlText w:val="•"/>
      <w:lvlJc w:val="left"/>
      <w:pPr>
        <w:ind w:left="2604" w:hanging="420"/>
      </w:pPr>
      <w:rPr>
        <w:rFonts w:hint="default"/>
      </w:rPr>
    </w:lvl>
    <w:lvl w:ilvl="3">
      <w:start w:val="0"/>
      <w:numFmt w:val="bullet"/>
      <w:lvlText w:val="•"/>
      <w:lvlJc w:val="left"/>
      <w:pPr>
        <w:ind w:left="3427" w:hanging="420"/>
      </w:pPr>
      <w:rPr>
        <w:rFonts w:hint="default"/>
      </w:rPr>
    </w:lvl>
    <w:lvl w:ilvl="4">
      <w:start w:val="0"/>
      <w:numFmt w:val="bullet"/>
      <w:lvlText w:val="•"/>
      <w:lvlJc w:val="left"/>
      <w:pPr>
        <w:ind w:left="4249" w:hanging="420"/>
      </w:pPr>
      <w:rPr>
        <w:rFonts w:hint="default"/>
      </w:rPr>
    </w:lvl>
    <w:lvl w:ilvl="5">
      <w:start w:val="0"/>
      <w:numFmt w:val="bullet"/>
      <w:lvlText w:val="•"/>
      <w:lvlJc w:val="left"/>
      <w:pPr>
        <w:ind w:left="5072" w:hanging="420"/>
      </w:pPr>
      <w:rPr>
        <w:rFonts w:hint="default"/>
      </w:rPr>
    </w:lvl>
    <w:lvl w:ilvl="6">
      <w:start w:val="0"/>
      <w:numFmt w:val="bullet"/>
      <w:lvlText w:val="•"/>
      <w:lvlJc w:val="left"/>
      <w:pPr>
        <w:ind w:left="5894" w:hanging="420"/>
      </w:pPr>
      <w:rPr>
        <w:rFonts w:hint="default"/>
      </w:rPr>
    </w:lvl>
    <w:lvl w:ilvl="7">
      <w:start w:val="0"/>
      <w:numFmt w:val="bullet"/>
      <w:lvlText w:val="•"/>
      <w:lvlJc w:val="left"/>
      <w:pPr>
        <w:ind w:left="6717" w:hanging="420"/>
      </w:pPr>
      <w:rPr>
        <w:rFonts w:hint="default"/>
      </w:rPr>
    </w:lvl>
    <w:lvl w:ilvl="8">
      <w:start w:val="0"/>
      <w:numFmt w:val="bullet"/>
      <w:lvlText w:val="•"/>
      <w:lvlJc w:val="left"/>
      <w:pPr>
        <w:ind w:left="7539" w:hanging="420"/>
      </w:pPr>
      <w:rPr>
        <w:rFonts w:hint="default"/>
      </w:rPr>
    </w:lvl>
  </w:abstractNum>
  <w:abstractNum w:abstractNumId="3">
    <w:multiLevelType w:val="hybridMultilevel"/>
    <w:lvl w:ilvl="0">
      <w:start w:val="1"/>
      <w:numFmt w:val="decimal"/>
      <w:lvlText w:val="%1."/>
      <w:lvlJc w:val="left"/>
      <w:pPr>
        <w:ind w:left="541"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404" w:hanging="420"/>
      </w:pPr>
      <w:rPr>
        <w:rFonts w:hint="default"/>
      </w:rPr>
    </w:lvl>
    <w:lvl w:ilvl="2">
      <w:start w:val="0"/>
      <w:numFmt w:val="bullet"/>
      <w:lvlText w:val="•"/>
      <w:lvlJc w:val="left"/>
      <w:pPr>
        <w:ind w:left="2268" w:hanging="420"/>
      </w:pPr>
      <w:rPr>
        <w:rFonts w:hint="default"/>
      </w:rPr>
    </w:lvl>
    <w:lvl w:ilvl="3">
      <w:start w:val="0"/>
      <w:numFmt w:val="bullet"/>
      <w:lvlText w:val="•"/>
      <w:lvlJc w:val="left"/>
      <w:pPr>
        <w:ind w:left="313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91" w:hanging="420"/>
      </w:pPr>
      <w:rPr>
        <w:rFonts w:hint="default"/>
      </w:rPr>
    </w:lvl>
    <w:lvl w:ilvl="8">
      <w:start w:val="0"/>
      <w:numFmt w:val="bullet"/>
      <w:lvlText w:val="•"/>
      <w:lvlJc w:val="left"/>
      <w:pPr>
        <w:ind w:left="7455" w:hanging="420"/>
      </w:pPr>
      <w:rPr>
        <w:rFonts w:hint="default"/>
      </w:rPr>
    </w:lvl>
  </w:abstractNum>
  <w:abstractNum w:abstractNumId="2">
    <w:multiLevelType w:val="hybridMultilevel"/>
    <w:lvl w:ilvl="0">
      <w:start w:val="1"/>
      <w:numFmt w:val="decimal"/>
      <w:lvlText w:val="%1."/>
      <w:lvlJc w:val="left"/>
      <w:pPr>
        <w:ind w:left="541"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404" w:hanging="420"/>
      </w:pPr>
      <w:rPr>
        <w:rFonts w:hint="default"/>
      </w:rPr>
    </w:lvl>
    <w:lvl w:ilvl="2">
      <w:start w:val="0"/>
      <w:numFmt w:val="bullet"/>
      <w:lvlText w:val="•"/>
      <w:lvlJc w:val="left"/>
      <w:pPr>
        <w:ind w:left="2268" w:hanging="420"/>
      </w:pPr>
      <w:rPr>
        <w:rFonts w:hint="default"/>
      </w:rPr>
    </w:lvl>
    <w:lvl w:ilvl="3">
      <w:start w:val="0"/>
      <w:numFmt w:val="bullet"/>
      <w:lvlText w:val="•"/>
      <w:lvlJc w:val="left"/>
      <w:pPr>
        <w:ind w:left="313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91" w:hanging="420"/>
      </w:pPr>
      <w:rPr>
        <w:rFonts w:hint="default"/>
      </w:rPr>
    </w:lvl>
    <w:lvl w:ilvl="8">
      <w:start w:val="0"/>
      <w:numFmt w:val="bullet"/>
      <w:lvlText w:val="•"/>
      <w:lvlJc w:val="left"/>
      <w:pPr>
        <w:ind w:left="7455" w:hanging="420"/>
      </w:pPr>
      <w:rPr>
        <w:rFonts w:hint="default"/>
      </w:rPr>
    </w:lvl>
  </w:abstractNum>
  <w:abstractNum w:abstractNumId="1">
    <w:multiLevelType w:val="hybridMultilevel"/>
    <w:lvl w:ilvl="0">
      <w:start w:val="1"/>
      <w:numFmt w:val="decimal"/>
      <w:lvlText w:val="%1."/>
      <w:lvlJc w:val="left"/>
      <w:pPr>
        <w:ind w:left="918" w:hanging="398"/>
        <w:jc w:val="left"/>
      </w:pPr>
      <w:rPr>
        <w:rFonts w:hint="default" w:ascii="黑体" w:hAnsi="黑体" w:eastAsia="黑体" w:cs="黑体"/>
        <w:spacing w:val="-24"/>
        <w:w w:val="100"/>
        <w:sz w:val="21"/>
        <w:szCs w:val="21"/>
      </w:rPr>
    </w:lvl>
    <w:lvl w:ilvl="1">
      <w:start w:val="0"/>
      <w:numFmt w:val="bullet"/>
      <w:lvlText w:val="•"/>
      <w:lvlJc w:val="left"/>
      <w:pPr>
        <w:ind w:left="1754" w:hanging="398"/>
      </w:pPr>
      <w:rPr>
        <w:rFonts w:hint="default"/>
      </w:rPr>
    </w:lvl>
    <w:lvl w:ilvl="2">
      <w:start w:val="0"/>
      <w:numFmt w:val="bullet"/>
      <w:lvlText w:val="•"/>
      <w:lvlJc w:val="left"/>
      <w:pPr>
        <w:ind w:left="2588" w:hanging="398"/>
      </w:pPr>
      <w:rPr>
        <w:rFonts w:hint="default"/>
      </w:rPr>
    </w:lvl>
    <w:lvl w:ilvl="3">
      <w:start w:val="0"/>
      <w:numFmt w:val="bullet"/>
      <w:lvlText w:val="•"/>
      <w:lvlJc w:val="left"/>
      <w:pPr>
        <w:ind w:left="3423" w:hanging="398"/>
      </w:pPr>
      <w:rPr>
        <w:rFonts w:hint="default"/>
      </w:rPr>
    </w:lvl>
    <w:lvl w:ilvl="4">
      <w:start w:val="0"/>
      <w:numFmt w:val="bullet"/>
      <w:lvlText w:val="•"/>
      <w:lvlJc w:val="left"/>
      <w:pPr>
        <w:ind w:left="4257" w:hanging="398"/>
      </w:pPr>
      <w:rPr>
        <w:rFonts w:hint="default"/>
      </w:rPr>
    </w:lvl>
    <w:lvl w:ilvl="5">
      <w:start w:val="0"/>
      <w:numFmt w:val="bullet"/>
      <w:lvlText w:val="•"/>
      <w:lvlJc w:val="left"/>
      <w:pPr>
        <w:ind w:left="5092" w:hanging="398"/>
      </w:pPr>
      <w:rPr>
        <w:rFonts w:hint="default"/>
      </w:rPr>
    </w:lvl>
    <w:lvl w:ilvl="6">
      <w:start w:val="0"/>
      <w:numFmt w:val="bullet"/>
      <w:lvlText w:val="•"/>
      <w:lvlJc w:val="left"/>
      <w:pPr>
        <w:ind w:left="5926" w:hanging="398"/>
      </w:pPr>
      <w:rPr>
        <w:rFonts w:hint="default"/>
      </w:rPr>
    </w:lvl>
    <w:lvl w:ilvl="7">
      <w:start w:val="0"/>
      <w:numFmt w:val="bullet"/>
      <w:lvlText w:val="•"/>
      <w:lvlJc w:val="left"/>
      <w:pPr>
        <w:ind w:left="6761" w:hanging="398"/>
      </w:pPr>
      <w:rPr>
        <w:rFonts w:hint="default"/>
      </w:rPr>
    </w:lvl>
    <w:lvl w:ilvl="8">
      <w:start w:val="0"/>
      <w:numFmt w:val="bullet"/>
      <w:lvlText w:val="•"/>
      <w:lvlJc w:val="left"/>
      <w:pPr>
        <w:ind w:left="7595" w:hanging="398"/>
      </w:pPr>
      <w:rPr>
        <w:rFonts w:hint="default"/>
      </w:rPr>
    </w:lvl>
  </w:abstractNum>
  <w:abstractNum w:abstractNumId="0">
    <w:multiLevelType w:val="hybridMultilevel"/>
    <w:lvl w:ilvl="0">
      <w:start w:val="1"/>
      <w:numFmt w:val="decimal"/>
      <w:lvlText w:val="%1."/>
      <w:lvlJc w:val="left"/>
      <w:pPr>
        <w:ind w:left="521" w:hanging="315"/>
        <w:jc w:val="left"/>
      </w:pPr>
      <w:rPr>
        <w:rFonts w:hint="default" w:ascii="宋体" w:hAnsi="宋体" w:eastAsia="宋体" w:cs="宋体"/>
        <w:spacing w:val="-1"/>
        <w:w w:val="100"/>
        <w:sz w:val="21"/>
        <w:szCs w:val="21"/>
      </w:rPr>
    </w:lvl>
    <w:lvl w:ilvl="1">
      <w:start w:val="1"/>
      <w:numFmt w:val="decimal"/>
      <w:lvlText w:val="%2."/>
      <w:lvlJc w:val="left"/>
      <w:pPr>
        <w:ind w:left="918" w:hanging="313"/>
        <w:jc w:val="right"/>
      </w:pPr>
      <w:rPr>
        <w:rFonts w:hint="default" w:ascii="Times New Roman" w:hAnsi="Times New Roman" w:eastAsia="Times New Roman" w:cs="Times New Roman"/>
        <w:spacing w:val="-4"/>
        <w:w w:val="100"/>
        <w:sz w:val="21"/>
        <w:szCs w:val="21"/>
      </w:rPr>
    </w:lvl>
    <w:lvl w:ilvl="2">
      <w:start w:val="1"/>
      <w:numFmt w:val="decimal"/>
      <w:lvlText w:val="%3."/>
      <w:lvlJc w:val="left"/>
      <w:pPr>
        <w:ind w:left="1361" w:hanging="420"/>
        <w:jc w:val="left"/>
      </w:pPr>
      <w:rPr>
        <w:rFonts w:hint="default" w:ascii="Times New Roman" w:hAnsi="Times New Roman" w:eastAsia="Times New Roman" w:cs="Times New Roman"/>
        <w:w w:val="100"/>
        <w:sz w:val="21"/>
        <w:szCs w:val="21"/>
      </w:rPr>
    </w:lvl>
    <w:lvl w:ilvl="3">
      <w:start w:val="0"/>
      <w:numFmt w:val="bullet"/>
      <w:lvlText w:val="•"/>
      <w:lvlJc w:val="left"/>
      <w:pPr>
        <w:ind w:left="2345" w:hanging="420"/>
      </w:pPr>
      <w:rPr>
        <w:rFonts w:hint="default"/>
      </w:rPr>
    </w:lvl>
    <w:lvl w:ilvl="4">
      <w:start w:val="0"/>
      <w:numFmt w:val="bullet"/>
      <w:lvlText w:val="•"/>
      <w:lvlJc w:val="left"/>
      <w:pPr>
        <w:ind w:left="3331" w:hanging="420"/>
      </w:pPr>
      <w:rPr>
        <w:rFonts w:hint="default"/>
      </w:rPr>
    </w:lvl>
    <w:lvl w:ilvl="5">
      <w:start w:val="0"/>
      <w:numFmt w:val="bullet"/>
      <w:lvlText w:val="•"/>
      <w:lvlJc w:val="left"/>
      <w:pPr>
        <w:ind w:left="4316" w:hanging="420"/>
      </w:pPr>
      <w:rPr>
        <w:rFonts w:hint="default"/>
      </w:rPr>
    </w:lvl>
    <w:lvl w:ilvl="6">
      <w:start w:val="0"/>
      <w:numFmt w:val="bullet"/>
      <w:lvlText w:val="•"/>
      <w:lvlJc w:val="left"/>
      <w:pPr>
        <w:ind w:left="5302" w:hanging="420"/>
      </w:pPr>
      <w:rPr>
        <w:rFonts w:hint="default"/>
      </w:rPr>
    </w:lvl>
    <w:lvl w:ilvl="7">
      <w:start w:val="0"/>
      <w:numFmt w:val="bullet"/>
      <w:lvlText w:val="•"/>
      <w:lvlJc w:val="left"/>
      <w:pPr>
        <w:ind w:left="6287" w:hanging="420"/>
      </w:pPr>
      <w:rPr>
        <w:rFonts w:hint="default"/>
      </w:rPr>
    </w:lvl>
    <w:lvl w:ilvl="8">
      <w:start w:val="0"/>
      <w:numFmt w:val="bullet"/>
      <w:lvlText w:val="•"/>
      <w:lvlJc w:val="left"/>
      <w:pPr>
        <w:ind w:left="7273"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0"/>
      <w:ind w:left="101"/>
    </w:pPr>
    <w:rPr>
      <w:rFonts w:ascii="黑体" w:hAnsi="黑体" w:eastAsia="黑体" w:cs="黑体"/>
      <w:b/>
      <w:bCs/>
      <w:sz w:val="24"/>
      <w:szCs w:val="24"/>
    </w:rPr>
  </w:style>
  <w:style w:styleId="TOC2" w:type="paragraph">
    <w:name w:val="TOC 2"/>
    <w:basedOn w:val="Normal"/>
    <w:uiPriority w:val="1"/>
    <w:qFormat/>
    <w:pPr>
      <w:spacing w:line="322" w:lineRule="exact"/>
      <w:ind w:left="311"/>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99"/>
      <w:outlineLvl w:val="1"/>
    </w:pPr>
    <w:rPr>
      <w:rFonts w:ascii="黑体" w:hAnsi="黑体" w:eastAsia="黑体" w:cs="黑体"/>
      <w:b/>
      <w:bCs/>
      <w:sz w:val="36"/>
      <w:szCs w:val="36"/>
    </w:rPr>
  </w:style>
  <w:style w:styleId="Heading2" w:type="paragraph">
    <w:name w:val="Heading 2"/>
    <w:basedOn w:val="Normal"/>
    <w:uiPriority w:val="1"/>
    <w:qFormat/>
    <w:pPr>
      <w:ind w:left="101"/>
      <w:outlineLvl w:val="2"/>
    </w:pPr>
    <w:rPr>
      <w:rFonts w:ascii="Microsoft JhengHei" w:hAnsi="Microsoft JhengHei" w:eastAsia="Microsoft JhengHei" w:cs="Microsoft JhengHei"/>
      <w:b/>
      <w:bCs/>
      <w:sz w:val="30"/>
      <w:szCs w:val="30"/>
    </w:rPr>
  </w:style>
  <w:style w:styleId="ListParagraph" w:type="paragraph">
    <w:name w:val="List Paragraph"/>
    <w:basedOn w:val="Normal"/>
    <w:uiPriority w:val="1"/>
    <w:qFormat/>
    <w:pPr>
      <w:spacing w:before="37"/>
      <w:ind w:left="943" w:hanging="360"/>
    </w:pPr>
    <w:rPr>
      <w:rFonts w:ascii="宋体" w:hAnsi="宋体" w:eastAsia="宋体" w:cs="宋体"/>
    </w:rPr>
  </w:style>
  <w:style w:styleId="TableParagraph" w:type="paragraph">
    <w:name w:val="Table Paragraph"/>
    <w:basedOn w:val="Normal"/>
    <w:uiPriority w:val="1"/>
    <w:qFormat/>
    <w:pPr>
      <w:ind w:left="10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1.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taiping</dc:creator>
  <dc:title>主险条款基本格式</dc:title>
  <dcterms:created xsi:type="dcterms:W3CDTF">2018-10-20T08:17:17Z</dcterms:created>
  <dcterms:modified xsi:type="dcterms:W3CDTF">2018-10-20T08:17:17Z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2006-11-30T00:00:00Z</vt:filetime>
  </property>
  <property fmtid="{D5CDD505-2E9C-101B-9397-08002B2CF9AE}" pid="3" name="Creator">
    <vt:lpwstr>Acrobat PDFMaker 7.0 for Word</vt:lpwstr>
  </property>
  <property fmtid="{D5CDD505-2E9C-101B-9397-08002B2CF9AE}" pid="4" name="LastSaved">
    <vt:filetime>2018-10-20T00:00:00Z</vt:filetime>
  </property>
</Properties>
</file>