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9"/>
        <w:ind w:left="2464"/>
      </w:pPr>
      <w:r>
        <w:rPr/>
        <w:drawing>
          <wp:anchor distT="0" distB="0" distL="0" distR="0" allowOverlap="1" layoutInCell="1" locked="0" behindDoc="1" simplePos="0" relativeHeight="268421591">
            <wp:simplePos x="0" y="0"/>
            <wp:positionH relativeFrom="page">
              <wp:posOffset>5279135</wp:posOffset>
            </wp:positionH>
            <wp:positionV relativeFrom="paragraph">
              <wp:posOffset>61207</wp:posOffset>
            </wp:positionV>
            <wp:extent cx="1562862" cy="103860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62862" cy="1038605"/>
                    </a:xfrm>
                    <a:prstGeom prst="rect">
                      <a:avLst/>
                    </a:prstGeom>
                  </pic:spPr>
                </pic:pic>
              </a:graphicData>
            </a:graphic>
          </wp:anchor>
        </w:drawing>
      </w:r>
      <w:r>
        <w:rPr/>
        <w:t>人保寿险附加福贵盈门提前给付</w:t>
      </w:r>
      <w:r>
        <w:rPr>
          <w:w w:val="95"/>
        </w:rPr>
        <w:t>重大疾病保险条款目录</w:t>
      </w:r>
    </w:p>
    <w:p>
      <w:pPr>
        <w:pStyle w:val="BodyText"/>
        <w:spacing w:line="314" w:lineRule="auto" w:before="72"/>
        <w:ind w:left="2157" w:right="2514"/>
        <w:jc w:val="center"/>
      </w:pPr>
      <w:r>
        <w:rPr>
          <w:u w:val="single"/>
        </w:rPr>
        <w:t>条款是保险合同的重要内容，为充分保障您的权益，</w:t>
      </w:r>
      <w:r>
        <w:rPr>
          <w:spacing w:val="-210"/>
          <w:u w:val="single"/>
        </w:rPr>
        <w:t>请</w:t>
      </w:r>
      <w:r>
        <w:rPr>
          <w:u w:val="single"/>
        </w:rPr>
        <w:t>您仔细阅读本条款。</w:t>
      </w:r>
    </w:p>
    <w:p>
      <w:pPr>
        <w:pStyle w:val="BodyText"/>
        <w:spacing w:before="4"/>
        <w:rPr>
          <w:sz w:val="22"/>
        </w:rPr>
      </w:pPr>
    </w:p>
    <w:p>
      <w:pPr>
        <w:pStyle w:val="ListParagraph"/>
        <w:numPr>
          <w:ilvl w:val="0"/>
          <w:numId w:val="1"/>
        </w:numPr>
        <w:tabs>
          <w:tab w:pos="365" w:val="left" w:leader="none"/>
          <w:tab w:pos="5447" w:val="left" w:leader="none"/>
        </w:tabs>
        <w:spacing w:line="240" w:lineRule="auto" w:before="42" w:after="0"/>
        <w:ind w:left="364" w:right="0" w:hanging="264"/>
        <w:jc w:val="left"/>
        <w:rPr>
          <w:sz w:val="21"/>
        </w:rPr>
      </w:pPr>
      <w:r>
        <w:rPr>
          <w:b/>
          <w:sz w:val="21"/>
        </w:rPr>
        <w:t>您与我们的合同</w:t>
        <w:tab/>
      </w:r>
      <w:r>
        <w:rPr>
          <w:rFonts w:ascii="Times New Roman" w:eastAsia="Times New Roman"/>
          <w:sz w:val="21"/>
        </w:rPr>
        <w:t>3.4</w:t>
      </w:r>
      <w:r>
        <w:rPr>
          <w:rFonts w:ascii="Times New Roman" w:eastAsia="Times New Roman"/>
          <w:spacing w:val="50"/>
          <w:sz w:val="21"/>
        </w:rPr>
        <w:t> </w:t>
      </w:r>
      <w:r>
        <w:rPr>
          <w:sz w:val="21"/>
        </w:rPr>
        <w:t>效力终止</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附加合同订立</w:t>
      </w:r>
    </w:p>
    <w:p>
      <w:pPr>
        <w:pStyle w:val="ListParagraph"/>
        <w:numPr>
          <w:ilvl w:val="1"/>
          <w:numId w:val="1"/>
        </w:numPr>
        <w:tabs>
          <w:tab w:pos="890" w:val="left" w:leader="none"/>
          <w:tab w:pos="5027" w:val="left" w:leader="none"/>
        </w:tabs>
        <w:spacing w:line="240" w:lineRule="auto" w:before="49" w:after="0"/>
        <w:ind w:left="889" w:right="0" w:hanging="369"/>
        <w:jc w:val="left"/>
        <w:rPr>
          <w:b/>
          <w:sz w:val="21"/>
        </w:rPr>
      </w:pPr>
      <w:r>
        <w:rPr>
          <w:sz w:val="21"/>
        </w:rPr>
        <w:t>附加合同生效</w:t>
        <w:tab/>
      </w:r>
      <w:r>
        <w:rPr>
          <w:rFonts w:ascii="Times New Roman" w:eastAsia="Times New Roman"/>
          <w:b/>
          <w:sz w:val="21"/>
        </w:rPr>
        <w:t>4.</w:t>
      </w:r>
      <w:r>
        <w:rPr>
          <w:rFonts w:ascii="Times New Roman" w:eastAsia="Times New Roman"/>
          <w:b/>
          <w:spacing w:val="50"/>
          <w:sz w:val="21"/>
        </w:rPr>
        <w:t> </w:t>
      </w:r>
      <w:r>
        <w:rPr>
          <w:b/>
          <w:sz w:val="21"/>
        </w:rPr>
        <w:t>如何申请领取保险金</w:t>
      </w:r>
    </w:p>
    <w:p>
      <w:pPr>
        <w:pStyle w:val="BodyText"/>
        <w:spacing w:before="50"/>
        <w:ind w:left="5448"/>
      </w:pPr>
      <w:r>
        <w:rPr>
          <w:rFonts w:ascii="Times New Roman" w:eastAsia="Times New Roman"/>
        </w:rPr>
        <w:t>4.1 </w:t>
      </w:r>
      <w:r>
        <w:rPr/>
        <w:t>受益人</w:t>
      </w:r>
    </w:p>
    <w:p>
      <w:pPr>
        <w:pStyle w:val="ListParagraph"/>
        <w:numPr>
          <w:ilvl w:val="0"/>
          <w:numId w:val="1"/>
        </w:numPr>
        <w:tabs>
          <w:tab w:pos="365" w:val="left" w:leader="none"/>
          <w:tab w:pos="5447" w:val="left" w:leader="none"/>
        </w:tabs>
        <w:spacing w:line="240" w:lineRule="auto" w:before="49" w:after="0"/>
        <w:ind w:left="364" w:right="0" w:hanging="264"/>
        <w:jc w:val="left"/>
        <w:rPr>
          <w:sz w:val="21"/>
        </w:rPr>
      </w:pPr>
      <w:r>
        <w:rPr>
          <w:b/>
          <w:sz w:val="21"/>
        </w:rPr>
        <w:t>您获得的保障</w:t>
        <w:tab/>
      </w:r>
      <w:r>
        <w:rPr>
          <w:rFonts w:ascii="Times New Roman" w:eastAsia="Times New Roman"/>
          <w:sz w:val="21"/>
        </w:rPr>
        <w:t>4.2</w:t>
      </w:r>
      <w:r>
        <w:rPr>
          <w:rFonts w:ascii="Times New Roman" w:eastAsia="Times New Roman"/>
          <w:spacing w:val="50"/>
          <w:sz w:val="21"/>
        </w:rPr>
        <w:t> </w:t>
      </w:r>
      <w:r>
        <w:rPr>
          <w:sz w:val="21"/>
        </w:rPr>
        <w:t>保险金申请</w:t>
      </w:r>
    </w:p>
    <w:p>
      <w:pPr>
        <w:pStyle w:val="ListParagraph"/>
        <w:numPr>
          <w:ilvl w:val="1"/>
          <w:numId w:val="1"/>
        </w:numPr>
        <w:tabs>
          <w:tab w:pos="890" w:val="left" w:leader="none"/>
          <w:tab w:pos="5447" w:val="left" w:leader="none"/>
        </w:tabs>
        <w:spacing w:line="240" w:lineRule="auto" w:before="49" w:after="0"/>
        <w:ind w:left="889" w:right="0" w:hanging="369"/>
        <w:jc w:val="left"/>
        <w:rPr>
          <w:sz w:val="21"/>
        </w:rPr>
      </w:pPr>
      <w:r>
        <w:rPr>
          <w:sz w:val="21"/>
        </w:rPr>
        <w:t>基本保险金额</w:t>
        <w:tab/>
      </w:r>
      <w:r>
        <w:rPr>
          <w:rFonts w:ascii="Times New Roman" w:eastAsia="Times New Roman"/>
          <w:sz w:val="21"/>
        </w:rPr>
        <w:t>4.3</w:t>
      </w:r>
      <w:r>
        <w:rPr>
          <w:rFonts w:ascii="Times New Roman" w:eastAsia="Times New Roman"/>
          <w:spacing w:val="45"/>
          <w:sz w:val="21"/>
        </w:rPr>
        <w:t> </w:t>
      </w:r>
      <w:r>
        <w:rPr>
          <w:sz w:val="21"/>
        </w:rPr>
        <w:t>保险金的给付</w:t>
      </w:r>
    </w:p>
    <w:p>
      <w:pPr>
        <w:pStyle w:val="ListParagraph"/>
        <w:numPr>
          <w:ilvl w:val="1"/>
          <w:numId w:val="1"/>
        </w:numPr>
        <w:tabs>
          <w:tab w:pos="890" w:val="left" w:leader="none"/>
          <w:tab w:pos="5447" w:val="left" w:leader="none"/>
        </w:tabs>
        <w:spacing w:line="240" w:lineRule="auto" w:before="50" w:after="0"/>
        <w:ind w:left="889" w:right="0" w:hanging="369"/>
        <w:jc w:val="left"/>
        <w:rPr>
          <w:sz w:val="21"/>
        </w:rPr>
      </w:pPr>
      <w:r>
        <w:rPr>
          <w:sz w:val="21"/>
        </w:rPr>
        <w:t>保险期间</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保险责任</w:t>
      </w:r>
    </w:p>
    <w:p>
      <w:pPr>
        <w:pStyle w:val="ListParagraph"/>
        <w:numPr>
          <w:ilvl w:val="1"/>
          <w:numId w:val="1"/>
        </w:numPr>
        <w:tabs>
          <w:tab w:pos="890" w:val="left" w:leader="none"/>
          <w:tab w:pos="5027" w:val="left" w:leader="none"/>
        </w:tabs>
        <w:spacing w:line="240" w:lineRule="auto" w:before="48" w:after="0"/>
        <w:ind w:left="889" w:right="0" w:hanging="369"/>
        <w:jc w:val="left"/>
        <w:rPr>
          <w:b/>
          <w:sz w:val="21"/>
        </w:rPr>
      </w:pPr>
      <w:r>
        <w:rPr>
          <w:sz w:val="21"/>
        </w:rPr>
        <w:t>责任免除</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BodyText"/>
        <w:spacing w:before="50"/>
        <w:ind w:left="5448"/>
      </w:pPr>
      <w:r>
        <w:rPr>
          <w:rFonts w:ascii="Times New Roman" w:eastAsia="Times New Roman"/>
        </w:rPr>
        <w:t>5.1 </w:t>
      </w:r>
      <w:r>
        <w:rPr/>
        <w:t>感染艾滋病病毒或患艾滋病</w:t>
      </w:r>
    </w:p>
    <w:p>
      <w:pPr>
        <w:pStyle w:val="ListParagraph"/>
        <w:numPr>
          <w:ilvl w:val="0"/>
          <w:numId w:val="1"/>
        </w:numPr>
        <w:tabs>
          <w:tab w:pos="365" w:val="left" w:leader="none"/>
          <w:tab w:pos="5447" w:val="left" w:leader="none"/>
        </w:tabs>
        <w:spacing w:line="240" w:lineRule="auto" w:before="49" w:after="0"/>
        <w:ind w:left="364" w:right="0" w:hanging="264"/>
        <w:jc w:val="left"/>
        <w:rPr>
          <w:sz w:val="21"/>
        </w:rPr>
      </w:pPr>
      <w:r>
        <w:rPr>
          <w:b/>
          <w:sz w:val="21"/>
        </w:rPr>
        <w:t>您的义务和权利</w:t>
        <w:tab/>
      </w:r>
      <w:r>
        <w:rPr>
          <w:rFonts w:ascii="Times New Roman" w:eastAsia="Times New Roman"/>
          <w:sz w:val="21"/>
        </w:rPr>
        <w:t>5.2</w:t>
      </w:r>
      <w:r>
        <w:rPr>
          <w:rFonts w:ascii="Times New Roman" w:eastAsia="Times New Roman"/>
          <w:spacing w:val="48"/>
          <w:sz w:val="21"/>
        </w:rPr>
        <w:t> </w:t>
      </w:r>
      <w:r>
        <w:rPr>
          <w:sz w:val="21"/>
        </w:rPr>
        <w:t>遗传性疾病</w:t>
      </w:r>
    </w:p>
    <w:p>
      <w:pPr>
        <w:pStyle w:val="ListParagraph"/>
        <w:numPr>
          <w:ilvl w:val="1"/>
          <w:numId w:val="1"/>
        </w:numPr>
        <w:tabs>
          <w:tab w:pos="890" w:val="left" w:leader="none"/>
          <w:tab w:pos="5447" w:val="left" w:leader="none"/>
        </w:tabs>
        <w:spacing w:line="240" w:lineRule="auto" w:before="49" w:after="0"/>
        <w:ind w:left="889" w:right="0" w:hanging="369"/>
        <w:jc w:val="left"/>
        <w:rPr>
          <w:sz w:val="21"/>
        </w:rPr>
      </w:pPr>
      <w:r>
        <w:rPr>
          <w:sz w:val="21"/>
        </w:rPr>
        <w:t>保险费的交纳</w:t>
        <w:tab/>
      </w:r>
      <w:r>
        <w:rPr>
          <w:rFonts w:ascii="Times New Roman" w:eastAsia="Times New Roman"/>
          <w:sz w:val="21"/>
        </w:rPr>
        <w:t>5.3</w:t>
      </w:r>
      <w:r>
        <w:rPr>
          <w:rFonts w:ascii="Times New Roman" w:eastAsia="Times New Roman"/>
          <w:spacing w:val="50"/>
          <w:sz w:val="21"/>
        </w:rPr>
        <w:t> </w:t>
      </w:r>
      <w:r>
        <w:rPr>
          <w:sz w:val="21"/>
        </w:rPr>
        <w:t>先天性畸形、变形或染色体异常</w:t>
      </w:r>
    </w:p>
    <w:p>
      <w:pPr>
        <w:pStyle w:val="ListParagraph"/>
        <w:numPr>
          <w:ilvl w:val="1"/>
          <w:numId w:val="1"/>
        </w:numPr>
        <w:tabs>
          <w:tab w:pos="890" w:val="left" w:leader="none"/>
          <w:tab w:pos="5447" w:val="left" w:leader="none"/>
        </w:tabs>
        <w:spacing w:line="240" w:lineRule="auto" w:before="50" w:after="0"/>
        <w:ind w:left="889" w:right="0" w:hanging="369"/>
        <w:jc w:val="left"/>
        <w:rPr>
          <w:sz w:val="21"/>
        </w:rPr>
      </w:pPr>
      <w:r>
        <w:rPr>
          <w:sz w:val="21"/>
        </w:rPr>
        <w:t>犹豫期</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您解除合同的手续及风险</w:t>
      </w:r>
    </w:p>
    <w:p>
      <w:pPr>
        <w:pStyle w:val="BodyText"/>
        <w:rPr>
          <w:sz w:val="22"/>
        </w:rPr>
      </w:pPr>
    </w:p>
    <w:p>
      <w:pPr>
        <w:pStyle w:val="BodyText"/>
        <w:spacing w:before="3"/>
        <w:rPr>
          <w:sz w:val="32"/>
        </w:rPr>
      </w:pPr>
    </w:p>
    <w:p>
      <w:pPr>
        <w:pStyle w:val="Heading1"/>
        <w:ind w:left="2463"/>
      </w:pPr>
      <w:r>
        <w:rPr>
          <w:w w:val="95"/>
        </w:rPr>
        <w:t>条款特别提示</w:t>
      </w:r>
    </w:p>
    <w:p>
      <w:pPr>
        <w:pStyle w:val="BodyText"/>
        <w:spacing w:before="72"/>
        <w:ind w:right="357"/>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5"/>
        <w:ind w:left="2462" w:right="2820"/>
        <w:jc w:val="center"/>
      </w:pPr>
      <w:r>
        <w:rPr/>
        <w:t>您拥有的重要权利</w:t>
      </w:r>
    </w:p>
    <w:p>
      <w:pPr>
        <w:pStyle w:val="ListParagraph"/>
        <w:numPr>
          <w:ilvl w:val="0"/>
          <w:numId w:val="2"/>
        </w:numPr>
        <w:tabs>
          <w:tab w:pos="543" w:val="left" w:leader="none"/>
          <w:tab w:pos="544" w:val="left" w:leader="none"/>
          <w:tab w:pos="8786" w:val="right" w:leader="dot"/>
        </w:tabs>
        <w:spacing w:line="240" w:lineRule="auto" w:before="65"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ListParagraph"/>
        <w:numPr>
          <w:ilvl w:val="0"/>
          <w:numId w:val="2"/>
        </w:numPr>
        <w:tabs>
          <w:tab w:pos="543" w:val="left" w:leader="none"/>
          <w:tab w:pos="544" w:val="left" w:leader="none"/>
          <w:tab w:pos="8786" w:val="right" w:leader="dot"/>
        </w:tabs>
        <w:spacing w:line="240" w:lineRule="auto" w:before="48"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85" w:val="right" w:leader="dot"/>
        </w:tabs>
        <w:spacing w:line="240" w:lineRule="auto" w:before="48"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left="2462" w:right="2820"/>
        <w:jc w:val="center"/>
      </w:pPr>
      <w:r>
        <w:rPr/>
        <w:t>您应当特别注意的事项</w:t>
      </w:r>
    </w:p>
    <w:p>
      <w:pPr>
        <w:pStyle w:val="ListParagraph"/>
        <w:numPr>
          <w:ilvl w:val="0"/>
          <w:numId w:val="2"/>
        </w:numPr>
        <w:tabs>
          <w:tab w:pos="543" w:val="left" w:leader="none"/>
          <w:tab w:pos="544" w:val="left" w:leader="none"/>
        </w:tabs>
        <w:spacing w:line="240" w:lineRule="auto" w:before="64" w:after="0"/>
        <w:ind w:left="54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51"/>
        <w:ind w:right="17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6" w:val="right" w:leader="dot"/>
        </w:tabs>
        <w:spacing w:line="240" w:lineRule="auto" w:before="49"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43" w:val="left" w:leader="none"/>
          <w:tab w:pos="544" w:val="left" w:leader="none"/>
          <w:tab w:pos="8785" w:val="right" w:leader="dot"/>
        </w:tabs>
        <w:spacing w:line="240" w:lineRule="auto" w:before="50"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627" w:val="right" w:leader="dot"/>
        </w:tabs>
        <w:spacing w:line="240" w:lineRule="auto" w:before="48"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80" w:right="1020"/>
        </w:sectPr>
      </w:pPr>
    </w:p>
    <w:p>
      <w:pPr>
        <w:pStyle w:val="Heading1"/>
        <w:spacing w:line="382" w:lineRule="exact"/>
        <w:ind w:right="1033"/>
      </w:pPr>
      <w:r>
        <w:rPr>
          <w:w w:val="95"/>
        </w:rPr>
        <w:t>人保寿险附加福贵盈门提前给付重大疾病保险条款</w:t>
      </w:r>
    </w:p>
    <w:p>
      <w:pPr>
        <w:pStyle w:val="BodyText"/>
        <w:spacing w:before="459"/>
        <w:ind w:left="1088" w:right="1033"/>
        <w:jc w:val="center"/>
      </w:pPr>
      <w:r>
        <w:rPr/>
        <w:pict>
          <v:shapetype id="_x0000_t202" o:spt="202" coordsize="21600,21600" path="m,l,21600r21600,l21600,xe">
            <v:stroke joinstyle="miter"/>
            <v:path gradientshapeok="t" o:connecttype="rect"/>
          </v:shapetype>
          <v:shape style="position:absolute;margin-left:58.439999pt;margin-top:39.294090pt;width:478.4pt;height:15pt;mso-position-horizontal-relative:page;mso-position-vertical-relative:paragraph;z-index:1072"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3"/>
        </w:rPr>
        <w:t>在本条款中，“您”指投保人，“我们”、“本公司”均指中国人民人寿保险股份有限公司。</w:t>
      </w:r>
    </w:p>
    <w:p>
      <w:pPr>
        <w:spacing w:after="0"/>
        <w:jc w:val="center"/>
        <w:sectPr>
          <w:pgSz w:w="11910" w:h="16840"/>
          <w:pgMar w:top="1520" w:bottom="280" w:left="1060" w:right="1020"/>
        </w:sectPr>
      </w:pPr>
    </w:p>
    <w:p>
      <w:pPr>
        <w:pStyle w:val="Heading2"/>
        <w:numPr>
          <w:ilvl w:val="1"/>
          <w:numId w:val="3"/>
        </w:numPr>
        <w:tabs>
          <w:tab w:pos="936" w:val="left" w:leader="none"/>
          <w:tab w:pos="937" w:val="left" w:leader="none"/>
        </w:tabs>
        <w:spacing w:line="247" w:lineRule="auto" w:before="459" w:after="0"/>
        <w:ind w:left="936"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36" w:val="left" w:leader="none"/>
          <w:tab w:pos="937" w:val="left" w:leader="none"/>
        </w:tabs>
        <w:spacing w:line="247" w:lineRule="auto" w:before="0" w:after="0"/>
        <w:ind w:left="936" w:right="0" w:hanging="720"/>
        <w:jc w:val="left"/>
        <w:rPr>
          <w:b/>
          <w:sz w:val="21"/>
        </w:rPr>
      </w:pPr>
      <w:r>
        <w:rPr>
          <w:b/>
          <w:sz w:val="21"/>
        </w:rPr>
        <w:t>附加合同生效</w:t>
      </w:r>
    </w:p>
    <w:p>
      <w:pPr>
        <w:pStyle w:val="BodyText"/>
        <w:rPr>
          <w:b/>
          <w:sz w:val="20"/>
        </w:rPr>
      </w:pPr>
      <w:r>
        <w:rPr/>
        <w:br w:type="column"/>
      </w:r>
      <w:r>
        <w:rPr>
          <w:b/>
          <w:sz w:val="20"/>
        </w:rPr>
      </w:r>
    </w:p>
    <w:p>
      <w:pPr>
        <w:pStyle w:val="BodyText"/>
        <w:spacing w:before="1"/>
        <w:rPr>
          <w:b/>
          <w:sz w:val="15"/>
        </w:rPr>
      </w:pPr>
    </w:p>
    <w:p>
      <w:pPr>
        <w:pStyle w:val="BodyText"/>
        <w:spacing w:line="261" w:lineRule="auto"/>
        <w:ind w:left="216" w:right="288"/>
        <w:jc w:val="both"/>
      </w:pPr>
      <w:r>
        <w:rPr/>
        <w:t>人保寿险附加福贵盈门提前给付重大疾病保险合同（以下简称“本附加合同”） 由人保寿险福贵盈门两全保险（分红型）合同（以下简称“主合同”）投保人提出申请，经我们同意而订立。主合同条款适用于本附加合同，若主合同条款与本附加合同条款互有抵触，则以本附加合同条款为准。</w:t>
      </w:r>
    </w:p>
    <w:p>
      <w:pPr>
        <w:pStyle w:val="BodyText"/>
        <w:spacing w:line="360" w:lineRule="auto" w:before="5"/>
        <w:ind w:left="216" w:right="708"/>
      </w:pPr>
      <w:r>
        <w:rPr/>
        <w:t>若本附加合同未在主合同保险单或批注单上载明，本附加合同不发生效力。本附加合同需与主合同同时投保，本附加合同的生效日期与主合同相同。</w:t>
      </w:r>
    </w:p>
    <w:p>
      <w:pPr>
        <w:spacing w:after="0" w:line="360" w:lineRule="auto"/>
        <w:sectPr>
          <w:type w:val="continuous"/>
          <w:pgSz w:w="11910" w:h="16840"/>
          <w:pgMar w:top="1400" w:bottom="280" w:left="1060" w:right="1020"/>
          <w:cols w:num="2" w:equalWidth="0">
            <w:col w:w="1782" w:space="185"/>
            <w:col w:w="7863"/>
          </w:cols>
        </w:sectPr>
      </w:pPr>
    </w:p>
    <w:p>
      <w:pPr>
        <w:pStyle w:val="BodyText"/>
        <w:spacing w:before="5"/>
        <w:rPr>
          <w:sz w:val="10"/>
        </w:rPr>
      </w:pPr>
    </w:p>
    <w:p>
      <w:pPr>
        <w:pStyle w:val="BodyText"/>
        <w:ind w:left="108"/>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1060" w:right="1020"/>
        </w:sectPr>
      </w:pPr>
    </w:p>
    <w:p>
      <w:pPr>
        <w:pStyle w:val="ListParagraph"/>
        <w:numPr>
          <w:ilvl w:val="1"/>
          <w:numId w:val="4"/>
        </w:numPr>
        <w:tabs>
          <w:tab w:pos="936" w:val="left" w:leader="none"/>
          <w:tab w:pos="937" w:val="left" w:leader="none"/>
        </w:tabs>
        <w:spacing w:line="247" w:lineRule="auto" w:before="24" w:after="0"/>
        <w:ind w:left="936" w:right="0" w:hanging="720"/>
        <w:jc w:val="left"/>
        <w:rPr>
          <w:b/>
          <w:sz w:val="21"/>
        </w:rPr>
      </w:pPr>
      <w:r>
        <w:rPr>
          <w:b/>
          <w:sz w:val="21"/>
        </w:rPr>
        <w:t>基本保险金额</w:t>
      </w:r>
    </w:p>
    <w:p>
      <w:pPr>
        <w:pStyle w:val="BodyText"/>
        <w:spacing w:before="24"/>
        <w:ind w:left="216"/>
      </w:pPr>
      <w:r>
        <w:rPr/>
        <w:br w:type="column"/>
      </w:r>
      <w:r>
        <w:rPr/>
        <w:t>本附加合同的基本保险金额与主合同相同。</w:t>
      </w:r>
    </w:p>
    <w:p>
      <w:pPr>
        <w:spacing w:after="0"/>
        <w:sectPr>
          <w:type w:val="continuous"/>
          <w:pgSz w:w="11910" w:h="16840"/>
          <w:pgMar w:top="1400" w:bottom="280" w:left="1060" w:right="1020"/>
          <w:cols w:num="2" w:equalWidth="0">
            <w:col w:w="1782" w:space="185"/>
            <w:col w:w="7863"/>
          </w:cols>
        </w:sectPr>
      </w:pPr>
    </w:p>
    <w:p>
      <w:pPr>
        <w:pStyle w:val="ListParagraph"/>
        <w:numPr>
          <w:ilvl w:val="1"/>
          <w:numId w:val="4"/>
        </w:numPr>
        <w:tabs>
          <w:tab w:pos="936" w:val="left" w:leader="none"/>
          <w:tab w:pos="937" w:val="left" w:leader="none"/>
          <w:tab w:pos="2183" w:val="left" w:leader="none"/>
        </w:tabs>
        <w:spacing w:line="240" w:lineRule="auto" w:before="136" w:after="0"/>
        <w:ind w:left="936" w:right="0" w:hanging="720"/>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36" w:val="left" w:leader="none"/>
          <w:tab w:pos="937" w:val="left" w:leader="none"/>
          <w:tab w:pos="2183" w:val="left" w:leader="none"/>
        </w:tabs>
        <w:spacing w:line="240" w:lineRule="auto" w:before="132" w:after="0"/>
        <w:ind w:left="936"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060" w:right="1020"/>
        </w:sectPr>
      </w:pPr>
    </w:p>
    <w:p>
      <w:pPr>
        <w:pStyle w:val="Heading2"/>
        <w:spacing w:line="196" w:lineRule="auto" w:before="122"/>
        <w:ind w:left="936" w:firstLine="0"/>
        <w:rPr>
          <w:rFonts w:ascii="Microsoft JhengHei" w:eastAsia="Microsoft JhengHei" w:hint="eastAsia"/>
        </w:rPr>
      </w:pPr>
      <w:r>
        <w:rPr>
          <w:rFonts w:ascii="Microsoft JhengHei" w:eastAsia="Microsoft JhengHei" w:hint="eastAsia"/>
        </w:rPr>
        <w:t>重大疾病保险金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3"/>
        <w:rPr>
          <w:rFonts w:ascii="Microsoft JhengHei"/>
          <w:b/>
          <w:sz w:val="23"/>
        </w:rPr>
      </w:pPr>
    </w:p>
    <w:p>
      <w:pPr>
        <w:spacing w:line="196" w:lineRule="auto" w:before="0"/>
        <w:ind w:left="936" w:right="0" w:firstLine="0"/>
        <w:jc w:val="left"/>
        <w:rPr>
          <w:rFonts w:ascii="Microsoft JhengHei" w:eastAsia="Microsoft JhengHei" w:hint="eastAsia"/>
          <w:b/>
          <w:sz w:val="21"/>
        </w:rPr>
      </w:pPr>
      <w:r>
        <w:rPr>
          <w:rFonts w:ascii="Microsoft JhengHei" w:eastAsia="Microsoft JhengHei" w:hint="eastAsia"/>
          <w:b/>
          <w:sz w:val="21"/>
        </w:rPr>
        <w:t>身故或全残保险金</w:t>
      </w:r>
    </w:p>
    <w:p>
      <w:pPr>
        <w:pStyle w:val="BodyText"/>
        <w:spacing w:line="247" w:lineRule="auto" w:before="123"/>
        <w:ind w:left="459" w:right="287" w:hanging="68"/>
      </w:pPr>
      <w:r>
        <w:rPr/>
        <w:br w:type="column"/>
      </w:r>
      <w:r>
        <w:rPr>
          <w:spacing w:val="-1"/>
        </w:rPr>
        <w:t>被保险人初次被确诊患有本附加合同约定的</w:t>
      </w:r>
      <w:r>
        <w:rPr>
          <w:b/>
          <w:spacing w:val="-8"/>
          <w:w w:val="99"/>
        </w:rPr>
        <w:t>重大疾病</w:t>
      </w:r>
      <w:r>
        <w:rPr/>
        <w:t>（</w:t>
      </w:r>
      <w:r>
        <w:rPr>
          <w:spacing w:val="-27"/>
        </w:rPr>
        <w:t>见 </w:t>
      </w:r>
      <w:r>
        <w:rPr>
          <w:rFonts w:ascii="Times New Roman" w:eastAsia="Times New Roman"/>
        </w:rPr>
        <w:t>5</w:t>
      </w:r>
      <w:r>
        <w:rPr>
          <w:rFonts w:ascii="Times New Roman" w:eastAsia="Times New Roman"/>
          <w:spacing w:val="-1"/>
        </w:rPr>
        <w:t>.</w:t>
      </w:r>
      <w:r>
        <w:rPr>
          <w:rFonts w:ascii="Times New Roman" w:eastAsia="Times New Roman"/>
        </w:rPr>
        <w:t>4</w:t>
      </w:r>
      <w:r>
        <w:rPr>
          <w:spacing w:val="-138"/>
        </w:rPr>
        <w:t>）</w:t>
      </w:r>
      <w:r>
        <w:rPr/>
        <w:t>（</w:t>
      </w:r>
      <w:r>
        <w:rPr>
          <w:spacing w:val="-1"/>
        </w:rPr>
        <w:t>一种或多种</w:t>
      </w:r>
      <w:r>
        <w:rPr>
          <w:spacing w:val="-105"/>
        </w:rPr>
        <w:t>）</w:t>
      </w:r>
      <w:r>
        <w:rPr>
          <w:spacing w:val="-34"/>
        </w:rPr>
        <w:t>，我</w:t>
      </w:r>
      <w:r>
        <w:rPr/>
        <w:t>们按以下规定给付重大疾病保险金，本附加合同和主合同同时终止。</w:t>
      </w:r>
    </w:p>
    <w:p>
      <w:pPr>
        <w:pStyle w:val="BodyText"/>
        <w:spacing w:before="19"/>
        <w:ind w:left="413"/>
      </w:pPr>
      <w:r>
        <w:rPr/>
        <w:t>①若您选择一次交清保险费，则</w:t>
      </w:r>
    </w:p>
    <w:p>
      <w:pPr>
        <w:pStyle w:val="BodyText"/>
        <w:spacing w:line="256" w:lineRule="auto" w:before="15"/>
        <w:ind w:left="684" w:right="255" w:firstLine="3"/>
      </w:pPr>
      <w:r>
        <w:rPr/>
        <w:t>重大疾病保险金</w:t>
      </w:r>
      <w:r>
        <w:rPr>
          <w:rFonts w:ascii="Times New Roman" w:hAnsi="Times New Roman" w:eastAsia="Times New Roman"/>
        </w:rPr>
        <w:t>=</w:t>
      </w:r>
      <w:r>
        <w:rPr/>
        <w:t>基本保险金额</w:t>
      </w:r>
      <w:r>
        <w:rPr>
          <w:rFonts w:ascii="Times New Roman" w:hAnsi="Times New Roman" w:eastAsia="Times New Roman"/>
        </w:rPr>
        <w:t>×</w:t>
      </w:r>
      <w:r>
        <w:rPr/>
        <w:t>(</w:t>
      </w:r>
      <w:r>
        <w:rPr>
          <w:rFonts w:ascii="Times New Roman" w:hAnsi="Times New Roman" w:eastAsia="Times New Roman"/>
        </w:rPr>
        <w:t>100%+5%×</w:t>
      </w:r>
      <w:r>
        <w:rPr/>
        <w:t>初次被确诊患重大疾病时保单年度)。</w:t>
      </w:r>
    </w:p>
    <w:p>
      <w:pPr>
        <w:pStyle w:val="BodyText"/>
        <w:spacing w:before="31"/>
        <w:ind w:left="417"/>
      </w:pPr>
      <w:r>
        <w:rPr/>
        <w:t>②若您选择分期交纳保险费，则</w:t>
      </w:r>
    </w:p>
    <w:p>
      <w:pPr>
        <w:pStyle w:val="BodyText"/>
        <w:spacing w:before="25"/>
        <w:ind w:left="687"/>
      </w:pPr>
      <w:r>
        <w:rPr/>
        <w:t>重大疾病保险金</w:t>
      </w:r>
      <w:r>
        <w:rPr>
          <w:rFonts w:ascii="Times New Roman" w:hAnsi="Times New Roman" w:eastAsia="Times New Roman"/>
        </w:rPr>
        <w:t>=</w:t>
      </w:r>
      <w:r>
        <w:rPr/>
        <w:t>基本保险金额</w:t>
      </w:r>
      <w:r>
        <w:rPr>
          <w:rFonts w:ascii="Times New Roman" w:hAnsi="Times New Roman" w:eastAsia="Times New Roman"/>
        </w:rPr>
        <w:t>×</w:t>
      </w:r>
      <w:r>
        <w:rPr/>
        <w:t>初次被确诊患重大疾病时交费年度数</w:t>
      </w:r>
    </w:p>
    <w:p>
      <w:pPr>
        <w:pStyle w:val="BodyText"/>
        <w:spacing w:before="9"/>
        <w:ind w:left="699"/>
      </w:pPr>
      <w:r>
        <w:rPr>
          <w:rFonts w:ascii="Times New Roman" w:hAnsi="Times New Roman" w:eastAsia="Times New Roman"/>
        </w:rPr>
        <w:t>×</w:t>
      </w:r>
      <w:r>
        <w:rPr/>
        <w:t>(</w:t>
      </w:r>
      <w:r>
        <w:rPr>
          <w:rFonts w:ascii="Times New Roman" w:hAnsi="Times New Roman" w:eastAsia="Times New Roman"/>
        </w:rPr>
        <w:t>100%+5%×</w:t>
      </w:r>
      <w:r>
        <w:rPr/>
        <w:t>初次被确诊患重大疾病时交费年度数)。</w:t>
      </w:r>
    </w:p>
    <w:p>
      <w:pPr>
        <w:pStyle w:val="BodyText"/>
        <w:spacing w:line="256" w:lineRule="auto" w:before="9"/>
        <w:ind w:left="489" w:right="252" w:hanging="12"/>
        <w:jc w:val="both"/>
      </w:pPr>
      <w:r>
        <w:rPr>
          <w:spacing w:val="-2"/>
        </w:rPr>
        <w:t>但若被保险人自本附加合同生效</w:t>
      </w:r>
      <w:r>
        <w:rPr/>
        <w:t>（或最后复效</w:t>
      </w:r>
      <w:r>
        <w:rPr>
          <w:spacing w:val="-26"/>
        </w:rPr>
        <w:t>）</w:t>
      </w:r>
      <w:r>
        <w:rPr>
          <w:spacing w:val="-14"/>
        </w:rPr>
        <w:t>之日起 </w:t>
      </w:r>
      <w:r>
        <w:rPr>
          <w:rFonts w:ascii="Times New Roman" w:eastAsia="Times New Roman"/>
        </w:rPr>
        <w:t>1 </w:t>
      </w:r>
      <w:r>
        <w:rPr>
          <w:spacing w:val="-5"/>
        </w:rPr>
        <w:t>年内因疾病，初次被确诊患有本附加合同约定的重大疾病（一种或多种</w:t>
      </w:r>
      <w:r>
        <w:rPr>
          <w:spacing w:val="-105"/>
        </w:rPr>
        <w:t>）</w:t>
      </w:r>
      <w:r>
        <w:rPr>
          <w:spacing w:val="-1"/>
        </w:rPr>
        <w:t>，我们按所交的本附加合同和</w:t>
      </w:r>
      <w:r>
        <w:rPr>
          <w:spacing w:val="-5"/>
        </w:rPr>
        <w:t>主合同的保险费之和</w:t>
      </w:r>
      <w:r>
        <w:rPr/>
        <w:t>（不计利息</w:t>
      </w:r>
      <w:r>
        <w:rPr>
          <w:spacing w:val="-31"/>
        </w:rPr>
        <w:t>）</w:t>
      </w:r>
      <w:r>
        <w:rPr>
          <w:spacing w:val="-4"/>
        </w:rPr>
        <w:t>给付重大疾病保险金，本附加合同和主合同同时终止。</w:t>
      </w:r>
    </w:p>
    <w:p>
      <w:pPr>
        <w:pStyle w:val="BodyText"/>
        <w:spacing w:before="114"/>
        <w:ind w:left="365"/>
      </w:pPr>
      <w:r>
        <w:rPr/>
        <w:t>初次被确诊患重大疾病时交费年度数按如下方式确定：</w:t>
      </w:r>
    </w:p>
    <w:p>
      <w:pPr>
        <w:pStyle w:val="BodyText"/>
        <w:spacing w:line="254" w:lineRule="auto" w:before="47"/>
        <w:ind w:left="894" w:right="179" w:hanging="530"/>
      </w:pPr>
      <w:r>
        <w:rPr/>
        <w:t>（</w:t>
      </w:r>
      <w:r>
        <w:rPr>
          <w:rFonts w:ascii="Times New Roman" w:eastAsia="Times New Roman"/>
        </w:rPr>
        <w:t>1</w:t>
      </w:r>
      <w:r>
        <w:rPr/>
        <w:t>）被保险人在交费期间内初次被确诊患重大疾病的，初次被确诊患重大疾病时交费年度数等于自本附加合同生效之日起至被保险人初次被确诊患重大疾病时止本附加合同所经过的整年数加 </w:t>
      </w:r>
      <w:r>
        <w:rPr>
          <w:rFonts w:ascii="Times New Roman" w:eastAsia="Times New Roman"/>
        </w:rPr>
        <w:t>1</w:t>
      </w:r>
      <w:r>
        <w:rPr/>
        <w:t>。</w:t>
      </w:r>
    </w:p>
    <w:p>
      <w:pPr>
        <w:pStyle w:val="BodyText"/>
        <w:spacing w:line="247" w:lineRule="auto"/>
        <w:ind w:left="905" w:right="207" w:hanging="541"/>
      </w:pPr>
      <w:r>
        <w:rPr>
          <w:spacing w:val="-4"/>
        </w:rPr>
        <w:t>（</w:t>
      </w:r>
      <w:r>
        <w:rPr>
          <w:rFonts w:ascii="Times New Roman" w:eastAsia="Times New Roman"/>
          <w:spacing w:val="-4"/>
        </w:rPr>
        <w:t>2</w:t>
      </w:r>
      <w:r>
        <w:rPr>
          <w:spacing w:val="-4"/>
        </w:rPr>
        <w:t>）</w:t>
      </w:r>
      <w:r>
        <w:rPr>
          <w:spacing w:val="-1"/>
        </w:rPr>
        <w:t>被保险人在交费期间外初次被确诊患重大疾病的，初次被确诊患重大疾病时交费年度数等于在保险单上载明的交费期间（年数</w:t>
      </w:r>
      <w:r>
        <w:rPr>
          <w:spacing w:val="-105"/>
        </w:rPr>
        <w:t>）</w:t>
      </w:r>
      <w:r>
        <w:rPr/>
        <w:t>。</w:t>
      </w:r>
    </w:p>
    <w:p>
      <w:pPr>
        <w:pStyle w:val="BodyText"/>
        <w:spacing w:line="261" w:lineRule="auto" w:before="136"/>
        <w:ind w:left="365" w:right="204"/>
      </w:pPr>
      <w:r>
        <w:rPr/>
        <w:t>若已给付或应给付主合同项下的保险金，我们不再承担本附加合同的重大疾病保险金责任。</w:t>
      </w:r>
    </w:p>
    <w:p>
      <w:pPr>
        <w:pStyle w:val="BodyText"/>
        <w:spacing w:before="119"/>
        <w:ind w:left="365"/>
      </w:pPr>
      <w:r>
        <w:rPr>
          <w:spacing w:val="-1"/>
        </w:rPr>
        <w:t>被保险人自本附加合同生效</w:t>
      </w:r>
      <w:r>
        <w:rPr/>
        <w:t>（或最后复效</w:t>
      </w:r>
      <w:r>
        <w:rPr>
          <w:spacing w:val="-12"/>
        </w:rPr>
        <w:t>）</w:t>
      </w:r>
      <w:r>
        <w:rPr>
          <w:spacing w:val="-14"/>
        </w:rPr>
        <w:t>之日起 </w:t>
      </w:r>
      <w:r>
        <w:rPr/>
        <w:t>1</w:t>
      </w:r>
      <w:r>
        <w:rPr>
          <w:spacing w:val="-8"/>
        </w:rPr>
        <w:t> 年内因疾病导致身故或全残，</w:t>
      </w:r>
    </w:p>
    <w:p>
      <w:pPr>
        <w:pStyle w:val="BodyText"/>
        <w:spacing w:line="261" w:lineRule="auto" w:before="25"/>
        <w:ind w:left="365" w:right="204"/>
        <w:jc w:val="both"/>
      </w:pPr>
      <w:r>
        <w:rPr>
          <w:spacing w:val="-8"/>
        </w:rPr>
        <w:t>或被保险人于年满 </w:t>
      </w:r>
      <w:r>
        <w:rPr/>
        <w:t>18</w:t>
      </w:r>
      <w:r>
        <w:rPr>
          <w:spacing w:val="-11"/>
        </w:rPr>
        <w:t> 周岁之前身故或全残，我们按身故或全残时本附加合同的现金价值和所交保险费（不计利息）的较大者给付身故或全残保险金，本附加合同终止。</w:t>
      </w:r>
    </w:p>
    <w:p>
      <w:pPr>
        <w:pStyle w:val="BodyText"/>
        <w:spacing w:before="118"/>
        <w:ind w:left="365"/>
      </w:pPr>
      <w:r>
        <w:rPr/>
        <w:t>本附加合同所列各种保险金的给付累计以 </w:t>
      </w:r>
      <w:r>
        <w:rPr>
          <w:rFonts w:ascii="Times New Roman" w:eastAsia="Times New Roman"/>
        </w:rPr>
        <w:t>1 </w:t>
      </w:r>
      <w:r>
        <w:rPr/>
        <w:t>种和 </w:t>
      </w:r>
      <w:r>
        <w:rPr>
          <w:rFonts w:ascii="Times New Roman" w:eastAsia="Times New Roman"/>
        </w:rPr>
        <w:t>1 </w:t>
      </w:r>
      <w:r>
        <w:rPr/>
        <w:t>次为限。</w:t>
      </w:r>
    </w:p>
    <w:p>
      <w:pPr>
        <w:spacing w:after="0"/>
        <w:sectPr>
          <w:type w:val="continuous"/>
          <w:pgSz w:w="11910" w:h="16840"/>
          <w:pgMar w:top="1400" w:bottom="280" w:left="1060" w:right="1020"/>
          <w:cols w:num="2" w:equalWidth="0">
            <w:col w:w="1779" w:space="40"/>
            <w:col w:w="8011"/>
          </w:cols>
        </w:sectPr>
      </w:pPr>
    </w:p>
    <w:p>
      <w:pPr>
        <w:pStyle w:val="ListParagraph"/>
        <w:numPr>
          <w:ilvl w:val="1"/>
          <w:numId w:val="4"/>
        </w:numPr>
        <w:tabs>
          <w:tab w:pos="936" w:val="left" w:leader="none"/>
          <w:tab w:pos="937" w:val="left" w:leader="none"/>
          <w:tab w:pos="2183" w:val="left" w:leader="none"/>
        </w:tabs>
        <w:spacing w:line="247" w:lineRule="auto" w:before="27" w:after="0"/>
        <w:ind w:left="2183" w:right="165" w:hanging="1967"/>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我们不承担给付重大疾病保险金的责任：</w:t>
      </w:r>
    </w:p>
    <w:p>
      <w:pPr>
        <w:pStyle w:val="BodyText"/>
        <w:spacing w:before="18"/>
        <w:ind w:left="2183"/>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83"/>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9"/>
        <w:ind w:left="2183"/>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83"/>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9"/>
        <w:ind w:left="2674" w:right="213"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spacing w:val="-10"/>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（见</w:t>
      </w:r>
      <w:r>
        <w:rPr>
          <w:rFonts w:ascii="Times New Roman" w:hAnsi="Times New Roman" w:eastAsia="Times New Roman"/>
        </w:rPr>
        <w:t>5</w:t>
      </w:r>
      <w:r>
        <w:rPr>
          <w:rFonts w:ascii="Times New Roman" w:hAnsi="Times New Roman" w:eastAsia="Times New Roman"/>
          <w:spacing w:val="-1"/>
        </w:rPr>
        <w:t>.</w:t>
      </w:r>
      <w:r>
        <w:rPr>
          <w:rFonts w:ascii="Times New Roman" w:hAnsi="Times New Roman" w:eastAsia="Times New Roman"/>
        </w:rPr>
        <w:t>1</w:t>
      </w:r>
      <w:r>
        <w:rPr>
          <w:rFonts w:ascii="黑体" w:hAnsi="黑体" w:eastAsia="黑体" w:hint="eastAsia"/>
          <w:spacing w:val="-115"/>
        </w:rPr>
        <w:t>）</w:t>
      </w:r>
      <w:r>
        <w:rPr>
          <w:rFonts w:ascii="黑体" w:hAnsi="黑体" w:eastAsia="黑体" w:hint="eastAsia"/>
        </w:rPr>
        <w:t>（</w:t>
      </w:r>
      <w:r>
        <w:rPr>
          <w:rFonts w:ascii="黑体" w:hAnsi="黑体" w:eastAsia="黑体" w:hint="eastAsia"/>
          <w:spacing w:val="-1"/>
        </w:rPr>
        <w:t>被保险人感染艾滋病病毒但符合本附加合同</w:t>
      </w:r>
      <w:r>
        <w:rPr>
          <w:rFonts w:ascii="Times New Roman" w:hAnsi="Times New Roman" w:eastAsia="Times New Roman"/>
          <w:spacing w:val="-1"/>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定义的不在此限</w:t>
      </w:r>
      <w:r>
        <w:rPr>
          <w:rFonts w:ascii="黑体" w:hAnsi="黑体" w:eastAsia="黑体" w:hint="eastAsia"/>
          <w:spacing w:val="-106"/>
        </w:rPr>
        <w:t>）</w:t>
      </w:r>
      <w:r>
        <w:rPr>
          <w:rFonts w:ascii="黑体" w:hAnsi="黑体" w:eastAsia="黑体" w:hint="eastAsia"/>
        </w:rPr>
        <w:t>；</w:t>
      </w:r>
    </w:p>
    <w:p>
      <w:pPr>
        <w:pStyle w:val="BodyText"/>
        <w:spacing w:before="2"/>
        <w:ind w:left="2183"/>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83"/>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83"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pacing w:val="-1"/>
          <w:sz w:val="21"/>
        </w:rPr>
        <w:t>5.2</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w:t>
      </w:r>
      <w:r>
        <w:rPr>
          <w:rFonts w:ascii="Times New Roman" w:eastAsia="Times New Roman"/>
          <w:sz w:val="21"/>
        </w:rPr>
        <w:t>3</w:t>
      </w:r>
      <w:r>
        <w:rPr>
          <w:rFonts w:ascii="黑体" w:eastAsia="黑体" w:hint="eastAsia"/>
          <w:spacing w:val="-105"/>
          <w:sz w:val="21"/>
        </w:rPr>
        <w:t>）</w:t>
      </w:r>
      <w:r>
        <w:rPr>
          <w:rFonts w:ascii="黑体" w:eastAsia="黑体" w:hint="eastAsia"/>
          <w:sz w:val="21"/>
        </w:rPr>
        <w:t>。</w:t>
      </w:r>
    </w:p>
    <w:p>
      <w:pPr>
        <w:pStyle w:val="BodyText"/>
        <w:spacing w:line="261" w:lineRule="auto" w:before="9"/>
        <w:ind w:left="2184" w:right="141"/>
        <w:rPr>
          <w:rFonts w:ascii="黑体" w:eastAsia="黑体" w:hint="eastAsia"/>
        </w:rPr>
      </w:pPr>
      <w:r>
        <w:rPr>
          <w:rFonts w:ascii="黑体" w:eastAsia="黑体" w:hint="eastAsia"/>
        </w:rPr>
        <w:t>发Th上述第（1）项情形，本附加合同和主合同同时终止，我们向重大疾病保险金受益人退还本附加合同和主合同的现金价值。</w:t>
      </w:r>
    </w:p>
    <w:p>
      <w:pPr>
        <w:pStyle w:val="BodyText"/>
        <w:spacing w:line="273" w:lineRule="auto"/>
        <w:ind w:left="2183" w:right="213"/>
        <w:rPr>
          <w:rFonts w:ascii="黑体" w:eastAsia="黑体" w:hint="eastAsia"/>
        </w:rPr>
      </w:pPr>
      <w:r>
        <w:rPr>
          <w:rFonts w:ascii="黑体" w:eastAsia="黑体" w:hint="eastAsia"/>
        </w:rPr>
        <w:t>发Th上述其他情形，本附加合同和主合同同时终止，我们向您退还本附加合同和主合同的现金价值。</w:t>
      </w:r>
    </w:p>
    <w:p>
      <w:pPr>
        <w:pStyle w:val="BodyText"/>
        <w:spacing w:before="10"/>
        <w:rPr>
          <w:rFonts w:ascii="黑体"/>
          <w:sz w:val="8"/>
        </w:rPr>
      </w:pPr>
      <w:r>
        <w:rPr/>
        <w:pict>
          <v:shape style="position:absolute;margin-left:58.439999pt;margin-top:6.952669pt;width:478.4pt;height:15pt;mso-position-horizontal-relative:page;mso-position-vertical-relative:paragraph;z-index:1096;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520" w:bottom="280" w:left="1060" w:right="1060"/>
        </w:sectPr>
      </w:pPr>
    </w:p>
    <w:p>
      <w:pPr>
        <w:pStyle w:val="ListParagraph"/>
        <w:numPr>
          <w:ilvl w:val="1"/>
          <w:numId w:val="5"/>
        </w:numPr>
        <w:tabs>
          <w:tab w:pos="936" w:val="left" w:leader="none"/>
          <w:tab w:pos="937" w:val="left" w:leader="none"/>
        </w:tabs>
        <w:spacing w:line="247" w:lineRule="auto" w:before="23" w:after="0"/>
        <w:ind w:left="936" w:right="0" w:hanging="720"/>
        <w:jc w:val="left"/>
        <w:rPr>
          <w:b/>
          <w:sz w:val="21"/>
        </w:rPr>
      </w:pPr>
      <w:r>
        <w:rPr>
          <w:b/>
          <w:sz w:val="21"/>
        </w:rPr>
        <w:t>保险费的交纳</w:t>
      </w:r>
    </w:p>
    <w:p>
      <w:pPr>
        <w:pStyle w:val="BodyText"/>
        <w:spacing w:before="23"/>
        <w:ind w:left="216"/>
      </w:pPr>
      <w:r>
        <w:rPr/>
        <w:br w:type="column"/>
      </w:r>
      <w:r>
        <w:rPr/>
        <w:t>本附加合同保险费的交纳方式与主合同相同。</w:t>
      </w:r>
    </w:p>
    <w:p>
      <w:pPr>
        <w:spacing w:after="0"/>
        <w:sectPr>
          <w:type w:val="continuous"/>
          <w:pgSz w:w="11910" w:h="16840"/>
          <w:pgMar w:top="1400" w:bottom="280" w:left="1060" w:right="1060"/>
          <w:cols w:num="2" w:equalWidth="0">
            <w:col w:w="1782" w:space="185"/>
            <w:col w:w="7823"/>
          </w:cols>
        </w:sectPr>
      </w:pPr>
    </w:p>
    <w:p>
      <w:pPr>
        <w:pStyle w:val="ListParagraph"/>
        <w:numPr>
          <w:ilvl w:val="1"/>
          <w:numId w:val="5"/>
        </w:numPr>
        <w:tabs>
          <w:tab w:pos="937" w:val="left" w:leader="none"/>
        </w:tabs>
        <w:spacing w:line="254" w:lineRule="auto" w:before="133" w:after="0"/>
        <w:ind w:left="2183" w:right="144" w:hanging="1967"/>
        <w:jc w:val="both"/>
        <w:rPr>
          <w:sz w:val="21"/>
        </w:rPr>
      </w:pPr>
      <w:r>
        <w:rPr>
          <w:b/>
          <w:spacing w:val="10"/>
          <w:sz w:val="21"/>
        </w:rPr>
        <w:t>犹豫期    </w:t>
      </w:r>
      <w:r>
        <w:rPr>
          <w:spacing w:val="-5"/>
          <w:sz w:val="21"/>
        </w:rPr>
        <w:t>您于签收本附加合同后 </w:t>
      </w:r>
      <w:r>
        <w:rPr>
          <w:rFonts w:ascii="Times New Roman" w:eastAsia="Times New Roman"/>
          <w:sz w:val="21"/>
        </w:rPr>
        <w:t>10</w:t>
      </w:r>
      <w:r>
        <w:rPr>
          <w:rFonts w:ascii="Times New Roman" w:eastAsia="Times New Roman"/>
          <w:spacing w:val="-1"/>
          <w:sz w:val="21"/>
        </w:rPr>
        <w:t> </w:t>
      </w:r>
      <w:r>
        <w:rPr>
          <w:spacing w:val="-6"/>
          <w:sz w:val="21"/>
        </w:rPr>
        <w:t>日内可要求撤销本附加合同。若您在此期间提出撤销本附加合同，需要填写书面申请书，并提供您的保险合同及有效身份证件。自您书面申请撤销本附加合同之日起，本附加合同即被撤销，我们自本附加合同生效日</w:t>
      </w:r>
      <w:r>
        <w:rPr>
          <w:spacing w:val="-9"/>
          <w:sz w:val="21"/>
        </w:rPr>
        <w:t>起即不承担保险责任。本附加合同撤销后 </w:t>
      </w:r>
      <w:r>
        <w:rPr>
          <w:rFonts w:ascii="Times New Roman" w:eastAsia="Times New Roman"/>
          <w:sz w:val="21"/>
        </w:rPr>
        <w:t>30</w:t>
      </w:r>
      <w:r>
        <w:rPr>
          <w:rFonts w:ascii="Times New Roman" w:eastAsia="Times New Roman"/>
          <w:spacing w:val="-2"/>
          <w:sz w:val="21"/>
        </w:rPr>
        <w:t> </w:t>
      </w:r>
      <w:r>
        <w:rPr>
          <w:sz w:val="21"/>
        </w:rPr>
        <w:t>日内，我们无息退还您已交保险费。您申请撤销本附加合同时须同时申请撤销主合同。</w:t>
      </w:r>
    </w:p>
    <w:p>
      <w:pPr>
        <w:spacing w:after="0" w:line="254" w:lineRule="auto"/>
        <w:jc w:val="both"/>
        <w:rPr>
          <w:sz w:val="21"/>
        </w:rPr>
        <w:sectPr>
          <w:type w:val="continuous"/>
          <w:pgSz w:w="11910" w:h="16840"/>
          <w:pgMar w:top="1400" w:bottom="280" w:left="1060" w:right="1060"/>
        </w:sectPr>
      </w:pPr>
    </w:p>
    <w:p>
      <w:pPr>
        <w:pStyle w:val="Heading2"/>
        <w:numPr>
          <w:ilvl w:val="1"/>
          <w:numId w:val="5"/>
        </w:numPr>
        <w:tabs>
          <w:tab w:pos="937" w:val="left" w:leader="none"/>
        </w:tabs>
        <w:spacing w:line="254" w:lineRule="auto" w:before="125" w:after="0"/>
        <w:ind w:left="936" w:right="0" w:hanging="720"/>
        <w:jc w:val="both"/>
      </w:pPr>
      <w:r>
        <w:rPr/>
        <w:t>您解除合同的手续及风险</w:t>
      </w:r>
    </w:p>
    <w:p>
      <w:pPr>
        <w:pStyle w:val="BodyText"/>
        <w:spacing w:line="261" w:lineRule="auto" w:before="125"/>
        <w:ind w:left="216" w:right="214"/>
      </w:pPr>
      <w:r>
        <w:rPr/>
        <w:br w:type="column"/>
      </w:r>
      <w:r>
        <w:rPr/>
        <w:t>若您在犹豫期后申请解除本附加合同，请填写解除合同申请书并向我们提供下列资料：</w:t>
      </w:r>
    </w:p>
    <w:p>
      <w:pPr>
        <w:pStyle w:val="BodyText"/>
        <w:spacing w:before="5"/>
        <w:ind w:left="216"/>
      </w:pPr>
      <w:r>
        <w:rPr/>
        <w:t>（</w:t>
      </w:r>
      <w:r>
        <w:rPr>
          <w:rFonts w:ascii="Times New Roman" w:eastAsia="Times New Roman"/>
        </w:rPr>
        <w:t>1</w:t>
      </w:r>
      <w:r>
        <w:rPr/>
        <w:t>）保险合同；</w:t>
      </w:r>
    </w:p>
    <w:p>
      <w:pPr>
        <w:pStyle w:val="BodyText"/>
        <w:spacing w:before="8"/>
        <w:ind w:left="216"/>
      </w:pPr>
      <w:r>
        <w:rPr/>
        <w:t>（</w:t>
      </w:r>
      <w:r>
        <w:rPr>
          <w:rFonts w:ascii="Times New Roman" w:eastAsia="Times New Roman"/>
        </w:rPr>
        <w:t>2</w:t>
      </w:r>
      <w:r>
        <w:rPr/>
        <w:t>）您的有效身份证件。</w:t>
      </w:r>
    </w:p>
    <w:p>
      <w:pPr>
        <w:pStyle w:val="BodyText"/>
        <w:spacing w:line="261" w:lineRule="auto" w:before="8"/>
        <w:ind w:left="216" w:right="214"/>
      </w:pPr>
      <w:r>
        <w:rPr/>
        <w:t>自我们收到解除合同申请书时起，本附加合同终止。我们自收到解除合同申请书之日起 </w:t>
      </w:r>
      <w:r>
        <w:rPr>
          <w:rFonts w:ascii="Times New Roman" w:eastAsia="Times New Roman"/>
        </w:rPr>
        <w:t>30 </w:t>
      </w:r>
      <w:r>
        <w:rPr/>
        <w:t>日内向您退还本附加合同的现金价值。</w:t>
      </w:r>
    </w:p>
    <w:p>
      <w:pPr>
        <w:pStyle w:val="BodyText"/>
        <w:spacing w:line="261" w:lineRule="auto"/>
        <w:ind w:left="216" w:right="2978"/>
      </w:pPr>
      <w:r>
        <w:rPr/>
        <w:t>您申请解除本附加合同时须同时申请解除主合同。您犹豫期后解除本附加合同会遭受一定损失。</w:t>
      </w:r>
    </w:p>
    <w:p>
      <w:pPr>
        <w:spacing w:after="0" w:line="261" w:lineRule="auto"/>
        <w:sectPr>
          <w:type w:val="continuous"/>
          <w:pgSz w:w="11910" w:h="16840"/>
          <w:pgMar w:top="1400" w:bottom="280" w:left="1060" w:right="1060"/>
          <w:cols w:num="2" w:equalWidth="0">
            <w:col w:w="1782" w:space="185"/>
            <w:col w:w="7823"/>
          </w:cols>
        </w:sectPr>
      </w:pPr>
    </w:p>
    <w:p>
      <w:pPr>
        <w:pStyle w:val="ListParagraph"/>
        <w:numPr>
          <w:ilvl w:val="1"/>
          <w:numId w:val="5"/>
        </w:numPr>
        <w:tabs>
          <w:tab w:pos="936" w:val="left" w:leader="none"/>
          <w:tab w:pos="937" w:val="left" w:leader="none"/>
          <w:tab w:pos="2183" w:val="left" w:leader="none"/>
        </w:tabs>
        <w:spacing w:line="240" w:lineRule="auto" w:before="131" w:after="0"/>
        <w:ind w:left="936" w:right="0" w:hanging="720"/>
        <w:jc w:val="left"/>
        <w:rPr>
          <w:sz w:val="21"/>
        </w:rPr>
      </w:pPr>
      <w:r>
        <w:rPr>
          <w:b/>
          <w:sz w:val="21"/>
        </w:rPr>
        <w:t>效力终止</w:t>
        <w:tab/>
      </w:r>
      <w:r>
        <w:rPr>
          <w:sz w:val="21"/>
        </w:rPr>
        <w:t>当发生下列情形之一时，本附加合同效力自动终止：</w:t>
      </w:r>
    </w:p>
    <w:p>
      <w:pPr>
        <w:pStyle w:val="BodyText"/>
        <w:spacing w:line="291" w:lineRule="exact" w:before="9"/>
        <w:ind w:left="2183"/>
      </w:pPr>
      <w:r>
        <w:rPr/>
        <w:t>（</w:t>
      </w:r>
      <w:r>
        <w:rPr>
          <w:rFonts w:ascii="Times New Roman" w:eastAsia="Times New Roman"/>
        </w:rPr>
        <w:t>1</w:t>
      </w:r>
      <w:r>
        <w:rPr/>
        <w:t>）主合同效力终止；</w:t>
      </w:r>
    </w:p>
    <w:p>
      <w:pPr>
        <w:pStyle w:val="BodyText"/>
        <w:ind w:left="2183"/>
      </w:pPr>
      <w:r>
        <w:rPr/>
        <w:t>（</w:t>
      </w:r>
      <w:r>
        <w:rPr>
          <w:rFonts w:ascii="Times New Roman" w:eastAsia="Times New Roman"/>
        </w:rPr>
        <w:t>2</w:t>
      </w:r>
      <w:r>
        <w:rPr/>
        <w:t>）因本附加合同条款所列其他情况而终止。</w:t>
      </w:r>
    </w:p>
    <w:p>
      <w:pPr>
        <w:pStyle w:val="BodyText"/>
        <w:spacing w:before="7"/>
        <w:rPr>
          <w:sz w:val="9"/>
        </w:rPr>
      </w:pPr>
      <w:r>
        <w:rPr/>
        <w:pict>
          <v:shape style="position:absolute;margin-left:58.439999pt;margin-top:7.446781pt;width:478.4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36" w:val="left" w:leader="none"/>
          <w:tab w:pos="937" w:val="left" w:leader="none"/>
          <w:tab w:pos="2183" w:val="left" w:leader="none"/>
        </w:tabs>
        <w:spacing w:line="240" w:lineRule="auto" w:before="92" w:after="0"/>
        <w:ind w:left="836" w:right="0" w:hanging="620"/>
        <w:jc w:val="left"/>
        <w:rPr>
          <w:sz w:val="21"/>
        </w:rPr>
      </w:pPr>
      <w:r>
        <w:rPr>
          <w:b/>
          <w:sz w:val="21"/>
        </w:rPr>
        <w:t>受益人</w:t>
        <w:tab/>
      </w:r>
      <w:r>
        <w:rPr>
          <w:sz w:val="21"/>
        </w:rPr>
        <w:t>您或者被保险人可以指定一人或多人为身故保险金受益人。</w:t>
      </w:r>
    </w:p>
    <w:p>
      <w:pPr>
        <w:pStyle w:val="BodyText"/>
        <w:spacing w:line="261" w:lineRule="auto" w:before="8"/>
        <w:ind w:left="2183" w:right="248"/>
      </w:pPr>
      <w:r>
        <w:rPr/>
        <w:t>身故保险金受益人为多人时，可以确定受益顺序和受益份额；若没有确定份额， 各受益人按照相等份额享有受益权。</w:t>
      </w:r>
    </w:p>
    <w:p>
      <w:pPr>
        <w:pStyle w:val="BodyText"/>
        <w:spacing w:line="261" w:lineRule="auto" w:before="5"/>
        <w:ind w:left="2183" w:right="248"/>
      </w:pPr>
      <w:r>
        <w:rPr/>
        <w:t>被保险人为无民事行为能力人或限制民事行为能力人的，可以由其监护人指定受益人。</w:t>
      </w:r>
    </w:p>
    <w:p>
      <w:pPr>
        <w:pStyle w:val="BodyText"/>
        <w:spacing w:line="261" w:lineRule="auto" w:before="5"/>
        <w:ind w:left="2183" w:right="248"/>
      </w:pPr>
      <w:r>
        <w:rPr/>
        <w:t>您或者被保险人可以变更身故保险金受益人并书面通知我们。我们收到变更受益人的书面通知后，在保险单或其他保险凭证上批注或附贴批单。</w:t>
      </w:r>
    </w:p>
    <w:p>
      <w:pPr>
        <w:pStyle w:val="BodyText"/>
        <w:spacing w:line="272" w:lineRule="exact"/>
        <w:ind w:left="2183"/>
      </w:pPr>
      <w:r>
        <w:rPr/>
        <w:t>您在指定和变更身故保险金受益人时，必须经过被保险人同意。</w:t>
      </w:r>
    </w:p>
    <w:p>
      <w:pPr>
        <w:spacing w:after="0" w:line="272" w:lineRule="exact"/>
        <w:sectPr>
          <w:type w:val="continuous"/>
          <w:pgSz w:w="11910" w:h="16840"/>
          <w:pgMar w:top="1400" w:bottom="280" w:left="106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6"/>
        </w:numPr>
        <w:tabs>
          <w:tab w:pos="836" w:val="left" w:leader="none"/>
          <w:tab w:pos="837" w:val="left" w:leader="none"/>
        </w:tabs>
        <w:spacing w:line="247" w:lineRule="auto" w:before="153" w:after="0"/>
        <w:ind w:left="836" w:right="0" w:hanging="720"/>
        <w:jc w:val="left"/>
      </w:pPr>
      <w:r>
        <w:rPr/>
        <w:t>保险金申请</w:t>
      </w:r>
    </w:p>
    <w:p>
      <w:pPr>
        <w:spacing w:line="196" w:lineRule="auto" w:before="130"/>
        <w:ind w:left="836"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
        <w:rPr>
          <w:rFonts w:ascii="Microsoft JhengHei"/>
          <w:b/>
          <w:sz w:val="30"/>
        </w:rPr>
      </w:pPr>
    </w:p>
    <w:p>
      <w:pPr>
        <w:spacing w:line="196" w:lineRule="auto" w:before="0"/>
        <w:ind w:left="836" w:right="1" w:firstLine="0"/>
        <w:jc w:val="both"/>
        <w:rPr>
          <w:rFonts w:ascii="Microsoft JhengHei" w:eastAsia="Microsoft JhengHei" w:hint="eastAsia"/>
          <w:b/>
          <w:sz w:val="21"/>
        </w:rPr>
      </w:pPr>
      <w:r>
        <w:rPr>
          <w:rFonts w:ascii="Microsoft JhengHei" w:eastAsia="Microsoft JhengHei" w:hint="eastAsia"/>
          <w:b/>
          <w:sz w:val="21"/>
        </w:rPr>
        <w:t>身故保险金申请</w:t>
      </w:r>
    </w:p>
    <w:p>
      <w:pPr>
        <w:spacing w:line="196" w:lineRule="auto" w:before="113"/>
        <w:ind w:left="836" w:right="1" w:firstLine="0"/>
        <w:jc w:val="both"/>
        <w:rPr>
          <w:rFonts w:ascii="Microsoft JhengHei" w:eastAsia="Microsoft JhengHei" w:hint="eastAsia"/>
          <w:b/>
          <w:sz w:val="21"/>
        </w:rPr>
      </w:pPr>
      <w:r>
        <w:rPr>
          <w:rFonts w:ascii="Microsoft JhengHei" w:eastAsia="Microsoft JhengHei" w:hint="eastAsia"/>
          <w:b/>
          <w:sz w:val="21"/>
        </w:rPr>
        <w:t>全残保险金申请</w:t>
      </w:r>
    </w:p>
    <w:p>
      <w:pPr>
        <w:pStyle w:val="BodyText"/>
        <w:rPr>
          <w:rFonts w:ascii="Microsoft JhengHei"/>
          <w:b/>
          <w:sz w:val="22"/>
        </w:rPr>
      </w:pPr>
    </w:p>
    <w:p>
      <w:pPr>
        <w:pStyle w:val="BodyText"/>
        <w:rPr>
          <w:rFonts w:ascii="Microsoft JhengHei"/>
          <w:b/>
          <w:sz w:val="22"/>
        </w:rPr>
      </w:pPr>
    </w:p>
    <w:p>
      <w:pPr>
        <w:pStyle w:val="BodyText"/>
        <w:spacing w:before="12"/>
        <w:rPr>
          <w:rFonts w:ascii="Microsoft JhengHei"/>
          <w:b/>
          <w:sz w:val="20"/>
        </w:rPr>
      </w:pPr>
    </w:p>
    <w:p>
      <w:pPr>
        <w:pStyle w:val="ListParagraph"/>
        <w:numPr>
          <w:ilvl w:val="1"/>
          <w:numId w:val="6"/>
        </w:numPr>
        <w:tabs>
          <w:tab w:pos="836" w:val="left" w:leader="none"/>
          <w:tab w:pos="837" w:val="left" w:leader="none"/>
        </w:tabs>
        <w:spacing w:line="247" w:lineRule="auto" w:before="0" w:after="0"/>
        <w:ind w:left="836" w:right="0" w:hanging="720"/>
        <w:jc w:val="left"/>
        <w:rPr>
          <w:b/>
          <w:sz w:val="21"/>
        </w:rPr>
      </w:pPr>
      <w:r>
        <w:rPr>
          <w:b/>
          <w:sz w:val="21"/>
        </w:rPr>
        <w:t>保险金的给付</w:t>
      </w:r>
    </w:p>
    <w:p>
      <w:pPr>
        <w:pStyle w:val="BodyText"/>
        <w:spacing w:line="273" w:lineRule="auto" w:before="25"/>
        <w:ind w:left="116" w:right="154"/>
      </w:pPr>
      <w:r>
        <w:rPr/>
        <w:br w:type="column"/>
      </w:r>
      <w:r>
        <w:rPr/>
        <w:t>除本附加合同另有指定外，重大疾病保险金和全残保险金的受益人为被保险人本人。</w:t>
      </w:r>
    </w:p>
    <w:p>
      <w:pPr>
        <w:pStyle w:val="BodyText"/>
        <w:spacing w:before="7"/>
        <w:ind w:left="116"/>
      </w:pPr>
      <w:r>
        <w:rPr/>
        <w:t>被保险人身故后，有下列情形之一的，保险金作为被保险人的遗产，由我们依照</w:t>
      </w:r>
    </w:p>
    <w:p>
      <w:pPr>
        <w:pStyle w:val="BodyText"/>
        <w:spacing w:before="36"/>
        <w:ind w:left="116"/>
      </w:pPr>
      <w:r>
        <w:rPr/>
        <w:t>《中华人民共和国继承法》的规定履行给付保险金的义务：</w:t>
      </w:r>
    </w:p>
    <w:p>
      <w:pPr>
        <w:pStyle w:val="BodyText"/>
        <w:spacing w:before="36"/>
        <w:ind w:left="116"/>
      </w:pPr>
      <w:r>
        <w:rPr/>
        <w:t>（</w:t>
      </w:r>
      <w:r>
        <w:rPr>
          <w:rFonts w:ascii="Times New Roman" w:eastAsia="Times New Roman"/>
        </w:rPr>
        <w:t>1</w:t>
      </w:r>
      <w:r>
        <w:rPr/>
        <w:t>）没有指定受益人，或者受益人指定不明无法确定的；</w:t>
      </w:r>
    </w:p>
    <w:p>
      <w:pPr>
        <w:pStyle w:val="BodyText"/>
        <w:spacing w:before="20"/>
        <w:ind w:left="116"/>
      </w:pPr>
      <w:r>
        <w:rPr/>
        <w:t>（</w:t>
      </w:r>
      <w:r>
        <w:rPr>
          <w:rFonts w:ascii="Times New Roman" w:eastAsia="Times New Roman"/>
        </w:rPr>
        <w:t>2</w:t>
      </w:r>
      <w:r>
        <w:rPr/>
        <w:t>）受益人先于被保险人身故，没有其他受益人的；</w:t>
      </w:r>
    </w:p>
    <w:p>
      <w:pPr>
        <w:pStyle w:val="BodyText"/>
        <w:spacing w:before="20"/>
        <w:ind w:left="116"/>
      </w:pPr>
      <w:r>
        <w:rPr/>
        <w:t>（</w:t>
      </w:r>
      <w:r>
        <w:rPr>
          <w:rFonts w:ascii="Times New Roman" w:eastAsia="Times New Roman"/>
        </w:rPr>
        <w:t>3</w:t>
      </w:r>
      <w:r>
        <w:rPr/>
        <w:t>）受益人依法丧失受益权或者放弃受益权，没有其他受益人的。</w:t>
      </w:r>
    </w:p>
    <w:p>
      <w:pPr>
        <w:pStyle w:val="BodyText"/>
        <w:spacing w:line="273" w:lineRule="auto" w:before="20"/>
        <w:ind w:left="116" w:right="154"/>
      </w:pPr>
      <w:r>
        <w:rPr/>
        <w:t>受益人与被保险人在同一事件中身故，且不能确定身故顺序的，推定受益人身故在先。</w:t>
      </w:r>
    </w:p>
    <w:p>
      <w:pPr>
        <w:pStyle w:val="BodyText"/>
        <w:spacing w:line="261" w:lineRule="auto" w:before="16"/>
        <w:ind w:left="116" w:right="188"/>
      </w:pPr>
      <w:r>
        <w:rPr/>
        <w:t>受益人故意造成被保险人身故、伤残、疾病的，或者故意杀害被保险人未遂的， 该受益人丧失受益权。</w:t>
      </w:r>
    </w:p>
    <w:p>
      <w:pPr>
        <w:pStyle w:val="BodyText"/>
        <w:spacing w:before="118"/>
        <w:ind w:left="116"/>
      </w:pPr>
      <w:r>
        <w:rPr/>
        <w:t>在申请保险金时，请按照下列方式办理：</w:t>
      </w:r>
    </w:p>
    <w:p>
      <w:pPr>
        <w:pStyle w:val="BodyText"/>
        <w:rPr>
          <w:sz w:val="20"/>
        </w:rPr>
      </w:pPr>
    </w:p>
    <w:p>
      <w:pPr>
        <w:pStyle w:val="BodyText"/>
        <w:spacing w:line="261" w:lineRule="auto" w:before="176"/>
        <w:ind w:left="116" w:right="104"/>
      </w:pPr>
      <w:r>
        <w:rPr/>
        <w:t>在申请重大疾病保险金时，申请人须填写保险金给付申请书，并提供下列证明和资料：</w:t>
      </w:r>
    </w:p>
    <w:p>
      <w:pPr>
        <w:pStyle w:val="BodyText"/>
        <w:spacing w:before="20"/>
        <w:ind w:left="116"/>
      </w:pPr>
      <w:r>
        <w:rPr/>
        <w:t>（</w:t>
      </w:r>
      <w:r>
        <w:rPr>
          <w:rFonts w:ascii="Times New Roman" w:eastAsia="Times New Roman"/>
        </w:rPr>
        <w:t>1</w:t>
      </w:r>
      <w:r>
        <w:rPr/>
        <w:t>）保险合同；</w:t>
      </w:r>
    </w:p>
    <w:p>
      <w:pPr>
        <w:pStyle w:val="BodyText"/>
        <w:spacing w:before="23"/>
        <w:ind w:left="116"/>
      </w:pPr>
      <w:r>
        <w:rPr/>
        <w:t>（</w:t>
      </w:r>
      <w:r>
        <w:rPr>
          <w:rFonts w:ascii="Times New Roman" w:eastAsia="Times New Roman"/>
        </w:rPr>
        <w:t>2</w:t>
      </w:r>
      <w:r>
        <w:rPr/>
        <w:t>）申请人的有效身份证件；</w:t>
      </w:r>
    </w:p>
    <w:p>
      <w:pPr>
        <w:pStyle w:val="BodyText"/>
        <w:spacing w:line="254" w:lineRule="auto" w:before="26"/>
        <w:ind w:left="642" w:right="152" w:hanging="526"/>
        <w:jc w:val="both"/>
      </w:pPr>
      <w:r>
        <w:rPr>
          <w:spacing w:val="-12"/>
        </w:rPr>
        <w:t>（</w:t>
      </w:r>
      <w:r>
        <w:rPr>
          <w:rFonts w:ascii="Times New Roman" w:eastAsia="Times New Roman"/>
          <w:spacing w:val="-12"/>
        </w:rPr>
        <w:t>3</w:t>
      </w:r>
      <w:r>
        <w:rPr>
          <w:spacing w:val="-12"/>
        </w:rPr>
        <w:t>）</w:t>
      </w:r>
      <w:r>
        <w:rPr>
          <w:spacing w:val="-2"/>
        </w:rPr>
        <w:t>我们认可的医院出具的疾病诊断证明书、病历记录和确诊疾病必要的病理检</w:t>
      </w:r>
      <w:r>
        <w:rPr>
          <w:spacing w:val="-8"/>
        </w:rPr>
        <w:t>验、血液检验、影像学检查及其他科学方法的检查报告。我们保留就疾病诊断咨询其他医疗专家的权利；</w:t>
      </w:r>
    </w:p>
    <w:p>
      <w:pPr>
        <w:pStyle w:val="BodyText"/>
        <w:spacing w:line="340" w:lineRule="auto" w:before="28"/>
        <w:ind w:left="116" w:right="714"/>
      </w:pPr>
      <w:r>
        <w:rPr/>
        <w:t>（</w:t>
      </w:r>
      <w:r>
        <w:rPr>
          <w:rFonts w:ascii="Times New Roman" w:eastAsia="Times New Roman"/>
        </w:rPr>
        <w:t>4</w:t>
      </w:r>
      <w:r>
        <w:rPr/>
        <w:t>）所能提供的与确认保险事故的性质、原因等相关的其他证明和资料。与主合同相同。</w:t>
      </w:r>
    </w:p>
    <w:p>
      <w:pPr>
        <w:pStyle w:val="BodyText"/>
        <w:spacing w:before="10"/>
        <w:rPr>
          <w:sz w:val="26"/>
        </w:rPr>
      </w:pPr>
    </w:p>
    <w:p>
      <w:pPr>
        <w:pStyle w:val="BodyText"/>
        <w:ind w:left="116"/>
      </w:pPr>
      <w:r>
        <w:rPr/>
        <w:t>与主合同相同。</w:t>
      </w:r>
    </w:p>
    <w:p>
      <w:pPr>
        <w:pStyle w:val="BodyText"/>
        <w:rPr>
          <w:sz w:val="20"/>
        </w:rPr>
      </w:pPr>
    </w:p>
    <w:p>
      <w:pPr>
        <w:pStyle w:val="BodyText"/>
        <w:spacing w:before="175"/>
        <w:ind w:left="116"/>
      </w:pPr>
      <w:r>
        <w:rPr/>
        <w:t>保险金作为被保险人遗产时，必须提供可证明合法继承权的相关权利文件。</w:t>
      </w:r>
    </w:p>
    <w:p>
      <w:pPr>
        <w:pStyle w:val="BodyText"/>
        <w:spacing w:line="261" w:lineRule="auto" w:before="24"/>
        <w:ind w:left="116" w:right="153"/>
      </w:pPr>
      <w:r>
        <w:rPr/>
        <w:t>以上证明和资料不完整的，我们将及时一次性通知申请人补充提供有关证明和资料。</w:t>
      </w:r>
    </w:p>
    <w:p>
      <w:pPr>
        <w:pStyle w:val="BodyText"/>
        <w:spacing w:line="273" w:lineRule="auto" w:before="109"/>
        <w:ind w:left="116" w:right="153"/>
      </w:pPr>
      <w:r>
        <w:rPr/>
        <w:t>我们在收到保险金给付申请书及合同约定的证明和资料后，将及时作出核定；情形复杂的，在 </w:t>
      </w:r>
      <w:r>
        <w:rPr>
          <w:rFonts w:ascii="Times New Roman" w:eastAsia="Times New Roman"/>
        </w:rPr>
        <w:t>30 </w:t>
      </w:r>
      <w:r>
        <w:rPr/>
        <w:t>日内作出核定。</w:t>
      </w:r>
    </w:p>
    <w:p>
      <w:pPr>
        <w:pStyle w:val="BodyText"/>
        <w:spacing w:line="256" w:lineRule="auto"/>
        <w:ind w:left="116" w:right="153"/>
      </w:pPr>
      <w:r>
        <w:rPr>
          <w:spacing w:val="-6"/>
        </w:rPr>
        <w:t>对属于保险责任的，我们在与受益人达成给付保险金的协议后 </w:t>
      </w:r>
      <w:r>
        <w:rPr>
          <w:rFonts w:ascii="Times New Roman" w:eastAsia="Times New Roman"/>
        </w:rPr>
        <w:t>10 </w:t>
      </w:r>
      <w:r>
        <w:rPr>
          <w:spacing w:val="-6"/>
        </w:rPr>
        <w:t>日内，履行给付保险金义务。</w:t>
      </w:r>
    </w:p>
    <w:p>
      <w:pPr>
        <w:pStyle w:val="BodyText"/>
        <w:spacing w:line="273" w:lineRule="auto" w:before="33"/>
        <w:ind w:left="116" w:right="153"/>
      </w:pPr>
      <w:r>
        <w:rPr/>
        <w:t>我们未及时履行前款规定义务的，除支付保险金外，应当赔偿受益人因此受到的损失。</w:t>
      </w:r>
    </w:p>
    <w:p>
      <w:pPr>
        <w:pStyle w:val="BodyText"/>
        <w:spacing w:line="256" w:lineRule="auto" w:before="7"/>
        <w:ind w:left="116" w:right="10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2"/>
        <w:ind w:left="116" w:right="153"/>
        <w:jc w:val="both"/>
      </w:pPr>
      <w:r>
        <w:rPr>
          <w:spacing w:val="-3"/>
        </w:rPr>
        <w:t>我们在收到保险金给付申请书及有关证明和资料之日起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日内，对给付保险金的数额不能确定的，根据已有证明和资料可以确定的数额先予支付；我们最终确定给付保险金的数额后，将支付相应的差额。</w:t>
      </w:r>
    </w:p>
    <w:p>
      <w:pPr>
        <w:spacing w:after="0" w:line="254" w:lineRule="auto"/>
        <w:jc w:val="both"/>
        <w:sectPr>
          <w:pgSz w:w="11910" w:h="16840"/>
          <w:pgMar w:top="1400" w:bottom="280" w:left="1160" w:right="1120"/>
          <w:cols w:num="2" w:equalWidth="0">
            <w:col w:w="1682" w:space="285"/>
            <w:col w:w="7663"/>
          </w:cols>
        </w:sectPr>
      </w:pPr>
    </w:p>
    <w:p>
      <w:pPr>
        <w:pStyle w:val="ListParagraph"/>
        <w:numPr>
          <w:ilvl w:val="1"/>
          <w:numId w:val="6"/>
        </w:numPr>
        <w:tabs>
          <w:tab w:pos="836" w:val="left" w:leader="none"/>
          <w:tab w:pos="837" w:val="left" w:leader="none"/>
          <w:tab w:pos="2083" w:val="left" w:leader="none"/>
        </w:tabs>
        <w:spacing w:line="247" w:lineRule="auto" w:before="125" w:after="0"/>
        <w:ind w:left="2083" w:right="188" w:hanging="1967"/>
        <w:jc w:val="left"/>
        <w:rPr>
          <w:sz w:val="21"/>
        </w:rPr>
      </w:pPr>
      <w:r>
        <w:rPr>
          <w:b/>
          <w:sz w:val="21"/>
        </w:rPr>
        <w:t>诉讼时效</w:t>
        <w:tab/>
      </w:r>
      <w:r>
        <w:rPr>
          <w:sz w:val="21"/>
        </w:rPr>
        <w:t>受益人向我们请求给付重大疾病保险金的诉讼时效期间为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line="247" w:lineRule="auto" w:before="18"/>
        <w:ind w:left="2083" w:right="126"/>
      </w:pPr>
      <w:r>
        <w:rPr/>
        <w:t>受益人向我们请求给付身故或全残保险金的诉讼时效期间为 </w:t>
      </w:r>
      <w:r>
        <w:rPr>
          <w:rFonts w:ascii="Times New Roman" w:eastAsia="Times New Roman"/>
        </w:rPr>
        <w:t>5 </w:t>
      </w:r>
      <w:r>
        <w:rPr/>
        <w:t>年，自其知道或者应当知道保险事故发生之日起计算。</w:t>
      </w:r>
    </w:p>
    <w:p>
      <w:pPr>
        <w:spacing w:after="0" w:line="247" w:lineRule="auto"/>
        <w:sectPr>
          <w:type w:val="continuous"/>
          <w:pgSz w:w="11910" w:h="16840"/>
          <w:pgMar w:top="1400" w:bottom="280" w:left="1160" w:right="1120"/>
        </w:sectPr>
      </w:pPr>
    </w:p>
    <w:p>
      <w:pPr>
        <w:pStyle w:val="BodyText"/>
        <w:ind w:left="108"/>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您需要了解的重要术语</w:t>
                  </w:r>
                </w:p>
              </w:txbxContent>
            </v:textbox>
            <v:fill type="solid"/>
          </v:shape>
        </w:pict>
      </w:r>
      <w:r>
        <w:rPr>
          <w:sz w:val="20"/>
        </w:rPr>
      </w:r>
    </w:p>
    <w:p>
      <w:pPr>
        <w:pStyle w:val="BodyText"/>
        <w:spacing w:before="4"/>
        <w:rPr>
          <w:sz w:val="5"/>
        </w:rPr>
      </w:pPr>
    </w:p>
    <w:p>
      <w:pPr>
        <w:spacing w:after="0"/>
        <w:rPr>
          <w:sz w:val="5"/>
        </w:rPr>
        <w:sectPr>
          <w:pgSz w:w="11910" w:h="16840"/>
          <w:pgMar w:top="1560" w:bottom="280" w:left="1060" w:right="1060"/>
        </w:sectPr>
      </w:pPr>
    </w:p>
    <w:p>
      <w:pPr>
        <w:pStyle w:val="ListParagraph"/>
        <w:numPr>
          <w:ilvl w:val="1"/>
          <w:numId w:val="7"/>
        </w:numPr>
        <w:tabs>
          <w:tab w:pos="937" w:val="left" w:leader="none"/>
        </w:tabs>
        <w:spacing w:line="254" w:lineRule="auto" w:before="16" w:after="0"/>
        <w:ind w:left="936" w:right="183" w:hanging="720"/>
        <w:jc w:val="both"/>
        <w:rPr>
          <w:b/>
          <w:sz w:val="21"/>
        </w:rPr>
      </w:pPr>
      <w:r>
        <w:rPr>
          <w:b/>
          <w:sz w:val="21"/>
        </w:rPr>
        <w:t>感染艾滋病病毒或患艾滋病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36" w:val="left" w:leader="none"/>
          <w:tab w:pos="937" w:val="left" w:leader="none"/>
        </w:tabs>
        <w:spacing w:line="247" w:lineRule="auto" w:before="1" w:after="0"/>
        <w:ind w:left="936" w:right="183" w:hanging="720"/>
        <w:jc w:val="left"/>
        <w:rPr>
          <w:b/>
          <w:sz w:val="21"/>
        </w:rPr>
      </w:pPr>
      <w:r>
        <w:rPr>
          <w:b/>
          <w:sz w:val="21"/>
        </w:rPr>
        <w:t>遗传性疾病</w:t>
      </w:r>
    </w:p>
    <w:p>
      <w:pPr>
        <w:pStyle w:val="ListParagraph"/>
        <w:numPr>
          <w:ilvl w:val="1"/>
          <w:numId w:val="7"/>
        </w:numPr>
        <w:tabs>
          <w:tab w:pos="936" w:val="left" w:leader="none"/>
          <w:tab w:pos="937" w:val="left" w:leader="none"/>
        </w:tabs>
        <w:spacing w:line="256" w:lineRule="auto" w:before="133" w:after="0"/>
        <w:ind w:left="936" w:right="0" w:hanging="720"/>
        <w:jc w:val="left"/>
        <w:rPr>
          <w:b/>
          <w:sz w:val="21"/>
        </w:rPr>
      </w:pPr>
      <w:r>
        <w:rPr>
          <w:b/>
          <w:sz w:val="21"/>
        </w:rPr>
        <w:t>先天性畸</w:t>
      </w:r>
      <w:r>
        <w:rPr>
          <w:b/>
          <w:spacing w:val="-5"/>
          <w:w w:val="95"/>
          <w:sz w:val="21"/>
        </w:rPr>
        <w:t>形、变形或</w:t>
      </w:r>
      <w:r>
        <w:rPr>
          <w:b/>
          <w:spacing w:val="-5"/>
          <w:sz w:val="21"/>
        </w:rPr>
        <w:t>染色体异常</w:t>
      </w:r>
    </w:p>
    <w:p>
      <w:pPr>
        <w:pStyle w:val="BodyText"/>
        <w:spacing w:line="247" w:lineRule="auto" w:before="16"/>
        <w:ind w:left="176" w:right="214"/>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76" w:right="214"/>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8"/>
        <w:ind w:left="176" w:right="36"/>
      </w:pPr>
      <w:r>
        <w:rPr/>
        <w:t>指生殖细胞或受精卵的遗传物质（染色体和基因）发生突变或畸变所引起的疾病， 通常具有由亲代传至后代的垂直传递的特征。</w:t>
      </w:r>
    </w:p>
    <w:p>
      <w:pPr>
        <w:pStyle w:val="BodyText"/>
        <w:spacing w:line="261" w:lineRule="auto" w:before="119"/>
        <w:ind w:left="176" w:right="108"/>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400" w:bottom="280" w:left="1060" w:right="1060"/>
          <w:cols w:num="2" w:equalWidth="0">
            <w:col w:w="1968" w:space="40"/>
            <w:col w:w="7782"/>
          </w:cols>
        </w:sectPr>
      </w:pPr>
    </w:p>
    <w:p>
      <w:pPr>
        <w:pStyle w:val="ListParagraph"/>
        <w:numPr>
          <w:ilvl w:val="1"/>
          <w:numId w:val="7"/>
        </w:numPr>
        <w:tabs>
          <w:tab w:pos="936" w:val="left" w:leader="none"/>
          <w:tab w:pos="937" w:val="left" w:leader="none"/>
          <w:tab w:pos="2183" w:val="left" w:leader="none"/>
        </w:tabs>
        <w:spacing w:line="247" w:lineRule="auto" w:before="123" w:after="0"/>
        <w:ind w:left="2183" w:right="211" w:hanging="1967"/>
        <w:jc w:val="left"/>
        <w:rPr>
          <w:sz w:val="21"/>
        </w:rPr>
      </w:pPr>
      <w:r>
        <w:rPr>
          <w:b/>
          <w:sz w:val="21"/>
        </w:rPr>
        <w:t>重大疾病</w:t>
        <w:tab/>
      </w:r>
      <w:r>
        <w:rPr>
          <w:sz w:val="21"/>
        </w:rPr>
        <w:t>指被保险人经我们认可的医院的</w:t>
      </w:r>
      <w:r>
        <w:rPr>
          <w:b/>
          <w:sz w:val="21"/>
        </w:rPr>
        <w:t>专科医生</w:t>
      </w:r>
      <w:r>
        <w:rPr>
          <w:sz w:val="21"/>
        </w:rPr>
        <w:t>（注</w:t>
      </w:r>
      <w:r>
        <w:rPr>
          <w:spacing w:val="25"/>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8"/>
        <w:ind w:left="2183" w:right="214"/>
      </w:pPr>
      <w:r>
        <w:rPr/>
        <w:t>本附加合同所列重大疾病中第一种至第二十三种为中国保险行业协会制定的《重大疾病保险的疾病定义使用规范》中列明的疾病，其余为本公司增加的疾病。</w:t>
      </w:r>
    </w:p>
    <w:p>
      <w:pPr>
        <w:pStyle w:val="ListParagraph"/>
        <w:numPr>
          <w:ilvl w:val="0"/>
          <w:numId w:val="8"/>
        </w:numPr>
        <w:tabs>
          <w:tab w:pos="936" w:val="left" w:leader="none"/>
          <w:tab w:pos="937" w:val="left" w:leader="none"/>
        </w:tabs>
        <w:spacing w:line="252" w:lineRule="auto" w:before="118" w:after="0"/>
        <w:ind w:left="2183" w:right="108" w:hanging="1967"/>
        <w:jc w:val="left"/>
        <w:rPr>
          <w:sz w:val="21"/>
        </w:rPr>
      </w:pPr>
      <w:r>
        <w:rPr>
          <w:b/>
          <w:spacing w:val="16"/>
          <w:sz w:val="21"/>
        </w:rPr>
        <w:t>恶性肿瘤： </w:t>
      </w: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z w:val="21"/>
        </w:rPr>
        <w:t>恶性肿瘤范畴。下列疾病不在保障范围内：</w:t>
      </w:r>
    </w:p>
    <w:p>
      <w:pPr>
        <w:pStyle w:val="BodyText"/>
        <w:spacing w:before="14"/>
        <w:ind w:left="2183"/>
      </w:pPr>
      <w:r>
        <w:rPr/>
        <w:t>（</w:t>
      </w:r>
      <w:r>
        <w:rPr>
          <w:rFonts w:ascii="Times New Roman" w:eastAsia="Times New Roman"/>
        </w:rPr>
        <w:t>1</w:t>
      </w:r>
      <w:r>
        <w:rPr/>
        <w:t>）原位癌；</w:t>
      </w:r>
    </w:p>
    <w:p>
      <w:pPr>
        <w:pStyle w:val="BodyText"/>
        <w:spacing w:before="9"/>
        <w:ind w:left="2183"/>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9"/>
        <w:ind w:left="2183"/>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9"/>
        <w:ind w:left="2183"/>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9"/>
        <w:ind w:left="2183"/>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9"/>
        <w:ind w:left="2183"/>
      </w:pPr>
      <w:r>
        <w:rPr/>
        <w:t>（</w:t>
      </w:r>
      <w:r>
        <w:rPr>
          <w:rFonts w:ascii="Times New Roman" w:eastAsia="Times New Roman"/>
        </w:rPr>
        <w:t>6</w:t>
      </w:r>
      <w:r>
        <w:rPr/>
        <w:t>）感染艾滋病病毒或患艾滋病期间所患恶性肿瘤。</w:t>
      </w:r>
    </w:p>
    <w:p>
      <w:pPr>
        <w:spacing w:after="0"/>
        <w:sectPr>
          <w:type w:val="continuous"/>
          <w:pgSz w:w="11910" w:h="16840"/>
          <w:pgMar w:top="1400" w:bottom="280" w:left="1060" w:right="1060"/>
        </w:sectPr>
      </w:pPr>
    </w:p>
    <w:p>
      <w:pPr>
        <w:pStyle w:val="Heading2"/>
        <w:numPr>
          <w:ilvl w:val="0"/>
          <w:numId w:val="8"/>
        </w:numPr>
        <w:tabs>
          <w:tab w:pos="936" w:val="left" w:leader="none"/>
          <w:tab w:pos="937" w:val="left" w:leader="none"/>
        </w:tabs>
        <w:spacing w:line="247" w:lineRule="auto" w:before="122" w:after="0"/>
        <w:ind w:left="936" w:right="206" w:hanging="720"/>
        <w:jc w:val="left"/>
      </w:pPr>
      <w:r>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936" w:val="left" w:leader="none"/>
          <w:tab w:pos="937" w:val="left" w:leader="none"/>
        </w:tabs>
        <w:spacing w:line="247" w:lineRule="auto" w:before="1" w:after="0"/>
        <w:ind w:left="936" w:right="206" w:hanging="720"/>
        <w:jc w:val="left"/>
        <w:rPr>
          <w:b/>
          <w:sz w:val="21"/>
        </w:rPr>
      </w:pPr>
      <w:r>
        <w:rPr>
          <w:b/>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p>
    <w:p>
      <w:pPr>
        <w:pStyle w:val="ListParagraph"/>
        <w:numPr>
          <w:ilvl w:val="0"/>
          <w:numId w:val="8"/>
        </w:numPr>
        <w:tabs>
          <w:tab w:pos="936" w:val="left" w:leader="none"/>
          <w:tab w:pos="937" w:val="left" w:leader="none"/>
        </w:tabs>
        <w:spacing w:line="256" w:lineRule="auto" w:before="0" w:after="0"/>
        <w:ind w:left="936" w:right="0" w:hanging="720"/>
        <w:jc w:val="left"/>
        <w:rPr>
          <w:b/>
          <w:sz w:val="21"/>
        </w:rPr>
      </w:pPr>
      <w:r>
        <w:rPr>
          <w:b/>
          <w:sz w:val="21"/>
        </w:rPr>
        <w:t>重大器官移植术或造血干细胞移植</w:t>
      </w:r>
      <w:r>
        <w:rPr>
          <w:b/>
          <w:w w:val="95"/>
          <w:sz w:val="21"/>
        </w:rPr>
        <w:t>术：</w:t>
      </w:r>
    </w:p>
    <w:p>
      <w:pPr>
        <w:pStyle w:val="BodyText"/>
        <w:spacing w:line="261" w:lineRule="auto" w:before="122"/>
        <w:ind w:left="153" w:right="214"/>
      </w:pPr>
      <w:r>
        <w:rPr/>
        <w:br w:type="column"/>
      </w:r>
      <w:r>
        <w:rPr/>
        <w:t>指因冠状动脉阻塞导致的相应区域供血不足造成部分心肌坏死。须满足下列至少三项条件：</w:t>
      </w:r>
    </w:p>
    <w:p>
      <w:pPr>
        <w:pStyle w:val="BodyText"/>
        <w:spacing w:before="6"/>
        <w:ind w:left="153"/>
      </w:pPr>
      <w:r>
        <w:rPr/>
        <w:t>（</w:t>
      </w:r>
      <w:r>
        <w:rPr>
          <w:rFonts w:ascii="Times New Roman" w:eastAsia="Times New Roman"/>
        </w:rPr>
        <w:t>1</w:t>
      </w:r>
      <w:r>
        <w:rPr/>
        <w:t>）典型临床表现，例如急性胸痛等；</w:t>
      </w:r>
    </w:p>
    <w:p>
      <w:pPr>
        <w:pStyle w:val="BodyText"/>
        <w:spacing w:before="9"/>
        <w:ind w:left="153"/>
      </w:pPr>
      <w:r>
        <w:rPr/>
        <w:t>（</w:t>
      </w:r>
      <w:r>
        <w:rPr>
          <w:rFonts w:ascii="Times New Roman" w:eastAsia="Times New Roman"/>
        </w:rPr>
        <w:t>2</w:t>
      </w:r>
      <w:r>
        <w:rPr/>
        <w:t>）新近的心电图改变提示急性心肌梗塞；</w:t>
      </w:r>
    </w:p>
    <w:p>
      <w:pPr>
        <w:pStyle w:val="BodyText"/>
        <w:spacing w:before="9"/>
        <w:ind w:left="153"/>
      </w:pPr>
      <w:r>
        <w:rPr/>
        <w:t>（</w:t>
      </w:r>
      <w:r>
        <w:rPr>
          <w:rFonts w:ascii="Times New Roman" w:eastAsia="Times New Roman"/>
        </w:rPr>
        <w:t>3</w:t>
      </w:r>
      <w:r>
        <w:rPr>
          <w:spacing w:val="-88"/>
        </w:rPr>
        <w:t>）</w:t>
      </w:r>
      <w:r>
        <w:rPr>
          <w:spacing w:val="-6"/>
        </w:rPr>
        <w:t>心肌酶或肌钙蛋白有诊断意义的升高，或呈符合急性心肌梗塞的动态性变化；</w:t>
      </w:r>
    </w:p>
    <w:p>
      <w:pPr>
        <w:pStyle w:val="BodyText"/>
        <w:spacing w:before="9"/>
        <w:ind w:left="153"/>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BodyText"/>
        <w:spacing w:line="254" w:lineRule="auto" w:before="122"/>
        <w:ind w:left="153" w:right="213"/>
        <w:jc w:val="both"/>
      </w:pPr>
      <w:r>
        <w:rPr/>
        <w:t>指因脑血管的突发病变引起脑血管出血、栓塞或梗塞，并导致神经系统永久性的</w:t>
      </w:r>
      <w:r>
        <w:rPr>
          <w:spacing w:val="-2"/>
        </w:rPr>
        <w:t>功能障碍。神经系统永久性的功能障碍，指疾病确诊 </w:t>
      </w:r>
      <w:r>
        <w:rPr>
          <w:rFonts w:ascii="Times New Roman" w:eastAsia="Times New Roman"/>
        </w:rPr>
        <w:t>180 </w:t>
      </w:r>
      <w:r>
        <w:rPr/>
        <w:t>日后，仍遗留下列一种或一种以上障碍：</w:t>
      </w:r>
    </w:p>
    <w:p>
      <w:pPr>
        <w:spacing w:before="12"/>
        <w:ind w:left="153" w:right="0" w:firstLine="0"/>
        <w:jc w:val="left"/>
        <w:rPr>
          <w:sz w:val="21"/>
        </w:rPr>
      </w:pPr>
      <w:r>
        <w:rPr>
          <w:sz w:val="21"/>
        </w:rPr>
        <w:t>（</w:t>
      </w:r>
      <w:r>
        <w:rPr>
          <w:rFonts w:ascii="Times New Roman" w:eastAsia="Times New Roman"/>
          <w:sz w:val="21"/>
        </w:rPr>
        <w:t>1</w:t>
      </w:r>
      <w:r>
        <w:rPr>
          <w:sz w:val="21"/>
        </w:rPr>
        <w:t>）</w:t>
      </w:r>
      <w:r>
        <w:rPr>
          <w:spacing w:val="-1"/>
          <w:sz w:val="21"/>
        </w:rPr>
        <w:t>一肢或一肢以上</w:t>
      </w:r>
      <w:r>
        <w:rPr>
          <w:b/>
          <w:w w:val="99"/>
          <w:sz w:val="21"/>
        </w:rPr>
        <w:t>肢体机能完全丧失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before="8"/>
        <w:ind w:left="153"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r>
        <w:rPr>
          <w:sz w:val="21"/>
        </w:rPr>
        <w:t>；</w:t>
      </w:r>
    </w:p>
    <w:p>
      <w:pPr>
        <w:spacing w:line="247" w:lineRule="auto" w:before="8"/>
        <w:ind w:left="678" w:right="137"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p>
      <w:pPr>
        <w:pStyle w:val="BodyText"/>
        <w:spacing w:line="261" w:lineRule="auto" w:before="131"/>
        <w:ind w:left="153" w:right="214"/>
      </w:pPr>
      <w:r>
        <w:rPr/>
        <w:t>重大器官移植术，指因相应器官功能衰竭，已经实施了肾脏、肝脏、心脏或肺脏的异体移植手术。</w:t>
      </w:r>
    </w:p>
    <w:p>
      <w:pPr>
        <w:pStyle w:val="BodyText"/>
        <w:spacing w:line="261" w:lineRule="auto" w:before="6"/>
        <w:ind w:left="153" w:right="214"/>
      </w:pPr>
      <w:r>
        <w:rPr/>
        <w:t>造血干细胞移植术，指因造血功能损害或造血系统恶性肿瘤，已经实施了造血干细胞（包括骨髓造血干细胞、外周血造血干细胞和脐血造血干细胞）的异体移植</w:t>
      </w:r>
    </w:p>
    <w:p>
      <w:pPr>
        <w:spacing w:after="0" w:line="261" w:lineRule="auto"/>
        <w:sectPr>
          <w:type w:val="continuous"/>
          <w:pgSz w:w="11910" w:h="16840"/>
          <w:pgMar w:top="1400" w:bottom="280" w:left="1060" w:right="1060"/>
          <w:cols w:num="2" w:equalWidth="0">
            <w:col w:w="1991" w:space="40"/>
            <w:col w:w="7759"/>
          </w:cols>
        </w:sectPr>
      </w:pPr>
    </w:p>
    <w:p>
      <w:pPr>
        <w:pStyle w:val="BodyText"/>
        <w:rPr>
          <w:sz w:val="20"/>
        </w:rPr>
      </w:pPr>
    </w:p>
    <w:p>
      <w:pPr>
        <w:pStyle w:val="Heading2"/>
        <w:numPr>
          <w:ilvl w:val="0"/>
          <w:numId w:val="8"/>
        </w:numPr>
        <w:tabs>
          <w:tab w:pos="836" w:val="left" w:leader="none"/>
          <w:tab w:pos="837" w:val="left" w:leader="none"/>
        </w:tabs>
        <w:spacing w:line="259" w:lineRule="auto" w:before="165" w:after="0"/>
        <w:ind w:left="836" w:right="19" w:hanging="720"/>
        <w:jc w:val="left"/>
      </w:pPr>
      <w:r>
        <w:rPr/>
        <w:t>冠状动脉</w:t>
      </w:r>
      <w:r>
        <w:rPr>
          <w:spacing w:val="-8"/>
        </w:rPr>
        <w:t>搭桥术</w:t>
      </w:r>
      <w:r>
        <w:rPr/>
        <w:t>（或称冠状动脉旁路移</w:t>
      </w:r>
      <w:r>
        <w:rPr>
          <w:spacing w:val="0"/>
          <w:w w:val="99"/>
        </w:rPr>
        <w:t>植术</w:t>
      </w:r>
      <w:r>
        <w:rPr>
          <w:spacing w:val="-105"/>
          <w:w w:val="99"/>
        </w:rPr>
        <w:t>）</w:t>
      </w:r>
      <w:r>
        <w:rPr>
          <w:w w:val="99"/>
        </w:rPr>
        <w:t>：</w:t>
      </w:r>
    </w:p>
    <w:p>
      <w:pPr>
        <w:pStyle w:val="ListParagraph"/>
        <w:numPr>
          <w:ilvl w:val="0"/>
          <w:numId w:val="8"/>
        </w:numPr>
        <w:tabs>
          <w:tab w:pos="836" w:val="left" w:leader="none"/>
          <w:tab w:pos="837" w:val="left" w:leader="none"/>
        </w:tabs>
        <w:spacing w:line="259" w:lineRule="auto" w:before="120" w:after="0"/>
        <w:ind w:left="836" w:right="21" w:hanging="720"/>
        <w:jc w:val="left"/>
        <w:rPr>
          <w:b/>
          <w:sz w:val="21"/>
        </w:rPr>
      </w:pPr>
      <w:r>
        <w:rPr>
          <w:b/>
          <w:sz w:val="21"/>
        </w:rPr>
        <w:t>终末期肾 </w:t>
      </w:r>
      <w:r>
        <w:rPr>
          <w:b/>
          <w:spacing w:val="-22"/>
          <w:sz w:val="21"/>
        </w:rPr>
        <w:t>病</w:t>
      </w:r>
      <w:r>
        <w:rPr>
          <w:b/>
          <w:sz w:val="21"/>
        </w:rPr>
        <w:t>（或称慢性肾功能衰竭尿毒</w:t>
      </w:r>
      <w:r>
        <w:rPr>
          <w:b/>
          <w:spacing w:val="0"/>
          <w:w w:val="99"/>
          <w:sz w:val="21"/>
        </w:rPr>
        <w:t>症期</w:t>
      </w:r>
      <w:r>
        <w:rPr>
          <w:b/>
          <w:spacing w:val="-105"/>
          <w:w w:val="99"/>
          <w:sz w:val="21"/>
        </w:rPr>
        <w:t>）</w:t>
      </w:r>
      <w:r>
        <w:rPr>
          <w:b/>
          <w:w w:val="99"/>
          <w:sz w:val="21"/>
        </w:rPr>
        <w:t>：</w:t>
      </w:r>
    </w:p>
    <w:p>
      <w:pPr>
        <w:pStyle w:val="ListParagraph"/>
        <w:numPr>
          <w:ilvl w:val="0"/>
          <w:numId w:val="8"/>
        </w:numPr>
        <w:tabs>
          <w:tab w:pos="836" w:val="left" w:leader="none"/>
          <w:tab w:pos="837" w:val="left" w:leader="none"/>
        </w:tabs>
        <w:spacing w:line="254" w:lineRule="auto" w:before="120" w:after="0"/>
        <w:ind w:left="836" w:right="206" w:hanging="720"/>
        <w:jc w:val="both"/>
        <w:rPr>
          <w:b/>
          <w:sz w:val="21"/>
        </w:rPr>
      </w:pPr>
      <w:r>
        <w:rPr>
          <w:b/>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5"/>
        <w:rPr>
          <w:b/>
          <w:sz w:val="18"/>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36" w:val="left" w:leader="none"/>
          <w:tab w:pos="837" w:val="left" w:leader="none"/>
        </w:tabs>
        <w:spacing w:line="254" w:lineRule="auto" w:before="1" w:after="0"/>
        <w:ind w:left="836" w:right="206" w:hanging="720"/>
        <w:jc w:val="both"/>
        <w:rPr>
          <w:b/>
          <w:sz w:val="21"/>
        </w:rPr>
      </w:pPr>
      <w:r>
        <w:rPr>
          <w:b/>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8" w:val="left" w:leader="none"/>
        </w:tabs>
        <w:spacing w:line="254" w:lineRule="auto" w:before="0" w:after="0"/>
        <w:ind w:left="837" w:right="0" w:hanging="720"/>
        <w:jc w:val="left"/>
        <w:rPr>
          <w:b/>
          <w:sz w:val="21"/>
        </w:rPr>
      </w:pPr>
      <w:r>
        <w:rPr>
          <w:b/>
          <w:sz w:val="21"/>
        </w:rPr>
        <w:t>脑炎后遗 症或脑膜 </w:t>
      </w:r>
      <w:r>
        <w:rPr>
          <w:b/>
          <w:w w:val="95"/>
          <w:sz w:val="21"/>
        </w:rPr>
        <w:t>炎后遗症：</w:t>
      </w:r>
    </w:p>
    <w:p>
      <w:pPr>
        <w:spacing w:before="14"/>
        <w:ind w:left="116" w:right="0" w:firstLine="0"/>
        <w:jc w:val="left"/>
        <w:rPr>
          <w:sz w:val="21"/>
        </w:rPr>
      </w:pPr>
      <w:r>
        <w:rPr/>
        <w:br w:type="column"/>
      </w:r>
      <w:r>
        <w:rPr>
          <w:sz w:val="21"/>
        </w:rPr>
        <w:t>手术。</w:t>
      </w:r>
    </w:p>
    <w:p>
      <w:pPr>
        <w:pStyle w:val="BodyText"/>
        <w:spacing w:line="261" w:lineRule="auto" w:before="137"/>
        <w:ind w:left="116" w:right="214"/>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16" w:right="212"/>
      </w:pPr>
      <w:r>
        <w:rPr>
          <w:spacing w:val="-7"/>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before="1"/>
        <w:ind w:left="116" w:right="214"/>
      </w:pPr>
      <w:r>
        <w:rPr/>
        <w:t>指因肝炎病毒感染引起肝脏组织弥漫性坏死，导致急性肝功能衰竭，且经血清学或病毒学检查证实，并须满足下列全部条件：</w:t>
      </w:r>
    </w:p>
    <w:p>
      <w:pPr>
        <w:pStyle w:val="BodyText"/>
        <w:spacing w:before="6"/>
        <w:ind w:left="116"/>
      </w:pPr>
      <w:r>
        <w:rPr/>
        <w:t>（</w:t>
      </w:r>
      <w:r>
        <w:rPr>
          <w:rFonts w:ascii="Times New Roman" w:eastAsia="Times New Roman"/>
        </w:rPr>
        <w:t>1</w:t>
      </w:r>
      <w:r>
        <w:rPr/>
        <w:t>）重度黄疸或黄疸迅速加重；</w:t>
      </w:r>
    </w:p>
    <w:p>
      <w:pPr>
        <w:pStyle w:val="BodyText"/>
        <w:spacing w:before="9"/>
        <w:ind w:left="116"/>
      </w:pPr>
      <w:r>
        <w:rPr/>
        <w:t>（</w:t>
      </w:r>
      <w:r>
        <w:rPr>
          <w:rFonts w:ascii="Times New Roman" w:eastAsia="Times New Roman"/>
        </w:rPr>
        <w:t>2</w:t>
      </w:r>
      <w:r>
        <w:rPr/>
        <w:t>）肝性脑病；</w:t>
      </w:r>
    </w:p>
    <w:p>
      <w:pPr>
        <w:pStyle w:val="BodyText"/>
        <w:spacing w:before="9"/>
        <w:ind w:left="116"/>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16"/>
      </w:pPr>
      <w:r>
        <w:rPr/>
        <w:t>（</w:t>
      </w:r>
      <w:r>
        <w:rPr>
          <w:rFonts w:ascii="Times New Roman" w:eastAsia="Times New Roman"/>
        </w:rPr>
        <w:t>4</w:t>
      </w:r>
      <w:r>
        <w:rPr/>
        <w:t>）肝功能指标进行性恶化。</w:t>
      </w:r>
    </w:p>
    <w:p>
      <w:pPr>
        <w:pStyle w:val="BodyText"/>
        <w:spacing w:line="261" w:lineRule="auto" w:before="123"/>
        <w:ind w:left="116" w:right="107"/>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16" w:right="208"/>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1"/>
        <w:ind w:left="116"/>
      </w:pPr>
      <w:r>
        <w:rPr/>
        <w:t>（</w:t>
      </w:r>
      <w:r>
        <w:rPr>
          <w:rFonts w:ascii="Times New Roman" w:eastAsia="Times New Roman"/>
        </w:rPr>
        <w:t>1</w:t>
      </w:r>
      <w:r>
        <w:rPr/>
        <w:t>）实际实施了开颅进行的脑肿瘤完全切除或部分切除的手术；</w:t>
      </w:r>
    </w:p>
    <w:p>
      <w:pPr>
        <w:pStyle w:val="BodyText"/>
        <w:spacing w:before="9"/>
        <w:ind w:left="116"/>
      </w:pPr>
      <w:r>
        <w:rPr/>
        <w:t>（</w:t>
      </w:r>
      <w:r>
        <w:rPr>
          <w:rFonts w:ascii="Times New Roman" w:eastAsia="Times New Roman"/>
        </w:rPr>
        <w:t>2</w:t>
      </w:r>
      <w:r>
        <w:rPr/>
        <w:t>）实际实施了对脑肿瘤进行的放射治疗。</w:t>
      </w:r>
    </w:p>
    <w:p>
      <w:pPr>
        <w:pStyle w:val="BodyText"/>
        <w:spacing w:before="9"/>
        <w:ind w:left="116"/>
      </w:pPr>
      <w:r>
        <w:rPr/>
        <w:t>脑垂体瘤、脑囊肿、脑血管性疾病不在保障范围内。</w:t>
      </w:r>
    </w:p>
    <w:p>
      <w:pPr>
        <w:pStyle w:val="BodyText"/>
        <w:spacing w:before="138"/>
        <w:ind w:left="116"/>
      </w:pPr>
      <w:r>
        <w:rPr/>
        <w:t>指因慢性肝脏疾病导致肝功能衰竭。须满足下列全部条件：</w:t>
      </w:r>
    </w:p>
    <w:p>
      <w:pPr>
        <w:pStyle w:val="BodyText"/>
        <w:spacing w:before="25"/>
        <w:ind w:left="116"/>
      </w:pPr>
      <w:r>
        <w:rPr/>
        <w:t>（</w:t>
      </w:r>
      <w:r>
        <w:rPr>
          <w:rFonts w:ascii="Times New Roman" w:eastAsia="Times New Roman"/>
        </w:rPr>
        <w:t>1</w:t>
      </w:r>
      <w:r>
        <w:rPr/>
        <w:t>）持续性黄疸；</w:t>
      </w:r>
    </w:p>
    <w:p>
      <w:pPr>
        <w:pStyle w:val="BodyText"/>
        <w:spacing w:before="9"/>
        <w:ind w:left="116"/>
      </w:pPr>
      <w:r>
        <w:rPr/>
        <w:t>（</w:t>
      </w:r>
      <w:r>
        <w:rPr>
          <w:rFonts w:ascii="Times New Roman" w:eastAsia="Times New Roman"/>
        </w:rPr>
        <w:t>2</w:t>
      </w:r>
      <w:r>
        <w:rPr/>
        <w:t>）腹水；</w:t>
      </w:r>
    </w:p>
    <w:p>
      <w:pPr>
        <w:pStyle w:val="BodyText"/>
        <w:spacing w:before="9"/>
        <w:ind w:left="116"/>
      </w:pPr>
      <w:r>
        <w:rPr/>
        <w:t>（</w:t>
      </w:r>
      <w:r>
        <w:rPr>
          <w:rFonts w:ascii="Times New Roman" w:eastAsia="Times New Roman"/>
        </w:rPr>
        <w:t>3</w:t>
      </w:r>
      <w:r>
        <w:rPr/>
        <w:t>）肝性脑病；</w:t>
      </w:r>
    </w:p>
    <w:p>
      <w:pPr>
        <w:pStyle w:val="BodyText"/>
        <w:spacing w:line="247" w:lineRule="auto" w:before="9"/>
        <w:ind w:left="117" w:right="2454"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16" w:right="214"/>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line="279" w:lineRule="exact"/>
        <w:ind w:left="116"/>
      </w:pPr>
      <w:r>
        <w:rPr/>
        <w:t>（</w:t>
      </w:r>
      <w:r>
        <w:rPr>
          <w:rFonts w:ascii="Times New Roman" w:eastAsia="Times New Roman"/>
        </w:rPr>
        <w:t>1</w:t>
      </w:r>
      <w:r>
        <w:rPr/>
        <w:t>）一肢或一肢以上肢体机能完全丧失；</w:t>
      </w:r>
    </w:p>
    <w:p>
      <w:pPr>
        <w:pStyle w:val="BodyText"/>
        <w:spacing w:before="9"/>
        <w:ind w:left="116"/>
      </w:pPr>
      <w:r>
        <w:rPr/>
        <w:t>（</w:t>
      </w:r>
      <w:r>
        <w:rPr>
          <w:rFonts w:ascii="Times New Roman" w:eastAsia="Times New Roman"/>
        </w:rPr>
        <w:t>2</w:t>
      </w:r>
      <w:r>
        <w:rPr/>
        <w:t>）语言能力或咀嚼吞咽能力完全丧失；</w:t>
      </w:r>
    </w:p>
    <w:p>
      <w:pPr>
        <w:pStyle w:val="BodyText"/>
        <w:spacing w:line="247" w:lineRule="auto" w:before="8"/>
        <w:ind w:left="642" w:right="142"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160" w:right="1060"/>
          <w:cols w:num="2" w:equalWidth="0">
            <w:col w:w="1891" w:space="76"/>
            <w:col w:w="7723"/>
          </w:cols>
        </w:sectPr>
      </w:pPr>
    </w:p>
    <w:p>
      <w:pPr>
        <w:pStyle w:val="ListParagraph"/>
        <w:numPr>
          <w:ilvl w:val="0"/>
          <w:numId w:val="8"/>
        </w:numPr>
        <w:tabs>
          <w:tab w:pos="837" w:val="left" w:leader="none"/>
        </w:tabs>
        <w:spacing w:line="247" w:lineRule="auto" w:before="131" w:after="0"/>
        <w:ind w:left="2083" w:right="213" w:hanging="1967"/>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83"/>
      </w:pPr>
      <w:r>
        <w:rPr/>
        <w:t>因酗酒或药物滥用导致的深度昏迷不在保障范围内。</w:t>
      </w:r>
    </w:p>
    <w:p>
      <w:pPr>
        <w:pStyle w:val="ListParagraph"/>
        <w:numPr>
          <w:ilvl w:val="0"/>
          <w:numId w:val="8"/>
        </w:numPr>
        <w:tabs>
          <w:tab w:pos="837" w:val="left" w:leader="none"/>
        </w:tabs>
        <w:spacing w:line="247" w:lineRule="auto" w:before="137" w:after="0"/>
        <w:ind w:left="2083" w:right="212" w:hanging="1967"/>
        <w:jc w:val="both"/>
        <w:rPr>
          <w:sz w:val="21"/>
        </w:rPr>
      </w:pPr>
      <w:r>
        <w:rPr>
          <w:b/>
          <w:spacing w:val="12"/>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spacing w:after="0" w:line="247" w:lineRule="auto"/>
        <w:jc w:val="both"/>
        <w:rPr>
          <w:sz w:val="21"/>
        </w:rPr>
        <w:sectPr>
          <w:type w:val="continuous"/>
          <w:pgSz w:w="11910" w:h="16840"/>
          <w:pgMar w:top="1400" w:bottom="280" w:left="1160" w:right="1060"/>
        </w:sectPr>
      </w:pPr>
    </w:p>
    <w:p>
      <w:pPr>
        <w:pStyle w:val="ListParagraph"/>
        <w:numPr>
          <w:ilvl w:val="0"/>
          <w:numId w:val="8"/>
        </w:numPr>
        <w:tabs>
          <w:tab w:pos="837" w:val="left" w:leader="none"/>
        </w:tabs>
        <w:spacing w:line="247" w:lineRule="auto" w:before="14" w:after="0"/>
        <w:ind w:left="2083" w:right="212" w:hanging="1967"/>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日后或意外伤害发生 </w:t>
      </w:r>
      <w:r>
        <w:rPr>
          <w:rFonts w:ascii="Times New Roman" w:eastAsia="Times New Roman"/>
          <w:sz w:val="21"/>
        </w:rPr>
        <w:t>180</w:t>
      </w:r>
      <w:r>
        <w:rPr>
          <w:rFonts w:ascii="Times New Roman" w:eastAsia="Times New Roman"/>
          <w:spacing w:val="7"/>
          <w:sz w:val="21"/>
        </w:rPr>
        <w:t> </w:t>
      </w:r>
      <w:r>
        <w:rPr>
          <w:sz w:val="21"/>
        </w:rPr>
        <w:t>日后，每肢三大关节中的两大关节仍然完全僵硬，或不能随意识活动。</w:t>
      </w:r>
    </w:p>
    <w:p>
      <w:pPr>
        <w:spacing w:after="0" w:line="247" w:lineRule="auto"/>
        <w:jc w:val="both"/>
        <w:rPr>
          <w:sz w:val="21"/>
        </w:rPr>
        <w:sectPr>
          <w:pgSz w:w="11910" w:h="16840"/>
          <w:pgMar w:top="1420" w:bottom="280" w:left="1160" w:right="1060"/>
        </w:sectPr>
      </w:pPr>
    </w:p>
    <w:p>
      <w:pPr>
        <w:pStyle w:val="Heading2"/>
        <w:numPr>
          <w:ilvl w:val="0"/>
          <w:numId w:val="8"/>
        </w:numPr>
        <w:tabs>
          <w:tab w:pos="837" w:val="left" w:leader="none"/>
        </w:tabs>
        <w:spacing w:line="247" w:lineRule="auto" w:before="131" w:after="0"/>
        <w:ind w:left="836" w:right="206" w:hanging="720"/>
        <w:jc w:val="both"/>
      </w:pPr>
      <w:r>
        <w:rPr/>
        <w:t>心脏瓣膜手术：</w:t>
      </w:r>
    </w:p>
    <w:p>
      <w:pPr>
        <w:pStyle w:val="ListParagraph"/>
        <w:numPr>
          <w:ilvl w:val="0"/>
          <w:numId w:val="8"/>
        </w:numPr>
        <w:tabs>
          <w:tab w:pos="836" w:val="left" w:leader="none"/>
          <w:tab w:pos="837" w:val="left" w:leader="none"/>
        </w:tabs>
        <w:spacing w:line="247" w:lineRule="auto" w:before="131" w:after="0"/>
        <w:ind w:left="836" w:right="0" w:hanging="720"/>
        <w:jc w:val="left"/>
        <w:rPr>
          <w:b/>
          <w:sz w:val="21"/>
        </w:rPr>
      </w:pPr>
      <w:r>
        <w:rPr>
          <w:b/>
          <w:sz w:val="21"/>
        </w:rPr>
        <w:t>严重阿尔茨</w:t>
      </w:r>
      <w:r>
        <w:rPr>
          <w:b/>
          <w:w w:val="95"/>
          <w:sz w:val="21"/>
        </w:rPr>
        <w:t>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pStyle w:val="ListParagraph"/>
        <w:numPr>
          <w:ilvl w:val="0"/>
          <w:numId w:val="8"/>
        </w:numPr>
        <w:tabs>
          <w:tab w:pos="837" w:val="left" w:leader="none"/>
        </w:tabs>
        <w:spacing w:line="247" w:lineRule="auto" w:before="1" w:after="0"/>
        <w:ind w:left="836" w:right="206" w:hanging="720"/>
        <w:jc w:val="both"/>
        <w:rPr>
          <w:b/>
          <w:sz w:val="21"/>
        </w:rPr>
      </w:pPr>
      <w:r>
        <w:rPr>
          <w:b/>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严重Ⅲ度烧伤：</w:t>
      </w:r>
    </w:p>
    <w:p>
      <w:pPr>
        <w:pStyle w:val="ListParagraph"/>
        <w:numPr>
          <w:ilvl w:val="0"/>
          <w:numId w:val="8"/>
        </w:numPr>
        <w:tabs>
          <w:tab w:pos="837" w:val="left" w:leader="none"/>
        </w:tabs>
        <w:spacing w:line="254" w:lineRule="auto" w:before="131" w:after="0"/>
        <w:ind w:left="836" w:right="206" w:hanging="720"/>
        <w:jc w:val="both"/>
        <w:rPr>
          <w:b/>
          <w:sz w:val="21"/>
        </w:rPr>
      </w:pPr>
      <w:r>
        <w:rPr>
          <w:b/>
          <w:sz w:val="21"/>
        </w:rPr>
        <w:t>严重原发性肺动脉高压：</w:t>
      </w:r>
    </w:p>
    <w:p>
      <w:pPr>
        <w:pStyle w:val="ListParagraph"/>
        <w:numPr>
          <w:ilvl w:val="0"/>
          <w:numId w:val="8"/>
        </w:numPr>
        <w:tabs>
          <w:tab w:pos="836" w:val="left" w:leader="none"/>
          <w:tab w:pos="837" w:val="left" w:leader="none"/>
        </w:tabs>
        <w:spacing w:line="247" w:lineRule="auto" w:before="124" w:after="0"/>
        <w:ind w:left="836" w:right="0" w:hanging="720"/>
        <w:jc w:val="left"/>
        <w:rPr>
          <w:b/>
          <w:sz w:val="21"/>
        </w:rPr>
      </w:pPr>
      <w:r>
        <w:rPr>
          <w:b/>
          <w:sz w:val="21"/>
        </w:rPr>
        <w:t>严重运动神</w:t>
      </w:r>
      <w:r>
        <w:rPr>
          <w:b/>
          <w:w w:val="95"/>
          <w:sz w:val="21"/>
        </w:rPr>
        <w:t>经元病：</w:t>
      </w:r>
    </w:p>
    <w:p>
      <w:pPr>
        <w:pStyle w:val="BodyText"/>
        <w:rPr>
          <w:b/>
          <w:sz w:val="20"/>
        </w:rPr>
      </w:pPr>
    </w:p>
    <w:p>
      <w:pPr>
        <w:pStyle w:val="ListParagraph"/>
        <w:numPr>
          <w:ilvl w:val="0"/>
          <w:numId w:val="8"/>
        </w:numPr>
        <w:tabs>
          <w:tab w:pos="837" w:val="left" w:leader="none"/>
        </w:tabs>
        <w:spacing w:line="247" w:lineRule="auto" w:before="169" w:after="0"/>
        <w:ind w:left="836" w:right="206" w:hanging="720"/>
        <w:jc w:val="both"/>
        <w:rPr>
          <w:b/>
          <w:sz w:val="21"/>
        </w:rPr>
      </w:pPr>
      <w:r>
        <w:rPr>
          <w:b/>
          <w:sz w:val="21"/>
        </w:rPr>
        <w:t>语言能力丧失：</w:t>
      </w:r>
    </w:p>
    <w:p>
      <w:pPr>
        <w:pStyle w:val="BodyText"/>
        <w:rPr>
          <w:b/>
          <w:sz w:val="20"/>
        </w:rPr>
      </w:pPr>
    </w:p>
    <w:p>
      <w:pPr>
        <w:pStyle w:val="ListParagraph"/>
        <w:numPr>
          <w:ilvl w:val="0"/>
          <w:numId w:val="8"/>
        </w:numPr>
        <w:tabs>
          <w:tab w:pos="837" w:val="left" w:leader="none"/>
        </w:tabs>
        <w:spacing w:line="254" w:lineRule="auto" w:before="169" w:after="0"/>
        <w:ind w:left="836" w:right="206" w:hanging="720"/>
        <w:jc w:val="both"/>
        <w:rPr>
          <w:b/>
          <w:sz w:val="21"/>
        </w:rPr>
      </w:pPr>
      <w:r>
        <w:rPr>
          <w:b/>
          <w:sz w:val="21"/>
        </w:rPr>
        <w:t>重型再生障碍性贫血：</w:t>
      </w:r>
    </w:p>
    <w:p>
      <w:pPr>
        <w:pStyle w:val="BodyText"/>
        <w:spacing w:before="131"/>
        <w:ind w:left="116"/>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16" w:right="214"/>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16"/>
      </w:pPr>
      <w:r>
        <w:rPr/>
        <w:t>神经官能症和精神疾病不在保障范围内。</w:t>
      </w:r>
    </w:p>
    <w:p>
      <w:pPr>
        <w:pStyle w:val="BodyText"/>
        <w:spacing w:line="252" w:lineRule="auto" w:before="138"/>
        <w:ind w:left="116" w:right="108"/>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pStyle w:val="BodyText"/>
        <w:spacing w:before="15"/>
        <w:ind w:left="116"/>
      </w:pPr>
      <w:r>
        <w:rPr/>
        <w:t>（</w:t>
      </w:r>
      <w:r>
        <w:rPr>
          <w:rFonts w:ascii="Times New Roman" w:eastAsia="Times New Roman"/>
        </w:rPr>
        <w:t>1</w:t>
      </w:r>
      <w:r>
        <w:rPr/>
        <w:t>）一肢或一肢以上肢体机能完全丧失；</w:t>
      </w:r>
    </w:p>
    <w:p>
      <w:pPr>
        <w:pStyle w:val="BodyText"/>
        <w:spacing w:before="9"/>
        <w:ind w:left="116"/>
      </w:pPr>
      <w:r>
        <w:rPr/>
        <w:t>（</w:t>
      </w:r>
      <w:r>
        <w:rPr>
          <w:rFonts w:ascii="Times New Roman" w:eastAsia="Times New Roman"/>
        </w:rPr>
        <w:t>2</w:t>
      </w:r>
      <w:r>
        <w:rPr/>
        <w:t>）语言能力或咀嚼吞咽能力完全丧失；</w:t>
      </w:r>
    </w:p>
    <w:p>
      <w:pPr>
        <w:pStyle w:val="BodyText"/>
        <w:spacing w:line="247" w:lineRule="auto" w:before="9"/>
        <w:ind w:left="642" w:right="14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3"/>
        <w:ind w:left="116" w:right="214"/>
      </w:pPr>
      <w:r>
        <w:rPr/>
        <w:t>是一种中枢神经系统的退行性疾病，临床表现为震颤麻痹、共济失调等。须满足下列全部条件：</w:t>
      </w:r>
    </w:p>
    <w:p>
      <w:pPr>
        <w:pStyle w:val="BodyText"/>
        <w:spacing w:before="6"/>
        <w:ind w:left="116"/>
      </w:pPr>
      <w:r>
        <w:rPr/>
        <w:t>（</w:t>
      </w:r>
      <w:r>
        <w:rPr>
          <w:rFonts w:ascii="Times New Roman" w:eastAsia="Times New Roman"/>
        </w:rPr>
        <w:t>1</w:t>
      </w:r>
      <w:r>
        <w:rPr/>
        <w:t>）药物治疗无法控制病情；</w:t>
      </w:r>
    </w:p>
    <w:p>
      <w:pPr>
        <w:pStyle w:val="BodyText"/>
        <w:spacing w:line="247" w:lineRule="auto" w:before="9"/>
        <w:ind w:left="642" w:right="142"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9"/>
        <w:ind w:left="116"/>
      </w:pPr>
      <w:r>
        <w:rPr/>
        <w:t>继发性帕金森综合征不在保障范围内。</w:t>
      </w:r>
    </w:p>
    <w:p>
      <w:pPr>
        <w:pStyle w:val="BodyText"/>
        <w:spacing w:line="247" w:lineRule="auto" w:before="138"/>
        <w:ind w:left="116" w:right="213"/>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1"/>
        <w:ind w:left="116" w:right="213"/>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7"/>
        <w:ind w:left="116" w:right="214"/>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18"/>
        <w:ind w:left="116" w:right="214"/>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16"/>
      </w:pPr>
      <w:r>
        <w:rPr/>
        <w:t>精神心理因素所致的语言能力丧失不在保障范围内。</w:t>
      </w:r>
    </w:p>
    <w:p>
      <w:pPr>
        <w:pStyle w:val="BodyText"/>
        <w:spacing w:line="261" w:lineRule="auto" w:before="137"/>
        <w:ind w:left="116" w:right="214"/>
      </w:pPr>
      <w:r>
        <w:rPr/>
        <w:t>指因骨髓造血功能慢性持续性衰竭导致的贫血、中性粒细胞减少及血小板减少。须满足下列全部条件：</w:t>
      </w:r>
    </w:p>
    <w:p>
      <w:pPr>
        <w:pStyle w:val="BodyText"/>
        <w:spacing w:before="6"/>
        <w:ind w:left="116"/>
      </w:pPr>
      <w:r>
        <w:rPr/>
        <w:t>（</w:t>
      </w:r>
      <w:r>
        <w:rPr>
          <w:rFonts w:ascii="Times New Roman" w:eastAsia="Times New Roman"/>
        </w:rPr>
        <w:t>1</w:t>
      </w:r>
      <w:r>
        <w:rPr/>
        <w:t>）骨髓穿刺检查或骨髓活检结果支持诊断；</w:t>
      </w:r>
    </w:p>
    <w:p>
      <w:pPr>
        <w:pStyle w:val="BodyText"/>
        <w:spacing w:before="9"/>
        <w:ind w:left="116"/>
      </w:pPr>
      <w:r>
        <w:rPr/>
        <w:t>（</w:t>
      </w:r>
      <w:r>
        <w:rPr>
          <w:rFonts w:ascii="Times New Roman" w:eastAsia="Times New Roman"/>
        </w:rPr>
        <w:t>2</w:t>
      </w:r>
      <w:r>
        <w:rPr/>
        <w:t>）外周血象须具备以下三项条件：</w:t>
      </w:r>
    </w:p>
    <w:p>
      <w:pPr>
        <w:pStyle w:val="BodyText"/>
        <w:spacing w:before="9"/>
        <w:ind w:left="53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9"/>
        <w:ind w:left="536"/>
      </w:pPr>
      <w:r>
        <w:rPr/>
        <w:t>② 网织红细胞＜</w:t>
      </w:r>
      <w:r>
        <w:rPr>
          <w:rFonts w:ascii="Times New Roman" w:hAnsi="Times New Roman" w:eastAsia="Times New Roman"/>
        </w:rPr>
        <w:t>1%</w:t>
      </w:r>
      <w:r>
        <w:rPr/>
        <w:t>；</w:t>
      </w:r>
    </w:p>
    <w:p>
      <w:pPr>
        <w:pStyle w:val="BodyText"/>
        <w:spacing w:before="9"/>
        <w:ind w:left="53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sectPr>
          <w:type w:val="continuous"/>
          <w:pgSz w:w="11910" w:h="16840"/>
          <w:pgMar w:top="1400" w:bottom="280" w:left="1160" w:right="1060"/>
          <w:cols w:num="2" w:equalWidth="0">
            <w:col w:w="1891" w:space="76"/>
            <w:col w:w="7723"/>
          </w:cols>
        </w:sectPr>
      </w:pPr>
    </w:p>
    <w:p>
      <w:pPr>
        <w:pStyle w:val="Heading2"/>
        <w:numPr>
          <w:ilvl w:val="0"/>
          <w:numId w:val="8"/>
        </w:numPr>
        <w:tabs>
          <w:tab w:pos="836" w:val="left" w:leader="none"/>
          <w:tab w:pos="837" w:val="left" w:leader="none"/>
        </w:tabs>
        <w:spacing w:line="247" w:lineRule="auto" w:before="27" w:after="0"/>
        <w:ind w:left="836" w:right="247" w:hanging="720"/>
        <w:jc w:val="left"/>
      </w:pPr>
      <w:r>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36" w:val="left" w:leader="none"/>
          <w:tab w:pos="837" w:val="left" w:leader="none"/>
        </w:tabs>
        <w:spacing w:line="247" w:lineRule="auto" w:before="0" w:after="0"/>
        <w:ind w:left="836" w:right="247" w:hanging="720"/>
        <w:jc w:val="left"/>
        <w:rPr>
          <w:b/>
          <w:sz w:val="21"/>
        </w:rPr>
      </w:pPr>
      <w:r>
        <w:rPr>
          <w:b/>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0" w:after="0"/>
        <w:ind w:left="836" w:right="247" w:hanging="720"/>
        <w:jc w:val="left"/>
        <w:rPr>
          <w:b/>
          <w:sz w:val="21"/>
        </w:rPr>
      </w:pPr>
      <w:r>
        <w:rPr>
          <w:b/>
          <w:sz w:val="21"/>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36" w:val="left" w:leader="none"/>
          <w:tab w:pos="837" w:val="left" w:leader="none"/>
        </w:tabs>
        <w:spacing w:line="247" w:lineRule="auto" w:before="0" w:after="0"/>
        <w:ind w:left="836" w:right="247" w:hanging="720"/>
        <w:jc w:val="left"/>
        <w:rPr>
          <w:b/>
          <w:sz w:val="21"/>
        </w:rPr>
      </w:pPr>
      <w:r>
        <w:rPr>
          <w:b/>
          <w:sz w:val="21"/>
        </w:rPr>
        <w:t>多发性硬化症：</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36" w:val="left" w:leader="none"/>
          <w:tab w:pos="837" w:val="left" w:leader="none"/>
        </w:tabs>
        <w:spacing w:line="256" w:lineRule="auto" w:before="0" w:after="0"/>
        <w:ind w:left="836" w:right="38" w:hanging="720"/>
        <w:jc w:val="left"/>
        <w:rPr>
          <w:b/>
          <w:sz w:val="21"/>
        </w:rPr>
      </w:pPr>
      <w:r>
        <w:rPr>
          <w:b/>
          <w:sz w:val="21"/>
        </w:rPr>
        <w:t>经输血导 致的人类 免疫缺陷 </w:t>
      </w:r>
      <w:r>
        <w:rPr>
          <w:b/>
          <w:w w:val="95"/>
          <w:sz w:val="21"/>
        </w:rPr>
        <w:t>病毒感染：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pStyle w:val="ListParagraph"/>
        <w:numPr>
          <w:ilvl w:val="0"/>
          <w:numId w:val="8"/>
        </w:numPr>
        <w:tabs>
          <w:tab w:pos="836" w:val="left" w:leader="none"/>
          <w:tab w:pos="837" w:val="left" w:leader="none"/>
        </w:tabs>
        <w:spacing w:line="247" w:lineRule="auto" w:before="0" w:after="0"/>
        <w:ind w:left="836" w:right="0" w:hanging="720"/>
        <w:jc w:val="left"/>
        <w:rPr>
          <w:b/>
          <w:sz w:val="21"/>
        </w:rPr>
      </w:pPr>
      <w:r>
        <w:rPr>
          <w:b/>
          <w:spacing w:val="45"/>
          <w:sz w:val="21"/>
        </w:rPr>
        <w:t>重症肌无力：</w:t>
      </w:r>
    </w:p>
    <w:p>
      <w:pPr>
        <w:pStyle w:val="BodyText"/>
        <w:spacing w:line="261" w:lineRule="auto" w:before="27"/>
        <w:ind w:left="112" w:right="214"/>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5"/>
        <w:ind w:left="112"/>
      </w:pPr>
      <w:r>
        <w:rPr/>
        <w:t>动脉内血管成形术不在保障范围内。</w:t>
      </w:r>
    </w:p>
    <w:p>
      <w:pPr>
        <w:pStyle w:val="BodyText"/>
        <w:spacing w:line="261" w:lineRule="auto" w:before="137"/>
        <w:ind w:left="112" w:right="214"/>
      </w:pPr>
      <w:r>
        <w:rPr/>
        <w:t>是指被保险人必须由我们认可的医院的呼吸科专科医师确诊患有慢性终末期肺病而出现慢性呼吸功能衰竭，必须满足以下所有条件：</w:t>
      </w:r>
    </w:p>
    <w:p>
      <w:pPr>
        <w:spacing w:line="318" w:lineRule="exact" w:before="6"/>
        <w:ind w:left="112"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12"/>
      </w:pPr>
      <w:r>
        <w:rPr/>
        <w:t>（</w:t>
      </w:r>
      <w:r>
        <w:rPr>
          <w:rFonts w:ascii="Times New Roman" w:eastAsia="Times New Roman"/>
        </w:rPr>
        <w:t>2</w:t>
      </w:r>
      <w:r>
        <w:rPr/>
        <w:t>）病人血氧不足必须持续地进行输氧治疗。</w:t>
      </w:r>
    </w:p>
    <w:p>
      <w:pPr>
        <w:pStyle w:val="BodyText"/>
        <w:spacing w:before="9"/>
        <w:ind w:left="112"/>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9"/>
        <w:ind w:left="112"/>
      </w:pPr>
      <w:r>
        <w:rPr/>
        <w:t>（</w:t>
      </w:r>
      <w:r>
        <w:rPr>
          <w:rFonts w:ascii="Times New Roman" w:eastAsia="Times New Roman"/>
        </w:rPr>
        <w:t>4</w:t>
      </w:r>
      <w:r>
        <w:rPr/>
        <w:t>）休息时出现呼吸困难。</w:t>
      </w:r>
    </w:p>
    <w:p>
      <w:pPr>
        <w:pStyle w:val="BodyText"/>
        <w:spacing w:line="261" w:lineRule="auto" w:before="122"/>
        <w:ind w:left="112" w:right="214"/>
      </w:pPr>
      <w:r>
        <w:rPr/>
        <w:t>是一组遗传性肌肉变性性病变，临床特征为与神经系统无关的骨骼肌对称地进行性无力和萎缩，其诊断需同时符合以下条件：</w:t>
      </w:r>
    </w:p>
    <w:p>
      <w:pPr>
        <w:pStyle w:val="BodyText"/>
        <w:spacing w:before="6"/>
        <w:ind w:left="112"/>
      </w:pPr>
      <w:r>
        <w:rPr/>
        <w:t>（</w:t>
      </w:r>
      <w:r>
        <w:rPr>
          <w:rFonts w:ascii="Times New Roman" w:eastAsia="Times New Roman"/>
        </w:rPr>
        <w:t>1</w:t>
      </w:r>
      <w:r>
        <w:rPr/>
        <w:t>）肌电图显示典型肌营养不良症的阳性改变；</w:t>
      </w:r>
    </w:p>
    <w:p>
      <w:pPr>
        <w:pStyle w:val="BodyText"/>
        <w:spacing w:before="9"/>
        <w:ind w:left="112"/>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line="247" w:lineRule="auto" w:before="9"/>
        <w:ind w:left="637" w:right="142"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2"/>
        <w:ind w:left="112" w:right="214"/>
        <w:jc w:val="both"/>
      </w:pPr>
      <w:r>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8"/>
        <w:ind w:left="112"/>
      </w:pPr>
      <w:r>
        <w:rPr/>
        <w:t>是指被保险人感染上人类免疫缺陷病毒并且符合下列所有条件：</w:t>
      </w:r>
    </w:p>
    <w:p>
      <w:pPr>
        <w:pStyle w:val="BodyText"/>
        <w:spacing w:line="247" w:lineRule="auto" w:before="25"/>
        <w:ind w:left="639" w:right="140"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9"/>
        <w:ind w:left="639" w:right="141" w:hanging="525"/>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9"/>
        <w:ind w:left="112"/>
      </w:pPr>
      <w:r>
        <w:rPr/>
        <w:t>（</w:t>
      </w:r>
      <w:r>
        <w:rPr>
          <w:rFonts w:ascii="Times New Roman" w:eastAsia="Times New Roman"/>
        </w:rPr>
        <w:t>3</w:t>
      </w:r>
      <w:r>
        <w:rPr/>
        <w:t>）提供输血治疗的输血中心或医院必须拥有合法经营执照；</w:t>
      </w:r>
    </w:p>
    <w:p>
      <w:pPr>
        <w:pStyle w:val="BodyText"/>
        <w:spacing w:before="9"/>
        <w:ind w:left="112"/>
      </w:pPr>
      <w:r>
        <w:rPr/>
        <w:t>（</w:t>
      </w:r>
      <w:r>
        <w:rPr>
          <w:rFonts w:ascii="Times New Roman" w:eastAsia="Times New Roman"/>
        </w:rPr>
        <w:t>4</w:t>
      </w:r>
      <w:r>
        <w:rPr/>
        <w:t>）受感染的被保险人不是血友病患者；</w:t>
      </w:r>
    </w:p>
    <w:p>
      <w:pPr>
        <w:pStyle w:val="BodyText"/>
        <w:spacing w:line="261" w:lineRule="auto" w:before="9"/>
        <w:ind w:left="112" w:right="213"/>
      </w:pPr>
      <w:r>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12" w:right="213"/>
      </w:pPr>
      <w:r>
        <w:rPr/>
        <w:t>任何因其他传播方式（包括：性传播或静脉注射毒品）导致的人类免疫缺陷病毒感染不在本保单保障范围内。</w:t>
      </w:r>
    </w:p>
    <w:p>
      <w:pPr>
        <w:pStyle w:val="BodyText"/>
        <w:spacing w:line="261" w:lineRule="auto" w:before="6"/>
        <w:ind w:left="112" w:right="213"/>
      </w:pPr>
      <w:r>
        <w:rPr/>
        <w:t>保险公司必须拥有获得使用被保险人的血液样本的权利和能够对这些样本进行独立检验的权利。</w:t>
      </w:r>
    </w:p>
    <w:p>
      <w:pPr>
        <w:pStyle w:val="BodyText"/>
        <w:spacing w:line="261" w:lineRule="auto" w:before="119"/>
        <w:ind w:left="112" w:right="213"/>
        <w:jc w:val="both"/>
      </w:pPr>
      <w:r>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BodyText"/>
        <w:spacing w:before="6"/>
        <w:ind w:left="112"/>
      </w:pPr>
      <w:r>
        <w:rPr/>
        <w:t>（</w:t>
      </w:r>
      <w:r>
        <w:rPr>
          <w:rFonts w:ascii="Times New Roman" w:eastAsia="Times New Roman"/>
        </w:rPr>
        <w:t>1</w:t>
      </w:r>
      <w:r>
        <w:rPr/>
        <w:t>）经药物、胸腺手术治疗一年以上无法控制病情，丧失正常工作能力；</w:t>
      </w:r>
    </w:p>
    <w:p>
      <w:pPr>
        <w:pStyle w:val="BodyText"/>
        <w:spacing w:line="247" w:lineRule="auto" w:before="9"/>
        <w:ind w:left="637" w:right="215" w:hanging="526"/>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47" w:lineRule="auto" w:before="18"/>
        <w:ind w:left="637" w:right="212" w:hanging="526"/>
      </w:pPr>
      <w:r>
        <w:rPr>
          <w:spacing w:val="-8"/>
        </w:rPr>
        <w:t>（</w:t>
      </w:r>
      <w:r>
        <w:rPr>
          <w:rFonts w:ascii="Times New Roman" w:eastAsia="Times New Roman"/>
          <w:spacing w:val="-8"/>
        </w:rPr>
        <w:t>3</w:t>
      </w:r>
      <w:r>
        <w:rPr>
          <w:spacing w:val="-8"/>
        </w:rPr>
        <w:t>）</w:t>
      </w:r>
      <w:r>
        <w:rPr>
          <w:spacing w:val="-7"/>
        </w:rPr>
        <w:t>症状缓解、复发及恶化交替出现，临床接受新斯的明等抗胆碱酯酶药物治疗的病史。</w:t>
      </w:r>
    </w:p>
    <w:p>
      <w:pPr>
        <w:spacing w:after="0" w:line="247" w:lineRule="auto"/>
        <w:sectPr>
          <w:pgSz w:w="11910" w:h="16840"/>
          <w:pgMar w:top="1520" w:bottom="280" w:left="1160" w:right="1060"/>
          <w:cols w:num="2" w:equalWidth="0">
            <w:col w:w="1932" w:space="40"/>
            <w:col w:w="7718"/>
          </w:cols>
        </w:sectPr>
      </w:pPr>
    </w:p>
    <w:p>
      <w:pPr>
        <w:pStyle w:val="ListParagraph"/>
        <w:numPr>
          <w:ilvl w:val="0"/>
          <w:numId w:val="8"/>
        </w:numPr>
        <w:tabs>
          <w:tab w:pos="836" w:val="left" w:leader="none"/>
          <w:tab w:pos="837" w:val="left" w:leader="none"/>
          <w:tab w:pos="2083" w:val="left" w:leader="none"/>
        </w:tabs>
        <w:spacing w:line="240" w:lineRule="auto" w:before="131" w:after="0"/>
        <w:ind w:left="836" w:right="0" w:hanging="720"/>
        <w:jc w:val="left"/>
        <w:rPr>
          <w:sz w:val="21"/>
        </w:rPr>
      </w:pPr>
      <w:r>
        <w:rPr>
          <w:b/>
          <w:spacing w:val="61"/>
          <w:sz w:val="21"/>
        </w:rPr>
        <w:t>脑动脉</w:t>
      </w:r>
      <w:r>
        <w:rPr>
          <w:b/>
          <w:sz w:val="21"/>
        </w:rPr>
        <w:t>瘤</w:t>
        <w:tab/>
      </w:r>
      <w:r>
        <w:rPr>
          <w:sz w:val="21"/>
        </w:rPr>
        <w:t>是指确已进行开颅手术以夹闭、修复或切除脑动脉瘤。但不包括导管及血管内手</w:t>
      </w:r>
    </w:p>
    <w:p>
      <w:pPr>
        <w:spacing w:after="0" w:line="240" w:lineRule="auto"/>
        <w:jc w:val="left"/>
        <w:rPr>
          <w:sz w:val="21"/>
        </w:rPr>
        <w:sectPr>
          <w:type w:val="continuous"/>
          <w:pgSz w:w="11910" w:h="16840"/>
          <w:pgMar w:top="1400" w:bottom="280" w:left="1160" w:right="1060"/>
        </w:sectPr>
      </w:pPr>
    </w:p>
    <w:p>
      <w:pPr>
        <w:spacing w:before="14"/>
        <w:ind w:left="836" w:right="0" w:firstLine="0"/>
        <w:jc w:val="left"/>
        <w:rPr>
          <w:sz w:val="21"/>
        </w:rPr>
      </w:pPr>
      <w:r>
        <w:rPr>
          <w:b/>
          <w:sz w:val="21"/>
        </w:rPr>
        <w:t>开颅手术： </w:t>
      </w:r>
      <w:r>
        <w:rPr>
          <w:sz w:val="21"/>
        </w:rPr>
        <w:t>术。</w:t>
      </w:r>
    </w:p>
    <w:p>
      <w:pPr>
        <w:spacing w:after="0"/>
        <w:jc w:val="left"/>
        <w:rPr>
          <w:sz w:val="21"/>
        </w:rPr>
        <w:sectPr>
          <w:pgSz w:w="11910" w:h="16840"/>
          <w:pgMar w:top="1420" w:bottom="280" w:left="1160" w:right="1100"/>
        </w:sectPr>
      </w:pPr>
    </w:p>
    <w:p>
      <w:pPr>
        <w:pStyle w:val="Heading2"/>
        <w:numPr>
          <w:ilvl w:val="0"/>
          <w:numId w:val="8"/>
        </w:numPr>
        <w:tabs>
          <w:tab w:pos="837" w:val="left" w:leader="none"/>
        </w:tabs>
        <w:spacing w:line="254" w:lineRule="auto" w:before="137" w:after="0"/>
        <w:ind w:left="836" w:right="0" w:hanging="720"/>
        <w:jc w:val="both"/>
      </w:pPr>
      <w:r>
        <w:rPr>
          <w:spacing w:val="45"/>
        </w:rPr>
        <w:t>严重系统性红斑狼</w:t>
      </w:r>
      <w:r>
        <w:rPr>
          <w:spacing w:val="45"/>
          <w:w w:val="95"/>
        </w:rPr>
        <w:t>疮性肾病：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p>
    <w:p>
      <w:pPr>
        <w:pStyle w:val="ListParagraph"/>
        <w:numPr>
          <w:ilvl w:val="0"/>
          <w:numId w:val="8"/>
        </w:numPr>
        <w:tabs>
          <w:tab w:pos="837" w:val="left" w:leader="none"/>
        </w:tabs>
        <w:spacing w:line="254" w:lineRule="auto" w:before="0" w:after="0"/>
        <w:ind w:left="836" w:right="0" w:hanging="720"/>
        <w:jc w:val="both"/>
        <w:rPr>
          <w:b/>
          <w:sz w:val="21"/>
        </w:rPr>
      </w:pPr>
      <w:r>
        <w:rPr>
          <w:b/>
          <w:spacing w:val="45"/>
          <w:sz w:val="21"/>
        </w:rPr>
        <w:t>严重的原发性心肌病：</w:t>
      </w:r>
    </w:p>
    <w:p>
      <w:pPr>
        <w:pStyle w:val="BodyText"/>
        <w:spacing w:line="266" w:lineRule="auto" w:before="127"/>
        <w:ind w:left="112" w:right="208"/>
        <w:jc w:val="both"/>
      </w:pPr>
      <w:r>
        <w:rPr/>
        <w:br w:type="column"/>
      </w:r>
      <w:r>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rPr>
        <w:t>WHO </w:t>
      </w:r>
      <w:r>
        <w:rPr/>
        <w:t>诊断标准定义的Ⅲ型至Ⅴ型狼疮性肾炎。</w:t>
      </w:r>
    </w:p>
    <w:p>
      <w:pPr>
        <w:pStyle w:val="BodyText"/>
        <w:spacing w:line="268" w:lineRule="auto" w:before="13"/>
        <w:ind w:left="532" w:right="1258"/>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21"/>
        <w:ind w:left="112" w:right="174"/>
        <w:jc w:val="both"/>
      </w:pPr>
      <w:r>
        <w:rPr/>
        <w:t>其它类型的红斑性狼疮，如盘状狼疮，仅累及血液及关节等其它系统的系统性红斑狼疮不在保障范围内。</w:t>
      </w:r>
    </w:p>
    <w:p>
      <w:pPr>
        <w:pStyle w:val="BodyText"/>
        <w:spacing w:line="259" w:lineRule="auto" w:before="119"/>
        <w:ind w:left="112" w:right="172"/>
        <w:jc w:val="both"/>
      </w:pPr>
      <w:r>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rPr>
        <w:t>且有相关住院医疗记录显示四级心功能衰竭状态持续至少 </w:t>
      </w:r>
      <w:r>
        <w:rPr>
          <w:rFonts w:ascii="Times New Roman" w:eastAsia="Times New Roman"/>
        </w:rPr>
        <w:t>180 </w:t>
      </w:r>
      <w:r>
        <w:rPr/>
        <w:t>日。本病须经专科医生明确诊断。继发于全身性疾病或其它器官系统疾病造成的心肌病变不在保障范围。</w:t>
      </w:r>
    </w:p>
    <w:p>
      <w:pPr>
        <w:spacing w:after="0" w:line="259" w:lineRule="auto"/>
        <w:jc w:val="both"/>
        <w:sectPr>
          <w:type w:val="continuous"/>
          <w:pgSz w:w="11910" w:h="16840"/>
          <w:pgMar w:top="1400" w:bottom="280" w:left="1160" w:right="1100"/>
          <w:cols w:num="2" w:equalWidth="0">
            <w:col w:w="1932" w:space="40"/>
            <w:col w:w="7678"/>
          </w:cols>
        </w:sectPr>
      </w:pPr>
    </w:p>
    <w:p>
      <w:pPr>
        <w:pStyle w:val="BodyText"/>
        <w:spacing w:line="247" w:lineRule="auto" w:before="121"/>
        <w:ind w:left="2083" w:right="173" w:hanging="1967"/>
        <w:jc w:val="both"/>
      </w:pPr>
      <w:r>
        <w:rPr>
          <w:b/>
          <w:spacing w:val="-26"/>
        </w:rPr>
        <w:t>注 </w:t>
      </w:r>
      <w:r>
        <w:rPr>
          <w:rFonts w:ascii="Times New Roman" w:eastAsia="Times New Roman"/>
          <w:b/>
        </w:rPr>
        <w:t>1.</w:t>
      </w:r>
      <w:r>
        <w:rPr>
          <w:rFonts w:ascii="Times New Roman" w:eastAsia="Times New Roman"/>
          <w:b/>
          <w:spacing w:val="15"/>
        </w:rPr>
        <w:t>  </w:t>
      </w:r>
      <w:r>
        <w:rPr>
          <w:b/>
          <w:spacing w:val="13"/>
        </w:rPr>
        <w:t>专科医生： </w:t>
      </w:r>
      <w:r>
        <w:rPr>
          <w:spacing w:val="-1"/>
        </w:rPr>
        <w:t>专科医生应当同时满足以下四项资格条件：</w:t>
      </w:r>
      <w:r>
        <w:rPr>
          <w:spacing w:val="-14"/>
        </w:rPr>
        <w:t>（</w:t>
      </w:r>
      <w:r>
        <w:rPr>
          <w:rFonts w:ascii="Times New Roman" w:eastAsia="Times New Roman"/>
          <w:spacing w:val="-14"/>
        </w:rPr>
        <w:t>1</w:t>
      </w:r>
      <w:r>
        <w:rPr>
          <w:spacing w:val="-14"/>
        </w:rPr>
        <w:t>）</w:t>
      </w:r>
      <w:r>
        <w:rPr>
          <w:spacing w:val="-2"/>
        </w:rPr>
        <w:t>具有有效的中华人民共和国《医</w:t>
      </w:r>
      <w:r>
        <w:rPr>
          <w:spacing w:val="-5"/>
        </w:rPr>
        <w:t>师资格证书》；</w:t>
      </w:r>
      <w:r>
        <w:rPr>
          <w:spacing w:val="-8"/>
        </w:rPr>
        <w:t>（</w:t>
      </w:r>
      <w:r>
        <w:rPr>
          <w:rFonts w:ascii="Times New Roman" w:eastAsia="Times New Roman"/>
          <w:spacing w:val="-8"/>
        </w:rPr>
        <w:t>2</w:t>
      </w:r>
      <w:r>
        <w:rPr>
          <w:spacing w:val="-8"/>
        </w:rPr>
        <w:t>）</w:t>
      </w:r>
      <w:r>
        <w:rPr>
          <w:spacing w:val="-3"/>
        </w:rPr>
        <w:t>具有有效的中华人民共和国《医师执业证书》，并按期到相</w:t>
      </w:r>
      <w:r>
        <w:rPr>
          <w:spacing w:val="-5"/>
        </w:rPr>
        <w:t>关部门登记注册；</w:t>
      </w:r>
      <w:r>
        <w:rPr>
          <w:spacing w:val="-18"/>
        </w:rPr>
        <w:t>（</w:t>
      </w:r>
      <w:r>
        <w:rPr>
          <w:rFonts w:ascii="Times New Roman" w:eastAsia="Times New Roman"/>
          <w:spacing w:val="-18"/>
        </w:rPr>
        <w:t>3</w:t>
      </w:r>
      <w:r>
        <w:rPr>
          <w:spacing w:val="-18"/>
        </w:rPr>
        <w:t>）</w:t>
      </w:r>
      <w:r>
        <w:rPr/>
        <w:t>具有有效的中华人民共和国主治医师或主治医师以上职称</w:t>
      </w:r>
      <w:r>
        <w:rPr>
          <w:spacing w:val="-7"/>
        </w:rPr>
        <w:t>的《医师职称证书》；</w:t>
      </w:r>
      <w:r>
        <w:rPr>
          <w:spacing w:val="-11"/>
        </w:rPr>
        <w:t>（</w:t>
      </w:r>
      <w:r>
        <w:rPr>
          <w:rFonts w:ascii="Times New Roman" w:eastAsia="Times New Roman"/>
          <w:spacing w:val="-11"/>
        </w:rPr>
        <w:t>4</w:t>
      </w:r>
      <w:r>
        <w:rPr>
          <w:spacing w:val="-11"/>
        </w:rPr>
        <w:t>）</w:t>
      </w:r>
      <w:r>
        <w:rPr/>
        <w:t>在二级或二级以上医院的相应科室从事临床工作三年以上。</w:t>
      </w:r>
    </w:p>
    <w:p>
      <w:pPr>
        <w:spacing w:after="0" w:line="247" w:lineRule="auto"/>
        <w:jc w:val="both"/>
        <w:sectPr>
          <w:type w:val="continuous"/>
          <w:pgSz w:w="11910" w:h="16840"/>
          <w:pgMar w:top="1400" w:bottom="280" w:left="1160" w:right="1100"/>
        </w:sectPr>
      </w:pPr>
    </w:p>
    <w:p>
      <w:pPr>
        <w:pStyle w:val="Heading2"/>
        <w:tabs>
          <w:tab w:pos="836" w:val="left" w:leader="none"/>
        </w:tabs>
        <w:spacing w:before="132"/>
        <w:ind w:left="116" w:firstLine="0"/>
      </w:pPr>
      <w:r>
        <w:rPr/>
        <w:t>注</w:t>
      </w:r>
      <w:r>
        <w:rPr>
          <w:spacing w:val="-53"/>
        </w:rPr>
        <w:t> </w:t>
      </w:r>
      <w:r>
        <w:rPr>
          <w:rFonts w:ascii="Times New Roman" w:eastAsia="Times New Roman"/>
        </w:rPr>
        <w:t>2.</w:t>
        <w:tab/>
      </w:r>
      <w:r>
        <w:rPr/>
        <w:t>肢体机能</w:t>
      </w:r>
    </w:p>
    <w:p>
      <w:pPr>
        <w:tabs>
          <w:tab w:pos="836" w:val="left" w:leader="none"/>
        </w:tabs>
        <w:spacing w:line="360" w:lineRule="auto" w:before="8"/>
        <w:ind w:left="116" w:right="0" w:firstLine="719"/>
        <w:jc w:val="left"/>
        <w:rPr>
          <w:b/>
          <w:sz w:val="21"/>
        </w:rPr>
      </w:pPr>
      <w:r>
        <w:rPr>
          <w:b/>
          <w:sz w:val="21"/>
        </w:rPr>
        <w:t>完全丧失：注</w:t>
      </w:r>
      <w:r>
        <w:rPr>
          <w:b/>
          <w:spacing w:val="-53"/>
          <w:sz w:val="21"/>
        </w:rPr>
        <w:t> </w:t>
      </w:r>
      <w:r>
        <w:rPr>
          <w:rFonts w:ascii="Times New Roman" w:eastAsia="Times New Roman"/>
          <w:b/>
          <w:sz w:val="21"/>
        </w:rPr>
        <w:t>3.</w:t>
        <w:tab/>
      </w:r>
      <w:r>
        <w:rPr>
          <w:b/>
          <w:sz w:val="21"/>
        </w:rPr>
        <w:t>语言能力</w:t>
      </w:r>
    </w:p>
    <w:p>
      <w:pPr>
        <w:spacing w:line="168" w:lineRule="exact" w:before="0"/>
        <w:ind w:left="836" w:right="0" w:firstLine="0"/>
        <w:jc w:val="left"/>
        <w:rPr>
          <w:b/>
          <w:sz w:val="21"/>
        </w:rPr>
      </w:pPr>
      <w:r>
        <w:rPr>
          <w:b/>
          <w:sz w:val="21"/>
        </w:rPr>
        <w:t>或咀嚼吞</w:t>
      </w:r>
    </w:p>
    <w:p>
      <w:pPr>
        <w:spacing w:line="261" w:lineRule="auto" w:before="26"/>
        <w:ind w:left="836" w:right="206" w:firstLine="0"/>
        <w:jc w:val="left"/>
        <w:rPr>
          <w:b/>
          <w:sz w:val="21"/>
        </w:rPr>
      </w:pPr>
      <w:r>
        <w:rPr>
          <w:b/>
          <w:sz w:val="21"/>
        </w:rPr>
        <w:t>咽能力完全丧失：</w:t>
      </w:r>
    </w:p>
    <w:p>
      <w:pPr>
        <w:tabs>
          <w:tab w:pos="836" w:val="left" w:leader="none"/>
        </w:tabs>
        <w:spacing w:before="119"/>
        <w:ind w:left="116" w:right="0" w:firstLine="0"/>
        <w:jc w:val="left"/>
        <w:rPr>
          <w:b/>
          <w:sz w:val="21"/>
        </w:rPr>
      </w:pPr>
      <w:r>
        <w:rPr>
          <w:b/>
          <w:sz w:val="21"/>
        </w:rPr>
        <w:t>注</w:t>
      </w:r>
      <w:r>
        <w:rPr>
          <w:b/>
          <w:spacing w:val="-53"/>
          <w:sz w:val="21"/>
        </w:rPr>
        <w:t> </w:t>
      </w:r>
      <w:r>
        <w:rPr>
          <w:rFonts w:ascii="Times New Roman" w:eastAsia="Times New Roman"/>
          <w:b/>
          <w:sz w:val="21"/>
        </w:rPr>
        <w:t>4.</w:t>
        <w:tab/>
      </w:r>
      <w:r>
        <w:rPr>
          <w:b/>
          <w:sz w:val="21"/>
        </w:rPr>
        <w:t>六项基本</w:t>
      </w:r>
    </w:p>
    <w:p>
      <w:pPr>
        <w:spacing w:line="261" w:lineRule="auto" w:before="9"/>
        <w:ind w:left="836" w:right="206" w:firstLine="0"/>
        <w:jc w:val="left"/>
        <w:rPr>
          <w:b/>
          <w:sz w:val="21"/>
        </w:rPr>
      </w:pPr>
      <w:r>
        <w:rPr>
          <w:b/>
          <w:sz w:val="21"/>
        </w:rPr>
        <w:t>日常生活活动：</w:t>
      </w:r>
    </w:p>
    <w:p>
      <w:pPr>
        <w:pStyle w:val="BodyText"/>
        <w:rPr>
          <w:b/>
          <w:sz w:val="20"/>
        </w:rPr>
      </w:pPr>
    </w:p>
    <w:p>
      <w:pPr>
        <w:tabs>
          <w:tab w:pos="836" w:val="left" w:leader="none"/>
        </w:tabs>
        <w:spacing w:before="157"/>
        <w:ind w:left="116" w:right="0" w:firstLine="0"/>
        <w:jc w:val="left"/>
        <w:rPr>
          <w:b/>
          <w:sz w:val="21"/>
        </w:rPr>
      </w:pPr>
      <w:r>
        <w:rPr>
          <w:b/>
          <w:sz w:val="21"/>
        </w:rPr>
        <w:t>注</w:t>
      </w:r>
      <w:r>
        <w:rPr>
          <w:b/>
          <w:spacing w:val="-53"/>
          <w:sz w:val="21"/>
        </w:rPr>
        <w:t> </w:t>
      </w:r>
      <w:r>
        <w:rPr>
          <w:rFonts w:ascii="Times New Roman" w:eastAsia="Times New Roman"/>
          <w:b/>
          <w:sz w:val="21"/>
        </w:rPr>
        <w:t>5.</w:t>
        <w:tab/>
      </w:r>
      <w:r>
        <w:rPr>
          <w:b/>
          <w:sz w:val="21"/>
        </w:rPr>
        <w:t>永久不可</w:t>
      </w:r>
    </w:p>
    <w:p>
      <w:pPr>
        <w:spacing w:before="9"/>
        <w:ind w:left="817" w:right="612" w:firstLine="0"/>
        <w:jc w:val="center"/>
        <w:rPr>
          <w:b/>
          <w:sz w:val="21"/>
        </w:rPr>
      </w:pPr>
      <w:r>
        <w:rPr>
          <w:b/>
          <w:sz w:val="21"/>
        </w:rPr>
        <w:t>逆：</w:t>
      </w:r>
    </w:p>
    <w:p>
      <w:pPr>
        <w:pStyle w:val="BodyText"/>
        <w:spacing w:line="261" w:lineRule="auto" w:before="132"/>
        <w:ind w:left="116" w:right="174"/>
      </w:pPr>
      <w:r>
        <w:rPr/>
        <w:br w:type="column"/>
      </w:r>
      <w:r>
        <w:rPr/>
        <w:t>指肢体的三大关节中的两大关节僵硬，或不能随意识活动。肢体是指包括肩关节的整个上肢或包括髋关节的整个下肢。</w:t>
      </w:r>
    </w:p>
    <w:p>
      <w:pPr>
        <w:pStyle w:val="BodyText"/>
        <w:spacing w:line="261" w:lineRule="auto" w:before="118"/>
        <w:ind w:left="116" w:right="174"/>
      </w:pP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BodyText"/>
        <w:spacing w:line="247" w:lineRule="auto" w:before="118"/>
        <w:ind w:left="116" w:right="104"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1"/>
        <w:ind w:left="116"/>
      </w:pPr>
      <w:r>
        <w:rPr/>
        <w:t>（</w:t>
      </w:r>
      <w:r>
        <w:rPr>
          <w:rFonts w:ascii="Times New Roman" w:eastAsia="Times New Roman"/>
        </w:rPr>
        <w:t>6</w:t>
      </w:r>
      <w:r>
        <w:rPr/>
        <w:t>）洗澡：自己进行淋浴或盆浴。</w:t>
      </w:r>
    </w:p>
    <w:p>
      <w:pPr>
        <w:pStyle w:val="BodyText"/>
        <w:spacing w:line="247" w:lineRule="auto" w:before="121"/>
        <w:ind w:left="116" w:right="129"/>
      </w:pPr>
      <w:r>
        <w:rPr/>
        <w:t>指自疾病确诊或意外伤害发生之日起，经过积极治疗 </w:t>
      </w:r>
      <w:r>
        <w:rPr>
          <w:rFonts w:ascii="Times New Roman" w:eastAsia="Times New Roman"/>
        </w:rPr>
        <w:t>180 </w:t>
      </w:r>
      <w:r>
        <w:rPr/>
        <w:t>日后，仍无法通过现有医疗手段恢复。</w:t>
      </w:r>
    </w:p>
    <w:p>
      <w:pPr>
        <w:pStyle w:val="BodyText"/>
        <w:rPr>
          <w:sz w:val="20"/>
        </w:rPr>
      </w:pPr>
    </w:p>
    <w:p>
      <w:pPr>
        <w:pStyle w:val="BodyText"/>
        <w:spacing w:before="2"/>
      </w:pPr>
    </w:p>
    <w:p>
      <w:pPr>
        <w:pStyle w:val="BodyText"/>
        <w:spacing w:before="1"/>
        <w:ind w:left="1986"/>
      </w:pPr>
      <w:r>
        <w:rPr/>
        <w:t>（条款全文结束）</w:t>
      </w:r>
    </w:p>
    <w:sectPr>
      <w:type w:val="continuous"/>
      <w:pgSz w:w="11910" w:h="16840"/>
      <w:pgMar w:top="1400" w:bottom="280" w:left="1160" w:right="1100"/>
      <w:cols w:num="2" w:equalWidth="0">
        <w:col w:w="1891" w:space="76"/>
        <w:col w:w="768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183" w:hanging="721"/>
        <w:jc w:val="right"/>
      </w:pPr>
      <w:rPr>
        <w:rFonts w:hint="default" w:ascii="Times New Roman" w:hAnsi="Times New Roman" w:eastAsia="Times New Roman" w:cs="Times New Roman"/>
        <w:b/>
        <w:bCs/>
        <w:spacing w:val="-133"/>
        <w:w w:val="99"/>
        <w:sz w:val="21"/>
        <w:szCs w:val="21"/>
      </w:rPr>
    </w:lvl>
    <w:lvl w:ilvl="1">
      <w:start w:val="0"/>
      <w:numFmt w:val="bullet"/>
      <w:lvlText w:val="•"/>
      <w:lvlJc w:val="left"/>
      <w:pPr>
        <w:ind w:left="2720" w:hanging="721"/>
      </w:pPr>
      <w:rPr>
        <w:rFonts w:hint="default"/>
      </w:rPr>
    </w:lvl>
    <w:lvl w:ilvl="2">
      <w:start w:val="0"/>
      <w:numFmt w:val="bullet"/>
      <w:lvlText w:val="•"/>
      <w:lvlJc w:val="left"/>
      <w:pPr>
        <w:ind w:left="3504" w:hanging="721"/>
      </w:pPr>
      <w:rPr>
        <w:rFonts w:hint="default"/>
      </w:rPr>
    </w:lvl>
    <w:lvl w:ilvl="3">
      <w:start w:val="0"/>
      <w:numFmt w:val="bullet"/>
      <w:lvlText w:val="•"/>
      <w:lvlJc w:val="left"/>
      <w:pPr>
        <w:ind w:left="4289" w:hanging="721"/>
      </w:pPr>
      <w:rPr>
        <w:rFonts w:hint="default"/>
      </w:rPr>
    </w:lvl>
    <w:lvl w:ilvl="4">
      <w:start w:val="0"/>
      <w:numFmt w:val="bullet"/>
      <w:lvlText w:val="•"/>
      <w:lvlJc w:val="left"/>
      <w:pPr>
        <w:ind w:left="5074" w:hanging="721"/>
      </w:pPr>
      <w:rPr>
        <w:rFonts w:hint="default"/>
      </w:rPr>
    </w:lvl>
    <w:lvl w:ilvl="5">
      <w:start w:val="0"/>
      <w:numFmt w:val="bullet"/>
      <w:lvlText w:val="•"/>
      <w:lvlJc w:val="left"/>
      <w:pPr>
        <w:ind w:left="5859" w:hanging="721"/>
      </w:pPr>
      <w:rPr>
        <w:rFonts w:hint="default"/>
      </w:rPr>
    </w:lvl>
    <w:lvl w:ilvl="6">
      <w:start w:val="0"/>
      <w:numFmt w:val="bullet"/>
      <w:lvlText w:val="•"/>
      <w:lvlJc w:val="left"/>
      <w:pPr>
        <w:ind w:left="6644" w:hanging="721"/>
      </w:pPr>
      <w:rPr>
        <w:rFonts w:hint="default"/>
      </w:rPr>
    </w:lvl>
    <w:lvl w:ilvl="7">
      <w:start w:val="0"/>
      <w:numFmt w:val="bullet"/>
      <w:lvlText w:val="•"/>
      <w:lvlJc w:val="left"/>
      <w:pPr>
        <w:ind w:left="7429" w:hanging="721"/>
      </w:pPr>
      <w:rPr>
        <w:rFonts w:hint="default"/>
      </w:rPr>
    </w:lvl>
    <w:lvl w:ilvl="8">
      <w:start w:val="0"/>
      <w:numFmt w:val="bullet"/>
      <w:lvlText w:val="•"/>
      <w:lvlJc w:val="left"/>
      <w:pPr>
        <w:ind w:left="8214" w:hanging="721"/>
      </w:pPr>
      <w:rPr>
        <w:rFonts w:hint="default"/>
      </w:rPr>
    </w:lvl>
  </w:abstractNum>
  <w:abstractNum w:abstractNumId="6">
    <w:multiLevelType w:val="hybridMultilevel"/>
    <w:lvl w:ilvl="0">
      <w:start w:val="5"/>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45" w:hanging="721"/>
      </w:pPr>
      <w:rPr>
        <w:rFonts w:hint="default"/>
      </w:rPr>
    </w:lvl>
    <w:lvl w:ilvl="3">
      <w:start w:val="0"/>
      <w:numFmt w:val="bullet"/>
      <w:lvlText w:val="•"/>
      <w:lvlJc w:val="left"/>
      <w:pPr>
        <w:ind w:left="1248" w:hanging="721"/>
      </w:pPr>
      <w:rPr>
        <w:rFonts w:hint="default"/>
      </w:rPr>
    </w:lvl>
    <w:lvl w:ilvl="4">
      <w:start w:val="0"/>
      <w:numFmt w:val="bullet"/>
      <w:lvlText w:val="•"/>
      <w:lvlJc w:val="left"/>
      <w:pPr>
        <w:ind w:left="1351" w:hanging="721"/>
      </w:pPr>
      <w:rPr>
        <w:rFonts w:hint="default"/>
      </w:rPr>
    </w:lvl>
    <w:lvl w:ilvl="5">
      <w:start w:val="0"/>
      <w:numFmt w:val="bullet"/>
      <w:lvlText w:val="•"/>
      <w:lvlJc w:val="left"/>
      <w:pPr>
        <w:ind w:left="1453" w:hanging="721"/>
      </w:pPr>
      <w:rPr>
        <w:rFonts w:hint="default"/>
      </w:rPr>
    </w:lvl>
    <w:lvl w:ilvl="6">
      <w:start w:val="0"/>
      <w:numFmt w:val="bullet"/>
      <w:lvlText w:val="•"/>
      <w:lvlJc w:val="left"/>
      <w:pPr>
        <w:ind w:left="1556" w:hanging="721"/>
      </w:pPr>
      <w:rPr>
        <w:rFonts w:hint="default"/>
      </w:rPr>
    </w:lvl>
    <w:lvl w:ilvl="7">
      <w:start w:val="0"/>
      <w:numFmt w:val="bullet"/>
      <w:lvlText w:val="•"/>
      <w:lvlJc w:val="left"/>
      <w:pPr>
        <w:ind w:left="1659" w:hanging="721"/>
      </w:pPr>
      <w:rPr>
        <w:rFonts w:hint="default"/>
      </w:rPr>
    </w:lvl>
    <w:lvl w:ilvl="8">
      <w:start w:val="0"/>
      <w:numFmt w:val="bullet"/>
      <w:lvlText w:val="•"/>
      <w:lvlJc w:val="left"/>
      <w:pPr>
        <w:ind w:left="1762" w:hanging="721"/>
      </w:pPr>
      <w:rPr>
        <w:rFonts w:hint="default"/>
      </w:rPr>
    </w:lvl>
  </w:abstractNum>
  <w:abstractNum w:abstractNumId="5">
    <w:multiLevelType w:val="hybridMultilevel"/>
    <w:lvl w:ilvl="0">
      <w:start w:val="4"/>
      <w:numFmt w:val="decimal"/>
      <w:lvlText w:val="%1"/>
      <w:lvlJc w:val="left"/>
      <w:pPr>
        <w:ind w:left="836" w:hanging="721"/>
        <w:jc w:val="left"/>
      </w:pPr>
      <w:rPr>
        <w:rFonts w:hint="default"/>
      </w:rPr>
    </w:lvl>
    <w:lvl w:ilvl="1">
      <w:start w:val="1"/>
      <w:numFmt w:val="decimal"/>
      <w:lvlText w:val="%1.%2"/>
      <w:lvlJc w:val="left"/>
      <w:pPr>
        <w:ind w:left="836" w:hanging="721"/>
        <w:jc w:val="right"/>
      </w:pPr>
      <w:rPr>
        <w:rFonts w:hint="default" w:ascii="Times New Roman" w:hAnsi="Times New Roman" w:eastAsia="Times New Roman" w:cs="Times New Roman"/>
        <w:b/>
        <w:bCs/>
        <w:w w:val="99"/>
        <w:sz w:val="21"/>
        <w:szCs w:val="21"/>
      </w:rPr>
    </w:lvl>
    <w:lvl w:ilvl="2">
      <w:start w:val="0"/>
      <w:numFmt w:val="bullet"/>
      <w:lvlText w:val="•"/>
      <w:lvlJc w:val="left"/>
      <w:pPr>
        <w:ind w:left="2628" w:hanging="721"/>
      </w:pPr>
      <w:rPr>
        <w:rFonts w:hint="default"/>
      </w:rPr>
    </w:lvl>
    <w:lvl w:ilvl="3">
      <w:start w:val="0"/>
      <w:numFmt w:val="bullet"/>
      <w:lvlText w:val="•"/>
      <w:lvlJc w:val="left"/>
      <w:pPr>
        <w:ind w:left="3523" w:hanging="721"/>
      </w:pPr>
      <w:rPr>
        <w:rFonts w:hint="default"/>
      </w:rPr>
    </w:lvl>
    <w:lvl w:ilvl="4">
      <w:start w:val="0"/>
      <w:numFmt w:val="bullet"/>
      <w:lvlText w:val="•"/>
      <w:lvlJc w:val="left"/>
      <w:pPr>
        <w:ind w:left="4417" w:hanging="721"/>
      </w:pPr>
      <w:rPr>
        <w:rFonts w:hint="default"/>
      </w:rPr>
    </w:lvl>
    <w:lvl w:ilvl="5">
      <w:start w:val="0"/>
      <w:numFmt w:val="bullet"/>
      <w:lvlText w:val="•"/>
      <w:lvlJc w:val="left"/>
      <w:pPr>
        <w:ind w:left="5312" w:hanging="721"/>
      </w:pPr>
      <w:rPr>
        <w:rFonts w:hint="default"/>
      </w:rPr>
    </w:lvl>
    <w:lvl w:ilvl="6">
      <w:start w:val="0"/>
      <w:numFmt w:val="bullet"/>
      <w:lvlText w:val="•"/>
      <w:lvlJc w:val="left"/>
      <w:pPr>
        <w:ind w:left="6206" w:hanging="721"/>
      </w:pPr>
      <w:rPr>
        <w:rFonts w:hint="default"/>
      </w:rPr>
    </w:lvl>
    <w:lvl w:ilvl="7">
      <w:start w:val="0"/>
      <w:numFmt w:val="bullet"/>
      <w:lvlText w:val="•"/>
      <w:lvlJc w:val="left"/>
      <w:pPr>
        <w:ind w:left="7101" w:hanging="721"/>
      </w:pPr>
      <w:rPr>
        <w:rFonts w:hint="default"/>
      </w:rPr>
    </w:lvl>
    <w:lvl w:ilvl="8">
      <w:start w:val="0"/>
      <w:numFmt w:val="bullet"/>
      <w:lvlText w:val="•"/>
      <w:lvlJc w:val="left"/>
      <w:pPr>
        <w:ind w:left="7995" w:hanging="721"/>
      </w:pPr>
      <w:rPr>
        <w:rFonts w:hint="default"/>
      </w:rPr>
    </w:lvl>
  </w:abstractNum>
  <w:abstractNum w:abstractNumId="4">
    <w:multiLevelType w:val="hybridMultilevel"/>
    <w:lvl w:ilvl="0">
      <w:start w:val="3"/>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3">
    <w:multiLevelType w:val="hybridMultilevel"/>
    <w:lvl w:ilvl="0">
      <w:start w:val="2"/>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2">
    <w:multiLevelType w:val="hybridMultilevel"/>
    <w:lvl w:ilvl="0">
      <w:start w:val="1"/>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36" w:hanging="420"/>
      </w:pPr>
      <w:rPr>
        <w:rFonts w:hint="default"/>
      </w:rPr>
    </w:lvl>
    <w:lvl w:ilvl="2">
      <w:start w:val="0"/>
      <w:numFmt w:val="bullet"/>
      <w:lvlText w:val="•"/>
      <w:lvlJc w:val="left"/>
      <w:pPr>
        <w:ind w:left="2332" w:hanging="420"/>
      </w:pPr>
      <w:rPr>
        <w:rFonts w:hint="default"/>
      </w:rPr>
    </w:lvl>
    <w:lvl w:ilvl="3">
      <w:start w:val="0"/>
      <w:numFmt w:val="bullet"/>
      <w:lvlText w:val="•"/>
      <w:lvlJc w:val="left"/>
      <w:pPr>
        <w:ind w:left="3229" w:hanging="420"/>
      </w:pPr>
      <w:rPr>
        <w:rFonts w:hint="default"/>
      </w:rPr>
    </w:lvl>
    <w:lvl w:ilvl="4">
      <w:start w:val="0"/>
      <w:numFmt w:val="bullet"/>
      <w:lvlText w:val="•"/>
      <w:lvlJc w:val="left"/>
      <w:pPr>
        <w:ind w:left="4125" w:hanging="420"/>
      </w:pPr>
      <w:rPr>
        <w:rFonts w:hint="default"/>
      </w:rPr>
    </w:lvl>
    <w:lvl w:ilvl="5">
      <w:start w:val="0"/>
      <w:numFmt w:val="bullet"/>
      <w:lvlText w:val="•"/>
      <w:lvlJc w:val="left"/>
      <w:pPr>
        <w:ind w:left="5022" w:hanging="420"/>
      </w:pPr>
      <w:rPr>
        <w:rFonts w:hint="default"/>
      </w:rPr>
    </w:lvl>
    <w:lvl w:ilvl="6">
      <w:start w:val="0"/>
      <w:numFmt w:val="bullet"/>
      <w:lvlText w:val="•"/>
      <w:lvlJc w:val="left"/>
      <w:pPr>
        <w:ind w:left="5918" w:hanging="420"/>
      </w:pPr>
      <w:rPr>
        <w:rFonts w:hint="default"/>
      </w:rPr>
    </w:lvl>
    <w:lvl w:ilvl="7">
      <w:start w:val="0"/>
      <w:numFmt w:val="bullet"/>
      <w:lvlText w:val="•"/>
      <w:lvlJc w:val="left"/>
      <w:pPr>
        <w:ind w:left="6815" w:hanging="420"/>
      </w:pPr>
      <w:rPr>
        <w:rFonts w:hint="default"/>
      </w:rPr>
    </w:lvl>
    <w:lvl w:ilvl="8">
      <w:start w:val="0"/>
      <w:numFmt w:val="bullet"/>
      <w:lvlText w:val="•"/>
      <w:lvlJc w:val="left"/>
      <w:pPr>
        <w:ind w:left="7711"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838" w:hanging="369"/>
      </w:pPr>
      <w:rPr>
        <w:rFonts w:hint="default"/>
      </w:rPr>
    </w:lvl>
    <w:lvl w:ilvl="3">
      <w:start w:val="0"/>
      <w:numFmt w:val="bullet"/>
      <w:lvlText w:val="•"/>
      <w:lvlJc w:val="left"/>
      <w:pPr>
        <w:ind w:left="2796" w:hanging="369"/>
      </w:pPr>
      <w:rPr>
        <w:rFonts w:hint="default"/>
      </w:rPr>
    </w:lvl>
    <w:lvl w:ilvl="4">
      <w:start w:val="0"/>
      <w:numFmt w:val="bullet"/>
      <w:lvlText w:val="•"/>
      <w:lvlJc w:val="left"/>
      <w:pPr>
        <w:ind w:left="3754" w:hanging="369"/>
      </w:pPr>
      <w:rPr>
        <w:rFonts w:hint="default"/>
      </w:rPr>
    </w:lvl>
    <w:lvl w:ilvl="5">
      <w:start w:val="0"/>
      <w:numFmt w:val="bullet"/>
      <w:lvlText w:val="•"/>
      <w:lvlJc w:val="left"/>
      <w:pPr>
        <w:ind w:left="4713" w:hanging="369"/>
      </w:pPr>
      <w:rPr>
        <w:rFonts w:hint="default"/>
      </w:rPr>
    </w:lvl>
    <w:lvl w:ilvl="6">
      <w:start w:val="0"/>
      <w:numFmt w:val="bullet"/>
      <w:lvlText w:val="•"/>
      <w:lvlJc w:val="left"/>
      <w:pPr>
        <w:ind w:left="5671" w:hanging="369"/>
      </w:pPr>
      <w:rPr>
        <w:rFonts w:hint="default"/>
      </w:rPr>
    </w:lvl>
    <w:lvl w:ilvl="7">
      <w:start w:val="0"/>
      <w:numFmt w:val="bullet"/>
      <w:lvlText w:val="•"/>
      <w:lvlJc w:val="left"/>
      <w:pPr>
        <w:ind w:left="6629" w:hanging="369"/>
      </w:pPr>
      <w:rPr>
        <w:rFonts w:hint="default"/>
      </w:rPr>
    </w:lvl>
    <w:lvl w:ilvl="8">
      <w:start w:val="0"/>
      <w:numFmt w:val="bullet"/>
      <w:lvlText w:val="•"/>
      <w:lvlJc w:val="left"/>
      <w:pPr>
        <w:ind w:left="7587"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96" w:right="2820"/>
      <w:jc w:val="center"/>
      <w:outlineLvl w:val="1"/>
    </w:pPr>
    <w:rPr>
      <w:rFonts w:ascii="宋体" w:hAnsi="宋体" w:eastAsia="宋体" w:cs="宋体"/>
      <w:b/>
      <w:bCs/>
      <w:sz w:val="30"/>
      <w:szCs w:val="30"/>
    </w:rPr>
  </w:style>
  <w:style w:styleId="Heading2" w:type="paragraph">
    <w:name w:val="Heading 2"/>
    <w:basedOn w:val="Normal"/>
    <w:uiPriority w:val="1"/>
    <w:qFormat/>
    <w:pPr>
      <w:ind w:left="836" w:hanging="720"/>
      <w:outlineLvl w:val="2"/>
    </w:pPr>
    <w:rPr>
      <w:rFonts w:ascii="宋体" w:hAnsi="宋体" w:eastAsia="宋体" w:cs="宋体"/>
      <w:b/>
      <w:bCs/>
      <w:sz w:val="21"/>
      <w:szCs w:val="21"/>
    </w:rPr>
  </w:style>
  <w:style w:styleId="ListParagraph" w:type="paragraph">
    <w:name w:val="List Paragraph"/>
    <w:basedOn w:val="Normal"/>
    <w:uiPriority w:val="1"/>
    <w:qFormat/>
    <w:pPr>
      <w:ind w:left="836"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2018-10-20T08:17:31Z</dcterms:created>
  <dcterms:modified xsi:type="dcterms:W3CDTF">2018-10-20T08:17:31Z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2018-10-20T00:00:00Z</vt:filetime>
  </property>
</Properties>
</file>