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12"/>
        <w:ind w:right="137"/>
        <w:jc w:val="right"/>
      </w:pPr>
      <w:r>
        <w:rPr/>
        <w:drawing>
          <wp:anchor distT="0" distB="0" distL="0" distR="0" allowOverlap="1" layoutInCell="1" locked="0" behindDoc="0" simplePos="0" relativeHeight="0">
            <wp:simplePos x="0" y="0"/>
            <wp:positionH relativeFrom="page">
              <wp:posOffset>6188202</wp:posOffset>
            </wp:positionH>
            <wp:positionV relativeFrom="paragraph">
              <wp:posOffset>202234</wp:posOffset>
            </wp:positionV>
            <wp:extent cx="723900" cy="72390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anchor>
        </w:drawing>
      </w:r>
      <w:r>
        <w:rPr/>
        <w:t>交银康联[2009]疾病保险 039 号</w:t>
      </w:r>
    </w:p>
    <w:p>
      <w:pPr>
        <w:pStyle w:val="BodyText"/>
        <w:ind w:right="137"/>
        <w:jc w:val="right"/>
      </w:pPr>
      <w:r>
        <w:rPr/>
        <w:t>请扫描以查询验证条款</w:t>
      </w:r>
    </w:p>
    <w:p>
      <w:pPr>
        <w:pStyle w:val="Heading1"/>
        <w:spacing w:before="20"/>
        <w:ind w:right="1814"/>
        <w:jc w:val="center"/>
      </w:pPr>
      <w:r>
        <w:rPr/>
        <w:pict>
          <v:line style="position:absolute;mso-position-horizontal-relative:page;mso-position-vertical-relative:paragraph;z-index:-20224" from="49.560001pt,2.966659pt" to="545.760001pt,2.966659pt" stroked="true" strokeweight=".71997pt" strokecolor="#000000">
            <v:stroke dashstyle="solid"/>
            <w10:wrap type="none"/>
          </v:line>
        </w:pict>
      </w:r>
      <w:r>
        <w:rPr>
          <w:w w:val="95"/>
        </w:rPr>
        <w:t>交银康联附加重大疾病保险条款</w:t>
      </w:r>
      <w:r>
        <w:rPr>
          <w:w w:val="95"/>
          <w:vertAlign w:val="subscript"/>
        </w:rPr>
        <w:t>（2009</w:t>
      </w:r>
      <w:r>
        <w:rPr>
          <w:w w:val="95"/>
          <w:vertAlign w:val="baseline"/>
        </w:rPr>
        <w:t> 年 </w:t>
      </w:r>
      <w:r>
        <w:rPr>
          <w:w w:val="95"/>
          <w:vertAlign w:val="subscript"/>
        </w:rPr>
        <w:t>9</w:t>
      </w:r>
      <w:r>
        <w:rPr>
          <w:w w:val="95"/>
          <w:vertAlign w:val="baseline"/>
        </w:rPr>
        <w:t> 月</w:t>
      </w:r>
      <w:r>
        <w:rPr>
          <w:w w:val="95"/>
          <w:vertAlign w:val="subscript"/>
        </w:rPr>
        <w:t>）</w:t>
      </w:r>
      <w:r>
        <w:rPr>
          <w:w w:val="95"/>
          <w:vertAlign w:val="baseline"/>
        </w:rPr>
      </w:r>
    </w:p>
    <w:p>
      <w:pPr>
        <w:spacing w:before="71"/>
        <w:ind w:left="1814" w:right="1813" w:firstLine="0"/>
        <w:jc w:val="center"/>
        <w:rPr>
          <w:rFonts w:ascii="微软雅黑" w:eastAsia="微软雅黑" w:hint="eastAsia"/>
          <w:b/>
          <w:sz w:val="32"/>
        </w:rPr>
      </w:pPr>
      <w:r>
        <w:rPr>
          <w:rFonts w:ascii="微软雅黑" w:eastAsia="微软雅黑" w:hint="eastAsia"/>
          <w:b/>
          <w:sz w:val="32"/>
        </w:rPr>
        <w:t>阅  读  指 引</w:t>
      </w:r>
    </w:p>
    <w:p>
      <w:pPr>
        <w:pStyle w:val="BodyText"/>
        <w:spacing w:before="102"/>
        <w:ind w:left="1814" w:right="1814"/>
        <w:jc w:val="center"/>
      </w:pPr>
      <w:r>
        <w:rPr>
          <w:spacing w:val="-148"/>
        </w:rPr>
        <w:t>本</w:t>
      </w:r>
      <w:r>
        <w:rPr>
          <w:spacing w:val="-63"/>
          <w:position w:val="-7"/>
        </w:rPr>
        <w:t>．</w:t>
      </w:r>
      <w:r>
        <w:rPr>
          <w:spacing w:val="-148"/>
        </w:rPr>
        <w:t>阅</w:t>
      </w:r>
      <w:r>
        <w:rPr>
          <w:spacing w:val="-63"/>
          <w:position w:val="-7"/>
        </w:rPr>
        <w:t>．</w:t>
      </w:r>
      <w:r>
        <w:rPr>
          <w:spacing w:val="-148"/>
        </w:rPr>
        <w:t>读</w:t>
      </w:r>
      <w:r>
        <w:rPr>
          <w:spacing w:val="-63"/>
          <w:position w:val="-7"/>
        </w:rPr>
        <w:t>．</w:t>
      </w:r>
      <w:r>
        <w:rPr>
          <w:spacing w:val="-148"/>
        </w:rPr>
        <w:t>指</w:t>
      </w:r>
      <w:r>
        <w:rPr>
          <w:spacing w:val="-63"/>
          <w:position w:val="-7"/>
        </w:rPr>
        <w:t>．</w:t>
      </w:r>
      <w:r>
        <w:rPr>
          <w:spacing w:val="-148"/>
        </w:rPr>
        <w:t>引</w:t>
      </w:r>
      <w:r>
        <w:rPr>
          <w:spacing w:val="-63"/>
          <w:position w:val="-7"/>
        </w:rPr>
        <w:t>．</w:t>
      </w:r>
      <w:r>
        <w:rPr>
          <w:spacing w:val="-148"/>
        </w:rPr>
        <w:t>有</w:t>
      </w:r>
      <w:r>
        <w:rPr>
          <w:spacing w:val="-63"/>
          <w:position w:val="-7"/>
        </w:rPr>
        <w:t>．</w:t>
      </w:r>
      <w:r>
        <w:rPr>
          <w:spacing w:val="-148"/>
        </w:rPr>
        <w:t>助</w:t>
      </w:r>
      <w:r>
        <w:rPr>
          <w:spacing w:val="-63"/>
          <w:position w:val="-7"/>
        </w:rPr>
        <w:t>．</w:t>
      </w:r>
      <w:r>
        <w:rPr>
          <w:spacing w:val="-148"/>
        </w:rPr>
        <w:t>于</w:t>
      </w:r>
      <w:r>
        <w:rPr>
          <w:spacing w:val="-63"/>
          <w:position w:val="-7"/>
        </w:rPr>
        <w:t>．</w:t>
      </w:r>
      <w:r>
        <w:rPr>
          <w:spacing w:val="-148"/>
        </w:rPr>
        <w:t>您</w:t>
      </w:r>
      <w:r>
        <w:rPr>
          <w:spacing w:val="-63"/>
          <w:position w:val="-7"/>
        </w:rPr>
        <w:t>．</w:t>
      </w:r>
      <w:r>
        <w:rPr>
          <w:spacing w:val="-148"/>
        </w:rPr>
        <w:t>理</w:t>
      </w:r>
      <w:r>
        <w:rPr>
          <w:spacing w:val="-63"/>
          <w:position w:val="-7"/>
        </w:rPr>
        <w:t>．</w:t>
      </w:r>
      <w:r>
        <w:rPr>
          <w:spacing w:val="-148"/>
        </w:rPr>
        <w:t>解</w:t>
      </w:r>
      <w:r>
        <w:rPr>
          <w:spacing w:val="-63"/>
          <w:position w:val="-7"/>
        </w:rPr>
        <w:t>．</w:t>
      </w:r>
      <w:r>
        <w:rPr>
          <w:spacing w:val="-148"/>
        </w:rPr>
        <w:t>条</w:t>
      </w:r>
      <w:r>
        <w:rPr>
          <w:spacing w:val="-63"/>
          <w:position w:val="-7"/>
        </w:rPr>
        <w:t>．</w:t>
      </w:r>
      <w:r>
        <w:rPr>
          <w:spacing w:val="-148"/>
        </w:rPr>
        <w:t>款</w:t>
      </w:r>
      <w:r>
        <w:rPr>
          <w:spacing w:val="-63"/>
          <w:position w:val="-7"/>
        </w:rPr>
        <w:t>．</w:t>
      </w:r>
      <w:r>
        <w:rPr>
          <w:spacing w:val="-148"/>
        </w:rPr>
        <w:t>，</w:t>
      </w:r>
      <w:r>
        <w:rPr>
          <w:spacing w:val="-63"/>
          <w:position w:val="-7"/>
        </w:rPr>
        <w:t>．</w:t>
      </w:r>
      <w:r>
        <w:rPr>
          <w:spacing w:val="-148"/>
        </w:rPr>
        <w:t>对</w:t>
      </w:r>
      <w:r>
        <w:rPr>
          <w:spacing w:val="-63"/>
          <w:position w:val="-7"/>
        </w:rPr>
        <w:t>．</w:t>
      </w:r>
      <w:r>
        <w:rPr>
          <w:spacing w:val="-148"/>
        </w:rPr>
        <w:t>本</w:t>
      </w:r>
      <w:r>
        <w:rPr>
          <w:spacing w:val="-63"/>
          <w:position w:val="-7"/>
        </w:rPr>
        <w:t>．</w:t>
      </w:r>
      <w:r>
        <w:rPr>
          <w:spacing w:val="-148"/>
        </w:rPr>
        <w:t>附</w:t>
      </w:r>
      <w:r>
        <w:rPr>
          <w:spacing w:val="-63"/>
          <w:position w:val="-7"/>
        </w:rPr>
        <w:t>．</w:t>
      </w:r>
      <w:r>
        <w:rPr>
          <w:spacing w:val="-148"/>
        </w:rPr>
        <w:t>加</w:t>
      </w:r>
      <w:r>
        <w:rPr>
          <w:spacing w:val="-63"/>
          <w:position w:val="-7"/>
        </w:rPr>
        <w:t>．</w:t>
      </w:r>
      <w:r>
        <w:rPr>
          <w:spacing w:val="-148"/>
        </w:rPr>
        <w:t>合</w:t>
      </w:r>
      <w:r>
        <w:rPr>
          <w:spacing w:val="-63"/>
          <w:position w:val="-7"/>
        </w:rPr>
        <w:t>．</w:t>
      </w:r>
      <w:r>
        <w:rPr>
          <w:spacing w:val="-148"/>
        </w:rPr>
        <w:t>同</w:t>
      </w:r>
      <w:r>
        <w:rPr>
          <w:spacing w:val="-63"/>
          <w:position w:val="-7"/>
        </w:rPr>
        <w:t>．</w:t>
      </w:r>
      <w:r>
        <w:rPr>
          <w:spacing w:val="-148"/>
        </w:rPr>
        <w:t>内</w:t>
      </w:r>
      <w:r>
        <w:rPr>
          <w:spacing w:val="-63"/>
          <w:position w:val="-7"/>
        </w:rPr>
        <w:t>．</w:t>
      </w:r>
      <w:r>
        <w:rPr>
          <w:spacing w:val="-148"/>
        </w:rPr>
        <w:t>容</w:t>
      </w:r>
      <w:r>
        <w:rPr>
          <w:spacing w:val="-63"/>
          <w:position w:val="-7"/>
        </w:rPr>
        <w:t>．</w:t>
      </w:r>
      <w:r>
        <w:rPr>
          <w:spacing w:val="-148"/>
        </w:rPr>
        <w:t>的</w:t>
      </w:r>
      <w:r>
        <w:rPr>
          <w:spacing w:val="-63"/>
          <w:position w:val="-7"/>
        </w:rPr>
        <w:t>．</w:t>
      </w:r>
      <w:r>
        <w:rPr>
          <w:spacing w:val="-148"/>
        </w:rPr>
        <w:t>解</w:t>
      </w:r>
      <w:r>
        <w:rPr>
          <w:spacing w:val="-63"/>
          <w:position w:val="-7"/>
        </w:rPr>
        <w:t>．</w:t>
      </w:r>
      <w:r>
        <w:rPr>
          <w:spacing w:val="-148"/>
        </w:rPr>
        <w:t>释</w:t>
      </w:r>
      <w:r>
        <w:rPr>
          <w:spacing w:val="-63"/>
          <w:position w:val="-7"/>
        </w:rPr>
        <w:t>．</w:t>
      </w:r>
      <w:r>
        <w:rPr>
          <w:spacing w:val="-148"/>
        </w:rPr>
        <w:t>以</w:t>
      </w:r>
      <w:r>
        <w:rPr>
          <w:spacing w:val="-63"/>
          <w:position w:val="-7"/>
        </w:rPr>
        <w:t>．</w:t>
      </w:r>
      <w:r>
        <w:rPr>
          <w:spacing w:val="-148"/>
        </w:rPr>
        <w:t>条</w:t>
      </w:r>
      <w:r>
        <w:rPr>
          <w:spacing w:val="-63"/>
          <w:position w:val="-7"/>
        </w:rPr>
        <w:t>．</w:t>
      </w:r>
      <w:r>
        <w:rPr>
          <w:spacing w:val="-148"/>
        </w:rPr>
        <w:t>款</w:t>
      </w:r>
      <w:r>
        <w:rPr>
          <w:spacing w:val="-63"/>
          <w:position w:val="-7"/>
        </w:rPr>
        <w:t>．</w:t>
      </w:r>
      <w:r>
        <w:rPr>
          <w:spacing w:val="-148"/>
        </w:rPr>
        <w:t>为</w:t>
      </w:r>
      <w:r>
        <w:rPr>
          <w:spacing w:val="-63"/>
          <w:position w:val="-7"/>
        </w:rPr>
        <w:t>．</w:t>
      </w:r>
      <w:r>
        <w:rPr>
          <w:spacing w:val="-148"/>
        </w:rPr>
        <w:t>准</w:t>
      </w:r>
      <w:r>
        <w:rPr>
          <w:spacing w:val="-63"/>
          <w:position w:val="-7"/>
        </w:rPr>
        <w:t>．</w:t>
      </w:r>
      <w:r>
        <w:rPr/>
        <w:t>。</w:t>
      </w:r>
    </w:p>
    <w:p>
      <w:pPr>
        <w:pStyle w:val="Heading3"/>
        <w:tabs>
          <w:tab w:pos="1315" w:val="left" w:leader="none"/>
        </w:tabs>
        <w:spacing w:before="27"/>
        <w:ind w:left="305"/>
      </w:pPr>
      <w:r>
        <w:rPr>
          <w:rFonts w:ascii="Arial" w:hAnsi="Arial" w:eastAsia="Arial"/>
          <w:w w:val="105"/>
          <w:position w:val="-11"/>
          <w:sz w:val="52"/>
        </w:rPr>
        <w:t></w:t>
        <w:tab/>
      </w:r>
      <w:r>
        <w:rPr>
          <w:w w:val="95"/>
        </w:rPr>
        <w:t>您拥有的重要权益</w:t>
      </w:r>
    </w:p>
    <w:p>
      <w:pPr>
        <w:pStyle w:val="ListParagraph"/>
        <w:numPr>
          <w:ilvl w:val="0"/>
          <w:numId w:val="1"/>
        </w:numPr>
        <w:tabs>
          <w:tab w:pos="1697" w:val="left" w:leader="none"/>
          <w:tab w:pos="1698" w:val="left" w:leader="none"/>
          <w:tab w:pos="9989" w:val="right" w:leader="dot"/>
        </w:tabs>
        <w:spacing w:line="240" w:lineRule="auto" w:before="22" w:after="0"/>
        <w:ind w:left="1697" w:right="0" w:hanging="420"/>
        <w:jc w:val="left"/>
        <w:rPr>
          <w:sz w:val="21"/>
        </w:rPr>
      </w:pPr>
      <w:r>
        <w:rPr>
          <w:sz w:val="21"/>
        </w:rPr>
        <w:t>被保险人可以享受本附加合同提供的保障</w:t>
        <w:tab/>
        <w:t>2.3</w:t>
      </w:r>
    </w:p>
    <w:p>
      <w:pPr>
        <w:pStyle w:val="ListParagraph"/>
        <w:numPr>
          <w:ilvl w:val="0"/>
          <w:numId w:val="1"/>
        </w:numPr>
        <w:tabs>
          <w:tab w:pos="1697" w:val="left" w:leader="none"/>
          <w:tab w:pos="1698" w:val="left" w:leader="none"/>
          <w:tab w:pos="9988" w:val="right" w:leader="dot"/>
        </w:tabs>
        <w:spacing w:line="240" w:lineRule="auto" w:before="22" w:after="0"/>
        <w:ind w:left="1697" w:right="0" w:hanging="420"/>
        <w:jc w:val="left"/>
        <w:rPr>
          <w:sz w:val="21"/>
        </w:rPr>
      </w:pPr>
      <w:r>
        <w:rPr>
          <w:sz w:val="21"/>
        </w:rPr>
        <w:t>您有退保的权利</w:t>
        <w:tab/>
        <w:t>7.1</w:t>
      </w:r>
    </w:p>
    <w:p>
      <w:pPr>
        <w:pStyle w:val="Heading3"/>
        <w:tabs>
          <w:tab w:pos="1315" w:val="left" w:leader="none"/>
        </w:tabs>
        <w:spacing w:before="25"/>
        <w:ind w:left="305"/>
      </w:pPr>
      <w:r>
        <w:rPr>
          <w:rFonts w:ascii="Arial" w:hAnsi="Arial" w:eastAsia="Arial"/>
          <w:w w:val="105"/>
          <w:position w:val="-11"/>
          <w:sz w:val="52"/>
        </w:rPr>
        <w:t></w:t>
        <w:tab/>
      </w:r>
      <w:r>
        <w:rPr>
          <w:w w:val="95"/>
        </w:rPr>
        <w:t>您应当特别注意的事项</w:t>
      </w:r>
    </w:p>
    <w:p>
      <w:pPr>
        <w:pStyle w:val="ListParagraph"/>
        <w:numPr>
          <w:ilvl w:val="0"/>
          <w:numId w:val="1"/>
        </w:numPr>
        <w:tabs>
          <w:tab w:pos="1697" w:val="left" w:leader="none"/>
          <w:tab w:pos="1698" w:val="left" w:leader="none"/>
          <w:tab w:pos="9990" w:val="right" w:leader="dot"/>
        </w:tabs>
        <w:spacing w:line="240" w:lineRule="auto" w:before="21" w:after="0"/>
        <w:ind w:left="1697" w:right="0" w:hanging="420"/>
        <w:jc w:val="left"/>
        <w:rPr>
          <w:sz w:val="21"/>
        </w:rPr>
      </w:pPr>
      <w:r>
        <w:rPr>
          <w:sz w:val="21"/>
        </w:rPr>
        <w:t>本附加合同保障的重大疾病有180日的等待期</w:t>
        <w:tab/>
        <w:t>2.3</w:t>
      </w:r>
    </w:p>
    <w:p>
      <w:pPr>
        <w:pStyle w:val="ListParagraph"/>
        <w:numPr>
          <w:ilvl w:val="0"/>
          <w:numId w:val="1"/>
        </w:numPr>
        <w:tabs>
          <w:tab w:pos="1697" w:val="left" w:leader="none"/>
          <w:tab w:pos="1698" w:val="left" w:leader="none"/>
          <w:tab w:pos="9990" w:val="right" w:leader="dot"/>
        </w:tabs>
        <w:spacing w:line="240" w:lineRule="auto" w:before="21" w:after="0"/>
        <w:ind w:left="1697" w:right="0" w:hanging="420"/>
        <w:jc w:val="left"/>
        <w:rPr>
          <w:sz w:val="21"/>
        </w:rPr>
      </w:pPr>
      <w:r>
        <w:rPr>
          <w:sz w:val="21"/>
        </w:rPr>
        <w:t>有些情况本公司不承担保险责任，请您仔细阅读责任免除条款</w:t>
        <w:tab/>
        <w:t>2.4</w:t>
      </w:r>
    </w:p>
    <w:p>
      <w:pPr>
        <w:pStyle w:val="ListParagraph"/>
        <w:numPr>
          <w:ilvl w:val="0"/>
          <w:numId w:val="1"/>
        </w:numPr>
        <w:tabs>
          <w:tab w:pos="1697" w:val="left" w:leader="none"/>
          <w:tab w:pos="1698" w:val="left" w:leader="none"/>
          <w:tab w:pos="9988" w:val="right" w:leader="dot"/>
        </w:tabs>
        <w:spacing w:line="240" w:lineRule="auto" w:before="21" w:after="0"/>
        <w:ind w:left="1697" w:right="0" w:hanging="420"/>
        <w:jc w:val="left"/>
        <w:rPr>
          <w:sz w:val="21"/>
        </w:rPr>
      </w:pPr>
      <w:r>
        <w:rPr>
          <w:sz w:val="21"/>
        </w:rPr>
        <w:t>您应当按时交纳保险费</w:t>
        <w:tab/>
        <w:t>4.1</w:t>
      </w:r>
    </w:p>
    <w:p>
      <w:pPr>
        <w:pStyle w:val="ListParagraph"/>
        <w:numPr>
          <w:ilvl w:val="0"/>
          <w:numId w:val="1"/>
        </w:numPr>
        <w:tabs>
          <w:tab w:pos="1697" w:val="left" w:leader="none"/>
          <w:tab w:pos="1698" w:val="left" w:leader="none"/>
          <w:tab w:pos="9992" w:val="right" w:leader="dot"/>
        </w:tabs>
        <w:spacing w:line="240" w:lineRule="auto" w:before="21" w:after="0"/>
        <w:ind w:left="1697" w:right="0" w:hanging="420"/>
        <w:jc w:val="left"/>
        <w:rPr>
          <w:sz w:val="21"/>
        </w:rPr>
      </w:pPr>
      <w:r>
        <w:rPr>
          <w:sz w:val="21"/>
        </w:rPr>
        <w:t>本公司保留提高或降低保险费率的权利，但不影响您已经交纳的保险费</w:t>
        <w:tab/>
        <w:t>4.3</w:t>
      </w:r>
    </w:p>
    <w:p>
      <w:pPr>
        <w:pStyle w:val="ListParagraph"/>
        <w:numPr>
          <w:ilvl w:val="0"/>
          <w:numId w:val="1"/>
        </w:numPr>
        <w:tabs>
          <w:tab w:pos="1697" w:val="left" w:leader="none"/>
          <w:tab w:pos="1698" w:val="left" w:leader="none"/>
          <w:tab w:pos="9989" w:val="right" w:leader="dot"/>
        </w:tabs>
        <w:spacing w:line="240" w:lineRule="auto" w:before="21" w:after="0"/>
        <w:ind w:left="1697" w:right="0" w:hanging="420"/>
        <w:jc w:val="left"/>
        <w:rPr>
          <w:sz w:val="21"/>
        </w:rPr>
      </w:pPr>
      <w:r>
        <w:rPr>
          <w:sz w:val="21"/>
        </w:rPr>
        <w:t>退保会给您造成一定的损失，请您慎重决策</w:t>
        <w:tab/>
        <w:t>7.1</w:t>
      </w:r>
    </w:p>
    <w:p>
      <w:pPr>
        <w:pStyle w:val="ListParagraph"/>
        <w:numPr>
          <w:ilvl w:val="0"/>
          <w:numId w:val="1"/>
        </w:numPr>
        <w:tabs>
          <w:tab w:pos="1697" w:val="left" w:leader="none"/>
          <w:tab w:pos="1698" w:val="left" w:leader="none"/>
          <w:tab w:pos="9991" w:val="right" w:leader="dot"/>
        </w:tabs>
        <w:spacing w:line="240" w:lineRule="auto" w:before="21" w:after="0"/>
        <w:ind w:left="1697" w:right="0" w:hanging="420"/>
        <w:jc w:val="left"/>
        <w:rPr>
          <w:sz w:val="21"/>
        </w:rPr>
      </w:pPr>
      <w:r>
        <w:rPr>
          <w:sz w:val="21"/>
        </w:rPr>
        <w:t>主合同的部分条款适用于本附加合同，请您仔细阅读</w:t>
        <w:tab/>
        <w:t>8.2</w:t>
      </w:r>
    </w:p>
    <w:p>
      <w:pPr>
        <w:pStyle w:val="ListParagraph"/>
        <w:numPr>
          <w:ilvl w:val="0"/>
          <w:numId w:val="1"/>
        </w:numPr>
        <w:tabs>
          <w:tab w:pos="1697" w:val="left" w:leader="none"/>
          <w:tab w:pos="1698" w:val="left" w:leader="none"/>
          <w:tab w:pos="9780" w:val="right" w:leader="dot"/>
        </w:tabs>
        <w:spacing w:line="240" w:lineRule="auto" w:before="21" w:after="0"/>
        <w:ind w:left="1697" w:right="0" w:hanging="420"/>
        <w:jc w:val="left"/>
        <w:rPr>
          <w:sz w:val="21"/>
        </w:rPr>
      </w:pPr>
      <w:r>
        <w:rPr>
          <w:sz w:val="21"/>
        </w:rPr>
        <w:t>本公司对一些重要术语进行了解释，并作了显著标识，请您注意</w:t>
        <w:tab/>
        <w:t>9</w:t>
      </w:r>
    </w:p>
    <w:p>
      <w:pPr>
        <w:pStyle w:val="ListParagraph"/>
        <w:numPr>
          <w:ilvl w:val="0"/>
          <w:numId w:val="1"/>
        </w:numPr>
        <w:tabs>
          <w:tab w:pos="1697" w:val="left" w:leader="none"/>
          <w:tab w:pos="1698" w:val="left" w:leader="none"/>
          <w:tab w:pos="9991" w:val="right" w:leader="dot"/>
        </w:tabs>
        <w:spacing w:line="240" w:lineRule="auto" w:before="21" w:after="0"/>
        <w:ind w:left="1697" w:right="0" w:hanging="420"/>
        <w:jc w:val="left"/>
        <w:rPr>
          <w:sz w:val="21"/>
        </w:rPr>
      </w:pPr>
      <w:r>
        <w:rPr>
          <w:sz w:val="21"/>
        </w:rPr>
        <w:t>本公司对保障范围内的重大疾病做了定义，请您仔细阅读</w:t>
        <w:tab/>
        <w:t>9.3</w:t>
      </w:r>
    </w:p>
    <w:p>
      <w:pPr>
        <w:tabs>
          <w:tab w:pos="1315" w:val="left" w:leader="none"/>
        </w:tabs>
        <w:spacing w:before="25"/>
        <w:ind w:left="305" w:right="0" w:firstLine="0"/>
        <w:jc w:val="left"/>
        <w:rPr>
          <w:b/>
          <w:sz w:val="21"/>
        </w:rPr>
      </w:pPr>
      <w:r>
        <w:rPr>
          <w:rFonts w:ascii="Arial" w:hAnsi="Arial" w:eastAsia="Arial"/>
          <w:b/>
          <w:w w:val="105"/>
          <w:position w:val="-11"/>
          <w:sz w:val="52"/>
        </w:rPr>
        <w:t></w:t>
        <w:tab/>
      </w:r>
      <w:r>
        <w:rPr>
          <w:b/>
          <w:w w:val="95"/>
          <w:sz w:val="21"/>
        </w:rPr>
        <w:t>条款是保险合同的重要内容，为充分保障您的权益，请您仔细阅读本条款。</w:t>
      </w:r>
    </w:p>
    <w:p>
      <w:pPr>
        <w:tabs>
          <w:tab w:pos="1315" w:val="left" w:leader="none"/>
        </w:tabs>
        <w:spacing w:before="25"/>
        <w:ind w:left="305" w:right="0" w:firstLine="0"/>
        <w:jc w:val="left"/>
        <w:rPr>
          <w:b/>
          <w:sz w:val="21"/>
        </w:rPr>
      </w:pPr>
      <w:r>
        <w:rPr/>
        <w:pict>
          <v:rect style="position:absolute;margin-left:77.160004pt;margin-top:24.377985pt;width:459.6pt;height:271.2pt;mso-position-horizontal-relative:page;mso-position-vertical-relative:paragraph;z-index:-20200" filled="true" fillcolor="#ffffff" stroked="false">
            <v:fill type="solid"/>
            <w10:wrap type="none"/>
          </v:rect>
        </w:pict>
      </w:r>
      <w:r>
        <w:rPr/>
        <w:pict>
          <v:shapetype id="_x0000_t202" o:spt="202" coordsize="21600,21600" path="m,l,21600r21600,l21600,xe">
            <v:stroke joinstyle="miter"/>
            <v:path gradientshapeok="t" o:connecttype="rect"/>
          </v:shapetype>
          <v:shape style="position:absolute;margin-left:76.785004pt;margin-top:24.377985pt;width:460.35pt;height:271.9pt;mso-position-horizontal-relative:page;mso-position-vertical-relative:paragraph;z-index:1096"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091"/>
                    <w:gridCol w:w="2999"/>
                    <w:gridCol w:w="667"/>
                    <w:gridCol w:w="2433"/>
                  </w:tblGrid>
                  <w:tr>
                    <w:trPr>
                      <w:trHeight w:val="516" w:hRule="atLeast"/>
                    </w:trPr>
                    <w:tc>
                      <w:tcPr>
                        <w:tcW w:w="3091" w:type="dxa"/>
                        <w:tcBorders>
                          <w:top w:val="dotted" w:sz="6" w:space="0" w:color="000000"/>
                          <w:left w:val="dotted" w:sz="6" w:space="0" w:color="000000"/>
                        </w:tcBorders>
                      </w:tcPr>
                      <w:p>
                        <w:pPr>
                          <w:pStyle w:val="TableParagraph"/>
                          <w:spacing w:line="342" w:lineRule="exact" w:before="154"/>
                          <w:ind w:left="462"/>
                          <w:rPr>
                            <w:rFonts w:ascii="Microsoft JhengHei" w:eastAsia="Microsoft JhengHei" w:hint="eastAsia"/>
                            <w:b/>
                            <w:sz w:val="21"/>
                          </w:rPr>
                        </w:pPr>
                        <w:r>
                          <w:rPr>
                            <w:rFonts w:ascii="Microsoft JhengHei" w:eastAsia="Microsoft JhengHei" w:hint="eastAsia"/>
                            <w:b/>
                            <w:w w:val="95"/>
                            <w:sz w:val="21"/>
                          </w:rPr>
                          <w:t>1．您与本公司订立的合同</w:t>
                        </w:r>
                      </w:p>
                    </w:tc>
                    <w:tc>
                      <w:tcPr>
                        <w:tcW w:w="2999" w:type="dxa"/>
                        <w:tcBorders>
                          <w:top w:val="dotted" w:sz="6" w:space="0" w:color="000000"/>
                        </w:tcBorders>
                      </w:tcPr>
                      <w:p>
                        <w:pPr>
                          <w:pStyle w:val="TableParagraph"/>
                          <w:spacing w:line="342" w:lineRule="exact" w:before="154"/>
                          <w:ind w:left="212"/>
                          <w:rPr>
                            <w:rFonts w:ascii="Microsoft JhengHei" w:eastAsia="Microsoft JhengHei" w:hint="eastAsia"/>
                            <w:b/>
                            <w:sz w:val="21"/>
                          </w:rPr>
                        </w:pPr>
                        <w:r>
                          <w:rPr>
                            <w:sz w:val="21"/>
                          </w:rPr>
                          <w:t>5</w:t>
                        </w:r>
                        <w:r>
                          <w:rPr>
                            <w:rFonts w:ascii="Microsoft JhengHei" w:eastAsia="Microsoft JhengHei" w:hint="eastAsia"/>
                            <w:b/>
                            <w:sz w:val="21"/>
                          </w:rPr>
                          <w:t>．现金价值权益</w:t>
                        </w:r>
                      </w:p>
                    </w:tc>
                    <w:tc>
                      <w:tcPr>
                        <w:tcW w:w="667" w:type="dxa"/>
                        <w:tcBorders>
                          <w:top w:val="dotted" w:sz="6" w:space="0" w:color="000000"/>
                        </w:tcBorders>
                      </w:tcPr>
                      <w:p>
                        <w:pPr>
                          <w:pStyle w:val="TableParagraph"/>
                          <w:spacing w:line="240" w:lineRule="auto"/>
                          <w:rPr>
                            <w:b/>
                            <w:sz w:val="17"/>
                          </w:rPr>
                        </w:pPr>
                      </w:p>
                      <w:p>
                        <w:pPr>
                          <w:pStyle w:val="TableParagraph"/>
                          <w:spacing w:line="274" w:lineRule="exact"/>
                          <w:ind w:left="255"/>
                          <w:rPr>
                            <w:sz w:val="21"/>
                          </w:rPr>
                        </w:pPr>
                        <w:r>
                          <w:rPr>
                            <w:sz w:val="21"/>
                          </w:rPr>
                          <w:t>9.6</w:t>
                        </w:r>
                      </w:p>
                    </w:tc>
                    <w:tc>
                      <w:tcPr>
                        <w:tcW w:w="2433" w:type="dxa"/>
                        <w:tcBorders>
                          <w:top w:val="dotted" w:sz="6" w:space="0" w:color="000000"/>
                          <w:right w:val="dotted" w:sz="6" w:space="0" w:color="000000"/>
                        </w:tcBorders>
                      </w:tcPr>
                      <w:p>
                        <w:pPr>
                          <w:pStyle w:val="TableParagraph"/>
                          <w:spacing w:line="240" w:lineRule="auto"/>
                          <w:rPr>
                            <w:b/>
                            <w:sz w:val="17"/>
                          </w:rPr>
                        </w:pPr>
                      </w:p>
                      <w:p>
                        <w:pPr>
                          <w:pStyle w:val="TableParagraph"/>
                          <w:spacing w:line="274" w:lineRule="exact"/>
                          <w:ind w:left="11"/>
                          <w:rPr>
                            <w:sz w:val="21"/>
                          </w:rPr>
                        </w:pPr>
                        <w:r>
                          <w:rPr>
                            <w:sz w:val="21"/>
                          </w:rPr>
                          <w:t>语言能力或咀嚼吞咽</w:t>
                        </w:r>
                      </w:p>
                    </w:tc>
                  </w:tr>
                  <w:tr>
                    <w:trPr>
                      <w:trHeight w:val="250" w:hRule="atLeast"/>
                    </w:trPr>
                    <w:tc>
                      <w:tcPr>
                        <w:tcW w:w="3091" w:type="dxa"/>
                        <w:tcBorders>
                          <w:left w:val="dotted" w:sz="6" w:space="0" w:color="000000"/>
                        </w:tcBorders>
                      </w:tcPr>
                      <w:p>
                        <w:pPr>
                          <w:pStyle w:val="TableParagraph"/>
                          <w:spacing w:line="229" w:lineRule="exact"/>
                          <w:ind w:left="672"/>
                          <w:rPr>
                            <w:sz w:val="21"/>
                          </w:rPr>
                        </w:pPr>
                        <w:r>
                          <w:rPr>
                            <w:sz w:val="21"/>
                          </w:rPr>
                          <w:t>1.1 合同构成</w:t>
                        </w:r>
                      </w:p>
                    </w:tc>
                    <w:tc>
                      <w:tcPr>
                        <w:tcW w:w="2999" w:type="dxa"/>
                      </w:tcPr>
                      <w:p>
                        <w:pPr>
                          <w:pStyle w:val="TableParagraph"/>
                          <w:spacing w:line="229" w:lineRule="exact"/>
                          <w:ind w:left="422"/>
                          <w:rPr>
                            <w:sz w:val="21"/>
                          </w:rPr>
                        </w:pPr>
                        <w:r>
                          <w:rPr>
                            <w:sz w:val="21"/>
                          </w:rPr>
                          <w:t>5.1 现金价值</w:t>
                        </w:r>
                      </w:p>
                    </w:tc>
                    <w:tc>
                      <w:tcPr>
                        <w:tcW w:w="667" w:type="dxa"/>
                      </w:tcPr>
                      <w:p>
                        <w:pPr>
                          <w:pStyle w:val="TableParagraph"/>
                          <w:spacing w:line="240" w:lineRule="auto"/>
                          <w:rPr>
                            <w:rFonts w:ascii="Times New Roman"/>
                            <w:sz w:val="18"/>
                          </w:rPr>
                        </w:pPr>
                      </w:p>
                    </w:tc>
                    <w:tc>
                      <w:tcPr>
                        <w:tcW w:w="2433" w:type="dxa"/>
                        <w:tcBorders>
                          <w:right w:val="dotted" w:sz="6" w:space="0" w:color="000000"/>
                        </w:tcBorders>
                      </w:tcPr>
                      <w:p>
                        <w:pPr>
                          <w:pStyle w:val="TableParagraph"/>
                          <w:spacing w:line="230" w:lineRule="exact"/>
                          <w:ind w:left="8"/>
                          <w:rPr>
                            <w:sz w:val="21"/>
                          </w:rPr>
                        </w:pPr>
                        <w:r>
                          <w:rPr>
                            <w:sz w:val="21"/>
                          </w:rPr>
                          <w:t>能力完全丧失</w:t>
                        </w:r>
                      </w:p>
                    </w:tc>
                  </w:tr>
                  <w:tr>
                    <w:trPr>
                      <w:trHeight w:val="249" w:hRule="atLeast"/>
                    </w:trPr>
                    <w:tc>
                      <w:tcPr>
                        <w:tcW w:w="3091" w:type="dxa"/>
                        <w:tcBorders>
                          <w:left w:val="dotted" w:sz="6" w:space="0" w:color="000000"/>
                        </w:tcBorders>
                      </w:tcPr>
                      <w:p>
                        <w:pPr>
                          <w:pStyle w:val="TableParagraph"/>
                          <w:spacing w:line="230" w:lineRule="exact"/>
                          <w:ind w:left="672"/>
                          <w:rPr>
                            <w:sz w:val="21"/>
                          </w:rPr>
                        </w:pPr>
                        <w:r>
                          <w:rPr>
                            <w:sz w:val="21"/>
                          </w:rPr>
                          <w:t>1.2 合同生效</w:t>
                        </w:r>
                      </w:p>
                    </w:tc>
                    <w:tc>
                      <w:tcPr>
                        <w:tcW w:w="2999" w:type="dxa"/>
                      </w:tcPr>
                      <w:p>
                        <w:pPr>
                          <w:pStyle w:val="TableParagraph"/>
                          <w:spacing w:line="230" w:lineRule="exact"/>
                          <w:ind w:left="212"/>
                          <w:rPr>
                            <w:rFonts w:ascii="Microsoft JhengHei" w:eastAsia="Microsoft JhengHei" w:hint="eastAsia"/>
                            <w:b/>
                            <w:sz w:val="21"/>
                          </w:rPr>
                        </w:pPr>
                        <w:r>
                          <w:rPr>
                            <w:rFonts w:ascii="Microsoft JhengHei" w:eastAsia="Microsoft JhengHei" w:hint="eastAsia"/>
                            <w:b/>
                            <w:w w:val="95"/>
                            <w:sz w:val="21"/>
                          </w:rPr>
                          <w:t>6．合同效力的中止及恢复</w:t>
                        </w:r>
                      </w:p>
                    </w:tc>
                    <w:tc>
                      <w:tcPr>
                        <w:tcW w:w="667" w:type="dxa"/>
                      </w:tcPr>
                      <w:p>
                        <w:pPr>
                          <w:pStyle w:val="TableParagraph"/>
                          <w:spacing w:line="230" w:lineRule="exact"/>
                          <w:ind w:left="255"/>
                          <w:rPr>
                            <w:sz w:val="21"/>
                          </w:rPr>
                        </w:pPr>
                        <w:r>
                          <w:rPr>
                            <w:sz w:val="21"/>
                          </w:rPr>
                          <w:t>9.7</w:t>
                        </w:r>
                      </w:p>
                    </w:tc>
                    <w:tc>
                      <w:tcPr>
                        <w:tcW w:w="2433" w:type="dxa"/>
                        <w:tcBorders>
                          <w:right w:val="dotted" w:sz="6" w:space="0" w:color="000000"/>
                        </w:tcBorders>
                      </w:tcPr>
                      <w:p>
                        <w:pPr>
                          <w:pStyle w:val="TableParagraph"/>
                          <w:spacing w:line="230" w:lineRule="exact"/>
                          <w:ind w:left="8"/>
                          <w:rPr>
                            <w:sz w:val="21"/>
                          </w:rPr>
                        </w:pPr>
                        <w:r>
                          <w:rPr>
                            <w:sz w:val="21"/>
                          </w:rPr>
                          <w:t>永久不可逆</w:t>
                        </w:r>
                      </w:p>
                    </w:tc>
                  </w:tr>
                  <w:tr>
                    <w:trPr>
                      <w:trHeight w:val="250" w:hRule="atLeast"/>
                    </w:trPr>
                    <w:tc>
                      <w:tcPr>
                        <w:tcW w:w="3091" w:type="dxa"/>
                        <w:tcBorders>
                          <w:left w:val="dotted" w:sz="6" w:space="0" w:color="000000"/>
                        </w:tcBorders>
                      </w:tcPr>
                      <w:p>
                        <w:pPr>
                          <w:pStyle w:val="TableParagraph"/>
                          <w:spacing w:line="230" w:lineRule="exact"/>
                          <w:ind w:left="672"/>
                          <w:rPr>
                            <w:sz w:val="21"/>
                          </w:rPr>
                        </w:pPr>
                        <w:r>
                          <w:rPr>
                            <w:sz w:val="21"/>
                          </w:rPr>
                          <w:t>1.3 投保年龄</w:t>
                        </w:r>
                      </w:p>
                    </w:tc>
                    <w:tc>
                      <w:tcPr>
                        <w:tcW w:w="2999" w:type="dxa"/>
                      </w:tcPr>
                      <w:p>
                        <w:pPr>
                          <w:pStyle w:val="TableParagraph"/>
                          <w:spacing w:line="230" w:lineRule="exact"/>
                          <w:ind w:left="422"/>
                          <w:rPr>
                            <w:sz w:val="21"/>
                          </w:rPr>
                        </w:pPr>
                        <w:r>
                          <w:rPr>
                            <w:sz w:val="21"/>
                          </w:rPr>
                          <w:t>6.1 效力中止</w:t>
                        </w:r>
                      </w:p>
                    </w:tc>
                    <w:tc>
                      <w:tcPr>
                        <w:tcW w:w="667" w:type="dxa"/>
                      </w:tcPr>
                      <w:p>
                        <w:pPr>
                          <w:pStyle w:val="TableParagraph"/>
                          <w:spacing w:line="230" w:lineRule="exact"/>
                          <w:ind w:left="255"/>
                          <w:rPr>
                            <w:sz w:val="21"/>
                          </w:rPr>
                        </w:pPr>
                        <w:r>
                          <w:rPr>
                            <w:sz w:val="21"/>
                          </w:rPr>
                          <w:t>9.8</w:t>
                        </w:r>
                      </w:p>
                    </w:tc>
                    <w:tc>
                      <w:tcPr>
                        <w:tcW w:w="2433" w:type="dxa"/>
                        <w:tcBorders>
                          <w:right w:val="dotted" w:sz="6" w:space="0" w:color="000000"/>
                        </w:tcBorders>
                      </w:tcPr>
                      <w:p>
                        <w:pPr>
                          <w:pStyle w:val="TableParagraph"/>
                          <w:spacing w:line="230" w:lineRule="exact"/>
                          <w:ind w:left="11"/>
                          <w:rPr>
                            <w:sz w:val="21"/>
                          </w:rPr>
                        </w:pPr>
                        <w:r>
                          <w:rPr>
                            <w:sz w:val="21"/>
                          </w:rPr>
                          <w:t>感染艾滋病病毒或患</w:t>
                        </w:r>
                      </w:p>
                    </w:tc>
                  </w:tr>
                  <w:tr>
                    <w:trPr>
                      <w:trHeight w:val="250" w:hRule="atLeast"/>
                    </w:trPr>
                    <w:tc>
                      <w:tcPr>
                        <w:tcW w:w="3091" w:type="dxa"/>
                        <w:tcBorders>
                          <w:left w:val="dotted" w:sz="6" w:space="0" w:color="000000"/>
                        </w:tcBorders>
                      </w:tcPr>
                      <w:p>
                        <w:pPr>
                          <w:pStyle w:val="TableParagraph"/>
                          <w:spacing w:line="229" w:lineRule="exact"/>
                          <w:ind w:left="672"/>
                          <w:rPr>
                            <w:sz w:val="21"/>
                          </w:rPr>
                        </w:pPr>
                        <w:r>
                          <w:rPr>
                            <w:sz w:val="21"/>
                          </w:rPr>
                          <w:t>1.4 犹豫期</w:t>
                        </w:r>
                      </w:p>
                    </w:tc>
                    <w:tc>
                      <w:tcPr>
                        <w:tcW w:w="2999" w:type="dxa"/>
                      </w:tcPr>
                      <w:p>
                        <w:pPr>
                          <w:pStyle w:val="TableParagraph"/>
                          <w:spacing w:line="229" w:lineRule="exact"/>
                          <w:ind w:left="422"/>
                          <w:rPr>
                            <w:sz w:val="21"/>
                          </w:rPr>
                        </w:pPr>
                        <w:r>
                          <w:rPr>
                            <w:sz w:val="21"/>
                          </w:rPr>
                          <w:t>6.2 效力恢复</w:t>
                        </w:r>
                      </w:p>
                    </w:tc>
                    <w:tc>
                      <w:tcPr>
                        <w:tcW w:w="667" w:type="dxa"/>
                      </w:tcPr>
                      <w:p>
                        <w:pPr>
                          <w:pStyle w:val="TableParagraph"/>
                          <w:spacing w:line="240" w:lineRule="auto"/>
                          <w:rPr>
                            <w:rFonts w:ascii="Times New Roman"/>
                            <w:sz w:val="18"/>
                          </w:rPr>
                        </w:pPr>
                      </w:p>
                    </w:tc>
                    <w:tc>
                      <w:tcPr>
                        <w:tcW w:w="2433" w:type="dxa"/>
                        <w:tcBorders>
                          <w:right w:val="dotted" w:sz="6" w:space="0" w:color="000000"/>
                        </w:tcBorders>
                      </w:tcPr>
                      <w:p>
                        <w:pPr>
                          <w:pStyle w:val="TableParagraph"/>
                          <w:spacing w:line="230" w:lineRule="exact"/>
                          <w:ind w:left="8"/>
                          <w:rPr>
                            <w:sz w:val="21"/>
                          </w:rPr>
                        </w:pPr>
                        <w:r>
                          <w:rPr>
                            <w:sz w:val="21"/>
                          </w:rPr>
                          <w:t>艾滋病</w:t>
                        </w:r>
                      </w:p>
                    </w:tc>
                  </w:tr>
                  <w:tr>
                    <w:trPr>
                      <w:trHeight w:val="249" w:hRule="atLeast"/>
                    </w:trPr>
                    <w:tc>
                      <w:tcPr>
                        <w:tcW w:w="3091" w:type="dxa"/>
                        <w:tcBorders>
                          <w:left w:val="dotted" w:sz="6" w:space="0" w:color="000000"/>
                        </w:tcBorders>
                      </w:tcPr>
                      <w:p>
                        <w:pPr>
                          <w:pStyle w:val="TableParagraph"/>
                          <w:spacing w:line="230" w:lineRule="exact"/>
                          <w:ind w:left="462"/>
                          <w:rPr>
                            <w:rFonts w:ascii="Microsoft JhengHei" w:eastAsia="Microsoft JhengHei" w:hint="eastAsia"/>
                            <w:b/>
                            <w:sz w:val="21"/>
                          </w:rPr>
                        </w:pPr>
                        <w:r>
                          <w:rPr>
                            <w:rFonts w:ascii="Microsoft JhengHei" w:eastAsia="Microsoft JhengHei" w:hint="eastAsia"/>
                            <w:b/>
                            <w:w w:val="95"/>
                            <w:sz w:val="21"/>
                          </w:rPr>
                          <w:t>2．本公司提供的保障</w:t>
                        </w:r>
                      </w:p>
                    </w:tc>
                    <w:tc>
                      <w:tcPr>
                        <w:tcW w:w="2999" w:type="dxa"/>
                      </w:tcPr>
                      <w:p>
                        <w:pPr>
                          <w:pStyle w:val="TableParagraph"/>
                          <w:spacing w:line="230" w:lineRule="exact"/>
                          <w:ind w:left="212"/>
                          <w:rPr>
                            <w:rFonts w:ascii="Microsoft JhengHei" w:eastAsia="Microsoft JhengHei" w:hint="eastAsia"/>
                            <w:b/>
                            <w:sz w:val="21"/>
                          </w:rPr>
                        </w:pPr>
                        <w:r>
                          <w:rPr>
                            <w:rFonts w:ascii="Microsoft JhengHei" w:eastAsia="Microsoft JhengHei" w:hint="eastAsia"/>
                            <w:b/>
                            <w:w w:val="95"/>
                            <w:sz w:val="21"/>
                          </w:rPr>
                          <w:t>7．合同解除</w:t>
                        </w:r>
                      </w:p>
                    </w:tc>
                    <w:tc>
                      <w:tcPr>
                        <w:tcW w:w="667" w:type="dxa"/>
                      </w:tcPr>
                      <w:p>
                        <w:pPr>
                          <w:pStyle w:val="TableParagraph"/>
                          <w:spacing w:line="230" w:lineRule="exact"/>
                          <w:ind w:left="255"/>
                          <w:rPr>
                            <w:sz w:val="21"/>
                          </w:rPr>
                        </w:pPr>
                        <w:r>
                          <w:rPr>
                            <w:sz w:val="21"/>
                          </w:rPr>
                          <w:t>9.9</w:t>
                        </w:r>
                      </w:p>
                    </w:tc>
                    <w:tc>
                      <w:tcPr>
                        <w:tcW w:w="2433" w:type="dxa"/>
                        <w:tcBorders>
                          <w:right w:val="dotted" w:sz="6" w:space="0" w:color="000000"/>
                        </w:tcBorders>
                      </w:tcPr>
                      <w:p>
                        <w:pPr>
                          <w:pStyle w:val="TableParagraph"/>
                          <w:spacing w:line="230" w:lineRule="exact"/>
                          <w:ind w:left="8"/>
                          <w:rPr>
                            <w:sz w:val="21"/>
                          </w:rPr>
                        </w:pPr>
                        <w:r>
                          <w:rPr>
                            <w:sz w:val="21"/>
                          </w:rPr>
                          <w:t>遗传性疾病</w:t>
                        </w:r>
                      </w:p>
                    </w:tc>
                  </w:tr>
                  <w:tr>
                    <w:trPr>
                      <w:trHeight w:val="250" w:hRule="atLeast"/>
                    </w:trPr>
                    <w:tc>
                      <w:tcPr>
                        <w:tcW w:w="3091" w:type="dxa"/>
                        <w:tcBorders>
                          <w:left w:val="dotted" w:sz="6" w:space="0" w:color="000000"/>
                        </w:tcBorders>
                      </w:tcPr>
                      <w:p>
                        <w:pPr>
                          <w:pStyle w:val="TableParagraph"/>
                          <w:spacing w:line="230" w:lineRule="exact"/>
                          <w:ind w:left="672"/>
                          <w:rPr>
                            <w:sz w:val="21"/>
                          </w:rPr>
                        </w:pPr>
                        <w:r>
                          <w:rPr>
                            <w:sz w:val="21"/>
                          </w:rPr>
                          <w:t>2.1 保险金额</w:t>
                        </w:r>
                      </w:p>
                    </w:tc>
                    <w:tc>
                      <w:tcPr>
                        <w:tcW w:w="2999" w:type="dxa"/>
                      </w:tcPr>
                      <w:p>
                        <w:pPr>
                          <w:pStyle w:val="TableParagraph"/>
                          <w:spacing w:line="230" w:lineRule="exact"/>
                          <w:ind w:right="264"/>
                          <w:jc w:val="right"/>
                          <w:rPr>
                            <w:sz w:val="21"/>
                          </w:rPr>
                        </w:pPr>
                        <w:r>
                          <w:rPr>
                            <w:sz w:val="21"/>
                          </w:rPr>
                          <w:t>7.1 您解除合同的手续及</w:t>
                        </w:r>
                      </w:p>
                    </w:tc>
                    <w:tc>
                      <w:tcPr>
                        <w:tcW w:w="667" w:type="dxa"/>
                      </w:tcPr>
                      <w:p>
                        <w:pPr>
                          <w:pStyle w:val="TableParagraph"/>
                          <w:spacing w:line="230" w:lineRule="exact"/>
                          <w:ind w:left="255" w:right="-15"/>
                          <w:rPr>
                            <w:sz w:val="21"/>
                          </w:rPr>
                        </w:pPr>
                        <w:r>
                          <w:rPr>
                            <w:sz w:val="21"/>
                          </w:rPr>
                          <w:t>9.10</w:t>
                        </w:r>
                      </w:p>
                    </w:tc>
                    <w:tc>
                      <w:tcPr>
                        <w:tcW w:w="2433" w:type="dxa"/>
                        <w:tcBorders>
                          <w:right w:val="dotted" w:sz="6" w:space="0" w:color="000000"/>
                        </w:tcBorders>
                      </w:tcPr>
                      <w:p>
                        <w:pPr>
                          <w:pStyle w:val="TableParagraph"/>
                          <w:spacing w:line="230" w:lineRule="exact"/>
                          <w:ind w:left="113"/>
                          <w:rPr>
                            <w:sz w:val="21"/>
                          </w:rPr>
                        </w:pPr>
                        <w:r>
                          <w:rPr>
                            <w:sz w:val="21"/>
                          </w:rPr>
                          <w:t>先天性畸形、变形或</w:t>
                        </w:r>
                      </w:p>
                    </w:tc>
                  </w:tr>
                  <w:tr>
                    <w:trPr>
                      <w:trHeight w:val="250" w:hRule="atLeast"/>
                    </w:trPr>
                    <w:tc>
                      <w:tcPr>
                        <w:tcW w:w="3091" w:type="dxa"/>
                        <w:tcBorders>
                          <w:left w:val="dotted" w:sz="6" w:space="0" w:color="000000"/>
                        </w:tcBorders>
                      </w:tcPr>
                      <w:p>
                        <w:pPr>
                          <w:pStyle w:val="TableParagraph"/>
                          <w:spacing w:line="229" w:lineRule="exact"/>
                          <w:ind w:left="672"/>
                          <w:rPr>
                            <w:sz w:val="21"/>
                          </w:rPr>
                        </w:pPr>
                        <w:r>
                          <w:rPr>
                            <w:sz w:val="21"/>
                          </w:rPr>
                          <w:t>2.2 保险期间</w:t>
                        </w:r>
                      </w:p>
                    </w:tc>
                    <w:tc>
                      <w:tcPr>
                        <w:tcW w:w="2999" w:type="dxa"/>
                      </w:tcPr>
                      <w:p>
                        <w:pPr>
                          <w:pStyle w:val="TableParagraph"/>
                          <w:spacing w:line="229" w:lineRule="exact"/>
                          <w:ind w:left="842"/>
                          <w:rPr>
                            <w:sz w:val="21"/>
                          </w:rPr>
                        </w:pPr>
                        <w:r>
                          <w:rPr>
                            <w:sz w:val="21"/>
                          </w:rPr>
                          <w:t>风险</w:t>
                        </w:r>
                      </w:p>
                    </w:tc>
                    <w:tc>
                      <w:tcPr>
                        <w:tcW w:w="667" w:type="dxa"/>
                      </w:tcPr>
                      <w:p>
                        <w:pPr>
                          <w:pStyle w:val="TableParagraph"/>
                          <w:spacing w:line="240" w:lineRule="auto"/>
                          <w:rPr>
                            <w:rFonts w:ascii="Times New Roman"/>
                            <w:sz w:val="18"/>
                          </w:rPr>
                        </w:pPr>
                      </w:p>
                    </w:tc>
                    <w:tc>
                      <w:tcPr>
                        <w:tcW w:w="2433" w:type="dxa"/>
                        <w:tcBorders>
                          <w:right w:val="dotted" w:sz="6" w:space="0" w:color="000000"/>
                        </w:tcBorders>
                      </w:tcPr>
                      <w:p>
                        <w:pPr>
                          <w:pStyle w:val="TableParagraph"/>
                          <w:spacing w:line="230" w:lineRule="exact"/>
                          <w:ind w:left="114"/>
                          <w:rPr>
                            <w:sz w:val="21"/>
                          </w:rPr>
                        </w:pPr>
                        <w:r>
                          <w:rPr>
                            <w:sz w:val="21"/>
                          </w:rPr>
                          <w:t>染色体异常</w:t>
                        </w:r>
                      </w:p>
                    </w:tc>
                  </w:tr>
                  <w:tr>
                    <w:trPr>
                      <w:trHeight w:val="249" w:hRule="atLeast"/>
                    </w:trPr>
                    <w:tc>
                      <w:tcPr>
                        <w:tcW w:w="3091" w:type="dxa"/>
                        <w:tcBorders>
                          <w:left w:val="dotted" w:sz="6" w:space="0" w:color="000000"/>
                        </w:tcBorders>
                      </w:tcPr>
                      <w:p>
                        <w:pPr>
                          <w:pStyle w:val="TableParagraph"/>
                          <w:spacing w:line="230" w:lineRule="exact"/>
                          <w:ind w:left="672"/>
                          <w:rPr>
                            <w:sz w:val="21"/>
                          </w:rPr>
                        </w:pPr>
                        <w:r>
                          <w:rPr>
                            <w:sz w:val="21"/>
                          </w:rPr>
                          <w:t>2.3 保险责任</w:t>
                        </w:r>
                      </w:p>
                    </w:tc>
                    <w:tc>
                      <w:tcPr>
                        <w:tcW w:w="2999" w:type="dxa"/>
                      </w:tcPr>
                      <w:p>
                        <w:pPr>
                          <w:pStyle w:val="TableParagraph"/>
                          <w:spacing w:line="230" w:lineRule="exact"/>
                          <w:ind w:left="212"/>
                          <w:rPr>
                            <w:rFonts w:ascii="Microsoft JhengHei" w:eastAsia="Microsoft JhengHei" w:hint="eastAsia"/>
                            <w:b/>
                            <w:sz w:val="21"/>
                          </w:rPr>
                        </w:pPr>
                        <w:r>
                          <w:rPr>
                            <w:rFonts w:ascii="Microsoft JhengHei" w:eastAsia="Microsoft JhengHei" w:hint="eastAsia"/>
                            <w:b/>
                            <w:w w:val="95"/>
                            <w:sz w:val="21"/>
                          </w:rPr>
                          <w:t>8．其他需要关注的事项</w:t>
                        </w:r>
                      </w:p>
                    </w:tc>
                    <w:tc>
                      <w:tcPr>
                        <w:tcW w:w="667" w:type="dxa"/>
                      </w:tcPr>
                      <w:p>
                        <w:pPr>
                          <w:pStyle w:val="TableParagraph"/>
                          <w:spacing w:line="230" w:lineRule="exact"/>
                          <w:ind w:left="255" w:right="-15"/>
                          <w:rPr>
                            <w:sz w:val="21"/>
                          </w:rPr>
                        </w:pPr>
                        <w:r>
                          <w:rPr>
                            <w:sz w:val="21"/>
                          </w:rPr>
                          <w:t>9.11</w:t>
                        </w:r>
                      </w:p>
                    </w:tc>
                    <w:tc>
                      <w:tcPr>
                        <w:tcW w:w="2433" w:type="dxa"/>
                        <w:tcBorders>
                          <w:right w:val="dotted" w:sz="6" w:space="0" w:color="000000"/>
                        </w:tcBorders>
                      </w:tcPr>
                      <w:p>
                        <w:pPr>
                          <w:pStyle w:val="TableParagraph"/>
                          <w:spacing w:line="230" w:lineRule="exact"/>
                          <w:ind w:left="113"/>
                          <w:rPr>
                            <w:sz w:val="21"/>
                          </w:rPr>
                        </w:pPr>
                        <w:r>
                          <w:rPr>
                            <w:sz w:val="21"/>
                          </w:rPr>
                          <w:t>适用主合同释义</w:t>
                        </w:r>
                      </w:p>
                    </w:tc>
                  </w:tr>
                  <w:tr>
                    <w:trPr>
                      <w:trHeight w:val="249" w:hRule="atLeast"/>
                    </w:trPr>
                    <w:tc>
                      <w:tcPr>
                        <w:tcW w:w="3091" w:type="dxa"/>
                        <w:tcBorders>
                          <w:left w:val="dotted" w:sz="6" w:space="0" w:color="000000"/>
                        </w:tcBorders>
                      </w:tcPr>
                      <w:p>
                        <w:pPr>
                          <w:pStyle w:val="TableParagraph"/>
                          <w:spacing w:line="230" w:lineRule="exact"/>
                          <w:ind w:left="672"/>
                          <w:rPr>
                            <w:sz w:val="21"/>
                          </w:rPr>
                        </w:pPr>
                        <w:r>
                          <w:rPr>
                            <w:sz w:val="21"/>
                          </w:rPr>
                          <w:t>2.4 责任免除</w:t>
                        </w:r>
                      </w:p>
                    </w:tc>
                    <w:tc>
                      <w:tcPr>
                        <w:tcW w:w="2999" w:type="dxa"/>
                      </w:tcPr>
                      <w:p>
                        <w:pPr>
                          <w:pStyle w:val="TableParagraph"/>
                          <w:spacing w:line="230" w:lineRule="exact"/>
                          <w:ind w:left="422"/>
                          <w:rPr>
                            <w:sz w:val="21"/>
                          </w:rPr>
                        </w:pPr>
                        <w:r>
                          <w:rPr>
                            <w:sz w:val="21"/>
                          </w:rPr>
                          <w:t>8.1 效力终止</w:t>
                        </w:r>
                      </w:p>
                    </w:tc>
                    <w:tc>
                      <w:tcPr>
                        <w:tcW w:w="667" w:type="dxa"/>
                      </w:tcPr>
                      <w:p>
                        <w:pPr>
                          <w:pStyle w:val="TableParagraph"/>
                          <w:spacing w:line="240" w:lineRule="auto"/>
                          <w:rPr>
                            <w:rFonts w:ascii="Times New Roman"/>
                            <w:sz w:val="18"/>
                          </w:rPr>
                        </w:pPr>
                      </w:p>
                    </w:tc>
                    <w:tc>
                      <w:tcPr>
                        <w:tcW w:w="2433" w:type="dxa"/>
                        <w:tcBorders>
                          <w:right w:val="dotted" w:sz="6" w:space="0" w:color="000000"/>
                        </w:tcBorders>
                      </w:tcPr>
                      <w:p>
                        <w:pPr>
                          <w:pStyle w:val="TableParagraph"/>
                          <w:spacing w:line="240" w:lineRule="auto"/>
                          <w:rPr>
                            <w:rFonts w:ascii="Times New Roman"/>
                            <w:sz w:val="18"/>
                          </w:rPr>
                        </w:pPr>
                      </w:p>
                    </w:tc>
                  </w:tr>
                  <w:tr>
                    <w:trPr>
                      <w:trHeight w:val="250" w:hRule="atLeast"/>
                    </w:trPr>
                    <w:tc>
                      <w:tcPr>
                        <w:tcW w:w="3091" w:type="dxa"/>
                        <w:tcBorders>
                          <w:left w:val="dotted" w:sz="6" w:space="0" w:color="000000"/>
                        </w:tcBorders>
                      </w:tcPr>
                      <w:p>
                        <w:pPr>
                          <w:pStyle w:val="TableParagraph"/>
                          <w:spacing w:line="230" w:lineRule="exact"/>
                          <w:ind w:left="462"/>
                          <w:rPr>
                            <w:rFonts w:ascii="Microsoft JhengHei" w:eastAsia="Microsoft JhengHei" w:hint="eastAsia"/>
                            <w:b/>
                            <w:sz w:val="21"/>
                          </w:rPr>
                        </w:pPr>
                        <w:r>
                          <w:rPr>
                            <w:rFonts w:ascii="Microsoft JhengHei" w:eastAsia="Microsoft JhengHei" w:hint="eastAsia"/>
                            <w:b/>
                            <w:w w:val="95"/>
                            <w:sz w:val="21"/>
                          </w:rPr>
                          <w:t>3．保险金的申请</w:t>
                        </w:r>
                      </w:p>
                    </w:tc>
                    <w:tc>
                      <w:tcPr>
                        <w:tcW w:w="2999" w:type="dxa"/>
                      </w:tcPr>
                      <w:p>
                        <w:pPr>
                          <w:pStyle w:val="TableParagraph"/>
                          <w:spacing w:line="230" w:lineRule="exact"/>
                          <w:ind w:left="422"/>
                          <w:rPr>
                            <w:sz w:val="21"/>
                          </w:rPr>
                        </w:pPr>
                        <w:r>
                          <w:rPr>
                            <w:sz w:val="21"/>
                          </w:rPr>
                          <w:t>8.2 适用主合同条款</w:t>
                        </w:r>
                      </w:p>
                    </w:tc>
                    <w:tc>
                      <w:tcPr>
                        <w:tcW w:w="667" w:type="dxa"/>
                      </w:tcPr>
                      <w:p>
                        <w:pPr>
                          <w:pStyle w:val="TableParagraph"/>
                          <w:spacing w:line="240" w:lineRule="auto"/>
                          <w:rPr>
                            <w:rFonts w:ascii="Times New Roman"/>
                            <w:sz w:val="18"/>
                          </w:rPr>
                        </w:pPr>
                      </w:p>
                    </w:tc>
                    <w:tc>
                      <w:tcPr>
                        <w:tcW w:w="2433" w:type="dxa"/>
                        <w:tcBorders>
                          <w:right w:val="dotted" w:sz="6" w:space="0" w:color="000000"/>
                        </w:tcBorders>
                      </w:tcPr>
                      <w:p>
                        <w:pPr>
                          <w:pStyle w:val="TableParagraph"/>
                          <w:spacing w:line="240" w:lineRule="auto"/>
                          <w:rPr>
                            <w:rFonts w:ascii="Times New Roman"/>
                            <w:sz w:val="18"/>
                          </w:rPr>
                        </w:pPr>
                      </w:p>
                    </w:tc>
                  </w:tr>
                  <w:tr>
                    <w:trPr>
                      <w:trHeight w:val="250" w:hRule="atLeast"/>
                    </w:trPr>
                    <w:tc>
                      <w:tcPr>
                        <w:tcW w:w="3091" w:type="dxa"/>
                        <w:tcBorders>
                          <w:left w:val="dotted" w:sz="6" w:space="0" w:color="000000"/>
                        </w:tcBorders>
                      </w:tcPr>
                      <w:p>
                        <w:pPr>
                          <w:pStyle w:val="TableParagraph"/>
                          <w:spacing w:line="230" w:lineRule="exact"/>
                          <w:ind w:left="672"/>
                          <w:rPr>
                            <w:sz w:val="21"/>
                          </w:rPr>
                        </w:pPr>
                        <w:r>
                          <w:rPr>
                            <w:sz w:val="21"/>
                          </w:rPr>
                          <w:t>3.1 受益人</w:t>
                        </w:r>
                      </w:p>
                    </w:tc>
                    <w:tc>
                      <w:tcPr>
                        <w:tcW w:w="2999" w:type="dxa"/>
                      </w:tcPr>
                      <w:p>
                        <w:pPr>
                          <w:pStyle w:val="TableParagraph"/>
                          <w:spacing w:line="230" w:lineRule="exact"/>
                          <w:ind w:left="212"/>
                          <w:rPr>
                            <w:rFonts w:ascii="Microsoft JhengHei" w:eastAsia="Microsoft JhengHei" w:hint="eastAsia"/>
                            <w:b/>
                            <w:sz w:val="21"/>
                          </w:rPr>
                        </w:pPr>
                        <w:r>
                          <w:rPr>
                            <w:rFonts w:ascii="Microsoft JhengHei" w:eastAsia="Microsoft JhengHei" w:hint="eastAsia"/>
                            <w:b/>
                            <w:w w:val="95"/>
                            <w:sz w:val="21"/>
                          </w:rPr>
                          <w:t>9．释义</w:t>
                        </w:r>
                      </w:p>
                    </w:tc>
                    <w:tc>
                      <w:tcPr>
                        <w:tcW w:w="667" w:type="dxa"/>
                      </w:tcPr>
                      <w:p>
                        <w:pPr>
                          <w:pStyle w:val="TableParagraph"/>
                          <w:spacing w:line="240" w:lineRule="auto"/>
                          <w:rPr>
                            <w:rFonts w:ascii="Times New Roman"/>
                            <w:sz w:val="18"/>
                          </w:rPr>
                        </w:pPr>
                      </w:p>
                    </w:tc>
                    <w:tc>
                      <w:tcPr>
                        <w:tcW w:w="2433" w:type="dxa"/>
                        <w:tcBorders>
                          <w:right w:val="dotted" w:sz="6" w:space="0" w:color="000000"/>
                        </w:tcBorders>
                      </w:tcPr>
                      <w:p>
                        <w:pPr>
                          <w:pStyle w:val="TableParagraph"/>
                          <w:spacing w:line="240" w:lineRule="auto"/>
                          <w:rPr>
                            <w:rFonts w:ascii="Times New Roman"/>
                            <w:sz w:val="18"/>
                          </w:rPr>
                        </w:pPr>
                      </w:p>
                    </w:tc>
                  </w:tr>
                  <w:tr>
                    <w:trPr>
                      <w:trHeight w:val="249" w:hRule="atLeast"/>
                    </w:trPr>
                    <w:tc>
                      <w:tcPr>
                        <w:tcW w:w="3091" w:type="dxa"/>
                        <w:tcBorders>
                          <w:left w:val="dotted" w:sz="6" w:space="0" w:color="000000"/>
                        </w:tcBorders>
                      </w:tcPr>
                      <w:p>
                        <w:pPr>
                          <w:pStyle w:val="TableParagraph"/>
                          <w:spacing w:line="230" w:lineRule="exact"/>
                          <w:ind w:left="672"/>
                          <w:rPr>
                            <w:sz w:val="21"/>
                          </w:rPr>
                        </w:pPr>
                        <w:r>
                          <w:rPr>
                            <w:sz w:val="21"/>
                          </w:rPr>
                          <w:t>3.2 保险金申请</w:t>
                        </w:r>
                      </w:p>
                    </w:tc>
                    <w:tc>
                      <w:tcPr>
                        <w:tcW w:w="2999" w:type="dxa"/>
                      </w:tcPr>
                      <w:p>
                        <w:pPr>
                          <w:pStyle w:val="TableParagraph"/>
                          <w:spacing w:line="230" w:lineRule="exact"/>
                          <w:ind w:left="422"/>
                          <w:rPr>
                            <w:sz w:val="21"/>
                          </w:rPr>
                        </w:pPr>
                        <w:r>
                          <w:rPr>
                            <w:sz w:val="21"/>
                          </w:rPr>
                          <w:t>9.1 医院</w:t>
                        </w:r>
                      </w:p>
                    </w:tc>
                    <w:tc>
                      <w:tcPr>
                        <w:tcW w:w="667" w:type="dxa"/>
                      </w:tcPr>
                      <w:p>
                        <w:pPr>
                          <w:pStyle w:val="TableParagraph"/>
                          <w:spacing w:line="240" w:lineRule="auto"/>
                          <w:rPr>
                            <w:rFonts w:ascii="Times New Roman"/>
                            <w:sz w:val="18"/>
                          </w:rPr>
                        </w:pPr>
                      </w:p>
                    </w:tc>
                    <w:tc>
                      <w:tcPr>
                        <w:tcW w:w="2433" w:type="dxa"/>
                        <w:tcBorders>
                          <w:right w:val="dotted" w:sz="6" w:space="0" w:color="000000"/>
                        </w:tcBorders>
                      </w:tcPr>
                      <w:p>
                        <w:pPr>
                          <w:pStyle w:val="TableParagraph"/>
                          <w:spacing w:line="240" w:lineRule="auto"/>
                          <w:rPr>
                            <w:rFonts w:ascii="Times New Roman"/>
                            <w:sz w:val="18"/>
                          </w:rPr>
                        </w:pPr>
                      </w:p>
                    </w:tc>
                  </w:tr>
                  <w:tr>
                    <w:trPr>
                      <w:trHeight w:val="250" w:hRule="atLeast"/>
                    </w:trPr>
                    <w:tc>
                      <w:tcPr>
                        <w:tcW w:w="3091" w:type="dxa"/>
                        <w:tcBorders>
                          <w:left w:val="dotted" w:sz="6" w:space="0" w:color="000000"/>
                        </w:tcBorders>
                      </w:tcPr>
                      <w:p>
                        <w:pPr>
                          <w:pStyle w:val="TableParagraph"/>
                          <w:spacing w:line="230" w:lineRule="exact"/>
                          <w:ind w:left="672"/>
                          <w:rPr>
                            <w:sz w:val="21"/>
                          </w:rPr>
                        </w:pPr>
                        <w:r>
                          <w:rPr>
                            <w:sz w:val="21"/>
                          </w:rPr>
                          <w:t>3.3 诉讼时效</w:t>
                        </w:r>
                      </w:p>
                    </w:tc>
                    <w:tc>
                      <w:tcPr>
                        <w:tcW w:w="2999" w:type="dxa"/>
                      </w:tcPr>
                      <w:p>
                        <w:pPr>
                          <w:pStyle w:val="TableParagraph"/>
                          <w:spacing w:line="230" w:lineRule="exact"/>
                          <w:ind w:left="422"/>
                          <w:rPr>
                            <w:sz w:val="21"/>
                          </w:rPr>
                        </w:pPr>
                        <w:r>
                          <w:rPr>
                            <w:sz w:val="21"/>
                          </w:rPr>
                          <w:t>9.2 专科医生</w:t>
                        </w:r>
                      </w:p>
                    </w:tc>
                    <w:tc>
                      <w:tcPr>
                        <w:tcW w:w="667" w:type="dxa"/>
                      </w:tcPr>
                      <w:p>
                        <w:pPr>
                          <w:pStyle w:val="TableParagraph"/>
                          <w:spacing w:line="240" w:lineRule="auto"/>
                          <w:rPr>
                            <w:rFonts w:ascii="Times New Roman"/>
                            <w:sz w:val="18"/>
                          </w:rPr>
                        </w:pPr>
                      </w:p>
                    </w:tc>
                    <w:tc>
                      <w:tcPr>
                        <w:tcW w:w="2433" w:type="dxa"/>
                        <w:tcBorders>
                          <w:right w:val="dotted" w:sz="6" w:space="0" w:color="000000"/>
                        </w:tcBorders>
                      </w:tcPr>
                      <w:p>
                        <w:pPr>
                          <w:pStyle w:val="TableParagraph"/>
                          <w:spacing w:line="240" w:lineRule="auto"/>
                          <w:rPr>
                            <w:rFonts w:ascii="Times New Roman"/>
                            <w:sz w:val="18"/>
                          </w:rPr>
                        </w:pPr>
                      </w:p>
                    </w:tc>
                  </w:tr>
                  <w:tr>
                    <w:trPr>
                      <w:trHeight w:val="250" w:hRule="atLeast"/>
                    </w:trPr>
                    <w:tc>
                      <w:tcPr>
                        <w:tcW w:w="3091" w:type="dxa"/>
                        <w:tcBorders>
                          <w:left w:val="dotted" w:sz="6" w:space="0" w:color="000000"/>
                        </w:tcBorders>
                      </w:tcPr>
                      <w:p>
                        <w:pPr>
                          <w:pStyle w:val="TableParagraph"/>
                          <w:spacing w:line="230" w:lineRule="exact"/>
                          <w:ind w:left="462"/>
                          <w:rPr>
                            <w:rFonts w:ascii="Microsoft JhengHei" w:eastAsia="Microsoft JhengHei" w:hint="eastAsia"/>
                            <w:b/>
                            <w:sz w:val="21"/>
                          </w:rPr>
                        </w:pPr>
                        <w:r>
                          <w:rPr>
                            <w:w w:val="105"/>
                            <w:sz w:val="21"/>
                          </w:rPr>
                          <w:t>4</w:t>
                        </w:r>
                        <w:r>
                          <w:rPr>
                            <w:rFonts w:ascii="Microsoft JhengHei" w:eastAsia="Microsoft JhengHei" w:hint="eastAsia"/>
                            <w:b/>
                            <w:w w:val="105"/>
                            <w:sz w:val="21"/>
                          </w:rPr>
                          <w:t>. 保险费的交纳</w:t>
                        </w:r>
                      </w:p>
                    </w:tc>
                    <w:tc>
                      <w:tcPr>
                        <w:tcW w:w="2999" w:type="dxa"/>
                      </w:tcPr>
                      <w:p>
                        <w:pPr>
                          <w:pStyle w:val="TableParagraph"/>
                          <w:spacing w:line="230" w:lineRule="exact"/>
                          <w:ind w:left="422"/>
                          <w:rPr>
                            <w:sz w:val="21"/>
                          </w:rPr>
                        </w:pPr>
                        <w:r>
                          <w:rPr>
                            <w:sz w:val="21"/>
                          </w:rPr>
                          <w:t>9.3 重大疾病</w:t>
                        </w:r>
                      </w:p>
                    </w:tc>
                    <w:tc>
                      <w:tcPr>
                        <w:tcW w:w="667" w:type="dxa"/>
                      </w:tcPr>
                      <w:p>
                        <w:pPr>
                          <w:pStyle w:val="TableParagraph"/>
                          <w:spacing w:line="240" w:lineRule="auto"/>
                          <w:rPr>
                            <w:rFonts w:ascii="Times New Roman"/>
                            <w:sz w:val="18"/>
                          </w:rPr>
                        </w:pPr>
                      </w:p>
                    </w:tc>
                    <w:tc>
                      <w:tcPr>
                        <w:tcW w:w="2433" w:type="dxa"/>
                        <w:tcBorders>
                          <w:right w:val="dotted" w:sz="6" w:space="0" w:color="000000"/>
                        </w:tcBorders>
                      </w:tcPr>
                      <w:p>
                        <w:pPr>
                          <w:pStyle w:val="TableParagraph"/>
                          <w:spacing w:line="240" w:lineRule="auto"/>
                          <w:rPr>
                            <w:rFonts w:ascii="Times New Roman"/>
                            <w:sz w:val="18"/>
                          </w:rPr>
                        </w:pPr>
                      </w:p>
                    </w:tc>
                  </w:tr>
                  <w:tr>
                    <w:trPr>
                      <w:trHeight w:val="249" w:hRule="atLeast"/>
                    </w:trPr>
                    <w:tc>
                      <w:tcPr>
                        <w:tcW w:w="3091" w:type="dxa"/>
                        <w:tcBorders>
                          <w:left w:val="dotted" w:sz="6" w:space="0" w:color="000000"/>
                        </w:tcBorders>
                      </w:tcPr>
                      <w:p>
                        <w:pPr>
                          <w:pStyle w:val="TableParagraph"/>
                          <w:spacing w:line="230" w:lineRule="exact"/>
                          <w:ind w:left="672"/>
                          <w:rPr>
                            <w:sz w:val="21"/>
                          </w:rPr>
                        </w:pPr>
                        <w:r>
                          <w:rPr>
                            <w:sz w:val="21"/>
                          </w:rPr>
                          <w:t>4.1 保险费的交纳</w:t>
                        </w:r>
                      </w:p>
                    </w:tc>
                    <w:tc>
                      <w:tcPr>
                        <w:tcW w:w="2999" w:type="dxa"/>
                      </w:tcPr>
                      <w:p>
                        <w:pPr>
                          <w:pStyle w:val="TableParagraph"/>
                          <w:spacing w:line="230" w:lineRule="exact"/>
                          <w:ind w:right="237"/>
                          <w:jc w:val="right"/>
                          <w:rPr>
                            <w:sz w:val="21"/>
                          </w:rPr>
                        </w:pPr>
                        <w:r>
                          <w:rPr>
                            <w:sz w:val="21"/>
                          </w:rPr>
                          <w:t>9.4 六项基本日常生活活</w:t>
                        </w:r>
                      </w:p>
                    </w:tc>
                    <w:tc>
                      <w:tcPr>
                        <w:tcW w:w="667" w:type="dxa"/>
                      </w:tcPr>
                      <w:p>
                        <w:pPr>
                          <w:pStyle w:val="TableParagraph"/>
                          <w:spacing w:line="240" w:lineRule="auto"/>
                          <w:rPr>
                            <w:rFonts w:ascii="Times New Roman"/>
                            <w:sz w:val="18"/>
                          </w:rPr>
                        </w:pPr>
                      </w:p>
                    </w:tc>
                    <w:tc>
                      <w:tcPr>
                        <w:tcW w:w="2433" w:type="dxa"/>
                        <w:tcBorders>
                          <w:right w:val="dotted" w:sz="6" w:space="0" w:color="000000"/>
                        </w:tcBorders>
                      </w:tcPr>
                      <w:p>
                        <w:pPr>
                          <w:pStyle w:val="TableParagraph"/>
                          <w:spacing w:line="240" w:lineRule="auto"/>
                          <w:rPr>
                            <w:rFonts w:ascii="Times New Roman"/>
                            <w:sz w:val="18"/>
                          </w:rPr>
                        </w:pPr>
                      </w:p>
                    </w:tc>
                  </w:tr>
                  <w:tr>
                    <w:trPr>
                      <w:trHeight w:val="250" w:hRule="atLeast"/>
                    </w:trPr>
                    <w:tc>
                      <w:tcPr>
                        <w:tcW w:w="3091" w:type="dxa"/>
                        <w:tcBorders>
                          <w:left w:val="dotted" w:sz="6" w:space="0" w:color="000000"/>
                        </w:tcBorders>
                      </w:tcPr>
                      <w:p>
                        <w:pPr>
                          <w:pStyle w:val="TableParagraph"/>
                          <w:spacing w:line="230" w:lineRule="exact"/>
                          <w:ind w:left="672"/>
                          <w:rPr>
                            <w:sz w:val="21"/>
                          </w:rPr>
                        </w:pPr>
                        <w:r>
                          <w:rPr>
                            <w:sz w:val="21"/>
                          </w:rPr>
                          <w:t>4.2 宽限期</w:t>
                        </w:r>
                      </w:p>
                    </w:tc>
                    <w:tc>
                      <w:tcPr>
                        <w:tcW w:w="2999" w:type="dxa"/>
                      </w:tcPr>
                      <w:p>
                        <w:pPr>
                          <w:pStyle w:val="TableParagraph"/>
                          <w:spacing w:line="230" w:lineRule="exact"/>
                          <w:ind w:left="842"/>
                          <w:rPr>
                            <w:sz w:val="21"/>
                          </w:rPr>
                        </w:pPr>
                        <w:r>
                          <w:rPr>
                            <w:sz w:val="21"/>
                          </w:rPr>
                          <w:t>动</w:t>
                        </w:r>
                      </w:p>
                    </w:tc>
                    <w:tc>
                      <w:tcPr>
                        <w:tcW w:w="667" w:type="dxa"/>
                      </w:tcPr>
                      <w:p>
                        <w:pPr>
                          <w:pStyle w:val="TableParagraph"/>
                          <w:spacing w:line="240" w:lineRule="auto"/>
                          <w:rPr>
                            <w:rFonts w:ascii="Times New Roman"/>
                            <w:sz w:val="18"/>
                          </w:rPr>
                        </w:pPr>
                      </w:p>
                    </w:tc>
                    <w:tc>
                      <w:tcPr>
                        <w:tcW w:w="2433" w:type="dxa"/>
                        <w:tcBorders>
                          <w:right w:val="dotted" w:sz="6" w:space="0" w:color="000000"/>
                        </w:tcBorders>
                      </w:tcPr>
                      <w:p>
                        <w:pPr>
                          <w:pStyle w:val="TableParagraph"/>
                          <w:spacing w:line="240" w:lineRule="auto"/>
                          <w:rPr>
                            <w:rFonts w:ascii="Times New Roman"/>
                            <w:sz w:val="18"/>
                          </w:rPr>
                        </w:pPr>
                      </w:p>
                    </w:tc>
                  </w:tr>
                  <w:tr>
                    <w:trPr>
                      <w:trHeight w:val="891" w:hRule="atLeast"/>
                    </w:trPr>
                    <w:tc>
                      <w:tcPr>
                        <w:tcW w:w="3091" w:type="dxa"/>
                        <w:tcBorders>
                          <w:left w:val="dotted" w:sz="6" w:space="0" w:color="000000"/>
                          <w:bottom w:val="dotted" w:sz="6" w:space="0" w:color="000000"/>
                        </w:tcBorders>
                      </w:tcPr>
                      <w:p>
                        <w:pPr>
                          <w:pStyle w:val="TableParagraph"/>
                          <w:spacing w:line="230" w:lineRule="exact"/>
                          <w:ind w:left="672"/>
                          <w:rPr>
                            <w:sz w:val="21"/>
                          </w:rPr>
                        </w:pPr>
                        <w:r>
                          <w:rPr>
                            <w:sz w:val="21"/>
                          </w:rPr>
                          <w:t>4.3 保险费率调整</w:t>
                        </w:r>
                      </w:p>
                    </w:tc>
                    <w:tc>
                      <w:tcPr>
                        <w:tcW w:w="2999" w:type="dxa"/>
                        <w:tcBorders>
                          <w:bottom w:val="dotted" w:sz="6" w:space="0" w:color="000000"/>
                        </w:tcBorders>
                      </w:tcPr>
                      <w:p>
                        <w:pPr>
                          <w:pStyle w:val="TableParagraph"/>
                          <w:spacing w:line="230" w:lineRule="exact"/>
                          <w:ind w:left="422"/>
                          <w:rPr>
                            <w:sz w:val="21"/>
                          </w:rPr>
                        </w:pPr>
                        <w:r>
                          <w:rPr>
                            <w:sz w:val="21"/>
                          </w:rPr>
                          <w:t>9.5 肢体机能完全丧失</w:t>
                        </w:r>
                      </w:p>
                    </w:tc>
                    <w:tc>
                      <w:tcPr>
                        <w:tcW w:w="667" w:type="dxa"/>
                        <w:tcBorders>
                          <w:bottom w:val="dotted" w:sz="6" w:space="0" w:color="000000"/>
                        </w:tcBorders>
                      </w:tcPr>
                      <w:p>
                        <w:pPr>
                          <w:pStyle w:val="TableParagraph"/>
                          <w:spacing w:line="240" w:lineRule="auto"/>
                          <w:rPr>
                            <w:rFonts w:ascii="Times New Roman"/>
                            <w:sz w:val="20"/>
                          </w:rPr>
                        </w:pPr>
                      </w:p>
                    </w:tc>
                    <w:tc>
                      <w:tcPr>
                        <w:tcW w:w="2433" w:type="dxa"/>
                        <w:tcBorders>
                          <w:bottom w:val="dotted" w:sz="6" w:space="0" w:color="000000"/>
                          <w:right w:val="dotted" w:sz="6" w:space="0" w:color="000000"/>
                        </w:tcBorders>
                      </w:tcPr>
                      <w:p>
                        <w:pPr>
                          <w:pStyle w:val="TableParagraph"/>
                          <w:spacing w:line="240" w:lineRule="auto"/>
                          <w:rPr>
                            <w:rFonts w:ascii="Times New Roman"/>
                            <w:sz w:val="20"/>
                          </w:rPr>
                        </w:pPr>
                      </w:p>
                    </w:tc>
                  </w:tr>
                </w:tbl>
                <w:p>
                  <w:pPr>
                    <w:pStyle w:val="BodyText"/>
                  </w:pPr>
                </w:p>
              </w:txbxContent>
            </v:textbox>
            <w10:wrap type="none"/>
          </v:shape>
        </w:pict>
      </w:r>
      <w:r>
        <w:rPr>
          <w:rFonts w:ascii="Arial" w:hAnsi="Arial" w:eastAsia="Arial"/>
          <w:b/>
          <w:w w:val="110"/>
          <w:position w:val="-11"/>
          <w:sz w:val="52"/>
        </w:rPr>
        <w:t></w:t>
        <w:tab/>
      </w:r>
      <w:r>
        <w:rPr>
          <w:b/>
          <w:w w:val="95"/>
          <w:sz w:val="21"/>
        </w:rPr>
        <w:t>条款目录</w:t>
      </w:r>
    </w:p>
    <w:p>
      <w:pPr>
        <w:spacing w:after="0"/>
        <w:jc w:val="left"/>
        <w:rPr>
          <w:sz w:val="21"/>
        </w:rPr>
        <w:sectPr>
          <w:type w:val="continuous"/>
          <w:pgSz w:w="11910" w:h="16840"/>
          <w:pgMar w:top="520" w:bottom="280" w:left="880" w:right="880"/>
        </w:sectPr>
      </w:pPr>
    </w:p>
    <w:p>
      <w:pPr>
        <w:pStyle w:val="Heading1"/>
        <w:spacing w:line="480" w:lineRule="exact" w:before="0"/>
        <w:ind w:left="3230"/>
      </w:pPr>
      <w:r>
        <w:rPr/>
        <w:t>交银康联人寿保险有限公司</w:t>
      </w:r>
    </w:p>
    <w:p>
      <w:pPr>
        <w:spacing w:before="71"/>
        <w:ind w:left="1967" w:right="0" w:firstLine="0"/>
        <w:jc w:val="left"/>
        <w:rPr>
          <w:rFonts w:ascii="微软雅黑" w:eastAsia="微软雅黑" w:hint="eastAsia"/>
          <w:b/>
          <w:sz w:val="32"/>
        </w:rPr>
      </w:pPr>
      <w:r>
        <w:rPr>
          <w:rFonts w:ascii="微软雅黑" w:eastAsia="微软雅黑" w:hint="eastAsia"/>
          <w:b/>
          <w:w w:val="95"/>
          <w:sz w:val="32"/>
        </w:rPr>
        <w:t>交银康联附加重大疾病保险条款</w:t>
      </w:r>
      <w:r>
        <w:rPr>
          <w:rFonts w:ascii="微软雅黑" w:eastAsia="微软雅黑" w:hint="eastAsia"/>
          <w:b/>
          <w:w w:val="95"/>
          <w:sz w:val="32"/>
          <w:vertAlign w:val="subscript"/>
        </w:rPr>
        <w:t>（2009</w:t>
      </w:r>
      <w:r>
        <w:rPr>
          <w:rFonts w:ascii="微软雅黑" w:eastAsia="微软雅黑" w:hint="eastAsia"/>
          <w:b/>
          <w:w w:val="95"/>
          <w:sz w:val="32"/>
          <w:vertAlign w:val="baseline"/>
        </w:rPr>
        <w:t> 年 </w:t>
      </w:r>
      <w:r>
        <w:rPr>
          <w:rFonts w:ascii="微软雅黑" w:eastAsia="微软雅黑" w:hint="eastAsia"/>
          <w:b/>
          <w:w w:val="95"/>
          <w:sz w:val="32"/>
          <w:vertAlign w:val="subscript"/>
        </w:rPr>
        <w:t>9</w:t>
      </w:r>
      <w:r>
        <w:rPr>
          <w:rFonts w:ascii="微软雅黑" w:eastAsia="微软雅黑" w:hint="eastAsia"/>
          <w:b/>
          <w:w w:val="95"/>
          <w:sz w:val="32"/>
          <w:vertAlign w:val="baseline"/>
        </w:rPr>
        <w:t> 月</w:t>
      </w:r>
      <w:r>
        <w:rPr>
          <w:rFonts w:ascii="微软雅黑" w:eastAsia="微软雅黑" w:hint="eastAsia"/>
          <w:b/>
          <w:w w:val="95"/>
          <w:sz w:val="32"/>
          <w:vertAlign w:val="subscript"/>
        </w:rPr>
        <w:t>）</w:t>
      </w:r>
      <w:r>
        <w:rPr>
          <w:rFonts w:ascii="微软雅黑" w:eastAsia="微软雅黑" w:hint="eastAsia"/>
          <w:b/>
          <w:w w:val="95"/>
          <w:sz w:val="32"/>
          <w:vertAlign w:val="baseline"/>
        </w:rPr>
      </w:r>
    </w:p>
    <w:p>
      <w:pPr>
        <w:pStyle w:val="BodyText"/>
        <w:spacing w:line="273" w:lineRule="auto" w:before="102"/>
        <w:ind w:left="221" w:right="217"/>
      </w:pPr>
      <w:r>
        <w:rPr>
          <w:spacing w:val="-6"/>
        </w:rPr>
        <w:t>在本条款中，“您”指投保人， “本公司”指交银康联人寿保险有限公司，“本附加合同”指您与本公司之间订立的“交银康联附加重大疾病保险合同”。</w:t>
      </w:r>
    </w:p>
    <w:p>
      <w:pPr>
        <w:pStyle w:val="BodyText"/>
        <w:rPr>
          <w:sz w:val="20"/>
        </w:rPr>
      </w:pPr>
    </w:p>
    <w:p>
      <w:pPr>
        <w:pStyle w:val="BodyText"/>
        <w:spacing w:before="1"/>
      </w:pPr>
    </w:p>
    <w:p>
      <w:pPr>
        <w:pStyle w:val="Heading2"/>
        <w:tabs>
          <w:tab w:pos="978" w:val="left" w:leader="none"/>
        </w:tabs>
      </w:pPr>
      <w:r>
        <w:rPr/>
        <w:pict>
          <v:group style="position:absolute;margin-left:45.66pt;margin-top:28.100044pt;width:504.5pt;height:1pt;mso-position-horizontal-relative:page;mso-position-vertical-relative:paragraph;z-index:1120;mso-wrap-distance-left:0;mso-wrap-distance-right:0" coordorigin="913,562" coordsize="10090,20">
            <v:line style="position:absolute" from="913,572" to="3647,572" stroked="true" strokeweight=".95996pt" strokecolor="#000000">
              <v:stroke dashstyle="solid"/>
            </v:line>
            <v:line style="position:absolute" from="3647,572" to="11003,572" stroked="true" strokeweight=".96pt" strokecolor="#000000">
              <v:stroke dashstyle="solid"/>
            </v:line>
            <w10:wrap type="topAndBottom"/>
          </v:group>
        </w:pict>
      </w:r>
      <w:r>
        <w:rPr>
          <w:rFonts w:ascii="Arial" w:hAnsi="Arial" w:eastAsia="Arial"/>
          <w:position w:val="-3"/>
          <w:sz w:val="40"/>
        </w:rPr>
        <w:t></w:t>
        <w:tab/>
      </w:r>
      <w:r>
        <w:rPr>
          <w:w w:val="95"/>
        </w:rPr>
        <w:t>您与本公司订立的合同</w:t>
      </w:r>
    </w:p>
    <w:p>
      <w:pPr>
        <w:pStyle w:val="BodyText"/>
        <w:spacing w:before="10"/>
        <w:rPr>
          <w:b/>
          <w:sz w:val="9"/>
        </w:rPr>
      </w:pPr>
    </w:p>
    <w:p>
      <w:pPr>
        <w:pStyle w:val="ListParagraph"/>
        <w:numPr>
          <w:ilvl w:val="1"/>
          <w:numId w:val="2"/>
        </w:numPr>
        <w:tabs>
          <w:tab w:pos="977" w:val="left" w:leader="none"/>
          <w:tab w:pos="978" w:val="left" w:leader="none"/>
          <w:tab w:pos="2935" w:val="left" w:leader="none"/>
        </w:tabs>
        <w:spacing w:line="273" w:lineRule="auto" w:before="35" w:after="0"/>
        <w:ind w:left="2935" w:right="103" w:hanging="2714"/>
        <w:jc w:val="left"/>
        <w:rPr>
          <w:sz w:val="21"/>
        </w:rPr>
      </w:pPr>
      <w:r>
        <w:rPr>
          <w:b/>
          <w:sz w:val="21"/>
        </w:rPr>
        <w:t>合同构成</w:t>
        <w:tab/>
      </w:r>
      <w:r>
        <w:rPr>
          <w:sz w:val="21"/>
        </w:rPr>
        <w:t>本附加合同是您与本公司约定保险权利义务关系的协议，包括本保险条款、保险单或其他保险凭证</w:t>
      </w:r>
      <w:r>
        <w:rPr>
          <w:spacing w:val="-29"/>
          <w:sz w:val="21"/>
        </w:rPr>
        <w:t>、</w:t>
      </w:r>
      <w:r>
        <w:rPr>
          <w:sz w:val="21"/>
        </w:rPr>
        <w:t>投保单</w:t>
      </w:r>
      <w:r>
        <w:rPr>
          <w:spacing w:val="-29"/>
          <w:sz w:val="21"/>
        </w:rPr>
        <w:t>、</w:t>
      </w:r>
      <w:r>
        <w:rPr>
          <w:sz w:val="21"/>
        </w:rPr>
        <w:t>与保险合同有关的投保文件</w:t>
      </w:r>
      <w:r>
        <w:rPr>
          <w:spacing w:val="-29"/>
          <w:sz w:val="21"/>
        </w:rPr>
        <w:t>、</w:t>
      </w:r>
      <w:r>
        <w:rPr>
          <w:sz w:val="21"/>
        </w:rPr>
        <w:t>合法有效的声明、批注、批单、及其他您与本公司共同认可的书面协议。</w:t>
      </w:r>
    </w:p>
    <w:p>
      <w:pPr>
        <w:pStyle w:val="BodyText"/>
        <w:spacing w:before="12"/>
        <w:rPr>
          <w:sz w:val="17"/>
        </w:rPr>
      </w:pPr>
    </w:p>
    <w:p>
      <w:pPr>
        <w:pStyle w:val="ListParagraph"/>
        <w:numPr>
          <w:ilvl w:val="1"/>
          <w:numId w:val="2"/>
        </w:numPr>
        <w:tabs>
          <w:tab w:pos="977" w:val="left" w:leader="none"/>
          <w:tab w:pos="978" w:val="left" w:leader="none"/>
          <w:tab w:pos="2935" w:val="left" w:leader="none"/>
        </w:tabs>
        <w:spacing w:line="273" w:lineRule="auto" w:before="0" w:after="0"/>
        <w:ind w:left="2935" w:right="103" w:hanging="2714"/>
        <w:jc w:val="left"/>
        <w:rPr>
          <w:sz w:val="21"/>
        </w:rPr>
      </w:pPr>
      <w:r>
        <w:rPr>
          <w:b/>
          <w:sz w:val="21"/>
        </w:rPr>
        <w:t>合同生效</w:t>
        <w:tab/>
      </w:r>
      <w:r>
        <w:rPr>
          <w:sz w:val="21"/>
        </w:rPr>
        <w:t>除另有约定外，本附加合同须与主合同同时投保，本附加合同的生效日与主合同相同</w:t>
      </w:r>
      <w:r>
        <w:rPr>
          <w:spacing w:val="-87"/>
          <w:sz w:val="21"/>
        </w:rPr>
        <w:t>。</w:t>
      </w:r>
      <w:r>
        <w:rPr>
          <w:sz w:val="21"/>
        </w:rPr>
        <w:t>本公司自合同生效日次日零时起开始承担本附加合同约定的保险责任。</w:t>
      </w:r>
    </w:p>
    <w:p>
      <w:pPr>
        <w:pStyle w:val="BodyText"/>
        <w:spacing w:before="4"/>
        <w:rPr>
          <w:sz w:val="24"/>
        </w:rPr>
      </w:pPr>
    </w:p>
    <w:p>
      <w:pPr>
        <w:pStyle w:val="ListParagraph"/>
        <w:numPr>
          <w:ilvl w:val="1"/>
          <w:numId w:val="2"/>
        </w:numPr>
        <w:tabs>
          <w:tab w:pos="978" w:val="left" w:leader="none"/>
          <w:tab w:pos="979" w:val="left" w:leader="none"/>
          <w:tab w:pos="2935" w:val="left" w:leader="none"/>
        </w:tabs>
        <w:spacing w:line="273" w:lineRule="auto" w:before="1" w:after="0"/>
        <w:ind w:left="2935" w:right="225" w:hanging="2714"/>
        <w:jc w:val="left"/>
        <w:rPr>
          <w:sz w:val="21"/>
        </w:rPr>
      </w:pPr>
      <w:r>
        <w:rPr>
          <w:b/>
          <w:sz w:val="21"/>
        </w:rPr>
        <w:t>投保年龄</w:t>
        <w:tab/>
      </w:r>
      <w:r>
        <w:rPr>
          <w:w w:val="95"/>
          <w:sz w:val="21"/>
        </w:rPr>
        <w:t>指您投保时被保险人的年龄，投保年龄以</w:t>
      </w:r>
      <w:r>
        <w:rPr>
          <w:b/>
          <w:w w:val="95"/>
          <w:sz w:val="21"/>
        </w:rPr>
        <w:t>周岁</w:t>
      </w:r>
      <w:r>
        <w:rPr>
          <w:w w:val="95"/>
          <w:sz w:val="21"/>
        </w:rPr>
        <w:t>计算，本附加合同接受的投保年    </w:t>
      </w:r>
      <w:r>
        <w:rPr>
          <w:sz w:val="21"/>
        </w:rPr>
        <w:t>龄为出生满</w:t>
      </w:r>
      <w:r>
        <w:rPr>
          <w:spacing w:val="-54"/>
          <w:sz w:val="21"/>
        </w:rPr>
        <w:t> </w:t>
      </w:r>
      <w:r>
        <w:rPr>
          <w:sz w:val="21"/>
        </w:rPr>
        <w:t>60</w:t>
      </w:r>
      <w:r>
        <w:rPr>
          <w:spacing w:val="-53"/>
          <w:sz w:val="21"/>
        </w:rPr>
        <w:t> </w:t>
      </w:r>
      <w:r>
        <w:rPr>
          <w:sz w:val="21"/>
        </w:rPr>
        <w:t>天至</w:t>
      </w:r>
      <w:r>
        <w:rPr>
          <w:spacing w:val="-55"/>
          <w:sz w:val="21"/>
        </w:rPr>
        <w:t> </w:t>
      </w:r>
      <w:r>
        <w:rPr>
          <w:sz w:val="21"/>
        </w:rPr>
        <w:t>60</w:t>
      </w:r>
      <w:r>
        <w:rPr>
          <w:spacing w:val="-54"/>
          <w:sz w:val="21"/>
        </w:rPr>
        <w:t> </w:t>
      </w:r>
      <w:r>
        <w:rPr>
          <w:b/>
          <w:sz w:val="21"/>
        </w:rPr>
        <w:t>周岁</w:t>
      </w:r>
      <w:r>
        <w:rPr>
          <w:sz w:val="21"/>
        </w:rPr>
        <w:t>。</w:t>
      </w:r>
    </w:p>
    <w:p>
      <w:pPr>
        <w:pStyle w:val="BodyText"/>
        <w:spacing w:before="12"/>
      </w:pPr>
    </w:p>
    <w:p>
      <w:pPr>
        <w:pStyle w:val="Heading2"/>
        <w:tabs>
          <w:tab w:pos="978" w:val="left" w:leader="none"/>
        </w:tabs>
        <w:spacing w:before="62"/>
      </w:pPr>
      <w:r>
        <w:rPr/>
        <w:pict>
          <v:group style="position:absolute;margin-left:45.66pt;margin-top:31.200071pt;width:504.5pt;height:1pt;mso-position-horizontal-relative:page;mso-position-vertical-relative:paragraph;z-index:1144;mso-wrap-distance-left:0;mso-wrap-distance-right:0" coordorigin="913,624" coordsize="10090,20">
            <v:line style="position:absolute" from="913,634" to="3647,634" stroked="true" strokeweight=".95999pt" strokecolor="#000000">
              <v:stroke dashstyle="solid"/>
            </v:line>
            <v:line style="position:absolute" from="3647,634" to="11003,634" stroked="true" strokeweight=".96pt" strokecolor="#000000">
              <v:stroke dashstyle="solid"/>
            </v:line>
            <w10:wrap type="topAndBottom"/>
          </v:group>
        </w:pict>
      </w:r>
      <w:r>
        <w:rPr>
          <w:rFonts w:ascii="Arial" w:hAnsi="Arial" w:eastAsia="Arial"/>
          <w:position w:val="-3"/>
          <w:sz w:val="40"/>
        </w:rPr>
        <w:t></w:t>
        <w:tab/>
      </w:r>
      <w:r>
        <w:rPr>
          <w:w w:val="95"/>
        </w:rPr>
        <w:t>本公司提供的保障</w:t>
      </w:r>
    </w:p>
    <w:p>
      <w:pPr>
        <w:pStyle w:val="BodyText"/>
        <w:spacing w:before="11"/>
        <w:rPr>
          <w:b/>
          <w:sz w:val="5"/>
        </w:rPr>
      </w:pPr>
    </w:p>
    <w:p>
      <w:pPr>
        <w:pStyle w:val="ListParagraph"/>
        <w:numPr>
          <w:ilvl w:val="1"/>
          <w:numId w:val="3"/>
        </w:numPr>
        <w:tabs>
          <w:tab w:pos="978" w:val="left" w:leader="none"/>
          <w:tab w:pos="979" w:val="left" w:leader="none"/>
          <w:tab w:pos="2935" w:val="left" w:leader="none"/>
        </w:tabs>
        <w:spacing w:line="273" w:lineRule="auto" w:before="35" w:after="0"/>
        <w:ind w:left="2935" w:right="226" w:hanging="2714"/>
        <w:jc w:val="left"/>
        <w:rPr>
          <w:sz w:val="21"/>
        </w:rPr>
      </w:pPr>
      <w:r>
        <w:rPr>
          <w:b/>
          <w:sz w:val="21"/>
        </w:rPr>
        <w:t>保险金额</w:t>
        <w:tab/>
      </w:r>
      <w:r>
        <w:rPr>
          <w:sz w:val="21"/>
        </w:rPr>
        <w:t>本附加合同的保险金额由您在投保时与本公司约定，为本附加合同保险费的计算基础，并载明于保险单或批注上。</w:t>
      </w:r>
    </w:p>
    <w:p>
      <w:pPr>
        <w:pStyle w:val="BodyText"/>
        <w:spacing w:before="11"/>
        <w:rPr>
          <w:sz w:val="17"/>
        </w:rPr>
      </w:pPr>
    </w:p>
    <w:p>
      <w:pPr>
        <w:pStyle w:val="ListParagraph"/>
        <w:numPr>
          <w:ilvl w:val="1"/>
          <w:numId w:val="3"/>
        </w:numPr>
        <w:tabs>
          <w:tab w:pos="977" w:val="left" w:leader="none"/>
          <w:tab w:pos="978" w:val="left" w:leader="none"/>
          <w:tab w:pos="2935" w:val="left" w:leader="none"/>
        </w:tabs>
        <w:spacing w:line="273" w:lineRule="auto" w:before="1" w:after="0"/>
        <w:ind w:left="2935" w:right="103" w:hanging="2714"/>
        <w:jc w:val="left"/>
        <w:rPr>
          <w:sz w:val="21"/>
        </w:rPr>
      </w:pPr>
      <w:r>
        <w:rPr>
          <w:b/>
          <w:sz w:val="21"/>
        </w:rPr>
        <w:t>保险期间</w:t>
        <w:tab/>
      </w:r>
      <w:r>
        <w:rPr>
          <w:sz w:val="21"/>
        </w:rPr>
        <w:t>本附加合同的保险期间有五年、十年、十五年、二十年、二十五年、三十年，或至被保险人十八</w:t>
      </w:r>
      <w:r>
        <w:rPr>
          <w:b/>
          <w:sz w:val="21"/>
        </w:rPr>
        <w:t>周岁</w:t>
      </w:r>
      <w:r>
        <w:rPr>
          <w:sz w:val="21"/>
        </w:rPr>
        <w:t>、五十</w:t>
      </w:r>
      <w:r>
        <w:rPr>
          <w:b/>
          <w:sz w:val="21"/>
        </w:rPr>
        <w:t>周岁</w:t>
      </w:r>
      <w:r>
        <w:rPr>
          <w:sz w:val="21"/>
        </w:rPr>
        <w:t>、五十五</w:t>
      </w:r>
      <w:r>
        <w:rPr>
          <w:b/>
          <w:sz w:val="21"/>
        </w:rPr>
        <w:t>周岁</w:t>
      </w:r>
      <w:r>
        <w:rPr>
          <w:sz w:val="21"/>
        </w:rPr>
        <w:t>、六十</w:t>
      </w:r>
      <w:r>
        <w:rPr>
          <w:b/>
          <w:sz w:val="21"/>
        </w:rPr>
        <w:t>周岁</w:t>
      </w:r>
      <w:r>
        <w:rPr>
          <w:sz w:val="21"/>
        </w:rPr>
        <w:t>、六十五</w:t>
      </w:r>
      <w:r>
        <w:rPr>
          <w:b/>
          <w:sz w:val="21"/>
        </w:rPr>
        <w:t>周岁</w:t>
      </w:r>
      <w:r>
        <w:rPr>
          <w:sz w:val="21"/>
        </w:rPr>
        <w:t>，或终身</w:t>
      </w:r>
      <w:r>
        <w:rPr>
          <w:spacing w:val="-96"/>
          <w:sz w:val="21"/>
        </w:rPr>
        <w:t>，</w:t>
      </w:r>
      <w:r>
        <w:rPr>
          <w:sz w:val="21"/>
        </w:rPr>
        <w:t>共十二种</w:t>
      </w:r>
      <w:r>
        <w:rPr>
          <w:spacing w:val="-96"/>
          <w:sz w:val="21"/>
        </w:rPr>
        <w:t>，</w:t>
      </w:r>
      <w:r>
        <w:rPr>
          <w:sz w:val="21"/>
        </w:rPr>
        <w:t>自本附加合同生效日次日零时起至本附加合同期满日</w:t>
      </w:r>
      <w:r>
        <w:rPr>
          <w:spacing w:val="-62"/>
          <w:sz w:val="21"/>
        </w:rPr>
        <w:t> </w:t>
      </w:r>
      <w:r>
        <w:rPr>
          <w:sz w:val="21"/>
        </w:rPr>
        <w:t>24</w:t>
      </w:r>
      <w:r>
        <w:rPr>
          <w:spacing w:val="-62"/>
          <w:sz w:val="21"/>
        </w:rPr>
        <w:t> </w:t>
      </w:r>
      <w:r>
        <w:rPr>
          <w:sz w:val="21"/>
        </w:rPr>
        <w:t>时止。您可以与本公司约定其中一种保险期间并在保险单上载明。</w:t>
      </w:r>
    </w:p>
    <w:p>
      <w:pPr>
        <w:pStyle w:val="BodyText"/>
        <w:rPr>
          <w:sz w:val="18"/>
        </w:rPr>
      </w:pPr>
    </w:p>
    <w:p>
      <w:pPr>
        <w:pStyle w:val="ListParagraph"/>
        <w:numPr>
          <w:ilvl w:val="1"/>
          <w:numId w:val="3"/>
        </w:numPr>
        <w:tabs>
          <w:tab w:pos="977" w:val="left" w:leader="none"/>
          <w:tab w:pos="978" w:val="left" w:leader="none"/>
          <w:tab w:pos="2935" w:val="left" w:leader="none"/>
        </w:tabs>
        <w:spacing w:line="240" w:lineRule="auto" w:before="0" w:after="0"/>
        <w:ind w:left="977" w:right="0" w:hanging="756"/>
        <w:jc w:val="left"/>
        <w:rPr>
          <w:sz w:val="21"/>
        </w:rPr>
      </w:pPr>
      <w:r>
        <w:rPr>
          <w:b/>
          <w:sz w:val="21"/>
        </w:rPr>
        <w:t>保险责任</w:t>
        <w:tab/>
      </w:r>
      <w:r>
        <w:rPr>
          <w:sz w:val="21"/>
        </w:rPr>
        <w:t>在本附加合同保险责任有效期间内，本公司承担下列保险责任：</w:t>
      </w:r>
    </w:p>
    <w:p>
      <w:pPr>
        <w:pStyle w:val="BodyText"/>
        <w:spacing w:before="4"/>
        <w:rPr>
          <w:sz w:val="20"/>
        </w:rPr>
      </w:pPr>
    </w:p>
    <w:p>
      <w:pPr>
        <w:pStyle w:val="BodyText"/>
        <w:tabs>
          <w:tab w:pos="2935" w:val="left" w:leader="none"/>
        </w:tabs>
        <w:spacing w:line="273" w:lineRule="auto"/>
        <w:ind w:left="2935" w:right="209" w:hanging="1958"/>
      </w:pPr>
      <w:r>
        <w:rPr>
          <w:b/>
        </w:rPr>
        <w:t>重大疾病保险金</w:t>
        <w:tab/>
      </w:r>
      <w:r>
        <w:rPr/>
        <w:t>如果被保险人在合同生效日或最后复效日（以较迟者为准）180</w:t>
      </w:r>
      <w:r>
        <w:rPr>
          <w:spacing w:val="-86"/>
        </w:rPr>
        <w:t> </w:t>
      </w:r>
      <w:r>
        <w:rPr/>
        <w:t>日以后，经</w:t>
      </w:r>
      <w:r>
        <w:rPr>
          <w:b/>
        </w:rPr>
        <w:t>医院</w:t>
      </w:r>
      <w:r>
        <w:rPr/>
        <w:t>的</w:t>
      </w:r>
      <w:r>
        <w:rPr>
          <w:b/>
        </w:rPr>
        <w:t>专科医生</w:t>
      </w:r>
      <w:r>
        <w:rPr/>
        <w:t>确诊初次患上本附加合同内所界定的</w:t>
      </w:r>
      <w:r>
        <w:rPr>
          <w:b/>
        </w:rPr>
        <w:t>重大疾病</w:t>
      </w:r>
      <w:r>
        <w:rPr/>
        <w:t>中的任何一种疾 病</w:t>
      </w:r>
      <w:r>
        <w:rPr>
          <w:spacing w:val="-29"/>
        </w:rPr>
        <w:t>，</w:t>
      </w:r>
      <w:r>
        <w:rPr/>
        <w:t>并于患病后</w:t>
      </w:r>
      <w:r>
        <w:rPr>
          <w:spacing w:val="-65"/>
        </w:rPr>
        <w:t> </w:t>
      </w:r>
      <w:r>
        <w:rPr/>
        <w:t>30</w:t>
      </w:r>
      <w:r>
        <w:rPr>
          <w:spacing w:val="-64"/>
        </w:rPr>
        <w:t> </w:t>
      </w:r>
      <w:r>
        <w:rPr/>
        <w:t>日仍生存</w:t>
      </w:r>
      <w:r>
        <w:rPr>
          <w:spacing w:val="-29"/>
        </w:rPr>
        <w:t>，</w:t>
      </w:r>
      <w:r>
        <w:rPr/>
        <w:t>本公司按保险金额给付重大疾病保险金</w:t>
      </w:r>
      <w:r>
        <w:rPr>
          <w:spacing w:val="-29"/>
        </w:rPr>
        <w:t>，</w:t>
      </w:r>
      <w:r>
        <w:rPr/>
        <w:t>本附加合同终止。</w:t>
      </w:r>
    </w:p>
    <w:p>
      <w:pPr>
        <w:pStyle w:val="BodyText"/>
        <w:spacing w:before="7"/>
        <w:ind w:left="2935"/>
      </w:pPr>
      <w:r>
        <w:rPr/>
        <w:t>本公司对本附加合同所负的重大疾病保险金给付责任以一次为限。</w:t>
      </w:r>
    </w:p>
    <w:p>
      <w:pPr>
        <w:pStyle w:val="BodyText"/>
        <w:spacing w:before="1"/>
        <w:rPr>
          <w:sz w:val="20"/>
        </w:rPr>
      </w:pPr>
    </w:p>
    <w:p>
      <w:pPr>
        <w:pStyle w:val="ListParagraph"/>
        <w:numPr>
          <w:ilvl w:val="1"/>
          <w:numId w:val="3"/>
        </w:numPr>
        <w:tabs>
          <w:tab w:pos="978" w:val="left" w:leader="none"/>
          <w:tab w:pos="979" w:val="left" w:leader="none"/>
          <w:tab w:pos="2935" w:val="left" w:leader="none"/>
        </w:tabs>
        <w:spacing w:line="273" w:lineRule="auto" w:before="0" w:after="0"/>
        <w:ind w:left="2935" w:right="226" w:hanging="2714"/>
        <w:jc w:val="left"/>
        <w:rPr>
          <w:rFonts w:ascii="黑体" w:eastAsia="黑体" w:hint="eastAsia"/>
          <w:sz w:val="21"/>
        </w:rPr>
      </w:pPr>
      <w:r>
        <w:rPr>
          <w:b/>
          <w:sz w:val="21"/>
        </w:rPr>
        <w:t>责任免除</w:t>
        <w:tab/>
      </w:r>
      <w:r>
        <w:rPr>
          <w:rFonts w:ascii="黑体" w:eastAsia="黑体" w:hint="eastAsia"/>
          <w:sz w:val="21"/>
        </w:rPr>
        <w:t>因下列情形之一，导致被保险人发Th本合同界定的重大疾病的，本公司不承担保险责任：</w:t>
      </w:r>
    </w:p>
    <w:p>
      <w:pPr>
        <w:pStyle w:val="BodyText"/>
        <w:spacing w:before="7"/>
        <w:ind w:left="2935"/>
        <w:rPr>
          <w:rFonts w:ascii="黑体" w:eastAsia="黑体" w:hint="eastAsia"/>
        </w:rPr>
      </w:pPr>
      <w:r>
        <w:rPr>
          <w:rFonts w:ascii="黑体" w:eastAsia="黑体" w:hint="eastAsia"/>
        </w:rPr>
        <w:t>（1）投保人对被保险人的故意杀害、故意伤害；</w:t>
      </w:r>
    </w:p>
    <w:p>
      <w:pPr>
        <w:pStyle w:val="BodyText"/>
        <w:spacing w:before="37"/>
        <w:ind w:left="2935"/>
        <w:rPr>
          <w:rFonts w:ascii="黑体" w:eastAsia="黑体" w:hint="eastAsia"/>
        </w:rPr>
      </w:pPr>
      <w:r>
        <w:rPr>
          <w:rFonts w:ascii="黑体" w:eastAsia="黑体" w:hint="eastAsia"/>
        </w:rPr>
        <w:t>（2）被保险人故意自伤、故意犯罪或者抗拒依法采取的刑事强制措施；</w:t>
      </w:r>
    </w:p>
    <w:p>
      <w:pPr>
        <w:pStyle w:val="BodyText"/>
        <w:spacing w:before="37"/>
        <w:ind w:left="2935"/>
        <w:rPr>
          <w:rFonts w:ascii="黑体" w:eastAsia="黑体" w:hint="eastAsia"/>
        </w:rPr>
      </w:pPr>
      <w:r>
        <w:rPr>
          <w:rFonts w:ascii="黑体" w:eastAsia="黑体" w:hint="eastAsia"/>
        </w:rPr>
        <w:t>（3）被保险人主动吸食或注射</w:t>
      </w:r>
      <w:r>
        <w:rPr>
          <w:rFonts w:ascii="黑体" w:eastAsia="黑体" w:hint="eastAsia"/>
          <w:b/>
        </w:rPr>
        <w:t>毒品</w:t>
      </w:r>
      <w:r>
        <w:rPr>
          <w:rFonts w:ascii="黑体" w:eastAsia="黑体" w:hint="eastAsia"/>
        </w:rPr>
        <w:t>；</w:t>
      </w:r>
    </w:p>
    <w:p>
      <w:pPr>
        <w:spacing w:line="273" w:lineRule="auto" w:before="37"/>
        <w:ind w:left="3439" w:right="208" w:hanging="504"/>
        <w:jc w:val="left"/>
        <w:rPr>
          <w:rFonts w:ascii="黑体" w:eastAsia="黑体" w:hint="eastAsia"/>
          <w:sz w:val="21"/>
        </w:rPr>
      </w:pPr>
      <w:r>
        <w:rPr>
          <w:rFonts w:ascii="黑体" w:eastAsia="黑体" w:hint="eastAsia"/>
          <w:spacing w:val="-12"/>
          <w:sz w:val="21"/>
        </w:rPr>
        <w:t>（4）</w:t>
      </w:r>
      <w:r>
        <w:rPr>
          <w:rFonts w:ascii="黑体" w:eastAsia="黑体" w:hint="eastAsia"/>
          <w:sz w:val="21"/>
        </w:rPr>
        <w:t>被保险人</w:t>
      </w:r>
      <w:r>
        <w:rPr>
          <w:rFonts w:ascii="黑体" w:eastAsia="黑体" w:hint="eastAsia"/>
          <w:b/>
          <w:sz w:val="21"/>
        </w:rPr>
        <w:t>酒后驾驶</w:t>
      </w:r>
      <w:r>
        <w:rPr>
          <w:rFonts w:ascii="黑体" w:eastAsia="黑体" w:hint="eastAsia"/>
          <w:spacing w:val="-34"/>
          <w:sz w:val="21"/>
        </w:rPr>
        <w:t>、</w:t>
      </w:r>
      <w:r>
        <w:rPr>
          <w:rFonts w:ascii="黑体" w:eastAsia="黑体" w:hint="eastAsia"/>
          <w:b/>
          <w:sz w:val="21"/>
        </w:rPr>
        <w:t>无合法有效驾驶证驾驶</w:t>
      </w:r>
      <w:r>
        <w:rPr>
          <w:rFonts w:ascii="黑体" w:eastAsia="黑体" w:hint="eastAsia"/>
          <w:spacing w:val="-9"/>
          <w:sz w:val="21"/>
        </w:rPr>
        <w:t>，或驾驶</w:t>
      </w:r>
      <w:r>
        <w:rPr>
          <w:rFonts w:ascii="黑体" w:eastAsia="黑体" w:hint="eastAsia"/>
          <w:b/>
          <w:sz w:val="21"/>
        </w:rPr>
        <w:t>无有效行驶证</w:t>
      </w:r>
      <w:r>
        <w:rPr>
          <w:rFonts w:ascii="黑体" w:eastAsia="黑体" w:hint="eastAsia"/>
          <w:sz w:val="21"/>
        </w:rPr>
        <w:t>的机动车；</w:t>
      </w:r>
    </w:p>
    <w:p>
      <w:pPr>
        <w:spacing w:before="7"/>
        <w:ind w:left="2935" w:right="0" w:firstLine="0"/>
        <w:jc w:val="left"/>
        <w:rPr>
          <w:rFonts w:ascii="黑体" w:eastAsia="黑体" w:hint="eastAsia"/>
          <w:b/>
          <w:sz w:val="21"/>
        </w:rPr>
      </w:pPr>
      <w:r>
        <w:rPr>
          <w:rFonts w:ascii="黑体" w:eastAsia="黑体" w:hint="eastAsia"/>
          <w:w w:val="95"/>
          <w:sz w:val="21"/>
        </w:rPr>
        <w:t>（5）被保险人</w:t>
      </w:r>
      <w:r>
        <w:rPr>
          <w:rFonts w:ascii="黑体" w:eastAsia="黑体" w:hint="eastAsia"/>
          <w:b/>
          <w:w w:val="95"/>
          <w:sz w:val="21"/>
        </w:rPr>
        <w:t>感染艾滋病病毒或患艾滋病；</w:t>
      </w:r>
    </w:p>
    <w:p>
      <w:pPr>
        <w:pStyle w:val="BodyText"/>
        <w:spacing w:before="36"/>
        <w:ind w:left="2935"/>
        <w:rPr>
          <w:rFonts w:ascii="黑体" w:eastAsia="黑体" w:hint="eastAsia"/>
        </w:rPr>
      </w:pPr>
      <w:r>
        <w:rPr>
          <w:rFonts w:ascii="黑体" w:eastAsia="黑体" w:hint="eastAsia"/>
        </w:rPr>
        <w:t>（6）战争、军事冲突、暴乱或武装叛乱；</w:t>
      </w:r>
    </w:p>
    <w:p>
      <w:pPr>
        <w:spacing w:after="0"/>
        <w:rPr>
          <w:rFonts w:ascii="黑体" w:eastAsia="黑体" w:hint="eastAsia"/>
        </w:rPr>
        <w:sectPr>
          <w:footerReference w:type="default" r:id="rId6"/>
          <w:pgSz w:w="11910" w:h="16840"/>
          <w:pgMar w:footer="460" w:header="0" w:top="1160" w:bottom="660" w:left="800" w:right="800"/>
          <w:pgNumType w:start="2"/>
        </w:sectPr>
      </w:pPr>
    </w:p>
    <w:p>
      <w:pPr>
        <w:pStyle w:val="BodyText"/>
        <w:rPr>
          <w:rFonts w:ascii="黑体"/>
          <w:sz w:val="42"/>
        </w:rPr>
      </w:pPr>
    </w:p>
    <w:p>
      <w:pPr>
        <w:pStyle w:val="BodyText"/>
        <w:spacing w:before="7"/>
        <w:rPr>
          <w:rFonts w:ascii="黑体"/>
          <w:sz w:val="31"/>
        </w:rPr>
      </w:pPr>
    </w:p>
    <w:p>
      <w:pPr>
        <w:tabs>
          <w:tab w:pos="978" w:val="left" w:leader="none"/>
        </w:tabs>
        <w:spacing w:before="0"/>
        <w:ind w:left="221" w:right="0" w:firstLine="0"/>
        <w:jc w:val="left"/>
        <w:rPr>
          <w:b/>
          <w:sz w:val="24"/>
        </w:rPr>
      </w:pPr>
      <w:r>
        <w:rPr>
          <w:rFonts w:ascii="Arial" w:hAnsi="Arial" w:eastAsia="Arial"/>
          <w:b/>
          <w:position w:val="-3"/>
          <w:sz w:val="40"/>
        </w:rPr>
        <w:t></w:t>
        <w:tab/>
      </w:r>
      <w:r>
        <w:rPr>
          <w:b/>
          <w:w w:val="95"/>
          <w:sz w:val="24"/>
        </w:rPr>
        <w:t>保险金的申请</w:t>
      </w:r>
    </w:p>
    <w:p>
      <w:pPr>
        <w:pStyle w:val="BodyText"/>
        <w:spacing w:before="19"/>
        <w:ind w:left="221"/>
        <w:rPr>
          <w:rFonts w:ascii="黑体" w:eastAsia="黑体" w:hint="eastAsia"/>
        </w:rPr>
      </w:pPr>
      <w:r>
        <w:rPr/>
        <w:br w:type="column"/>
      </w:r>
      <w:r>
        <w:rPr>
          <w:rFonts w:ascii="黑体" w:eastAsia="黑体" w:hint="eastAsia"/>
        </w:rPr>
        <w:t>（7）核爆炸、核辐射或核污染；</w:t>
      </w:r>
    </w:p>
    <w:p>
      <w:pPr>
        <w:spacing w:before="18"/>
        <w:ind w:left="221" w:right="0" w:firstLine="0"/>
        <w:jc w:val="left"/>
        <w:rPr>
          <w:rFonts w:ascii="黑体" w:eastAsia="黑体" w:hint="eastAsia"/>
          <w:sz w:val="21"/>
        </w:rPr>
      </w:pPr>
      <w:r>
        <w:rPr>
          <w:rFonts w:ascii="黑体" w:eastAsia="黑体" w:hint="eastAsia"/>
          <w:w w:val="95"/>
          <w:sz w:val="21"/>
        </w:rPr>
        <w:t>（8）</w:t>
      </w:r>
      <w:r>
        <w:rPr>
          <w:rFonts w:ascii="黑体" w:eastAsia="黑体" w:hint="eastAsia"/>
          <w:b/>
          <w:w w:val="95"/>
          <w:sz w:val="21"/>
        </w:rPr>
        <w:t>遗传性疾病</w:t>
      </w:r>
      <w:r>
        <w:rPr>
          <w:rFonts w:ascii="黑体" w:eastAsia="黑体" w:hint="eastAsia"/>
          <w:w w:val="95"/>
          <w:sz w:val="21"/>
        </w:rPr>
        <w:t>，</w:t>
      </w:r>
      <w:r>
        <w:rPr>
          <w:rFonts w:ascii="黑体" w:eastAsia="黑体" w:hint="eastAsia"/>
          <w:b/>
          <w:w w:val="95"/>
          <w:sz w:val="21"/>
        </w:rPr>
        <w:t>先天性畸形、变形或染色体异常</w:t>
      </w:r>
      <w:r>
        <w:rPr>
          <w:rFonts w:ascii="黑体" w:eastAsia="黑体" w:hint="eastAsia"/>
          <w:w w:val="95"/>
          <w:sz w:val="21"/>
        </w:rPr>
        <w:t>。</w:t>
      </w:r>
    </w:p>
    <w:p>
      <w:pPr>
        <w:spacing w:after="0"/>
        <w:jc w:val="left"/>
        <w:rPr>
          <w:rFonts w:ascii="黑体" w:eastAsia="黑体" w:hint="eastAsia"/>
          <w:sz w:val="21"/>
        </w:rPr>
        <w:sectPr>
          <w:pgSz w:w="11910" w:h="16840"/>
          <w:pgMar w:header="0" w:footer="460" w:top="1100" w:bottom="660" w:left="800" w:right="800"/>
          <w:cols w:num="2" w:equalWidth="0">
            <w:col w:w="2422" w:space="292"/>
            <w:col w:w="7596"/>
          </w:cols>
        </w:sectPr>
      </w:pPr>
    </w:p>
    <w:p>
      <w:pPr>
        <w:pStyle w:val="BodyText"/>
        <w:spacing w:before="9" w:after="1"/>
        <w:rPr>
          <w:rFonts w:ascii="黑体"/>
          <w:sz w:val="7"/>
        </w:rPr>
      </w:pPr>
    </w:p>
    <w:p>
      <w:pPr>
        <w:pStyle w:val="BodyText"/>
        <w:spacing w:line="20" w:lineRule="exact"/>
        <w:ind w:left="103"/>
        <w:rPr>
          <w:rFonts w:ascii="黑体"/>
          <w:sz w:val="2"/>
        </w:rPr>
      </w:pPr>
      <w:r>
        <w:rPr>
          <w:rFonts w:ascii="Times New Roman"/>
          <w:spacing w:val="6"/>
          <w:sz w:val="2"/>
        </w:rPr>
        <w:t> </w:t>
      </w:r>
      <w:r>
        <w:rPr>
          <w:rFonts w:ascii="黑体"/>
          <w:spacing w:val="6"/>
          <w:sz w:val="2"/>
        </w:rPr>
        <w:pict>
          <v:group style="width:504.5pt;height:1pt;mso-position-horizontal-relative:char;mso-position-vertical-relative:line" coordorigin="0,0" coordsize="10090,20">
            <v:line style="position:absolute" from="0,10" to="2734,10" stroked="true" strokeweight=".95996pt" strokecolor="#000000">
              <v:stroke dashstyle="solid"/>
            </v:line>
            <v:line style="position:absolute" from="2734,10" to="10090,10" stroked="true" strokeweight=".96pt" strokecolor="#000000">
              <v:stroke dashstyle="solid"/>
            </v:line>
          </v:group>
        </w:pict>
      </w:r>
      <w:r>
        <w:rPr>
          <w:rFonts w:ascii="黑体"/>
          <w:spacing w:val="6"/>
          <w:sz w:val="2"/>
        </w:rPr>
      </w:r>
    </w:p>
    <w:p>
      <w:pPr>
        <w:pStyle w:val="BodyText"/>
        <w:rPr>
          <w:rFonts w:ascii="黑体"/>
          <w:sz w:val="12"/>
        </w:rPr>
      </w:pPr>
    </w:p>
    <w:p>
      <w:pPr>
        <w:pStyle w:val="ListParagraph"/>
        <w:numPr>
          <w:ilvl w:val="1"/>
          <w:numId w:val="4"/>
        </w:numPr>
        <w:tabs>
          <w:tab w:pos="978" w:val="left" w:leader="none"/>
          <w:tab w:pos="979" w:val="left" w:leader="none"/>
          <w:tab w:pos="2935" w:val="left" w:leader="none"/>
        </w:tabs>
        <w:spacing w:line="240" w:lineRule="auto" w:before="35" w:after="0"/>
        <w:ind w:left="2935" w:right="0" w:hanging="2714"/>
        <w:jc w:val="left"/>
        <w:rPr>
          <w:sz w:val="21"/>
        </w:rPr>
      </w:pPr>
      <w:r>
        <w:rPr>
          <w:b/>
          <w:sz w:val="21"/>
        </w:rPr>
        <w:t>受益人</w:t>
        <w:tab/>
      </w:r>
      <w:r>
        <w:rPr>
          <w:sz w:val="21"/>
        </w:rPr>
        <w:t>您或者被保险人可以指定一人或多人为保险金受益人。</w:t>
      </w:r>
    </w:p>
    <w:p>
      <w:pPr>
        <w:pStyle w:val="BodyText"/>
        <w:spacing w:line="273" w:lineRule="auto" w:before="37"/>
        <w:ind w:left="2935" w:right="103"/>
      </w:pPr>
      <w:r>
        <w:rPr>
          <w:spacing w:val="-6"/>
        </w:rPr>
        <w:t>保险金受益人为多人时，可以确定受益人顺序和受益份额；如果没有确定份额， 各受益人按照相等份额享有受益权。</w:t>
      </w:r>
    </w:p>
    <w:p>
      <w:pPr>
        <w:pStyle w:val="BodyText"/>
        <w:spacing w:line="273" w:lineRule="auto" w:before="8"/>
        <w:ind w:left="2935" w:right="226"/>
      </w:pPr>
      <w:r>
        <w:rPr/>
        <w:t>被保险人为无民事行为能力人或限制民事行为能力人的，可以由其监护人指定受益人。</w:t>
      </w:r>
    </w:p>
    <w:p>
      <w:pPr>
        <w:pStyle w:val="BodyText"/>
        <w:spacing w:line="273" w:lineRule="auto" w:before="8"/>
        <w:ind w:left="2935" w:right="226"/>
      </w:pPr>
      <w:r>
        <w:rPr/>
        <w:t>您或者被保险人可以变更保险金受益人并书面通知本公司。本公司收到变更受益人的书面通知后，在保险单或其他保险凭证上批注或附贴批单。</w:t>
      </w:r>
    </w:p>
    <w:p>
      <w:pPr>
        <w:pStyle w:val="BodyText"/>
        <w:spacing w:before="8"/>
        <w:ind w:left="2935"/>
      </w:pPr>
      <w:r>
        <w:rPr/>
        <w:t>除本合同另有约定外，如果有下列情形之一的，受益人为被保险人：</w:t>
      </w:r>
    </w:p>
    <w:p>
      <w:pPr>
        <w:pStyle w:val="BodyText"/>
        <w:spacing w:before="37"/>
        <w:ind w:left="2935"/>
      </w:pPr>
      <w:r>
        <w:rPr/>
        <w:t>（1）没有指定受益人，或者受益人指定不明无法确定的；</w:t>
      </w:r>
    </w:p>
    <w:p>
      <w:pPr>
        <w:pStyle w:val="BodyText"/>
        <w:spacing w:before="37"/>
        <w:ind w:left="2951"/>
      </w:pPr>
      <w:r>
        <w:rPr/>
        <w:t>（2）受益人先于被保险人身故，没有其他受益人的；</w:t>
      </w:r>
    </w:p>
    <w:p>
      <w:pPr>
        <w:pStyle w:val="BodyText"/>
        <w:spacing w:before="37"/>
        <w:ind w:left="2935"/>
      </w:pPr>
      <w:r>
        <w:rPr/>
        <w:t>（3）受益人依法丧失受益权或者放弃受益权，没有其他受益人的。</w:t>
      </w:r>
    </w:p>
    <w:p>
      <w:pPr>
        <w:pStyle w:val="BodyText"/>
        <w:spacing w:line="273" w:lineRule="auto" w:before="37"/>
        <w:ind w:left="2935" w:right="103"/>
      </w:pPr>
      <w:r>
        <w:rPr>
          <w:spacing w:val="-7"/>
        </w:rPr>
        <w:t>受益人故意造成被保险人身故、伤残、疾病的，或者故意杀害被保险人未遂的， 该受益人丧失受益权。</w:t>
      </w:r>
    </w:p>
    <w:p>
      <w:pPr>
        <w:pStyle w:val="BodyText"/>
        <w:spacing w:before="12"/>
        <w:rPr>
          <w:sz w:val="17"/>
        </w:rPr>
      </w:pPr>
    </w:p>
    <w:p>
      <w:pPr>
        <w:pStyle w:val="ListParagraph"/>
        <w:numPr>
          <w:ilvl w:val="1"/>
          <w:numId w:val="4"/>
        </w:numPr>
        <w:tabs>
          <w:tab w:pos="978" w:val="left" w:leader="none"/>
          <w:tab w:pos="979" w:val="left" w:leader="none"/>
          <w:tab w:pos="2935" w:val="left" w:leader="none"/>
        </w:tabs>
        <w:spacing w:line="273" w:lineRule="auto" w:before="0" w:after="0"/>
        <w:ind w:left="2935" w:right="226" w:hanging="2714"/>
        <w:jc w:val="left"/>
        <w:rPr>
          <w:sz w:val="21"/>
        </w:rPr>
      </w:pPr>
      <w:r>
        <w:rPr>
          <w:b/>
          <w:sz w:val="21"/>
        </w:rPr>
        <w:t>保险金申请</w:t>
        <w:tab/>
      </w:r>
      <w:r>
        <w:rPr>
          <w:sz w:val="21"/>
        </w:rPr>
        <w:t>在申请保险金时，重大疾病保险金受益人作为申请人填写保险金给付申请书，并须提供下列证明和资料：</w:t>
      </w:r>
    </w:p>
    <w:p>
      <w:pPr>
        <w:pStyle w:val="BodyText"/>
        <w:spacing w:before="7"/>
        <w:ind w:left="2935"/>
      </w:pPr>
      <w:r>
        <w:rPr/>
        <w:t>（1）保险合同；</w:t>
      </w:r>
    </w:p>
    <w:p>
      <w:pPr>
        <w:spacing w:before="36"/>
        <w:ind w:left="2935" w:right="0" w:firstLine="0"/>
        <w:jc w:val="left"/>
        <w:rPr>
          <w:sz w:val="21"/>
        </w:rPr>
      </w:pPr>
      <w:r>
        <w:rPr>
          <w:w w:val="95"/>
          <w:sz w:val="21"/>
        </w:rPr>
        <w:t>（2）受益人的</w:t>
      </w:r>
      <w:r>
        <w:rPr>
          <w:b/>
          <w:w w:val="95"/>
          <w:sz w:val="21"/>
        </w:rPr>
        <w:t>法定身份证明</w:t>
      </w:r>
      <w:r>
        <w:rPr>
          <w:w w:val="95"/>
          <w:sz w:val="21"/>
        </w:rPr>
        <w:t>；</w:t>
      </w:r>
    </w:p>
    <w:p>
      <w:pPr>
        <w:pStyle w:val="BodyText"/>
        <w:spacing w:line="273" w:lineRule="auto" w:before="36"/>
        <w:ind w:left="3454" w:right="313" w:hanging="503"/>
      </w:pPr>
      <w:r>
        <w:rPr/>
        <w:t>（3）本公司认可</w:t>
      </w:r>
      <w:r>
        <w:rPr>
          <w:b/>
        </w:rPr>
        <w:t>医院</w:t>
      </w:r>
      <w:r>
        <w:rPr/>
        <w:t>的</w:t>
      </w:r>
      <w:r>
        <w:rPr>
          <w:b/>
        </w:rPr>
        <w:t>专科医生</w:t>
      </w:r>
      <w:r>
        <w:rPr/>
        <w:t>出具的附有被保险人病历、病理、血液及其他科学方法检验报告的诊断证明文件；</w:t>
      </w:r>
    </w:p>
    <w:p>
      <w:pPr>
        <w:pStyle w:val="BodyText"/>
        <w:spacing w:before="7"/>
        <w:ind w:left="2935"/>
      </w:pPr>
      <w:r>
        <w:rPr/>
        <w:t>（4）所能提供的与确认保险事故的性质、原因等有关的其他证明和资料。</w:t>
      </w:r>
    </w:p>
    <w:p>
      <w:pPr>
        <w:pStyle w:val="BodyText"/>
        <w:spacing w:line="273" w:lineRule="auto" w:before="37"/>
        <w:ind w:left="2935" w:right="226"/>
      </w:pPr>
      <w:r>
        <w:rPr/>
        <w:t>以上证明和资料不完整的，本公司将及时一次性通知申请人补充提供有关的证明和资料。</w:t>
      </w:r>
    </w:p>
    <w:p>
      <w:pPr>
        <w:pStyle w:val="BodyText"/>
        <w:spacing w:before="12"/>
        <w:rPr>
          <w:sz w:val="17"/>
        </w:rPr>
      </w:pPr>
    </w:p>
    <w:p>
      <w:pPr>
        <w:pStyle w:val="ListParagraph"/>
        <w:numPr>
          <w:ilvl w:val="1"/>
          <w:numId w:val="4"/>
        </w:numPr>
        <w:tabs>
          <w:tab w:pos="977" w:val="left" w:leader="none"/>
          <w:tab w:pos="978" w:val="left" w:leader="none"/>
          <w:tab w:pos="2935" w:val="left" w:leader="none"/>
        </w:tabs>
        <w:spacing w:line="273" w:lineRule="auto" w:before="0" w:after="0"/>
        <w:ind w:left="2935" w:right="226" w:hanging="2714"/>
        <w:jc w:val="left"/>
        <w:rPr>
          <w:sz w:val="21"/>
        </w:rPr>
      </w:pPr>
      <w:r>
        <w:rPr>
          <w:b/>
          <w:sz w:val="21"/>
        </w:rPr>
        <w:t>诉讼时效</w:t>
        <w:tab/>
      </w:r>
      <w:r>
        <w:rPr>
          <w:sz w:val="21"/>
        </w:rPr>
        <w:t>受益人向本公司请求给付保险金的诉讼时效期间为</w:t>
      </w:r>
      <w:r>
        <w:rPr>
          <w:spacing w:val="-54"/>
          <w:sz w:val="21"/>
        </w:rPr>
        <w:t> </w:t>
      </w:r>
      <w:r>
        <w:rPr>
          <w:sz w:val="21"/>
        </w:rPr>
        <w:t>2</w:t>
      </w:r>
      <w:r>
        <w:rPr>
          <w:spacing w:val="-53"/>
          <w:sz w:val="21"/>
        </w:rPr>
        <w:t> </w:t>
      </w:r>
      <w:r>
        <w:rPr>
          <w:sz w:val="21"/>
        </w:rPr>
        <w:t>年，自其知道或者应当知道保险事故发生之日起计算。</w:t>
      </w:r>
    </w:p>
    <w:p>
      <w:pPr>
        <w:pStyle w:val="BodyText"/>
        <w:spacing w:before="10"/>
        <w:rPr>
          <w:sz w:val="18"/>
        </w:rPr>
      </w:pPr>
    </w:p>
    <w:p>
      <w:pPr>
        <w:tabs>
          <w:tab w:pos="978" w:val="left" w:leader="none"/>
        </w:tabs>
        <w:spacing w:before="98"/>
        <w:ind w:left="221" w:right="0" w:firstLine="0"/>
        <w:jc w:val="left"/>
        <w:rPr>
          <w:b/>
          <w:sz w:val="24"/>
        </w:rPr>
      </w:pPr>
      <w:r>
        <w:rPr/>
        <w:pict>
          <v:group style="position:absolute;margin-left:45.66pt;margin-top:31.718931pt;width:504.5pt;height:1pt;mso-position-horizontal-relative:page;mso-position-vertical-relative:paragraph;z-index:1192;mso-wrap-distance-left:0;mso-wrap-distance-right:0" coordorigin="913,634" coordsize="10090,20">
            <v:line style="position:absolute" from="913,644" to="3647,644" stroked="true" strokeweight=".95996pt" strokecolor="#000000">
              <v:stroke dashstyle="solid"/>
            </v:line>
            <v:line style="position:absolute" from="3647,644" to="11003,644" stroked="true" strokeweight=".96pt" strokecolor="#000000">
              <v:stroke dashstyle="solid"/>
            </v:line>
            <w10:wrap type="topAndBottom"/>
          </v:group>
        </w:pict>
      </w:r>
      <w:r>
        <w:rPr>
          <w:rFonts w:ascii="Wingdings" w:hAnsi="Wingdings" w:eastAsia="Wingdings"/>
          <w:position w:val="-4"/>
          <w:sz w:val="40"/>
        </w:rPr>
        <w:t></w:t>
      </w:r>
      <w:r>
        <w:rPr>
          <w:rFonts w:ascii="Times New Roman" w:hAnsi="Times New Roman" w:eastAsia="Times New Roman"/>
          <w:position w:val="-4"/>
          <w:sz w:val="40"/>
        </w:rPr>
        <w:tab/>
      </w:r>
      <w:r>
        <w:rPr>
          <w:b/>
          <w:w w:val="95"/>
          <w:sz w:val="24"/>
        </w:rPr>
        <w:t>保险费的交纳</w:t>
      </w:r>
    </w:p>
    <w:p>
      <w:pPr>
        <w:pStyle w:val="BodyText"/>
        <w:spacing w:before="10"/>
        <w:rPr>
          <w:b/>
          <w:sz w:val="9"/>
        </w:rPr>
      </w:pPr>
    </w:p>
    <w:p>
      <w:pPr>
        <w:pStyle w:val="ListParagraph"/>
        <w:numPr>
          <w:ilvl w:val="1"/>
          <w:numId w:val="5"/>
        </w:numPr>
        <w:tabs>
          <w:tab w:pos="978" w:val="left" w:leader="none"/>
          <w:tab w:pos="979" w:val="left" w:leader="none"/>
          <w:tab w:pos="2935" w:val="left" w:leader="none"/>
        </w:tabs>
        <w:spacing w:line="273" w:lineRule="auto" w:before="35" w:after="0"/>
        <w:ind w:left="2935" w:right="436" w:hanging="2714"/>
        <w:jc w:val="left"/>
        <w:rPr>
          <w:sz w:val="21"/>
        </w:rPr>
      </w:pPr>
      <w:r>
        <w:rPr>
          <w:b/>
          <w:sz w:val="21"/>
        </w:rPr>
        <w:t>保险费的交纳</w:t>
        <w:tab/>
      </w:r>
      <w:r>
        <w:rPr>
          <w:sz w:val="21"/>
        </w:rPr>
        <w:t>本附加合同的交费方式和交费期间由您和本公司约定并载明于保险单或批注上。</w:t>
      </w:r>
    </w:p>
    <w:p>
      <w:pPr>
        <w:pStyle w:val="BodyText"/>
        <w:spacing w:line="273" w:lineRule="auto" w:before="7"/>
        <w:ind w:left="2935" w:right="222"/>
      </w:pPr>
      <w:r>
        <w:rPr/>
        <w:t>分期支付保险费的，在交纳首期保险费后，您应当按照约定，在每个</w:t>
      </w:r>
      <w:r>
        <w:rPr>
          <w:b/>
        </w:rPr>
        <w:t>保险费约</w:t>
      </w:r>
      <w:r>
        <w:rPr>
          <w:b/>
          <w:w w:val="95"/>
        </w:rPr>
        <w:t>定交纳日</w:t>
      </w:r>
      <w:r>
        <w:rPr>
          <w:w w:val="95"/>
        </w:rPr>
        <w:t>交纳其余各期的保险费。</w:t>
      </w:r>
    </w:p>
    <w:p>
      <w:pPr>
        <w:pStyle w:val="BodyText"/>
        <w:spacing w:before="11"/>
        <w:rPr>
          <w:sz w:val="17"/>
        </w:rPr>
      </w:pPr>
    </w:p>
    <w:p>
      <w:pPr>
        <w:pStyle w:val="ListParagraph"/>
        <w:numPr>
          <w:ilvl w:val="1"/>
          <w:numId w:val="5"/>
        </w:numPr>
        <w:tabs>
          <w:tab w:pos="979" w:val="left" w:leader="none"/>
          <w:tab w:pos="2935" w:val="left" w:leader="none"/>
        </w:tabs>
        <w:spacing w:line="273" w:lineRule="auto" w:before="1" w:after="0"/>
        <w:ind w:left="2935" w:right="209" w:hanging="2714"/>
        <w:jc w:val="both"/>
        <w:rPr>
          <w:sz w:val="21"/>
        </w:rPr>
      </w:pPr>
      <w:r>
        <w:rPr>
          <w:b/>
          <w:sz w:val="21"/>
        </w:rPr>
        <w:t>宽限期</w:t>
        <w:tab/>
      </w:r>
      <w:r>
        <w:rPr>
          <w:sz w:val="21"/>
        </w:rPr>
        <w:t>分期支付保险费的，您交纳首期保险费后，除本附加合同另有约定外，如果您到期未交纳保险费</w:t>
      </w:r>
      <w:r>
        <w:rPr>
          <w:spacing w:val="-93"/>
          <w:sz w:val="21"/>
        </w:rPr>
        <w:t>，</w:t>
      </w:r>
      <w:r>
        <w:rPr>
          <w:sz w:val="21"/>
        </w:rPr>
        <w:t>自您首次欠费的</w:t>
      </w:r>
      <w:r>
        <w:rPr>
          <w:b/>
          <w:sz w:val="21"/>
        </w:rPr>
        <w:t>保险费约定交纳日</w:t>
      </w:r>
      <w:r>
        <w:rPr>
          <w:sz w:val="21"/>
        </w:rPr>
        <w:t>的次日零时起</w:t>
      </w:r>
      <w:r>
        <w:rPr>
          <w:spacing w:val="-58"/>
          <w:sz w:val="21"/>
        </w:rPr>
        <w:t> </w:t>
      </w:r>
      <w:r>
        <w:rPr>
          <w:sz w:val="21"/>
        </w:rPr>
        <w:t>60</w:t>
      </w:r>
      <w:r>
        <w:rPr>
          <w:spacing w:val="-58"/>
          <w:sz w:val="21"/>
        </w:rPr>
        <w:t> </w:t>
      </w:r>
      <w:r>
        <w:rPr>
          <w:sz w:val="21"/>
        </w:rPr>
        <w:t>日为宽限期。宽限期内发生的保险事故，本公司仍会承担保险责任，但在给付保险金时会扣减您欠交的保险费。</w:t>
      </w:r>
    </w:p>
    <w:p>
      <w:pPr>
        <w:pStyle w:val="BodyText"/>
        <w:spacing w:line="273" w:lineRule="auto" w:before="8"/>
        <w:ind w:left="2935" w:right="226"/>
      </w:pPr>
      <w:r>
        <w:rPr/>
        <w:t>如果您宽限期结束之后仍未交纳保险费，则本附加合同自宽限期满的次日零时起效力中止。</w:t>
      </w:r>
    </w:p>
    <w:p>
      <w:pPr>
        <w:spacing w:after="0" w:line="273" w:lineRule="auto"/>
        <w:sectPr>
          <w:type w:val="continuous"/>
          <w:pgSz w:w="11910" w:h="16840"/>
          <w:pgMar w:top="520" w:bottom="280" w:left="800" w:right="800"/>
        </w:sectPr>
      </w:pPr>
    </w:p>
    <w:p>
      <w:pPr>
        <w:pStyle w:val="ListParagraph"/>
        <w:numPr>
          <w:ilvl w:val="1"/>
          <w:numId w:val="5"/>
        </w:numPr>
        <w:tabs>
          <w:tab w:pos="979" w:val="left" w:leader="none"/>
        </w:tabs>
        <w:spacing w:line="273" w:lineRule="auto" w:before="19" w:after="0"/>
        <w:ind w:left="2935" w:right="226" w:hanging="2714"/>
        <w:jc w:val="both"/>
        <w:rPr>
          <w:sz w:val="21"/>
        </w:rPr>
      </w:pPr>
      <w:r>
        <w:rPr>
          <w:b/>
          <w:spacing w:val="3"/>
          <w:sz w:val="21"/>
        </w:rPr>
        <w:t>保险费率调整     </w:t>
      </w:r>
      <w:r>
        <w:rPr>
          <w:sz w:val="21"/>
        </w:rPr>
        <w:t>本公司保留提高或降低保险费率的权利，但须报送国务院保险监督管理机构备案。保险费率的调整适用于相同产品项下的所有被保险人或同一投保年龄和性别的所有被保险人。</w:t>
      </w:r>
    </w:p>
    <w:p>
      <w:pPr>
        <w:pStyle w:val="BodyText"/>
        <w:spacing w:line="273" w:lineRule="auto" w:before="7"/>
        <w:ind w:left="2935" w:right="226"/>
      </w:pPr>
      <w:r>
        <w:rPr/>
        <w:t>本公司调整保险费率后，您须按调整后的保险费率交纳续期保险费，调整前您已经交纳的保险费不受影响。</w:t>
      </w:r>
    </w:p>
    <w:p>
      <w:pPr>
        <w:pStyle w:val="BodyText"/>
        <w:spacing w:before="1"/>
        <w:rPr>
          <w:sz w:val="19"/>
        </w:rPr>
      </w:pPr>
    </w:p>
    <w:p>
      <w:pPr>
        <w:tabs>
          <w:tab w:pos="978" w:val="left" w:leader="none"/>
        </w:tabs>
        <w:spacing w:before="61"/>
        <w:ind w:left="221" w:right="0" w:firstLine="0"/>
        <w:jc w:val="left"/>
        <w:rPr>
          <w:b/>
          <w:sz w:val="24"/>
        </w:rPr>
      </w:pPr>
      <w:r>
        <w:rPr/>
        <w:pict>
          <v:group style="position:absolute;margin-left:45.66pt;margin-top:31.150026pt;width:504.5pt;height:1pt;mso-position-horizontal-relative:page;mso-position-vertical-relative:paragraph;z-index:1216;mso-wrap-distance-left:0;mso-wrap-distance-right:0" coordorigin="913,623" coordsize="10090,20">
            <v:line style="position:absolute" from="913,633" to="3647,633" stroked="true" strokeweight=".96002pt" strokecolor="#000000">
              <v:stroke dashstyle="solid"/>
            </v:line>
            <v:line style="position:absolute" from="3647,633" to="11003,633" stroked="true" strokeweight=".96pt" strokecolor="#000000">
              <v:stroke dashstyle="solid"/>
            </v:line>
            <w10:wrap type="topAndBottom"/>
          </v:group>
        </w:pict>
      </w:r>
      <w:r>
        <w:rPr>
          <w:rFonts w:ascii="Arial" w:hAnsi="Arial" w:eastAsia="Arial"/>
          <w:b/>
          <w:position w:val="-3"/>
          <w:sz w:val="40"/>
        </w:rPr>
        <w:t></w:t>
        <w:tab/>
      </w:r>
      <w:r>
        <w:rPr>
          <w:b/>
          <w:w w:val="95"/>
          <w:sz w:val="24"/>
        </w:rPr>
        <w:t>现金价值权益</w:t>
      </w:r>
    </w:p>
    <w:p>
      <w:pPr>
        <w:pStyle w:val="BodyText"/>
        <w:spacing w:before="10"/>
        <w:rPr>
          <w:b/>
          <w:sz w:val="9"/>
        </w:rPr>
      </w:pPr>
    </w:p>
    <w:p>
      <w:pPr>
        <w:tabs>
          <w:tab w:pos="977" w:val="left" w:leader="none"/>
          <w:tab w:pos="2935" w:val="left" w:leader="none"/>
        </w:tabs>
        <w:spacing w:before="35"/>
        <w:ind w:left="221" w:right="0" w:firstLine="0"/>
        <w:jc w:val="left"/>
        <w:rPr>
          <w:sz w:val="21"/>
        </w:rPr>
      </w:pPr>
      <w:r>
        <w:rPr>
          <w:b/>
          <w:sz w:val="21"/>
        </w:rPr>
        <w:t>5.1</w:t>
        <w:tab/>
        <w:t>现金价值</w:t>
        <w:tab/>
      </w:r>
      <w:r>
        <w:rPr>
          <w:sz w:val="21"/>
        </w:rPr>
        <w:t>本附加合同的现金价值为零。</w:t>
      </w:r>
    </w:p>
    <w:p>
      <w:pPr>
        <w:pStyle w:val="BodyText"/>
        <w:rPr>
          <w:sz w:val="26"/>
        </w:rPr>
      </w:pPr>
    </w:p>
    <w:p>
      <w:pPr>
        <w:pStyle w:val="Heading2"/>
        <w:tabs>
          <w:tab w:pos="978" w:val="left" w:leader="none"/>
        </w:tabs>
      </w:pPr>
      <w:r>
        <w:rPr/>
        <w:pict>
          <v:group style="position:absolute;margin-left:45.66pt;margin-top:28.100046pt;width:504.5pt;height:1pt;mso-position-horizontal-relative:page;mso-position-vertical-relative:paragraph;z-index:1240;mso-wrap-distance-left:0;mso-wrap-distance-right:0" coordorigin="913,562" coordsize="10090,20">
            <v:line style="position:absolute" from="913,572" to="3647,572" stroked="true" strokeweight=".96002pt" strokecolor="#000000">
              <v:stroke dashstyle="solid"/>
            </v:line>
            <v:line style="position:absolute" from="3647,572" to="11003,572" stroked="true" strokeweight=".96pt" strokecolor="#000000">
              <v:stroke dashstyle="solid"/>
            </v:line>
            <w10:wrap type="topAndBottom"/>
          </v:group>
        </w:pict>
      </w:r>
      <w:r>
        <w:rPr>
          <w:rFonts w:ascii="Arial" w:hAnsi="Arial" w:eastAsia="Arial"/>
          <w:position w:val="-3"/>
          <w:sz w:val="40"/>
        </w:rPr>
        <w:t></w:t>
        <w:tab/>
      </w:r>
      <w:r>
        <w:rPr>
          <w:w w:val="95"/>
        </w:rPr>
        <w:t>合同效力的中止及恢复</w:t>
      </w:r>
    </w:p>
    <w:p>
      <w:pPr>
        <w:pStyle w:val="BodyText"/>
        <w:spacing w:before="11"/>
        <w:rPr>
          <w:b/>
          <w:sz w:val="9"/>
        </w:rPr>
      </w:pPr>
    </w:p>
    <w:p>
      <w:pPr>
        <w:pStyle w:val="ListParagraph"/>
        <w:numPr>
          <w:ilvl w:val="1"/>
          <w:numId w:val="6"/>
        </w:numPr>
        <w:tabs>
          <w:tab w:pos="977" w:val="left" w:leader="none"/>
          <w:tab w:pos="978" w:val="left" w:leader="none"/>
          <w:tab w:pos="2935" w:val="left" w:leader="none"/>
        </w:tabs>
        <w:spacing w:line="273" w:lineRule="auto" w:before="35" w:after="0"/>
        <w:ind w:left="2935" w:right="436" w:hanging="2714"/>
        <w:jc w:val="left"/>
        <w:rPr>
          <w:sz w:val="21"/>
        </w:rPr>
      </w:pPr>
      <w:r>
        <w:rPr>
          <w:b/>
          <w:sz w:val="21"/>
        </w:rPr>
        <w:t>效力中止</w:t>
        <w:tab/>
      </w:r>
      <w:r>
        <w:rPr>
          <w:sz w:val="21"/>
        </w:rPr>
        <w:t>除主合同或本附加合同另有约定外，本附加合同效力的中止与主合同一致。在本附加合同效力中止期间，本公司不承担保险责任。</w:t>
      </w:r>
    </w:p>
    <w:p>
      <w:pPr>
        <w:pStyle w:val="BodyText"/>
        <w:spacing w:before="12"/>
        <w:rPr>
          <w:sz w:val="17"/>
        </w:rPr>
      </w:pPr>
    </w:p>
    <w:p>
      <w:pPr>
        <w:pStyle w:val="ListParagraph"/>
        <w:numPr>
          <w:ilvl w:val="1"/>
          <w:numId w:val="6"/>
        </w:numPr>
        <w:tabs>
          <w:tab w:pos="978" w:val="left" w:leader="none"/>
          <w:tab w:pos="2935" w:val="left" w:leader="none"/>
        </w:tabs>
        <w:spacing w:line="273" w:lineRule="auto" w:before="0" w:after="0"/>
        <w:ind w:left="2935" w:right="224" w:hanging="2714"/>
        <w:jc w:val="both"/>
        <w:rPr>
          <w:sz w:val="21"/>
        </w:rPr>
      </w:pPr>
      <w:r>
        <w:rPr>
          <w:b/>
          <w:sz w:val="21"/>
        </w:rPr>
        <w:t>效力恢复</w:t>
        <w:tab/>
      </w:r>
      <w:r>
        <w:rPr>
          <w:sz w:val="21"/>
        </w:rPr>
        <w:t>本附加合同效力中止后</w:t>
      </w:r>
      <w:r>
        <w:rPr>
          <w:spacing w:val="-54"/>
          <w:sz w:val="21"/>
        </w:rPr>
        <w:t> </w:t>
      </w:r>
      <w:r>
        <w:rPr>
          <w:sz w:val="21"/>
        </w:rPr>
        <w:t>2</w:t>
      </w:r>
      <w:r>
        <w:rPr>
          <w:spacing w:val="-53"/>
          <w:sz w:val="21"/>
        </w:rPr>
        <w:t> </w:t>
      </w:r>
      <w:r>
        <w:rPr>
          <w:sz w:val="21"/>
        </w:rPr>
        <w:t>年内，您在申请主合同效力恢复的同时可以申请恢复本附加合同效力。经您与本公司协商并达成协议，在您补交保险费及</w:t>
      </w:r>
      <w:r>
        <w:rPr>
          <w:b/>
          <w:sz w:val="21"/>
        </w:rPr>
        <w:t>利息</w:t>
      </w:r>
      <w:r>
        <w:rPr>
          <w:sz w:val="21"/>
        </w:rPr>
        <w:t>、清</w:t>
      </w:r>
      <w:r>
        <w:rPr>
          <w:w w:val="95"/>
          <w:sz w:val="21"/>
        </w:rPr>
        <w:t>偿其他各项欠款及</w:t>
      </w:r>
      <w:r>
        <w:rPr>
          <w:b/>
          <w:w w:val="95"/>
          <w:sz w:val="21"/>
        </w:rPr>
        <w:t>利息</w:t>
      </w:r>
      <w:r>
        <w:rPr>
          <w:w w:val="95"/>
          <w:sz w:val="21"/>
        </w:rPr>
        <w:t>后次日的零时起，合同效力恢复。</w:t>
      </w:r>
    </w:p>
    <w:p>
      <w:pPr>
        <w:pStyle w:val="BodyText"/>
        <w:spacing w:line="273" w:lineRule="auto" w:before="7"/>
        <w:ind w:left="2935" w:right="226"/>
      </w:pPr>
      <w:r>
        <w:rPr>
          <w:spacing w:val="-4"/>
        </w:rPr>
        <w:t>自本附加合同效力中止之日起满 </w:t>
      </w:r>
      <w:r>
        <w:rPr/>
        <w:t>2</w:t>
      </w:r>
      <w:r>
        <w:rPr>
          <w:spacing w:val="-8"/>
        </w:rPr>
        <w:t> 年您和本公司未达成协议的，本公司有权解除合同。本公司解除合同的，按照合同解除条款处理。</w:t>
      </w:r>
    </w:p>
    <w:p>
      <w:pPr>
        <w:pStyle w:val="BodyText"/>
        <w:spacing w:before="2"/>
        <w:rPr>
          <w:sz w:val="19"/>
        </w:rPr>
      </w:pPr>
    </w:p>
    <w:p>
      <w:pPr>
        <w:tabs>
          <w:tab w:pos="978" w:val="left" w:leader="none"/>
        </w:tabs>
        <w:spacing w:before="62"/>
        <w:ind w:left="221" w:right="0" w:firstLine="0"/>
        <w:jc w:val="left"/>
        <w:rPr>
          <w:b/>
          <w:sz w:val="24"/>
        </w:rPr>
      </w:pPr>
      <w:r>
        <w:rPr/>
        <w:pict>
          <v:group style="position:absolute;margin-left:45.66pt;margin-top:31.20006pt;width:504.5pt;height:1pt;mso-position-horizontal-relative:page;mso-position-vertical-relative:paragraph;z-index:1264;mso-wrap-distance-left:0;mso-wrap-distance-right:0" coordorigin="913,624" coordsize="10090,20">
            <v:line style="position:absolute" from="913,634" to="3647,634" stroked="true" strokeweight=".95999pt" strokecolor="#000000">
              <v:stroke dashstyle="solid"/>
            </v:line>
            <v:line style="position:absolute" from="3647,634" to="11003,634" stroked="true" strokeweight=".96pt" strokecolor="#000000">
              <v:stroke dashstyle="solid"/>
            </v:line>
            <w10:wrap type="topAndBottom"/>
          </v:group>
        </w:pict>
      </w:r>
      <w:r>
        <w:rPr>
          <w:rFonts w:ascii="Arial" w:hAnsi="Arial" w:eastAsia="Arial"/>
          <w:b/>
          <w:w w:val="105"/>
          <w:position w:val="-3"/>
          <w:sz w:val="40"/>
        </w:rPr>
        <w:t></w:t>
        <w:tab/>
      </w:r>
      <w:r>
        <w:rPr>
          <w:b/>
          <w:w w:val="95"/>
          <w:sz w:val="24"/>
        </w:rPr>
        <w:t>合同解除</w:t>
      </w:r>
    </w:p>
    <w:p>
      <w:pPr>
        <w:pStyle w:val="BodyText"/>
        <w:spacing w:before="10"/>
        <w:rPr>
          <w:b/>
          <w:sz w:val="9"/>
        </w:rPr>
      </w:pPr>
    </w:p>
    <w:p>
      <w:pPr>
        <w:spacing w:after="0"/>
        <w:rPr>
          <w:sz w:val="9"/>
        </w:rPr>
        <w:sectPr>
          <w:pgSz w:w="11910" w:h="16840"/>
          <w:pgMar w:header="0" w:footer="460" w:top="1100" w:bottom="660" w:left="800" w:right="800"/>
        </w:sectPr>
      </w:pPr>
    </w:p>
    <w:p>
      <w:pPr>
        <w:pStyle w:val="Heading3"/>
        <w:tabs>
          <w:tab w:pos="978" w:val="left" w:leader="none"/>
        </w:tabs>
        <w:ind w:left="221"/>
      </w:pPr>
      <w:r>
        <w:rPr/>
        <w:t>7.1</w:t>
        <w:tab/>
      </w:r>
      <w:r>
        <w:rPr>
          <w:w w:val="95"/>
        </w:rPr>
        <w:t>您解除合同的手续</w:t>
      </w:r>
    </w:p>
    <w:p>
      <w:pPr>
        <w:spacing w:before="36"/>
        <w:ind w:left="975" w:right="1049" w:firstLine="0"/>
        <w:jc w:val="center"/>
        <w:rPr>
          <w:b/>
          <w:sz w:val="21"/>
        </w:rPr>
      </w:pPr>
      <w:r>
        <w:rPr>
          <w:b/>
          <w:w w:val="95"/>
          <w:sz w:val="21"/>
        </w:rPr>
        <w:t>及风险</w:t>
      </w:r>
    </w:p>
    <w:p>
      <w:pPr>
        <w:pStyle w:val="BodyText"/>
        <w:spacing w:before="35"/>
        <w:ind w:left="221"/>
      </w:pPr>
      <w:r>
        <w:rPr/>
        <w:br w:type="column"/>
      </w:r>
      <w:r>
        <w:rPr/>
        <w:t>如您申请解除本附加合同，请填写解除合同申请书并向本公司提供下列资料：</w:t>
      </w:r>
    </w:p>
    <w:p>
      <w:pPr>
        <w:pStyle w:val="BodyText"/>
        <w:spacing w:before="36"/>
        <w:ind w:left="221"/>
      </w:pPr>
      <w:r>
        <w:rPr/>
        <w:t>（1）保险合同；</w:t>
      </w:r>
    </w:p>
    <w:p>
      <w:pPr>
        <w:pStyle w:val="BodyText"/>
        <w:spacing w:before="36"/>
        <w:ind w:left="221"/>
      </w:pPr>
      <w:r>
        <w:rPr/>
        <w:t>（2）您的法定身份证明。</w:t>
      </w:r>
    </w:p>
    <w:p>
      <w:pPr>
        <w:pStyle w:val="BodyText"/>
        <w:spacing w:line="273" w:lineRule="auto" w:before="36"/>
        <w:ind w:left="221" w:right="207"/>
        <w:jc w:val="both"/>
      </w:pPr>
      <w:r>
        <w:rPr/>
        <w:t>自本公司收到解除合同申请书之日起，本附加合同终止。本公司自收到解除合</w:t>
      </w:r>
      <w:r>
        <w:rPr>
          <w:spacing w:val="-8"/>
        </w:rPr>
        <w:t>同申请书之日起 </w:t>
      </w:r>
      <w:r>
        <w:rPr>
          <w:spacing w:val="-1"/>
        </w:rPr>
        <w:t>3</w:t>
      </w:r>
      <w:r>
        <w:rPr/>
        <w:t>0</w:t>
      </w:r>
      <w:r>
        <w:rPr>
          <w:spacing w:val="-9"/>
        </w:rPr>
        <w:t> 日内，如果本附加合同缴费已满一年</w:t>
      </w:r>
      <w:r>
        <w:rPr>
          <w:spacing w:val="-1"/>
        </w:rPr>
        <w:t>（不含一年</w:t>
      </w:r>
      <w:r>
        <w:rPr>
          <w:spacing w:val="-104"/>
        </w:rPr>
        <w:t>）</w:t>
      </w:r>
      <w:r>
        <w:rPr>
          <w:spacing w:val="-1"/>
        </w:rPr>
        <w:t>，本公司按下表比例退还本附加合同最后一期已交保险费；如果本附加合同缴费未满一</w:t>
      </w:r>
      <w:r>
        <w:rPr>
          <w:spacing w:val="-44"/>
        </w:rPr>
        <w:t>年</w:t>
      </w:r>
      <w:r>
        <w:rPr/>
        <w:t>（含一年</w:t>
      </w:r>
      <w:r>
        <w:rPr>
          <w:spacing w:val="-75"/>
        </w:rPr>
        <w:t>）</w:t>
      </w:r>
      <w:r>
        <w:rPr>
          <w:spacing w:val="-9"/>
        </w:rPr>
        <w:t>，本公司在扣除百分之七十的金额后按下表比例退还最后一期已交保险费。</w:t>
      </w:r>
    </w:p>
    <w:p>
      <w:pPr>
        <w:spacing w:after="0" w:line="273" w:lineRule="auto"/>
        <w:jc w:val="both"/>
        <w:sectPr>
          <w:type w:val="continuous"/>
          <w:pgSz w:w="11910" w:h="16840"/>
          <w:pgMar w:top="520" w:bottom="280" w:left="800" w:right="800"/>
          <w:cols w:num="2" w:equalWidth="0">
            <w:col w:w="2666" w:space="49"/>
            <w:col w:w="7595"/>
          </w:cols>
        </w:sectPr>
      </w:pPr>
    </w:p>
    <w:tbl>
      <w:tblPr>
        <w:tblW w:w="0" w:type="auto"/>
        <w:jc w:val="left"/>
        <w:tblInd w:w="30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440"/>
        <w:gridCol w:w="852"/>
        <w:gridCol w:w="851"/>
        <w:gridCol w:w="851"/>
        <w:gridCol w:w="851"/>
      </w:tblGrid>
      <w:tr>
        <w:trPr>
          <w:trHeight w:val="311" w:hRule="atLeast"/>
        </w:trPr>
        <w:tc>
          <w:tcPr>
            <w:tcW w:w="3440" w:type="dxa"/>
            <w:vMerge w:val="restart"/>
          </w:tcPr>
          <w:p>
            <w:pPr>
              <w:pStyle w:val="TableParagraph"/>
              <w:spacing w:line="240" w:lineRule="auto" w:before="145"/>
              <w:ind w:left="249"/>
              <w:rPr>
                <w:sz w:val="21"/>
              </w:rPr>
            </w:pPr>
            <w:r>
              <w:rPr>
                <w:sz w:val="21"/>
              </w:rPr>
              <w:t>最后一期已交保险费的剩余月数</w:t>
            </w:r>
          </w:p>
        </w:tc>
        <w:tc>
          <w:tcPr>
            <w:tcW w:w="3405" w:type="dxa"/>
            <w:gridSpan w:val="4"/>
          </w:tcPr>
          <w:p>
            <w:pPr>
              <w:pStyle w:val="TableParagraph"/>
              <w:ind w:left="127"/>
              <w:rPr>
                <w:sz w:val="21"/>
              </w:rPr>
            </w:pPr>
            <w:r>
              <w:rPr>
                <w:sz w:val="21"/>
              </w:rPr>
              <w:t>不同交费方式下退还保险费的比例</w:t>
            </w:r>
          </w:p>
        </w:tc>
      </w:tr>
      <w:tr>
        <w:trPr>
          <w:trHeight w:val="311" w:hRule="atLeast"/>
        </w:trPr>
        <w:tc>
          <w:tcPr>
            <w:tcW w:w="3440" w:type="dxa"/>
            <w:vMerge/>
            <w:tcBorders>
              <w:top w:val="nil"/>
            </w:tcBorders>
          </w:tcPr>
          <w:p>
            <w:pPr>
              <w:rPr>
                <w:sz w:val="2"/>
                <w:szCs w:val="2"/>
              </w:rPr>
            </w:pPr>
          </w:p>
        </w:tc>
        <w:tc>
          <w:tcPr>
            <w:tcW w:w="852" w:type="dxa"/>
          </w:tcPr>
          <w:p>
            <w:pPr>
              <w:pStyle w:val="TableParagraph"/>
              <w:ind w:left="195" w:right="185"/>
              <w:jc w:val="center"/>
              <w:rPr>
                <w:b/>
                <w:sz w:val="21"/>
              </w:rPr>
            </w:pPr>
            <w:r>
              <w:rPr>
                <w:b/>
                <w:sz w:val="21"/>
              </w:rPr>
              <w:t>月交</w:t>
            </w:r>
          </w:p>
        </w:tc>
        <w:tc>
          <w:tcPr>
            <w:tcW w:w="851" w:type="dxa"/>
          </w:tcPr>
          <w:p>
            <w:pPr>
              <w:pStyle w:val="TableParagraph"/>
              <w:ind w:left="87" w:right="80"/>
              <w:jc w:val="center"/>
              <w:rPr>
                <w:b/>
                <w:sz w:val="21"/>
              </w:rPr>
            </w:pPr>
            <w:r>
              <w:rPr>
                <w:b/>
                <w:w w:val="95"/>
                <w:sz w:val="21"/>
              </w:rPr>
              <w:t>季交</w:t>
            </w:r>
          </w:p>
        </w:tc>
        <w:tc>
          <w:tcPr>
            <w:tcW w:w="851" w:type="dxa"/>
          </w:tcPr>
          <w:p>
            <w:pPr>
              <w:pStyle w:val="TableParagraph"/>
              <w:ind w:left="88" w:right="80"/>
              <w:jc w:val="center"/>
              <w:rPr>
                <w:b/>
                <w:sz w:val="21"/>
              </w:rPr>
            </w:pPr>
            <w:r>
              <w:rPr>
                <w:b/>
                <w:sz w:val="21"/>
              </w:rPr>
              <w:t>半年交</w:t>
            </w:r>
          </w:p>
        </w:tc>
        <w:tc>
          <w:tcPr>
            <w:tcW w:w="851" w:type="dxa"/>
          </w:tcPr>
          <w:p>
            <w:pPr>
              <w:pStyle w:val="TableParagraph"/>
              <w:ind w:left="87" w:right="80"/>
              <w:jc w:val="center"/>
              <w:rPr>
                <w:b/>
                <w:sz w:val="21"/>
              </w:rPr>
            </w:pPr>
            <w:r>
              <w:rPr>
                <w:b/>
                <w:w w:val="95"/>
                <w:sz w:val="21"/>
              </w:rPr>
              <w:t>年交</w:t>
            </w:r>
          </w:p>
        </w:tc>
      </w:tr>
      <w:tr>
        <w:trPr>
          <w:trHeight w:val="312" w:hRule="atLeast"/>
        </w:trPr>
        <w:tc>
          <w:tcPr>
            <w:tcW w:w="3440" w:type="dxa"/>
          </w:tcPr>
          <w:p>
            <w:pPr>
              <w:pStyle w:val="TableParagraph"/>
              <w:spacing w:line="261" w:lineRule="exact"/>
              <w:ind w:left="106"/>
              <w:rPr>
                <w:sz w:val="21"/>
              </w:rPr>
            </w:pPr>
            <w:r>
              <w:rPr>
                <w:sz w:val="21"/>
              </w:rPr>
              <w:t>满 11 个月</w:t>
            </w:r>
          </w:p>
        </w:tc>
        <w:tc>
          <w:tcPr>
            <w:tcW w:w="852" w:type="dxa"/>
          </w:tcPr>
          <w:p>
            <w:pPr>
              <w:pStyle w:val="TableParagraph"/>
              <w:spacing w:line="261" w:lineRule="exact"/>
              <w:ind w:left="10"/>
              <w:jc w:val="center"/>
              <w:rPr>
                <w:sz w:val="21"/>
              </w:rPr>
            </w:pPr>
            <w:r>
              <w:rPr>
                <w:sz w:val="21"/>
              </w:rPr>
              <w:t>-</w:t>
            </w:r>
          </w:p>
        </w:tc>
        <w:tc>
          <w:tcPr>
            <w:tcW w:w="851" w:type="dxa"/>
          </w:tcPr>
          <w:p>
            <w:pPr>
              <w:pStyle w:val="TableParagraph"/>
              <w:spacing w:line="261" w:lineRule="exact"/>
              <w:ind w:left="9"/>
              <w:jc w:val="center"/>
              <w:rPr>
                <w:sz w:val="21"/>
              </w:rPr>
            </w:pPr>
            <w:r>
              <w:rPr>
                <w:sz w:val="21"/>
              </w:rPr>
              <w:t>-</w:t>
            </w:r>
          </w:p>
        </w:tc>
        <w:tc>
          <w:tcPr>
            <w:tcW w:w="851" w:type="dxa"/>
          </w:tcPr>
          <w:p>
            <w:pPr>
              <w:pStyle w:val="TableParagraph"/>
              <w:spacing w:line="261" w:lineRule="exact"/>
              <w:ind w:left="8"/>
              <w:jc w:val="center"/>
              <w:rPr>
                <w:sz w:val="21"/>
              </w:rPr>
            </w:pPr>
            <w:r>
              <w:rPr>
                <w:sz w:val="21"/>
              </w:rPr>
              <w:t>-</w:t>
            </w:r>
          </w:p>
        </w:tc>
        <w:tc>
          <w:tcPr>
            <w:tcW w:w="851" w:type="dxa"/>
          </w:tcPr>
          <w:p>
            <w:pPr>
              <w:pStyle w:val="TableParagraph"/>
              <w:spacing w:line="261" w:lineRule="exact"/>
              <w:ind w:left="85" w:right="80"/>
              <w:jc w:val="center"/>
              <w:rPr>
                <w:sz w:val="21"/>
              </w:rPr>
            </w:pPr>
            <w:r>
              <w:rPr>
                <w:sz w:val="21"/>
              </w:rPr>
              <w:t>55%</w:t>
            </w:r>
          </w:p>
        </w:tc>
      </w:tr>
      <w:tr>
        <w:trPr>
          <w:trHeight w:val="311" w:hRule="atLeast"/>
        </w:trPr>
        <w:tc>
          <w:tcPr>
            <w:tcW w:w="3440" w:type="dxa"/>
          </w:tcPr>
          <w:p>
            <w:pPr>
              <w:pStyle w:val="TableParagraph"/>
              <w:ind w:left="106"/>
              <w:rPr>
                <w:sz w:val="21"/>
              </w:rPr>
            </w:pPr>
            <w:r>
              <w:rPr>
                <w:sz w:val="21"/>
              </w:rPr>
              <w:t>满 10 个月但不满 11 个月</w:t>
            </w:r>
          </w:p>
        </w:tc>
        <w:tc>
          <w:tcPr>
            <w:tcW w:w="852" w:type="dxa"/>
          </w:tcPr>
          <w:p>
            <w:pPr>
              <w:pStyle w:val="TableParagraph"/>
              <w:ind w:left="8"/>
              <w:jc w:val="center"/>
              <w:rPr>
                <w:sz w:val="21"/>
              </w:rPr>
            </w:pPr>
            <w:r>
              <w:rPr>
                <w:sz w:val="21"/>
              </w:rPr>
              <w:t>-</w:t>
            </w:r>
          </w:p>
        </w:tc>
        <w:tc>
          <w:tcPr>
            <w:tcW w:w="851" w:type="dxa"/>
          </w:tcPr>
          <w:p>
            <w:pPr>
              <w:pStyle w:val="TableParagraph"/>
              <w:ind w:left="7"/>
              <w:jc w:val="center"/>
              <w:rPr>
                <w:sz w:val="21"/>
              </w:rPr>
            </w:pPr>
            <w:r>
              <w:rPr>
                <w:sz w:val="21"/>
              </w:rPr>
              <w:t>-</w:t>
            </w:r>
          </w:p>
        </w:tc>
        <w:tc>
          <w:tcPr>
            <w:tcW w:w="851" w:type="dxa"/>
          </w:tcPr>
          <w:p>
            <w:pPr>
              <w:pStyle w:val="TableParagraph"/>
              <w:ind w:left="6"/>
              <w:jc w:val="center"/>
              <w:rPr>
                <w:sz w:val="21"/>
              </w:rPr>
            </w:pPr>
            <w:r>
              <w:rPr>
                <w:sz w:val="21"/>
              </w:rPr>
              <w:t>-</w:t>
            </w:r>
          </w:p>
        </w:tc>
        <w:tc>
          <w:tcPr>
            <w:tcW w:w="851" w:type="dxa"/>
          </w:tcPr>
          <w:p>
            <w:pPr>
              <w:pStyle w:val="TableParagraph"/>
              <w:ind w:left="85" w:right="80"/>
              <w:jc w:val="center"/>
              <w:rPr>
                <w:sz w:val="21"/>
              </w:rPr>
            </w:pPr>
            <w:r>
              <w:rPr>
                <w:sz w:val="21"/>
              </w:rPr>
              <w:t>50%</w:t>
            </w:r>
          </w:p>
        </w:tc>
      </w:tr>
      <w:tr>
        <w:trPr>
          <w:trHeight w:val="311" w:hRule="atLeast"/>
        </w:trPr>
        <w:tc>
          <w:tcPr>
            <w:tcW w:w="3440" w:type="dxa"/>
          </w:tcPr>
          <w:p>
            <w:pPr>
              <w:pStyle w:val="TableParagraph"/>
              <w:ind w:left="106"/>
              <w:rPr>
                <w:sz w:val="21"/>
              </w:rPr>
            </w:pPr>
            <w:r>
              <w:rPr>
                <w:sz w:val="21"/>
              </w:rPr>
              <w:t>满 9 个月但不满 10 个月</w:t>
            </w:r>
          </w:p>
        </w:tc>
        <w:tc>
          <w:tcPr>
            <w:tcW w:w="852" w:type="dxa"/>
          </w:tcPr>
          <w:p>
            <w:pPr>
              <w:pStyle w:val="TableParagraph"/>
              <w:ind w:left="8"/>
              <w:jc w:val="center"/>
              <w:rPr>
                <w:sz w:val="21"/>
              </w:rPr>
            </w:pPr>
            <w:r>
              <w:rPr>
                <w:sz w:val="21"/>
              </w:rPr>
              <w:t>-</w:t>
            </w:r>
          </w:p>
        </w:tc>
        <w:tc>
          <w:tcPr>
            <w:tcW w:w="851" w:type="dxa"/>
          </w:tcPr>
          <w:p>
            <w:pPr>
              <w:pStyle w:val="TableParagraph"/>
              <w:ind w:left="7"/>
              <w:jc w:val="center"/>
              <w:rPr>
                <w:sz w:val="21"/>
              </w:rPr>
            </w:pPr>
            <w:r>
              <w:rPr>
                <w:sz w:val="21"/>
              </w:rPr>
              <w:t>-</w:t>
            </w:r>
          </w:p>
        </w:tc>
        <w:tc>
          <w:tcPr>
            <w:tcW w:w="851" w:type="dxa"/>
          </w:tcPr>
          <w:p>
            <w:pPr>
              <w:pStyle w:val="TableParagraph"/>
              <w:ind w:left="6"/>
              <w:jc w:val="center"/>
              <w:rPr>
                <w:sz w:val="21"/>
              </w:rPr>
            </w:pPr>
            <w:r>
              <w:rPr>
                <w:sz w:val="21"/>
              </w:rPr>
              <w:t>-</w:t>
            </w:r>
          </w:p>
        </w:tc>
        <w:tc>
          <w:tcPr>
            <w:tcW w:w="851" w:type="dxa"/>
          </w:tcPr>
          <w:p>
            <w:pPr>
              <w:pStyle w:val="TableParagraph"/>
              <w:ind w:left="85" w:right="80"/>
              <w:jc w:val="center"/>
              <w:rPr>
                <w:sz w:val="21"/>
              </w:rPr>
            </w:pPr>
            <w:r>
              <w:rPr>
                <w:sz w:val="21"/>
              </w:rPr>
              <w:t>45%</w:t>
            </w:r>
          </w:p>
        </w:tc>
      </w:tr>
      <w:tr>
        <w:trPr>
          <w:trHeight w:val="312" w:hRule="atLeast"/>
        </w:trPr>
        <w:tc>
          <w:tcPr>
            <w:tcW w:w="3440" w:type="dxa"/>
          </w:tcPr>
          <w:p>
            <w:pPr>
              <w:pStyle w:val="TableParagraph"/>
              <w:spacing w:line="261" w:lineRule="exact"/>
              <w:ind w:left="106"/>
              <w:rPr>
                <w:sz w:val="21"/>
              </w:rPr>
            </w:pPr>
            <w:r>
              <w:rPr>
                <w:sz w:val="21"/>
              </w:rPr>
              <w:t>满 8 个月但不满 9 个月</w:t>
            </w:r>
          </w:p>
        </w:tc>
        <w:tc>
          <w:tcPr>
            <w:tcW w:w="852" w:type="dxa"/>
          </w:tcPr>
          <w:p>
            <w:pPr>
              <w:pStyle w:val="TableParagraph"/>
              <w:spacing w:line="261" w:lineRule="exact"/>
              <w:ind w:left="8"/>
              <w:jc w:val="center"/>
              <w:rPr>
                <w:sz w:val="21"/>
              </w:rPr>
            </w:pPr>
            <w:r>
              <w:rPr>
                <w:sz w:val="21"/>
              </w:rPr>
              <w:t>-</w:t>
            </w:r>
          </w:p>
        </w:tc>
        <w:tc>
          <w:tcPr>
            <w:tcW w:w="851" w:type="dxa"/>
          </w:tcPr>
          <w:p>
            <w:pPr>
              <w:pStyle w:val="TableParagraph"/>
              <w:spacing w:line="261" w:lineRule="exact"/>
              <w:ind w:left="7"/>
              <w:jc w:val="center"/>
              <w:rPr>
                <w:sz w:val="21"/>
              </w:rPr>
            </w:pPr>
            <w:r>
              <w:rPr>
                <w:sz w:val="21"/>
              </w:rPr>
              <w:t>-</w:t>
            </w:r>
          </w:p>
        </w:tc>
        <w:tc>
          <w:tcPr>
            <w:tcW w:w="851" w:type="dxa"/>
          </w:tcPr>
          <w:p>
            <w:pPr>
              <w:pStyle w:val="TableParagraph"/>
              <w:spacing w:line="261" w:lineRule="exact"/>
              <w:ind w:left="7"/>
              <w:jc w:val="center"/>
              <w:rPr>
                <w:sz w:val="21"/>
              </w:rPr>
            </w:pPr>
            <w:r>
              <w:rPr>
                <w:sz w:val="21"/>
              </w:rPr>
              <w:t>-</w:t>
            </w:r>
          </w:p>
        </w:tc>
        <w:tc>
          <w:tcPr>
            <w:tcW w:w="851" w:type="dxa"/>
          </w:tcPr>
          <w:p>
            <w:pPr>
              <w:pStyle w:val="TableParagraph"/>
              <w:spacing w:line="261" w:lineRule="exact"/>
              <w:ind w:left="85" w:right="80"/>
              <w:jc w:val="center"/>
              <w:rPr>
                <w:sz w:val="21"/>
              </w:rPr>
            </w:pPr>
            <w:r>
              <w:rPr>
                <w:sz w:val="21"/>
              </w:rPr>
              <w:t>40%</w:t>
            </w:r>
          </w:p>
        </w:tc>
      </w:tr>
      <w:tr>
        <w:trPr>
          <w:trHeight w:val="311" w:hRule="atLeast"/>
        </w:trPr>
        <w:tc>
          <w:tcPr>
            <w:tcW w:w="3440" w:type="dxa"/>
          </w:tcPr>
          <w:p>
            <w:pPr>
              <w:pStyle w:val="TableParagraph"/>
              <w:ind w:left="106"/>
              <w:rPr>
                <w:sz w:val="21"/>
              </w:rPr>
            </w:pPr>
            <w:r>
              <w:rPr>
                <w:sz w:val="21"/>
              </w:rPr>
              <w:t>满 7 个月但不满 8 个月</w:t>
            </w:r>
          </w:p>
        </w:tc>
        <w:tc>
          <w:tcPr>
            <w:tcW w:w="852" w:type="dxa"/>
          </w:tcPr>
          <w:p>
            <w:pPr>
              <w:pStyle w:val="TableParagraph"/>
              <w:ind w:left="8"/>
              <w:jc w:val="center"/>
              <w:rPr>
                <w:sz w:val="21"/>
              </w:rPr>
            </w:pPr>
            <w:r>
              <w:rPr>
                <w:sz w:val="21"/>
              </w:rPr>
              <w:t>-</w:t>
            </w:r>
          </w:p>
        </w:tc>
        <w:tc>
          <w:tcPr>
            <w:tcW w:w="851" w:type="dxa"/>
          </w:tcPr>
          <w:p>
            <w:pPr>
              <w:pStyle w:val="TableParagraph"/>
              <w:ind w:left="7"/>
              <w:jc w:val="center"/>
              <w:rPr>
                <w:sz w:val="21"/>
              </w:rPr>
            </w:pPr>
            <w:r>
              <w:rPr>
                <w:sz w:val="21"/>
              </w:rPr>
              <w:t>-</w:t>
            </w:r>
          </w:p>
        </w:tc>
        <w:tc>
          <w:tcPr>
            <w:tcW w:w="851" w:type="dxa"/>
          </w:tcPr>
          <w:p>
            <w:pPr>
              <w:pStyle w:val="TableParagraph"/>
              <w:ind w:left="7"/>
              <w:jc w:val="center"/>
              <w:rPr>
                <w:sz w:val="21"/>
              </w:rPr>
            </w:pPr>
            <w:r>
              <w:rPr>
                <w:sz w:val="21"/>
              </w:rPr>
              <w:t>-</w:t>
            </w:r>
          </w:p>
        </w:tc>
        <w:tc>
          <w:tcPr>
            <w:tcW w:w="851" w:type="dxa"/>
          </w:tcPr>
          <w:p>
            <w:pPr>
              <w:pStyle w:val="TableParagraph"/>
              <w:ind w:left="85" w:right="80"/>
              <w:jc w:val="center"/>
              <w:rPr>
                <w:sz w:val="21"/>
              </w:rPr>
            </w:pPr>
            <w:r>
              <w:rPr>
                <w:sz w:val="21"/>
              </w:rPr>
              <w:t>35%</w:t>
            </w:r>
          </w:p>
        </w:tc>
      </w:tr>
      <w:tr>
        <w:trPr>
          <w:trHeight w:val="311" w:hRule="atLeast"/>
        </w:trPr>
        <w:tc>
          <w:tcPr>
            <w:tcW w:w="3440" w:type="dxa"/>
          </w:tcPr>
          <w:p>
            <w:pPr>
              <w:pStyle w:val="TableParagraph"/>
              <w:ind w:left="106"/>
              <w:rPr>
                <w:sz w:val="21"/>
              </w:rPr>
            </w:pPr>
            <w:r>
              <w:rPr>
                <w:sz w:val="21"/>
              </w:rPr>
              <w:t>满 6 个月但不满 7 个月</w:t>
            </w:r>
          </w:p>
        </w:tc>
        <w:tc>
          <w:tcPr>
            <w:tcW w:w="852" w:type="dxa"/>
          </w:tcPr>
          <w:p>
            <w:pPr>
              <w:pStyle w:val="TableParagraph"/>
              <w:ind w:left="9"/>
              <w:jc w:val="center"/>
              <w:rPr>
                <w:sz w:val="21"/>
              </w:rPr>
            </w:pPr>
            <w:r>
              <w:rPr>
                <w:sz w:val="21"/>
              </w:rPr>
              <w:t>-</w:t>
            </w:r>
          </w:p>
        </w:tc>
        <w:tc>
          <w:tcPr>
            <w:tcW w:w="851" w:type="dxa"/>
          </w:tcPr>
          <w:p>
            <w:pPr>
              <w:pStyle w:val="TableParagraph"/>
              <w:ind w:left="8"/>
              <w:jc w:val="center"/>
              <w:rPr>
                <w:sz w:val="21"/>
              </w:rPr>
            </w:pPr>
            <w:r>
              <w:rPr>
                <w:sz w:val="21"/>
              </w:rPr>
              <w:t>-</w:t>
            </w:r>
          </w:p>
        </w:tc>
        <w:tc>
          <w:tcPr>
            <w:tcW w:w="851" w:type="dxa"/>
          </w:tcPr>
          <w:p>
            <w:pPr>
              <w:pStyle w:val="TableParagraph"/>
              <w:ind w:left="8"/>
              <w:jc w:val="center"/>
              <w:rPr>
                <w:sz w:val="21"/>
              </w:rPr>
            </w:pPr>
            <w:r>
              <w:rPr>
                <w:sz w:val="21"/>
              </w:rPr>
              <w:t>-</w:t>
            </w:r>
          </w:p>
        </w:tc>
        <w:tc>
          <w:tcPr>
            <w:tcW w:w="851" w:type="dxa"/>
          </w:tcPr>
          <w:p>
            <w:pPr>
              <w:pStyle w:val="TableParagraph"/>
              <w:ind w:left="85" w:right="80"/>
              <w:jc w:val="center"/>
              <w:rPr>
                <w:sz w:val="21"/>
              </w:rPr>
            </w:pPr>
            <w:r>
              <w:rPr>
                <w:sz w:val="21"/>
              </w:rPr>
              <w:t>30%</w:t>
            </w:r>
          </w:p>
        </w:tc>
      </w:tr>
      <w:tr>
        <w:trPr>
          <w:trHeight w:val="312" w:hRule="atLeast"/>
        </w:trPr>
        <w:tc>
          <w:tcPr>
            <w:tcW w:w="3440" w:type="dxa"/>
          </w:tcPr>
          <w:p>
            <w:pPr>
              <w:pStyle w:val="TableParagraph"/>
              <w:spacing w:line="261" w:lineRule="exact"/>
              <w:ind w:left="106"/>
              <w:rPr>
                <w:sz w:val="21"/>
              </w:rPr>
            </w:pPr>
            <w:r>
              <w:rPr>
                <w:sz w:val="21"/>
              </w:rPr>
              <w:t>满 5 个月但不满 6 个月</w:t>
            </w:r>
          </w:p>
        </w:tc>
        <w:tc>
          <w:tcPr>
            <w:tcW w:w="852" w:type="dxa"/>
          </w:tcPr>
          <w:p>
            <w:pPr>
              <w:pStyle w:val="TableParagraph"/>
              <w:spacing w:line="261" w:lineRule="exact"/>
              <w:ind w:left="9"/>
              <w:jc w:val="center"/>
              <w:rPr>
                <w:sz w:val="21"/>
              </w:rPr>
            </w:pPr>
            <w:r>
              <w:rPr>
                <w:sz w:val="21"/>
              </w:rPr>
              <w:t>-</w:t>
            </w:r>
          </w:p>
        </w:tc>
        <w:tc>
          <w:tcPr>
            <w:tcW w:w="851" w:type="dxa"/>
          </w:tcPr>
          <w:p>
            <w:pPr>
              <w:pStyle w:val="TableParagraph"/>
              <w:spacing w:line="261" w:lineRule="exact"/>
              <w:ind w:left="8"/>
              <w:jc w:val="center"/>
              <w:rPr>
                <w:sz w:val="21"/>
              </w:rPr>
            </w:pPr>
            <w:r>
              <w:rPr>
                <w:sz w:val="21"/>
              </w:rPr>
              <w:t>-</w:t>
            </w:r>
          </w:p>
        </w:tc>
        <w:tc>
          <w:tcPr>
            <w:tcW w:w="851" w:type="dxa"/>
          </w:tcPr>
          <w:p>
            <w:pPr>
              <w:pStyle w:val="TableParagraph"/>
              <w:spacing w:line="261" w:lineRule="exact"/>
              <w:ind w:left="86" w:right="80"/>
              <w:jc w:val="center"/>
              <w:rPr>
                <w:sz w:val="21"/>
              </w:rPr>
            </w:pPr>
            <w:r>
              <w:rPr>
                <w:sz w:val="21"/>
              </w:rPr>
              <w:t>50%</w:t>
            </w:r>
          </w:p>
        </w:tc>
        <w:tc>
          <w:tcPr>
            <w:tcW w:w="851" w:type="dxa"/>
          </w:tcPr>
          <w:p>
            <w:pPr>
              <w:pStyle w:val="TableParagraph"/>
              <w:spacing w:line="261" w:lineRule="exact"/>
              <w:ind w:left="85" w:right="80"/>
              <w:jc w:val="center"/>
              <w:rPr>
                <w:sz w:val="21"/>
              </w:rPr>
            </w:pPr>
            <w:r>
              <w:rPr>
                <w:sz w:val="21"/>
              </w:rPr>
              <w:t>25%</w:t>
            </w:r>
          </w:p>
        </w:tc>
      </w:tr>
      <w:tr>
        <w:trPr>
          <w:trHeight w:val="311" w:hRule="atLeast"/>
        </w:trPr>
        <w:tc>
          <w:tcPr>
            <w:tcW w:w="3440" w:type="dxa"/>
          </w:tcPr>
          <w:p>
            <w:pPr>
              <w:pStyle w:val="TableParagraph"/>
              <w:ind w:left="106"/>
              <w:rPr>
                <w:sz w:val="21"/>
              </w:rPr>
            </w:pPr>
            <w:r>
              <w:rPr>
                <w:sz w:val="21"/>
              </w:rPr>
              <w:t>满 4 个月但不满 5 个月</w:t>
            </w:r>
          </w:p>
        </w:tc>
        <w:tc>
          <w:tcPr>
            <w:tcW w:w="852" w:type="dxa"/>
          </w:tcPr>
          <w:p>
            <w:pPr>
              <w:pStyle w:val="TableParagraph"/>
              <w:ind w:left="8"/>
              <w:jc w:val="center"/>
              <w:rPr>
                <w:sz w:val="21"/>
              </w:rPr>
            </w:pPr>
            <w:r>
              <w:rPr>
                <w:sz w:val="21"/>
              </w:rPr>
              <w:t>-</w:t>
            </w:r>
          </w:p>
        </w:tc>
        <w:tc>
          <w:tcPr>
            <w:tcW w:w="851" w:type="dxa"/>
          </w:tcPr>
          <w:p>
            <w:pPr>
              <w:pStyle w:val="TableParagraph"/>
              <w:ind w:left="7"/>
              <w:jc w:val="center"/>
              <w:rPr>
                <w:sz w:val="21"/>
              </w:rPr>
            </w:pPr>
            <w:r>
              <w:rPr>
                <w:sz w:val="21"/>
              </w:rPr>
              <w:t>-</w:t>
            </w:r>
          </w:p>
        </w:tc>
        <w:tc>
          <w:tcPr>
            <w:tcW w:w="851" w:type="dxa"/>
          </w:tcPr>
          <w:p>
            <w:pPr>
              <w:pStyle w:val="TableParagraph"/>
              <w:ind w:left="85" w:right="80"/>
              <w:jc w:val="center"/>
              <w:rPr>
                <w:sz w:val="21"/>
              </w:rPr>
            </w:pPr>
            <w:r>
              <w:rPr>
                <w:sz w:val="21"/>
              </w:rPr>
              <w:t>40%</w:t>
            </w:r>
          </w:p>
        </w:tc>
        <w:tc>
          <w:tcPr>
            <w:tcW w:w="851" w:type="dxa"/>
          </w:tcPr>
          <w:p>
            <w:pPr>
              <w:pStyle w:val="TableParagraph"/>
              <w:ind w:left="85" w:right="80"/>
              <w:jc w:val="center"/>
              <w:rPr>
                <w:sz w:val="21"/>
              </w:rPr>
            </w:pPr>
            <w:r>
              <w:rPr>
                <w:sz w:val="21"/>
              </w:rPr>
              <w:t>20%</w:t>
            </w:r>
          </w:p>
        </w:tc>
      </w:tr>
      <w:tr>
        <w:trPr>
          <w:trHeight w:val="311" w:hRule="atLeast"/>
        </w:trPr>
        <w:tc>
          <w:tcPr>
            <w:tcW w:w="3440" w:type="dxa"/>
          </w:tcPr>
          <w:p>
            <w:pPr>
              <w:pStyle w:val="TableParagraph"/>
              <w:ind w:left="106"/>
              <w:rPr>
                <w:sz w:val="21"/>
              </w:rPr>
            </w:pPr>
            <w:r>
              <w:rPr>
                <w:sz w:val="21"/>
              </w:rPr>
              <w:t>满 3 个月但不满 4 个月</w:t>
            </w:r>
          </w:p>
        </w:tc>
        <w:tc>
          <w:tcPr>
            <w:tcW w:w="852" w:type="dxa"/>
          </w:tcPr>
          <w:p>
            <w:pPr>
              <w:pStyle w:val="TableParagraph"/>
              <w:ind w:left="8"/>
              <w:jc w:val="center"/>
              <w:rPr>
                <w:sz w:val="21"/>
              </w:rPr>
            </w:pPr>
            <w:r>
              <w:rPr>
                <w:sz w:val="21"/>
              </w:rPr>
              <w:t>-</w:t>
            </w:r>
          </w:p>
        </w:tc>
        <w:tc>
          <w:tcPr>
            <w:tcW w:w="851" w:type="dxa"/>
          </w:tcPr>
          <w:p>
            <w:pPr>
              <w:pStyle w:val="TableParagraph"/>
              <w:ind w:left="7"/>
              <w:jc w:val="center"/>
              <w:rPr>
                <w:sz w:val="21"/>
              </w:rPr>
            </w:pPr>
            <w:r>
              <w:rPr>
                <w:sz w:val="21"/>
              </w:rPr>
              <w:t>-</w:t>
            </w:r>
          </w:p>
        </w:tc>
        <w:tc>
          <w:tcPr>
            <w:tcW w:w="851" w:type="dxa"/>
          </w:tcPr>
          <w:p>
            <w:pPr>
              <w:pStyle w:val="TableParagraph"/>
              <w:ind w:left="85" w:right="80"/>
              <w:jc w:val="center"/>
              <w:rPr>
                <w:sz w:val="21"/>
              </w:rPr>
            </w:pPr>
            <w:r>
              <w:rPr>
                <w:sz w:val="21"/>
              </w:rPr>
              <w:t>30%</w:t>
            </w:r>
          </w:p>
        </w:tc>
        <w:tc>
          <w:tcPr>
            <w:tcW w:w="851" w:type="dxa"/>
          </w:tcPr>
          <w:p>
            <w:pPr>
              <w:pStyle w:val="TableParagraph"/>
              <w:ind w:left="85" w:right="80"/>
              <w:jc w:val="center"/>
              <w:rPr>
                <w:sz w:val="21"/>
              </w:rPr>
            </w:pPr>
            <w:r>
              <w:rPr>
                <w:sz w:val="21"/>
              </w:rPr>
              <w:t>15%</w:t>
            </w:r>
          </w:p>
        </w:tc>
      </w:tr>
      <w:tr>
        <w:trPr>
          <w:trHeight w:val="312" w:hRule="atLeast"/>
        </w:trPr>
        <w:tc>
          <w:tcPr>
            <w:tcW w:w="3440" w:type="dxa"/>
          </w:tcPr>
          <w:p>
            <w:pPr>
              <w:pStyle w:val="TableParagraph"/>
              <w:spacing w:line="261" w:lineRule="exact"/>
              <w:ind w:left="106"/>
              <w:rPr>
                <w:sz w:val="21"/>
              </w:rPr>
            </w:pPr>
            <w:r>
              <w:rPr>
                <w:sz w:val="21"/>
              </w:rPr>
              <w:t>满 2 个月但不满 3 个月</w:t>
            </w:r>
          </w:p>
        </w:tc>
        <w:tc>
          <w:tcPr>
            <w:tcW w:w="852" w:type="dxa"/>
          </w:tcPr>
          <w:p>
            <w:pPr>
              <w:pStyle w:val="TableParagraph"/>
              <w:spacing w:line="261" w:lineRule="exact"/>
              <w:ind w:left="8"/>
              <w:jc w:val="center"/>
              <w:rPr>
                <w:sz w:val="21"/>
              </w:rPr>
            </w:pPr>
            <w:r>
              <w:rPr>
                <w:sz w:val="21"/>
              </w:rPr>
              <w:t>-</w:t>
            </w:r>
          </w:p>
        </w:tc>
        <w:tc>
          <w:tcPr>
            <w:tcW w:w="851" w:type="dxa"/>
          </w:tcPr>
          <w:p>
            <w:pPr>
              <w:pStyle w:val="TableParagraph"/>
              <w:spacing w:line="261" w:lineRule="exact"/>
              <w:ind w:left="85" w:right="80"/>
              <w:jc w:val="center"/>
              <w:rPr>
                <w:sz w:val="21"/>
              </w:rPr>
            </w:pPr>
            <w:r>
              <w:rPr>
                <w:sz w:val="21"/>
              </w:rPr>
              <w:t>40%</w:t>
            </w:r>
          </w:p>
        </w:tc>
        <w:tc>
          <w:tcPr>
            <w:tcW w:w="851" w:type="dxa"/>
          </w:tcPr>
          <w:p>
            <w:pPr>
              <w:pStyle w:val="TableParagraph"/>
              <w:spacing w:line="261" w:lineRule="exact"/>
              <w:ind w:left="85" w:right="80"/>
              <w:jc w:val="center"/>
              <w:rPr>
                <w:sz w:val="21"/>
              </w:rPr>
            </w:pPr>
            <w:r>
              <w:rPr>
                <w:sz w:val="21"/>
              </w:rPr>
              <w:t>20%</w:t>
            </w:r>
          </w:p>
        </w:tc>
        <w:tc>
          <w:tcPr>
            <w:tcW w:w="851" w:type="dxa"/>
          </w:tcPr>
          <w:p>
            <w:pPr>
              <w:pStyle w:val="TableParagraph"/>
              <w:spacing w:line="261" w:lineRule="exact"/>
              <w:ind w:left="85" w:right="80"/>
              <w:jc w:val="center"/>
              <w:rPr>
                <w:sz w:val="21"/>
              </w:rPr>
            </w:pPr>
            <w:r>
              <w:rPr>
                <w:sz w:val="21"/>
              </w:rPr>
              <w:t>10%</w:t>
            </w:r>
          </w:p>
        </w:tc>
      </w:tr>
      <w:tr>
        <w:trPr>
          <w:trHeight w:val="311" w:hRule="atLeast"/>
        </w:trPr>
        <w:tc>
          <w:tcPr>
            <w:tcW w:w="3440" w:type="dxa"/>
          </w:tcPr>
          <w:p>
            <w:pPr>
              <w:pStyle w:val="TableParagraph"/>
              <w:ind w:left="106"/>
              <w:rPr>
                <w:sz w:val="21"/>
              </w:rPr>
            </w:pPr>
            <w:r>
              <w:rPr>
                <w:sz w:val="21"/>
              </w:rPr>
              <w:t>满 1 个月但不满 2 个月</w:t>
            </w:r>
          </w:p>
        </w:tc>
        <w:tc>
          <w:tcPr>
            <w:tcW w:w="852" w:type="dxa"/>
          </w:tcPr>
          <w:p>
            <w:pPr>
              <w:pStyle w:val="TableParagraph"/>
              <w:ind w:left="8"/>
              <w:jc w:val="center"/>
              <w:rPr>
                <w:sz w:val="21"/>
              </w:rPr>
            </w:pPr>
            <w:r>
              <w:rPr>
                <w:sz w:val="21"/>
              </w:rPr>
              <w:t>-</w:t>
            </w:r>
          </w:p>
        </w:tc>
        <w:tc>
          <w:tcPr>
            <w:tcW w:w="851" w:type="dxa"/>
          </w:tcPr>
          <w:p>
            <w:pPr>
              <w:pStyle w:val="TableParagraph"/>
              <w:ind w:left="85" w:right="80"/>
              <w:jc w:val="center"/>
              <w:rPr>
                <w:sz w:val="21"/>
              </w:rPr>
            </w:pPr>
            <w:r>
              <w:rPr>
                <w:sz w:val="21"/>
              </w:rPr>
              <w:t>20%</w:t>
            </w:r>
          </w:p>
        </w:tc>
        <w:tc>
          <w:tcPr>
            <w:tcW w:w="851" w:type="dxa"/>
          </w:tcPr>
          <w:p>
            <w:pPr>
              <w:pStyle w:val="TableParagraph"/>
              <w:ind w:left="85" w:right="80"/>
              <w:jc w:val="center"/>
              <w:rPr>
                <w:sz w:val="21"/>
              </w:rPr>
            </w:pPr>
            <w:r>
              <w:rPr>
                <w:sz w:val="21"/>
              </w:rPr>
              <w:t>10%</w:t>
            </w:r>
          </w:p>
        </w:tc>
        <w:tc>
          <w:tcPr>
            <w:tcW w:w="851" w:type="dxa"/>
          </w:tcPr>
          <w:p>
            <w:pPr>
              <w:pStyle w:val="TableParagraph"/>
              <w:ind w:left="87" w:right="80"/>
              <w:jc w:val="center"/>
              <w:rPr>
                <w:sz w:val="21"/>
              </w:rPr>
            </w:pPr>
            <w:r>
              <w:rPr>
                <w:sz w:val="21"/>
              </w:rPr>
              <w:t>5%</w:t>
            </w:r>
          </w:p>
        </w:tc>
      </w:tr>
      <w:tr>
        <w:trPr>
          <w:trHeight w:val="312" w:hRule="atLeast"/>
        </w:trPr>
        <w:tc>
          <w:tcPr>
            <w:tcW w:w="3440" w:type="dxa"/>
          </w:tcPr>
          <w:p>
            <w:pPr>
              <w:pStyle w:val="TableParagraph"/>
              <w:ind w:left="106"/>
              <w:rPr>
                <w:sz w:val="21"/>
              </w:rPr>
            </w:pPr>
            <w:r>
              <w:rPr>
                <w:sz w:val="21"/>
              </w:rPr>
              <w:t>不满 1 个月</w:t>
            </w:r>
          </w:p>
        </w:tc>
        <w:tc>
          <w:tcPr>
            <w:tcW w:w="852" w:type="dxa"/>
          </w:tcPr>
          <w:p>
            <w:pPr>
              <w:pStyle w:val="TableParagraph"/>
              <w:ind w:left="195" w:right="185"/>
              <w:jc w:val="center"/>
              <w:rPr>
                <w:sz w:val="21"/>
              </w:rPr>
            </w:pPr>
            <w:r>
              <w:rPr>
                <w:sz w:val="21"/>
              </w:rPr>
              <w:t>0%</w:t>
            </w:r>
          </w:p>
        </w:tc>
        <w:tc>
          <w:tcPr>
            <w:tcW w:w="851" w:type="dxa"/>
          </w:tcPr>
          <w:p>
            <w:pPr>
              <w:pStyle w:val="TableParagraph"/>
              <w:ind w:left="88" w:right="80"/>
              <w:jc w:val="center"/>
              <w:rPr>
                <w:sz w:val="21"/>
              </w:rPr>
            </w:pPr>
            <w:r>
              <w:rPr>
                <w:sz w:val="21"/>
              </w:rPr>
              <w:t>0%</w:t>
            </w:r>
          </w:p>
        </w:tc>
        <w:tc>
          <w:tcPr>
            <w:tcW w:w="851" w:type="dxa"/>
          </w:tcPr>
          <w:p>
            <w:pPr>
              <w:pStyle w:val="TableParagraph"/>
              <w:ind w:left="88" w:right="80"/>
              <w:jc w:val="center"/>
              <w:rPr>
                <w:sz w:val="21"/>
              </w:rPr>
            </w:pPr>
            <w:r>
              <w:rPr>
                <w:sz w:val="21"/>
              </w:rPr>
              <w:t>0%</w:t>
            </w:r>
          </w:p>
        </w:tc>
        <w:tc>
          <w:tcPr>
            <w:tcW w:w="851" w:type="dxa"/>
          </w:tcPr>
          <w:p>
            <w:pPr>
              <w:pStyle w:val="TableParagraph"/>
              <w:ind w:left="87" w:right="80"/>
              <w:jc w:val="center"/>
              <w:rPr>
                <w:sz w:val="21"/>
              </w:rPr>
            </w:pPr>
            <w:r>
              <w:rPr>
                <w:sz w:val="21"/>
              </w:rPr>
              <w:t>0%</w:t>
            </w:r>
          </w:p>
        </w:tc>
      </w:tr>
    </w:tbl>
    <w:p>
      <w:pPr>
        <w:spacing w:after="0"/>
        <w:jc w:val="center"/>
        <w:rPr>
          <w:sz w:val="21"/>
        </w:rPr>
        <w:sectPr>
          <w:type w:val="continuous"/>
          <w:pgSz w:w="11910" w:h="16840"/>
          <w:pgMar w:top="520" w:bottom="280" w:left="800" w:right="800"/>
        </w:sectPr>
      </w:pPr>
    </w:p>
    <w:p>
      <w:pPr>
        <w:pStyle w:val="BodyText"/>
        <w:spacing w:before="19"/>
        <w:ind w:left="2935"/>
      </w:pPr>
      <w:r>
        <w:rPr/>
        <w:t>您解除合同会遭受一定损失。</w:t>
      </w:r>
    </w:p>
    <w:p>
      <w:pPr>
        <w:pStyle w:val="BodyText"/>
        <w:rPr>
          <w:sz w:val="20"/>
        </w:rPr>
      </w:pPr>
    </w:p>
    <w:p>
      <w:pPr>
        <w:pStyle w:val="BodyText"/>
        <w:spacing w:before="7"/>
        <w:rPr>
          <w:sz w:val="18"/>
        </w:rPr>
      </w:pPr>
    </w:p>
    <w:p>
      <w:pPr>
        <w:pStyle w:val="Heading2"/>
        <w:tabs>
          <w:tab w:pos="978" w:val="left" w:leader="none"/>
        </w:tabs>
        <w:spacing w:before="1"/>
      </w:pPr>
      <w:r>
        <w:rPr/>
        <w:pict>
          <v:group style="position:absolute;margin-left:45.66pt;margin-top:28.15004pt;width:504.5pt;height:1pt;mso-position-horizontal-relative:page;mso-position-vertical-relative:paragraph;z-index:1288;mso-wrap-distance-left:0;mso-wrap-distance-right:0" coordorigin="913,563" coordsize="10090,20">
            <v:line style="position:absolute" from="913,573" to="3647,573" stroked="true" strokeweight=".95996pt" strokecolor="#000000">
              <v:stroke dashstyle="solid"/>
            </v:line>
            <v:line style="position:absolute" from="3647,573" to="11003,573" stroked="true" strokeweight=".96pt" strokecolor="#000000">
              <v:stroke dashstyle="solid"/>
            </v:line>
            <w10:wrap type="topAndBottom"/>
          </v:group>
        </w:pict>
      </w:r>
      <w:r>
        <w:rPr>
          <w:rFonts w:ascii="Arial" w:hAnsi="Arial" w:eastAsia="Arial"/>
          <w:position w:val="-3"/>
          <w:sz w:val="40"/>
        </w:rPr>
        <w:t></w:t>
        <w:tab/>
      </w:r>
      <w:r>
        <w:rPr>
          <w:w w:val="95"/>
        </w:rPr>
        <w:t>其他需要关注的事项</w:t>
      </w:r>
    </w:p>
    <w:p>
      <w:pPr>
        <w:pStyle w:val="BodyText"/>
        <w:spacing w:before="10"/>
        <w:rPr>
          <w:b/>
          <w:sz w:val="9"/>
        </w:rPr>
      </w:pPr>
    </w:p>
    <w:p>
      <w:pPr>
        <w:pStyle w:val="ListParagraph"/>
        <w:numPr>
          <w:ilvl w:val="1"/>
          <w:numId w:val="7"/>
        </w:numPr>
        <w:tabs>
          <w:tab w:pos="978" w:val="left" w:leader="none"/>
          <w:tab w:pos="979" w:val="left" w:leader="none"/>
          <w:tab w:pos="2935" w:val="left" w:leader="none"/>
        </w:tabs>
        <w:spacing w:line="273" w:lineRule="auto" w:before="35" w:after="0"/>
        <w:ind w:left="2935" w:right="226" w:hanging="2714"/>
        <w:jc w:val="left"/>
        <w:rPr>
          <w:sz w:val="21"/>
        </w:rPr>
      </w:pPr>
      <w:r>
        <w:rPr>
          <w:b/>
          <w:sz w:val="21"/>
        </w:rPr>
        <w:t>效力终止</w:t>
        <w:tab/>
      </w:r>
      <w:r>
        <w:rPr>
          <w:sz w:val="21"/>
        </w:rPr>
        <w:t>除主合同或本附加合同另有约定外，本附加合同的效力在主合同撤销、解除、期满、终止或变更为减额交清保险时自动终止。</w:t>
      </w:r>
    </w:p>
    <w:p>
      <w:pPr>
        <w:pStyle w:val="BodyText"/>
        <w:spacing w:before="11"/>
        <w:rPr>
          <w:sz w:val="17"/>
        </w:rPr>
      </w:pPr>
    </w:p>
    <w:p>
      <w:pPr>
        <w:pStyle w:val="ListParagraph"/>
        <w:numPr>
          <w:ilvl w:val="1"/>
          <w:numId w:val="7"/>
        </w:numPr>
        <w:tabs>
          <w:tab w:pos="978" w:val="left" w:leader="none"/>
          <w:tab w:pos="979" w:val="left" w:leader="none"/>
          <w:tab w:pos="2935" w:val="left" w:leader="none"/>
        </w:tabs>
        <w:spacing w:line="240" w:lineRule="auto" w:before="0" w:after="0"/>
        <w:ind w:left="978" w:right="0" w:hanging="757"/>
        <w:jc w:val="left"/>
        <w:rPr>
          <w:sz w:val="21"/>
        </w:rPr>
      </w:pPr>
      <w:r>
        <w:rPr>
          <w:b/>
          <w:sz w:val="21"/>
        </w:rPr>
        <w:t>适用主合同条款</w:t>
        <w:tab/>
      </w:r>
      <w:r>
        <w:rPr>
          <w:sz w:val="21"/>
        </w:rPr>
        <w:t>主合同订立的下列各项条款适用于本附加合同：</w:t>
      </w:r>
    </w:p>
    <w:p>
      <w:pPr>
        <w:pStyle w:val="BodyText"/>
        <w:spacing w:before="36"/>
        <w:ind w:left="2935"/>
      </w:pPr>
      <w:r>
        <w:rPr/>
        <w:t>（1）犹豫期</w:t>
      </w:r>
    </w:p>
    <w:p>
      <w:pPr>
        <w:pStyle w:val="BodyText"/>
        <w:spacing w:before="36"/>
        <w:ind w:left="2935"/>
      </w:pPr>
      <w:r>
        <w:rPr/>
        <w:t>（2）保险事故通知</w:t>
      </w:r>
    </w:p>
    <w:p>
      <w:pPr>
        <w:pStyle w:val="BodyText"/>
        <w:spacing w:before="36"/>
        <w:ind w:left="2935"/>
      </w:pPr>
      <w:r>
        <w:rPr/>
        <w:t>（3）保险金给付</w:t>
      </w:r>
    </w:p>
    <w:p>
      <w:pPr>
        <w:pStyle w:val="BodyText"/>
        <w:spacing w:before="36"/>
        <w:ind w:left="2935"/>
      </w:pPr>
      <w:r>
        <w:rPr/>
        <w:t>（4）明确说明与如实告知</w:t>
      </w:r>
    </w:p>
    <w:p>
      <w:pPr>
        <w:pStyle w:val="BodyText"/>
        <w:spacing w:before="36"/>
        <w:ind w:left="2935"/>
      </w:pPr>
      <w:r>
        <w:rPr/>
        <w:t>（5）本公司合同解除权的限制</w:t>
      </w:r>
    </w:p>
    <w:p>
      <w:pPr>
        <w:pStyle w:val="BodyText"/>
        <w:spacing w:before="36"/>
        <w:ind w:left="2935"/>
      </w:pPr>
      <w:r>
        <w:rPr/>
        <w:t>（6）年龄性别错误</w:t>
      </w:r>
    </w:p>
    <w:p>
      <w:pPr>
        <w:pStyle w:val="BodyText"/>
        <w:spacing w:before="36"/>
        <w:ind w:left="2935"/>
      </w:pPr>
      <w:r>
        <w:rPr/>
        <w:t>（7）未还款项</w:t>
      </w:r>
    </w:p>
    <w:p>
      <w:pPr>
        <w:pStyle w:val="BodyText"/>
        <w:spacing w:before="36"/>
        <w:ind w:left="2935"/>
      </w:pPr>
      <w:r>
        <w:rPr/>
        <w:t>（8）合同内容变更</w:t>
      </w:r>
    </w:p>
    <w:p>
      <w:pPr>
        <w:pStyle w:val="BodyText"/>
        <w:spacing w:before="36"/>
        <w:ind w:left="2935"/>
      </w:pPr>
      <w:r>
        <w:rPr/>
        <w:t>（9）争议处理</w:t>
      </w:r>
    </w:p>
    <w:p>
      <w:pPr>
        <w:pStyle w:val="BodyText"/>
        <w:spacing w:before="36"/>
        <w:ind w:left="2935"/>
      </w:pPr>
      <w:r>
        <w:rPr/>
        <w:t>如果主合同与本附加合同的条款互有抵触，则以本附加合同的条款为准。</w:t>
      </w:r>
    </w:p>
    <w:p>
      <w:pPr>
        <w:pStyle w:val="BodyText"/>
        <w:spacing w:before="4"/>
      </w:pPr>
    </w:p>
    <w:p>
      <w:pPr>
        <w:tabs>
          <w:tab w:pos="978" w:val="left" w:leader="none"/>
        </w:tabs>
        <w:spacing w:before="61"/>
        <w:ind w:left="221" w:right="0" w:firstLine="0"/>
        <w:jc w:val="left"/>
        <w:rPr>
          <w:b/>
          <w:sz w:val="24"/>
        </w:rPr>
      </w:pPr>
      <w:r>
        <w:rPr/>
        <w:pict>
          <v:group style="position:absolute;margin-left:45.66pt;margin-top:31.15007pt;width:504.5pt;height:.5pt;mso-position-horizontal-relative:page;mso-position-vertical-relative:paragraph;z-index:1312;mso-wrap-distance-left:0;mso-wrap-distance-right:0" coordorigin="913,623" coordsize="10090,10">
            <v:line style="position:absolute" from="913,628" to="3637,628" stroked="true" strokeweight=".48001pt" strokecolor="#000000">
              <v:stroke dashstyle="solid"/>
            </v:line>
            <v:line style="position:absolute" from="3637,628" to="11003,628" stroked="true" strokeweight=".48pt" strokecolor="#000000">
              <v:stroke dashstyle="solid"/>
            </v:line>
            <w10:wrap type="topAndBottom"/>
          </v:group>
        </w:pict>
      </w:r>
      <w:r>
        <w:rPr>
          <w:rFonts w:ascii="Arial" w:hAnsi="Arial" w:eastAsia="Arial"/>
          <w:b/>
          <w:w w:val="110"/>
          <w:position w:val="-3"/>
          <w:sz w:val="40"/>
        </w:rPr>
        <w:t></w:t>
        <w:tab/>
      </w:r>
      <w:r>
        <w:rPr>
          <w:b/>
          <w:w w:val="95"/>
          <w:sz w:val="24"/>
        </w:rPr>
        <w:t>释义</w:t>
      </w:r>
    </w:p>
    <w:p>
      <w:pPr>
        <w:pStyle w:val="BodyText"/>
        <w:spacing w:before="7"/>
        <w:rPr>
          <w:b/>
          <w:sz w:val="10"/>
        </w:rPr>
      </w:pPr>
    </w:p>
    <w:p>
      <w:pPr>
        <w:pStyle w:val="ListParagraph"/>
        <w:numPr>
          <w:ilvl w:val="1"/>
          <w:numId w:val="8"/>
        </w:numPr>
        <w:tabs>
          <w:tab w:pos="979" w:val="left" w:leader="none"/>
          <w:tab w:pos="2935" w:val="left" w:leader="none"/>
        </w:tabs>
        <w:spacing w:line="273" w:lineRule="auto" w:before="35" w:after="0"/>
        <w:ind w:left="2935" w:right="226" w:hanging="2714"/>
        <w:jc w:val="both"/>
        <w:rPr>
          <w:sz w:val="21"/>
        </w:rPr>
      </w:pPr>
      <w:r>
        <w:rPr>
          <w:b/>
          <w:sz w:val="21"/>
        </w:rPr>
        <w:t>医院</w:t>
        <w:tab/>
      </w:r>
      <w:r>
        <w:rPr>
          <w:sz w:val="21"/>
        </w:rPr>
        <w:t>指国家卫生行政管理部门医院等级分类中的二级或二级以上的上海市内公立医院，或外省市的三级公立医院，但不包括主要提供门诊、康复、护理、疗养、戒酒、戒毒或相类似服务之医疗机构。同时该医院必须具有符合有关医院管理规定设置标准的医疗设备，并且提供二十四小时有合格专科医生及护士驻院的医疗和护理等服务。</w:t>
      </w:r>
    </w:p>
    <w:p>
      <w:pPr>
        <w:pStyle w:val="BodyText"/>
        <w:spacing w:before="13"/>
        <w:rPr>
          <w:sz w:val="17"/>
        </w:rPr>
      </w:pPr>
    </w:p>
    <w:p>
      <w:pPr>
        <w:pStyle w:val="ListParagraph"/>
        <w:numPr>
          <w:ilvl w:val="1"/>
          <w:numId w:val="8"/>
        </w:numPr>
        <w:tabs>
          <w:tab w:pos="979" w:val="left" w:leader="none"/>
          <w:tab w:pos="2935" w:val="left" w:leader="none"/>
        </w:tabs>
        <w:spacing w:line="273" w:lineRule="auto" w:before="0" w:after="0"/>
        <w:ind w:left="2935" w:right="207" w:hanging="2714"/>
        <w:jc w:val="both"/>
        <w:rPr>
          <w:sz w:val="21"/>
        </w:rPr>
      </w:pPr>
      <w:r>
        <w:rPr>
          <w:b/>
          <w:spacing w:val="0"/>
          <w:w w:val="99"/>
          <w:sz w:val="21"/>
        </w:rPr>
        <w:t>专科医</w:t>
      </w:r>
      <w:r>
        <w:rPr>
          <w:b/>
          <w:w w:val="99"/>
          <w:sz w:val="21"/>
        </w:rPr>
        <w:t>生</w:t>
      </w:r>
      <w:r>
        <w:rPr>
          <w:b/>
          <w:sz w:val="21"/>
        </w:rPr>
        <w:tab/>
      </w:r>
      <w:r>
        <w:rPr>
          <w:sz w:val="21"/>
        </w:rPr>
        <w:t>专科医生应当同时满足以下四项资格条件</w:t>
      </w:r>
      <w:r>
        <w:rPr>
          <w:spacing w:val="-168"/>
          <w:sz w:val="21"/>
        </w:rPr>
        <w:t>：</w:t>
      </w:r>
      <w:r>
        <w:rPr>
          <w:sz w:val="21"/>
        </w:rPr>
        <w:t>（1</w:t>
      </w:r>
      <w:r>
        <w:rPr>
          <w:spacing w:val="-65"/>
          <w:sz w:val="21"/>
        </w:rPr>
        <w:t>）</w:t>
      </w:r>
      <w:r>
        <w:rPr>
          <w:sz w:val="21"/>
        </w:rPr>
        <w:t>具有有效的中华人民共和</w:t>
      </w:r>
      <w:r>
        <w:rPr>
          <w:spacing w:val="-64"/>
          <w:sz w:val="21"/>
        </w:rPr>
        <w:t>国</w:t>
      </w:r>
      <w:r>
        <w:rPr>
          <w:sz w:val="21"/>
        </w:rPr>
        <w:t>《医师资格证书</w:t>
      </w:r>
      <w:r>
        <w:rPr>
          <w:spacing w:val="-106"/>
          <w:sz w:val="21"/>
        </w:rPr>
        <w:t>》</w:t>
      </w:r>
      <w:r>
        <w:rPr>
          <w:spacing w:val="-105"/>
          <w:sz w:val="21"/>
        </w:rPr>
        <w:t>；</w:t>
      </w:r>
      <w:r>
        <w:rPr>
          <w:sz w:val="21"/>
        </w:rPr>
        <w:t>（2）具</w:t>
      </w:r>
      <w:r>
        <w:rPr>
          <w:spacing w:val="-2"/>
          <w:sz w:val="21"/>
        </w:rPr>
        <w:t>有</w:t>
      </w:r>
      <w:r>
        <w:rPr>
          <w:sz w:val="21"/>
        </w:rPr>
        <w:t>有效的中华人民共和国《医师执业证书</w:t>
      </w:r>
      <w:r>
        <w:rPr>
          <w:spacing w:val="-105"/>
          <w:sz w:val="21"/>
        </w:rPr>
        <w:t>》</w:t>
      </w:r>
      <w:r>
        <w:rPr>
          <w:sz w:val="21"/>
        </w:rPr>
        <w:t>，并</w:t>
      </w:r>
      <w:r>
        <w:rPr>
          <w:spacing w:val="-2"/>
          <w:sz w:val="21"/>
        </w:rPr>
        <w:t>按</w:t>
      </w:r>
      <w:r>
        <w:rPr>
          <w:sz w:val="21"/>
        </w:rPr>
        <w:t>期到相关部门登记注册</w:t>
      </w:r>
      <w:r>
        <w:rPr>
          <w:spacing w:val="-105"/>
          <w:sz w:val="21"/>
        </w:rPr>
        <w:t>；</w:t>
      </w:r>
      <w:r>
        <w:rPr>
          <w:sz w:val="21"/>
        </w:rPr>
        <w:t>（3</w:t>
      </w:r>
      <w:r>
        <w:rPr>
          <w:spacing w:val="-2"/>
          <w:sz w:val="21"/>
        </w:rPr>
        <w:t>）</w:t>
      </w:r>
      <w:r>
        <w:rPr>
          <w:sz w:val="21"/>
        </w:rPr>
        <w:t>具有有效的中华人民共和国主治医师或主治医师以上职称</w:t>
      </w:r>
      <w:r>
        <w:rPr>
          <w:spacing w:val="-29"/>
          <w:sz w:val="21"/>
        </w:rPr>
        <w:t>的</w:t>
      </w:r>
      <w:r>
        <w:rPr>
          <w:sz w:val="21"/>
        </w:rPr>
        <w:t>《医师职称证书</w:t>
      </w:r>
      <w:r>
        <w:rPr>
          <w:spacing w:val="-105"/>
          <w:sz w:val="21"/>
        </w:rPr>
        <w:t>》</w:t>
      </w:r>
      <w:r>
        <w:rPr>
          <w:spacing w:val="-135"/>
          <w:sz w:val="21"/>
        </w:rPr>
        <w:t>；</w:t>
      </w:r>
      <w:r>
        <w:rPr>
          <w:sz w:val="21"/>
        </w:rPr>
        <w:t>（4</w:t>
      </w:r>
      <w:r>
        <w:rPr>
          <w:spacing w:val="-29"/>
          <w:sz w:val="21"/>
        </w:rPr>
        <w:t>）</w:t>
      </w:r>
      <w:r>
        <w:rPr>
          <w:sz w:val="21"/>
        </w:rPr>
        <w:t>在二级或二级以上医院的相应科室从事临床工作三年以上。</w:t>
      </w:r>
    </w:p>
    <w:p>
      <w:pPr>
        <w:pStyle w:val="BodyText"/>
        <w:spacing w:before="7"/>
        <w:ind w:left="2935"/>
      </w:pPr>
      <w:r>
        <w:rPr/>
        <w:t>专科医生不包括被保险人本人及其直系亲属。</w:t>
      </w:r>
    </w:p>
    <w:p>
      <w:pPr>
        <w:pStyle w:val="BodyText"/>
        <w:spacing w:before="1"/>
        <w:rPr>
          <w:sz w:val="20"/>
        </w:rPr>
      </w:pPr>
    </w:p>
    <w:p>
      <w:pPr>
        <w:pStyle w:val="ListParagraph"/>
        <w:numPr>
          <w:ilvl w:val="1"/>
          <w:numId w:val="8"/>
        </w:numPr>
        <w:tabs>
          <w:tab w:pos="978" w:val="left" w:leader="none"/>
          <w:tab w:pos="979" w:val="left" w:leader="none"/>
          <w:tab w:pos="2935" w:val="left" w:leader="none"/>
        </w:tabs>
        <w:spacing w:line="240" w:lineRule="auto" w:before="0" w:after="0"/>
        <w:ind w:left="2935" w:right="0" w:hanging="2714"/>
        <w:jc w:val="left"/>
        <w:rPr>
          <w:sz w:val="21"/>
        </w:rPr>
      </w:pPr>
      <w:r>
        <w:rPr>
          <w:b/>
          <w:sz w:val="21"/>
        </w:rPr>
        <w:t>重大疾病</w:t>
        <w:tab/>
      </w:r>
      <w:r>
        <w:rPr>
          <w:sz w:val="21"/>
        </w:rPr>
        <w:t>指下列任何一种疾病：</w:t>
      </w:r>
    </w:p>
    <w:p>
      <w:pPr>
        <w:pStyle w:val="BodyText"/>
        <w:spacing w:before="1"/>
        <w:rPr>
          <w:sz w:val="20"/>
        </w:rPr>
      </w:pPr>
    </w:p>
    <w:p>
      <w:pPr>
        <w:pStyle w:val="BodyText"/>
        <w:tabs>
          <w:tab w:pos="2935" w:val="left" w:leader="none"/>
        </w:tabs>
        <w:spacing w:line="273" w:lineRule="auto"/>
        <w:ind w:left="2935" w:right="226" w:hanging="1958"/>
        <w:jc w:val="both"/>
      </w:pPr>
      <w:r>
        <w:rPr>
          <w:b/>
        </w:rPr>
        <w:t>恶性肿瘤</w:t>
        <w:tab/>
      </w:r>
      <w:r>
        <w:rPr/>
        <w:t>指恶性细胞不受控制的进行性增长和扩散，浸润和破坏周围正常组织，可以经血管、淋巴管和体腔扩散转移到身体其它部位的疾病。经病理学检查结果明确诊断，临床诊断属于世界卫生组织《疾病和有关健康问题的国际统计分类》</w:t>
      </w:r>
    </w:p>
    <w:p>
      <w:pPr>
        <w:pStyle w:val="BodyText"/>
        <w:spacing w:line="273" w:lineRule="auto" w:before="7"/>
        <w:ind w:left="2935" w:right="4636"/>
      </w:pPr>
      <w:r>
        <w:rPr/>
        <w:t>（ICD-10）的恶性肿瘤范畴。下列疾病不在保障范围内：</w:t>
      </w:r>
    </w:p>
    <w:p>
      <w:pPr>
        <w:pStyle w:val="BodyText"/>
        <w:spacing w:before="7"/>
        <w:ind w:left="2935"/>
      </w:pPr>
      <w:r>
        <w:rPr/>
        <w:t>（1）原位癌；</w:t>
      </w:r>
    </w:p>
    <w:p>
      <w:pPr>
        <w:pStyle w:val="BodyText"/>
        <w:spacing w:before="36"/>
        <w:ind w:left="2935"/>
      </w:pPr>
      <w:r>
        <w:rPr/>
        <w:t>（2）相当于Binet 分期方案 A 期程度的慢性淋巴细胞白血病；</w:t>
      </w:r>
    </w:p>
    <w:p>
      <w:pPr>
        <w:pStyle w:val="BodyText"/>
        <w:spacing w:before="36"/>
        <w:ind w:left="2935"/>
      </w:pPr>
      <w:r>
        <w:rPr/>
        <w:t>（3）相当于Ann Arbor 分期方案 I 期程度的何杰金氏病；</w:t>
      </w:r>
    </w:p>
    <w:p>
      <w:pPr>
        <w:pStyle w:val="BodyText"/>
        <w:spacing w:before="36"/>
        <w:ind w:left="2935"/>
      </w:pPr>
      <w:r>
        <w:rPr/>
        <w:t>（4）</w:t>
      </w:r>
      <w:r>
        <w:rPr>
          <w:spacing w:val="-1"/>
        </w:rPr>
        <w:t>皮肤癌</w:t>
      </w:r>
      <w:r>
        <w:rPr/>
        <w:t>（不包括恶性黑色素瘤及已发生转移的皮肤癌</w:t>
      </w:r>
      <w:r>
        <w:rPr>
          <w:spacing w:val="-106"/>
        </w:rPr>
        <w:t>）</w:t>
      </w:r>
      <w:r>
        <w:rPr/>
        <w:t>；</w:t>
      </w:r>
    </w:p>
    <w:p>
      <w:pPr>
        <w:pStyle w:val="BodyText"/>
        <w:spacing w:before="36"/>
        <w:ind w:left="2935"/>
      </w:pPr>
      <w:r>
        <w:rPr/>
        <w:t>（5）TNM 分期为 T1N0M0 期或更轻分期的前列腺癌；</w:t>
      </w:r>
    </w:p>
    <w:p>
      <w:pPr>
        <w:spacing w:after="0"/>
        <w:sectPr>
          <w:pgSz w:w="11910" w:h="16840"/>
          <w:pgMar w:header="0" w:footer="460" w:top="1100" w:bottom="660" w:left="800" w:right="800"/>
        </w:sectPr>
      </w:pPr>
    </w:p>
    <w:p>
      <w:pPr>
        <w:pStyle w:val="BodyText"/>
        <w:spacing w:before="19"/>
        <w:ind w:left="2075"/>
      </w:pPr>
      <w:r>
        <w:rPr/>
        <w:t>（6）感染艾滋病病毒或患艾滋病期间所患恶性肿瘤。</w:t>
      </w:r>
    </w:p>
    <w:p>
      <w:pPr>
        <w:pStyle w:val="BodyText"/>
        <w:spacing w:before="2"/>
        <w:rPr>
          <w:sz w:val="20"/>
        </w:rPr>
      </w:pPr>
    </w:p>
    <w:p>
      <w:pPr>
        <w:spacing w:line="273" w:lineRule="auto" w:before="0"/>
        <w:ind w:left="2075" w:right="226" w:hanging="1958"/>
        <w:jc w:val="both"/>
        <w:rPr>
          <w:sz w:val="21"/>
        </w:rPr>
      </w:pPr>
      <w:r>
        <w:rPr>
          <w:b/>
          <w:sz w:val="21"/>
        </w:rPr>
        <w:t>急性心肌梗塞     </w:t>
      </w:r>
      <w:r>
        <w:rPr>
          <w:sz w:val="21"/>
        </w:rPr>
        <w:t>指因冠状动脉阻塞导致的相应区域供血不足造成部分心肌坏死。须满足下列至少三项条件：</w:t>
      </w:r>
    </w:p>
    <w:p>
      <w:pPr>
        <w:pStyle w:val="BodyText"/>
        <w:spacing w:before="7"/>
        <w:ind w:left="2075"/>
      </w:pPr>
      <w:r>
        <w:rPr/>
        <w:t>（1）典型临床表现，例如急性胸痛等；</w:t>
      </w:r>
    </w:p>
    <w:p>
      <w:pPr>
        <w:pStyle w:val="BodyText"/>
        <w:spacing w:before="36"/>
        <w:ind w:left="2075"/>
      </w:pPr>
      <w:r>
        <w:rPr/>
        <w:t>（2）新近的心电图改变提示急性心肌梗塞；</w:t>
      </w:r>
    </w:p>
    <w:p>
      <w:pPr>
        <w:pStyle w:val="BodyText"/>
        <w:spacing w:line="273" w:lineRule="auto" w:before="36"/>
        <w:ind w:left="2601" w:right="128" w:hanging="526"/>
      </w:pPr>
      <w:r>
        <w:rPr/>
        <w:t>（3）心肌酶或肌钙蛋白有诊断意义的升高，或呈符合急性心肌梗塞的动态性变化；</w:t>
      </w:r>
    </w:p>
    <w:p>
      <w:pPr>
        <w:pStyle w:val="BodyText"/>
        <w:spacing w:before="7"/>
        <w:ind w:left="2075"/>
      </w:pPr>
      <w:r>
        <w:rPr>
          <w:spacing w:val="-4"/>
        </w:rPr>
        <w:t>（4）</w:t>
      </w:r>
      <w:r>
        <w:rPr>
          <w:spacing w:val="-19"/>
        </w:rPr>
        <w:t>发病 </w:t>
      </w:r>
      <w:r>
        <w:rPr/>
        <w:t>90</w:t>
      </w:r>
      <w:r>
        <w:rPr>
          <w:spacing w:val="-12"/>
        </w:rPr>
        <w:t> 天后，经检查证实左心室功能降低，如左心室射血分数低于 </w:t>
      </w:r>
      <w:r>
        <w:rPr/>
        <w:t>50%。</w:t>
      </w:r>
    </w:p>
    <w:p>
      <w:pPr>
        <w:pStyle w:val="BodyText"/>
        <w:spacing w:before="2"/>
        <w:rPr>
          <w:sz w:val="20"/>
        </w:rPr>
      </w:pPr>
    </w:p>
    <w:p>
      <w:pPr>
        <w:pStyle w:val="BodyText"/>
        <w:spacing w:line="273" w:lineRule="auto"/>
        <w:ind w:left="2075" w:right="226" w:hanging="1958"/>
        <w:jc w:val="both"/>
      </w:pPr>
      <w:r>
        <w:rPr>
          <w:b/>
          <w:spacing w:val="5"/>
        </w:rPr>
        <w:t>脑中风后遗症     </w:t>
      </w:r>
      <w:r>
        <w:rPr/>
        <w:t>指因脑血管的突发病变引起脑血管出血、栓塞或梗塞，并导致神经系统永久性</w:t>
      </w:r>
      <w:r>
        <w:rPr>
          <w:spacing w:val="-3"/>
        </w:rPr>
        <w:t>的功能障碍。神经系统永久性的功能障碍，指疾病确诊 </w:t>
      </w:r>
      <w:r>
        <w:rPr/>
        <w:t>180</w:t>
      </w:r>
      <w:r>
        <w:rPr>
          <w:spacing w:val="-8"/>
        </w:rPr>
        <w:t> 天后，仍遗留下列</w:t>
      </w:r>
      <w:r>
        <w:rPr>
          <w:spacing w:val="-1"/>
        </w:rPr>
        <w:t>一种或一种以上障碍：</w:t>
      </w:r>
    </w:p>
    <w:p>
      <w:pPr>
        <w:pStyle w:val="BodyText"/>
        <w:spacing w:before="7"/>
        <w:ind w:left="2075"/>
      </w:pPr>
      <w:r>
        <w:rPr/>
        <w:t>（1）一肢或一肢以上肢体机能完全丧失；</w:t>
      </w:r>
    </w:p>
    <w:p>
      <w:pPr>
        <w:pStyle w:val="BodyText"/>
        <w:spacing w:before="36"/>
        <w:ind w:left="2075"/>
      </w:pPr>
      <w:r>
        <w:rPr/>
        <w:t>（2）语言能力或咀嚼吞咽能力完全丧失；</w:t>
      </w:r>
    </w:p>
    <w:p>
      <w:pPr>
        <w:pStyle w:val="BodyText"/>
        <w:spacing w:line="273" w:lineRule="auto" w:before="36"/>
        <w:ind w:left="2579" w:right="128" w:hanging="504"/>
      </w:pPr>
      <w:r>
        <w:rPr/>
        <w:t>（3）自主生活能力完全丧失，无法独立完成六项基本日常生活活动中的三项或三项以上。</w:t>
      </w:r>
    </w:p>
    <w:p>
      <w:pPr>
        <w:pStyle w:val="BodyText"/>
        <w:spacing w:before="2"/>
        <w:rPr>
          <w:sz w:val="15"/>
        </w:rPr>
      </w:pPr>
    </w:p>
    <w:p>
      <w:pPr>
        <w:spacing w:after="0"/>
        <w:rPr>
          <w:sz w:val="15"/>
        </w:rPr>
        <w:sectPr>
          <w:pgSz w:w="11910" w:h="16840"/>
          <w:pgMar w:header="0" w:footer="460" w:top="1100" w:bottom="660" w:left="1660" w:right="800"/>
        </w:sectPr>
      </w:pPr>
    </w:p>
    <w:p>
      <w:pPr>
        <w:pStyle w:val="Heading3"/>
        <w:spacing w:line="273" w:lineRule="auto"/>
        <w:ind w:left="118"/>
      </w:pPr>
      <w:r>
        <w:rPr/>
        <w:t>重大器官移植术或</w:t>
      </w:r>
      <w:r>
        <w:rPr>
          <w:w w:val="95"/>
        </w:rPr>
        <w:t>造血干细胞移植术</w:t>
      </w:r>
    </w:p>
    <w:p>
      <w:pPr>
        <w:pStyle w:val="BodyText"/>
        <w:spacing w:line="273" w:lineRule="auto" w:before="35"/>
        <w:ind w:left="118" w:right="226"/>
        <w:jc w:val="both"/>
      </w:pPr>
      <w:r>
        <w:rPr/>
        <w:br w:type="column"/>
      </w:r>
      <w:r>
        <w:rPr/>
        <w:t>重大器官移植术，指因相应器官功能衰竭，已经实施了肾脏、肝脏、心脏或肺脏的异体移植手术。</w:t>
      </w:r>
    </w:p>
    <w:p>
      <w:pPr>
        <w:pStyle w:val="BodyText"/>
        <w:spacing w:line="273" w:lineRule="auto" w:before="7"/>
        <w:ind w:left="118" w:right="226"/>
        <w:jc w:val="both"/>
      </w:pPr>
      <w:r>
        <w:rPr/>
        <w:t>造血干细胞移植术，指因造血功能损害或造血系统恶性肿瘤，已经实施了造血干细胞（包括骨髓造血干细胞、外周血造血干细胞和脐血造血干细胞）的异体移植手术。</w:t>
      </w:r>
    </w:p>
    <w:p>
      <w:pPr>
        <w:spacing w:after="0" w:line="273" w:lineRule="auto"/>
        <w:jc w:val="both"/>
        <w:sectPr>
          <w:type w:val="continuous"/>
          <w:pgSz w:w="11910" w:h="16840"/>
          <w:pgMar w:top="520" w:bottom="280" w:left="1660" w:right="800"/>
          <w:cols w:num="2" w:equalWidth="0">
            <w:col w:w="1806" w:space="151"/>
            <w:col w:w="7493"/>
          </w:cols>
        </w:sectPr>
      </w:pPr>
    </w:p>
    <w:p>
      <w:pPr>
        <w:pStyle w:val="BodyText"/>
        <w:spacing w:before="4"/>
        <w:rPr>
          <w:sz w:val="15"/>
        </w:rPr>
      </w:pPr>
    </w:p>
    <w:p>
      <w:pPr>
        <w:spacing w:after="0"/>
        <w:rPr>
          <w:sz w:val="15"/>
        </w:rPr>
        <w:sectPr>
          <w:type w:val="continuous"/>
          <w:pgSz w:w="11910" w:h="16840"/>
          <w:pgMar w:top="520" w:bottom="280" w:left="1660" w:right="800"/>
        </w:sectPr>
      </w:pPr>
    </w:p>
    <w:p>
      <w:pPr>
        <w:pStyle w:val="Heading3"/>
        <w:ind w:left="118"/>
      </w:pPr>
      <w:r>
        <w:rPr>
          <w:w w:val="95"/>
        </w:rPr>
        <w:t>冠状动脉搭桥术</w:t>
      </w:r>
    </w:p>
    <w:p>
      <w:pPr>
        <w:spacing w:line="273" w:lineRule="auto" w:before="37"/>
        <w:ind w:left="118" w:right="0" w:firstLine="0"/>
        <w:jc w:val="left"/>
        <w:rPr>
          <w:b/>
          <w:sz w:val="21"/>
        </w:rPr>
      </w:pPr>
      <w:r>
        <w:rPr>
          <w:b/>
          <w:sz w:val="21"/>
        </w:rPr>
        <w:t>（或称冠状动脉旁</w:t>
      </w:r>
      <w:r>
        <w:rPr>
          <w:b/>
          <w:w w:val="95"/>
          <w:sz w:val="21"/>
        </w:rPr>
        <w:t>路移植术）</w:t>
      </w:r>
    </w:p>
    <w:p>
      <w:pPr>
        <w:pStyle w:val="BodyText"/>
        <w:spacing w:line="273" w:lineRule="auto" w:before="35"/>
        <w:ind w:left="118" w:right="103"/>
      </w:pPr>
      <w:r>
        <w:rPr/>
        <w:br w:type="column"/>
      </w:r>
      <w:r>
        <w:rPr>
          <w:spacing w:val="-8"/>
        </w:rPr>
        <w:t>指为治疗严重的冠心病，实际实施了开胸进行的冠状动脉血管旁路移植的手术。冠状动脉支架植入术、心导管球囊扩张术、激光射频技术及其它非开胸的介入手术、腔镜手术不在保障范围内。</w:t>
      </w:r>
    </w:p>
    <w:p>
      <w:pPr>
        <w:spacing w:after="0" w:line="273" w:lineRule="auto"/>
        <w:sectPr>
          <w:type w:val="continuous"/>
          <w:pgSz w:w="11910" w:h="16840"/>
          <w:pgMar w:top="520" w:bottom="280" w:left="1660" w:right="800"/>
          <w:cols w:num="2" w:equalWidth="0">
            <w:col w:w="1806" w:space="151"/>
            <w:col w:w="7493"/>
          </w:cols>
        </w:sectPr>
      </w:pPr>
    </w:p>
    <w:p>
      <w:pPr>
        <w:pStyle w:val="BodyText"/>
        <w:spacing w:before="2"/>
        <w:rPr>
          <w:sz w:val="15"/>
        </w:rPr>
      </w:pPr>
    </w:p>
    <w:p>
      <w:pPr>
        <w:spacing w:after="0"/>
        <w:rPr>
          <w:sz w:val="15"/>
        </w:rPr>
        <w:sectPr>
          <w:type w:val="continuous"/>
          <w:pgSz w:w="11910" w:h="16840"/>
          <w:pgMar w:top="520" w:bottom="280" w:left="1660" w:right="800"/>
        </w:sectPr>
      </w:pPr>
    </w:p>
    <w:p>
      <w:pPr>
        <w:pStyle w:val="Heading3"/>
        <w:spacing w:line="273" w:lineRule="auto" w:before="36"/>
        <w:ind w:left="118"/>
        <w:jc w:val="both"/>
      </w:pPr>
      <w:r>
        <w:rPr/>
        <w:t>终末期肾病（或称慢性肾功能衰竭尿毒症期）</w:t>
      </w:r>
    </w:p>
    <w:p>
      <w:pPr>
        <w:pStyle w:val="BodyText"/>
        <w:spacing w:line="273" w:lineRule="auto" w:before="36"/>
        <w:ind w:left="118" w:right="320"/>
      </w:pPr>
      <w:r>
        <w:rPr/>
        <w:br w:type="column"/>
      </w:r>
      <w:r>
        <w:rPr/>
        <w:t>指双肾功能慢性不可逆性衰竭，达到尿毒症期，经诊断后已经进行了至少 90 天的规律性透析治疗或实施了肾脏移植手术。</w:t>
      </w:r>
    </w:p>
    <w:p>
      <w:pPr>
        <w:spacing w:after="0" w:line="273" w:lineRule="auto"/>
        <w:sectPr>
          <w:type w:val="continuous"/>
          <w:pgSz w:w="11910" w:h="16840"/>
          <w:pgMar w:top="520" w:bottom="280" w:left="1660" w:right="800"/>
          <w:cols w:num="2" w:equalWidth="0">
            <w:col w:w="1806" w:space="151"/>
            <w:col w:w="7493"/>
          </w:cols>
        </w:sectPr>
      </w:pPr>
    </w:p>
    <w:p>
      <w:pPr>
        <w:pStyle w:val="BodyText"/>
        <w:spacing w:before="3"/>
        <w:rPr>
          <w:sz w:val="15"/>
        </w:rPr>
      </w:pPr>
    </w:p>
    <w:p>
      <w:pPr>
        <w:spacing w:after="0"/>
        <w:rPr>
          <w:sz w:val="15"/>
        </w:rPr>
        <w:sectPr>
          <w:type w:val="continuous"/>
          <w:pgSz w:w="11910" w:h="16840"/>
          <w:pgMar w:top="520" w:bottom="280" w:left="1660" w:right="800"/>
        </w:sectPr>
      </w:pPr>
    </w:p>
    <w:p>
      <w:pPr>
        <w:pStyle w:val="Heading3"/>
        <w:spacing w:line="273" w:lineRule="auto"/>
        <w:ind w:left="118"/>
      </w:pPr>
      <w:r>
        <w:rPr/>
        <w:t>慢性肝功能衰竭失代偿期</w:t>
      </w:r>
    </w:p>
    <w:p>
      <w:pPr>
        <w:pStyle w:val="BodyText"/>
        <w:spacing w:before="35"/>
        <w:ind w:left="118"/>
      </w:pPr>
      <w:r>
        <w:rPr/>
        <w:br w:type="column"/>
      </w:r>
      <w:r>
        <w:rPr/>
        <w:t>指因慢性肝脏疾病导致肝功能衰竭。须满足下列全部条件：</w:t>
      </w:r>
    </w:p>
    <w:p>
      <w:pPr>
        <w:pStyle w:val="BodyText"/>
        <w:spacing w:before="37"/>
        <w:ind w:left="118"/>
      </w:pPr>
      <w:r>
        <w:rPr/>
        <w:t>（1）持续性黄疸；</w:t>
      </w:r>
    </w:p>
    <w:p>
      <w:pPr>
        <w:pStyle w:val="BodyText"/>
        <w:spacing w:before="37"/>
        <w:ind w:left="118"/>
      </w:pPr>
      <w:r>
        <w:rPr/>
        <w:t>（2）腹水；</w:t>
      </w:r>
    </w:p>
    <w:p>
      <w:pPr>
        <w:pStyle w:val="BodyText"/>
        <w:spacing w:before="37"/>
        <w:ind w:left="118"/>
      </w:pPr>
      <w:r>
        <w:rPr/>
        <w:t>（3）肝性脑病；</w:t>
      </w:r>
    </w:p>
    <w:p>
      <w:pPr>
        <w:pStyle w:val="BodyText"/>
        <w:spacing w:line="273" w:lineRule="auto" w:before="37"/>
        <w:ind w:left="118" w:right="2223"/>
      </w:pPr>
      <w:r>
        <w:rPr/>
        <w:t>（4）充血性脾肿大伴脾功能亢进或食管胃底静脉曲张。因酗酒或药物滥用导致的肝功能衰竭不在保障范围内。</w:t>
      </w:r>
    </w:p>
    <w:p>
      <w:pPr>
        <w:spacing w:after="0" w:line="273" w:lineRule="auto"/>
        <w:sectPr>
          <w:type w:val="continuous"/>
          <w:pgSz w:w="11910" w:h="16840"/>
          <w:pgMar w:top="520" w:bottom="280" w:left="1660" w:right="800"/>
          <w:cols w:num="2" w:equalWidth="0">
            <w:col w:w="1806" w:space="151"/>
            <w:col w:w="7493"/>
          </w:cols>
        </w:sectPr>
      </w:pPr>
    </w:p>
    <w:p>
      <w:pPr>
        <w:pStyle w:val="BodyText"/>
        <w:spacing w:before="2"/>
        <w:rPr>
          <w:sz w:val="15"/>
        </w:rPr>
      </w:pPr>
    </w:p>
    <w:p>
      <w:pPr>
        <w:pStyle w:val="BodyText"/>
        <w:tabs>
          <w:tab w:pos="2075" w:val="left" w:leader="none"/>
        </w:tabs>
        <w:spacing w:line="273" w:lineRule="auto" w:before="36"/>
        <w:ind w:left="2075" w:right="226" w:hanging="1958"/>
        <w:jc w:val="both"/>
      </w:pPr>
      <w:r>
        <w:rPr>
          <w:b/>
        </w:rPr>
        <w:t>深度昏迷</w:t>
        <w:tab/>
      </w:r>
      <w:r>
        <w:rPr/>
        <w:t>指因疾病或意外伤害导致意识丧失，对外界刺激和体内需求均无反应，昏迷程度按照格拉斯哥昏迷分级（Glasgow</w:t>
      </w:r>
      <w:r>
        <w:rPr>
          <w:spacing w:val="-9"/>
        </w:rPr>
        <w:t> </w:t>
      </w:r>
      <w:r>
        <w:rPr/>
        <w:t>coma</w:t>
      </w:r>
      <w:r>
        <w:rPr>
          <w:spacing w:val="-9"/>
        </w:rPr>
        <w:t> </w:t>
      </w:r>
      <w:r>
        <w:rPr/>
        <w:t>scale）结果为</w:t>
      </w:r>
      <w:r>
        <w:rPr>
          <w:spacing w:val="-57"/>
        </w:rPr>
        <w:t> </w:t>
      </w:r>
      <w:r>
        <w:rPr/>
        <w:t>5</w:t>
      </w:r>
      <w:r>
        <w:rPr>
          <w:spacing w:val="-57"/>
        </w:rPr>
        <w:t> </w:t>
      </w:r>
      <w:r>
        <w:rPr/>
        <w:t>分或</w:t>
      </w:r>
      <w:r>
        <w:rPr>
          <w:spacing w:val="-57"/>
        </w:rPr>
        <w:t> </w:t>
      </w:r>
      <w:r>
        <w:rPr/>
        <w:t>5</w:t>
      </w:r>
      <w:r>
        <w:rPr>
          <w:spacing w:val="-56"/>
        </w:rPr>
        <w:t> </w:t>
      </w:r>
      <w:r>
        <w:rPr/>
        <w:t>分以下，且已经持续使用呼吸机及其它生命维持系统</w:t>
      </w:r>
      <w:r>
        <w:rPr>
          <w:spacing w:val="-65"/>
        </w:rPr>
        <w:t> </w:t>
      </w:r>
      <w:r>
        <w:rPr/>
        <w:t>96</w:t>
      </w:r>
      <w:r>
        <w:rPr>
          <w:spacing w:val="-65"/>
        </w:rPr>
        <w:t> </w:t>
      </w:r>
      <w:r>
        <w:rPr/>
        <w:t>小时以上。</w:t>
      </w:r>
    </w:p>
    <w:p>
      <w:pPr>
        <w:pStyle w:val="BodyText"/>
        <w:spacing w:before="8"/>
        <w:ind w:left="2075"/>
      </w:pPr>
      <w:r>
        <w:rPr/>
        <w:t>因酗酒或药物滥用导致的深度昏迷不在保障范围内。</w:t>
      </w:r>
    </w:p>
    <w:p>
      <w:pPr>
        <w:pStyle w:val="BodyText"/>
        <w:spacing w:before="2"/>
        <w:rPr>
          <w:sz w:val="20"/>
        </w:rPr>
      </w:pPr>
    </w:p>
    <w:p>
      <w:pPr>
        <w:pStyle w:val="BodyText"/>
        <w:tabs>
          <w:tab w:pos="2075" w:val="left" w:leader="none"/>
        </w:tabs>
        <w:spacing w:line="273" w:lineRule="auto"/>
        <w:ind w:left="2075" w:right="226" w:hanging="1958"/>
        <w:jc w:val="both"/>
      </w:pPr>
      <w:r>
        <w:rPr>
          <w:b/>
        </w:rPr>
        <w:t>双目失明</w:t>
        <w:tab/>
      </w:r>
      <w:r>
        <w:rPr/>
        <w:t>指因疾病或意外伤害导致双眼视力永久不可逆性丧失，双眼中较好眼须满足下</w:t>
      </w:r>
      <w:r>
        <w:rPr>
          <w:spacing w:val="-1"/>
        </w:rPr>
        <w:t>列至少一项条件：</w:t>
      </w:r>
    </w:p>
    <w:p>
      <w:pPr>
        <w:pStyle w:val="BodyText"/>
        <w:spacing w:before="7"/>
        <w:ind w:left="2075"/>
      </w:pPr>
      <w:r>
        <w:rPr/>
        <w:t>（1）眼球缺失或摘除；</w:t>
      </w:r>
    </w:p>
    <w:p>
      <w:pPr>
        <w:pStyle w:val="BodyText"/>
        <w:spacing w:before="37"/>
        <w:ind w:left="2075"/>
      </w:pPr>
      <w:r>
        <w:rPr/>
        <w:t>（2）矫正视力低于 0.02（采用国际标准视力表，如果使用其它视力表应进行</w:t>
      </w:r>
    </w:p>
    <w:p>
      <w:pPr>
        <w:spacing w:after="0"/>
        <w:sectPr>
          <w:type w:val="continuous"/>
          <w:pgSz w:w="11910" w:h="16840"/>
          <w:pgMar w:top="520" w:bottom="280" w:left="1660" w:right="800"/>
        </w:sectPr>
      </w:pPr>
    </w:p>
    <w:p>
      <w:pPr>
        <w:pStyle w:val="BodyText"/>
        <w:spacing w:before="19"/>
        <w:ind w:left="3341"/>
      </w:pPr>
      <w:r>
        <w:rPr/>
        <w:t>换算</w:t>
      </w:r>
      <w:r>
        <w:rPr>
          <w:spacing w:val="-105"/>
        </w:rPr>
        <w:t>）</w:t>
      </w:r>
      <w:r>
        <w:rPr/>
        <w:t>；</w:t>
      </w:r>
    </w:p>
    <w:p>
      <w:pPr>
        <w:pStyle w:val="BodyText"/>
        <w:spacing w:before="37"/>
        <w:ind w:left="2815"/>
      </w:pPr>
      <w:r>
        <w:rPr/>
        <w:t>（3）视野半径小于 5 度。</w:t>
      </w:r>
    </w:p>
    <w:p>
      <w:pPr>
        <w:pStyle w:val="BodyText"/>
        <w:spacing w:before="2"/>
        <w:rPr>
          <w:sz w:val="20"/>
        </w:rPr>
      </w:pPr>
    </w:p>
    <w:p>
      <w:pPr>
        <w:pStyle w:val="BodyText"/>
        <w:tabs>
          <w:tab w:pos="2815" w:val="left" w:leader="none"/>
        </w:tabs>
        <w:spacing w:line="273" w:lineRule="auto"/>
        <w:ind w:left="2815" w:right="226" w:hanging="1958"/>
        <w:jc w:val="both"/>
      </w:pPr>
      <w:r>
        <w:rPr>
          <w:b/>
        </w:rPr>
        <w:t>瘫痪</w:t>
        <w:tab/>
      </w:r>
      <w:r>
        <w:rPr/>
        <w:t>指因疾病或意外伤害导致两肢或两肢以上肢体机能永久完全丧失。肢体机能永久完全丧失，指疾病确诊</w:t>
      </w:r>
      <w:r>
        <w:rPr>
          <w:spacing w:val="-54"/>
        </w:rPr>
        <w:t> </w:t>
      </w:r>
      <w:r>
        <w:rPr/>
        <w:t>180</w:t>
      </w:r>
      <w:r>
        <w:rPr>
          <w:spacing w:val="-53"/>
        </w:rPr>
        <w:t> </w:t>
      </w:r>
      <w:r>
        <w:rPr/>
        <w:t>天后或意外伤害发生</w:t>
      </w:r>
      <w:r>
        <w:rPr>
          <w:spacing w:val="-54"/>
        </w:rPr>
        <w:t> </w:t>
      </w:r>
      <w:r>
        <w:rPr/>
        <w:t>180</w:t>
      </w:r>
      <w:r>
        <w:rPr>
          <w:spacing w:val="-53"/>
        </w:rPr>
        <w:t> </w:t>
      </w:r>
      <w:r>
        <w:rPr/>
        <w:t>天后，每肢三大关节中的两大关节仍然完全僵硬，或不能随意识活动。</w:t>
      </w:r>
    </w:p>
    <w:p>
      <w:pPr>
        <w:pStyle w:val="BodyText"/>
        <w:spacing w:before="11"/>
        <w:rPr>
          <w:sz w:val="17"/>
        </w:rPr>
      </w:pPr>
    </w:p>
    <w:p>
      <w:pPr>
        <w:pStyle w:val="BodyText"/>
        <w:tabs>
          <w:tab w:pos="2815" w:val="left" w:leader="none"/>
        </w:tabs>
        <w:spacing w:line="273" w:lineRule="auto" w:before="1"/>
        <w:ind w:left="2815" w:right="103" w:hanging="1958"/>
      </w:pPr>
      <w:r>
        <w:rPr>
          <w:b/>
        </w:rPr>
        <w:t>严重阿尔茨海默病</w:t>
        <w:tab/>
      </w:r>
      <w:r>
        <w:rPr/>
        <w:t>指因大脑进行性、不可逆性改变导致智能严重衰退或丧失，临床表现为明显的认知能力障碍</w:t>
      </w:r>
      <w:r>
        <w:rPr>
          <w:spacing w:val="-44"/>
        </w:rPr>
        <w:t>、</w:t>
      </w:r>
      <w:r>
        <w:rPr/>
        <w:t>行为异常和社交能力减退</w:t>
      </w:r>
      <w:r>
        <w:rPr>
          <w:spacing w:val="-44"/>
        </w:rPr>
        <w:t>，</w:t>
      </w:r>
      <w:r>
        <w:rPr/>
        <w:t>其日常生活必须持续受到他人监护。</w:t>
      </w:r>
      <w:r>
        <w:rPr>
          <w:spacing w:val="-1"/>
        </w:rPr>
        <w:t>须由头颅断层扫描（CT</w:t>
      </w:r>
      <w:r>
        <w:rPr>
          <w:spacing w:val="-106"/>
        </w:rPr>
        <w:t>）</w:t>
      </w:r>
      <w:r>
        <w:rPr/>
        <w:t>、核磁共振检查（MRI</w:t>
      </w:r>
      <w:r>
        <w:rPr>
          <w:spacing w:val="-2"/>
        </w:rPr>
        <w:t>）</w:t>
      </w:r>
      <w:r>
        <w:rPr/>
        <w:t>或正电子发射断层扫描（PET）等影像学检查证实，且自主生活能力完全丧失，无法独立完成六项基本日常生</w:t>
      </w:r>
      <w:r>
        <w:rPr>
          <w:spacing w:val="-1"/>
        </w:rPr>
        <w:t>活活动中的三项或三项以上。</w:t>
      </w:r>
    </w:p>
    <w:p>
      <w:pPr>
        <w:pStyle w:val="BodyText"/>
        <w:spacing w:before="8"/>
        <w:ind w:left="2815"/>
      </w:pPr>
      <w:r>
        <w:rPr/>
        <w:t>神经官能症和精神疾病不在保障范围内。</w:t>
      </w:r>
    </w:p>
    <w:p>
      <w:pPr>
        <w:pStyle w:val="BodyText"/>
        <w:spacing w:before="2"/>
        <w:rPr>
          <w:sz w:val="20"/>
        </w:rPr>
      </w:pPr>
    </w:p>
    <w:p>
      <w:pPr>
        <w:spacing w:line="273" w:lineRule="auto" w:before="0"/>
        <w:ind w:left="2815" w:right="226" w:hanging="1958"/>
        <w:jc w:val="both"/>
        <w:rPr>
          <w:sz w:val="21"/>
        </w:rPr>
      </w:pPr>
      <w:r>
        <w:rPr>
          <w:b/>
          <w:sz w:val="21"/>
        </w:rPr>
        <w:t>严重帕金森病     </w:t>
      </w:r>
      <w:r>
        <w:rPr>
          <w:sz w:val="21"/>
        </w:rPr>
        <w:t>是一种中枢神经系统的退行性疾病，临床表现为震颤麻痹、共济失调等。须满足下列全部条件：</w:t>
      </w:r>
    </w:p>
    <w:p>
      <w:pPr>
        <w:pStyle w:val="BodyText"/>
        <w:spacing w:before="7"/>
        <w:ind w:left="2815"/>
      </w:pPr>
      <w:r>
        <w:rPr/>
        <w:t>（1）药物治疗无法控制病情；</w:t>
      </w:r>
    </w:p>
    <w:p>
      <w:pPr>
        <w:pStyle w:val="BodyText"/>
        <w:spacing w:line="273" w:lineRule="auto" w:before="37"/>
        <w:ind w:left="3341" w:right="128" w:hanging="526"/>
      </w:pPr>
      <w:r>
        <w:rPr/>
        <w:t>（2）自主生活能力完全丧失，无法独立完成六项基本日常生活活动中的三项或三项以上。</w:t>
      </w:r>
    </w:p>
    <w:p>
      <w:pPr>
        <w:pStyle w:val="BodyText"/>
        <w:spacing w:before="8"/>
        <w:ind w:left="2815"/>
      </w:pPr>
      <w:r>
        <w:rPr/>
        <w:t>继发性帕金森综合征不在保障范围内。</w:t>
      </w:r>
    </w:p>
    <w:p>
      <w:pPr>
        <w:pStyle w:val="BodyText"/>
        <w:spacing w:before="3"/>
        <w:rPr>
          <w:sz w:val="20"/>
        </w:rPr>
      </w:pPr>
    </w:p>
    <w:p>
      <w:pPr>
        <w:pStyle w:val="BodyText"/>
        <w:tabs>
          <w:tab w:pos="2815" w:val="left" w:leader="none"/>
        </w:tabs>
        <w:spacing w:line="273" w:lineRule="auto"/>
        <w:ind w:left="2815" w:right="121" w:hanging="1958"/>
      </w:pPr>
      <w:r>
        <w:rPr>
          <w:b/>
        </w:rPr>
        <w:t>严重Ⅲ度烧伤</w:t>
        <w:tab/>
      </w:r>
      <w:r>
        <w:rPr/>
        <w:t>指烧伤程度为Ⅲ度，且Ⅲ度烧伤的面积达到全身体表面积的</w:t>
      </w:r>
      <w:r>
        <w:rPr>
          <w:spacing w:val="-54"/>
        </w:rPr>
        <w:t> </w:t>
      </w:r>
      <w:r>
        <w:rPr/>
        <w:t>20％或</w:t>
      </w:r>
      <w:r>
        <w:rPr>
          <w:spacing w:val="-54"/>
        </w:rPr>
        <w:t> </w:t>
      </w:r>
      <w:r>
        <w:rPr/>
        <w:t>20％以上。体表面积根据《中国新九分法》计算。</w:t>
      </w:r>
    </w:p>
    <w:p>
      <w:pPr>
        <w:pStyle w:val="BodyText"/>
        <w:spacing w:before="11"/>
        <w:rPr>
          <w:sz w:val="17"/>
        </w:rPr>
      </w:pPr>
    </w:p>
    <w:p>
      <w:pPr>
        <w:pStyle w:val="BodyText"/>
        <w:spacing w:line="273" w:lineRule="auto"/>
        <w:ind w:left="2815" w:right="226" w:hanging="1958"/>
        <w:jc w:val="both"/>
      </w:pPr>
      <w:r>
        <w:rPr>
          <w:b/>
        </w:rPr>
        <w:t>主动脉手术       </w:t>
      </w:r>
      <w:r>
        <w:rPr/>
        <w:t>指为治疗主动脉疾病，实际实施了开胸或开腹进行的切除、置换、修补病损主动脉血管的手术。主动脉指胸主动脉和腹主动脉，不包括胸主动脉和腹主动脉的分支血管。</w:t>
      </w:r>
    </w:p>
    <w:p>
      <w:pPr>
        <w:pStyle w:val="BodyText"/>
        <w:spacing w:before="7"/>
        <w:ind w:left="2815"/>
      </w:pPr>
      <w:r>
        <w:rPr/>
        <w:t>动脉内血管成形术不在保障范围内。</w:t>
      </w:r>
    </w:p>
    <w:p>
      <w:pPr>
        <w:pStyle w:val="BodyText"/>
        <w:spacing w:before="2"/>
        <w:rPr>
          <w:sz w:val="20"/>
        </w:rPr>
      </w:pPr>
    </w:p>
    <w:p>
      <w:pPr>
        <w:pStyle w:val="BodyText"/>
        <w:spacing w:line="273" w:lineRule="auto"/>
        <w:ind w:left="2815" w:right="208"/>
      </w:pPr>
      <w:r>
        <w:rPr>
          <w:spacing w:val="-21"/>
        </w:rPr>
        <w:t>以上 </w:t>
      </w:r>
      <w:r>
        <w:rPr/>
        <w:t>14</w:t>
      </w:r>
      <w:r>
        <w:rPr>
          <w:spacing w:val="-12"/>
        </w:rPr>
        <w:t> 种重大疾病的定义采用中国保险行业协会制定的《重大疾病保险的疾病</w:t>
      </w:r>
      <w:r>
        <w:rPr>
          <w:spacing w:val="-23"/>
        </w:rPr>
        <w:t>定义使用规范》。</w:t>
      </w:r>
    </w:p>
    <w:p>
      <w:pPr>
        <w:pStyle w:val="BodyText"/>
        <w:spacing w:before="12"/>
        <w:rPr>
          <w:sz w:val="17"/>
        </w:rPr>
      </w:pPr>
    </w:p>
    <w:p>
      <w:pPr>
        <w:tabs>
          <w:tab w:pos="2815" w:val="left" w:leader="none"/>
        </w:tabs>
        <w:spacing w:before="0"/>
        <w:ind w:left="858" w:right="0" w:firstLine="0"/>
        <w:jc w:val="left"/>
        <w:rPr>
          <w:sz w:val="21"/>
        </w:rPr>
      </w:pPr>
      <w:r>
        <w:rPr>
          <w:b/>
          <w:sz w:val="21"/>
        </w:rPr>
        <w:t>慢性呼吸功能衰竭</w:t>
        <w:tab/>
      </w:r>
      <w:r>
        <w:rPr>
          <w:sz w:val="21"/>
        </w:rPr>
        <w:t>是指末期肺部疾病包括间质肺部疾病所引起的慢性呼吸功能衰竭。肺功能测验</w:t>
      </w:r>
    </w:p>
    <w:p>
      <w:pPr>
        <w:pStyle w:val="BodyText"/>
        <w:spacing w:line="273" w:lineRule="auto" w:before="37"/>
        <w:ind w:left="2815" w:right="226"/>
        <w:jc w:val="both"/>
      </w:pPr>
      <w:r>
        <w:rPr/>
        <w:t>FEV1（第一秒钟末用力呼气量）</w:t>
      </w:r>
      <w:r>
        <w:rPr>
          <w:spacing w:val="-19"/>
        </w:rPr>
        <w:t>少于 </w:t>
      </w:r>
      <w:r>
        <w:rPr/>
        <w:t>1</w:t>
      </w:r>
      <w:r>
        <w:rPr>
          <w:spacing w:val="-8"/>
        </w:rPr>
        <w:t> 公升且需要持久大量的氧气治疗，动脉血气分析结果符合重度呼吸衰竭诊断标准，静止时也感到呼吸困难。诊断必须由呼吸专科医生确认。</w:t>
      </w:r>
    </w:p>
    <w:p>
      <w:pPr>
        <w:pStyle w:val="BodyText"/>
        <w:spacing w:before="11"/>
        <w:rPr>
          <w:sz w:val="17"/>
        </w:rPr>
      </w:pPr>
    </w:p>
    <w:p>
      <w:pPr>
        <w:pStyle w:val="BodyText"/>
        <w:spacing w:line="273" w:lineRule="auto" w:before="1"/>
        <w:ind w:left="2815" w:right="226" w:hanging="1958"/>
        <w:jc w:val="both"/>
      </w:pPr>
      <w:r>
        <w:rPr>
          <w:b/>
        </w:rPr>
        <w:t>脊髓灰质炎       </w:t>
      </w:r>
      <w:r>
        <w:rPr/>
        <w:t>是指由神经专科医师确认是由脊髓灰质病毒感染所致的瘫痪性疾病，以致表现出运动功能障碍或呼吸功能减弱。被保险人若无瘫痪则理赔不予受理，其他病因所致的瘫痪例如格-巴二氏综合症（急性感染性多神经炎）是除外的。</w:t>
      </w:r>
    </w:p>
    <w:p>
      <w:pPr>
        <w:pStyle w:val="BodyText"/>
        <w:spacing w:before="12"/>
        <w:rPr>
          <w:sz w:val="17"/>
        </w:rPr>
      </w:pPr>
    </w:p>
    <w:p>
      <w:pPr>
        <w:pStyle w:val="BodyText"/>
        <w:tabs>
          <w:tab w:pos="2815" w:val="left" w:leader="none"/>
        </w:tabs>
        <w:spacing w:line="273" w:lineRule="auto"/>
        <w:ind w:left="2815" w:right="226" w:hanging="1958"/>
        <w:jc w:val="both"/>
      </w:pPr>
      <w:r>
        <w:rPr>
          <w:b/>
        </w:rPr>
        <w:t>心肌病</w:t>
        <w:tab/>
      </w:r>
      <w:r>
        <w:rPr/>
        <w:t>是指由不同病因引起的永久性不可逆转的心肌功能损害，其心功能损害必须达到纽约心脏协会心脏功能衰竭分类之第四级。直接由於酗酒、服用、吸食或注射毒品而引起的心肌病除外。</w:t>
      </w:r>
    </w:p>
    <w:p>
      <w:pPr>
        <w:pStyle w:val="BodyText"/>
        <w:spacing w:before="10"/>
        <w:rPr>
          <w:sz w:val="14"/>
        </w:rPr>
      </w:pPr>
    </w:p>
    <w:p>
      <w:pPr>
        <w:spacing w:after="0"/>
        <w:rPr>
          <w:sz w:val="14"/>
        </w:rPr>
        <w:sectPr>
          <w:pgSz w:w="11910" w:h="16840"/>
          <w:pgMar w:header="0" w:footer="460" w:top="1100" w:bottom="660" w:left="920" w:right="800"/>
        </w:sectPr>
      </w:pPr>
    </w:p>
    <w:p>
      <w:pPr>
        <w:pStyle w:val="Heading3"/>
        <w:numPr>
          <w:ilvl w:val="1"/>
          <w:numId w:val="8"/>
        </w:numPr>
        <w:tabs>
          <w:tab w:pos="858" w:val="left" w:leader="none"/>
          <w:tab w:pos="859" w:val="left" w:leader="none"/>
        </w:tabs>
        <w:spacing w:line="240" w:lineRule="auto" w:before="42" w:after="0"/>
        <w:ind w:left="858" w:right="0" w:hanging="757"/>
        <w:jc w:val="left"/>
      </w:pPr>
      <w:r>
        <w:rPr>
          <w:w w:val="95"/>
        </w:rPr>
        <w:t>六项基本日常生活</w:t>
      </w:r>
    </w:p>
    <w:p>
      <w:pPr>
        <w:spacing w:before="36"/>
        <w:ind w:left="840" w:right="1244" w:firstLine="0"/>
        <w:jc w:val="center"/>
        <w:rPr>
          <w:b/>
          <w:sz w:val="21"/>
        </w:rPr>
      </w:pPr>
      <w:r>
        <w:rPr>
          <w:b/>
          <w:sz w:val="21"/>
        </w:rPr>
        <w:t>活动</w:t>
      </w:r>
    </w:p>
    <w:p>
      <w:pPr>
        <w:pStyle w:val="BodyText"/>
        <w:spacing w:before="42"/>
        <w:ind w:left="101"/>
      </w:pPr>
      <w:r>
        <w:rPr/>
        <w:br w:type="column"/>
      </w:r>
      <w:r>
        <w:rPr/>
        <w:t>适用于年龄 </w:t>
      </w:r>
      <w:r>
        <w:rPr>
          <w:rFonts w:ascii="Times New Roman" w:eastAsia="Times New Roman"/>
        </w:rPr>
        <w:t>4 </w:t>
      </w:r>
      <w:r>
        <w:rPr/>
        <w:t>周岁以上被保险人，包括：</w:t>
      </w:r>
    </w:p>
    <w:p>
      <w:pPr>
        <w:pStyle w:val="BodyText"/>
        <w:spacing w:before="21"/>
        <w:ind w:left="101"/>
      </w:pPr>
      <w:r>
        <w:rPr/>
        <w:t>（</w:t>
      </w:r>
      <w:r>
        <w:rPr>
          <w:rFonts w:ascii="Times New Roman" w:eastAsia="Times New Roman"/>
        </w:rPr>
        <w:t>1</w:t>
      </w:r>
      <w:r>
        <w:rPr/>
        <w:t>）穿衣：自己能够穿衣及脱衣；</w:t>
      </w:r>
    </w:p>
    <w:p>
      <w:pPr>
        <w:pStyle w:val="BodyText"/>
        <w:spacing w:before="21"/>
        <w:ind w:left="101"/>
      </w:pPr>
      <w:r>
        <w:rPr/>
        <w:t>（</w:t>
      </w:r>
      <w:r>
        <w:rPr>
          <w:rFonts w:ascii="Times New Roman" w:eastAsia="Times New Roman"/>
        </w:rPr>
        <w:t>2</w:t>
      </w:r>
      <w:r>
        <w:rPr/>
        <w:t>）移动：自己从一个房间到另一个房间；</w:t>
      </w:r>
    </w:p>
    <w:p>
      <w:pPr>
        <w:pStyle w:val="BodyText"/>
        <w:spacing w:before="21"/>
        <w:ind w:left="101"/>
      </w:pPr>
      <w:r>
        <w:rPr/>
        <w:t>（</w:t>
      </w:r>
      <w:r>
        <w:rPr>
          <w:rFonts w:ascii="Times New Roman" w:eastAsia="Times New Roman"/>
        </w:rPr>
        <w:t>3</w:t>
      </w:r>
      <w:r>
        <w:rPr/>
        <w:t>）行动：自己上下床或上下轮椅；</w:t>
      </w:r>
    </w:p>
    <w:p>
      <w:pPr>
        <w:spacing w:after="0"/>
        <w:sectPr>
          <w:type w:val="continuous"/>
          <w:pgSz w:w="11910" w:h="16840"/>
          <w:pgMar w:top="520" w:bottom="280" w:left="920" w:right="800"/>
          <w:cols w:num="2" w:equalWidth="0">
            <w:col w:w="2546" w:space="169"/>
            <w:col w:w="7475"/>
          </w:cols>
        </w:sectPr>
      </w:pPr>
    </w:p>
    <w:p>
      <w:pPr>
        <w:pStyle w:val="BodyText"/>
        <w:spacing w:before="19"/>
        <w:ind w:left="2815"/>
      </w:pPr>
      <w:r>
        <w:rPr/>
        <w:t>（</w:t>
      </w:r>
      <w:r>
        <w:rPr>
          <w:rFonts w:ascii="Times New Roman" w:eastAsia="Times New Roman"/>
        </w:rPr>
        <w:t>4</w:t>
      </w:r>
      <w:r>
        <w:rPr/>
        <w:t>）如厕：自己控制进行大小便；</w:t>
      </w:r>
    </w:p>
    <w:p>
      <w:pPr>
        <w:pStyle w:val="BodyText"/>
        <w:spacing w:before="21"/>
        <w:ind w:left="2815"/>
      </w:pPr>
      <w:r>
        <w:rPr/>
        <w:t>（</w:t>
      </w:r>
      <w:r>
        <w:rPr>
          <w:rFonts w:ascii="Times New Roman" w:eastAsia="Times New Roman"/>
        </w:rPr>
        <w:t>5</w:t>
      </w:r>
      <w:r>
        <w:rPr/>
        <w:t>）进食：自己从已准备好的碗或碟中取食物放入口中；</w:t>
      </w:r>
    </w:p>
    <w:p>
      <w:pPr>
        <w:pStyle w:val="BodyText"/>
        <w:spacing w:before="21"/>
        <w:ind w:left="2815"/>
      </w:pPr>
      <w:r>
        <w:rPr/>
        <w:t>（</w:t>
      </w:r>
      <w:r>
        <w:rPr>
          <w:rFonts w:ascii="Times New Roman" w:eastAsia="Times New Roman"/>
        </w:rPr>
        <w:t>6</w:t>
      </w:r>
      <w:r>
        <w:rPr/>
        <w:t>）洗澡：自己进行淋浴或盆浴。</w:t>
      </w:r>
    </w:p>
    <w:p>
      <w:pPr>
        <w:pStyle w:val="BodyText"/>
        <w:spacing w:before="12"/>
        <w:rPr>
          <w:sz w:val="18"/>
        </w:rPr>
      </w:pPr>
    </w:p>
    <w:p>
      <w:pPr>
        <w:pStyle w:val="ListParagraph"/>
        <w:numPr>
          <w:ilvl w:val="1"/>
          <w:numId w:val="8"/>
        </w:numPr>
        <w:tabs>
          <w:tab w:pos="858" w:val="left" w:leader="none"/>
          <w:tab w:pos="859" w:val="left" w:leader="none"/>
          <w:tab w:pos="2815" w:val="left" w:leader="none"/>
        </w:tabs>
        <w:spacing w:line="273" w:lineRule="auto" w:before="0" w:after="0"/>
        <w:ind w:left="2815" w:right="226" w:hanging="2714"/>
        <w:jc w:val="left"/>
        <w:rPr>
          <w:sz w:val="21"/>
        </w:rPr>
      </w:pPr>
      <w:r>
        <w:rPr>
          <w:b/>
          <w:sz w:val="21"/>
        </w:rPr>
        <w:t>肢体机能完全丧失</w:t>
        <w:tab/>
      </w:r>
      <w:r>
        <w:rPr>
          <w:sz w:val="21"/>
        </w:rPr>
        <w:t>指肢体的三大关节中的两大关节僵硬，或不能随意识活动。肢体是指包括肩关节的整个上肢或包括髋关节的整个下肢。</w:t>
      </w:r>
    </w:p>
    <w:p>
      <w:pPr>
        <w:pStyle w:val="BodyText"/>
        <w:spacing w:before="2"/>
        <w:rPr>
          <w:sz w:val="15"/>
        </w:rPr>
      </w:pPr>
    </w:p>
    <w:p>
      <w:pPr>
        <w:spacing w:after="0"/>
        <w:rPr>
          <w:sz w:val="15"/>
        </w:rPr>
        <w:sectPr>
          <w:pgSz w:w="11910" w:h="16840"/>
          <w:pgMar w:header="0" w:footer="460" w:top="1100" w:bottom="660" w:left="920" w:right="800"/>
        </w:sectPr>
      </w:pPr>
    </w:p>
    <w:p>
      <w:pPr>
        <w:pStyle w:val="Heading3"/>
        <w:numPr>
          <w:ilvl w:val="1"/>
          <w:numId w:val="8"/>
        </w:numPr>
        <w:tabs>
          <w:tab w:pos="858" w:val="left" w:leader="none"/>
          <w:tab w:pos="859" w:val="left" w:leader="none"/>
        </w:tabs>
        <w:spacing w:line="240" w:lineRule="auto" w:before="36" w:after="0"/>
        <w:ind w:left="858" w:right="0" w:hanging="757"/>
        <w:jc w:val="left"/>
      </w:pPr>
      <w:r>
        <w:rPr>
          <w:w w:val="95"/>
        </w:rPr>
        <w:t>语言能力或咀嚼吞</w:t>
      </w:r>
    </w:p>
    <w:p>
      <w:pPr>
        <w:spacing w:before="37"/>
        <w:ind w:left="858" w:right="0" w:firstLine="0"/>
        <w:jc w:val="left"/>
        <w:rPr>
          <w:b/>
          <w:sz w:val="21"/>
        </w:rPr>
      </w:pPr>
      <w:r>
        <w:rPr>
          <w:b/>
          <w:w w:val="95"/>
          <w:sz w:val="21"/>
        </w:rPr>
        <w:t>咽能力完全丧失</w:t>
      </w:r>
    </w:p>
    <w:p>
      <w:pPr>
        <w:pStyle w:val="BodyText"/>
        <w:spacing w:line="273" w:lineRule="auto" w:before="36"/>
        <w:ind w:left="101" w:right="103"/>
      </w:pPr>
      <w:r>
        <w:rPr/>
        <w:br w:type="column"/>
      </w:r>
      <w:r>
        <w:rPr/>
        <w:t>语言能力完全丧失，指无法发出四种语音（包括口唇音、齿舌音、口盖音和喉头音</w:t>
      </w:r>
      <w:r>
        <w:rPr>
          <w:spacing w:val="-29"/>
        </w:rPr>
        <w:t>）</w:t>
      </w:r>
      <w:r>
        <w:rPr>
          <w:spacing w:val="-7"/>
        </w:rPr>
        <w:t>中的任何三种、或声带全部切除，或因大脑语言中枢受伤害而患失语症。咀嚼吞咽能力完全丧失，指因牙齿以外的原因导致器质障碍或机能障碍，以致不能作咀嚼吞咽运动，除流质食物外不能摄取或吞咽的状态。</w:t>
      </w:r>
    </w:p>
    <w:p>
      <w:pPr>
        <w:spacing w:after="0" w:line="273" w:lineRule="auto"/>
        <w:sectPr>
          <w:type w:val="continuous"/>
          <w:pgSz w:w="11910" w:h="16840"/>
          <w:pgMar w:top="520" w:bottom="280" w:left="920" w:right="800"/>
          <w:cols w:num="2" w:equalWidth="0">
            <w:col w:w="2546" w:space="169"/>
            <w:col w:w="7475"/>
          </w:cols>
        </w:sectPr>
      </w:pPr>
    </w:p>
    <w:p>
      <w:pPr>
        <w:pStyle w:val="BodyText"/>
        <w:spacing w:before="9"/>
        <w:rPr>
          <w:sz w:val="14"/>
        </w:rPr>
      </w:pPr>
    </w:p>
    <w:p>
      <w:pPr>
        <w:pStyle w:val="ListParagraph"/>
        <w:numPr>
          <w:ilvl w:val="1"/>
          <w:numId w:val="8"/>
        </w:numPr>
        <w:tabs>
          <w:tab w:pos="858" w:val="left" w:leader="none"/>
          <w:tab w:pos="859" w:val="left" w:leader="none"/>
          <w:tab w:pos="2815" w:val="left" w:leader="none"/>
        </w:tabs>
        <w:spacing w:line="256" w:lineRule="auto" w:before="42" w:after="0"/>
        <w:ind w:left="2815" w:right="226" w:hanging="2714"/>
        <w:jc w:val="left"/>
        <w:rPr>
          <w:sz w:val="21"/>
        </w:rPr>
      </w:pPr>
      <w:r>
        <w:rPr>
          <w:b/>
          <w:sz w:val="21"/>
        </w:rPr>
        <w:t>永久不可逆</w:t>
        <w:tab/>
      </w:r>
      <w:r>
        <w:rPr>
          <w:sz w:val="21"/>
        </w:rPr>
        <w:t>指自疾病确诊或意外伤害发生之日起，经过积极治疗</w:t>
      </w:r>
      <w:r>
        <w:rPr>
          <w:spacing w:val="-54"/>
          <w:sz w:val="21"/>
        </w:rPr>
        <w:t> </w:t>
      </w:r>
      <w:r>
        <w:rPr>
          <w:rFonts w:ascii="Times New Roman" w:eastAsia="Times New Roman"/>
          <w:sz w:val="21"/>
        </w:rPr>
        <w:t>180</w:t>
      </w:r>
      <w:r>
        <w:rPr>
          <w:rFonts w:ascii="Times New Roman" w:eastAsia="Times New Roman"/>
          <w:spacing w:val="-2"/>
          <w:sz w:val="21"/>
        </w:rPr>
        <w:t> </w:t>
      </w:r>
      <w:r>
        <w:rPr>
          <w:sz w:val="21"/>
        </w:rPr>
        <w:t>天后，仍无法通过现有医疗手段恢复。</w:t>
      </w:r>
    </w:p>
    <w:p>
      <w:pPr>
        <w:pStyle w:val="BodyText"/>
        <w:spacing w:before="11"/>
        <w:rPr>
          <w:sz w:val="15"/>
        </w:rPr>
      </w:pPr>
    </w:p>
    <w:p>
      <w:pPr>
        <w:spacing w:after="0"/>
        <w:rPr>
          <w:sz w:val="15"/>
        </w:rPr>
        <w:sectPr>
          <w:type w:val="continuous"/>
          <w:pgSz w:w="11910" w:h="16840"/>
          <w:pgMar w:top="520" w:bottom="280" w:left="920" w:right="800"/>
        </w:sectPr>
      </w:pPr>
    </w:p>
    <w:p>
      <w:pPr>
        <w:pStyle w:val="Heading3"/>
        <w:numPr>
          <w:ilvl w:val="1"/>
          <w:numId w:val="8"/>
        </w:numPr>
        <w:tabs>
          <w:tab w:pos="858" w:val="left" w:leader="none"/>
          <w:tab w:pos="859" w:val="left" w:leader="none"/>
        </w:tabs>
        <w:spacing w:line="273" w:lineRule="auto" w:before="42" w:after="0"/>
        <w:ind w:left="858" w:right="0" w:hanging="757"/>
        <w:jc w:val="left"/>
      </w:pPr>
      <w:r>
        <w:rPr/>
        <w:t>感染艾滋病病毒或</w:t>
      </w:r>
      <w:r>
        <w:rPr>
          <w:w w:val="95"/>
        </w:rPr>
        <w:t>患艾滋病</w:t>
      </w:r>
    </w:p>
    <w:p>
      <w:pPr>
        <w:pStyle w:val="BodyText"/>
        <w:spacing w:line="256" w:lineRule="auto" w:before="42"/>
        <w:ind w:left="101" w:right="220"/>
        <w:jc w:val="both"/>
      </w:pPr>
      <w:r>
        <w:rPr/>
        <w:br w:type="column"/>
      </w:r>
      <w:r>
        <w:rPr>
          <w:spacing w:val="-3"/>
        </w:rPr>
        <w:t>艾滋病病毒指人类免疫缺陷病毒，英文缩写为 </w:t>
      </w:r>
      <w:r>
        <w:rPr>
          <w:rFonts w:ascii="Times New Roman" w:eastAsia="Times New Roman"/>
        </w:rPr>
        <w:t>HIV</w:t>
      </w:r>
      <w:r>
        <w:rPr/>
        <w:t>。艾滋病指人类免疫缺陷病</w:t>
      </w:r>
      <w:r>
        <w:rPr>
          <w:spacing w:val="-3"/>
        </w:rPr>
        <w:t>毒引起的获得性免疫缺陷综合征，英文缩写为 </w:t>
      </w:r>
      <w:r>
        <w:rPr>
          <w:rFonts w:ascii="Times New Roman" w:eastAsia="Times New Roman"/>
        </w:rPr>
        <w:t>AIDS</w:t>
      </w:r>
      <w:r>
        <w:rPr/>
        <w:t>。</w:t>
      </w:r>
    </w:p>
    <w:p>
      <w:pPr>
        <w:pStyle w:val="BodyText"/>
        <w:spacing w:line="273" w:lineRule="auto" w:before="4"/>
        <w:ind w:left="101" w:right="226"/>
        <w:jc w:val="both"/>
      </w:pPr>
      <w:r>
        <w:rPr/>
        <w:t>在人体血液或其他样本中检测到艾滋病病毒或其抗体呈阳性，没有出现临床症状或体征的，为感染艾滋病病毒；如果同时出现了明显临床症状或体征的，为患艾滋病。</w:t>
      </w:r>
    </w:p>
    <w:p>
      <w:pPr>
        <w:spacing w:after="0" w:line="273" w:lineRule="auto"/>
        <w:jc w:val="both"/>
        <w:sectPr>
          <w:type w:val="continuous"/>
          <w:pgSz w:w="11910" w:h="16840"/>
          <w:pgMar w:top="520" w:bottom="280" w:left="920" w:right="800"/>
          <w:cols w:num="2" w:equalWidth="0">
            <w:col w:w="2546" w:space="169"/>
            <w:col w:w="7475"/>
          </w:cols>
        </w:sectPr>
      </w:pPr>
    </w:p>
    <w:p>
      <w:pPr>
        <w:pStyle w:val="BodyText"/>
        <w:spacing w:before="2"/>
        <w:rPr>
          <w:sz w:val="15"/>
        </w:rPr>
      </w:pPr>
    </w:p>
    <w:p>
      <w:pPr>
        <w:pStyle w:val="ListParagraph"/>
        <w:numPr>
          <w:ilvl w:val="1"/>
          <w:numId w:val="8"/>
        </w:numPr>
        <w:tabs>
          <w:tab w:pos="858" w:val="left" w:leader="none"/>
          <w:tab w:pos="859" w:val="left" w:leader="none"/>
          <w:tab w:pos="2837" w:val="left" w:leader="none"/>
        </w:tabs>
        <w:spacing w:line="273" w:lineRule="auto" w:before="36" w:after="0"/>
        <w:ind w:left="2837" w:right="207" w:hanging="2736"/>
        <w:jc w:val="left"/>
        <w:rPr>
          <w:sz w:val="21"/>
        </w:rPr>
      </w:pPr>
      <w:r>
        <w:rPr>
          <w:b/>
          <w:sz w:val="21"/>
        </w:rPr>
        <w:t>遗传性疾病</w:t>
        <w:tab/>
      </w:r>
      <w:r>
        <w:rPr>
          <w:spacing w:val="-1"/>
          <w:sz w:val="21"/>
        </w:rPr>
        <w:t>指生殖细</w:t>
      </w:r>
      <w:r>
        <w:rPr>
          <w:sz w:val="21"/>
        </w:rPr>
        <w:t>胞或受精卵的遗传物质（染色体和基因）发生突变或畸变所引起的疾病，通常具有由亲代传至后代的垂直传递的特征。</w:t>
      </w:r>
    </w:p>
    <w:p>
      <w:pPr>
        <w:pStyle w:val="BodyText"/>
        <w:spacing w:before="3"/>
        <w:rPr>
          <w:sz w:val="15"/>
        </w:rPr>
      </w:pPr>
    </w:p>
    <w:p>
      <w:pPr>
        <w:spacing w:after="0"/>
        <w:rPr>
          <w:sz w:val="15"/>
        </w:rPr>
        <w:sectPr>
          <w:type w:val="continuous"/>
          <w:pgSz w:w="11910" w:h="16840"/>
          <w:pgMar w:top="520" w:bottom="280" w:left="920" w:right="800"/>
        </w:sectPr>
      </w:pPr>
    </w:p>
    <w:p>
      <w:pPr>
        <w:pStyle w:val="Heading3"/>
        <w:numPr>
          <w:ilvl w:val="1"/>
          <w:numId w:val="8"/>
        </w:numPr>
        <w:tabs>
          <w:tab w:pos="858" w:val="left" w:leader="none"/>
          <w:tab w:pos="859" w:val="left" w:leader="none"/>
        </w:tabs>
        <w:spacing w:line="240" w:lineRule="auto" w:before="35" w:after="0"/>
        <w:ind w:left="858" w:right="0" w:hanging="757"/>
        <w:jc w:val="left"/>
      </w:pPr>
      <w:r>
        <w:rPr>
          <w:w w:val="95"/>
        </w:rPr>
        <w:t>先天性畸形、变形</w:t>
      </w:r>
    </w:p>
    <w:p>
      <w:pPr>
        <w:spacing w:before="37"/>
        <w:ind w:left="858" w:right="0" w:firstLine="0"/>
        <w:jc w:val="left"/>
        <w:rPr>
          <w:b/>
          <w:sz w:val="21"/>
        </w:rPr>
      </w:pPr>
      <w:r>
        <w:rPr>
          <w:b/>
          <w:w w:val="95"/>
          <w:sz w:val="21"/>
        </w:rPr>
        <w:t>或染色体异常</w:t>
      </w:r>
    </w:p>
    <w:p>
      <w:pPr>
        <w:pStyle w:val="BodyText"/>
        <w:spacing w:line="273" w:lineRule="auto" w:before="35"/>
        <w:ind w:left="101" w:right="103"/>
      </w:pPr>
      <w:r>
        <w:rPr/>
        <w:br w:type="column"/>
      </w:r>
      <w:r>
        <w:rPr/>
        <w:t>指被保险人出生时就具有的畸形、变形或染色体异常。先天性畸形、变形和染</w:t>
      </w:r>
      <w:r>
        <w:rPr>
          <w:spacing w:val="-4"/>
        </w:rPr>
        <w:t>色体异常依照世界卫生组织《疾病和有关健康问题的国际统计分类》</w:t>
      </w:r>
      <w:r>
        <w:rPr/>
        <w:t>（ICD-10） 确定。</w:t>
      </w:r>
    </w:p>
    <w:p>
      <w:pPr>
        <w:spacing w:after="0" w:line="273" w:lineRule="auto"/>
        <w:sectPr>
          <w:type w:val="continuous"/>
          <w:pgSz w:w="11910" w:h="16840"/>
          <w:pgMar w:top="520" w:bottom="280" w:left="920" w:right="800"/>
          <w:cols w:num="2" w:equalWidth="0">
            <w:col w:w="2546" w:space="190"/>
            <w:col w:w="7454"/>
          </w:cols>
        </w:sectPr>
      </w:pPr>
    </w:p>
    <w:p>
      <w:pPr>
        <w:pStyle w:val="BodyText"/>
        <w:spacing w:before="2"/>
        <w:rPr>
          <w:sz w:val="15"/>
        </w:rPr>
      </w:pPr>
    </w:p>
    <w:p>
      <w:pPr>
        <w:pStyle w:val="ListParagraph"/>
        <w:numPr>
          <w:ilvl w:val="1"/>
          <w:numId w:val="8"/>
        </w:numPr>
        <w:tabs>
          <w:tab w:pos="858" w:val="left" w:leader="none"/>
          <w:tab w:pos="859" w:val="left" w:leader="none"/>
          <w:tab w:pos="2837" w:val="left" w:leader="none"/>
        </w:tabs>
        <w:spacing w:line="240" w:lineRule="auto" w:before="36" w:after="0"/>
        <w:ind w:left="858" w:right="0" w:hanging="757"/>
        <w:jc w:val="left"/>
        <w:rPr>
          <w:sz w:val="21"/>
        </w:rPr>
      </w:pPr>
      <w:r>
        <w:rPr>
          <w:b/>
          <w:sz w:val="21"/>
        </w:rPr>
        <w:t>适用主合同释义</w:t>
        <w:tab/>
      </w:r>
      <w:r>
        <w:rPr>
          <w:sz w:val="21"/>
        </w:rPr>
        <w:t>本附加合同中其他重要术语的释义请参看主合同释义条款。</w:t>
      </w:r>
    </w:p>
    <w:sectPr>
      <w:type w:val="continuous"/>
      <w:pgSz w:w="11910" w:h="16840"/>
      <w:pgMar w:top="520" w:bottom="280" w:left="920" w:right="8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Wingdings">
    <w:altName w:val="Wingdings"/>
    <w:charset w:val="2"/>
    <w:family w:val="auto"/>
    <w:pitch w:val="variable"/>
  </w:font>
  <w:font w:name="黑体">
    <w:altName w:val="黑体"/>
    <w:charset w:val="86"/>
    <w:family w:val="modern"/>
    <w:pitch w:val="fixed"/>
  </w:font>
  <w:font w:name="微软雅黑">
    <w:altName w:val="微软雅黑"/>
    <w:charset w:val="86"/>
    <w:family w:val="swiss"/>
    <w:pitch w:val="variable"/>
  </w:font>
  <w:font w:name="Microsoft JhengHei">
    <w:altName w:val="Microsoft JhengHe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30.73999pt;margin-top:807.999695pt;width:14.55pt;height:12pt;mso-position-horizontal-relative:page;mso-position-vertical-relative:page;z-index:-2024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2</w:t>
                </w:r>
                <w:r>
                  <w:rPr/>
                  <w:fldChar w:fldCharType="end"/>
                </w:r>
                <w:r>
                  <w:rPr>
                    <w:rFonts w:ascii="Times New Roman"/>
                    <w:sz w:val="18"/>
                  </w:rPr>
                  <w:t>/8</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
    <w:multiLevelType w:val="hybridMultilevel"/>
    <w:lvl w:ilvl="0">
      <w:start w:val="9"/>
      <w:numFmt w:val="decimal"/>
      <w:lvlText w:val="%1"/>
      <w:lvlJc w:val="left"/>
      <w:pPr>
        <w:ind w:left="2935" w:hanging="758"/>
        <w:jc w:val="left"/>
      </w:pPr>
      <w:rPr>
        <w:rFonts w:hint="default"/>
      </w:rPr>
    </w:lvl>
    <w:lvl w:ilvl="1">
      <w:start w:val="1"/>
      <w:numFmt w:val="decimal"/>
      <w:lvlText w:val="%1.%2"/>
      <w:lvlJc w:val="left"/>
      <w:pPr>
        <w:ind w:left="2935" w:hanging="758"/>
        <w:jc w:val="right"/>
      </w:pPr>
      <w:rPr>
        <w:rFonts w:hint="default" w:ascii="宋体" w:hAnsi="宋体" w:eastAsia="宋体" w:cs="宋体"/>
        <w:b/>
        <w:bCs/>
        <w:w w:val="99"/>
        <w:sz w:val="21"/>
        <w:szCs w:val="21"/>
      </w:rPr>
    </w:lvl>
    <w:lvl w:ilvl="2">
      <w:start w:val="0"/>
      <w:numFmt w:val="bullet"/>
      <w:lvlText w:val="•"/>
      <w:lvlJc w:val="left"/>
      <w:pPr>
        <w:ind w:left="4220" w:hanging="758"/>
      </w:pPr>
      <w:rPr>
        <w:rFonts w:hint="default"/>
      </w:rPr>
    </w:lvl>
    <w:lvl w:ilvl="3">
      <w:start w:val="0"/>
      <w:numFmt w:val="bullet"/>
      <w:lvlText w:val="•"/>
      <w:lvlJc w:val="left"/>
      <w:pPr>
        <w:ind w:left="4980" w:hanging="758"/>
      </w:pPr>
      <w:rPr>
        <w:rFonts w:hint="default"/>
      </w:rPr>
    </w:lvl>
    <w:lvl w:ilvl="4">
      <w:start w:val="0"/>
      <w:numFmt w:val="bullet"/>
      <w:lvlText w:val="•"/>
      <w:lvlJc w:val="left"/>
      <w:pPr>
        <w:ind w:left="5741" w:hanging="758"/>
      </w:pPr>
      <w:rPr>
        <w:rFonts w:hint="default"/>
      </w:rPr>
    </w:lvl>
    <w:lvl w:ilvl="5">
      <w:start w:val="0"/>
      <w:numFmt w:val="bullet"/>
      <w:lvlText w:val="•"/>
      <w:lvlJc w:val="left"/>
      <w:pPr>
        <w:ind w:left="6501" w:hanging="758"/>
      </w:pPr>
      <w:rPr>
        <w:rFonts w:hint="default"/>
      </w:rPr>
    </w:lvl>
    <w:lvl w:ilvl="6">
      <w:start w:val="0"/>
      <w:numFmt w:val="bullet"/>
      <w:lvlText w:val="•"/>
      <w:lvlJc w:val="left"/>
      <w:pPr>
        <w:ind w:left="7262" w:hanging="758"/>
      </w:pPr>
      <w:rPr>
        <w:rFonts w:hint="default"/>
      </w:rPr>
    </w:lvl>
    <w:lvl w:ilvl="7">
      <w:start w:val="0"/>
      <w:numFmt w:val="bullet"/>
      <w:lvlText w:val="•"/>
      <w:lvlJc w:val="left"/>
      <w:pPr>
        <w:ind w:left="8022" w:hanging="758"/>
      </w:pPr>
      <w:rPr>
        <w:rFonts w:hint="default"/>
      </w:rPr>
    </w:lvl>
    <w:lvl w:ilvl="8">
      <w:start w:val="0"/>
      <w:numFmt w:val="bullet"/>
      <w:lvlText w:val="•"/>
      <w:lvlJc w:val="left"/>
      <w:pPr>
        <w:ind w:left="8783" w:hanging="758"/>
      </w:pPr>
      <w:rPr>
        <w:rFonts w:hint="default"/>
      </w:rPr>
    </w:lvl>
  </w:abstractNum>
  <w:abstractNum w:abstractNumId="6">
    <w:multiLevelType w:val="hybridMultilevel"/>
    <w:lvl w:ilvl="0">
      <w:start w:val="8"/>
      <w:numFmt w:val="decimal"/>
      <w:lvlText w:val="%1"/>
      <w:lvlJc w:val="left"/>
      <w:pPr>
        <w:ind w:left="2935" w:hanging="758"/>
        <w:jc w:val="left"/>
      </w:pPr>
      <w:rPr>
        <w:rFonts w:hint="default"/>
      </w:rPr>
    </w:lvl>
    <w:lvl w:ilvl="1">
      <w:start w:val="1"/>
      <w:numFmt w:val="decimal"/>
      <w:lvlText w:val="%1.%2"/>
      <w:lvlJc w:val="left"/>
      <w:pPr>
        <w:ind w:left="2935" w:hanging="758"/>
        <w:jc w:val="left"/>
      </w:pPr>
      <w:rPr>
        <w:rFonts w:hint="default" w:ascii="宋体" w:hAnsi="宋体" w:eastAsia="宋体" w:cs="宋体"/>
        <w:b/>
        <w:bCs/>
        <w:spacing w:val="0"/>
        <w:w w:val="99"/>
        <w:sz w:val="21"/>
        <w:szCs w:val="21"/>
      </w:rPr>
    </w:lvl>
    <w:lvl w:ilvl="2">
      <w:start w:val="0"/>
      <w:numFmt w:val="bullet"/>
      <w:lvlText w:val="•"/>
      <w:lvlJc w:val="left"/>
      <w:pPr>
        <w:ind w:left="4412" w:hanging="758"/>
      </w:pPr>
      <w:rPr>
        <w:rFonts w:hint="default"/>
      </w:rPr>
    </w:lvl>
    <w:lvl w:ilvl="3">
      <w:start w:val="0"/>
      <w:numFmt w:val="bullet"/>
      <w:lvlText w:val="•"/>
      <w:lvlJc w:val="left"/>
      <w:pPr>
        <w:ind w:left="5149" w:hanging="758"/>
      </w:pPr>
      <w:rPr>
        <w:rFonts w:hint="default"/>
      </w:rPr>
    </w:lvl>
    <w:lvl w:ilvl="4">
      <w:start w:val="0"/>
      <w:numFmt w:val="bullet"/>
      <w:lvlText w:val="•"/>
      <w:lvlJc w:val="left"/>
      <w:pPr>
        <w:ind w:left="5885" w:hanging="758"/>
      </w:pPr>
      <w:rPr>
        <w:rFonts w:hint="default"/>
      </w:rPr>
    </w:lvl>
    <w:lvl w:ilvl="5">
      <w:start w:val="0"/>
      <w:numFmt w:val="bullet"/>
      <w:lvlText w:val="•"/>
      <w:lvlJc w:val="left"/>
      <w:pPr>
        <w:ind w:left="6622" w:hanging="758"/>
      </w:pPr>
      <w:rPr>
        <w:rFonts w:hint="default"/>
      </w:rPr>
    </w:lvl>
    <w:lvl w:ilvl="6">
      <w:start w:val="0"/>
      <w:numFmt w:val="bullet"/>
      <w:lvlText w:val="•"/>
      <w:lvlJc w:val="left"/>
      <w:pPr>
        <w:ind w:left="7358" w:hanging="758"/>
      </w:pPr>
      <w:rPr>
        <w:rFonts w:hint="default"/>
      </w:rPr>
    </w:lvl>
    <w:lvl w:ilvl="7">
      <w:start w:val="0"/>
      <w:numFmt w:val="bullet"/>
      <w:lvlText w:val="•"/>
      <w:lvlJc w:val="left"/>
      <w:pPr>
        <w:ind w:left="8095" w:hanging="758"/>
      </w:pPr>
      <w:rPr>
        <w:rFonts w:hint="default"/>
      </w:rPr>
    </w:lvl>
    <w:lvl w:ilvl="8">
      <w:start w:val="0"/>
      <w:numFmt w:val="bullet"/>
      <w:lvlText w:val="•"/>
      <w:lvlJc w:val="left"/>
      <w:pPr>
        <w:ind w:left="8831" w:hanging="758"/>
      </w:pPr>
      <w:rPr>
        <w:rFonts w:hint="default"/>
      </w:rPr>
    </w:lvl>
  </w:abstractNum>
  <w:abstractNum w:abstractNumId="5">
    <w:multiLevelType w:val="hybridMultilevel"/>
    <w:lvl w:ilvl="0">
      <w:start w:val="6"/>
      <w:numFmt w:val="decimal"/>
      <w:lvlText w:val="%1"/>
      <w:lvlJc w:val="left"/>
      <w:pPr>
        <w:ind w:left="2935" w:hanging="757"/>
        <w:jc w:val="left"/>
      </w:pPr>
      <w:rPr>
        <w:rFonts w:hint="default"/>
      </w:rPr>
    </w:lvl>
    <w:lvl w:ilvl="1">
      <w:start w:val="1"/>
      <w:numFmt w:val="decimal"/>
      <w:lvlText w:val="%1.%2"/>
      <w:lvlJc w:val="left"/>
      <w:pPr>
        <w:ind w:left="2935" w:hanging="757"/>
        <w:jc w:val="left"/>
      </w:pPr>
      <w:rPr>
        <w:rFonts w:hint="default" w:ascii="宋体" w:hAnsi="宋体" w:eastAsia="宋体" w:cs="宋体"/>
        <w:b/>
        <w:bCs/>
        <w:w w:val="99"/>
        <w:sz w:val="21"/>
        <w:szCs w:val="21"/>
      </w:rPr>
    </w:lvl>
    <w:lvl w:ilvl="2">
      <w:start w:val="0"/>
      <w:numFmt w:val="bullet"/>
      <w:lvlText w:val="•"/>
      <w:lvlJc w:val="left"/>
      <w:pPr>
        <w:ind w:left="4412" w:hanging="757"/>
      </w:pPr>
      <w:rPr>
        <w:rFonts w:hint="default"/>
      </w:rPr>
    </w:lvl>
    <w:lvl w:ilvl="3">
      <w:start w:val="0"/>
      <w:numFmt w:val="bullet"/>
      <w:lvlText w:val="•"/>
      <w:lvlJc w:val="left"/>
      <w:pPr>
        <w:ind w:left="5149" w:hanging="757"/>
      </w:pPr>
      <w:rPr>
        <w:rFonts w:hint="default"/>
      </w:rPr>
    </w:lvl>
    <w:lvl w:ilvl="4">
      <w:start w:val="0"/>
      <w:numFmt w:val="bullet"/>
      <w:lvlText w:val="•"/>
      <w:lvlJc w:val="left"/>
      <w:pPr>
        <w:ind w:left="5885" w:hanging="757"/>
      </w:pPr>
      <w:rPr>
        <w:rFonts w:hint="default"/>
      </w:rPr>
    </w:lvl>
    <w:lvl w:ilvl="5">
      <w:start w:val="0"/>
      <w:numFmt w:val="bullet"/>
      <w:lvlText w:val="•"/>
      <w:lvlJc w:val="left"/>
      <w:pPr>
        <w:ind w:left="6622" w:hanging="757"/>
      </w:pPr>
      <w:rPr>
        <w:rFonts w:hint="default"/>
      </w:rPr>
    </w:lvl>
    <w:lvl w:ilvl="6">
      <w:start w:val="0"/>
      <w:numFmt w:val="bullet"/>
      <w:lvlText w:val="•"/>
      <w:lvlJc w:val="left"/>
      <w:pPr>
        <w:ind w:left="7358" w:hanging="757"/>
      </w:pPr>
      <w:rPr>
        <w:rFonts w:hint="default"/>
      </w:rPr>
    </w:lvl>
    <w:lvl w:ilvl="7">
      <w:start w:val="0"/>
      <w:numFmt w:val="bullet"/>
      <w:lvlText w:val="•"/>
      <w:lvlJc w:val="left"/>
      <w:pPr>
        <w:ind w:left="8095" w:hanging="757"/>
      </w:pPr>
      <w:rPr>
        <w:rFonts w:hint="default"/>
      </w:rPr>
    </w:lvl>
    <w:lvl w:ilvl="8">
      <w:start w:val="0"/>
      <w:numFmt w:val="bullet"/>
      <w:lvlText w:val="•"/>
      <w:lvlJc w:val="left"/>
      <w:pPr>
        <w:ind w:left="8831" w:hanging="757"/>
      </w:pPr>
      <w:rPr>
        <w:rFonts w:hint="default"/>
      </w:rPr>
    </w:lvl>
  </w:abstractNum>
  <w:abstractNum w:abstractNumId="4">
    <w:multiLevelType w:val="hybridMultilevel"/>
    <w:lvl w:ilvl="0">
      <w:start w:val="4"/>
      <w:numFmt w:val="decimal"/>
      <w:lvlText w:val="%1"/>
      <w:lvlJc w:val="left"/>
      <w:pPr>
        <w:ind w:left="2935" w:hanging="758"/>
        <w:jc w:val="left"/>
      </w:pPr>
      <w:rPr>
        <w:rFonts w:hint="default"/>
      </w:rPr>
    </w:lvl>
    <w:lvl w:ilvl="1">
      <w:start w:val="1"/>
      <w:numFmt w:val="decimal"/>
      <w:lvlText w:val="%1.%2"/>
      <w:lvlJc w:val="left"/>
      <w:pPr>
        <w:ind w:left="2935" w:hanging="758"/>
        <w:jc w:val="left"/>
      </w:pPr>
      <w:rPr>
        <w:rFonts w:hint="default" w:ascii="宋体" w:hAnsi="宋体" w:eastAsia="宋体" w:cs="宋体"/>
        <w:b/>
        <w:bCs/>
        <w:w w:val="99"/>
        <w:sz w:val="21"/>
        <w:szCs w:val="21"/>
      </w:rPr>
    </w:lvl>
    <w:lvl w:ilvl="2">
      <w:start w:val="0"/>
      <w:numFmt w:val="bullet"/>
      <w:lvlText w:val="•"/>
      <w:lvlJc w:val="left"/>
      <w:pPr>
        <w:ind w:left="4412" w:hanging="758"/>
      </w:pPr>
      <w:rPr>
        <w:rFonts w:hint="default"/>
      </w:rPr>
    </w:lvl>
    <w:lvl w:ilvl="3">
      <w:start w:val="0"/>
      <w:numFmt w:val="bullet"/>
      <w:lvlText w:val="•"/>
      <w:lvlJc w:val="left"/>
      <w:pPr>
        <w:ind w:left="5149" w:hanging="758"/>
      </w:pPr>
      <w:rPr>
        <w:rFonts w:hint="default"/>
      </w:rPr>
    </w:lvl>
    <w:lvl w:ilvl="4">
      <w:start w:val="0"/>
      <w:numFmt w:val="bullet"/>
      <w:lvlText w:val="•"/>
      <w:lvlJc w:val="left"/>
      <w:pPr>
        <w:ind w:left="5885" w:hanging="758"/>
      </w:pPr>
      <w:rPr>
        <w:rFonts w:hint="default"/>
      </w:rPr>
    </w:lvl>
    <w:lvl w:ilvl="5">
      <w:start w:val="0"/>
      <w:numFmt w:val="bullet"/>
      <w:lvlText w:val="•"/>
      <w:lvlJc w:val="left"/>
      <w:pPr>
        <w:ind w:left="6622" w:hanging="758"/>
      </w:pPr>
      <w:rPr>
        <w:rFonts w:hint="default"/>
      </w:rPr>
    </w:lvl>
    <w:lvl w:ilvl="6">
      <w:start w:val="0"/>
      <w:numFmt w:val="bullet"/>
      <w:lvlText w:val="•"/>
      <w:lvlJc w:val="left"/>
      <w:pPr>
        <w:ind w:left="7358" w:hanging="758"/>
      </w:pPr>
      <w:rPr>
        <w:rFonts w:hint="default"/>
      </w:rPr>
    </w:lvl>
    <w:lvl w:ilvl="7">
      <w:start w:val="0"/>
      <w:numFmt w:val="bullet"/>
      <w:lvlText w:val="•"/>
      <w:lvlJc w:val="left"/>
      <w:pPr>
        <w:ind w:left="8095" w:hanging="758"/>
      </w:pPr>
      <w:rPr>
        <w:rFonts w:hint="default"/>
      </w:rPr>
    </w:lvl>
    <w:lvl w:ilvl="8">
      <w:start w:val="0"/>
      <w:numFmt w:val="bullet"/>
      <w:lvlText w:val="•"/>
      <w:lvlJc w:val="left"/>
      <w:pPr>
        <w:ind w:left="8831" w:hanging="758"/>
      </w:pPr>
      <w:rPr>
        <w:rFonts w:hint="default"/>
      </w:rPr>
    </w:lvl>
  </w:abstractNum>
  <w:abstractNum w:abstractNumId="3">
    <w:multiLevelType w:val="hybridMultilevel"/>
    <w:lvl w:ilvl="0">
      <w:start w:val="3"/>
      <w:numFmt w:val="decimal"/>
      <w:lvlText w:val="%1"/>
      <w:lvlJc w:val="left"/>
      <w:pPr>
        <w:ind w:left="2935" w:hanging="758"/>
        <w:jc w:val="left"/>
      </w:pPr>
      <w:rPr>
        <w:rFonts w:hint="default"/>
      </w:rPr>
    </w:lvl>
    <w:lvl w:ilvl="1">
      <w:start w:val="1"/>
      <w:numFmt w:val="decimal"/>
      <w:lvlText w:val="%1.%2"/>
      <w:lvlJc w:val="left"/>
      <w:pPr>
        <w:ind w:left="2935" w:hanging="758"/>
        <w:jc w:val="left"/>
      </w:pPr>
      <w:rPr>
        <w:rFonts w:hint="default" w:ascii="宋体" w:hAnsi="宋体" w:eastAsia="宋体" w:cs="宋体"/>
        <w:b/>
        <w:bCs/>
        <w:w w:val="99"/>
        <w:sz w:val="21"/>
        <w:szCs w:val="21"/>
      </w:rPr>
    </w:lvl>
    <w:lvl w:ilvl="2">
      <w:start w:val="0"/>
      <w:numFmt w:val="bullet"/>
      <w:lvlText w:val="•"/>
      <w:lvlJc w:val="left"/>
      <w:pPr>
        <w:ind w:left="4412" w:hanging="758"/>
      </w:pPr>
      <w:rPr>
        <w:rFonts w:hint="default"/>
      </w:rPr>
    </w:lvl>
    <w:lvl w:ilvl="3">
      <w:start w:val="0"/>
      <w:numFmt w:val="bullet"/>
      <w:lvlText w:val="•"/>
      <w:lvlJc w:val="left"/>
      <w:pPr>
        <w:ind w:left="5149" w:hanging="758"/>
      </w:pPr>
      <w:rPr>
        <w:rFonts w:hint="default"/>
      </w:rPr>
    </w:lvl>
    <w:lvl w:ilvl="4">
      <w:start w:val="0"/>
      <w:numFmt w:val="bullet"/>
      <w:lvlText w:val="•"/>
      <w:lvlJc w:val="left"/>
      <w:pPr>
        <w:ind w:left="5885" w:hanging="758"/>
      </w:pPr>
      <w:rPr>
        <w:rFonts w:hint="default"/>
      </w:rPr>
    </w:lvl>
    <w:lvl w:ilvl="5">
      <w:start w:val="0"/>
      <w:numFmt w:val="bullet"/>
      <w:lvlText w:val="•"/>
      <w:lvlJc w:val="left"/>
      <w:pPr>
        <w:ind w:left="6622" w:hanging="758"/>
      </w:pPr>
      <w:rPr>
        <w:rFonts w:hint="default"/>
      </w:rPr>
    </w:lvl>
    <w:lvl w:ilvl="6">
      <w:start w:val="0"/>
      <w:numFmt w:val="bullet"/>
      <w:lvlText w:val="•"/>
      <w:lvlJc w:val="left"/>
      <w:pPr>
        <w:ind w:left="7358" w:hanging="758"/>
      </w:pPr>
      <w:rPr>
        <w:rFonts w:hint="default"/>
      </w:rPr>
    </w:lvl>
    <w:lvl w:ilvl="7">
      <w:start w:val="0"/>
      <w:numFmt w:val="bullet"/>
      <w:lvlText w:val="•"/>
      <w:lvlJc w:val="left"/>
      <w:pPr>
        <w:ind w:left="8095" w:hanging="758"/>
      </w:pPr>
      <w:rPr>
        <w:rFonts w:hint="default"/>
      </w:rPr>
    </w:lvl>
    <w:lvl w:ilvl="8">
      <w:start w:val="0"/>
      <w:numFmt w:val="bullet"/>
      <w:lvlText w:val="•"/>
      <w:lvlJc w:val="left"/>
      <w:pPr>
        <w:ind w:left="8831" w:hanging="758"/>
      </w:pPr>
      <w:rPr>
        <w:rFonts w:hint="default"/>
      </w:rPr>
    </w:lvl>
  </w:abstractNum>
  <w:abstractNum w:abstractNumId="2">
    <w:multiLevelType w:val="hybridMultilevel"/>
    <w:lvl w:ilvl="0">
      <w:start w:val="2"/>
      <w:numFmt w:val="decimal"/>
      <w:lvlText w:val="%1"/>
      <w:lvlJc w:val="left"/>
      <w:pPr>
        <w:ind w:left="2935" w:hanging="758"/>
        <w:jc w:val="left"/>
      </w:pPr>
      <w:rPr>
        <w:rFonts w:hint="default"/>
      </w:rPr>
    </w:lvl>
    <w:lvl w:ilvl="1">
      <w:start w:val="1"/>
      <w:numFmt w:val="decimal"/>
      <w:lvlText w:val="%1.%2"/>
      <w:lvlJc w:val="left"/>
      <w:pPr>
        <w:ind w:left="2935" w:hanging="758"/>
        <w:jc w:val="left"/>
      </w:pPr>
      <w:rPr>
        <w:rFonts w:hint="default" w:ascii="宋体" w:hAnsi="宋体" w:eastAsia="宋体" w:cs="宋体"/>
        <w:b/>
        <w:bCs/>
        <w:spacing w:val="0"/>
        <w:w w:val="99"/>
        <w:sz w:val="21"/>
        <w:szCs w:val="21"/>
      </w:rPr>
    </w:lvl>
    <w:lvl w:ilvl="2">
      <w:start w:val="0"/>
      <w:numFmt w:val="bullet"/>
      <w:lvlText w:val="•"/>
      <w:lvlJc w:val="left"/>
      <w:pPr>
        <w:ind w:left="4412" w:hanging="758"/>
      </w:pPr>
      <w:rPr>
        <w:rFonts w:hint="default"/>
      </w:rPr>
    </w:lvl>
    <w:lvl w:ilvl="3">
      <w:start w:val="0"/>
      <w:numFmt w:val="bullet"/>
      <w:lvlText w:val="•"/>
      <w:lvlJc w:val="left"/>
      <w:pPr>
        <w:ind w:left="5149" w:hanging="758"/>
      </w:pPr>
      <w:rPr>
        <w:rFonts w:hint="default"/>
      </w:rPr>
    </w:lvl>
    <w:lvl w:ilvl="4">
      <w:start w:val="0"/>
      <w:numFmt w:val="bullet"/>
      <w:lvlText w:val="•"/>
      <w:lvlJc w:val="left"/>
      <w:pPr>
        <w:ind w:left="5885" w:hanging="758"/>
      </w:pPr>
      <w:rPr>
        <w:rFonts w:hint="default"/>
      </w:rPr>
    </w:lvl>
    <w:lvl w:ilvl="5">
      <w:start w:val="0"/>
      <w:numFmt w:val="bullet"/>
      <w:lvlText w:val="•"/>
      <w:lvlJc w:val="left"/>
      <w:pPr>
        <w:ind w:left="6622" w:hanging="758"/>
      </w:pPr>
      <w:rPr>
        <w:rFonts w:hint="default"/>
      </w:rPr>
    </w:lvl>
    <w:lvl w:ilvl="6">
      <w:start w:val="0"/>
      <w:numFmt w:val="bullet"/>
      <w:lvlText w:val="•"/>
      <w:lvlJc w:val="left"/>
      <w:pPr>
        <w:ind w:left="7358" w:hanging="758"/>
      </w:pPr>
      <w:rPr>
        <w:rFonts w:hint="default"/>
      </w:rPr>
    </w:lvl>
    <w:lvl w:ilvl="7">
      <w:start w:val="0"/>
      <w:numFmt w:val="bullet"/>
      <w:lvlText w:val="•"/>
      <w:lvlJc w:val="left"/>
      <w:pPr>
        <w:ind w:left="8095" w:hanging="758"/>
      </w:pPr>
      <w:rPr>
        <w:rFonts w:hint="default"/>
      </w:rPr>
    </w:lvl>
    <w:lvl w:ilvl="8">
      <w:start w:val="0"/>
      <w:numFmt w:val="bullet"/>
      <w:lvlText w:val="•"/>
      <w:lvlJc w:val="left"/>
      <w:pPr>
        <w:ind w:left="8831" w:hanging="758"/>
      </w:pPr>
      <w:rPr>
        <w:rFonts w:hint="default"/>
      </w:rPr>
    </w:lvl>
  </w:abstractNum>
  <w:abstractNum w:abstractNumId="1">
    <w:multiLevelType w:val="hybridMultilevel"/>
    <w:lvl w:ilvl="0">
      <w:start w:val="1"/>
      <w:numFmt w:val="decimal"/>
      <w:lvlText w:val="%1"/>
      <w:lvlJc w:val="left"/>
      <w:pPr>
        <w:ind w:left="2935" w:hanging="757"/>
        <w:jc w:val="left"/>
      </w:pPr>
      <w:rPr>
        <w:rFonts w:hint="default"/>
      </w:rPr>
    </w:lvl>
    <w:lvl w:ilvl="1">
      <w:start w:val="1"/>
      <w:numFmt w:val="decimal"/>
      <w:lvlText w:val="%1.%2"/>
      <w:lvlJc w:val="left"/>
      <w:pPr>
        <w:ind w:left="2935" w:hanging="757"/>
        <w:jc w:val="left"/>
      </w:pPr>
      <w:rPr>
        <w:rFonts w:hint="default" w:ascii="宋体" w:hAnsi="宋体" w:eastAsia="宋体" w:cs="宋体"/>
        <w:b/>
        <w:bCs/>
        <w:w w:val="99"/>
        <w:sz w:val="21"/>
        <w:szCs w:val="21"/>
      </w:rPr>
    </w:lvl>
    <w:lvl w:ilvl="2">
      <w:start w:val="0"/>
      <w:numFmt w:val="bullet"/>
      <w:lvlText w:val="•"/>
      <w:lvlJc w:val="left"/>
      <w:pPr>
        <w:ind w:left="4412" w:hanging="757"/>
      </w:pPr>
      <w:rPr>
        <w:rFonts w:hint="default"/>
      </w:rPr>
    </w:lvl>
    <w:lvl w:ilvl="3">
      <w:start w:val="0"/>
      <w:numFmt w:val="bullet"/>
      <w:lvlText w:val="•"/>
      <w:lvlJc w:val="left"/>
      <w:pPr>
        <w:ind w:left="5149" w:hanging="757"/>
      </w:pPr>
      <w:rPr>
        <w:rFonts w:hint="default"/>
      </w:rPr>
    </w:lvl>
    <w:lvl w:ilvl="4">
      <w:start w:val="0"/>
      <w:numFmt w:val="bullet"/>
      <w:lvlText w:val="•"/>
      <w:lvlJc w:val="left"/>
      <w:pPr>
        <w:ind w:left="5885" w:hanging="757"/>
      </w:pPr>
      <w:rPr>
        <w:rFonts w:hint="default"/>
      </w:rPr>
    </w:lvl>
    <w:lvl w:ilvl="5">
      <w:start w:val="0"/>
      <w:numFmt w:val="bullet"/>
      <w:lvlText w:val="•"/>
      <w:lvlJc w:val="left"/>
      <w:pPr>
        <w:ind w:left="6622" w:hanging="757"/>
      </w:pPr>
      <w:rPr>
        <w:rFonts w:hint="default"/>
      </w:rPr>
    </w:lvl>
    <w:lvl w:ilvl="6">
      <w:start w:val="0"/>
      <w:numFmt w:val="bullet"/>
      <w:lvlText w:val="•"/>
      <w:lvlJc w:val="left"/>
      <w:pPr>
        <w:ind w:left="7358" w:hanging="757"/>
      </w:pPr>
      <w:rPr>
        <w:rFonts w:hint="default"/>
      </w:rPr>
    </w:lvl>
    <w:lvl w:ilvl="7">
      <w:start w:val="0"/>
      <w:numFmt w:val="bullet"/>
      <w:lvlText w:val="•"/>
      <w:lvlJc w:val="left"/>
      <w:pPr>
        <w:ind w:left="8095" w:hanging="757"/>
      </w:pPr>
      <w:rPr>
        <w:rFonts w:hint="default"/>
      </w:rPr>
    </w:lvl>
    <w:lvl w:ilvl="8">
      <w:start w:val="0"/>
      <w:numFmt w:val="bullet"/>
      <w:lvlText w:val="•"/>
      <w:lvlJc w:val="left"/>
      <w:pPr>
        <w:ind w:left="8831" w:hanging="757"/>
      </w:pPr>
      <w:rPr>
        <w:rFonts w:hint="default"/>
      </w:rPr>
    </w:lvl>
  </w:abstractNum>
  <w:abstractNum w:abstractNumId="0">
    <w:multiLevelType w:val="hybridMultilevel"/>
    <w:lvl w:ilvl="0">
      <w:start w:val="0"/>
      <w:numFmt w:val="bullet"/>
      <w:lvlText w:val=""/>
      <w:lvlJc w:val="left"/>
      <w:pPr>
        <w:ind w:left="1697" w:hanging="420"/>
      </w:pPr>
      <w:rPr>
        <w:rFonts w:hint="default" w:ascii="Wingdings" w:hAnsi="Wingdings" w:eastAsia="Wingdings" w:cs="Wingdings"/>
        <w:w w:val="100"/>
        <w:sz w:val="21"/>
        <w:szCs w:val="21"/>
      </w:rPr>
    </w:lvl>
    <w:lvl w:ilvl="1">
      <w:start w:val="0"/>
      <w:numFmt w:val="bullet"/>
      <w:lvlText w:val="•"/>
      <w:lvlJc w:val="left"/>
      <w:pPr>
        <w:ind w:left="2544" w:hanging="420"/>
      </w:pPr>
      <w:rPr>
        <w:rFonts w:hint="default"/>
      </w:rPr>
    </w:lvl>
    <w:lvl w:ilvl="2">
      <w:start w:val="0"/>
      <w:numFmt w:val="bullet"/>
      <w:lvlText w:val="•"/>
      <w:lvlJc w:val="left"/>
      <w:pPr>
        <w:ind w:left="3388" w:hanging="420"/>
      </w:pPr>
      <w:rPr>
        <w:rFonts w:hint="default"/>
      </w:rPr>
    </w:lvl>
    <w:lvl w:ilvl="3">
      <w:start w:val="0"/>
      <w:numFmt w:val="bullet"/>
      <w:lvlText w:val="•"/>
      <w:lvlJc w:val="left"/>
      <w:pPr>
        <w:ind w:left="4233" w:hanging="420"/>
      </w:pPr>
      <w:rPr>
        <w:rFonts w:hint="default"/>
      </w:rPr>
    </w:lvl>
    <w:lvl w:ilvl="4">
      <w:start w:val="0"/>
      <w:numFmt w:val="bullet"/>
      <w:lvlText w:val="•"/>
      <w:lvlJc w:val="left"/>
      <w:pPr>
        <w:ind w:left="5077" w:hanging="420"/>
      </w:pPr>
      <w:rPr>
        <w:rFonts w:hint="default"/>
      </w:rPr>
    </w:lvl>
    <w:lvl w:ilvl="5">
      <w:start w:val="0"/>
      <w:numFmt w:val="bullet"/>
      <w:lvlText w:val="•"/>
      <w:lvlJc w:val="left"/>
      <w:pPr>
        <w:ind w:left="5922" w:hanging="420"/>
      </w:pPr>
      <w:rPr>
        <w:rFonts w:hint="default"/>
      </w:rPr>
    </w:lvl>
    <w:lvl w:ilvl="6">
      <w:start w:val="0"/>
      <w:numFmt w:val="bullet"/>
      <w:lvlText w:val="•"/>
      <w:lvlJc w:val="left"/>
      <w:pPr>
        <w:ind w:left="6766" w:hanging="420"/>
      </w:pPr>
      <w:rPr>
        <w:rFonts w:hint="default"/>
      </w:rPr>
    </w:lvl>
    <w:lvl w:ilvl="7">
      <w:start w:val="0"/>
      <w:numFmt w:val="bullet"/>
      <w:lvlText w:val="•"/>
      <w:lvlJc w:val="left"/>
      <w:pPr>
        <w:ind w:left="7611" w:hanging="420"/>
      </w:pPr>
      <w:rPr>
        <w:rFonts w:hint="default"/>
      </w:rPr>
    </w:lvl>
    <w:lvl w:ilvl="8">
      <w:start w:val="0"/>
      <w:numFmt w:val="bullet"/>
      <w:lvlText w:val="•"/>
      <w:lvlJc w:val="left"/>
      <w:pPr>
        <w:ind w:left="8455" w:hanging="420"/>
      </w:pPr>
      <w:rPr>
        <w:rFonts w:hint="default"/>
      </w:rPr>
    </w:lvl>
  </w:abstract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spacing w:before="71"/>
      <w:ind w:left="1814"/>
      <w:outlineLvl w:val="1"/>
    </w:pPr>
    <w:rPr>
      <w:rFonts w:ascii="微软雅黑" w:hAnsi="微软雅黑" w:eastAsia="微软雅黑" w:cs="微软雅黑"/>
      <w:b/>
      <w:bCs/>
      <w:sz w:val="32"/>
      <w:szCs w:val="32"/>
    </w:rPr>
  </w:style>
  <w:style w:styleId="Heading2" w:type="paragraph">
    <w:name w:val="Heading 2"/>
    <w:basedOn w:val="Normal"/>
    <w:uiPriority w:val="1"/>
    <w:qFormat/>
    <w:pPr>
      <w:ind w:left="221"/>
      <w:outlineLvl w:val="2"/>
    </w:pPr>
    <w:rPr>
      <w:rFonts w:ascii="宋体" w:hAnsi="宋体" w:eastAsia="宋体" w:cs="宋体"/>
      <w:b/>
      <w:bCs/>
      <w:sz w:val="24"/>
      <w:szCs w:val="24"/>
    </w:rPr>
  </w:style>
  <w:style w:styleId="Heading3" w:type="paragraph">
    <w:name w:val="Heading 3"/>
    <w:basedOn w:val="Normal"/>
    <w:uiPriority w:val="1"/>
    <w:qFormat/>
    <w:pPr>
      <w:spacing w:before="35"/>
      <w:ind w:left="858"/>
      <w:outlineLvl w:val="3"/>
    </w:pPr>
    <w:rPr>
      <w:rFonts w:ascii="宋体" w:hAnsi="宋体" w:eastAsia="宋体" w:cs="宋体"/>
      <w:b/>
      <w:bCs/>
      <w:sz w:val="21"/>
      <w:szCs w:val="21"/>
    </w:rPr>
  </w:style>
  <w:style w:styleId="ListParagraph" w:type="paragraph">
    <w:name w:val="List Paragraph"/>
    <w:basedOn w:val="Normal"/>
    <w:uiPriority w:val="1"/>
    <w:qFormat/>
    <w:pPr>
      <w:ind w:left="2935" w:hanging="2714"/>
    </w:pPr>
    <w:rPr>
      <w:rFonts w:ascii="宋体" w:hAnsi="宋体" w:eastAsia="宋体" w:cs="宋体"/>
    </w:rPr>
  </w:style>
  <w:style w:styleId="TableParagraph" w:type="paragraph">
    <w:name w:val="Table Paragraph"/>
    <w:basedOn w:val="Normal"/>
    <w:uiPriority w:val="1"/>
    <w:qFormat/>
    <w:pPr>
      <w:spacing w:line="260" w:lineRule="exac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footer" Target="footer1.xml"/><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dc:title>&lt;4D6963726F736F667420576F7264202D20BDBBD2F8BFB5C1AAB8BDBCD3D6D8B4F3BCB2B2A1B1A3CFD52DCCF5BFEE2D35A3A8B6FECEACC2EBA3A9&gt;</dc:title>
  <dcterms:created xsi:type="dcterms:W3CDTF">2018-10-20T08:02:32Z</dcterms:created>
  <dcterms:modified xsi:type="dcterms:W3CDTF">2018-10-20T08:02:32Z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2014-04-18T00:00:00Z</vt:filetime>
  </property>
  <property fmtid="{D5CDD505-2E9C-101B-9397-08002B2CF9AE}" pid="3" name="Creator">
    <vt:lpwstr>PScript5.dll Version 5.2.2</vt:lpwstr>
  </property>
  <property fmtid="{D5CDD505-2E9C-101B-9397-08002B2CF9AE}" pid="4" name="LastSaved">
    <vt:filetime>2018-10-20T00:00:00Z</vt:filetime>
  </property>
</Properties>
</file>