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06" w:firstLine="0"/>
        <w:jc w:val="right"/>
        <w:rPr>
          <w:sz w:val="16"/>
        </w:rPr>
      </w:pPr>
      <w:r>
        <w:rPr/>
        <w:drawing>
          <wp:anchor distT="0" distB="0" distL="0" distR="0" allowOverlap="1" layoutInCell="1" locked="0" behindDoc="0" simplePos="0" relativeHeight="1048">
            <wp:simplePos x="0" y="0"/>
            <wp:positionH relativeFrom="page">
              <wp:posOffset>6181343</wp:posOffset>
            </wp:positionH>
            <wp:positionV relativeFrom="paragraph">
              <wp:posOffset>233346</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[2013]</w:t>
      </w:r>
      <w:r>
        <w:rPr>
          <w:sz w:val="16"/>
        </w:rPr>
        <w:t>疾病保险 </w:t>
      </w:r>
      <w:r>
        <w:rPr>
          <w:rFonts w:ascii="Times New Roman" w:eastAsia="Times New Roman"/>
          <w:sz w:val="16"/>
        </w:rPr>
        <w:t>026 </w:t>
      </w:r>
      <w:r>
        <w:rPr>
          <w:sz w:val="16"/>
        </w:rPr>
        <w:t>号</w:t>
      </w:r>
    </w:p>
    <w:p>
      <w:pPr>
        <w:pStyle w:val="BodyText"/>
        <w:spacing w:before="0"/>
        <w:rPr>
          <w:sz w:val="20"/>
        </w:rPr>
      </w:pPr>
    </w:p>
    <w:p>
      <w:pPr>
        <w:pStyle w:val="BodyText"/>
        <w:spacing w:before="6"/>
        <w:rPr>
          <w:sz w:val="22"/>
        </w:rPr>
      </w:pPr>
    </w:p>
    <w:p>
      <w:pPr>
        <w:spacing w:after="0"/>
        <w:rPr>
          <w:sz w:val="22"/>
        </w:rPr>
        <w:sectPr>
          <w:type w:val="continuous"/>
          <w:pgSz w:w="11910" w:h="16840"/>
          <w:pgMar w:top="320" w:bottom="280" w:left="680" w:right="400"/>
        </w:sectPr>
      </w:pPr>
    </w:p>
    <w:p>
      <w:pPr>
        <w:pStyle w:val="Heading1"/>
        <w:spacing w:line="541" w:lineRule="exact"/>
        <w:ind w:left="2623"/>
      </w:pPr>
      <w:r>
        <w:rPr>
          <w:w w:val="95"/>
        </w:rPr>
        <w:t>华夏人寿保险股份有限公司</w:t>
      </w:r>
    </w:p>
    <w:p>
      <w:pPr>
        <w:spacing w:line="324" w:lineRule="auto" w:before="48"/>
        <w:ind w:left="4390" w:right="665" w:hanging="1767"/>
        <w:jc w:val="left"/>
        <w:rPr>
          <w:b/>
          <w:sz w:val="44"/>
        </w:rPr>
      </w:pPr>
      <w:r>
        <w:rPr>
          <w:b/>
          <w:w w:val="95"/>
          <w:sz w:val="44"/>
        </w:rPr>
        <w:t>附加君安重大疾病保险条款阅读指引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3"/>
        <w:rPr>
          <w:sz w:val="20"/>
        </w:rPr>
      </w:pPr>
    </w:p>
    <w:p>
      <w:pPr>
        <w:spacing w:before="0"/>
        <w:ind w:left="194" w:right="0" w:firstLine="0"/>
        <w:jc w:val="left"/>
        <w:rPr>
          <w:sz w:val="16"/>
        </w:rPr>
      </w:pPr>
      <w:r>
        <w:rPr>
          <w:w w:val="95"/>
          <w:sz w:val="16"/>
        </w:rPr>
        <w:t>请扫描以查询验证条款</w:t>
      </w:r>
    </w:p>
    <w:p>
      <w:pPr>
        <w:spacing w:after="0"/>
        <w:jc w:val="left"/>
        <w:rPr>
          <w:sz w:val="16"/>
        </w:rPr>
        <w:sectPr>
          <w:type w:val="continuous"/>
          <w:pgSz w:w="11910" w:h="16840"/>
          <w:pgMar w:top="320" w:bottom="280" w:left="680" w:right="400"/>
          <w:cols w:num="2" w:equalWidth="0">
            <w:col w:w="8590" w:space="40"/>
            <w:col w:w="220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9495">
            <wp:simplePos x="0" y="0"/>
            <wp:positionH relativeFrom="page">
              <wp:posOffset>502702</wp:posOffset>
            </wp:positionH>
            <wp:positionV relativeFrom="paragraph">
              <wp:posOffset>-207498</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 w:pos="9951" w:val="right" w:leader="dot"/>
        </w:tabs>
        <w:spacing w:line="263" w:lineRule="exact" w:before="0" w:after="0"/>
        <w:ind w:left="1658" w:right="0" w:hanging="420"/>
        <w:jc w:val="left"/>
        <w:rPr>
          <w:sz w:val="21"/>
        </w:rPr>
      </w:pPr>
      <w:r>
        <w:rPr>
          <w:sz w:val="21"/>
        </w:rPr>
        <w:t>签收本附加合同之日起10日内（犹豫期）您可以要求退还全部保险费</w:t>
        <w:tab/>
        <w:t>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在某些情况下，我们不承担保险责任……………………………………1.4;2.2;3.2;6.1;8.7</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320" w:bottom="280" w:left="680" w:right="400"/>
        </w:sectPr>
      </w:pPr>
    </w:p>
    <w:p>
      <w:pPr>
        <w:pStyle w:val="Heading4"/>
        <w:spacing w:line="311"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20"/>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20"/>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20"/>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保险金的给付</w:t>
      </w:r>
    </w:p>
    <w:p>
      <w:pPr>
        <w:pStyle w:val="ListParagraph"/>
        <w:numPr>
          <w:ilvl w:val="1"/>
          <w:numId w:val="4"/>
        </w:numPr>
        <w:tabs>
          <w:tab w:pos="1849" w:val="left" w:leader="none"/>
        </w:tabs>
        <w:spacing w:line="240" w:lineRule="auto" w:before="37" w:after="0"/>
        <w:ind w:left="1848" w:right="0" w:hanging="420"/>
        <w:jc w:val="left"/>
        <w:rPr>
          <w:sz w:val="21"/>
        </w:rPr>
      </w:pPr>
      <w:r>
        <w:rPr>
          <w:spacing w:val="-1"/>
          <w:sz w:val="21"/>
        </w:rPr>
        <w:t>诉讼时效</w:t>
      </w:r>
    </w:p>
    <w:p>
      <w:pPr>
        <w:pStyle w:val="Heading4"/>
        <w:spacing w:line="311" w:lineRule="exact"/>
        <w:ind w:left="1218"/>
      </w:pPr>
      <w:r>
        <w:rPr>
          <w:b w:val="0"/>
        </w:rPr>
        <w:br w:type="column"/>
      </w: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20"/>
        <w:jc w:val="left"/>
        <w:rPr>
          <w:sz w:val="21"/>
        </w:rPr>
      </w:pPr>
      <w:r>
        <w:rPr>
          <w:sz w:val="21"/>
        </w:rPr>
        <w:t>保险费的交纳</w:t>
      </w:r>
    </w:p>
    <w:p>
      <w:pPr>
        <w:pStyle w:val="ListParagraph"/>
        <w:numPr>
          <w:ilvl w:val="1"/>
          <w:numId w:val="5"/>
        </w:numPr>
        <w:tabs>
          <w:tab w:pos="1849" w:val="left" w:leader="none"/>
        </w:tabs>
        <w:spacing w:line="260" w:lineRule="exact" w:before="37" w:after="0"/>
        <w:ind w:left="1848" w:right="0" w:hanging="420"/>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3"/>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6" w:after="0"/>
        <w:ind w:left="1848" w:right="0" w:hanging="420"/>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4"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320" w:bottom="280" w:left="680" w:right="400"/>
          <w:cols w:num="2" w:equalWidth="0">
            <w:col w:w="3327" w:space="1083"/>
            <w:col w:w="6420"/>
          </w:cols>
        </w:sectPr>
      </w:pPr>
    </w:p>
    <w:p>
      <w:pPr>
        <w:pStyle w:val="Heading1"/>
        <w:spacing w:line="525" w:lineRule="exact"/>
      </w:pPr>
      <w:r>
        <w:rPr>
          <w:w w:val="95"/>
        </w:rPr>
        <w:t>华夏人寿保险股份有限公司</w:t>
      </w:r>
    </w:p>
    <w:p>
      <w:pPr>
        <w:spacing w:before="48"/>
        <w:ind w:left="2563" w:right="0" w:firstLine="0"/>
        <w:jc w:val="left"/>
        <w:rPr>
          <w:b/>
          <w:sz w:val="44"/>
        </w:rPr>
      </w:pPr>
      <w:r>
        <w:rPr>
          <w:b/>
          <w:w w:val="95"/>
          <w:sz w:val="44"/>
        </w:rPr>
        <w:t>附加君安重大疾病保险条款</w:t>
      </w:r>
    </w:p>
    <w:p>
      <w:pPr>
        <w:pStyle w:val="BodyText"/>
        <w:spacing w:before="156"/>
        <w:ind w:left="1643"/>
      </w:pPr>
      <w:r>
        <w:rPr/>
        <w:t>（华夏保发[2013]153 号文，2013 年 3 月呈报中国保险监督管理委员会备案）</w:t>
      </w:r>
    </w:p>
    <w:p>
      <w:pPr>
        <w:pStyle w:val="BodyText"/>
        <w:spacing w:before="0"/>
        <w:rPr>
          <w:sz w:val="20"/>
        </w:rPr>
      </w:pPr>
    </w:p>
    <w:p>
      <w:pPr>
        <w:pStyle w:val="BodyText"/>
        <w:spacing w:before="0"/>
        <w:rPr>
          <w:sz w:val="20"/>
        </w:rPr>
      </w:pPr>
    </w:p>
    <w:p>
      <w:pPr>
        <w:pStyle w:val="BodyText"/>
        <w:spacing w:before="6"/>
        <w:rPr>
          <w:sz w:val="16"/>
        </w:rPr>
      </w:pPr>
    </w:p>
    <w:p>
      <w:pPr>
        <w:pStyle w:val="BodyText"/>
        <w:spacing w:line="273" w:lineRule="auto" w:before="0"/>
        <w:ind w:left="281" w:right="376"/>
      </w:pPr>
      <w:r>
        <w:rPr>
          <w:spacing w:val="-3"/>
        </w:rPr>
        <w:t>在本条款中，“您”指投保人，“我们”和“本公司”指华夏人寿保险股份有限公司，“本附加合同”指您</w:t>
      </w:r>
      <w:r>
        <w:rPr>
          <w:spacing w:val="-8"/>
        </w:rPr>
        <w:t>与我们之间订立的“华夏附加君安重大疾病保险合同”。</w:t>
      </w:r>
    </w:p>
    <w:p>
      <w:pPr>
        <w:pStyle w:val="Heading2"/>
        <w:tabs>
          <w:tab w:pos="985" w:val="left" w:leader="none"/>
        </w:tabs>
        <w:spacing w:before="132"/>
        <w:ind w:left="221"/>
        <w:rPr>
          <w:rFonts w:ascii="宋体" w:eastAsia="宋体" w:hint="eastAsia"/>
        </w:rPr>
      </w:pPr>
      <w:r>
        <w:rPr/>
        <w:pict>
          <v:group style="position:absolute;margin-left:42.66pt;margin-top:43.649834pt;width:509.95pt;height:1pt;mso-position-horizontal-relative:page;mso-position-vertical-relative:paragraph;z-index:1072;mso-wrap-distance-left:0;mso-wrap-distance-right:0" coordorigin="853,873" coordsize="10199,20">
            <v:line style="position:absolute" from="853,883" to="3662,883" stroked="true" strokeweight=".95996pt" strokecolor="#000000">
              <v:stroke dashstyle="solid"/>
            </v:line>
            <v:line style="position:absolute" from="3662,883" to="11052,883"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0"/>
        <w:rPr>
          <w:sz w:val="18"/>
        </w:rPr>
      </w:pPr>
    </w:p>
    <w:p>
      <w:pPr>
        <w:pStyle w:val="ListParagraph"/>
        <w:numPr>
          <w:ilvl w:val="1"/>
          <w:numId w:val="8"/>
        </w:numPr>
        <w:tabs>
          <w:tab w:pos="985" w:val="left" w:leader="none"/>
          <w:tab w:pos="986" w:val="left" w:leader="none"/>
          <w:tab w:pos="3032" w:val="left" w:leader="none"/>
        </w:tabs>
        <w:spacing w:line="273" w:lineRule="auto" w:before="0"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60</w:t>
      </w:r>
      <w:r>
        <w:rPr>
          <w:spacing w:val="-55"/>
          <w:sz w:val="21"/>
        </w:rPr>
        <w:t> </w:t>
      </w:r>
      <w:r>
        <w:rPr>
          <w:sz w:val="21"/>
        </w:rPr>
        <w:t>周岁（含</w:t>
      </w:r>
      <w:r>
        <w:rPr>
          <w:spacing w:val="-56"/>
          <w:sz w:val="21"/>
        </w:rPr>
        <w:t> </w:t>
      </w:r>
      <w:r>
        <w:rPr>
          <w:sz w:val="21"/>
        </w:rPr>
        <w:t>60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71"/>
        <w:jc w:val="both"/>
      </w:pPr>
      <w:r>
        <w:rPr/>
        <w:t>此期间请您仔细审阅本附加合同的各项内容，特别是责任免除条款、合同解除条款以及如实告知等内容。若您认为本附加合同与您的需求不相符， 您可以在此期间提出解除本附加合同，我们将无息退还您所交纳的本附加合同保险费。本附加合同须与主合同一起申请解除。</w:t>
      </w:r>
    </w:p>
    <w:p>
      <w:pPr>
        <w:spacing w:line="261" w:lineRule="auto" w:before="7"/>
        <w:ind w:left="3431" w:right="249" w:hanging="420"/>
        <w:jc w:val="both"/>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自我们收到解除合同申请书时起，本附加合同即被解除</w:t>
      </w:r>
      <w:r>
        <w:rPr>
          <w:w w:val="95"/>
          <w:sz w:val="21"/>
        </w:rPr>
        <w:t>，</w:t>
      </w:r>
      <w:r>
        <w:rPr>
          <w:rFonts w:ascii="黑体" w:eastAsia="黑体" w:hint="eastAsia"/>
          <w:b/>
          <w:i/>
          <w:w w:val="95"/>
          <w:sz w:val="22"/>
        </w:rPr>
        <w:t>对于合同解除前发Th的保险事故，我们不承担保险责任。</w:t>
      </w:r>
    </w:p>
    <w:p>
      <w:pPr>
        <w:pStyle w:val="BodyText"/>
        <w:spacing w:before="2"/>
        <w:rPr>
          <w:rFonts w:ascii="黑体"/>
          <w:b/>
          <w:i/>
        </w:rPr>
      </w:pPr>
    </w:p>
    <w:p>
      <w:pPr>
        <w:tabs>
          <w:tab w:pos="985" w:val="left" w:leader="none"/>
        </w:tabs>
        <w:spacing w:line="556" w:lineRule="exact" w:before="0"/>
        <w:ind w:left="221" w:right="0" w:firstLine="0"/>
        <w:jc w:val="left"/>
        <w:rPr>
          <w:b/>
          <w:sz w:val="24"/>
        </w:rPr>
      </w:pPr>
      <w:r>
        <w:rPr/>
        <w:pict>
          <v:group style="position:absolute;margin-left:42.66pt;margin-top:31.168535pt;width:509.95pt;height:1pt;mso-position-horizontal-relative:page;mso-position-vertical-relative:paragraph;z-index:1096;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984" w:right="0" w:hanging="763"/>
        <w:jc w:val="left"/>
        <w:rPr>
          <w:sz w:val="21"/>
        </w:rPr>
      </w:pPr>
      <w:r>
        <w:rPr>
          <w:b/>
          <w:sz w:val="21"/>
        </w:rPr>
        <w:t>保险责任</w:t>
        <w:tab/>
      </w:r>
      <w:r>
        <w:rPr>
          <w:sz w:val="21"/>
        </w:rPr>
        <w:t>在本附加合同有效期间内，我们按照以下约定承担保险责任：</w:t>
      </w:r>
    </w:p>
    <w:p>
      <w:pPr>
        <w:pStyle w:val="BodyText"/>
        <w:spacing w:before="11"/>
        <w:rPr>
          <w:sz w:val="13"/>
        </w:rPr>
      </w:pPr>
    </w:p>
    <w:p>
      <w:pPr>
        <w:pStyle w:val="BodyText"/>
        <w:tabs>
          <w:tab w:pos="3011" w:val="left" w:leader="none"/>
        </w:tabs>
        <w:spacing w:line="406" w:lineRule="exact" w:before="1"/>
        <w:ind w:left="3464" w:hanging="2480"/>
      </w:pPr>
      <w:r>
        <w:rPr>
          <w:rFonts w:ascii="Microsoft JhengHei" w:eastAsia="Microsoft JhengHei" w:hint="eastAsia"/>
          <w:b/>
          <w:position w:val="-2"/>
          <w:sz w:val="24"/>
        </w:rPr>
        <w:t>重大疾病保险金</w:t>
        <w:tab/>
      </w:r>
      <w:r>
        <w:rPr/>
        <w:t>一</w:t>
      </w:r>
      <w:r>
        <w:rPr>
          <w:spacing w:val="31"/>
        </w:rPr>
        <w:t>、</w:t>
      </w:r>
      <w:r>
        <w:rPr/>
        <w:t>若被保险人于本附加合同生效或最后一次复效之日起</w:t>
      </w:r>
      <w:r>
        <w:rPr>
          <w:spacing w:val="-29"/>
        </w:rPr>
        <w:t> </w:t>
      </w:r>
      <w:r>
        <w:rPr/>
        <w:t>180</w:t>
      </w:r>
      <w:r>
        <w:rPr>
          <w:spacing w:val="-29"/>
        </w:rPr>
        <w:t> </w:t>
      </w:r>
      <w:r>
        <w:rPr/>
        <w:t>日内（含第</w:t>
      </w:r>
      <w:r>
        <w:rPr>
          <w:spacing w:val="-29"/>
        </w:rPr>
        <w:t> </w:t>
      </w:r>
      <w:r>
        <w:rPr/>
        <w:t>180</w:t>
      </w:r>
    </w:p>
    <w:p>
      <w:pPr>
        <w:spacing w:line="273" w:lineRule="auto" w:before="0"/>
        <w:ind w:left="3464" w:right="218" w:hanging="1"/>
        <w:jc w:val="left"/>
        <w:rPr>
          <w:sz w:val="21"/>
        </w:rPr>
      </w:pPr>
      <w:r>
        <w:rPr>
          <w:sz w:val="21"/>
        </w:rPr>
        <w:t>日）因</w:t>
      </w:r>
      <w:r>
        <w:rPr>
          <w:b/>
          <w:sz w:val="21"/>
        </w:rPr>
        <w:t>意外伤害</w:t>
      </w:r>
      <w:r>
        <w:rPr>
          <w:sz w:val="21"/>
        </w:rPr>
        <w:t>以外的原因导致</w:t>
      </w:r>
      <w:r>
        <w:rPr>
          <w:b/>
          <w:sz w:val="21"/>
        </w:rPr>
        <w:t>初次患本附加合同所列的重大疾病</w:t>
      </w:r>
      <w:r>
        <w:rPr>
          <w:sz w:val="21"/>
        </w:rPr>
        <w:t>，我们向您无息返还已交保险费，同时本附加合同及主合同终止。</w:t>
      </w:r>
    </w:p>
    <w:p>
      <w:pPr>
        <w:pStyle w:val="BodyText"/>
        <w:spacing w:line="273" w:lineRule="auto" w:before="20"/>
        <w:ind w:left="3464" w:right="216" w:hanging="454"/>
        <w:jc w:val="both"/>
      </w:pPr>
      <w:r>
        <w:rPr/>
        <w:t>二、若被保险人因意外伤害，或于本附加合同生效或最后一次复效之日起 180 日后因意外伤害以外的原因，导致初次患本附加合同所列的</w:t>
      </w:r>
      <w:r>
        <w:rPr>
          <w:b/>
        </w:rPr>
        <w:t>重大疾病</w:t>
      </w:r>
      <w:r>
        <w:rPr/>
        <w:t>的一种或多种，我们将按以下两项相比较大者给付重大疾病保险金：</w:t>
      </w:r>
    </w:p>
    <w:p>
      <w:pPr>
        <w:pStyle w:val="BodyText"/>
        <w:spacing w:before="8"/>
        <w:ind w:left="3431"/>
      </w:pPr>
      <w:r>
        <w:rPr/>
        <w:t>（一）重大疾病确诊之日本附加合同的保险金额；</w:t>
      </w:r>
    </w:p>
    <w:p>
      <w:pPr>
        <w:spacing w:after="0"/>
        <w:sectPr>
          <w:footerReference w:type="default" r:id="rId7"/>
          <w:pgSz w:w="11910" w:h="16840"/>
          <w:pgMar w:footer="442" w:header="0" w:top="1140" w:bottom="640" w:left="740" w:right="740"/>
          <w:pgNumType w:start="2"/>
        </w:sectPr>
      </w:pPr>
    </w:p>
    <w:p>
      <w:pPr>
        <w:pStyle w:val="BodyText"/>
        <w:spacing w:before="19"/>
        <w:ind w:left="3431"/>
      </w:pPr>
      <w:r>
        <w:rPr/>
        <w:t>（二）重大疾病确诊之日的已交保险费。</w:t>
      </w:r>
    </w:p>
    <w:p>
      <w:pPr>
        <w:pStyle w:val="Heading4"/>
        <w:spacing w:line="273" w:lineRule="auto" w:before="37"/>
        <w:ind w:left="3464" w:right="219" w:hanging="454"/>
        <w:rPr>
          <w:rFonts w:ascii="宋体" w:eastAsia="宋体" w:hint="eastAsia"/>
        </w:rPr>
      </w:pPr>
      <w:r>
        <w:rPr>
          <w:rFonts w:ascii="宋体" w:eastAsia="宋体" w:hint="eastAsia"/>
        </w:rPr>
        <w:t>三、我们给付重大疾病保险金后，本附加合同终止；同时主合同的身故保险金</w:t>
      </w:r>
      <w:r>
        <w:rPr>
          <w:rFonts w:ascii="宋体" w:eastAsia="宋体" w:hint="eastAsia"/>
          <w:w w:val="95"/>
        </w:rPr>
        <w:t>额减少为零，主合同终止。</w:t>
      </w:r>
    </w:p>
    <w:p>
      <w:pPr>
        <w:pStyle w:val="BodyText"/>
        <w:spacing w:before="12"/>
        <w:rPr>
          <w:b/>
          <w:sz w:val="17"/>
        </w:rPr>
      </w:pPr>
    </w:p>
    <w:p>
      <w:pPr>
        <w:pStyle w:val="BodyText"/>
        <w:spacing w:line="273" w:lineRule="auto" w:before="0"/>
        <w:ind w:left="3011" w:right="271"/>
      </w:pPr>
      <w:r>
        <w:rPr/>
        <w:t>本条所述“已交保险费”是指本附加合同及主合同华夏君安两全保险合同的已交保险费之和。</w:t>
      </w:r>
    </w:p>
    <w:p>
      <w:pPr>
        <w:pStyle w:val="BodyText"/>
        <w:spacing w:before="3"/>
        <w:rPr>
          <w:sz w:val="15"/>
        </w:rPr>
      </w:pPr>
    </w:p>
    <w:p>
      <w:pPr>
        <w:spacing w:after="0"/>
        <w:rPr>
          <w:sz w:val="15"/>
        </w:rPr>
        <w:sectPr>
          <w:pgSz w:w="11910" w:h="16840"/>
          <w:pgMar w:header="0" w:footer="442" w:top="1100" w:bottom="640" w:left="740" w:right="740"/>
        </w:sectPr>
      </w:pPr>
    </w:p>
    <w:p>
      <w:pPr>
        <w:pStyle w:val="Heading2"/>
        <w:spacing w:line="184" w:lineRule="auto"/>
      </w:pPr>
      <w:r>
        <w:rPr/>
        <w:t>恶性肿瘤特别关爱保险金</w:t>
      </w:r>
    </w:p>
    <w:p>
      <w:pPr>
        <w:pStyle w:val="BodyText"/>
        <w:spacing w:before="35"/>
        <w:ind w:left="304"/>
      </w:pPr>
      <w:r>
        <w:rPr/>
        <w:br w:type="column"/>
      </w:r>
      <w:r>
        <w:rPr/>
        <w:t>若被保险人因意外伤害，或于本附加合同生效或最后一次复效之日起 180 日后</w:t>
      </w:r>
    </w:p>
    <w:p>
      <w:pPr>
        <w:spacing w:before="37"/>
        <w:ind w:left="304" w:right="0" w:firstLine="0"/>
        <w:jc w:val="left"/>
        <w:rPr>
          <w:b/>
          <w:sz w:val="21"/>
        </w:rPr>
      </w:pPr>
      <w:r>
        <w:rPr>
          <w:sz w:val="21"/>
        </w:rPr>
        <w:t>因意外伤害以外的原因，导致初次患本附加合同所列的</w:t>
      </w:r>
      <w:r>
        <w:rPr>
          <w:b/>
          <w:sz w:val="21"/>
        </w:rPr>
        <w:t>第 1 种重大疾病（恶性</w:t>
      </w:r>
    </w:p>
    <w:p>
      <w:pPr>
        <w:pStyle w:val="BodyText"/>
        <w:spacing w:line="273" w:lineRule="auto"/>
        <w:ind w:left="304" w:right="218"/>
      </w:pPr>
      <w:r>
        <w:rPr>
          <w:b/>
          <w:spacing w:val="0"/>
          <w:w w:val="99"/>
        </w:rPr>
        <w:t>肿瘤</w:t>
      </w:r>
      <w:r>
        <w:rPr>
          <w:b/>
          <w:spacing w:val="-105"/>
          <w:w w:val="99"/>
        </w:rPr>
        <w:t>）</w:t>
      </w:r>
      <w:r>
        <w:rPr>
          <w:spacing w:val="-7"/>
        </w:rPr>
        <w:t>，且确诊 </w:t>
      </w:r>
      <w:r>
        <w:rPr/>
        <w:t>28</w:t>
      </w:r>
      <w:r>
        <w:rPr>
          <w:spacing w:val="-6"/>
        </w:rPr>
        <w:t> 日后仍生存的，我们除给付重大疾病保险金外，按照本附加合同的保险金额给付恶性肿瘤特别关爱保险金。</w:t>
      </w:r>
    </w:p>
    <w:p>
      <w:pPr>
        <w:spacing w:after="0" w:line="273" w:lineRule="auto"/>
        <w:sectPr>
          <w:type w:val="continuous"/>
          <w:pgSz w:w="11910" w:h="16840"/>
          <w:pgMar w:top="320" w:bottom="280" w:left="740" w:right="740"/>
          <w:cols w:num="2" w:equalWidth="0">
            <w:col w:w="2667" w:space="40"/>
            <w:col w:w="7723"/>
          </w:cols>
        </w:sectPr>
      </w:pPr>
    </w:p>
    <w:p>
      <w:pPr>
        <w:pStyle w:val="BodyText"/>
        <w:spacing w:before="5"/>
        <w:rPr>
          <w:sz w:val="14"/>
        </w:rPr>
      </w:pPr>
    </w:p>
    <w:p>
      <w:pPr>
        <w:pStyle w:val="Heading3"/>
        <w:numPr>
          <w:ilvl w:val="1"/>
          <w:numId w:val="9"/>
        </w:numPr>
        <w:tabs>
          <w:tab w:pos="985" w:val="left" w:leader="none"/>
          <w:tab w:pos="986" w:val="left" w:leader="none"/>
          <w:tab w:pos="3011" w:val="left" w:leader="none"/>
        </w:tabs>
        <w:spacing w:line="240" w:lineRule="auto" w:before="34" w:after="0"/>
        <w:ind w:left="985" w:right="0" w:hanging="764"/>
        <w:jc w:val="left"/>
        <w:rPr>
          <w:sz w:val="21"/>
        </w:rPr>
      </w:pPr>
      <w:r>
        <w:rPr>
          <w:b/>
          <w:i w:val="0"/>
          <w:sz w:val="21"/>
        </w:rPr>
        <w:t>责任免除</w:t>
        <w:tab/>
      </w:r>
      <w:r>
        <w:rPr>
          <w:w w:val="95"/>
        </w:rPr>
        <w:t>一、被保险人因下列情形之一在本附加合同有效期内初次患本附加合同所列的</w:t>
      </w:r>
    </w:p>
    <w:p>
      <w:pPr>
        <w:spacing w:line="259" w:lineRule="auto" w:before="23"/>
        <w:ind w:left="3431" w:right="1741" w:firstLine="0"/>
        <w:jc w:val="left"/>
        <w:rPr>
          <w:rFonts w:ascii="黑体" w:eastAsia="黑体" w:hint="eastAsia"/>
          <w:i/>
          <w:sz w:val="22"/>
        </w:rPr>
      </w:pPr>
      <w:r>
        <w:rPr>
          <w:rFonts w:ascii="黑体" w:eastAsia="黑体" w:hint="eastAsia"/>
          <w:i/>
          <w:sz w:val="22"/>
        </w:rPr>
        <w:t>重大疾病，我们不承担给付保险金的责任：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43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5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5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431" w:right="271"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431" w:right="271" w:hanging="420"/>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三、发Th上述其他情形导致被保险人患本附加合同所列的重大疾病，本附加合同终止，我们向您退还本附加合同的现金价值。</w:t>
      </w:r>
    </w:p>
    <w:p>
      <w:pPr>
        <w:pStyle w:val="BodyText"/>
        <w:spacing w:before="9"/>
        <w:rPr>
          <w:rFonts w:ascii="黑体"/>
          <w:i/>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260" w:hRule="atLeast"/>
        </w:trPr>
        <w:tc>
          <w:tcPr>
            <w:tcW w:w="668" w:type="dxa"/>
          </w:tcPr>
          <w:p>
            <w:pPr>
              <w:pStyle w:val="TableParagraph"/>
              <w:spacing w:line="210" w:lineRule="exact"/>
              <w:ind w:left="108"/>
              <w:rPr>
                <w:b/>
                <w:sz w:val="21"/>
              </w:rPr>
            </w:pPr>
            <w:r>
              <w:rPr>
                <w:b/>
                <w:sz w:val="21"/>
              </w:rPr>
              <w:t>2.3</w:t>
            </w:r>
          </w:p>
        </w:tc>
        <w:tc>
          <w:tcPr>
            <w:tcW w:w="1940" w:type="dxa"/>
          </w:tcPr>
          <w:p>
            <w:pPr>
              <w:pStyle w:val="TableParagraph"/>
              <w:spacing w:line="210" w:lineRule="exact"/>
              <w:ind w:left="203"/>
              <w:rPr>
                <w:b/>
                <w:sz w:val="21"/>
              </w:rPr>
            </w:pPr>
            <w:r>
              <w:rPr>
                <w:b/>
                <w:w w:val="95"/>
                <w:sz w:val="21"/>
              </w:rPr>
              <w:t>保险金额</w:t>
            </w:r>
          </w:p>
        </w:tc>
        <w:tc>
          <w:tcPr>
            <w:tcW w:w="7591" w:type="dxa"/>
          </w:tcPr>
          <w:p>
            <w:pPr>
              <w:pStyle w:val="TableParagraph"/>
              <w:spacing w:line="210" w:lineRule="exact"/>
              <w:ind w:left="290"/>
              <w:rPr>
                <w:sz w:val="21"/>
              </w:rPr>
            </w:pPr>
            <w:r>
              <w:rPr>
                <w:sz w:val="21"/>
              </w:rPr>
              <w:t>本附加合同的保险金额由您在投保时与我们约定并在保险单中载明，投保时的</w:t>
            </w:r>
          </w:p>
        </w:tc>
      </w:tr>
      <w:tr>
        <w:trPr>
          <w:trHeight w:val="311"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保险金额须符合我们当时的投保规则。若该金额发生变更，则以变更后的金额</w:t>
            </w:r>
          </w:p>
        </w:tc>
      </w:tr>
      <w:tr>
        <w:trPr>
          <w:trHeight w:val="434"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为保险金额。</w:t>
            </w:r>
          </w:p>
        </w:tc>
      </w:tr>
      <w:tr>
        <w:trPr>
          <w:trHeight w:val="434" w:hRule="atLeast"/>
        </w:trPr>
        <w:tc>
          <w:tcPr>
            <w:tcW w:w="668" w:type="dxa"/>
          </w:tcPr>
          <w:p>
            <w:pPr>
              <w:pStyle w:val="TableParagraph"/>
              <w:spacing w:before="109"/>
              <w:ind w:left="108"/>
              <w:rPr>
                <w:b/>
                <w:sz w:val="21"/>
              </w:rPr>
            </w:pPr>
            <w:r>
              <w:rPr>
                <w:b/>
                <w:sz w:val="21"/>
              </w:rPr>
              <w:t>2.4</w:t>
            </w:r>
          </w:p>
        </w:tc>
        <w:tc>
          <w:tcPr>
            <w:tcW w:w="1940" w:type="dxa"/>
          </w:tcPr>
          <w:p>
            <w:pPr>
              <w:pStyle w:val="TableParagraph"/>
              <w:spacing w:before="109"/>
              <w:ind w:left="203"/>
              <w:rPr>
                <w:b/>
                <w:sz w:val="21"/>
              </w:rPr>
            </w:pPr>
            <w:r>
              <w:rPr>
                <w:b/>
                <w:w w:val="95"/>
                <w:sz w:val="21"/>
              </w:rPr>
              <w:t>保险期间</w:t>
            </w:r>
          </w:p>
        </w:tc>
        <w:tc>
          <w:tcPr>
            <w:tcW w:w="7591" w:type="dxa"/>
          </w:tcPr>
          <w:p>
            <w:pPr>
              <w:pStyle w:val="TableParagraph"/>
              <w:spacing w:before="109"/>
              <w:ind w:left="290"/>
              <w:rPr>
                <w:sz w:val="21"/>
              </w:rPr>
            </w:pPr>
            <w:r>
              <w:rPr>
                <w:sz w:val="21"/>
              </w:rPr>
              <w:t>本附加合同的保险期间与主合同一致，自本附加合同生效日零时起算。主合同</w:t>
            </w:r>
          </w:p>
        </w:tc>
      </w:tr>
      <w:tr>
        <w:trPr>
          <w:trHeight w:val="450"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90"/>
              <w:rPr>
                <w:sz w:val="21"/>
              </w:rPr>
            </w:pPr>
            <w:r>
              <w:rPr>
                <w:sz w:val="21"/>
              </w:rPr>
              <w:t>终止的，本附加合同同时终止。</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before="206"/>
              <w:ind w:left="204"/>
              <w:rPr>
                <w:b/>
                <w:sz w:val="24"/>
              </w:rPr>
            </w:pPr>
            <w:r>
              <w:rPr>
                <w:b/>
                <w:w w:val="95"/>
                <w:sz w:val="24"/>
              </w:rPr>
              <w:t>保险金的申请</w:t>
            </w:r>
          </w:p>
        </w:tc>
        <w:tc>
          <w:tcPr>
            <w:tcW w:w="7591" w:type="dxa"/>
            <w:tcBorders>
              <w:bottom w:val="single" w:sz="8" w:space="0" w:color="000000"/>
            </w:tcBorders>
          </w:tcPr>
          <w:p>
            <w:pPr>
              <w:pStyle w:val="TableParagraph"/>
              <w:rPr>
                <w:rFonts w:ascii="Times New Roman"/>
                <w:sz w:val="20"/>
              </w:rPr>
            </w:pPr>
          </w:p>
        </w:tc>
      </w:tr>
      <w:tr>
        <w:trPr>
          <w:trHeight w:val="518" w:hRule="atLeast"/>
        </w:trPr>
        <w:tc>
          <w:tcPr>
            <w:tcW w:w="668" w:type="dxa"/>
            <w:tcBorders>
              <w:top w:val="single" w:sz="8" w:space="0" w:color="000000"/>
            </w:tcBorders>
          </w:tcPr>
          <w:p>
            <w:pPr>
              <w:pStyle w:val="TableParagraph"/>
              <w:spacing w:before="9"/>
              <w:rPr>
                <w:rFonts w:ascii="黑体"/>
                <w:i/>
                <w:sz w:val="14"/>
              </w:rPr>
            </w:pPr>
          </w:p>
          <w:p>
            <w:pPr>
              <w:pStyle w:val="TableParagraph"/>
              <w:ind w:left="108"/>
              <w:rPr>
                <w:b/>
                <w:sz w:val="21"/>
              </w:rPr>
            </w:pPr>
            <w:r>
              <w:rPr>
                <w:b/>
                <w:sz w:val="21"/>
              </w:rPr>
              <w:t>3.1</w:t>
            </w:r>
          </w:p>
        </w:tc>
        <w:tc>
          <w:tcPr>
            <w:tcW w:w="1940" w:type="dxa"/>
            <w:tcBorders>
              <w:top w:val="single" w:sz="8" w:space="0" w:color="000000"/>
            </w:tcBorders>
          </w:tcPr>
          <w:p>
            <w:pPr>
              <w:pStyle w:val="TableParagraph"/>
              <w:spacing w:before="9"/>
              <w:rPr>
                <w:rFonts w:ascii="黑体"/>
                <w:i/>
                <w:sz w:val="14"/>
              </w:rPr>
            </w:pPr>
          </w:p>
          <w:p>
            <w:pPr>
              <w:pStyle w:val="TableParagraph"/>
              <w:ind w:left="204"/>
              <w:rPr>
                <w:b/>
                <w:sz w:val="21"/>
              </w:rPr>
            </w:pPr>
            <w:r>
              <w:rPr>
                <w:b/>
                <w:w w:val="95"/>
                <w:sz w:val="21"/>
              </w:rPr>
              <w:t>受益人</w:t>
            </w:r>
          </w:p>
        </w:tc>
        <w:tc>
          <w:tcPr>
            <w:tcW w:w="7591" w:type="dxa"/>
            <w:tcBorders>
              <w:top w:val="single" w:sz="8" w:space="0" w:color="000000"/>
            </w:tcBorders>
          </w:tcPr>
          <w:p>
            <w:pPr>
              <w:pStyle w:val="TableParagraph"/>
              <w:spacing w:before="9"/>
              <w:rPr>
                <w:rFonts w:ascii="黑体"/>
                <w:i/>
                <w:sz w:val="14"/>
              </w:rPr>
            </w:pPr>
          </w:p>
          <w:p>
            <w:pPr>
              <w:pStyle w:val="TableParagraph"/>
              <w:ind w:left="289"/>
              <w:rPr>
                <w:sz w:val="21"/>
              </w:rPr>
            </w:pPr>
            <w:r>
              <w:rPr>
                <w:sz w:val="21"/>
              </w:rPr>
              <w:t>除另有约定外，重大疾病保险金与恶性肿瘤特别关爱保险金的受益人为被保险</w:t>
            </w:r>
          </w:p>
        </w:tc>
      </w:tr>
      <w:tr>
        <w:trPr>
          <w:trHeight w:val="420" w:hRule="atLeast"/>
        </w:trPr>
        <w:tc>
          <w:tcPr>
            <w:tcW w:w="668" w:type="dxa"/>
          </w:tcPr>
          <w:p>
            <w:pPr>
              <w:pStyle w:val="TableParagraph"/>
              <w:rPr>
                <w:rFonts w:ascii="Times New Roman"/>
                <w:sz w:val="20"/>
              </w:rPr>
            </w:pPr>
          </w:p>
        </w:tc>
        <w:tc>
          <w:tcPr>
            <w:tcW w:w="1940" w:type="dxa"/>
          </w:tcPr>
          <w:p>
            <w:pPr>
              <w:pStyle w:val="TableParagraph"/>
              <w:rPr>
                <w:rFonts w:ascii="Times New Roman"/>
                <w:sz w:val="20"/>
              </w:rPr>
            </w:pPr>
          </w:p>
        </w:tc>
        <w:tc>
          <w:tcPr>
            <w:tcW w:w="7591" w:type="dxa"/>
          </w:tcPr>
          <w:p>
            <w:pPr>
              <w:pStyle w:val="TableParagraph"/>
              <w:spacing w:line="261" w:lineRule="exact"/>
              <w:ind w:left="289"/>
              <w:rPr>
                <w:sz w:val="21"/>
              </w:rPr>
            </w:pPr>
            <w:r>
              <w:rPr>
                <w:sz w:val="21"/>
              </w:rPr>
              <w:t>人本人。</w:t>
            </w:r>
          </w:p>
        </w:tc>
      </w:tr>
      <w:tr>
        <w:trPr>
          <w:trHeight w:val="1055" w:hRule="atLeast"/>
        </w:trPr>
        <w:tc>
          <w:tcPr>
            <w:tcW w:w="668" w:type="dxa"/>
          </w:tcPr>
          <w:p>
            <w:pPr>
              <w:pStyle w:val="TableParagraph"/>
              <w:spacing w:before="104"/>
              <w:ind w:left="108"/>
              <w:rPr>
                <w:b/>
                <w:sz w:val="21"/>
              </w:rPr>
            </w:pPr>
            <w:r>
              <w:rPr>
                <w:b/>
                <w:sz w:val="21"/>
              </w:rPr>
              <w:t>3.2</w:t>
            </w:r>
          </w:p>
        </w:tc>
        <w:tc>
          <w:tcPr>
            <w:tcW w:w="1940" w:type="dxa"/>
          </w:tcPr>
          <w:p>
            <w:pPr>
              <w:pStyle w:val="TableParagraph"/>
              <w:spacing w:before="104"/>
              <w:ind w:left="204"/>
              <w:rPr>
                <w:b/>
                <w:sz w:val="21"/>
              </w:rPr>
            </w:pPr>
            <w:r>
              <w:rPr>
                <w:b/>
                <w:w w:val="95"/>
                <w:sz w:val="21"/>
              </w:rPr>
              <w:t>保险事故通知</w:t>
            </w:r>
          </w:p>
        </w:tc>
        <w:tc>
          <w:tcPr>
            <w:tcW w:w="7591" w:type="dxa"/>
          </w:tcPr>
          <w:p>
            <w:pPr>
              <w:pStyle w:val="TableParagraph"/>
              <w:spacing w:line="259" w:lineRule="auto" w:before="93"/>
              <w:ind w:left="289" w:right="106"/>
              <w:jc w:val="both"/>
              <w:rPr>
                <w:sz w:val="21"/>
              </w:rPr>
            </w:pPr>
            <w:r>
              <w:rPr>
                <w:spacing w:val="-9"/>
                <w:sz w:val="21"/>
              </w:rPr>
              <w:t>您、被保险人或受益人应于知道保险事故发生之日起 </w:t>
            </w:r>
            <w:r>
              <w:rPr>
                <w:sz w:val="21"/>
              </w:rPr>
              <w:t>10</w:t>
            </w:r>
            <w:r>
              <w:rPr>
                <w:spacing w:val="-14"/>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260" w:hRule="atLeast"/>
        </w:trPr>
        <w:tc>
          <w:tcPr>
            <w:tcW w:w="668" w:type="dxa"/>
          </w:tcPr>
          <w:p>
            <w:pPr>
              <w:pStyle w:val="TableParagraph"/>
              <w:rPr>
                <w:rFonts w:ascii="Times New Roman"/>
                <w:sz w:val="18"/>
              </w:rPr>
            </w:pPr>
          </w:p>
        </w:tc>
        <w:tc>
          <w:tcPr>
            <w:tcW w:w="1940" w:type="dxa"/>
          </w:tcPr>
          <w:p>
            <w:pPr>
              <w:pStyle w:val="TableParagraph"/>
              <w:rPr>
                <w:rFonts w:ascii="Times New Roman"/>
                <w:sz w:val="18"/>
              </w:rPr>
            </w:pPr>
          </w:p>
        </w:tc>
        <w:tc>
          <w:tcPr>
            <w:tcW w:w="7591" w:type="dxa"/>
          </w:tcPr>
          <w:p>
            <w:pPr>
              <w:pStyle w:val="TableParagraph"/>
              <w:spacing w:line="240" w:lineRule="exact"/>
              <w:ind w:left="290"/>
              <w:rPr>
                <w:sz w:val="21"/>
              </w:rPr>
            </w:pPr>
            <w:r>
              <w:rPr>
                <w:sz w:val="21"/>
              </w:rPr>
              <w:t>已经及时知道或应当及时知道保险事故发生或虽未及时通知但不影响我们确定</w:t>
            </w:r>
          </w:p>
        </w:tc>
      </w:tr>
    </w:tbl>
    <w:p>
      <w:pPr>
        <w:spacing w:after="0" w:line="240" w:lineRule="exact"/>
        <w:rPr>
          <w:sz w:val="21"/>
        </w:rPr>
        <w:sectPr>
          <w:type w:val="continuous"/>
          <w:pgSz w:w="11910" w:h="16840"/>
          <w:pgMar w:top="320" w:bottom="280" w:left="740" w:right="740"/>
        </w:sectPr>
      </w:pPr>
    </w:p>
    <w:p>
      <w:pPr>
        <w:pStyle w:val="BodyText"/>
        <w:spacing w:before="19"/>
        <w:ind w:left="3031"/>
      </w:pPr>
      <w:r>
        <w:rPr/>
        <w:t>保险事故的性质、原因、损失程度的除外。</w:t>
      </w:r>
    </w:p>
    <w:p>
      <w:pPr>
        <w:pStyle w:val="BodyText"/>
        <w:spacing w:before="2"/>
        <w:rPr>
          <w:sz w:val="20"/>
        </w:rPr>
      </w:pPr>
    </w:p>
    <w:p>
      <w:pPr>
        <w:pStyle w:val="ListParagraph"/>
        <w:numPr>
          <w:ilvl w:val="1"/>
          <w:numId w:val="10"/>
        </w:numPr>
        <w:tabs>
          <w:tab w:pos="1005" w:val="left" w:leader="none"/>
          <w:tab w:pos="1006" w:val="left" w:leader="none"/>
          <w:tab w:pos="3031" w:val="left" w:leader="none"/>
        </w:tabs>
        <w:spacing w:line="240" w:lineRule="auto" w:before="0" w:after="0"/>
        <w:ind w:left="1005" w:right="0" w:hanging="764"/>
        <w:jc w:val="left"/>
        <w:rPr>
          <w:sz w:val="21"/>
        </w:rPr>
      </w:pPr>
      <w:r>
        <w:rPr>
          <w:b/>
          <w:sz w:val="21"/>
        </w:rPr>
        <w:t>保险金申请</w:t>
        <w:tab/>
      </w:r>
      <w:r>
        <w:rPr>
          <w:sz w:val="21"/>
        </w:rPr>
        <w:t>一</w:t>
      </w:r>
      <w:r>
        <w:rPr>
          <w:spacing w:val="-27"/>
          <w:sz w:val="21"/>
        </w:rPr>
        <w:t>、</w:t>
      </w:r>
      <w:r>
        <w:rPr>
          <w:sz w:val="21"/>
        </w:rPr>
        <w:t>在本附加合同有效期间内</w:t>
      </w:r>
      <w:r>
        <w:rPr>
          <w:spacing w:val="-27"/>
          <w:sz w:val="21"/>
        </w:rPr>
        <w:t>，</w:t>
      </w:r>
      <w:r>
        <w:rPr>
          <w:sz w:val="21"/>
        </w:rPr>
        <w:t>若发生符合本附加合同约定的保险金给付情形，</w:t>
      </w:r>
    </w:p>
    <w:p>
      <w:pPr>
        <w:pStyle w:val="BodyText"/>
        <w:spacing w:line="273" w:lineRule="auto"/>
        <w:ind w:left="3451" w:right="271"/>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00" w:bottom="640" w:left="720" w:right="740"/>
        </w:sectPr>
      </w:pPr>
    </w:p>
    <w:p>
      <w:pPr>
        <w:pStyle w:val="Heading2"/>
        <w:spacing w:line="184" w:lineRule="auto"/>
        <w:ind w:left="1005"/>
      </w:pPr>
      <w:r>
        <w:rPr/>
        <w:t>重大疾病保险金 </w:t>
      </w:r>
      <w:r>
        <w:rPr>
          <w:spacing w:val="-1"/>
        </w:rPr>
        <w:t>申请、恶性肿瘤特别关爱保险金申 请</w:t>
      </w:r>
    </w:p>
    <w:p>
      <w:pPr>
        <w:pStyle w:val="BodyText"/>
        <w:spacing w:line="273" w:lineRule="auto" w:before="35"/>
        <w:ind w:left="65" w:right="218"/>
      </w:pPr>
      <w:r>
        <w:rPr/>
        <w:br w:type="column"/>
      </w:r>
      <w:r>
        <w:rPr/>
        <w:t>申请重大疾病保险金或恶性肿瘤特别关爱保险金的，申请人须填写保险金给付申请书，并向我们提供下列资料：</w:t>
      </w:r>
    </w:p>
    <w:p>
      <w:pPr>
        <w:pStyle w:val="BodyText"/>
        <w:spacing w:line="273" w:lineRule="auto" w:before="7"/>
        <w:ind w:left="65" w:right="4681"/>
      </w:pPr>
      <w:r>
        <w:rPr/>
        <w:t>(一)保险合同；            (二)申请人的有效身份证件；</w:t>
      </w:r>
    </w:p>
    <w:p>
      <w:pPr>
        <w:pStyle w:val="BodyText"/>
        <w:spacing w:line="273" w:lineRule="auto" w:before="7"/>
        <w:ind w:left="485" w:right="217" w:hanging="420"/>
      </w:pPr>
      <w:r>
        <w:rPr/>
        <w:t>(三)由</w:t>
      </w:r>
      <w:r>
        <w:rPr>
          <w:b/>
        </w:rPr>
        <w:t>医疗机构</w:t>
      </w:r>
      <w:r>
        <w:rPr/>
        <w:t>出具的可证明被保险人患重大疾病的诊断证明和诊断所患重大疾病必需的检查报告；</w:t>
      </w:r>
    </w:p>
    <w:p>
      <w:pPr>
        <w:pStyle w:val="BodyText"/>
        <w:spacing w:before="7"/>
        <w:ind w:left="63"/>
      </w:pPr>
      <w:r>
        <w:rPr/>
        <w:t>(四)所能提供的与确认保险事故的性质、原因、伤害程度等有关的其他资料。</w:t>
      </w:r>
    </w:p>
    <w:p>
      <w:pPr>
        <w:pStyle w:val="BodyText"/>
        <w:spacing w:before="1"/>
        <w:rPr>
          <w:sz w:val="20"/>
        </w:rPr>
      </w:pPr>
    </w:p>
    <w:p>
      <w:pPr>
        <w:pStyle w:val="BodyText"/>
        <w:spacing w:line="273" w:lineRule="auto" w:before="0"/>
        <w:ind w:left="519" w:right="216" w:hanging="454"/>
      </w:pPr>
      <w:r>
        <w:rPr/>
        <w:t>二、保险金作为被保险人遗产时，申请人还须提供可证明合法继承权的相关权利文件。</w:t>
      </w:r>
    </w:p>
    <w:p>
      <w:pPr>
        <w:pStyle w:val="BodyText"/>
        <w:spacing w:before="7"/>
        <w:ind w:left="63"/>
      </w:pPr>
      <w:r>
        <w:rPr/>
        <w:t>三、上述申请资料不完整的，我们将及时一次性通知申请人补充提供有关资料。</w:t>
      </w:r>
    </w:p>
    <w:p>
      <w:pPr>
        <w:spacing w:after="0"/>
        <w:sectPr>
          <w:type w:val="continuous"/>
          <w:pgSz w:w="11910" w:h="16840"/>
          <w:pgMar w:top="320" w:bottom="280" w:left="720" w:right="740"/>
          <w:cols w:num="2" w:equalWidth="0">
            <w:col w:w="2926" w:space="40"/>
            <w:col w:w="7484"/>
          </w:cols>
        </w:sectPr>
      </w:pPr>
    </w:p>
    <w:p>
      <w:pPr>
        <w:pStyle w:val="BodyText"/>
        <w:spacing w:before="1"/>
        <w:rPr>
          <w:sz w:val="18"/>
        </w:rPr>
      </w:pPr>
    </w:p>
    <w:p>
      <w:pPr>
        <w:pStyle w:val="ListParagraph"/>
        <w:numPr>
          <w:ilvl w:val="1"/>
          <w:numId w:val="10"/>
        </w:numPr>
        <w:tabs>
          <w:tab w:pos="1005" w:val="left" w:leader="none"/>
          <w:tab w:pos="1006" w:val="left" w:leader="none"/>
          <w:tab w:pos="3031" w:val="left" w:leader="none"/>
        </w:tabs>
        <w:spacing w:line="240" w:lineRule="auto" w:before="36" w:after="0"/>
        <w:ind w:left="1005" w:right="0" w:hanging="764"/>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ind w:left="3436"/>
      </w:pPr>
      <w:r>
        <w:rPr/>
        <w:t>出核定；情形复杂的，在 30 日内作出核定。对属于保险责任的，我们在与</w:t>
      </w:r>
    </w:p>
    <w:p>
      <w:pPr>
        <w:pStyle w:val="BodyText"/>
        <w:ind w:left="3436"/>
      </w:pPr>
      <w:r>
        <w:rPr/>
        <w:t>受益人达成给付保险金的协议后 10 日内，履行给付保险金义务。</w:t>
      </w:r>
    </w:p>
    <w:p>
      <w:pPr>
        <w:pStyle w:val="BodyText"/>
        <w:spacing w:line="273" w:lineRule="auto"/>
        <w:ind w:left="3436" w:right="217" w:hanging="406"/>
        <w:jc w:val="both"/>
      </w:pPr>
      <w:r>
        <w:rPr/>
        <w:t>二、我们未及时履行前款规定义务的，除支付保险金外，应当赔偿受益人因此受到的损失。</w:t>
      </w:r>
    </w:p>
    <w:p>
      <w:pPr>
        <w:pStyle w:val="BodyText"/>
        <w:spacing w:line="273" w:lineRule="auto" w:before="7"/>
        <w:ind w:left="343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3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2"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3" w:hRule="atLeast"/>
        </w:trPr>
        <w:tc>
          <w:tcPr>
            <w:tcW w:w="668" w:type="dxa"/>
            <w:tcBorders>
              <w:bottom w:val="single" w:sz="8" w:space="0" w:color="000000"/>
            </w:tcBorders>
          </w:tcPr>
          <w:p>
            <w:pPr>
              <w:pStyle w:val="TableParagraph"/>
              <w:spacing w:line="647"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83"/>
      </w:pPr>
      <w:r>
        <w:rPr/>
        <w:t>费一同支付。</w:t>
      </w:r>
    </w:p>
    <w:p>
      <w:pPr>
        <w:pStyle w:val="BodyText"/>
        <w:spacing w:line="273" w:lineRule="auto"/>
        <w:ind w:left="3483" w:right="231" w:hanging="419"/>
        <w:jc w:val="both"/>
      </w:pPr>
      <w:r>
        <w:rPr/>
        <w:t>二、分期支付保险费的，您在支付首期保险费后，应当在每个保险费约定支付日之前交纳当期保险费。</w:t>
      </w:r>
    </w:p>
    <w:p>
      <w:pPr>
        <w:pStyle w:val="BodyText"/>
        <w:spacing w:before="12"/>
        <w:rPr>
          <w:sz w:val="17"/>
        </w:rPr>
      </w:pPr>
    </w:p>
    <w:p>
      <w:pPr>
        <w:pStyle w:val="BodyText"/>
        <w:tabs>
          <w:tab w:pos="1005" w:val="left" w:leader="none"/>
          <w:tab w:pos="3064" w:val="left" w:leader="none"/>
        </w:tabs>
        <w:spacing w:before="0"/>
        <w:ind w:left="241"/>
      </w:pPr>
      <w:r>
        <w:rPr>
          <w:b/>
        </w:rPr>
        <w:t>4.2</w:t>
        <w:tab/>
        <w:t>宽限期</w:t>
        <w:tab/>
      </w:r>
      <w:r>
        <w:rPr/>
        <w:t>一、分期支付保险费的，您支付首期保险费后，除本附加合同另有约定外，若</w:t>
      </w:r>
    </w:p>
    <w:p>
      <w:pPr>
        <w:pStyle w:val="BodyText"/>
        <w:spacing w:line="273" w:lineRule="auto"/>
        <w:ind w:left="348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84" w:right="237" w:hanging="420"/>
        <w:jc w:val="both"/>
      </w:pPr>
      <w:r>
        <w:rPr/>
        <w:t>二、若您宽限期结束之后仍未支付保险费，则本附加合同自宽限期满的次日零时起中止。</w:t>
      </w:r>
    </w:p>
    <w:p>
      <w:pPr>
        <w:pStyle w:val="BodyText"/>
        <w:spacing w:before="1"/>
        <w:rPr>
          <w:sz w:val="19"/>
        </w:rPr>
      </w:pPr>
    </w:p>
    <w:p>
      <w:pPr>
        <w:tabs>
          <w:tab w:pos="1005" w:val="left" w:leader="none"/>
        </w:tabs>
        <w:spacing w:line="556" w:lineRule="exact" w:before="0"/>
        <w:ind w:left="241" w:right="0" w:firstLine="0"/>
        <w:jc w:val="left"/>
        <w:rPr>
          <w:b/>
          <w:sz w:val="24"/>
        </w:rPr>
      </w:pPr>
      <w:r>
        <w:rPr/>
        <w:pict>
          <v:group style="position:absolute;margin-left:41.939999pt;margin-top:31.216967pt;width:510.7pt;height:1pt;mso-position-horizontal-relative:page;mso-position-vertical-relative:paragraph;z-index:1120;mso-wrap-distance-left:0;mso-wrap-distance-right:0" coordorigin="839,624" coordsize="10214,20">
            <v:line style="position:absolute" from="839,634" to="1618,634" stroked="true" strokeweight=".96002pt" strokecolor="#000000">
              <v:stroke dashstyle="solid"/>
            </v:line>
            <v:line style="position:absolute" from="1603,634" to="11052,634" stroked="true" strokeweight=".96002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spacing w:after="0" w:line="556" w:lineRule="exact"/>
        <w:jc w:val="left"/>
        <w:rPr>
          <w:sz w:val="24"/>
        </w:rPr>
        <w:sectPr>
          <w:type w:val="continuous"/>
          <w:pgSz w:w="11910" w:h="16840"/>
          <w:pgMar w:top="320" w:bottom="280" w:left="720" w:right="740"/>
        </w:sectPr>
      </w:pPr>
    </w:p>
    <w:p>
      <w:pPr>
        <w:pStyle w:val="BodyText"/>
        <w:spacing w:line="20" w:lineRule="exact" w:before="0"/>
        <w:ind w:left="103"/>
        <w:rPr>
          <w:sz w:val="2"/>
        </w:rPr>
      </w:pPr>
      <w:r>
        <w:rPr>
          <w:rFonts w:ascii="Times New Roman"/>
          <w:spacing w:val="6"/>
          <w:sz w:val="2"/>
        </w:rPr>
        <w:t> </w:t>
      </w:r>
      <w:r>
        <w:rPr>
          <w:spacing w:val="6"/>
          <w:sz w:val="2"/>
        </w:rPr>
        <w:pict>
          <v:group style="width:509.95pt;height:1pt;mso-position-horizontal-relative:char;mso-position-vertical-relative:line" coordorigin="0,0" coordsize="10199,20">
            <v:line style="position:absolute" from="0,10" to="2809,10" stroked="true" strokeweight=".95996pt" strokecolor="#000000">
              <v:stroke dashstyle="solid"/>
            </v:line>
            <v:line style="position:absolute" from="2809,10" to="10199,10" stroked="true" strokeweight=".96pt" strokecolor="#000000">
              <v:stroke dashstyle="solid"/>
            </v:line>
          </v:group>
        </w:pict>
      </w:r>
      <w:r>
        <w:rPr>
          <w:spacing w:val="6"/>
          <w:sz w:val="2"/>
        </w:rPr>
      </w:r>
    </w:p>
    <w:p>
      <w:pPr>
        <w:pStyle w:val="BodyText"/>
        <w:spacing w:before="6"/>
        <w:rPr>
          <w:b/>
          <w:sz w:val="11"/>
        </w:rPr>
      </w:pPr>
    </w:p>
    <w:p>
      <w:pPr>
        <w:tabs>
          <w:tab w:pos="985" w:val="left" w:leader="none"/>
        </w:tabs>
        <w:spacing w:line="273" w:lineRule="auto" w:before="36"/>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85" w:val="left" w:leader="none"/>
          <w:tab w:pos="986" w:val="left" w:leader="none"/>
        </w:tabs>
        <w:spacing w:line="557" w:lineRule="exact" w:before="0" w:after="0"/>
        <w:ind w:left="985" w:right="0" w:hanging="764"/>
        <w:jc w:val="left"/>
        <w:rPr>
          <w:rFonts w:ascii="宋体" w:eastAsia="宋体" w:hint="eastAsia"/>
        </w:rPr>
      </w:pPr>
      <w:r>
        <w:rPr/>
        <w:pict>
          <v:group style="position:absolute;margin-left:42.66pt;margin-top:31.193476pt;width:509.95pt;height:1pt;mso-position-horizontal-relative:page;mso-position-vertical-relative:paragraph;z-index:1168;mso-wrap-distance-left:0;mso-wrap-distance-right:0" coordorigin="853,624"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2"/>
        </w:numPr>
        <w:tabs>
          <w:tab w:pos="984" w:val="left" w:leader="none"/>
          <w:tab w:pos="985" w:val="left" w:leader="none"/>
          <w:tab w:pos="3011" w:val="left" w:leader="none"/>
        </w:tabs>
        <w:spacing w:line="240" w:lineRule="auto" w:before="1"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w:t>
      </w:r>
      <w:r>
        <w:rPr>
          <w:b/>
        </w:rPr>
        <w:t>利息</w:t>
      </w:r>
      <w:r>
        <w:rPr/>
        <w:t>和其他未还款项及其利息的次日零时起，本附加合同效力恢复。</w:t>
      </w:r>
    </w:p>
    <w:p>
      <w:pPr>
        <w:pStyle w:val="BodyText"/>
        <w:spacing w:before="7"/>
        <w:ind w:left="3011"/>
      </w:pPr>
      <w:r>
        <w:rPr/>
        <w:t>二、本附加合同须与主合同同时申请复效。</w:t>
      </w:r>
    </w:p>
    <w:p>
      <w:pPr>
        <w:pStyle w:val="BodyText"/>
        <w:spacing w:line="273" w:lineRule="auto" w:before="36"/>
        <w:ind w:left="3431" w:right="271" w:hanging="420"/>
      </w:pPr>
      <w:r>
        <w:rPr>
          <w:spacing w:val="-4"/>
        </w:rPr>
        <w:t>三、自本附加合同中止之日起满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85" w:val="left" w:leader="none"/>
        </w:tabs>
        <w:spacing w:line="556" w:lineRule="exact" w:before="0"/>
        <w:ind w:left="221" w:right="0" w:firstLine="0"/>
        <w:jc w:val="left"/>
        <w:rPr>
          <w:b/>
          <w:sz w:val="24"/>
        </w:rPr>
      </w:pPr>
      <w:r>
        <w:rPr/>
        <w:pict>
          <v:group style="position:absolute;margin-left:42.66pt;margin-top:31.182076pt;width:509.95pt;height:1pt;mso-position-horizontal-relative:page;mso-position-vertical-relative:paragraph;z-index:1192;mso-wrap-distance-left:0;mso-wrap-distance-right:0" coordorigin="853,624"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40" w:bottom="640" w:left="740" w:right="740"/>
        </w:sectPr>
      </w:pPr>
    </w:p>
    <w:p>
      <w:pPr>
        <w:pStyle w:val="Heading4"/>
        <w:numPr>
          <w:ilvl w:val="1"/>
          <w:numId w:val="13"/>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（二）您的有效身份证件。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line="273" w:lineRule="auto" w:before="7"/>
        <w:ind w:left="87" w:right="3211"/>
      </w:pPr>
      <w:r>
        <w:rPr/>
        <w:t>三、您在犹豫期后解除合同会遭受一定损失。四、本附加合同须与主合同同时解除。</w:t>
      </w:r>
    </w:p>
    <w:p>
      <w:pPr>
        <w:spacing w:after="0" w:line="273" w:lineRule="auto"/>
        <w:sectPr>
          <w:type w:val="continuous"/>
          <w:pgSz w:w="11910" w:h="16840"/>
          <w:pgMar w:top="320" w:bottom="280" w:left="740" w:right="740"/>
          <w:cols w:num="2" w:equalWidth="0">
            <w:col w:w="2884" w:space="40"/>
            <w:col w:w="7506"/>
          </w:cols>
        </w:sectPr>
      </w:pPr>
    </w:p>
    <w:p>
      <w:pPr>
        <w:pStyle w:val="BodyText"/>
        <w:spacing w:before="2"/>
        <w:rPr>
          <w:sz w:val="15"/>
        </w:rPr>
      </w:pPr>
    </w:p>
    <w:p>
      <w:pPr>
        <w:pStyle w:val="ListParagraph"/>
        <w:numPr>
          <w:ilvl w:val="1"/>
          <w:numId w:val="13"/>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2"/>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849"/>
        <w:gridCol w:w="7682"/>
      </w:tblGrid>
      <w:tr>
        <w:trPr>
          <w:trHeight w:val="1335" w:hRule="atLeast"/>
        </w:trPr>
        <w:tc>
          <w:tcPr>
            <w:tcW w:w="668" w:type="dxa"/>
          </w:tcPr>
          <w:p>
            <w:pPr>
              <w:pStyle w:val="TableParagraph"/>
              <w:spacing w:line="210" w:lineRule="exact"/>
              <w:ind w:left="108"/>
              <w:rPr>
                <w:b/>
                <w:sz w:val="21"/>
              </w:rPr>
            </w:pPr>
            <w:r>
              <w:rPr>
                <w:b/>
                <w:sz w:val="21"/>
              </w:rPr>
              <w:t>7.3</w:t>
            </w:r>
          </w:p>
        </w:tc>
        <w:tc>
          <w:tcPr>
            <w:tcW w:w="1849" w:type="dxa"/>
          </w:tcPr>
          <w:p>
            <w:pPr>
              <w:pStyle w:val="TableParagraph"/>
              <w:spacing w:line="210" w:lineRule="exact"/>
              <w:ind w:left="204"/>
              <w:rPr>
                <w:b/>
                <w:sz w:val="21"/>
              </w:rPr>
            </w:pPr>
            <w:r>
              <w:rPr>
                <w:b/>
                <w:w w:val="95"/>
                <w:sz w:val="21"/>
              </w:rPr>
              <w:t>联系方式变更</w:t>
            </w:r>
          </w:p>
        </w:tc>
        <w:tc>
          <w:tcPr>
            <w:tcW w:w="7682" w:type="dxa"/>
          </w:tcPr>
          <w:p>
            <w:pPr>
              <w:pStyle w:val="TableParagraph"/>
              <w:spacing w:line="210" w:lineRule="exact"/>
              <w:ind w:left="380"/>
              <w:rPr>
                <w:sz w:val="21"/>
              </w:rPr>
            </w:pPr>
            <w:r>
              <w:rPr>
                <w:sz w:val="21"/>
              </w:rPr>
              <w:t>为保障您的合法权益，您的住所、通讯地址或电话等联系方式变更时，请及时</w:t>
            </w:r>
          </w:p>
          <w:p>
            <w:pPr>
              <w:pStyle w:val="TableParagraph"/>
              <w:spacing w:line="273" w:lineRule="auto" w:before="37"/>
              <w:ind w:left="380" w:right="159"/>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151"/>
                <w:sz w:val="40"/>
              </w:rPr>
              <w:t>®</w:t>
            </w:r>
          </w:p>
        </w:tc>
        <w:tc>
          <w:tcPr>
            <w:tcW w:w="1849" w:type="dxa"/>
            <w:tcBorders>
              <w:bottom w:val="single" w:sz="8" w:space="0" w:color="000000"/>
            </w:tcBorders>
          </w:tcPr>
          <w:p>
            <w:pPr>
              <w:pStyle w:val="TableParagraph"/>
              <w:spacing w:before="206"/>
              <w:ind w:left="204"/>
              <w:rPr>
                <w:b/>
                <w:sz w:val="24"/>
              </w:rPr>
            </w:pPr>
            <w:r>
              <w:rPr>
                <w:b/>
                <w:sz w:val="24"/>
              </w:rPr>
              <w:t>释义</w:t>
            </w:r>
          </w:p>
        </w:tc>
        <w:tc>
          <w:tcPr>
            <w:tcW w:w="7682" w:type="dxa"/>
            <w:tcBorders>
              <w:bottom w:val="single" w:sz="8" w:space="0" w:color="000000"/>
            </w:tcBorders>
          </w:tcPr>
          <w:p>
            <w:pPr>
              <w:pStyle w:val="TableParagraph"/>
              <w:rPr>
                <w:rFonts w:ascii="Times New Roman"/>
                <w:sz w:val="20"/>
              </w:rPr>
            </w:pPr>
          </w:p>
        </w:tc>
      </w:tr>
      <w:tr>
        <w:trPr>
          <w:trHeight w:val="943" w:hRule="atLeast"/>
        </w:trPr>
        <w:tc>
          <w:tcPr>
            <w:tcW w:w="668" w:type="dxa"/>
            <w:tcBorders>
              <w:top w:val="single" w:sz="8" w:space="0" w:color="000000"/>
            </w:tcBorders>
          </w:tcPr>
          <w:p>
            <w:pPr>
              <w:pStyle w:val="TableParagraph"/>
              <w:spacing w:before="9"/>
              <w:rPr>
                <w:sz w:val="14"/>
              </w:rPr>
            </w:pPr>
          </w:p>
          <w:p>
            <w:pPr>
              <w:pStyle w:val="TableParagraph"/>
              <w:ind w:left="108"/>
              <w:rPr>
                <w:b/>
                <w:sz w:val="21"/>
              </w:rPr>
            </w:pPr>
            <w:r>
              <w:rPr>
                <w:b/>
                <w:sz w:val="21"/>
              </w:rPr>
              <w:t>8.1</w:t>
            </w:r>
          </w:p>
        </w:tc>
        <w:tc>
          <w:tcPr>
            <w:tcW w:w="1849" w:type="dxa"/>
            <w:tcBorders>
              <w:top w:val="single" w:sz="8" w:space="0" w:color="000000"/>
            </w:tcBorders>
          </w:tcPr>
          <w:p>
            <w:pPr>
              <w:pStyle w:val="TableParagraph"/>
              <w:spacing w:before="9"/>
              <w:rPr>
                <w:sz w:val="14"/>
              </w:rPr>
            </w:pPr>
          </w:p>
          <w:p>
            <w:pPr>
              <w:pStyle w:val="TableParagraph"/>
              <w:ind w:left="204"/>
              <w:rPr>
                <w:b/>
                <w:sz w:val="21"/>
              </w:rPr>
            </w:pPr>
            <w:r>
              <w:rPr>
                <w:b/>
                <w:sz w:val="21"/>
              </w:rPr>
              <w:t>保单年度</w:t>
            </w:r>
          </w:p>
        </w:tc>
        <w:tc>
          <w:tcPr>
            <w:tcW w:w="7682" w:type="dxa"/>
            <w:tcBorders>
              <w:top w:val="single" w:sz="8" w:space="0" w:color="000000"/>
            </w:tcBorders>
          </w:tcPr>
          <w:p>
            <w:pPr>
              <w:pStyle w:val="TableParagraph"/>
              <w:spacing w:before="9"/>
              <w:rPr>
                <w:sz w:val="14"/>
              </w:rPr>
            </w:pPr>
          </w:p>
          <w:p>
            <w:pPr>
              <w:pStyle w:val="TableParagraph"/>
              <w:spacing w:line="273" w:lineRule="auto"/>
              <w:ind w:left="380" w:right="159"/>
              <w:rPr>
                <w:sz w:val="21"/>
              </w:rPr>
            </w:pPr>
            <w:r>
              <w:rPr>
                <w:sz w:val="21"/>
              </w:rPr>
              <w:t>从本附加合同生效日或保单周年日零时起至下一年度的保单周年日零时止为一个保单年度。</w:t>
            </w:r>
          </w:p>
        </w:tc>
      </w:tr>
      <w:tr>
        <w:trPr>
          <w:trHeight w:val="425" w:hRule="atLeast"/>
        </w:trPr>
        <w:tc>
          <w:tcPr>
            <w:tcW w:w="668" w:type="dxa"/>
          </w:tcPr>
          <w:p>
            <w:pPr>
              <w:pStyle w:val="TableParagraph"/>
              <w:spacing w:before="99"/>
              <w:ind w:left="108"/>
              <w:rPr>
                <w:b/>
                <w:sz w:val="21"/>
              </w:rPr>
            </w:pPr>
            <w:r>
              <w:rPr>
                <w:b/>
                <w:sz w:val="21"/>
              </w:rPr>
              <w:t>8.2</w:t>
            </w:r>
          </w:p>
        </w:tc>
        <w:tc>
          <w:tcPr>
            <w:tcW w:w="1849" w:type="dxa"/>
          </w:tcPr>
          <w:p>
            <w:pPr>
              <w:pStyle w:val="TableParagraph"/>
              <w:spacing w:before="99"/>
              <w:ind w:left="204"/>
              <w:rPr>
                <w:b/>
                <w:sz w:val="21"/>
              </w:rPr>
            </w:pPr>
            <w:r>
              <w:rPr>
                <w:b/>
                <w:w w:val="95"/>
                <w:sz w:val="21"/>
              </w:rPr>
              <w:t>保单周年日</w:t>
            </w:r>
          </w:p>
        </w:tc>
        <w:tc>
          <w:tcPr>
            <w:tcW w:w="7682" w:type="dxa"/>
          </w:tcPr>
          <w:p>
            <w:pPr>
              <w:pStyle w:val="TableParagraph"/>
              <w:spacing w:before="99"/>
              <w:ind w:left="380"/>
              <w:rPr>
                <w:sz w:val="21"/>
              </w:rPr>
            </w:pPr>
            <w:r>
              <w:rPr>
                <w:spacing w:val="-3"/>
                <w:sz w:val="21"/>
              </w:rPr>
              <w:t>指本附加合同生效日在合同生效后每年的对应日，不含本附加合同生效日当日。</w:t>
            </w:r>
          </w:p>
        </w:tc>
      </w:tr>
      <w:tr>
        <w:trPr>
          <w:trHeight w:val="260" w:hRule="atLeast"/>
        </w:trPr>
        <w:tc>
          <w:tcPr>
            <w:tcW w:w="668" w:type="dxa"/>
          </w:tcPr>
          <w:p>
            <w:pPr>
              <w:pStyle w:val="TableParagraph"/>
              <w:rPr>
                <w:rFonts w:ascii="Times New Roman"/>
                <w:sz w:val="18"/>
              </w:rPr>
            </w:pPr>
          </w:p>
        </w:tc>
        <w:tc>
          <w:tcPr>
            <w:tcW w:w="1849" w:type="dxa"/>
          </w:tcPr>
          <w:p>
            <w:pPr>
              <w:pStyle w:val="TableParagraph"/>
              <w:rPr>
                <w:rFonts w:ascii="Times New Roman"/>
                <w:sz w:val="18"/>
              </w:rPr>
            </w:pPr>
          </w:p>
        </w:tc>
        <w:tc>
          <w:tcPr>
            <w:tcW w:w="7682" w:type="dxa"/>
          </w:tcPr>
          <w:p>
            <w:pPr>
              <w:pStyle w:val="TableParagraph"/>
              <w:spacing w:line="241" w:lineRule="exact"/>
              <w:ind w:left="380"/>
              <w:rPr>
                <w:sz w:val="21"/>
              </w:rPr>
            </w:pPr>
            <w:r>
              <w:rPr>
                <w:sz w:val="21"/>
              </w:rPr>
              <w:t>若当月没有对应的同一日，则以该月最后一日为对应日。</w:t>
            </w:r>
          </w:p>
        </w:tc>
      </w:tr>
    </w:tbl>
    <w:p>
      <w:pPr>
        <w:spacing w:after="0" w:line="241" w:lineRule="exact"/>
        <w:rPr>
          <w:sz w:val="21"/>
        </w:rPr>
        <w:sectPr>
          <w:type w:val="continuous"/>
          <w:pgSz w:w="11910" w:h="16840"/>
          <w:pgMar w:top="320" w:bottom="280" w:left="740" w:right="740"/>
        </w:sectPr>
      </w:pPr>
    </w:p>
    <w:p>
      <w:pPr>
        <w:pStyle w:val="ListParagraph"/>
        <w:numPr>
          <w:ilvl w:val="1"/>
          <w:numId w:val="14"/>
        </w:numPr>
        <w:tabs>
          <w:tab w:pos="925" w:val="left" w:leader="none"/>
          <w:tab w:pos="926" w:val="left" w:leader="none"/>
          <w:tab w:pos="2951" w:val="left" w:leader="none"/>
        </w:tabs>
        <w:spacing w:line="273" w:lineRule="auto" w:before="19" w:after="0"/>
        <w:ind w:left="2951" w:right="33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12"/>
        <w:rPr>
          <w:sz w:val="17"/>
        </w:rPr>
      </w:pPr>
    </w:p>
    <w:p>
      <w:pPr>
        <w:pStyle w:val="ListParagraph"/>
        <w:numPr>
          <w:ilvl w:val="1"/>
          <w:numId w:val="14"/>
        </w:numPr>
        <w:tabs>
          <w:tab w:pos="925" w:val="left" w:leader="none"/>
          <w:tab w:pos="926" w:val="left" w:leader="none"/>
          <w:tab w:pos="2951" w:val="left" w:leader="none"/>
        </w:tabs>
        <w:spacing w:line="273" w:lineRule="auto" w:before="0" w:after="0"/>
        <w:ind w:left="2951" w:right="17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12"/>
        <w:rPr>
          <w:sz w:val="17"/>
        </w:rPr>
      </w:pPr>
    </w:p>
    <w:p>
      <w:pPr>
        <w:pStyle w:val="ListParagraph"/>
        <w:numPr>
          <w:ilvl w:val="1"/>
          <w:numId w:val="14"/>
        </w:numPr>
        <w:tabs>
          <w:tab w:pos="925" w:val="left" w:leader="none"/>
          <w:tab w:pos="926" w:val="left" w:leader="none"/>
          <w:tab w:pos="2951" w:val="left" w:leader="none"/>
        </w:tabs>
        <w:spacing w:line="273" w:lineRule="auto" w:before="0" w:after="0"/>
        <w:ind w:left="2951" w:right="33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0"/>
        <w:rPr>
          <w:sz w:val="17"/>
        </w:rPr>
      </w:pPr>
    </w:p>
    <w:p>
      <w:pPr>
        <w:pStyle w:val="ListParagraph"/>
        <w:numPr>
          <w:ilvl w:val="1"/>
          <w:numId w:val="14"/>
        </w:numPr>
        <w:tabs>
          <w:tab w:pos="925" w:val="left" w:leader="none"/>
          <w:tab w:pos="926" w:val="left" w:leader="none"/>
          <w:tab w:pos="2951" w:val="left" w:leader="none"/>
        </w:tabs>
        <w:spacing w:line="273" w:lineRule="auto" w:before="1" w:after="0"/>
        <w:ind w:left="2951" w:right="33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9"/>
        <w:rPr>
          <w:sz w:val="13"/>
        </w:rPr>
      </w:pPr>
    </w:p>
    <w:p>
      <w:pPr>
        <w:spacing w:after="0"/>
        <w:rPr>
          <w:sz w:val="13"/>
        </w:rPr>
        <w:sectPr>
          <w:pgSz w:w="11910" w:h="16840"/>
          <w:pgMar w:header="0" w:footer="442" w:top="1100" w:bottom="640" w:left="800" w:right="680"/>
        </w:sectPr>
      </w:pPr>
    </w:p>
    <w:p>
      <w:pPr>
        <w:pStyle w:val="Heading4"/>
        <w:numPr>
          <w:ilvl w:val="1"/>
          <w:numId w:val="14"/>
        </w:numPr>
        <w:tabs>
          <w:tab w:pos="925" w:val="left" w:leader="none"/>
          <w:tab w:pos="926" w:val="left" w:leader="none"/>
        </w:tabs>
        <w:spacing w:line="240" w:lineRule="auto" w:before="55" w:after="0"/>
        <w:ind w:left="925" w:right="0" w:hanging="764"/>
        <w:jc w:val="left"/>
        <w:rPr>
          <w:rFonts w:ascii="宋体" w:eastAsia="宋体" w:hint="eastAsia"/>
        </w:rPr>
      </w:pPr>
      <w:r>
        <w:rPr>
          <w:rFonts w:ascii="宋体" w:eastAsia="宋体" w:hint="eastAsia"/>
          <w:w w:val="95"/>
        </w:rPr>
        <w:t>初次患本附加合同</w:t>
      </w:r>
    </w:p>
    <w:p>
      <w:pPr>
        <w:spacing w:before="36"/>
        <w:ind w:left="925" w:right="0" w:firstLine="0"/>
        <w:jc w:val="left"/>
        <w:rPr>
          <w:b/>
          <w:sz w:val="21"/>
        </w:rPr>
      </w:pPr>
      <w:r>
        <w:rPr>
          <w:b/>
          <w:w w:val="95"/>
          <w:sz w:val="21"/>
        </w:rPr>
        <w:t>所列的重大疾病</w:t>
      </w:r>
    </w:p>
    <w:p>
      <w:pPr>
        <w:pStyle w:val="BodyText"/>
        <w:spacing w:line="274" w:lineRule="exact" w:before="35"/>
        <w:ind w:left="164"/>
      </w:pPr>
      <w:r>
        <w:rPr/>
        <w:br w:type="column"/>
      </w:r>
      <w:r>
        <w:rPr/>
        <w:t>指被保险人患同时符合以下条件的重大疾病：</w:t>
      </w:r>
    </w:p>
    <w:p>
      <w:pPr>
        <w:pStyle w:val="BodyText"/>
        <w:spacing w:line="272" w:lineRule="exact" w:before="0"/>
        <w:ind w:left="164"/>
      </w:pPr>
      <w:r>
        <w:rPr/>
        <w:t>（1）被保险人自出生后首次出现该重大疾病之症状体征；</w:t>
      </w:r>
    </w:p>
    <w:p>
      <w:pPr>
        <w:pStyle w:val="BodyText"/>
        <w:spacing w:line="237" w:lineRule="auto" w:before="1"/>
        <w:ind w:left="685" w:right="218" w:hanging="525"/>
      </w:pPr>
      <w:r>
        <w:rPr/>
        <w:t>（2）被保险人在本附加合同有效期间内首次出现该重大疾病之症状体征并被确诊患该重大疾病；</w:t>
      </w:r>
    </w:p>
    <w:p>
      <w:pPr>
        <w:spacing w:after="0" w:line="237" w:lineRule="auto"/>
        <w:sectPr>
          <w:type w:val="continuous"/>
          <w:pgSz w:w="11910" w:h="16840"/>
          <w:pgMar w:top="320" w:bottom="280" w:left="800" w:right="680"/>
          <w:cols w:num="2" w:equalWidth="0">
            <w:col w:w="2613" w:space="173"/>
            <w:col w:w="7644"/>
          </w:cols>
        </w:sectPr>
      </w:pPr>
    </w:p>
    <w:p>
      <w:pPr>
        <w:pStyle w:val="BodyText"/>
        <w:spacing w:before="9"/>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2031"/>
        <w:gridCol w:w="7578"/>
      </w:tblGrid>
      <w:tr>
        <w:trPr>
          <w:trHeight w:val="518"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09" w:lineRule="exact"/>
              <w:ind w:left="218"/>
              <w:rPr>
                <w:sz w:val="21"/>
              </w:rPr>
            </w:pPr>
            <w:r>
              <w:rPr>
                <w:sz w:val="21"/>
              </w:rPr>
              <w:t>（3）该重大疾病之症状体征符合本附加合同的定义；</w:t>
            </w:r>
          </w:p>
          <w:p>
            <w:pPr>
              <w:pStyle w:val="TableParagraph"/>
              <w:spacing w:line="274" w:lineRule="exact"/>
              <w:ind w:left="218"/>
              <w:rPr>
                <w:sz w:val="21"/>
              </w:rPr>
            </w:pPr>
            <w:r>
              <w:rPr>
                <w:sz w:val="21"/>
              </w:rPr>
              <w:t>（4）该重大疾病已在本附加合同中列明。</w:t>
            </w:r>
          </w:p>
        </w:tc>
      </w:tr>
      <w:tr>
        <w:trPr>
          <w:trHeight w:val="303"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58" w:lineRule="exact"/>
              <w:ind w:left="217"/>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30"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7" w:lineRule="exact"/>
              <w:ind w:left="217"/>
              <w:rPr>
                <w:rFonts w:ascii="黑体" w:eastAsia="黑体" w:hint="eastAsia"/>
                <w:b/>
                <w:i/>
                <w:sz w:val="22"/>
              </w:rPr>
            </w:pPr>
            <w:r>
              <w:rPr>
                <w:rFonts w:ascii="黑体" w:eastAsia="黑体" w:hint="eastAsia"/>
                <w:b/>
                <w:i/>
                <w:w w:val="95"/>
                <w:sz w:val="22"/>
              </w:rPr>
              <w:t>体征或所患的重大疾病，我们不承担保险责任。</w:t>
            </w:r>
          </w:p>
        </w:tc>
      </w:tr>
      <w:tr>
        <w:trPr>
          <w:trHeight w:val="424" w:hRule="atLeast"/>
        </w:trPr>
        <w:tc>
          <w:tcPr>
            <w:tcW w:w="591" w:type="dxa"/>
          </w:tcPr>
          <w:p>
            <w:pPr>
              <w:pStyle w:val="TableParagraph"/>
              <w:spacing w:before="98"/>
              <w:ind w:left="50"/>
              <w:rPr>
                <w:b/>
                <w:sz w:val="21"/>
              </w:rPr>
            </w:pPr>
            <w:r>
              <w:rPr>
                <w:b/>
                <w:sz w:val="21"/>
              </w:rPr>
              <w:t>8.8</w:t>
            </w:r>
          </w:p>
        </w:tc>
        <w:tc>
          <w:tcPr>
            <w:tcW w:w="2031" w:type="dxa"/>
          </w:tcPr>
          <w:p>
            <w:pPr>
              <w:pStyle w:val="TableParagraph"/>
              <w:spacing w:before="98"/>
              <w:ind w:left="223"/>
              <w:rPr>
                <w:b/>
                <w:sz w:val="21"/>
              </w:rPr>
            </w:pPr>
            <w:r>
              <w:rPr>
                <w:b/>
                <w:sz w:val="21"/>
              </w:rPr>
              <w:t>重大疾病</w:t>
            </w:r>
          </w:p>
        </w:tc>
        <w:tc>
          <w:tcPr>
            <w:tcW w:w="7578" w:type="dxa"/>
          </w:tcPr>
          <w:p>
            <w:pPr>
              <w:pStyle w:val="TableParagraph"/>
              <w:spacing w:before="98"/>
              <w:ind w:left="217"/>
              <w:rPr>
                <w:sz w:val="21"/>
              </w:rPr>
            </w:pPr>
            <w:r>
              <w:rPr>
                <w:sz w:val="21"/>
              </w:rPr>
              <w:t>指被保险人发生符合以下疾病定义所述条件的疾病（</w:t>
            </w:r>
            <w:r>
              <w:rPr>
                <w:spacing w:val="-13"/>
                <w:sz w:val="21"/>
              </w:rPr>
              <w:t>共 </w:t>
            </w:r>
            <w:r>
              <w:rPr>
                <w:sz w:val="21"/>
              </w:rPr>
              <w:t>40</w:t>
            </w:r>
            <w:r>
              <w:rPr>
                <w:spacing w:val="-14"/>
                <w:sz w:val="21"/>
              </w:rPr>
              <w:t> 种</w:t>
            </w:r>
            <w:r>
              <w:rPr>
                <w:spacing w:val="-105"/>
                <w:sz w:val="21"/>
              </w:rPr>
              <w:t>）</w:t>
            </w:r>
            <w:r>
              <w:rPr>
                <w:spacing w:val="-1"/>
                <w:sz w:val="21"/>
              </w:rPr>
              <w:t>，应当由专科医</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生明确诊断。</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425"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疾病定义，第 25 至第 40 项为我们增加的疾病种类并自行制定的疾病定义。</w:t>
            </w:r>
          </w:p>
        </w:tc>
      </w:tr>
      <w:tr>
        <w:trPr>
          <w:trHeight w:val="737" w:hRule="atLeast"/>
        </w:trPr>
        <w:tc>
          <w:tcPr>
            <w:tcW w:w="591" w:type="dxa"/>
          </w:tcPr>
          <w:p>
            <w:pPr>
              <w:pStyle w:val="TableParagraph"/>
              <w:rPr>
                <w:rFonts w:ascii="Times New Roman"/>
                <w:sz w:val="20"/>
              </w:rPr>
            </w:pPr>
          </w:p>
        </w:tc>
        <w:tc>
          <w:tcPr>
            <w:tcW w:w="2031" w:type="dxa"/>
          </w:tcPr>
          <w:p>
            <w:pPr>
              <w:pStyle w:val="TableParagraph"/>
              <w:spacing w:before="58"/>
              <w:ind w:left="223"/>
              <w:rPr>
                <w:rFonts w:ascii="Microsoft JhengHei" w:eastAsia="Microsoft JhengHei" w:hint="eastAsia"/>
                <w:b/>
                <w:sz w:val="21"/>
              </w:rPr>
            </w:pPr>
            <w:r>
              <w:rPr>
                <w:rFonts w:ascii="Microsoft JhengHei" w:eastAsia="Microsoft JhengHei" w:hint="eastAsia"/>
                <w:b/>
                <w:w w:val="95"/>
                <w:sz w:val="21"/>
              </w:rPr>
              <w:t>1、恶性肿瘤</w:t>
            </w:r>
          </w:p>
        </w:tc>
        <w:tc>
          <w:tcPr>
            <w:tcW w:w="7578" w:type="dxa"/>
          </w:tcPr>
          <w:p>
            <w:pPr>
              <w:pStyle w:val="TableParagraph"/>
              <w:spacing w:line="273" w:lineRule="auto" w:before="99"/>
              <w:ind w:left="217" w:right="165"/>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诊断，临床诊断属于世界卫生组织《疾病和有关健康问题的国际统计分类》</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（ICD-10）的恶性肿瘤范畴。下列疾病不在保障范围内：</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（1）原位癌；</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（2）相当于Binet 分期方案 A 期程度的慢性淋巴细胞白血病；</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（3）相当于Ann Arbor 分期方案 I 期程度的何杰金氏病；</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16"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（6）感染艾滋病病毒或患艾滋病期间所患恶性肿瘤。</w:t>
            </w:r>
          </w:p>
        </w:tc>
      </w:tr>
      <w:tr>
        <w:trPr>
          <w:trHeight w:val="728" w:hRule="atLeast"/>
        </w:trPr>
        <w:tc>
          <w:tcPr>
            <w:tcW w:w="591" w:type="dxa"/>
          </w:tcPr>
          <w:p>
            <w:pPr>
              <w:pStyle w:val="TableParagraph"/>
              <w:rPr>
                <w:rFonts w:ascii="Times New Roman"/>
                <w:sz w:val="20"/>
              </w:rPr>
            </w:pPr>
          </w:p>
        </w:tc>
        <w:tc>
          <w:tcPr>
            <w:tcW w:w="2031" w:type="dxa"/>
          </w:tcPr>
          <w:p>
            <w:pPr>
              <w:pStyle w:val="TableParagraph"/>
              <w:spacing w:before="49"/>
              <w:ind w:left="223"/>
              <w:rPr>
                <w:rFonts w:ascii="Microsoft JhengHei" w:eastAsia="Microsoft JhengHei" w:hint="eastAsia"/>
                <w:b/>
                <w:sz w:val="21"/>
              </w:rPr>
            </w:pPr>
            <w:r>
              <w:rPr>
                <w:rFonts w:ascii="Microsoft JhengHei" w:eastAsia="Microsoft JhengHei" w:hint="eastAsia"/>
                <w:b/>
                <w:sz w:val="21"/>
              </w:rPr>
              <w:t>2、急性心ft梗塞</w:t>
            </w:r>
          </w:p>
        </w:tc>
        <w:tc>
          <w:tcPr>
            <w:tcW w:w="7578" w:type="dxa"/>
          </w:tcPr>
          <w:p>
            <w:pPr>
              <w:pStyle w:val="TableParagraph"/>
              <w:spacing w:line="273" w:lineRule="auto" w:before="91"/>
              <w:ind w:left="218" w:right="165"/>
              <w:rPr>
                <w:sz w:val="21"/>
              </w:rPr>
            </w:pPr>
            <w:r>
              <w:rPr>
                <w:sz w:val="21"/>
              </w:rPr>
              <w:t>指因冠状动脉阻塞导致的相应区域供血不足造成部分心肌坏死。须满足下列至少三项条件：</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（1）典型临床表现，例如急性胸痛等；</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（2）新近的心电图改变提示急性心肌梗塞；</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（3）心肌酶或肌钙蛋白有诊断意义的升高，或呈符合急性心肌梗塞的动态性变</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化；</w:t>
            </w:r>
          </w:p>
        </w:tc>
      </w:tr>
      <w:tr>
        <w:trPr>
          <w:trHeight w:val="416"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pacing w:val="-24"/>
                <w:sz w:val="21"/>
              </w:rPr>
              <w:t>（4）</w:t>
            </w:r>
            <w:r>
              <w:rPr>
                <w:spacing w:val="-20"/>
                <w:sz w:val="21"/>
              </w:rPr>
              <w:t>发病 </w:t>
            </w:r>
            <w:r>
              <w:rPr>
                <w:sz w:val="21"/>
              </w:rPr>
              <w:t>90</w:t>
            </w:r>
            <w:r>
              <w:rPr>
                <w:spacing w:val="-18"/>
                <w:sz w:val="21"/>
              </w:rPr>
              <w:t> 日后，经检查证实左心室功能降低的，如左心室射血分数低于 </w:t>
            </w:r>
            <w:r>
              <w:rPr>
                <w:sz w:val="21"/>
              </w:rPr>
              <w:t>50%。</w:t>
            </w:r>
          </w:p>
        </w:tc>
      </w:tr>
      <w:tr>
        <w:trPr>
          <w:trHeight w:val="728" w:hRule="atLeast"/>
        </w:trPr>
        <w:tc>
          <w:tcPr>
            <w:tcW w:w="591" w:type="dxa"/>
          </w:tcPr>
          <w:p>
            <w:pPr>
              <w:pStyle w:val="TableParagraph"/>
              <w:rPr>
                <w:rFonts w:ascii="Times New Roman"/>
                <w:sz w:val="20"/>
              </w:rPr>
            </w:pPr>
          </w:p>
        </w:tc>
        <w:tc>
          <w:tcPr>
            <w:tcW w:w="2031" w:type="dxa"/>
          </w:tcPr>
          <w:p>
            <w:pPr>
              <w:pStyle w:val="TableParagraph"/>
              <w:spacing w:before="49"/>
              <w:ind w:left="223"/>
              <w:rPr>
                <w:rFonts w:ascii="Microsoft JhengHei" w:eastAsia="Microsoft JhengHei" w:hint="eastAsia"/>
                <w:b/>
                <w:sz w:val="21"/>
              </w:rPr>
            </w:pPr>
            <w:r>
              <w:rPr>
                <w:rFonts w:ascii="Microsoft JhengHei" w:eastAsia="Microsoft JhengHei" w:hint="eastAsia"/>
                <w:b/>
                <w:w w:val="95"/>
                <w:sz w:val="21"/>
              </w:rPr>
              <w:t>3、脑中风后遗症</w:t>
            </w:r>
          </w:p>
        </w:tc>
        <w:tc>
          <w:tcPr>
            <w:tcW w:w="7578" w:type="dxa"/>
          </w:tcPr>
          <w:p>
            <w:pPr>
              <w:pStyle w:val="TableParagraph"/>
              <w:spacing w:line="273" w:lineRule="auto" w:before="91"/>
              <w:ind w:left="218" w:right="99"/>
              <w:rPr>
                <w:sz w:val="21"/>
              </w:rPr>
            </w:pPr>
            <w:r>
              <w:rPr>
                <w:sz w:val="21"/>
              </w:rPr>
              <w:t>指因脑血管的突发病变引起脑血管出血、栓塞或梗塞，并导致神经系统永久性功能障碍。神经系统永久性的功能障碍，指疾病确诊 180 日后，仍遗留下列一</w:t>
            </w:r>
          </w:p>
        </w:tc>
      </w:tr>
      <w:tr>
        <w:trPr>
          <w:trHeight w:val="311" w:hRule="atLeast"/>
        </w:trPr>
        <w:tc>
          <w:tcPr>
            <w:tcW w:w="591" w:type="dxa"/>
          </w:tcPr>
          <w:p>
            <w:pPr>
              <w:pStyle w:val="TableParagraph"/>
              <w:rPr>
                <w:rFonts w:ascii="Times New Roman"/>
                <w:sz w:val="20"/>
              </w:rPr>
            </w:pPr>
          </w:p>
        </w:tc>
        <w:tc>
          <w:tcPr>
            <w:tcW w:w="2031" w:type="dxa"/>
          </w:tcPr>
          <w:p>
            <w:pPr>
              <w:pStyle w:val="TableParagraph"/>
              <w:rPr>
                <w:rFonts w:ascii="Times New Roman"/>
                <w:sz w:val="20"/>
              </w:rPr>
            </w:pPr>
          </w:p>
        </w:tc>
        <w:tc>
          <w:tcPr>
            <w:tcW w:w="7578" w:type="dxa"/>
          </w:tcPr>
          <w:p>
            <w:pPr>
              <w:pStyle w:val="TableParagraph"/>
              <w:spacing w:line="261" w:lineRule="exact"/>
              <w:ind w:left="218"/>
              <w:rPr>
                <w:sz w:val="21"/>
              </w:rPr>
            </w:pPr>
            <w:r>
              <w:rPr>
                <w:sz w:val="21"/>
              </w:rPr>
              <w:t>种或一种以上障碍：</w:t>
            </w:r>
          </w:p>
        </w:tc>
      </w:tr>
      <w:tr>
        <w:trPr>
          <w:trHeight w:val="260" w:hRule="atLeast"/>
        </w:trPr>
        <w:tc>
          <w:tcPr>
            <w:tcW w:w="591" w:type="dxa"/>
          </w:tcPr>
          <w:p>
            <w:pPr>
              <w:pStyle w:val="TableParagraph"/>
              <w:rPr>
                <w:rFonts w:ascii="Times New Roman"/>
                <w:sz w:val="18"/>
              </w:rPr>
            </w:pPr>
          </w:p>
        </w:tc>
        <w:tc>
          <w:tcPr>
            <w:tcW w:w="2031" w:type="dxa"/>
          </w:tcPr>
          <w:p>
            <w:pPr>
              <w:pStyle w:val="TableParagraph"/>
              <w:rPr>
                <w:rFonts w:ascii="Times New Roman"/>
                <w:sz w:val="18"/>
              </w:rPr>
            </w:pPr>
          </w:p>
        </w:tc>
        <w:tc>
          <w:tcPr>
            <w:tcW w:w="7578" w:type="dxa"/>
          </w:tcPr>
          <w:p>
            <w:pPr>
              <w:pStyle w:val="TableParagraph"/>
              <w:spacing w:line="241" w:lineRule="exact"/>
              <w:ind w:left="218"/>
              <w:rPr>
                <w:sz w:val="21"/>
              </w:rPr>
            </w:pPr>
            <w:r>
              <w:rPr>
                <w:sz w:val="21"/>
              </w:rPr>
              <w:t>（1）一肢或一肢以上肢体机能完全丧失；</w:t>
            </w:r>
          </w:p>
        </w:tc>
      </w:tr>
    </w:tbl>
    <w:p>
      <w:pPr>
        <w:spacing w:after="0" w:line="241" w:lineRule="exact"/>
        <w:rPr>
          <w:sz w:val="21"/>
        </w:rPr>
        <w:sectPr>
          <w:type w:val="continuous"/>
          <w:pgSz w:w="11910" w:h="16840"/>
          <w:pgMar w:top="320" w:bottom="280" w:left="800" w:right="680"/>
        </w:sectPr>
      </w:pPr>
    </w:p>
    <w:p>
      <w:pPr>
        <w:pStyle w:val="BodyText"/>
        <w:spacing w:before="19"/>
        <w:ind w:left="2131"/>
      </w:pPr>
      <w:r>
        <w:rPr/>
        <w:t>（2）语言能力或咀嚼吞咽能力完全丧失；</w:t>
      </w:r>
    </w:p>
    <w:p>
      <w:pPr>
        <w:pStyle w:val="BodyText"/>
        <w:spacing w:line="256" w:lineRule="auto"/>
        <w:ind w:left="2131" w:right="155"/>
      </w:pPr>
      <w:r>
        <w:rPr/>
        <w:t>（</w:t>
      </w:r>
      <w:r>
        <w:rPr>
          <w:rFonts w:ascii="Times New Roman" w:eastAsia="Times New Roman"/>
        </w:rPr>
        <w:t>3</w:t>
      </w:r>
      <w:r>
        <w:rPr/>
        <w:t>）自主生活能力完全丧失，无法独立完成六项基本日常生活活动中的三项或三项以上。</w:t>
      </w:r>
    </w:p>
    <w:p>
      <w:pPr>
        <w:pStyle w:val="BodyText"/>
        <w:spacing w:before="4"/>
        <w:rPr>
          <w:sz w:val="16"/>
        </w:rPr>
      </w:pPr>
    </w:p>
    <w:p>
      <w:pPr>
        <w:spacing w:after="0"/>
        <w:rPr>
          <w:sz w:val="16"/>
        </w:rPr>
        <w:sectPr>
          <w:pgSz w:w="11910" w:h="16840"/>
          <w:pgMar w:header="0" w:footer="442" w:top="1100" w:bottom="640" w:left="1620" w:right="740"/>
        </w:sectPr>
      </w:pPr>
    </w:p>
    <w:p>
      <w:pPr>
        <w:pStyle w:val="Heading4"/>
        <w:spacing w:line="208" w:lineRule="auto" w:before="41"/>
      </w:pPr>
      <w:r>
        <w:rPr>
          <w:w w:val="95"/>
        </w:rPr>
        <w:t>4、重大器官移植术</w:t>
      </w:r>
      <w:r>
        <w:rPr/>
        <w:t>或造血干细胞移植术</w:t>
      </w:r>
    </w:p>
    <w:p>
      <w:pPr>
        <w:pStyle w:val="BodyText"/>
        <w:spacing w:line="273" w:lineRule="auto" w:before="36"/>
        <w:ind w:left="105" w:right="218"/>
        <w:jc w:val="both"/>
      </w:pPr>
      <w:r>
        <w:rPr/>
        <w:br w:type="column"/>
      </w:r>
      <w:r>
        <w:rPr/>
        <w:t>重大器官移植术，指因相应器官功能衰竭，已经实施了肾脏、肝脏、心脏或肺脏的异体移植手术。</w:t>
      </w:r>
    </w:p>
    <w:p>
      <w:pPr>
        <w:pStyle w:val="BodyText"/>
        <w:spacing w:line="273" w:lineRule="auto" w:before="8"/>
        <w:ind w:left="105" w:right="218"/>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320" w:bottom="280" w:left="1620" w:right="740"/>
          <w:cols w:num="2" w:equalWidth="0">
            <w:col w:w="1908" w:space="117"/>
            <w:col w:w="7525"/>
          </w:cols>
        </w:sectPr>
      </w:pPr>
    </w:p>
    <w:p>
      <w:pPr>
        <w:pStyle w:val="BodyText"/>
        <w:spacing w:before="3"/>
        <w:rPr>
          <w:sz w:val="15"/>
        </w:rPr>
      </w:pPr>
    </w:p>
    <w:p>
      <w:pPr>
        <w:pStyle w:val="BodyText"/>
        <w:tabs>
          <w:tab w:pos="2131" w:val="left" w:leader="none"/>
        </w:tabs>
        <w:spacing w:line="312" w:lineRule="exact" w:before="31"/>
        <w:ind w:left="2131" w:right="112" w:hanging="2026"/>
      </w:pPr>
      <w:r>
        <w:rPr>
          <w:rFonts w:ascii="Microsoft JhengHei" w:eastAsia="Microsoft JhengHei" w:hint="eastAsia"/>
          <w:b/>
          <w:position w:val="-2"/>
        </w:rPr>
        <w:t>5、冠状动脉搭桥术</w:t>
        <w:tab/>
      </w:r>
      <w:r>
        <w:rPr/>
        <w:t>指为治疗严重的冠心病</w:t>
      </w:r>
      <w:r>
        <w:rPr>
          <w:spacing w:val="-52"/>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1"/>
        <w:rPr>
          <w:sz w:val="16"/>
        </w:rPr>
      </w:pPr>
    </w:p>
    <w:p>
      <w:pPr>
        <w:pStyle w:val="BodyText"/>
        <w:tabs>
          <w:tab w:pos="2131" w:val="left" w:leader="none"/>
        </w:tabs>
        <w:spacing w:line="228" w:lineRule="auto" w:before="0"/>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日的规律性透析治疗或实施了肾脏移植手术。</w:t>
      </w:r>
    </w:p>
    <w:p>
      <w:pPr>
        <w:pStyle w:val="BodyText"/>
        <w:spacing w:before="6"/>
        <w:rPr>
          <w:sz w:val="18"/>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5"/>
        <w:rPr>
          <w:sz w:val="17"/>
        </w:rPr>
      </w:pPr>
    </w:p>
    <w:p>
      <w:pPr>
        <w:spacing w:after="0"/>
        <w:rPr>
          <w:sz w:val="17"/>
        </w:rPr>
        <w:sectPr>
          <w:type w:val="continuous"/>
          <w:pgSz w:w="11910" w:h="16840"/>
          <w:pgMar w:top="320" w:bottom="280" w:left="1620" w:right="740"/>
        </w:sectPr>
      </w:pPr>
    </w:p>
    <w:p>
      <w:pPr>
        <w:pStyle w:val="Heading4"/>
        <w:spacing w:line="211" w:lineRule="auto" w:before="38"/>
      </w:pPr>
      <w:r>
        <w:rPr>
          <w:w w:val="95"/>
        </w:rPr>
        <w:t>8、急性或亚急性重</w:t>
      </w:r>
      <w:r>
        <w:rPr/>
        <w:t>症肝炎</w:t>
      </w:r>
    </w:p>
    <w:p>
      <w:pPr>
        <w:pStyle w:val="BodyText"/>
        <w:spacing w:line="273" w:lineRule="auto" w:before="36"/>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type w:val="continuous"/>
          <w:pgSz w:w="11910" w:h="16840"/>
          <w:pgMar w:top="320" w:bottom="280" w:left="1620" w:right="740"/>
          <w:cols w:num="2" w:equalWidth="0">
            <w:col w:w="1908" w:space="117"/>
            <w:col w:w="7525"/>
          </w:cols>
        </w:sectPr>
      </w:pPr>
    </w:p>
    <w:p>
      <w:pPr>
        <w:pStyle w:val="BodyText"/>
        <w:spacing w:before="5"/>
        <w:rPr>
          <w:sz w:val="17"/>
        </w:rPr>
      </w:pPr>
    </w:p>
    <w:p>
      <w:pPr>
        <w:pStyle w:val="BodyText"/>
        <w:tabs>
          <w:tab w:pos="2131" w:val="left" w:leader="none"/>
        </w:tabs>
        <w:spacing w:line="312" w:lineRule="exact" w:before="32"/>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spacing w:before="36"/>
        <w:ind w:left="2131"/>
      </w:pPr>
      <w:r>
        <w:rPr/>
        <w:t>（2）实际实施了对脑肿瘤进行的放射治疗。</w:t>
      </w:r>
    </w:p>
    <w:p>
      <w:pPr>
        <w:pStyle w:val="BodyText"/>
        <w:spacing w:before="36"/>
        <w:ind w:left="2131"/>
      </w:pPr>
      <w:r>
        <w:rPr/>
        <w:t>脑垂体瘤、脑囊肿、脑血管性疾病不在保障范围内。</w:t>
      </w:r>
    </w:p>
    <w:p>
      <w:pPr>
        <w:pStyle w:val="BodyText"/>
        <w:spacing w:before="5"/>
        <w:rPr>
          <w:sz w:val="17"/>
        </w:rPr>
      </w:pPr>
    </w:p>
    <w:p>
      <w:pPr>
        <w:spacing w:after="0"/>
        <w:rPr>
          <w:sz w:val="17"/>
        </w:rPr>
        <w:sectPr>
          <w:type w:val="continuous"/>
          <w:pgSz w:w="11910" w:h="16840"/>
          <w:pgMar w:top="320" w:bottom="280" w:left="1620" w:right="740"/>
        </w:sectPr>
      </w:pPr>
    </w:p>
    <w:p>
      <w:pPr>
        <w:pStyle w:val="Heading4"/>
        <w:spacing w:line="211" w:lineRule="auto" w:before="38"/>
      </w:pPr>
      <w:r>
        <w:rPr>
          <w:w w:val="95"/>
        </w:rPr>
        <w:t>10</w:t>
      </w:r>
      <w:r>
        <w:rPr>
          <w:spacing w:val="-12"/>
          <w:w w:val="95"/>
        </w:rPr>
        <w:t>、慢性肝功能衰竭</w:t>
      </w:r>
      <w:r>
        <w:rPr>
          <w:spacing w:val="-12"/>
        </w:rPr>
        <w:t>失代偿期</w:t>
      </w:r>
    </w:p>
    <w:p>
      <w:pPr>
        <w:pStyle w:val="BodyText"/>
        <w:spacing w:before="36"/>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73" w:lineRule="auto"/>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320" w:bottom="280" w:left="1620" w:right="740"/>
          <w:cols w:num="2" w:equalWidth="0">
            <w:col w:w="1917" w:space="109"/>
            <w:col w:w="7524"/>
          </w:cols>
        </w:sectPr>
      </w:pPr>
    </w:p>
    <w:p>
      <w:pPr>
        <w:pStyle w:val="BodyText"/>
        <w:spacing w:before="4"/>
        <w:rPr>
          <w:sz w:val="15"/>
        </w:rPr>
      </w:pPr>
    </w:p>
    <w:p>
      <w:pPr>
        <w:spacing w:after="0"/>
        <w:rPr>
          <w:sz w:val="15"/>
        </w:rPr>
        <w:sectPr>
          <w:type w:val="continuous"/>
          <w:pgSz w:w="11910" w:h="16840"/>
          <w:pgMar w:top="320" w:bottom="280" w:left="1620" w:right="740"/>
        </w:sectPr>
      </w:pPr>
    </w:p>
    <w:p>
      <w:pPr>
        <w:pStyle w:val="Heading4"/>
        <w:spacing w:line="208" w:lineRule="auto" w:before="41"/>
      </w:pPr>
      <w:r>
        <w:rPr>
          <w:w w:val="95"/>
        </w:rPr>
        <w:t>11</w:t>
      </w:r>
      <w:r>
        <w:rPr>
          <w:spacing w:val="-7"/>
          <w:w w:val="95"/>
        </w:rPr>
        <w:t>、脑炎后遗症或脑</w:t>
      </w:r>
      <w:r>
        <w:rPr>
          <w:spacing w:val="-7"/>
        </w:rPr>
        <w:t>膜炎后遗症</w:t>
      </w:r>
    </w:p>
    <w:p>
      <w:pPr>
        <w:pStyle w:val="BodyText"/>
        <w:spacing w:line="273" w:lineRule="auto" w:before="35"/>
        <w:ind w:left="105" w:right="218"/>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5"/>
      </w:pPr>
      <w:r>
        <w:rPr/>
        <w:t>（1）一肢或一肢以上肢体机能完全丧失；</w:t>
      </w:r>
    </w:p>
    <w:p>
      <w:pPr>
        <w:pStyle w:val="BodyText"/>
        <w:ind w:left="105"/>
      </w:pPr>
      <w:r>
        <w:rPr/>
        <w:t>（2）语言能力或咀嚼吞咽能力完全丧失；</w:t>
      </w:r>
    </w:p>
    <w:p>
      <w:pPr>
        <w:pStyle w:val="BodyText"/>
        <w:spacing w:line="273" w:lineRule="auto"/>
        <w:ind w:left="105" w:right="155"/>
      </w:pPr>
      <w:r>
        <w:rPr/>
        <w:t>（3）自主生活能力完全丧失，无法独立完成六项基本日常生活活动中的三项或三项以上。</w:t>
      </w:r>
    </w:p>
    <w:p>
      <w:pPr>
        <w:spacing w:after="0" w:line="273" w:lineRule="auto"/>
        <w:sectPr>
          <w:type w:val="continuous"/>
          <w:pgSz w:w="11910" w:h="16840"/>
          <w:pgMar w:top="320" w:bottom="280" w:left="1620" w:right="740"/>
          <w:cols w:num="2" w:equalWidth="0">
            <w:col w:w="1917" w:space="109"/>
            <w:col w:w="7524"/>
          </w:cols>
        </w:sectPr>
      </w:pPr>
    </w:p>
    <w:p>
      <w:pPr>
        <w:pStyle w:val="Heading4"/>
        <w:spacing w:line="211" w:lineRule="auto" w:before="21"/>
      </w:pPr>
      <w:r>
        <w:rPr>
          <w:w w:val="95"/>
        </w:rPr>
        <w:t>12</w:t>
      </w:r>
      <w:r>
        <w:rPr>
          <w:spacing w:val="-11"/>
          <w:w w:val="95"/>
        </w:rPr>
        <w:t>、双耳失聪－三周</w:t>
      </w:r>
      <w:r>
        <w:rPr>
          <w:spacing w:val="-11"/>
        </w:rPr>
        <w:t>岁始理赔</w:t>
      </w:r>
    </w:p>
    <w:p>
      <w:pPr>
        <w:pStyle w:val="BodyText"/>
        <w:spacing w:line="273" w:lineRule="auto" w:before="19"/>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7"/>
        <w:ind w:left="105" w:right="218"/>
        <w:jc w:val="both"/>
      </w:pPr>
      <w:r>
        <w:rPr/>
        <w:t>被保险人申请理赔时年龄必须在三周岁以上，并且提供理赔当时的听力丧失诊断及检查证据。</w:t>
      </w:r>
    </w:p>
    <w:p>
      <w:pPr>
        <w:spacing w:after="0" w:line="273" w:lineRule="auto"/>
        <w:jc w:val="both"/>
        <w:sectPr>
          <w:pgSz w:w="11910" w:h="16840"/>
          <w:pgMar w:header="0" w:footer="442" w:top="1100" w:bottom="640" w:left="1620" w:right="740"/>
          <w:cols w:num="2" w:equalWidth="0">
            <w:col w:w="1917" w:space="109"/>
            <w:col w:w="7524"/>
          </w:cols>
        </w:sectPr>
      </w:pPr>
    </w:p>
    <w:p>
      <w:pPr>
        <w:pStyle w:val="BodyText"/>
        <w:spacing w:before="2"/>
        <w:rPr>
          <w:sz w:val="15"/>
        </w:rPr>
      </w:pPr>
    </w:p>
    <w:p>
      <w:pPr>
        <w:spacing w:after="0"/>
        <w:rPr>
          <w:sz w:val="15"/>
        </w:rPr>
        <w:sectPr>
          <w:type w:val="continuous"/>
          <w:pgSz w:w="11910" w:h="16840"/>
          <w:pgMar w:top="320" w:bottom="280" w:left="1620" w:right="740"/>
        </w:sectPr>
      </w:pPr>
    </w:p>
    <w:p>
      <w:pPr>
        <w:pStyle w:val="Heading4"/>
        <w:spacing w:line="211" w:lineRule="auto" w:before="38"/>
      </w:pPr>
      <w:r>
        <w:rPr>
          <w:w w:val="95"/>
        </w:rPr>
        <w:t>13</w:t>
      </w:r>
      <w:r>
        <w:rPr>
          <w:spacing w:val="-11"/>
          <w:w w:val="95"/>
        </w:rPr>
        <w:t>、双目失明－三周</w:t>
      </w:r>
      <w:r>
        <w:rPr>
          <w:spacing w:val="-11"/>
        </w:rPr>
        <w:t>岁始理赔</w:t>
      </w:r>
    </w:p>
    <w:p>
      <w:pPr>
        <w:pStyle w:val="BodyText"/>
        <w:spacing w:line="273" w:lineRule="auto" w:before="35"/>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pStyle w:val="BodyText"/>
        <w:spacing w:line="273" w:lineRule="auto"/>
        <w:ind w:left="105" w:right="218"/>
      </w:pPr>
      <w:r>
        <w:rPr>
          <w:spacing w:val="-12"/>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7"/>
        <w:ind w:left="105"/>
      </w:pPr>
      <w:r>
        <w:rPr/>
        <w:t>（3）视野半径小于 5 度。</w:t>
      </w:r>
    </w:p>
    <w:p>
      <w:pPr>
        <w:pStyle w:val="BodyText"/>
        <w:spacing w:line="273" w:lineRule="auto" w:before="36"/>
        <w:ind w:left="105" w:right="218"/>
      </w:pPr>
      <w:r>
        <w:rPr/>
        <w:t>被保险人申请理赔时年龄必须在三周岁以上，并且提供理赔当时的视力丧失诊断及检查证据。</w:t>
      </w:r>
    </w:p>
    <w:p>
      <w:pPr>
        <w:spacing w:after="0" w:line="273" w:lineRule="auto"/>
        <w:sectPr>
          <w:type w:val="continuous"/>
          <w:pgSz w:w="11910" w:h="16840"/>
          <w:pgMar w:top="320" w:bottom="280" w:left="1620" w:right="740"/>
          <w:cols w:num="2" w:equalWidth="0">
            <w:col w:w="1917" w:space="109"/>
            <w:col w:w="7524"/>
          </w:cols>
        </w:sectPr>
      </w:pPr>
    </w:p>
    <w:p>
      <w:pPr>
        <w:pStyle w:val="BodyText"/>
        <w:spacing w:before="2"/>
        <w:rPr>
          <w:sz w:val="15"/>
        </w:rPr>
      </w:pPr>
    </w:p>
    <w:p>
      <w:pPr>
        <w:pStyle w:val="BodyText"/>
        <w:tabs>
          <w:tab w:pos="2131" w:val="left" w:leader="none"/>
        </w:tabs>
        <w:spacing w:line="312" w:lineRule="exact" w:before="31"/>
        <w:ind w:left="2131" w:right="218" w:hanging="2026"/>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40"/>
        </w:rPr>
        <w:t> </w:t>
      </w:r>
      <w:r>
        <w:rPr/>
        <w:t>180</w:t>
      </w:r>
      <w:r>
        <w:rPr>
          <w:spacing w:val="-40"/>
        </w:rPr>
        <w:t> </w:t>
      </w:r>
      <w:r>
        <w:rPr/>
        <w:t>日后或意外伤害发生</w:t>
      </w:r>
      <w:r>
        <w:rPr>
          <w:spacing w:val="-40"/>
        </w:rPr>
        <w:t> </w:t>
      </w:r>
      <w:r>
        <w:rPr/>
        <w:t>180</w:t>
      </w:r>
      <w:r>
        <w:rPr>
          <w:spacing w:val="-40"/>
        </w:rPr>
        <w:t> </w:t>
      </w:r>
      <w:r>
        <w:rPr/>
        <w:t>日后，每肢三大关节中的两大关节仍然完全僵硬，或不能随意识活动。</w:t>
      </w:r>
    </w:p>
    <w:p>
      <w:pPr>
        <w:pStyle w:val="BodyText"/>
        <w:spacing w:before="10"/>
        <w:rPr>
          <w:sz w:val="14"/>
        </w:rPr>
      </w:pPr>
    </w:p>
    <w:p>
      <w:pPr>
        <w:tabs>
          <w:tab w:pos="2131" w:val="left" w:leader="none"/>
        </w:tabs>
        <w:spacing w:before="0"/>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type w:val="continuous"/>
          <w:pgSz w:w="11910" w:h="16840"/>
          <w:pgMar w:top="320" w:bottom="280" w:left="1620" w:right="740"/>
        </w:sectPr>
      </w:pPr>
    </w:p>
    <w:p>
      <w:pPr>
        <w:pStyle w:val="Heading4"/>
        <w:spacing w:line="211" w:lineRule="auto" w:before="38"/>
      </w:pPr>
      <w:r>
        <w:rPr>
          <w:w w:val="95"/>
        </w:rPr>
        <w:t>16</w:t>
      </w:r>
      <w:r>
        <w:rPr>
          <w:spacing w:val="-11"/>
          <w:w w:val="95"/>
        </w:rPr>
        <w:t>、严重阿尔茨海默</w:t>
      </w:r>
      <w:r>
        <w:rPr>
          <w:spacing w:val="-11"/>
        </w:rPr>
        <w:t>病—限七十周岁前发病</w:t>
      </w:r>
    </w:p>
    <w:p>
      <w:pPr>
        <w:pStyle w:val="BodyText"/>
        <w:spacing w:line="273" w:lineRule="auto" w:before="36"/>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320" w:bottom="280" w:left="1620" w:right="740"/>
          <w:cols w:num="2" w:equalWidth="0">
            <w:col w:w="1917" w:space="109"/>
            <w:col w:w="7524"/>
          </w:cols>
        </w:sectPr>
      </w:pPr>
    </w:p>
    <w:p>
      <w:pPr>
        <w:pStyle w:val="BodyText"/>
        <w:spacing w:before="6"/>
        <w:rPr>
          <w:sz w:val="17"/>
        </w:rPr>
      </w:pPr>
    </w:p>
    <w:p>
      <w:pPr>
        <w:pStyle w:val="BodyText"/>
        <w:tabs>
          <w:tab w:pos="2131" w:val="left" w:leader="none"/>
        </w:tabs>
        <w:spacing w:line="228" w:lineRule="auto" w:before="1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36"/>
        <w:ind w:left="2131" w:right="165"/>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7"/>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spacing w:before="6"/>
        <w:rPr>
          <w:sz w:val="16"/>
        </w:r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7"/>
        <w:ind w:left="2131"/>
      </w:pPr>
      <w:r>
        <w:rPr/>
        <w:t>继发性帕金森综合征不在保障范围内。</w:t>
      </w:r>
    </w:p>
    <w:p>
      <w:pPr>
        <w:pStyle w:val="BodyText"/>
        <w:spacing w:before="7"/>
        <w:rPr>
          <w:sz w:val="18"/>
        </w:rPr>
      </w:pPr>
    </w:p>
    <w:p>
      <w:pPr>
        <w:tabs>
          <w:tab w:pos="2131" w:val="left" w:leader="none"/>
        </w:tabs>
        <w:spacing w:line="228" w:lineRule="auto" w:before="1"/>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4"/>
        <w:rPr>
          <w:sz w:val="17"/>
        </w:rPr>
      </w:pPr>
    </w:p>
    <w:p>
      <w:pPr>
        <w:tabs>
          <w:tab w:pos="2131" w:val="left" w:leader="none"/>
        </w:tabs>
        <w:spacing w:before="1"/>
        <w:ind w:left="105" w:right="0" w:firstLine="0"/>
        <w:jc w:val="left"/>
        <w:rPr>
          <w:sz w:val="21"/>
        </w:rPr>
      </w:pPr>
      <w:r>
        <w:rPr>
          <w:rFonts w:ascii="Microsoft JhengHei" w:eastAsia="Microsoft JhengHei" w:hint="eastAsia"/>
          <w:b/>
          <w:position w:val="-2"/>
          <w:sz w:val="21"/>
        </w:rPr>
        <w:t>20、严重原发性肺</w:t>
        <w:tab/>
      </w:r>
      <w:r>
        <w:rPr>
          <w:sz w:val="21"/>
        </w:rPr>
        <w:t>指不明原因的肺动脉压力持续性增高，进行性发展而导致的慢性疾病，已经造</w:t>
      </w:r>
    </w:p>
    <w:p>
      <w:pPr>
        <w:spacing w:after="0"/>
        <w:jc w:val="left"/>
        <w:rPr>
          <w:sz w:val="21"/>
        </w:rPr>
        <w:sectPr>
          <w:type w:val="continuous"/>
          <w:pgSz w:w="11910" w:h="16840"/>
          <w:pgMar w:top="320" w:bottom="280" w:left="1620" w:right="740"/>
        </w:sectPr>
      </w:pPr>
    </w:p>
    <w:p>
      <w:pPr>
        <w:pStyle w:val="BodyText"/>
        <w:tabs>
          <w:tab w:pos="2131" w:val="left" w:leader="none"/>
        </w:tabs>
        <w:spacing w:line="228" w:lineRule="auto" w:before="0"/>
        <w:ind w:left="2131" w:right="218" w:hanging="2026"/>
      </w:pPr>
      <w:r>
        <w:rPr>
          <w:rFonts w:ascii="Microsoft JhengHei" w:eastAsia="Microsoft JhengHei" w:hint="eastAsia"/>
          <w:b/>
          <w:position w:val="-2"/>
        </w:rPr>
        <w:t>动脉高压</w:t>
        <w:tab/>
      </w:r>
      <w:r>
        <w:rPr/>
        <w:t>成永久不可逆性的体力活动能力受限，达到美国纽约心脏病学会心功能状态分 级</w:t>
      </w:r>
      <w:r>
        <w:rPr>
          <w:spacing w:val="-54"/>
        </w:rPr>
        <w:t> </w:t>
      </w:r>
      <w:r>
        <w:rPr/>
        <w:t>IV</w:t>
      </w:r>
      <w:r>
        <w:rPr>
          <w:spacing w:val="-53"/>
        </w:rPr>
        <w:t> </w:t>
      </w:r>
      <w:r>
        <w:rPr/>
        <w:t>级，静息状态下肺动脉平均压超过</w:t>
      </w:r>
      <w:r>
        <w:rPr>
          <w:spacing w:val="-54"/>
        </w:rPr>
        <w:t> </w:t>
      </w:r>
      <w:r>
        <w:rPr/>
        <w:t>30mmHg。</w:t>
      </w:r>
    </w:p>
    <w:p>
      <w:pPr>
        <w:pStyle w:val="BodyText"/>
        <w:spacing w:before="7"/>
        <w:rPr>
          <w:sz w:val="17"/>
        </w:rPr>
      </w:pPr>
    </w:p>
    <w:p>
      <w:pPr>
        <w:spacing w:after="0"/>
        <w:rPr>
          <w:sz w:val="17"/>
        </w:rPr>
        <w:sectPr>
          <w:pgSz w:w="11910" w:h="16840"/>
          <w:pgMar w:header="0" w:footer="442" w:top="1100" w:bottom="640" w:left="1620" w:right="740"/>
        </w:sectPr>
      </w:pPr>
    </w:p>
    <w:p>
      <w:pPr>
        <w:pStyle w:val="Heading4"/>
        <w:spacing w:line="211" w:lineRule="auto" w:before="37"/>
      </w:pPr>
      <w:r>
        <w:rPr>
          <w:w w:val="95"/>
        </w:rPr>
        <w:t>21</w:t>
      </w:r>
      <w:r>
        <w:rPr>
          <w:spacing w:val="-11"/>
          <w:w w:val="95"/>
        </w:rPr>
        <w:t>、严重运动神经元</w:t>
      </w:r>
      <w:r>
        <w:rPr>
          <w:spacing w:val="-11"/>
        </w:rPr>
        <w:t>病</w:t>
      </w:r>
    </w:p>
    <w:p>
      <w:pPr>
        <w:pStyle w:val="BodyText"/>
        <w:spacing w:line="273" w:lineRule="auto" w:before="35"/>
        <w:ind w:left="105" w:right="218"/>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320" w:bottom="280" w:left="1620" w:right="740"/>
          <w:cols w:num="2" w:equalWidth="0">
            <w:col w:w="1917" w:space="109"/>
            <w:col w:w="7524"/>
          </w:cols>
        </w:sectPr>
      </w:pPr>
    </w:p>
    <w:p>
      <w:pPr>
        <w:pStyle w:val="BodyText"/>
        <w:spacing w:before="2"/>
        <w:rPr>
          <w:sz w:val="15"/>
        </w:rPr>
      </w:pPr>
    </w:p>
    <w:p>
      <w:pPr>
        <w:spacing w:after="0"/>
        <w:rPr>
          <w:sz w:val="15"/>
        </w:rPr>
        <w:sectPr>
          <w:type w:val="continuous"/>
          <w:pgSz w:w="11910" w:h="16840"/>
          <w:pgMar w:top="320" w:bottom="280" w:left="1620" w:right="740"/>
        </w:sectPr>
      </w:pPr>
    </w:p>
    <w:p>
      <w:pPr>
        <w:pStyle w:val="Heading4"/>
        <w:spacing w:line="337" w:lineRule="exact"/>
      </w:pPr>
      <w:r>
        <w:rPr>
          <w:w w:val="95"/>
        </w:rPr>
        <w:t>22、语言能力丧失</w:t>
      </w:r>
    </w:p>
    <w:p>
      <w:pPr>
        <w:spacing w:line="343"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6"/>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8"/>
        <w:ind w:left="105"/>
      </w:pPr>
      <w:r>
        <w:rPr/>
        <w:t>精神心理因素所致的语言能力丧失不在保障范围内。</w:t>
      </w:r>
    </w:p>
    <w:p>
      <w:pPr>
        <w:pStyle w:val="BodyText"/>
        <w:spacing w:line="273" w:lineRule="auto"/>
        <w:ind w:left="105" w:right="218"/>
      </w:pPr>
      <w:r>
        <w:rPr/>
        <w:t>被保险人申请理赔时年龄必须在三周岁以上，并且提供理赔当时的语言能力丧失诊断及检查证据。</w:t>
      </w:r>
    </w:p>
    <w:p>
      <w:pPr>
        <w:spacing w:after="0" w:line="273" w:lineRule="auto"/>
        <w:sectPr>
          <w:type w:val="continuous"/>
          <w:pgSz w:w="11910" w:h="16840"/>
          <w:pgMar w:top="320" w:bottom="280" w:left="1620" w:right="740"/>
          <w:cols w:num="2" w:equalWidth="0">
            <w:col w:w="1817" w:space="208"/>
            <w:col w:w="7525"/>
          </w:cols>
        </w:sectPr>
      </w:pPr>
    </w:p>
    <w:p>
      <w:pPr>
        <w:pStyle w:val="BodyText"/>
        <w:spacing w:before="2"/>
        <w:rPr>
          <w:sz w:val="15"/>
        </w:rPr>
      </w:pPr>
    </w:p>
    <w:p>
      <w:pPr>
        <w:spacing w:after="0"/>
        <w:rPr>
          <w:sz w:val="15"/>
        </w:rPr>
        <w:sectPr>
          <w:type w:val="continuous"/>
          <w:pgSz w:w="11910" w:h="16840"/>
          <w:pgMar w:top="320" w:bottom="280" w:left="1620" w:right="740"/>
        </w:sectPr>
      </w:pPr>
    </w:p>
    <w:p>
      <w:pPr>
        <w:pStyle w:val="Heading4"/>
        <w:spacing w:line="211" w:lineRule="auto" w:before="38"/>
      </w:pPr>
      <w:r>
        <w:rPr>
          <w:w w:val="95"/>
        </w:rPr>
        <w:t>23、重型再生障碍</w:t>
      </w:r>
      <w:r>
        <w:rPr/>
        <w:t>性贫血</w:t>
      </w:r>
    </w:p>
    <w:p>
      <w:pPr>
        <w:pStyle w:val="BodyText"/>
        <w:spacing w:line="273" w:lineRule="auto" w:before="36"/>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spacing w:before="36"/>
        <w:ind w:left="105"/>
      </w:pPr>
      <w:r>
        <w:rPr/>
        <w:t>（2）外周血象必须具备以下三项条件：</w:t>
      </w:r>
    </w:p>
    <w:p>
      <w:pPr>
        <w:pStyle w:val="BodyText"/>
        <w:spacing w:before="36"/>
        <w:ind w:left="525"/>
      </w:pPr>
      <w:r>
        <w:rPr/>
        <w:t>①中性粒细胞绝对值≤0.5×10</w:t>
      </w:r>
      <w:r>
        <w:rPr>
          <w:position w:val="11"/>
          <w:sz w:val="11"/>
        </w:rPr>
        <w:t>9</w:t>
      </w:r>
      <w:r>
        <w:rPr/>
        <w:t>/L；</w:t>
      </w:r>
    </w:p>
    <w:p>
      <w:pPr>
        <w:pStyle w:val="BodyText"/>
        <w:spacing w:before="36"/>
        <w:ind w:left="525"/>
      </w:pPr>
      <w:r>
        <w:rPr/>
        <w:t>②网织红细胞＜1%；</w:t>
      </w:r>
    </w:p>
    <w:p>
      <w:pPr>
        <w:pStyle w:val="BodyText"/>
        <w:spacing w:before="36"/>
        <w:ind w:left="525"/>
      </w:pPr>
      <w:r>
        <w:rPr/>
        <w:t>③血小板绝对值≤20×10</w:t>
      </w:r>
      <w:r>
        <w:rPr>
          <w:position w:val="11"/>
          <w:sz w:val="11"/>
        </w:rPr>
        <w:t>9</w:t>
      </w:r>
      <w:r>
        <w:rPr/>
        <w:t>/L。</w:t>
      </w:r>
    </w:p>
    <w:p>
      <w:pPr>
        <w:spacing w:after="0"/>
        <w:sectPr>
          <w:type w:val="continuous"/>
          <w:pgSz w:w="11910" w:h="16840"/>
          <w:pgMar w:top="320" w:bottom="280" w:left="1620" w:right="740"/>
          <w:cols w:num="2" w:equalWidth="0">
            <w:col w:w="1817" w:space="208"/>
            <w:col w:w="7525"/>
          </w:cols>
        </w:sectPr>
      </w:pPr>
    </w:p>
    <w:p>
      <w:pPr>
        <w:pStyle w:val="BodyText"/>
        <w:spacing w:before="6"/>
      </w:pPr>
    </w:p>
    <w:p>
      <w:pPr>
        <w:pStyle w:val="BodyText"/>
        <w:spacing w:line="312" w:lineRule="exact" w:before="31"/>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5"/>
        <w:rPr>
          <w:sz w:val="17"/>
        </w:rPr>
      </w:pPr>
    </w:p>
    <w:p>
      <w:pPr>
        <w:spacing w:after="0"/>
        <w:rPr>
          <w:sz w:val="17"/>
        </w:rPr>
        <w:sectPr>
          <w:type w:val="continuous"/>
          <w:pgSz w:w="11910" w:h="16840"/>
          <w:pgMar w:top="320" w:bottom="280" w:left="1620" w:right="740"/>
        </w:sectPr>
      </w:pPr>
    </w:p>
    <w:p>
      <w:pPr>
        <w:pStyle w:val="Heading4"/>
        <w:spacing w:line="211" w:lineRule="auto" w:before="38"/>
      </w:pPr>
      <w:r>
        <w:rPr>
          <w:w w:val="95"/>
        </w:rPr>
        <w:t>25、慢性呼吸功能</w:t>
      </w:r>
      <w:r>
        <w:rPr/>
        <w:t>衰竭</w:t>
      </w:r>
    </w:p>
    <w:p>
      <w:pPr>
        <w:pStyle w:val="BodyText"/>
        <w:spacing w:line="273" w:lineRule="auto" w:before="36"/>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spacing w:before="36"/>
        <w:ind w:left="105"/>
      </w:pPr>
      <w:r>
        <w:rPr/>
        <w:t>（2）动脉血氧分压（PaO2）&lt;50mmHg；</w:t>
      </w:r>
    </w:p>
    <w:p>
      <w:pPr>
        <w:pStyle w:val="BodyText"/>
        <w:spacing w:before="36"/>
        <w:ind w:left="105"/>
      </w:pPr>
      <w:r>
        <w:rPr/>
        <w:t>（3）动脉血氧饱和度（SaO2）&lt;80％；</w:t>
      </w:r>
    </w:p>
    <w:p>
      <w:pPr>
        <w:pStyle w:val="BodyText"/>
        <w:spacing w:before="36"/>
        <w:ind w:left="105"/>
      </w:pPr>
      <w:r>
        <w:rPr/>
        <w:t>（4）因缺氧必须接受持续的输氧治疗。</w:t>
      </w:r>
    </w:p>
    <w:p>
      <w:pPr>
        <w:spacing w:after="0"/>
        <w:sectPr>
          <w:type w:val="continuous"/>
          <w:pgSz w:w="11910" w:h="16840"/>
          <w:pgMar w:top="320" w:bottom="280" w:left="1620" w:right="740"/>
          <w:cols w:num="2" w:equalWidth="0">
            <w:col w:w="1817" w:space="208"/>
            <w:col w:w="7525"/>
          </w:cols>
        </w:sectPr>
      </w:pPr>
    </w:p>
    <w:p>
      <w:pPr>
        <w:pStyle w:val="BodyText"/>
        <w:spacing w:before="5"/>
        <w:rPr>
          <w:sz w:val="17"/>
        </w:rPr>
      </w:pPr>
    </w:p>
    <w:p>
      <w:pPr>
        <w:spacing w:after="0"/>
        <w:rPr>
          <w:sz w:val="17"/>
        </w:rPr>
        <w:sectPr>
          <w:type w:val="continuous"/>
          <w:pgSz w:w="11910" w:h="16840"/>
          <w:pgMar w:top="320" w:bottom="280" w:left="1620" w:right="740"/>
        </w:sectPr>
      </w:pPr>
    </w:p>
    <w:p>
      <w:pPr>
        <w:pStyle w:val="Heading4"/>
        <w:spacing w:line="211" w:lineRule="auto" w:before="38"/>
      </w:pPr>
      <w:r>
        <w:rPr>
          <w:w w:val="95"/>
        </w:rPr>
        <w:t>26、严重多发性硬</w:t>
      </w:r>
      <w:r>
        <w:rPr/>
        <w:t>化</w:t>
      </w:r>
    </w:p>
    <w:p>
      <w:pPr>
        <w:pStyle w:val="BodyText"/>
        <w:spacing w:line="273" w:lineRule="auto" w:before="36"/>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8"/>
        <w:ind w:left="105"/>
        <w:jc w:val="both"/>
      </w:pPr>
      <w:r>
        <w:rPr/>
        <w:t>（1）移动：自己从一个房间到另一个房间；或</w:t>
      </w:r>
    </w:p>
    <w:p>
      <w:pPr>
        <w:pStyle w:val="BodyText"/>
        <w:ind w:left="105"/>
        <w:jc w:val="both"/>
      </w:pPr>
      <w:r>
        <w:rPr/>
        <w:t>（2）进食：自己从已准备好的碗或碟中取食物放入口中。</w:t>
      </w:r>
    </w:p>
    <w:p>
      <w:pPr>
        <w:spacing w:after="0"/>
        <w:jc w:val="both"/>
        <w:sectPr>
          <w:type w:val="continuous"/>
          <w:pgSz w:w="11910" w:h="16840"/>
          <w:pgMar w:top="320" w:bottom="280" w:left="1620" w:right="740"/>
          <w:cols w:num="2" w:equalWidth="0">
            <w:col w:w="1817" w:space="208"/>
            <w:col w:w="7525"/>
          </w:cols>
        </w:sectPr>
      </w:pPr>
    </w:p>
    <w:p>
      <w:pPr>
        <w:pStyle w:val="BodyText"/>
        <w:spacing w:before="5"/>
        <w:rPr>
          <w:sz w:val="17"/>
        </w:rPr>
      </w:pPr>
    </w:p>
    <w:p>
      <w:pPr>
        <w:tabs>
          <w:tab w:pos="2131" w:val="left" w:leader="none"/>
        </w:tabs>
        <w:spacing w:line="357"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4"/>
        <w:rPr>
          <w:sz w:val="15"/>
        </w:rPr>
      </w:pPr>
    </w:p>
    <w:p>
      <w:pPr>
        <w:spacing w:after="0"/>
        <w:rPr>
          <w:sz w:val="15"/>
        </w:rPr>
        <w:sectPr>
          <w:type w:val="continuous"/>
          <w:pgSz w:w="11910" w:h="16840"/>
          <w:pgMar w:top="320" w:bottom="280" w:left="1620" w:right="740"/>
        </w:sectPr>
      </w:pPr>
    </w:p>
    <w:p>
      <w:pPr>
        <w:pStyle w:val="Heading4"/>
        <w:spacing w:line="208" w:lineRule="auto" w:before="41"/>
      </w:pPr>
      <w:r>
        <w:rPr>
          <w:w w:val="95"/>
        </w:rPr>
        <w:t>28、慢性复发性胰</w:t>
      </w:r>
      <w:r>
        <w:rPr/>
        <w:t>腺炎</w:t>
      </w:r>
    </w:p>
    <w:p>
      <w:pPr>
        <w:pStyle w:val="BodyText"/>
        <w:spacing w:line="273" w:lineRule="auto" w:before="35"/>
        <w:ind w:left="105" w:right="112"/>
      </w:pPr>
      <w:r>
        <w:rPr/>
        <w:br w:type="column"/>
      </w:r>
      <w:r>
        <w:rPr/>
        <w:t>有腹痛等典型症状的胰腺炎反复发作，导致胰腺进行性破坏，并导致胰腺功能</w:t>
      </w:r>
      <w:r>
        <w:rPr>
          <w:spacing w:val="-7"/>
        </w:rPr>
        <w:t>紊乱而导致严重糖尿病以及营养不良、恶液质。</w:t>
      </w:r>
      <w:r>
        <w:rPr/>
        <w:t>CT</w:t>
      </w:r>
      <w:r>
        <w:rPr>
          <w:spacing w:val="-8"/>
        </w:rPr>
        <w:t> 检查证实胰腺存在广泛钙化， </w:t>
      </w:r>
      <w:r>
        <w:rPr>
          <w:spacing w:val="-10"/>
        </w:rPr>
        <w:t>且必须接受酶替代以及胰岛素替代治疗 </w:t>
      </w:r>
      <w:r>
        <w:rPr/>
        <w:t>6</w:t>
      </w:r>
      <w:r>
        <w:rPr>
          <w:spacing w:val="-6"/>
        </w:rPr>
        <w:t> 个月以上。诊断必须由消化科专科医</w:t>
      </w:r>
    </w:p>
    <w:p>
      <w:pPr>
        <w:spacing w:after="0" w:line="273" w:lineRule="auto"/>
        <w:sectPr>
          <w:type w:val="continuous"/>
          <w:pgSz w:w="11910" w:h="16840"/>
          <w:pgMar w:top="320" w:bottom="280" w:left="1620" w:right="740"/>
          <w:cols w:num="2" w:equalWidth="0">
            <w:col w:w="1817" w:space="208"/>
            <w:col w:w="7525"/>
          </w:cols>
        </w:sectPr>
      </w:pPr>
    </w:p>
    <w:p>
      <w:pPr>
        <w:pStyle w:val="BodyText"/>
        <w:spacing w:before="19"/>
        <w:ind w:left="2131"/>
      </w:pPr>
      <w:r>
        <w:rPr/>
        <w:t>生确诊。酒精导致的慢性复发性胰腺炎除外。</w:t>
      </w:r>
    </w:p>
    <w:p>
      <w:pPr>
        <w:pStyle w:val="BodyText"/>
        <w:spacing w:before="6"/>
        <w:rPr>
          <w:sz w:val="17"/>
        </w:rPr>
      </w:pPr>
    </w:p>
    <w:p>
      <w:pPr>
        <w:spacing w:after="0"/>
        <w:rPr>
          <w:sz w:val="17"/>
        </w:rPr>
        <w:sectPr>
          <w:pgSz w:w="11910" w:h="16840"/>
          <w:pgMar w:header="0" w:footer="442" w:top="1100" w:bottom="640" w:left="1620" w:right="840"/>
        </w:sectPr>
      </w:pPr>
    </w:p>
    <w:p>
      <w:pPr>
        <w:pStyle w:val="Heading4"/>
        <w:spacing w:line="211" w:lineRule="auto" w:before="37"/>
      </w:pPr>
      <w:r>
        <w:rPr/>
        <w:t>29、全身性重症ft 无力</w:t>
      </w:r>
    </w:p>
    <w:p>
      <w:pPr>
        <w:pStyle w:val="BodyText"/>
        <w:spacing w:line="273" w:lineRule="auto" w:before="35"/>
        <w:ind w:left="105" w:right="1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ind w:left="105" w:right="1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320" w:bottom="280" w:left="1620" w:right="840"/>
          <w:cols w:num="2" w:equalWidth="0">
            <w:col w:w="1817" w:space="208"/>
            <w:col w:w="7425"/>
          </w:cols>
        </w:sectPr>
      </w:pPr>
    </w:p>
    <w:p>
      <w:pPr>
        <w:pStyle w:val="BodyText"/>
        <w:spacing w:before="3"/>
        <w:rPr>
          <w:sz w:val="15"/>
        </w:rPr>
      </w:pPr>
    </w:p>
    <w:p>
      <w:pPr>
        <w:pStyle w:val="BodyText"/>
        <w:spacing w:line="312" w:lineRule="exact" w:before="31"/>
        <w:ind w:left="2131" w:right="117" w:hanging="2026"/>
        <w:jc w:val="both"/>
      </w:pPr>
      <w:r>
        <w:rPr>
          <w:rFonts w:ascii="Microsoft JhengHei" w:eastAsia="Microsoft JhengHei" w:hint="eastAsia"/>
          <w:b/>
          <w:position w:val="-2"/>
        </w:rPr>
        <w:t>30、原发性心ft</w:t>
      </w:r>
      <w:r>
        <w:rPr>
          <w:rFonts w:ascii="Microsoft JhengHei" w:eastAsia="Microsoft JhengHei" w:hint="eastAsia"/>
          <w:b/>
          <w:spacing w:val="5"/>
          <w:position w:val="-2"/>
        </w:rPr>
        <w:t>病    </w:t>
      </w:r>
      <w:r>
        <w:rPr/>
        <w:t>原发性心肌病必须由专科医生确诊并须提供心脏超声等专科检查报告。病变必须已造成事实上心室功能障碍而出现明显的心功能衰竭，达到美国纽约心脏病</w:t>
      </w:r>
      <w:r>
        <w:rPr>
          <w:spacing w:val="-5"/>
        </w:rPr>
        <w:t>协会心功能状态分级 </w:t>
      </w:r>
      <w:r>
        <w:rPr>
          <w:spacing w:val="-1"/>
        </w:rPr>
        <w:t>II</w:t>
      </w:r>
      <w:r>
        <w:rPr/>
        <w:t>I</w:t>
      </w:r>
      <w:r>
        <w:rPr>
          <w:spacing w:val="-20"/>
        </w:rPr>
        <w:t> 级</w:t>
      </w:r>
      <w:r>
        <w:rPr>
          <w:spacing w:val="-1"/>
        </w:rPr>
        <w:t>（</w:t>
      </w:r>
      <w:r>
        <w:rPr>
          <w:spacing w:val="-14"/>
        </w:rPr>
        <w:t>甚至 </w:t>
      </w:r>
      <w:r>
        <w:rPr>
          <w:spacing w:val="-1"/>
        </w:rPr>
        <w:t>I</w:t>
      </w:r>
      <w:r>
        <w:rPr/>
        <w:t>V</w:t>
      </w:r>
      <w:r>
        <w:rPr>
          <w:spacing w:val="-20"/>
        </w:rPr>
        <w:t> 级</w:t>
      </w:r>
      <w:r>
        <w:rPr>
          <w:spacing w:val="-105"/>
        </w:rPr>
        <w:t>）</w:t>
      </w:r>
      <w:r>
        <w:rPr>
          <w:spacing w:val="-1"/>
        </w:rPr>
        <w:t>，且有相关医疗记录显示这种情况持</w:t>
      </w:r>
      <w:r>
        <w:rPr>
          <w:spacing w:val="-15"/>
        </w:rPr>
        <w:t>续至少 </w:t>
      </w:r>
      <w:r>
        <w:rPr/>
        <w:t>3</w:t>
      </w:r>
      <w:r>
        <w:rPr>
          <w:spacing w:val="-14"/>
        </w:rPr>
        <w:t> 个月。</w:t>
      </w:r>
    </w:p>
    <w:p>
      <w:pPr>
        <w:pStyle w:val="BodyText"/>
        <w:spacing w:before="12"/>
        <w:rPr>
          <w:sz w:val="14"/>
        </w:rPr>
      </w:pPr>
    </w:p>
    <w:p>
      <w:pPr>
        <w:spacing w:after="0"/>
        <w:rPr>
          <w:sz w:val="14"/>
        </w:rPr>
        <w:sectPr>
          <w:type w:val="continuous"/>
          <w:pgSz w:w="11910" w:h="16840"/>
          <w:pgMar w:top="320" w:bottom="280" w:left="1620" w:right="840"/>
        </w:sectPr>
      </w:pPr>
    </w:p>
    <w:p>
      <w:pPr>
        <w:pStyle w:val="Heading4"/>
        <w:spacing w:line="211" w:lineRule="auto" w:before="38"/>
      </w:pPr>
      <w:r>
        <w:rPr>
          <w:w w:val="95"/>
        </w:rPr>
        <w:t>31</w:t>
      </w:r>
      <w:r>
        <w:rPr>
          <w:spacing w:val="-11"/>
          <w:w w:val="95"/>
        </w:rPr>
        <w:t>、严重类风湿性关</w:t>
      </w:r>
      <w:r>
        <w:rPr>
          <w:spacing w:val="-11"/>
        </w:rPr>
        <w:t>节炎</w:t>
      </w:r>
    </w:p>
    <w:p>
      <w:pPr>
        <w:pStyle w:val="BodyText"/>
        <w:spacing w:line="273" w:lineRule="auto" w:before="35"/>
        <w:ind w:left="105" w:right="118"/>
        <w:jc w:val="both"/>
      </w:pPr>
      <w:r>
        <w:rPr/>
        <w:br w:type="column"/>
      </w:r>
      <w:r>
        <w:rPr/>
        <w:t>是指广泛的慢性渐进性的关节损害，伴有明显的关节畸形，至少累及三个或三</w:t>
      </w:r>
      <w:r>
        <w:rPr>
          <w:spacing w:val="-2"/>
        </w:rPr>
        <w:t>个以上关节</w:t>
      </w:r>
      <w:r>
        <w:rPr/>
        <w:t>（</w:t>
      </w:r>
      <w:r>
        <w:rPr>
          <w:spacing w:val="-7"/>
        </w:rPr>
        <w:t>如：手，腕，肘，髋，膝，踝关节</w:t>
      </w:r>
      <w:r>
        <w:rPr>
          <w:spacing w:val="-105"/>
        </w:rPr>
        <w:t>）</w:t>
      </w:r>
      <w:r>
        <w:rPr>
          <w:spacing w:val="-3"/>
        </w:rPr>
        <w:t>。此疾病必须已经导致了自主生活能力完全丧失，不能独立完成六项基本日常生活活动中的三项或三项以上的情形。上述疾病需由专科医生确诊，并提供相应医疗记录以证实上述病情已</w:t>
      </w:r>
      <w:r>
        <w:rPr>
          <w:spacing w:val="-12"/>
        </w:rPr>
        <w:t>经存在至少 </w:t>
      </w:r>
      <w:r>
        <w:rPr/>
        <w:t>3</w:t>
      </w:r>
      <w:r>
        <w:rPr>
          <w:spacing w:val="-14"/>
        </w:rPr>
        <w:t> 个月。</w:t>
      </w:r>
    </w:p>
    <w:p>
      <w:pPr>
        <w:spacing w:after="0" w:line="273" w:lineRule="auto"/>
        <w:jc w:val="both"/>
        <w:sectPr>
          <w:type w:val="continuous"/>
          <w:pgSz w:w="11910" w:h="16840"/>
          <w:pgMar w:top="320" w:bottom="280" w:left="1620" w:right="840"/>
          <w:cols w:num="2" w:equalWidth="0">
            <w:col w:w="1917" w:space="109"/>
            <w:col w:w="7424"/>
          </w:cols>
        </w:sectPr>
      </w:pPr>
    </w:p>
    <w:p>
      <w:pPr>
        <w:pStyle w:val="BodyText"/>
        <w:spacing w:before="3"/>
        <w:rPr>
          <w:sz w:val="15"/>
        </w:rPr>
      </w:pPr>
    </w:p>
    <w:p>
      <w:pPr>
        <w:spacing w:after="0"/>
        <w:rPr>
          <w:sz w:val="15"/>
        </w:rPr>
        <w:sectPr>
          <w:type w:val="continuous"/>
          <w:pgSz w:w="11910" w:h="16840"/>
          <w:pgMar w:top="320" w:bottom="280" w:left="1620" w:right="84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5"/>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5"/>
        </w:numPr>
        <w:tabs>
          <w:tab w:pos="316" w:val="left" w:leader="none"/>
        </w:tabs>
        <w:spacing w:line="240" w:lineRule="auto" w:before="36" w:after="0"/>
        <w:ind w:left="315" w:right="0" w:hanging="210"/>
        <w:jc w:val="both"/>
        <w:rPr>
          <w:sz w:val="21"/>
        </w:rPr>
      </w:pPr>
      <w:r>
        <w:rPr>
          <w:sz w:val="21"/>
        </w:rPr>
        <w:t>型（微小病变型）</w:t>
      </w:r>
      <w:r>
        <w:rPr>
          <w:spacing w:val="2"/>
          <w:sz w:val="21"/>
        </w:rPr>
        <w:t>       镜下阴性，尿液正常</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型（系膜病变型）      中度蛋白尿，偶有尿沉渣改变</w:t>
      </w:r>
    </w:p>
    <w:p>
      <w:pPr>
        <w:pStyle w:val="ListParagraph"/>
        <w:numPr>
          <w:ilvl w:val="0"/>
          <w:numId w:val="15"/>
        </w:numPr>
        <w:tabs>
          <w:tab w:pos="526" w:val="left" w:leader="none"/>
        </w:tabs>
        <w:spacing w:line="240" w:lineRule="auto" w:before="36"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型（弥漫增生型）      急性肾炎伴有尿沉渣改变及</w:t>
      </w:r>
    </w:p>
    <w:p>
      <w:pPr>
        <w:pStyle w:val="BodyText"/>
        <w:spacing w:before="36"/>
        <w:ind w:left="2820" w:right="3095"/>
        <w:jc w:val="center"/>
      </w:pPr>
      <w:r>
        <w:rPr/>
        <w:t>／或肾病综合征</w:t>
      </w:r>
    </w:p>
    <w:p>
      <w:pPr>
        <w:pStyle w:val="ListParagraph"/>
        <w:numPr>
          <w:ilvl w:val="0"/>
          <w:numId w:val="15"/>
        </w:numPr>
        <w:tabs>
          <w:tab w:pos="316" w:val="left" w:leader="none"/>
          <w:tab w:pos="2835" w:val="left" w:leader="none"/>
        </w:tabs>
        <w:spacing w:line="240" w:lineRule="auto" w:before="36"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320" w:bottom="280" w:left="1620" w:right="840"/>
          <w:cols w:num="2" w:equalWidth="0">
            <w:col w:w="1817" w:space="208"/>
            <w:col w:w="7425"/>
          </w:cols>
        </w:sectPr>
      </w:pPr>
    </w:p>
    <w:p>
      <w:pPr>
        <w:pStyle w:val="BodyText"/>
        <w:spacing w:before="5"/>
        <w:rPr>
          <w:sz w:val="17"/>
        </w:rPr>
      </w:pPr>
    </w:p>
    <w:p>
      <w:pPr>
        <w:spacing w:after="0"/>
        <w:rPr>
          <w:sz w:val="17"/>
        </w:rPr>
        <w:sectPr>
          <w:type w:val="continuous"/>
          <w:pgSz w:w="11910" w:h="16840"/>
          <w:pgMar w:top="320" w:bottom="280" w:left="1620" w:right="840"/>
        </w:sectPr>
      </w:pPr>
    </w:p>
    <w:p>
      <w:pPr>
        <w:pStyle w:val="Heading4"/>
        <w:spacing w:line="208" w:lineRule="auto" w:before="41"/>
        <w:jc w:val="both"/>
      </w:pPr>
      <w:r>
        <w:rPr>
          <w:w w:val="95"/>
        </w:rPr>
        <w:t>33、因职业关系导</w:t>
      </w:r>
      <w:r>
        <w:rPr/>
        <w:t>致的人类免疫缺陷</w:t>
      </w:r>
      <w:r>
        <w:rPr>
          <w:w w:val="95"/>
        </w:rPr>
        <w:t>病毒（HIV）感染</w:t>
      </w:r>
    </w:p>
    <w:p>
      <w:pPr>
        <w:pStyle w:val="BodyText"/>
        <w:spacing w:line="273" w:lineRule="auto" w:before="35"/>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6"/>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before="36"/>
        <w:ind w:left="105" w:right="118"/>
      </w:pPr>
      <w:r>
        <w:rPr>
          <w:spacing w:val="-9"/>
        </w:rPr>
        <w:t>（3）</w:t>
      </w:r>
      <w:r>
        <w:rPr>
          <w:spacing w:val="-3"/>
        </w:rPr>
        <w:t>必须提供被保险人在所报事故发生后的 </w:t>
      </w:r>
      <w:r>
        <w:rPr/>
        <w:t>5</w:t>
      </w:r>
      <w:r>
        <w:rPr>
          <w:spacing w:val="-10"/>
        </w:rPr>
        <w:t> 日以内进行的检查报告，该报告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18"/>
      </w:pPr>
      <w:r>
        <w:rPr/>
        <w:t>医生和牙科医生、护士、实验室工作人员、医院护工、医生助理和牙医助理、救护车工作人员、助产士、消防队员、警察、狱警</w:t>
      </w:r>
    </w:p>
    <w:p>
      <w:pPr>
        <w:spacing w:after="0" w:line="273" w:lineRule="auto"/>
        <w:sectPr>
          <w:type w:val="continuous"/>
          <w:pgSz w:w="11910" w:h="16840"/>
          <w:pgMar w:top="320" w:bottom="280" w:left="1620" w:right="840"/>
          <w:cols w:num="2" w:equalWidth="0">
            <w:col w:w="1817" w:space="208"/>
            <w:col w:w="7425"/>
          </w:cols>
        </w:sectPr>
      </w:pPr>
    </w:p>
    <w:p>
      <w:pPr>
        <w:pStyle w:val="BodyText"/>
        <w:spacing w:before="8"/>
        <w:rPr>
          <w:sz w:val="14"/>
        </w:rPr>
      </w:pPr>
    </w:p>
    <w:p>
      <w:pPr>
        <w:spacing w:after="0"/>
        <w:rPr>
          <w:sz w:val="14"/>
        </w:rPr>
        <w:sectPr>
          <w:type w:val="continuous"/>
          <w:pgSz w:w="11910" w:h="16840"/>
          <w:pgMar w:top="320" w:bottom="280" w:left="1620" w:right="840"/>
        </w:sectPr>
      </w:pPr>
    </w:p>
    <w:p>
      <w:pPr>
        <w:pStyle w:val="Heading4"/>
        <w:spacing w:line="211" w:lineRule="auto" w:before="38"/>
      </w:pPr>
      <w:r>
        <w:rPr>
          <w:w w:val="95"/>
        </w:rPr>
        <w:t>34、经输血导致的</w:t>
      </w:r>
      <w:r>
        <w:rPr/>
        <w:t>人类免疫缺陷病毒</w:t>
      </w:r>
    </w:p>
    <w:p>
      <w:pPr>
        <w:spacing w:line="319"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05"/>
      </w:pPr>
      <w:r>
        <w:rPr/>
        <w:br w:type="column"/>
      </w:r>
      <w:r>
        <w:rPr/>
        <w:t>被保险人感染上人类免疫缺陷病毒（HIV）并且满足下列全部条件：</w:t>
      </w:r>
    </w:p>
    <w:p>
      <w:pPr>
        <w:pStyle w:val="BodyText"/>
        <w:spacing w:before="36"/>
        <w:ind w:left="105"/>
      </w:pPr>
      <w:r>
        <w:rPr/>
        <w:t>（1）在保障起始日或复效日之后，被保险人因输血而感染 HIV；</w:t>
      </w:r>
    </w:p>
    <w:p>
      <w:pPr>
        <w:pStyle w:val="BodyText"/>
        <w:spacing w:before="36"/>
        <w:ind w:left="105"/>
      </w:pPr>
      <w:r>
        <w:rPr/>
        <w:t>（2）提供输血治疗的输血中心或医院出具该项输血感染属医疗责任事故的报</w:t>
      </w:r>
    </w:p>
    <w:p>
      <w:pPr>
        <w:spacing w:after="0"/>
        <w:sectPr>
          <w:type w:val="continuous"/>
          <w:pgSz w:w="11910" w:h="16840"/>
          <w:pgMar w:top="320" w:bottom="280" w:left="1620" w:right="840"/>
          <w:cols w:num="2" w:equalWidth="0">
            <w:col w:w="1817" w:space="208"/>
            <w:col w:w="7425"/>
          </w:cols>
        </w:sectPr>
      </w:pPr>
    </w:p>
    <w:p>
      <w:pPr>
        <w:pStyle w:val="BodyText"/>
        <w:spacing w:before="19"/>
        <w:ind w:left="2891"/>
        <w:jc w:val="both"/>
      </w:pPr>
      <w:r>
        <w:rPr/>
        <w:t>告，或法院终审裁定为医疗责任并且不准上诉；</w:t>
      </w:r>
    </w:p>
    <w:p>
      <w:pPr>
        <w:pStyle w:val="BodyText"/>
        <w:ind w:left="2891"/>
        <w:jc w:val="both"/>
      </w:pPr>
      <w:r>
        <w:rPr/>
        <w:t>（3）受感染的被保险人不是血友病患者。</w:t>
      </w:r>
    </w:p>
    <w:p>
      <w:pPr>
        <w:pStyle w:val="BodyText"/>
        <w:ind w:left="2891"/>
        <w:jc w:val="both"/>
      </w:pPr>
      <w:r>
        <w:rPr/>
        <w:t>在任何治愈艾滋病（AIDS）或阻止 HIV 病毒作用的疗法被发现以后，或能防止</w:t>
      </w:r>
    </w:p>
    <w:p>
      <w:pPr>
        <w:pStyle w:val="BodyText"/>
        <w:ind w:left="2891"/>
        <w:jc w:val="both"/>
      </w:pPr>
      <w:r>
        <w:rPr/>
        <w:t>AIDS 发生的医疗方法被研究出来以后，本保障将不再予以赔付。</w:t>
      </w:r>
    </w:p>
    <w:p>
      <w:pPr>
        <w:pStyle w:val="BodyText"/>
        <w:spacing w:line="273" w:lineRule="auto"/>
        <w:ind w:left="2891" w:right="218"/>
        <w:jc w:val="both"/>
      </w:pPr>
      <w:r>
        <w:rPr/>
        <w:t>任何因其他传播方式（包括：性传播或静脉注射毒品）</w:t>
      </w:r>
      <w:r>
        <w:rPr>
          <w:spacing w:val="-7"/>
        </w:rPr>
        <w:t>导致的 </w:t>
      </w:r>
      <w:r>
        <w:rPr/>
        <w:t>HIV</w:t>
      </w:r>
      <w:r>
        <w:rPr>
          <w:spacing w:val="-6"/>
        </w:rPr>
        <w:t> 感染不在本保单保障范围内。本公司必须拥有获得使用被保险人的所有血液样本的权利和能够对这些样本进行独立检验的权利。</w:t>
      </w:r>
    </w:p>
    <w:p>
      <w:pPr>
        <w:pStyle w:val="BodyText"/>
        <w:spacing w:before="7"/>
        <w:rPr>
          <w:sz w:val="17"/>
        </w:rPr>
      </w:pPr>
    </w:p>
    <w:p>
      <w:pPr>
        <w:pStyle w:val="BodyText"/>
        <w:spacing w:line="312" w:lineRule="exact" w:before="0"/>
        <w:ind w:left="2891" w:right="218"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3"/>
        <w:rPr>
          <w:sz w:val="17"/>
        </w:rPr>
      </w:pPr>
    </w:p>
    <w:p>
      <w:pPr>
        <w:pStyle w:val="BodyText"/>
        <w:tabs>
          <w:tab w:pos="2891" w:val="left" w:leader="none"/>
        </w:tabs>
        <w:spacing w:line="312" w:lineRule="exact" w:before="0"/>
        <w:ind w:left="2891" w:right="219" w:hanging="2026"/>
        <w:jc w:val="both"/>
      </w:pPr>
      <w:r>
        <w:rPr>
          <w:rFonts w:ascii="Microsoft JhengHei" w:eastAsia="Microsoft JhengHei" w:hint="eastAsia"/>
          <w:b/>
          <w:position w:val="-2"/>
        </w:rPr>
        <w:t>36、深度昏迷</w:t>
        <w:tab/>
      </w:r>
      <w:r>
        <w:rPr/>
        <w:t>指因疾病或意外伤害导致意识丧失,对外界刺激和体内需求均无反应,昏迷程度 按照格拉斯哥昏迷分级（Glasgow</w:t>
      </w:r>
      <w:r>
        <w:rPr>
          <w:spacing w:val="-6"/>
        </w:rPr>
        <w:t> </w:t>
      </w:r>
      <w:r>
        <w:rPr/>
        <w:t>coma</w:t>
      </w:r>
      <w:r>
        <w:rPr>
          <w:spacing w:val="-5"/>
        </w:rPr>
        <w:t> </w:t>
      </w:r>
      <w:r>
        <w:rPr/>
        <w:t>scale）结果为</w:t>
      </w:r>
      <w:r>
        <w:rPr>
          <w:spacing w:val="-42"/>
        </w:rPr>
        <w:t> </w:t>
      </w:r>
      <w:r>
        <w:rPr/>
        <w:t>5</w:t>
      </w:r>
      <w:r>
        <w:rPr>
          <w:spacing w:val="-42"/>
        </w:rPr>
        <w:t> </w:t>
      </w:r>
      <w:r>
        <w:rPr/>
        <w:t>分或</w:t>
      </w:r>
      <w:r>
        <w:rPr>
          <w:spacing w:val="-42"/>
        </w:rPr>
        <w:t> </w:t>
      </w:r>
      <w:r>
        <w:rPr/>
        <w:t>5</w:t>
      </w:r>
      <w:r>
        <w:rPr>
          <w:spacing w:val="-42"/>
        </w:rPr>
        <w:t> </w:t>
      </w:r>
      <w:r>
        <w:rPr/>
        <w:t>分以下，且已经持续使用呼吸机及其它生命维持系统</w:t>
      </w:r>
      <w:r>
        <w:rPr>
          <w:spacing w:val="-65"/>
        </w:rPr>
        <w:t> </w:t>
      </w:r>
      <w:r>
        <w:rPr/>
        <w:t>96</w:t>
      </w:r>
      <w:r>
        <w:rPr>
          <w:spacing w:val="-65"/>
        </w:rPr>
        <w:t> </w:t>
      </w:r>
      <w:r>
        <w:rPr/>
        <w:t>小时以上</w:t>
      </w:r>
      <w:r>
        <w:rPr>
          <w:spacing w:val="-52"/>
        </w:rPr>
        <w:t>。</w:t>
      </w:r>
      <w:r>
        <w:rPr/>
        <w:t>因酗酒或药物滥用导致的深度昏迷不在保障范围内。</w:t>
      </w:r>
    </w:p>
    <w:p>
      <w:pPr>
        <w:pStyle w:val="BodyText"/>
        <w:spacing w:before="12"/>
        <w:rPr>
          <w:sz w:val="14"/>
        </w:rPr>
      </w:pPr>
    </w:p>
    <w:p>
      <w:pPr>
        <w:spacing w:after="0"/>
        <w:rPr>
          <w:sz w:val="14"/>
        </w:rPr>
        <w:sectPr>
          <w:pgSz w:w="11910" w:h="16840"/>
          <w:pgMar w:header="0" w:footer="442" w:top="1100" w:bottom="640" w:left="860" w:right="740"/>
        </w:sectPr>
      </w:pPr>
    </w:p>
    <w:p>
      <w:pPr>
        <w:pStyle w:val="Heading4"/>
        <w:spacing w:line="211" w:lineRule="auto" w:before="37"/>
        <w:ind w:left="865"/>
      </w:pPr>
      <w:r>
        <w:rPr>
          <w:w w:val="95"/>
        </w:rPr>
        <w:t>37、冠状动脉血管</w:t>
      </w:r>
      <w:r>
        <w:rPr/>
        <w:t>成形术</w:t>
      </w:r>
    </w:p>
    <w:p>
      <w:pPr>
        <w:pStyle w:val="BodyText"/>
        <w:spacing w:line="273" w:lineRule="auto" w:before="35"/>
        <w:ind w:left="274" w:right="112"/>
        <w:jc w:val="both"/>
      </w:pPr>
      <w:r>
        <w:rPr/>
        <w:br w:type="column"/>
      </w:r>
      <w:r>
        <w:rPr>
          <w:spacing w:val="-4"/>
        </w:rPr>
        <w:t>是指有心绞痛等心脏不适症状，经过血管造影技术检查证实同时存在两支(其中</w:t>
      </w:r>
      <w:r>
        <w:rPr>
          <w:spacing w:val="-9"/>
        </w:rPr>
        <w:t>一支为左冠状动脉主干、左前降支或左回旋支)或更多支的冠状动脉血管发生严</w:t>
      </w:r>
      <w:r>
        <w:rPr>
          <w:spacing w:val="-20"/>
        </w:rPr>
        <w:t>重的狭窄</w:t>
      </w:r>
      <w:r>
        <w:rPr/>
        <w:t>（</w:t>
      </w:r>
      <w:r>
        <w:rPr>
          <w:spacing w:val="-9"/>
        </w:rPr>
        <w:t>狭窄程度在 </w:t>
      </w:r>
      <w:r>
        <w:rPr/>
        <w:t>70％以上</w:t>
      </w:r>
      <w:r>
        <w:rPr>
          <w:spacing w:val="-79"/>
        </w:rPr>
        <w:t>）</w:t>
      </w:r>
      <w:r>
        <w:rPr>
          <w:spacing w:val="-10"/>
        </w:rPr>
        <w:t>，需要并且已实施冠状动脉气囊扩张以改善血</w:t>
      </w:r>
      <w:r>
        <w:rPr>
          <w:spacing w:val="-6"/>
        </w:rPr>
        <w:t>管的血流状况。索赔时必须提供血管造影的影像资料、报告、手术记录和病历。</w:t>
      </w:r>
    </w:p>
    <w:p>
      <w:pPr>
        <w:spacing w:after="0" w:line="273" w:lineRule="auto"/>
        <w:jc w:val="both"/>
        <w:sectPr>
          <w:type w:val="continuous"/>
          <w:pgSz w:w="11910" w:h="16840"/>
          <w:pgMar w:top="320" w:bottom="280" w:left="860" w:right="740"/>
          <w:cols w:num="2" w:equalWidth="0">
            <w:col w:w="2577" w:space="40"/>
            <w:col w:w="7693"/>
          </w:cols>
        </w:sectPr>
      </w:pPr>
    </w:p>
    <w:p>
      <w:pPr>
        <w:pStyle w:val="BodyText"/>
        <w:spacing w:before="4"/>
        <w:rPr>
          <w:sz w:val="15"/>
        </w:rPr>
      </w:pPr>
    </w:p>
    <w:p>
      <w:pPr>
        <w:tabs>
          <w:tab w:pos="2891" w:val="left" w:leader="none"/>
        </w:tabs>
        <w:spacing w:line="356" w:lineRule="exact" w:before="0"/>
        <w:ind w:left="865" w:right="0" w:firstLine="0"/>
        <w:jc w:val="left"/>
        <w:rPr>
          <w:sz w:val="21"/>
        </w:rPr>
      </w:pPr>
      <w:r>
        <w:rPr>
          <w:rFonts w:ascii="Microsoft JhengHei" w:eastAsia="Microsoft JhengHei" w:hint="eastAsia"/>
          <w:b/>
          <w:position w:val="-2"/>
          <w:sz w:val="21"/>
        </w:rPr>
        <w:t>38、ft营养不良症</w:t>
        <w:tab/>
      </w:r>
      <w:r>
        <w:rPr>
          <w:sz w:val="21"/>
        </w:rPr>
        <w:t>是指由保险公司认可的医院的专科医师明确诊断的</w:t>
      </w:r>
      <w:r>
        <w:rPr>
          <w:spacing w:val="-70"/>
          <w:sz w:val="21"/>
        </w:rPr>
        <w:t> </w:t>
      </w:r>
      <w:r>
        <w:rPr>
          <w:sz w:val="21"/>
        </w:rPr>
        <w:t>Duchenne</w:t>
      </w:r>
      <w:r>
        <w:rPr>
          <w:spacing w:val="-70"/>
          <w:sz w:val="21"/>
        </w:rPr>
        <w:t> </w:t>
      </w:r>
      <w:r>
        <w:rPr>
          <w:sz w:val="21"/>
        </w:rPr>
        <w:t>型营养不良症</w:t>
      </w:r>
    </w:p>
    <w:p>
      <w:pPr>
        <w:pStyle w:val="BodyText"/>
        <w:spacing w:line="273" w:lineRule="auto" w:before="0"/>
        <w:ind w:left="2891" w:right="215"/>
        <w:jc w:val="both"/>
      </w:pPr>
      <w:r>
        <w:rPr/>
        <w:t>（DMD</w:t>
      </w:r>
      <w:r>
        <w:rPr>
          <w:spacing w:val="-131"/>
        </w:rPr>
        <w:t>）</w:t>
      </w:r>
      <w:r>
        <w:rPr/>
        <w:t>（</w:t>
      </w:r>
      <w:r>
        <w:rPr>
          <w:spacing w:val="-1"/>
        </w:rPr>
        <w:t>严重性假肥大型营养不良症</w:t>
      </w:r>
      <w:r>
        <w:rPr>
          <w:spacing w:val="-105"/>
        </w:rPr>
        <w:t>）</w:t>
      </w:r>
      <w:r>
        <w:rPr>
          <w:spacing w:val="-27"/>
        </w:rPr>
        <w:t>，</w:t>
      </w:r>
      <w:r>
        <w:rPr/>
        <w:t>B</w:t>
      </w:r>
      <w:r>
        <w:rPr>
          <w:spacing w:val="-1"/>
        </w:rPr>
        <w:t>e</w:t>
      </w:r>
      <w:r>
        <w:rPr/>
        <w:t>c</w:t>
      </w:r>
      <w:r>
        <w:rPr>
          <w:spacing w:val="-1"/>
        </w:rPr>
        <w:t>ke</w:t>
      </w:r>
      <w:r>
        <w:rPr/>
        <w:t>r</w:t>
      </w:r>
      <w:r>
        <w:rPr>
          <w:spacing w:val="-40"/>
        </w:rPr>
        <w:t> 型</w:t>
      </w:r>
      <w:r>
        <w:rPr/>
        <w:t>（BM</w:t>
      </w:r>
      <w:r>
        <w:rPr>
          <w:spacing w:val="-1"/>
        </w:rPr>
        <w:t>D</w:t>
      </w:r>
      <w:r>
        <w:rPr>
          <w:spacing w:val="-131"/>
        </w:rPr>
        <w:t>）</w:t>
      </w:r>
      <w:r>
        <w:rPr/>
        <w:t>（</w:t>
      </w:r>
      <w:r>
        <w:rPr>
          <w:spacing w:val="-1"/>
        </w:rPr>
        <w:t>良性假肥大型肌营养不良症</w:t>
      </w:r>
      <w:r>
        <w:rPr>
          <w:spacing w:val="-105"/>
        </w:rPr>
        <w:t>）</w:t>
      </w:r>
      <w:r>
        <w:rPr>
          <w:spacing w:val="-2"/>
        </w:rPr>
        <w:t>，或者肢带型肌营养不良症。(不包含其他类型的肌营养不良) 并提供</w:t>
      </w:r>
      <w:r>
        <w:rPr>
          <w:spacing w:val="-4"/>
        </w:rPr>
        <w:t>肌肉活检和血清肌酸磷酸激酶</w:t>
      </w:r>
      <w:r>
        <w:rPr>
          <w:spacing w:val="-6"/>
        </w:rPr>
        <w:t>（CPK）</w:t>
      </w:r>
      <w:r>
        <w:rPr/>
        <w:t>报告. 该疾病导致被保险人永久完全地丧失了独立生活能力，在无他人协助下无法独立进行以下六项日常生活活动中的</w:t>
      </w:r>
      <w:r>
        <w:rPr>
          <w:spacing w:val="-4"/>
        </w:rPr>
        <w:t>其中三项或三项以上，或者必须永久卧床，没有他人帮助不能自己起床。 且有</w:t>
      </w:r>
      <w:r>
        <w:rPr>
          <w:spacing w:val="-7"/>
        </w:rPr>
        <w:t>相关医疗记录显示这种情况持续至少 </w:t>
      </w:r>
      <w:r>
        <w:rPr/>
        <w:t>3</w:t>
      </w:r>
      <w:r>
        <w:rPr>
          <w:spacing w:val="-14"/>
        </w:rPr>
        <w:t> 个月。</w:t>
      </w:r>
    </w:p>
    <w:p>
      <w:pPr>
        <w:pStyle w:val="BodyText"/>
        <w:spacing w:before="11"/>
        <w:rPr>
          <w:sz w:val="15"/>
        </w:rPr>
      </w:pPr>
    </w:p>
    <w:p>
      <w:pPr>
        <w:spacing w:after="0"/>
        <w:rPr>
          <w:sz w:val="15"/>
        </w:rPr>
        <w:sectPr>
          <w:type w:val="continuous"/>
          <w:pgSz w:w="11910" w:h="16840"/>
          <w:pgMar w:top="320" w:bottom="280" w:left="860" w:right="740"/>
        </w:sectPr>
      </w:pPr>
    </w:p>
    <w:p>
      <w:pPr>
        <w:pStyle w:val="Heading4"/>
        <w:spacing w:line="208" w:lineRule="auto" w:before="41"/>
        <w:ind w:left="865"/>
      </w:pPr>
      <w:r>
        <w:rPr>
          <w:w w:val="95"/>
        </w:rPr>
        <w:t>39、急性脊髓灰质</w:t>
      </w:r>
      <w:r>
        <w:rPr/>
        <w:t>炎</w:t>
      </w:r>
    </w:p>
    <w:p>
      <w:pPr>
        <w:pStyle w:val="BodyText"/>
        <w:spacing w:line="273" w:lineRule="auto" w:before="35"/>
        <w:ind w:left="274" w:right="217"/>
        <w:jc w:val="both"/>
      </w:pPr>
      <w:r>
        <w:rPr/>
        <w:br w:type="column"/>
      </w:r>
      <w:r>
        <w:rPr/>
        <w:t>是指由于急性脊髓灰质炎病毒感染所导致的运动功能障碍或呼吸功能减弱的瘫痪性疾病。诊断必须由本公司认可的神经科专科医生确诊并提供相关的脊髓灰</w:t>
      </w:r>
      <w:r>
        <w:rPr>
          <w:spacing w:val="-2"/>
        </w:rPr>
        <w:t>质炎病毒感染的证据</w:t>
      </w:r>
      <w:r>
        <w:rPr/>
        <w:t>（</w:t>
      </w:r>
      <w:r>
        <w:rPr>
          <w:spacing w:val="-4"/>
        </w:rPr>
        <w:t>例如：脑脊液检查或血清学抗体检查报告</w:t>
      </w:r>
      <w:r>
        <w:rPr>
          <w:spacing w:val="-105"/>
        </w:rPr>
        <w:t>）</w:t>
      </w:r>
      <w:r>
        <w:rPr>
          <w:spacing w:val="-4"/>
        </w:rPr>
        <w:t>。未导致肢体瘫痪及其它病因所致的瘫痪，例如格林一巴利综合症(急性感染性多神经炎)则不在此保障范围以内。</w:t>
      </w:r>
    </w:p>
    <w:p>
      <w:pPr>
        <w:spacing w:after="0" w:line="273" w:lineRule="auto"/>
        <w:jc w:val="both"/>
        <w:sectPr>
          <w:type w:val="continuous"/>
          <w:pgSz w:w="11910" w:h="16840"/>
          <w:pgMar w:top="320" w:bottom="280" w:left="860" w:right="740"/>
          <w:cols w:num="2" w:equalWidth="0">
            <w:col w:w="2577" w:space="40"/>
            <w:col w:w="7693"/>
          </w:cols>
        </w:sectPr>
      </w:pPr>
    </w:p>
    <w:p>
      <w:pPr>
        <w:pStyle w:val="BodyText"/>
        <w:spacing w:before="2"/>
        <w:rPr>
          <w:sz w:val="15"/>
        </w:rPr>
      </w:pPr>
    </w:p>
    <w:p>
      <w:pPr>
        <w:tabs>
          <w:tab w:pos="2891" w:val="left" w:leader="none"/>
        </w:tabs>
        <w:spacing w:line="356" w:lineRule="exact" w:before="0"/>
        <w:ind w:left="865" w:right="0" w:firstLine="0"/>
        <w:jc w:val="left"/>
        <w:rPr>
          <w:sz w:val="21"/>
        </w:rPr>
      </w:pPr>
      <w:r>
        <w:rPr>
          <w:rFonts w:ascii="Microsoft JhengHei" w:eastAsia="Microsoft JhengHei" w:hint="eastAsia"/>
          <w:b/>
          <w:position w:val="-2"/>
          <w:sz w:val="21"/>
        </w:rPr>
        <w:t>40、肾髓质囊性病</w:t>
        <w:tab/>
      </w:r>
      <w:r>
        <w:rPr>
          <w:sz w:val="21"/>
        </w:rPr>
        <w:t>肾髓质囊性病的诊断必须同时符合下列要求：</w:t>
      </w:r>
    </w:p>
    <w:p>
      <w:pPr>
        <w:pStyle w:val="BodyText"/>
        <w:spacing w:line="266" w:lineRule="exact" w:before="0"/>
        <w:ind w:left="2891"/>
      </w:pPr>
      <w:r>
        <w:rPr/>
        <w:t>（1）肾髓质有囊肿、肾小管萎缩及间质纤维化等病理改变；</w:t>
      </w:r>
    </w:p>
    <w:p>
      <w:pPr>
        <w:pStyle w:val="BodyText"/>
        <w:ind w:left="2891"/>
      </w:pPr>
      <w:r>
        <w:rPr/>
        <w:t>（2）贫血、多尿及肾功能衰竭等临床表现；</w:t>
      </w:r>
    </w:p>
    <w:p>
      <w:pPr>
        <w:pStyle w:val="BodyText"/>
        <w:ind w:left="2891"/>
      </w:pPr>
      <w:r>
        <w:rPr/>
        <w:t>（3）诊断须由肾组织活检确定。</w:t>
      </w:r>
    </w:p>
    <w:p>
      <w:pPr>
        <w:pStyle w:val="BodyText"/>
        <w:spacing w:before="2"/>
        <w:rPr>
          <w:sz w:val="20"/>
        </w:rPr>
      </w:pPr>
    </w:p>
    <w:p>
      <w:pPr>
        <w:pStyle w:val="ListParagraph"/>
        <w:numPr>
          <w:ilvl w:val="1"/>
          <w:numId w:val="16"/>
        </w:numPr>
        <w:tabs>
          <w:tab w:pos="865" w:val="left" w:leader="none"/>
          <w:tab w:pos="866" w:val="left" w:leader="none"/>
          <w:tab w:pos="2891" w:val="left" w:leader="none"/>
        </w:tabs>
        <w:spacing w:line="273" w:lineRule="auto" w:before="0" w:after="0"/>
        <w:ind w:left="2891" w:right="112" w:hanging="2790"/>
        <w:jc w:val="left"/>
        <w:rPr>
          <w:sz w:val="21"/>
        </w:rPr>
      </w:pPr>
      <w:r>
        <w:rPr>
          <w:b/>
          <w:sz w:val="21"/>
        </w:rPr>
        <w:t>毒品</w:t>
        <w:tab/>
      </w:r>
      <w:r>
        <w:rPr>
          <w:spacing w:val="-1"/>
          <w:sz w:val="21"/>
        </w:rPr>
        <w:t>指中</w:t>
      </w:r>
      <w:r>
        <w:rPr>
          <w:sz w:val="21"/>
        </w:rPr>
        <w:t>华人民共和国刑法规定的鸦片</w:t>
      </w:r>
      <w:r>
        <w:rPr>
          <w:spacing w:val="-32"/>
          <w:sz w:val="21"/>
        </w:rPr>
        <w:t>、</w:t>
      </w:r>
      <w:r>
        <w:rPr>
          <w:sz w:val="21"/>
        </w:rPr>
        <w:t>海洛因</w:t>
      </w:r>
      <w:r>
        <w:rPr>
          <w:spacing w:val="-32"/>
          <w:sz w:val="21"/>
        </w:rPr>
        <w:t>、</w:t>
      </w:r>
      <w:r>
        <w:rPr>
          <w:sz w:val="21"/>
        </w:rPr>
        <w:t>甲基苯丙</w:t>
      </w:r>
      <w:r>
        <w:rPr>
          <w:spacing w:val="-32"/>
          <w:sz w:val="21"/>
        </w:rPr>
        <w:t>胺</w:t>
      </w:r>
      <w:r>
        <w:rPr>
          <w:sz w:val="21"/>
        </w:rPr>
        <w:t>（冰毒</w:t>
      </w:r>
      <w:r>
        <w:rPr>
          <w:spacing w:val="-105"/>
          <w:sz w:val="21"/>
        </w:rPr>
        <w:t>）</w:t>
      </w:r>
      <w:r>
        <w:rPr>
          <w:spacing w:val="-32"/>
          <w:sz w:val="21"/>
        </w:rPr>
        <w:t>、</w:t>
      </w:r>
      <w:r>
        <w:rPr>
          <w:sz w:val="21"/>
        </w:rPr>
        <w:t>吗啡</w:t>
      </w:r>
      <w:r>
        <w:rPr>
          <w:spacing w:val="-32"/>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6"/>
        </w:numPr>
        <w:tabs>
          <w:tab w:pos="867" w:val="left" w:leader="none"/>
          <w:tab w:pos="2891" w:val="left" w:leader="none"/>
        </w:tabs>
        <w:spacing w:line="273" w:lineRule="auto" w:before="1" w:after="0"/>
        <w:ind w:left="2891" w:right="218" w:hanging="2790"/>
        <w:jc w:val="both"/>
        <w:rPr>
          <w:sz w:val="21"/>
        </w:rPr>
      </w:pPr>
      <w:r>
        <w:rPr>
          <w:b/>
          <w:sz w:val="21"/>
        </w:rPr>
        <w:t>酒后驾驶</w:t>
        <w:tab/>
      </w:r>
      <w:r>
        <w:rPr>
          <w:sz w:val="21"/>
        </w:rPr>
        <w:t>指经检测或鉴定，发生事故时车辆驾驶人员每百毫升血液中的酒精含量达到或 超过一定的标准，公安机关交通管理部门依据《道路交通安全法》的规定认定为饮酒后驾驶或醉酒后驾驶。</w:t>
      </w:r>
    </w:p>
    <w:p>
      <w:pPr>
        <w:spacing w:after="0" w:line="273" w:lineRule="auto"/>
        <w:jc w:val="both"/>
        <w:rPr>
          <w:sz w:val="21"/>
        </w:rPr>
        <w:sectPr>
          <w:type w:val="continuous"/>
          <w:pgSz w:w="11910" w:h="16840"/>
          <w:pgMar w:top="32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026"/>
        <w:gridCol w:w="7412"/>
      </w:tblGrid>
      <w:tr>
        <w:trPr>
          <w:trHeight w:val="1934" w:hRule="atLeast"/>
        </w:trPr>
        <w:tc>
          <w:tcPr>
            <w:tcW w:w="644" w:type="dxa"/>
          </w:tcPr>
          <w:p>
            <w:pPr>
              <w:pStyle w:val="TableParagraph"/>
              <w:spacing w:line="210" w:lineRule="exact"/>
              <w:ind w:left="50"/>
              <w:rPr>
                <w:b/>
                <w:sz w:val="21"/>
              </w:rPr>
            </w:pPr>
            <w:r>
              <w:rPr>
                <w:b/>
                <w:sz w:val="21"/>
              </w:rPr>
              <w:t>8.11</w:t>
            </w:r>
          </w:p>
        </w:tc>
        <w:tc>
          <w:tcPr>
            <w:tcW w:w="2026" w:type="dxa"/>
          </w:tcPr>
          <w:p>
            <w:pPr>
              <w:pStyle w:val="TableParagraph"/>
              <w:spacing w:line="210" w:lineRule="exact"/>
              <w:ind w:left="170"/>
              <w:rPr>
                <w:b/>
                <w:sz w:val="21"/>
              </w:rPr>
            </w:pPr>
            <w:r>
              <w:rPr>
                <w:b/>
                <w:w w:val="95"/>
                <w:sz w:val="21"/>
              </w:rPr>
              <w:t>无合法有效驾驶证</w:t>
            </w:r>
          </w:p>
          <w:p>
            <w:pPr>
              <w:pStyle w:val="TableParagraph"/>
              <w:spacing w:before="37"/>
              <w:ind w:left="170"/>
              <w:rPr>
                <w:b/>
                <w:sz w:val="21"/>
              </w:rPr>
            </w:pPr>
            <w:r>
              <w:rPr>
                <w:b/>
                <w:w w:val="95"/>
                <w:sz w:val="21"/>
              </w:rPr>
              <w:t>驾驶</w:t>
            </w:r>
          </w:p>
        </w:tc>
        <w:tc>
          <w:tcPr>
            <w:tcW w:w="7412" w:type="dxa"/>
          </w:tcPr>
          <w:p>
            <w:pPr>
              <w:pStyle w:val="TableParagraph"/>
              <w:spacing w:line="210" w:lineRule="exact"/>
              <w:ind w:left="169"/>
              <w:rPr>
                <w:sz w:val="21"/>
              </w:rPr>
            </w:pPr>
            <w:r>
              <w:rPr>
                <w:sz w:val="21"/>
              </w:rPr>
              <w:t>指下列情形之一：</w:t>
            </w:r>
          </w:p>
          <w:p>
            <w:pPr>
              <w:pStyle w:val="TableParagraph"/>
              <w:spacing w:before="37"/>
              <w:ind w:left="169"/>
              <w:rPr>
                <w:sz w:val="21"/>
              </w:rPr>
            </w:pPr>
            <w:r>
              <w:rPr>
                <w:sz w:val="21"/>
              </w:rPr>
              <w:t>（1）没有驾驶证驾驶；</w:t>
            </w:r>
          </w:p>
          <w:p>
            <w:pPr>
              <w:pStyle w:val="TableParagraph"/>
              <w:spacing w:before="37"/>
              <w:ind w:left="169"/>
              <w:rPr>
                <w:sz w:val="21"/>
              </w:rPr>
            </w:pPr>
            <w:r>
              <w:rPr>
                <w:sz w:val="21"/>
              </w:rPr>
              <w:t>（2）驾驶与驾驶证准驾车型不相符合的车辆；</w:t>
            </w:r>
          </w:p>
          <w:p>
            <w:pPr>
              <w:pStyle w:val="TableParagraph"/>
              <w:spacing w:before="37"/>
              <w:ind w:left="169"/>
              <w:rPr>
                <w:sz w:val="21"/>
              </w:rPr>
            </w:pPr>
            <w:r>
              <w:rPr>
                <w:sz w:val="21"/>
              </w:rPr>
              <w:t>（3）持审验不合格的驾驶证驾驶；</w:t>
            </w:r>
          </w:p>
          <w:p>
            <w:pPr>
              <w:pStyle w:val="TableParagraph"/>
              <w:spacing w:line="273" w:lineRule="auto" w:before="37"/>
              <w:ind w:left="169" w:right="47"/>
              <w:rPr>
                <w:sz w:val="21"/>
              </w:rPr>
            </w:pPr>
            <w:r>
              <w:rPr>
                <w:spacing w:val="-5"/>
                <w:sz w:val="21"/>
              </w:rPr>
              <w:t>（4）</w:t>
            </w:r>
            <w:r>
              <w:rPr>
                <w:spacing w:val="-4"/>
                <w:sz w:val="21"/>
              </w:rPr>
              <w:t>持学习驾驶证学习驾车时，无教练员随车指导，或不按指定时间、路线学习驾车。</w:t>
            </w:r>
          </w:p>
        </w:tc>
      </w:tr>
      <w:tr>
        <w:trPr>
          <w:trHeight w:val="1162" w:hRule="atLeast"/>
        </w:trPr>
        <w:tc>
          <w:tcPr>
            <w:tcW w:w="644" w:type="dxa"/>
          </w:tcPr>
          <w:p>
            <w:pPr>
              <w:pStyle w:val="TableParagraph"/>
              <w:spacing w:before="99"/>
              <w:ind w:left="50"/>
              <w:rPr>
                <w:b/>
                <w:sz w:val="21"/>
              </w:rPr>
            </w:pPr>
            <w:r>
              <w:rPr>
                <w:b/>
                <w:sz w:val="21"/>
              </w:rPr>
              <w:t>8.12</w:t>
            </w:r>
          </w:p>
        </w:tc>
        <w:tc>
          <w:tcPr>
            <w:tcW w:w="2026" w:type="dxa"/>
          </w:tcPr>
          <w:p>
            <w:pPr>
              <w:pStyle w:val="TableParagraph"/>
              <w:spacing w:before="99"/>
              <w:ind w:left="170"/>
              <w:rPr>
                <w:b/>
                <w:sz w:val="21"/>
              </w:rPr>
            </w:pPr>
            <w:r>
              <w:rPr>
                <w:b/>
                <w:w w:val="95"/>
                <w:sz w:val="21"/>
              </w:rPr>
              <w:t>无有效行驶证</w:t>
            </w:r>
          </w:p>
        </w:tc>
        <w:tc>
          <w:tcPr>
            <w:tcW w:w="7412" w:type="dxa"/>
          </w:tcPr>
          <w:p>
            <w:pPr>
              <w:pStyle w:val="TableParagraph"/>
              <w:spacing w:before="99"/>
              <w:ind w:left="169"/>
              <w:rPr>
                <w:sz w:val="21"/>
              </w:rPr>
            </w:pPr>
            <w:r>
              <w:rPr>
                <w:sz w:val="21"/>
              </w:rPr>
              <w:t>指下列情形之一：</w:t>
            </w:r>
          </w:p>
          <w:p>
            <w:pPr>
              <w:pStyle w:val="TableParagraph"/>
              <w:spacing w:before="36"/>
              <w:ind w:left="169"/>
              <w:rPr>
                <w:sz w:val="21"/>
              </w:rPr>
            </w:pPr>
            <w:r>
              <w:rPr>
                <w:sz w:val="21"/>
              </w:rPr>
              <w:t>（1）机动车被依法注销登记的；</w:t>
            </w:r>
          </w:p>
          <w:p>
            <w:pPr>
              <w:pStyle w:val="TableParagraph"/>
              <w:spacing w:before="36"/>
              <w:ind w:left="169"/>
              <w:rPr>
                <w:sz w:val="21"/>
              </w:rPr>
            </w:pPr>
            <w:r>
              <w:rPr>
                <w:sz w:val="21"/>
              </w:rPr>
              <w:t>（2）未依法按时进行或通过机动车安全技术检验。</w:t>
            </w:r>
          </w:p>
        </w:tc>
      </w:tr>
      <w:tr>
        <w:trPr>
          <w:trHeight w:val="850" w:hRule="atLeast"/>
        </w:trPr>
        <w:tc>
          <w:tcPr>
            <w:tcW w:w="644" w:type="dxa"/>
          </w:tcPr>
          <w:p>
            <w:pPr>
              <w:pStyle w:val="TableParagraph"/>
              <w:spacing w:before="99"/>
              <w:ind w:left="50"/>
              <w:rPr>
                <w:b/>
                <w:sz w:val="21"/>
              </w:rPr>
            </w:pPr>
            <w:r>
              <w:rPr>
                <w:b/>
                <w:sz w:val="21"/>
              </w:rPr>
              <w:t>8.13</w:t>
            </w:r>
          </w:p>
        </w:tc>
        <w:tc>
          <w:tcPr>
            <w:tcW w:w="2026" w:type="dxa"/>
          </w:tcPr>
          <w:p>
            <w:pPr>
              <w:pStyle w:val="TableParagraph"/>
              <w:spacing w:before="99"/>
              <w:ind w:left="170"/>
              <w:rPr>
                <w:b/>
                <w:sz w:val="21"/>
              </w:rPr>
            </w:pPr>
            <w:r>
              <w:rPr>
                <w:b/>
                <w:w w:val="95"/>
                <w:sz w:val="21"/>
              </w:rPr>
              <w:t>机动车</w:t>
            </w:r>
          </w:p>
        </w:tc>
        <w:tc>
          <w:tcPr>
            <w:tcW w:w="7412" w:type="dxa"/>
          </w:tcPr>
          <w:p>
            <w:pPr>
              <w:pStyle w:val="TableParagraph"/>
              <w:spacing w:line="273" w:lineRule="auto" w:before="99"/>
              <w:ind w:left="169" w:right="100"/>
              <w:rPr>
                <w:sz w:val="21"/>
              </w:rPr>
            </w:pPr>
            <w:r>
              <w:rPr>
                <w:sz w:val="21"/>
              </w:rPr>
              <w:t>指以动力装置驱动或牵引，上道路行驶的供人员乘用或用于运送物品以及进行工程专项作业的轮式车辆。</w:t>
            </w:r>
          </w:p>
        </w:tc>
      </w:tr>
      <w:tr>
        <w:trPr>
          <w:trHeight w:val="1475" w:hRule="atLeast"/>
        </w:trPr>
        <w:tc>
          <w:tcPr>
            <w:tcW w:w="644" w:type="dxa"/>
          </w:tcPr>
          <w:p>
            <w:pPr>
              <w:pStyle w:val="TableParagraph"/>
              <w:spacing w:before="99"/>
              <w:ind w:left="50"/>
              <w:rPr>
                <w:b/>
                <w:sz w:val="21"/>
              </w:rPr>
            </w:pPr>
            <w:r>
              <w:rPr>
                <w:b/>
                <w:sz w:val="21"/>
              </w:rPr>
              <w:t>8.14</w:t>
            </w:r>
          </w:p>
        </w:tc>
        <w:tc>
          <w:tcPr>
            <w:tcW w:w="2026" w:type="dxa"/>
          </w:tcPr>
          <w:p>
            <w:pPr>
              <w:pStyle w:val="TableParagraph"/>
              <w:spacing w:line="273" w:lineRule="auto" w:before="99"/>
              <w:ind w:left="170" w:right="166"/>
              <w:rPr>
                <w:b/>
                <w:sz w:val="21"/>
              </w:rPr>
            </w:pPr>
            <w:r>
              <w:rPr>
                <w:b/>
                <w:sz w:val="21"/>
              </w:rPr>
              <w:t>感染艾滋病病毒或</w:t>
            </w:r>
            <w:r>
              <w:rPr>
                <w:b/>
                <w:w w:val="95"/>
                <w:sz w:val="21"/>
              </w:rPr>
              <w:t>患艾滋病</w:t>
            </w:r>
          </w:p>
        </w:tc>
        <w:tc>
          <w:tcPr>
            <w:tcW w:w="7412" w:type="dxa"/>
          </w:tcPr>
          <w:p>
            <w:pPr>
              <w:pStyle w:val="TableParagraph"/>
              <w:spacing w:line="273" w:lineRule="auto" w:before="99"/>
              <w:ind w:left="169" w:right="48"/>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11"/>
                <w:sz w:val="21"/>
              </w:rPr>
              <w:t>引起的获得性免疫缺陷综合征，英文缩写为 </w:t>
            </w:r>
            <w:r>
              <w:rPr>
                <w:sz w:val="21"/>
              </w:rPr>
              <w:t>AIDS。在人体血液或其他样本中检测到艾滋病病毒或其抗体呈阳性，没有出现临床症状或体征的，为感染艾滋病病毒；若同时出现了明显临床症状或体征的，为患艾滋病。</w:t>
            </w:r>
          </w:p>
        </w:tc>
      </w:tr>
      <w:tr>
        <w:trPr>
          <w:trHeight w:val="851" w:hRule="atLeast"/>
        </w:trPr>
        <w:tc>
          <w:tcPr>
            <w:tcW w:w="644" w:type="dxa"/>
          </w:tcPr>
          <w:p>
            <w:pPr>
              <w:pStyle w:val="TableParagraph"/>
              <w:spacing w:before="100"/>
              <w:ind w:left="50"/>
              <w:rPr>
                <w:b/>
                <w:sz w:val="21"/>
              </w:rPr>
            </w:pPr>
            <w:r>
              <w:rPr>
                <w:b/>
                <w:sz w:val="21"/>
              </w:rPr>
              <w:t>8.15</w:t>
            </w:r>
          </w:p>
        </w:tc>
        <w:tc>
          <w:tcPr>
            <w:tcW w:w="2026" w:type="dxa"/>
          </w:tcPr>
          <w:p>
            <w:pPr>
              <w:pStyle w:val="TableParagraph"/>
              <w:spacing w:before="100"/>
              <w:ind w:left="170"/>
              <w:rPr>
                <w:b/>
                <w:sz w:val="21"/>
              </w:rPr>
            </w:pPr>
            <w:r>
              <w:rPr>
                <w:b/>
                <w:sz w:val="21"/>
              </w:rPr>
              <w:t>现金价值</w:t>
            </w:r>
          </w:p>
        </w:tc>
        <w:tc>
          <w:tcPr>
            <w:tcW w:w="7412" w:type="dxa"/>
          </w:tcPr>
          <w:p>
            <w:pPr>
              <w:pStyle w:val="TableParagraph"/>
              <w:spacing w:line="273" w:lineRule="auto" w:before="100"/>
              <w:ind w:left="169" w:right="100"/>
              <w:rPr>
                <w:sz w:val="21"/>
              </w:rPr>
            </w:pPr>
            <w:r>
              <w:rPr>
                <w:sz w:val="21"/>
              </w:rPr>
              <w:t>指本附加合同所具有的价值，通常体现为解除合同时，根据精算原理计算的， 由我们退还的那部分金额。</w:t>
            </w:r>
          </w:p>
        </w:tc>
      </w:tr>
      <w:tr>
        <w:trPr>
          <w:trHeight w:val="1162" w:hRule="atLeast"/>
        </w:trPr>
        <w:tc>
          <w:tcPr>
            <w:tcW w:w="644" w:type="dxa"/>
          </w:tcPr>
          <w:p>
            <w:pPr>
              <w:pStyle w:val="TableParagraph"/>
              <w:spacing w:before="99"/>
              <w:ind w:left="50"/>
              <w:rPr>
                <w:b/>
                <w:sz w:val="21"/>
              </w:rPr>
            </w:pPr>
            <w:r>
              <w:rPr>
                <w:b/>
                <w:sz w:val="21"/>
              </w:rPr>
              <w:t>8.16</w:t>
            </w:r>
          </w:p>
        </w:tc>
        <w:tc>
          <w:tcPr>
            <w:tcW w:w="2026" w:type="dxa"/>
          </w:tcPr>
          <w:p>
            <w:pPr>
              <w:pStyle w:val="TableParagraph"/>
              <w:spacing w:before="99"/>
              <w:ind w:left="170"/>
              <w:rPr>
                <w:b/>
                <w:sz w:val="21"/>
              </w:rPr>
            </w:pPr>
            <w:r>
              <w:rPr>
                <w:b/>
                <w:sz w:val="21"/>
              </w:rPr>
              <w:t>医疗机构</w:t>
            </w:r>
          </w:p>
        </w:tc>
        <w:tc>
          <w:tcPr>
            <w:tcW w:w="7412" w:type="dxa"/>
          </w:tcPr>
          <w:p>
            <w:pPr>
              <w:pStyle w:val="TableParagraph"/>
              <w:spacing w:line="273" w:lineRule="auto" w:before="99"/>
              <w:ind w:left="169" w:right="100"/>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644" w:type="dxa"/>
          </w:tcPr>
          <w:p>
            <w:pPr>
              <w:pStyle w:val="TableParagraph"/>
              <w:spacing w:before="99"/>
              <w:ind w:left="50"/>
              <w:rPr>
                <w:b/>
                <w:sz w:val="21"/>
              </w:rPr>
            </w:pPr>
            <w:r>
              <w:rPr>
                <w:b/>
                <w:sz w:val="21"/>
              </w:rPr>
              <w:t>8.17</w:t>
            </w:r>
          </w:p>
        </w:tc>
        <w:tc>
          <w:tcPr>
            <w:tcW w:w="2026" w:type="dxa"/>
          </w:tcPr>
          <w:p>
            <w:pPr>
              <w:pStyle w:val="TableParagraph"/>
              <w:spacing w:before="99"/>
              <w:ind w:left="170"/>
              <w:rPr>
                <w:b/>
                <w:sz w:val="21"/>
              </w:rPr>
            </w:pPr>
            <w:r>
              <w:rPr>
                <w:b/>
                <w:w w:val="95"/>
                <w:sz w:val="21"/>
              </w:rPr>
              <w:t>利息</w:t>
            </w:r>
          </w:p>
        </w:tc>
        <w:tc>
          <w:tcPr>
            <w:tcW w:w="7412" w:type="dxa"/>
          </w:tcPr>
          <w:p>
            <w:pPr>
              <w:pStyle w:val="TableParagraph"/>
              <w:spacing w:line="273" w:lineRule="auto" w:before="99"/>
              <w:ind w:left="169" w:right="100"/>
              <w:jc w:val="both"/>
              <w:rPr>
                <w:sz w:val="21"/>
              </w:rPr>
            </w:pPr>
            <w:r>
              <w:rPr>
                <w:sz w:val="21"/>
              </w:rPr>
              <w:t>本合同保单质押借款的利息按我们收到保单质押借款申请书时已宣布的借款利</w:t>
            </w:r>
            <w:r>
              <w:rPr>
                <w:spacing w:val="-5"/>
                <w:sz w:val="21"/>
              </w:rPr>
              <w:t>率计算，我们在每年的 </w:t>
            </w:r>
            <w:r>
              <w:rPr>
                <w:sz w:val="21"/>
              </w:rPr>
              <w:t>1</w:t>
            </w:r>
            <w:r>
              <w:rPr>
                <w:spacing w:val="-37"/>
                <w:sz w:val="21"/>
              </w:rPr>
              <w:t> 月 </w:t>
            </w:r>
            <w:r>
              <w:rPr>
                <w:sz w:val="21"/>
              </w:rPr>
              <w:t>1</w:t>
            </w:r>
            <w:r>
              <w:rPr>
                <w:spacing w:val="-28"/>
                <w:sz w:val="21"/>
              </w:rPr>
              <w:t> 日和 </w:t>
            </w:r>
            <w:r>
              <w:rPr>
                <w:sz w:val="21"/>
              </w:rPr>
              <w:t>7</w:t>
            </w:r>
            <w:r>
              <w:rPr>
                <w:spacing w:val="-36"/>
                <w:sz w:val="21"/>
              </w:rPr>
              <w:t> 月 </w:t>
            </w:r>
            <w:r>
              <w:rPr>
                <w:sz w:val="21"/>
              </w:rPr>
              <w:t>1</w:t>
            </w:r>
            <w:r>
              <w:rPr>
                <w:spacing w:val="-8"/>
                <w:sz w:val="21"/>
              </w:rPr>
              <w:t> 日根据监管规定和市场情况宣布两次借款利率。</w:t>
            </w:r>
          </w:p>
        </w:tc>
      </w:tr>
      <w:tr>
        <w:trPr>
          <w:trHeight w:val="374" w:hRule="atLeast"/>
        </w:trPr>
        <w:tc>
          <w:tcPr>
            <w:tcW w:w="644" w:type="dxa"/>
          </w:tcPr>
          <w:p>
            <w:pPr>
              <w:pStyle w:val="TableParagraph"/>
              <w:rPr>
                <w:rFonts w:ascii="Times New Roman"/>
                <w:sz w:val="20"/>
              </w:rPr>
            </w:pPr>
          </w:p>
        </w:tc>
        <w:tc>
          <w:tcPr>
            <w:tcW w:w="2026" w:type="dxa"/>
          </w:tcPr>
          <w:p>
            <w:pPr>
              <w:pStyle w:val="TableParagraph"/>
              <w:rPr>
                <w:rFonts w:ascii="Times New Roman"/>
                <w:sz w:val="20"/>
              </w:rPr>
            </w:pPr>
          </w:p>
        </w:tc>
        <w:tc>
          <w:tcPr>
            <w:tcW w:w="7412" w:type="dxa"/>
          </w:tcPr>
          <w:p>
            <w:pPr>
              <w:pStyle w:val="TableParagraph"/>
              <w:spacing w:line="255" w:lineRule="exact" w:before="99"/>
              <w:ind w:left="169"/>
              <w:rPr>
                <w:sz w:val="21"/>
              </w:rPr>
            </w:pPr>
            <w:r>
              <w:rPr>
                <w:sz w:val="21"/>
              </w:rPr>
              <w:t>借款利率适用于本合同自动垫交的保险费和补交保险费的利息计算。</w:t>
            </w:r>
          </w:p>
        </w:tc>
      </w:tr>
    </w:tbl>
    <w:sectPr>
      <w:pgSz w:w="11910" w:h="16840"/>
      <w:pgMar w:header="0" w:footer="442" w:top="1180" w:bottom="64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icrosoft JhengHei">
    <w:altName w:val="Microsoft JhengHei"/>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596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
      <w:numFmt w:val="decimal"/>
      <w:lvlText w:val="%1"/>
      <w:lvlJc w:val="left"/>
      <w:pPr>
        <w:ind w:left="2891" w:hanging="765"/>
        <w:jc w:val="left"/>
      </w:pPr>
      <w:rPr>
        <w:rFonts w:hint="default"/>
      </w:rPr>
    </w:lvl>
    <w:lvl w:ilvl="1">
      <w:start w:val="9"/>
      <w:numFmt w:val="decimal"/>
      <w:lvlText w:val="%1.%2"/>
      <w:lvlJc w:val="left"/>
      <w:pPr>
        <w:ind w:left="2891" w:hanging="765"/>
        <w:jc w:val="left"/>
      </w:pPr>
      <w:rPr>
        <w:rFonts w:hint="default" w:ascii="宋体" w:hAnsi="宋体" w:eastAsia="宋体" w:cs="宋体"/>
        <w:b/>
        <w:bCs/>
        <w:w w:val="99"/>
        <w:sz w:val="21"/>
        <w:szCs w:val="21"/>
      </w:rPr>
    </w:lvl>
    <w:lvl w:ilvl="2">
      <w:start w:val="0"/>
      <w:numFmt w:val="bullet"/>
      <w:lvlText w:val="•"/>
      <w:lvlJc w:val="left"/>
      <w:pPr>
        <w:ind w:left="4380" w:hanging="765"/>
      </w:pPr>
      <w:rPr>
        <w:rFonts w:hint="default"/>
      </w:rPr>
    </w:lvl>
    <w:lvl w:ilvl="3">
      <w:start w:val="0"/>
      <w:numFmt w:val="bullet"/>
      <w:lvlText w:val="•"/>
      <w:lvlJc w:val="left"/>
      <w:pPr>
        <w:ind w:left="5121" w:hanging="765"/>
      </w:pPr>
      <w:rPr>
        <w:rFonts w:hint="default"/>
      </w:rPr>
    </w:lvl>
    <w:lvl w:ilvl="4">
      <w:start w:val="0"/>
      <w:numFmt w:val="bullet"/>
      <w:lvlText w:val="•"/>
      <w:lvlJc w:val="left"/>
      <w:pPr>
        <w:ind w:left="5861" w:hanging="765"/>
      </w:pPr>
      <w:rPr>
        <w:rFonts w:hint="default"/>
      </w:rPr>
    </w:lvl>
    <w:lvl w:ilvl="5">
      <w:start w:val="0"/>
      <w:numFmt w:val="bullet"/>
      <w:lvlText w:val="•"/>
      <w:lvlJc w:val="left"/>
      <w:pPr>
        <w:ind w:left="6602" w:hanging="765"/>
      </w:pPr>
      <w:rPr>
        <w:rFonts w:hint="default"/>
      </w:rPr>
    </w:lvl>
    <w:lvl w:ilvl="6">
      <w:start w:val="0"/>
      <w:numFmt w:val="bullet"/>
      <w:lvlText w:val="•"/>
      <w:lvlJc w:val="left"/>
      <w:pPr>
        <w:ind w:left="7342" w:hanging="765"/>
      </w:pPr>
      <w:rPr>
        <w:rFonts w:hint="default"/>
      </w:rPr>
    </w:lvl>
    <w:lvl w:ilvl="7">
      <w:start w:val="0"/>
      <w:numFmt w:val="bullet"/>
      <w:lvlText w:val="•"/>
      <w:lvlJc w:val="left"/>
      <w:pPr>
        <w:ind w:left="8083" w:hanging="765"/>
      </w:pPr>
      <w:rPr>
        <w:rFonts w:hint="default"/>
      </w:rPr>
    </w:lvl>
    <w:lvl w:ilvl="8">
      <w:start w:val="0"/>
      <w:numFmt w:val="bullet"/>
      <w:lvlText w:val="•"/>
      <w:lvlJc w:val="left"/>
      <w:pPr>
        <w:ind w:left="8823" w:hanging="765"/>
      </w:pPr>
      <w:rPr>
        <w:rFonts w:hint="default"/>
      </w:rPr>
    </w:lvl>
  </w:abstractNum>
  <w:abstractNum w:abstractNumId="14">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3">
    <w:multiLevelType w:val="hybridMultilevel"/>
    <w:lvl w:ilvl="0">
      <w:start w:val="8"/>
      <w:numFmt w:val="decimal"/>
      <w:lvlText w:val="%1"/>
      <w:lvlJc w:val="left"/>
      <w:pPr>
        <w:ind w:left="2951" w:hanging="765"/>
        <w:jc w:val="left"/>
      </w:pPr>
      <w:rPr>
        <w:rFonts w:hint="default"/>
      </w:rPr>
    </w:lvl>
    <w:lvl w:ilvl="1">
      <w:start w:val="3"/>
      <w:numFmt w:val="decimal"/>
      <w:lvlText w:val="%1.%2"/>
      <w:lvlJc w:val="left"/>
      <w:pPr>
        <w:ind w:left="2951" w:hanging="765"/>
        <w:jc w:val="left"/>
      </w:pPr>
      <w:rPr>
        <w:rFonts w:hint="default" w:ascii="宋体" w:hAnsi="宋体" w:eastAsia="宋体" w:cs="宋体"/>
        <w:b/>
        <w:bCs/>
        <w:spacing w:val="0"/>
        <w:w w:val="99"/>
        <w:sz w:val="21"/>
        <w:szCs w:val="21"/>
      </w:rPr>
    </w:lvl>
    <w:lvl w:ilvl="2">
      <w:start w:val="0"/>
      <w:numFmt w:val="bullet"/>
      <w:lvlText w:val="•"/>
      <w:lvlJc w:val="left"/>
      <w:pPr>
        <w:ind w:left="4452" w:hanging="765"/>
      </w:pPr>
      <w:rPr>
        <w:rFonts w:hint="default"/>
      </w:rPr>
    </w:lvl>
    <w:lvl w:ilvl="3">
      <w:start w:val="0"/>
      <w:numFmt w:val="bullet"/>
      <w:lvlText w:val="•"/>
      <w:lvlJc w:val="left"/>
      <w:pPr>
        <w:ind w:left="5199" w:hanging="765"/>
      </w:pPr>
      <w:rPr>
        <w:rFonts w:hint="default"/>
      </w:rPr>
    </w:lvl>
    <w:lvl w:ilvl="4">
      <w:start w:val="0"/>
      <w:numFmt w:val="bullet"/>
      <w:lvlText w:val="•"/>
      <w:lvlJc w:val="left"/>
      <w:pPr>
        <w:ind w:left="5945" w:hanging="765"/>
      </w:pPr>
      <w:rPr>
        <w:rFonts w:hint="default"/>
      </w:rPr>
    </w:lvl>
    <w:lvl w:ilvl="5">
      <w:start w:val="0"/>
      <w:numFmt w:val="bullet"/>
      <w:lvlText w:val="•"/>
      <w:lvlJc w:val="left"/>
      <w:pPr>
        <w:ind w:left="6692" w:hanging="765"/>
      </w:pPr>
      <w:rPr>
        <w:rFonts w:hint="default"/>
      </w:rPr>
    </w:lvl>
    <w:lvl w:ilvl="6">
      <w:start w:val="0"/>
      <w:numFmt w:val="bullet"/>
      <w:lvlText w:val="•"/>
      <w:lvlJc w:val="left"/>
      <w:pPr>
        <w:ind w:left="7438" w:hanging="765"/>
      </w:pPr>
      <w:rPr>
        <w:rFonts w:hint="default"/>
      </w:rPr>
    </w:lvl>
    <w:lvl w:ilvl="7">
      <w:start w:val="0"/>
      <w:numFmt w:val="bullet"/>
      <w:lvlText w:val="•"/>
      <w:lvlJc w:val="left"/>
      <w:pPr>
        <w:ind w:left="8185" w:hanging="765"/>
      </w:pPr>
      <w:rPr>
        <w:rFonts w:hint="default"/>
      </w:rPr>
    </w:lvl>
    <w:lvl w:ilvl="8">
      <w:start w:val="0"/>
      <w:numFmt w:val="bullet"/>
      <w:lvlText w:val="•"/>
      <w:lvlJc w:val="left"/>
      <w:pPr>
        <w:ind w:left="8931" w:hanging="765"/>
      </w:pPr>
      <w:rPr>
        <w:rFonts w:hint="default"/>
      </w:rPr>
    </w:lvl>
  </w:abstractNum>
  <w:abstractNum w:abstractNumId="12">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1">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10">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9">
    <w:multiLevelType w:val="hybridMultilevel"/>
    <w:lvl w:ilvl="0">
      <w:start w:val="3"/>
      <w:numFmt w:val="decimal"/>
      <w:lvlText w:val="%1"/>
      <w:lvlJc w:val="left"/>
      <w:pPr>
        <w:ind w:left="1005" w:hanging="765"/>
        <w:jc w:val="left"/>
      </w:pPr>
      <w:rPr>
        <w:rFonts w:hint="default"/>
      </w:rPr>
    </w:lvl>
    <w:lvl w:ilvl="1">
      <w:start w:val="3"/>
      <w:numFmt w:val="decimal"/>
      <w:lvlText w:val="%1.%2"/>
      <w:lvlJc w:val="left"/>
      <w:pPr>
        <w:ind w:left="1005" w:hanging="765"/>
        <w:jc w:val="left"/>
      </w:pPr>
      <w:rPr>
        <w:rFonts w:hint="default" w:ascii="宋体" w:hAnsi="宋体" w:eastAsia="宋体" w:cs="宋体"/>
        <w:b/>
        <w:bCs/>
        <w:w w:val="99"/>
        <w:sz w:val="21"/>
        <w:szCs w:val="21"/>
      </w:rPr>
    </w:lvl>
    <w:lvl w:ilvl="2">
      <w:start w:val="0"/>
      <w:numFmt w:val="bullet"/>
      <w:lvlText w:val="•"/>
      <w:lvlJc w:val="left"/>
      <w:pPr>
        <w:ind w:left="2888" w:hanging="765"/>
      </w:pPr>
      <w:rPr>
        <w:rFonts w:hint="default"/>
      </w:rPr>
    </w:lvl>
    <w:lvl w:ilvl="3">
      <w:start w:val="0"/>
      <w:numFmt w:val="bullet"/>
      <w:lvlText w:val="•"/>
      <w:lvlJc w:val="left"/>
      <w:pPr>
        <w:ind w:left="3833" w:hanging="765"/>
      </w:pPr>
      <w:rPr>
        <w:rFonts w:hint="default"/>
      </w:rPr>
    </w:lvl>
    <w:lvl w:ilvl="4">
      <w:start w:val="0"/>
      <w:numFmt w:val="bullet"/>
      <w:lvlText w:val="•"/>
      <w:lvlJc w:val="left"/>
      <w:pPr>
        <w:ind w:left="4777" w:hanging="765"/>
      </w:pPr>
      <w:rPr>
        <w:rFonts w:hint="default"/>
      </w:rPr>
    </w:lvl>
    <w:lvl w:ilvl="5">
      <w:start w:val="0"/>
      <w:numFmt w:val="bullet"/>
      <w:lvlText w:val="•"/>
      <w:lvlJc w:val="left"/>
      <w:pPr>
        <w:ind w:left="5722" w:hanging="765"/>
      </w:pPr>
      <w:rPr>
        <w:rFonts w:hint="default"/>
      </w:rPr>
    </w:lvl>
    <w:lvl w:ilvl="6">
      <w:start w:val="0"/>
      <w:numFmt w:val="bullet"/>
      <w:lvlText w:val="•"/>
      <w:lvlJc w:val="left"/>
      <w:pPr>
        <w:ind w:left="6666" w:hanging="765"/>
      </w:pPr>
      <w:rPr>
        <w:rFonts w:hint="default"/>
      </w:rPr>
    </w:lvl>
    <w:lvl w:ilvl="7">
      <w:start w:val="0"/>
      <w:numFmt w:val="bullet"/>
      <w:lvlText w:val="•"/>
      <w:lvlJc w:val="left"/>
      <w:pPr>
        <w:ind w:left="7611" w:hanging="765"/>
      </w:pPr>
      <w:rPr>
        <w:rFonts w:hint="default"/>
      </w:rPr>
    </w:lvl>
    <w:lvl w:ilvl="8">
      <w:start w:val="0"/>
      <w:numFmt w:val="bullet"/>
      <w:lvlText w:val="•"/>
      <w:lvlJc w:val="left"/>
      <w:pPr>
        <w:ind w:left="8555"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984" w:hanging="764"/>
        <w:jc w:val="left"/>
      </w:pPr>
      <w:rPr>
        <w:rFonts w:hint="default"/>
        <w:b/>
        <w:bCs/>
        <w:w w:val="99"/>
      </w:rPr>
    </w:lvl>
    <w:lvl w:ilvl="2">
      <w:start w:val="0"/>
      <w:numFmt w:val="bullet"/>
      <w:lvlText w:val="•"/>
      <w:lvlJc w:val="left"/>
      <w:pPr>
        <w:ind w:left="2868" w:hanging="764"/>
      </w:pPr>
      <w:rPr>
        <w:rFonts w:hint="default"/>
      </w:rPr>
    </w:lvl>
    <w:lvl w:ilvl="3">
      <w:start w:val="0"/>
      <w:numFmt w:val="bullet"/>
      <w:lvlText w:val="•"/>
      <w:lvlJc w:val="left"/>
      <w:pPr>
        <w:ind w:left="3813" w:hanging="764"/>
      </w:pPr>
      <w:rPr>
        <w:rFonts w:hint="default"/>
      </w:rPr>
    </w:lvl>
    <w:lvl w:ilvl="4">
      <w:start w:val="0"/>
      <w:numFmt w:val="bullet"/>
      <w:lvlText w:val="•"/>
      <w:lvlJc w:val="left"/>
      <w:pPr>
        <w:ind w:left="4757" w:hanging="764"/>
      </w:pPr>
      <w:rPr>
        <w:rFonts w:hint="default"/>
      </w:rPr>
    </w:lvl>
    <w:lvl w:ilvl="5">
      <w:start w:val="0"/>
      <w:numFmt w:val="bullet"/>
      <w:lvlText w:val="•"/>
      <w:lvlJc w:val="left"/>
      <w:pPr>
        <w:ind w:left="5702" w:hanging="764"/>
      </w:pPr>
      <w:rPr>
        <w:rFonts w:hint="default"/>
      </w:rPr>
    </w:lvl>
    <w:lvl w:ilvl="6">
      <w:start w:val="0"/>
      <w:numFmt w:val="bullet"/>
      <w:lvlText w:val="•"/>
      <w:lvlJc w:val="left"/>
      <w:pPr>
        <w:ind w:left="6646" w:hanging="764"/>
      </w:pPr>
      <w:rPr>
        <w:rFonts w:hint="default"/>
      </w:rPr>
    </w:lvl>
    <w:lvl w:ilvl="7">
      <w:start w:val="0"/>
      <w:numFmt w:val="bullet"/>
      <w:lvlText w:val="•"/>
      <w:lvlJc w:val="left"/>
      <w:pPr>
        <w:ind w:left="7591" w:hanging="764"/>
      </w:pPr>
      <w:rPr>
        <w:rFonts w:hint="default"/>
      </w:rPr>
    </w:lvl>
    <w:lvl w:ilvl="8">
      <w:start w:val="0"/>
      <w:numFmt w:val="bullet"/>
      <w:lvlText w:val="•"/>
      <w:lvlJc w:val="left"/>
      <w:pPr>
        <w:ind w:left="8535"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4" w:hanging="420"/>
      </w:pPr>
      <w:rPr>
        <w:rFonts w:hint="default"/>
      </w:rPr>
    </w:lvl>
    <w:lvl w:ilvl="3">
      <w:start w:val="0"/>
      <w:numFmt w:val="bullet"/>
      <w:lvlText w:val="•"/>
      <w:lvlJc w:val="left"/>
      <w:pPr>
        <w:ind w:left="3212" w:hanging="420"/>
      </w:pPr>
      <w:rPr>
        <w:rFonts w:hint="default"/>
      </w:rPr>
    </w:lvl>
    <w:lvl w:ilvl="4">
      <w:start w:val="0"/>
      <w:numFmt w:val="bullet"/>
      <w:lvlText w:val="•"/>
      <w:lvlJc w:val="left"/>
      <w:pPr>
        <w:ind w:left="3669" w:hanging="420"/>
      </w:pPr>
      <w:rPr>
        <w:rFonts w:hint="default"/>
      </w:rPr>
    </w:lvl>
    <w:lvl w:ilvl="5">
      <w:start w:val="0"/>
      <w:numFmt w:val="bullet"/>
      <w:lvlText w:val="•"/>
      <w:lvlJc w:val="left"/>
      <w:pPr>
        <w:ind w:left="4127" w:hanging="420"/>
      </w:pPr>
      <w:rPr>
        <w:rFonts w:hint="default"/>
      </w:rPr>
    </w:lvl>
    <w:lvl w:ilvl="6">
      <w:start w:val="0"/>
      <w:numFmt w:val="bullet"/>
      <w:lvlText w:val="•"/>
      <w:lvlJc w:val="left"/>
      <w:pPr>
        <w:ind w:left="4584" w:hanging="420"/>
      </w:pPr>
      <w:rPr>
        <w:rFonts w:hint="default"/>
      </w:rPr>
    </w:lvl>
    <w:lvl w:ilvl="7">
      <w:start w:val="0"/>
      <w:numFmt w:val="bullet"/>
      <w:lvlText w:val="•"/>
      <w:lvlJc w:val="left"/>
      <w:pPr>
        <w:ind w:left="5042" w:hanging="420"/>
      </w:pPr>
      <w:rPr>
        <w:rFonts w:hint="default"/>
      </w:rPr>
    </w:lvl>
    <w:lvl w:ilvl="8">
      <w:start w:val="0"/>
      <w:numFmt w:val="bullet"/>
      <w:lvlText w:val="•"/>
      <w:lvlJc w:val="left"/>
      <w:pPr>
        <w:ind w:left="5499"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4" w:hanging="420"/>
      </w:pPr>
      <w:rPr>
        <w:rFonts w:hint="default"/>
      </w:rPr>
    </w:lvl>
    <w:lvl w:ilvl="3">
      <w:start w:val="0"/>
      <w:numFmt w:val="bullet"/>
      <w:lvlText w:val="•"/>
      <w:lvlJc w:val="left"/>
      <w:pPr>
        <w:ind w:left="3212" w:hanging="420"/>
      </w:pPr>
      <w:rPr>
        <w:rFonts w:hint="default"/>
      </w:rPr>
    </w:lvl>
    <w:lvl w:ilvl="4">
      <w:start w:val="0"/>
      <w:numFmt w:val="bullet"/>
      <w:lvlText w:val="•"/>
      <w:lvlJc w:val="left"/>
      <w:pPr>
        <w:ind w:left="3669" w:hanging="420"/>
      </w:pPr>
      <w:rPr>
        <w:rFonts w:hint="default"/>
      </w:rPr>
    </w:lvl>
    <w:lvl w:ilvl="5">
      <w:start w:val="0"/>
      <w:numFmt w:val="bullet"/>
      <w:lvlText w:val="•"/>
      <w:lvlJc w:val="left"/>
      <w:pPr>
        <w:ind w:left="4127" w:hanging="420"/>
      </w:pPr>
      <w:rPr>
        <w:rFonts w:hint="default"/>
      </w:rPr>
    </w:lvl>
    <w:lvl w:ilvl="6">
      <w:start w:val="0"/>
      <w:numFmt w:val="bullet"/>
      <w:lvlText w:val="•"/>
      <w:lvlJc w:val="left"/>
      <w:pPr>
        <w:ind w:left="4584" w:hanging="420"/>
      </w:pPr>
      <w:rPr>
        <w:rFonts w:hint="default"/>
      </w:rPr>
    </w:lvl>
    <w:lvl w:ilvl="7">
      <w:start w:val="0"/>
      <w:numFmt w:val="bullet"/>
      <w:lvlText w:val="•"/>
      <w:lvlJc w:val="left"/>
      <w:pPr>
        <w:ind w:left="5042" w:hanging="420"/>
      </w:pPr>
      <w:rPr>
        <w:rFonts w:hint="default"/>
      </w:rPr>
    </w:lvl>
    <w:lvl w:ilvl="8">
      <w:start w:val="0"/>
      <w:numFmt w:val="bullet"/>
      <w:lvlText w:val="•"/>
      <w:lvlJc w:val="left"/>
      <w:pPr>
        <w:ind w:left="5499"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4" w:hanging="420"/>
      </w:pPr>
      <w:rPr>
        <w:rFonts w:hint="default"/>
      </w:rPr>
    </w:lvl>
    <w:lvl w:ilvl="3">
      <w:start w:val="0"/>
      <w:numFmt w:val="bullet"/>
      <w:lvlText w:val="•"/>
      <w:lvlJc w:val="left"/>
      <w:pPr>
        <w:ind w:left="3212" w:hanging="420"/>
      </w:pPr>
      <w:rPr>
        <w:rFonts w:hint="default"/>
      </w:rPr>
    </w:lvl>
    <w:lvl w:ilvl="4">
      <w:start w:val="0"/>
      <w:numFmt w:val="bullet"/>
      <w:lvlText w:val="•"/>
      <w:lvlJc w:val="left"/>
      <w:pPr>
        <w:ind w:left="3669" w:hanging="420"/>
      </w:pPr>
      <w:rPr>
        <w:rFonts w:hint="default"/>
      </w:rPr>
    </w:lvl>
    <w:lvl w:ilvl="5">
      <w:start w:val="0"/>
      <w:numFmt w:val="bullet"/>
      <w:lvlText w:val="•"/>
      <w:lvlJc w:val="left"/>
      <w:pPr>
        <w:ind w:left="4127" w:hanging="420"/>
      </w:pPr>
      <w:rPr>
        <w:rFonts w:hint="default"/>
      </w:rPr>
    </w:lvl>
    <w:lvl w:ilvl="6">
      <w:start w:val="0"/>
      <w:numFmt w:val="bullet"/>
      <w:lvlText w:val="•"/>
      <w:lvlJc w:val="left"/>
      <w:pPr>
        <w:ind w:left="4584" w:hanging="420"/>
      </w:pPr>
      <w:rPr>
        <w:rFonts w:hint="default"/>
      </w:rPr>
    </w:lvl>
    <w:lvl w:ilvl="7">
      <w:start w:val="0"/>
      <w:numFmt w:val="bullet"/>
      <w:lvlText w:val="•"/>
      <w:lvlJc w:val="left"/>
      <w:pPr>
        <w:ind w:left="5042" w:hanging="420"/>
      </w:pPr>
      <w:rPr>
        <w:rFonts w:hint="default"/>
      </w:rPr>
    </w:lvl>
    <w:lvl w:ilvl="8">
      <w:start w:val="0"/>
      <w:numFmt w:val="bullet"/>
      <w:lvlText w:val="•"/>
      <w:lvlJc w:val="left"/>
      <w:pPr>
        <w:ind w:left="5499"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6" w:hanging="420"/>
      </w:pPr>
      <w:rPr>
        <w:rFonts w:hint="default"/>
      </w:rPr>
    </w:lvl>
    <w:lvl w:ilvl="2">
      <w:start w:val="0"/>
      <w:numFmt w:val="bullet"/>
      <w:lvlText w:val="•"/>
      <w:lvlJc w:val="left"/>
      <w:pPr>
        <w:ind w:left="3492" w:hanging="420"/>
      </w:pPr>
      <w:rPr>
        <w:rFonts w:hint="default"/>
      </w:rPr>
    </w:lvl>
    <w:lvl w:ilvl="3">
      <w:start w:val="0"/>
      <w:numFmt w:val="bullet"/>
      <w:lvlText w:val="•"/>
      <w:lvlJc w:val="left"/>
      <w:pPr>
        <w:ind w:left="4409" w:hanging="420"/>
      </w:pPr>
      <w:rPr>
        <w:rFonts w:hint="default"/>
      </w:rPr>
    </w:lvl>
    <w:lvl w:ilvl="4">
      <w:start w:val="0"/>
      <w:numFmt w:val="bullet"/>
      <w:lvlText w:val="•"/>
      <w:lvlJc w:val="left"/>
      <w:pPr>
        <w:ind w:left="5325" w:hanging="420"/>
      </w:pPr>
      <w:rPr>
        <w:rFonts w:hint="default"/>
      </w:rPr>
    </w:lvl>
    <w:lvl w:ilvl="5">
      <w:start w:val="0"/>
      <w:numFmt w:val="bullet"/>
      <w:lvlText w:val="•"/>
      <w:lvlJc w:val="left"/>
      <w:pPr>
        <w:ind w:left="6242" w:hanging="420"/>
      </w:pPr>
      <w:rPr>
        <w:rFonts w:hint="default"/>
      </w:rPr>
    </w:lvl>
    <w:lvl w:ilvl="6">
      <w:start w:val="0"/>
      <w:numFmt w:val="bullet"/>
      <w:lvlText w:val="•"/>
      <w:lvlJc w:val="left"/>
      <w:pPr>
        <w:ind w:left="7158" w:hanging="420"/>
      </w:pPr>
      <w:rPr>
        <w:rFonts w:hint="default"/>
      </w:rPr>
    </w:lvl>
    <w:lvl w:ilvl="7">
      <w:start w:val="0"/>
      <w:numFmt w:val="bullet"/>
      <w:lvlText w:val="•"/>
      <w:lvlJc w:val="left"/>
      <w:pPr>
        <w:ind w:left="8075" w:hanging="420"/>
      </w:pPr>
      <w:rPr>
        <w:rFonts w:hint="default"/>
      </w:rPr>
    </w:lvl>
    <w:lvl w:ilvl="8">
      <w:start w:val="0"/>
      <w:numFmt w:val="bullet"/>
      <w:lvlText w:val="•"/>
      <w:lvlJc w:val="left"/>
      <w:pPr>
        <w:ind w:left="8991"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63"/>
      <w:outlineLvl w:val="1"/>
    </w:pPr>
    <w:rPr>
      <w:rFonts w:ascii="宋体" w:hAnsi="宋体" w:eastAsia="宋体" w:cs="宋体"/>
      <w:b/>
      <w:bCs/>
      <w:sz w:val="44"/>
      <w:szCs w:val="44"/>
    </w:rPr>
  </w:style>
  <w:style w:styleId="Heading2" w:type="paragraph">
    <w:name w:val="Heading 2"/>
    <w:basedOn w:val="Normal"/>
    <w:uiPriority w:val="1"/>
    <w:qFormat/>
    <w:pPr>
      <w:spacing w:before="45"/>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31" w:right="271"/>
      <w:outlineLvl w:val="3"/>
    </w:pPr>
    <w:rPr>
      <w:rFonts w:ascii="黑体" w:hAnsi="黑体" w:eastAsia="黑体" w:cs="黑体"/>
      <w:i/>
      <w:sz w:val="22"/>
      <w:szCs w:val="22"/>
    </w:rPr>
  </w:style>
  <w:style w:styleId="Heading4" w:type="paragraph">
    <w:name w:val="Heading 4"/>
    <w:basedOn w:val="Normal"/>
    <w:uiPriority w:val="1"/>
    <w:qFormat/>
    <w:pPr>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&lt;4D6963726F736F667420576F7264202D20323031335F303236BBAACFC4B8BDBCD3BEFDB0B2D6D8B4F3BCB2B2A1B1A3CFD5CCF5BFEE&gt;</dc:title>
  <dcterms:created xsi:type="dcterms:W3CDTF">2018-10-20T08:04:02Z</dcterms:created>
  <dcterms:modified xsi:type="dcterms:W3CDTF">2018-10-20T08:04:02Z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2018-10-20T00:00:00Z</vt:filetime>
  </property>
</Properties>
</file>