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41"/>
        <w:rPr>
          <w:rFonts w:ascii="Times New Roman"/>
          <w:sz w:val="20"/>
        </w:rPr>
      </w:pPr>
      <w:r>
        <w:rPr>
          <w:rFonts w:ascii="Times New Roman"/>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inline>
        </w:drawing>
      </w:r>
      <w:r>
        <w:rPr>
          <w:rFonts w:ascii="Times New Roman"/>
          <w:sz w:val="20"/>
        </w:rPr>
      </w:r>
    </w:p>
    <w:p>
      <w:pPr>
        <w:spacing w:after="0"/>
        <w:rPr>
          <w:rFonts w:ascii="Times New Roman"/>
          <w:sz w:val="20"/>
        </w:rPr>
        <w:sectPr>
          <w:footerReference w:type="default" r:id="rId5"/>
          <w:type w:val="continuous"/>
          <w:pgSz w:w="11910" w:h="16840"/>
          <w:pgMar w:footer="1008" w:top="420" w:bottom="1200" w:left="1680" w:right="400"/>
          <w:pgNumType w:start="1"/>
        </w:sectPr>
      </w:pPr>
    </w:p>
    <w:p>
      <w:pPr>
        <w:spacing w:line="66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pStyle w:val="BodyText"/>
        <w:spacing w:before="5"/>
        <w:ind w:left="0"/>
        <w:rPr>
          <w:sz w:val="24"/>
        </w:rPr>
      </w:pPr>
    </w:p>
    <w:p>
      <w:pPr>
        <w:spacing w:before="0"/>
        <w:ind w:left="1140" w:right="0" w:firstLine="0"/>
        <w:jc w:val="center"/>
        <w:rPr>
          <w:b/>
          <w:sz w:val="44"/>
        </w:rPr>
      </w:pPr>
      <w:r>
        <w:rPr>
          <w:b/>
          <w:w w:val="95"/>
          <w:sz w:val="44"/>
        </w:rPr>
        <w:t>祥瑞终身重大疾病保险条款</w:t>
      </w:r>
    </w:p>
    <w:p>
      <w:pPr>
        <w:spacing w:line="300" w:lineRule="auto" w:before="55"/>
        <w:ind w:left="706" w:right="350" w:firstLine="0"/>
        <w:jc w:val="center"/>
        <w:rPr>
          <w:sz w:val="18"/>
        </w:rPr>
      </w:pPr>
      <w:r>
        <w:rPr/>
        <w:br w:type="column"/>
      </w:r>
      <w:r>
        <w:rPr>
          <w:sz w:val="18"/>
        </w:rPr>
        <w:t>昆仑健康</w:t>
      </w:r>
      <w:r>
        <w:rPr>
          <w:rFonts w:ascii="Times New Roman" w:eastAsia="Times New Roman"/>
          <w:sz w:val="18"/>
        </w:rPr>
        <w:t>[2009] </w:t>
      </w:r>
      <w:r>
        <w:rPr>
          <w:sz w:val="18"/>
        </w:rPr>
        <w:t>疾病保险 </w:t>
      </w:r>
      <w:r>
        <w:rPr>
          <w:rFonts w:ascii="Times New Roman" w:eastAsia="Times New Roman"/>
          <w:sz w:val="18"/>
        </w:rPr>
        <w:t>017 </w:t>
      </w:r>
      <w:r>
        <w:rPr>
          <w:sz w:val="18"/>
        </w:rPr>
        <w:t>号</w:t>
      </w:r>
    </w:p>
    <w:p>
      <w:pPr>
        <w:spacing w:before="12"/>
        <w:ind w:left="448" w:right="95" w:firstLine="0"/>
        <w:jc w:val="center"/>
        <w:rPr>
          <w:sz w:val="18"/>
        </w:rPr>
      </w:pPr>
      <w:r>
        <w:rPr>
          <w:sz w:val="18"/>
        </w:rPr>
        <w:t>请扫描以查询验证条款</w:t>
      </w:r>
    </w:p>
    <w:p>
      <w:pPr>
        <w:spacing w:after="0"/>
        <w:jc w:val="center"/>
        <w:rPr>
          <w:sz w:val="18"/>
        </w:rPr>
        <w:sectPr>
          <w:type w:val="continuous"/>
          <w:pgSz w:w="11910" w:h="16840"/>
          <w:pgMar w:top="420" w:bottom="1200" w:left="1680" w:right="400"/>
          <w:cols w:num="2" w:equalWidth="0">
            <w:col w:w="7406" w:space="40"/>
            <w:col w:w="2384"/>
          </w:cols>
        </w:sectPr>
      </w:pPr>
    </w:p>
    <w:p>
      <w:pPr>
        <w:pStyle w:val="BodyText"/>
        <w:spacing w:before="0"/>
        <w:ind w:left="0"/>
        <w:rPr>
          <w:sz w:val="20"/>
        </w:rPr>
      </w:pPr>
    </w:p>
    <w:p>
      <w:pPr>
        <w:pStyle w:val="BodyText"/>
        <w:spacing w:before="10"/>
        <w:ind w:left="0"/>
        <w:rPr>
          <w:sz w:val="14"/>
        </w:rPr>
      </w:pPr>
    </w:p>
    <w:p>
      <w:pPr>
        <w:tabs>
          <w:tab w:pos="643" w:val="left" w:leader="none"/>
        </w:tabs>
        <w:spacing w:before="1"/>
        <w:ind w:left="0" w:right="1274" w:firstLine="0"/>
        <w:jc w:val="center"/>
        <w:rPr>
          <w:b/>
          <w:sz w:val="32"/>
        </w:rPr>
      </w:pPr>
      <w:r>
        <w:rPr>
          <w:b/>
          <w:sz w:val="32"/>
        </w:rPr>
        <w:t>目</w:t>
        <w:tab/>
        <w:t>录</w:t>
      </w:r>
    </w:p>
    <w:sdt>
      <w:sdtPr>
        <w:docPartObj>
          <w:docPartGallery w:val="Table of Contents"/>
          <w:docPartUnique/>
        </w:docPartObj>
      </w:sdtPr>
      <w:sdtEndPr/>
      <w:sdtContent>
        <w:p>
          <w:pPr>
            <w:pStyle w:val="TOC1"/>
            <w:tabs>
              <w:tab w:pos="8308" w:val="right" w:leader="dot"/>
            </w:tabs>
            <w:spacing w:before="137"/>
            <w:rPr>
              <w:rFonts w:ascii="Times New Roman" w:eastAsia="Times New Roman"/>
            </w:rPr>
          </w:pPr>
          <w:r>
            <w:fldChar w:fldCharType="begin"/>
          </w:r>
          <w:r>
            <w:instrText>TOC \o "1-2" \h \z \u </w:instrText>
          </w:r>
          <w:r>
            <w:fldChar w:fldCharType="separate"/>
          </w:r>
          <w:hyperlink w:history="true" w:anchor="_TOC_250032">
            <w:r>
              <w:rPr/>
              <w:t>第一部分</w:t>
            </w:r>
            <w:r>
              <w:rPr>
                <w:spacing w:val="-1"/>
              </w:rPr>
              <w:t> </w:t>
            </w:r>
            <w:r>
              <w:rPr/>
              <w:t>总则</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31">
            <w:r>
              <w:rPr/>
              <w:t>第一条</w:t>
              <w:tab/>
              <w:t>合同构成</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30">
            <w:r>
              <w:rPr/>
              <w:t>第二条</w:t>
              <w:tab/>
              <w:t>合同成立与生效</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9">
            <w:r>
              <w:rPr/>
              <w:t>第三条</w:t>
              <w:tab/>
              <w:t>犹豫期</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8">
            <w:r>
              <w:rPr/>
              <w:t>第四条</w:t>
              <w:tab/>
              <w:t>明确说明与如实告知</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7">
            <w:r>
              <w:rPr/>
              <w:t>第五条</w:t>
              <w:tab/>
              <w:t>本公司合同解除权的限制</w:t>
              <w:tab/>
            </w:r>
            <w:r>
              <w:rPr>
                <w:rFonts w:ascii="Times New Roman" w:eastAsia="Times New Roman"/>
              </w:rPr>
              <w:t>2</w:t>
            </w:r>
          </w:hyperlink>
        </w:p>
        <w:p>
          <w:pPr>
            <w:pStyle w:val="TOC1"/>
            <w:tabs>
              <w:tab w:pos="8305" w:val="right" w:leader="dot"/>
            </w:tabs>
            <w:rPr>
              <w:rFonts w:ascii="Times New Roman" w:eastAsia="Times New Roman"/>
            </w:rPr>
          </w:pPr>
          <w:hyperlink w:history="true" w:anchor="_TOC_250026">
            <w:r>
              <w:rPr/>
              <w:t>第二部分</w:t>
            </w:r>
            <w:r>
              <w:rPr>
                <w:spacing w:val="-1"/>
              </w:rPr>
              <w:t> </w:t>
            </w:r>
            <w:r>
              <w:rPr/>
              <w:t>保障利益条款</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5">
            <w:r>
              <w:rPr/>
              <w:t>第六条</w:t>
              <w:tab/>
              <w:t>保险对象</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4">
            <w:r>
              <w:rPr/>
              <w:t>第七条</w:t>
              <w:tab/>
              <w:t>保险责任</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3">
            <w:r>
              <w:rPr>
                <w:rFonts w:ascii="黑体" w:eastAsia="黑体" w:hint="eastAsia"/>
              </w:rPr>
              <w:t>第八条</w:t>
              <w:tab/>
              <w:t>责任免除</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2">
            <w:r>
              <w:rPr/>
              <w:t>第九条</w:t>
              <w:tab/>
              <w:t>保险期间</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1">
            <w:r>
              <w:rPr/>
              <w:t>第十条</w:t>
              <w:tab/>
              <w:t>保险金额和保险费</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0">
            <w:r>
              <w:rPr/>
              <w:t>第十一条</w:t>
              <w:tab/>
              <w:t>保险费率调整</w:t>
              <w:tab/>
            </w:r>
            <w:r>
              <w:rPr>
                <w:rFonts w:ascii="Times New Roman" w:eastAsia="Times New Roman"/>
              </w:rPr>
              <w:t>4</w:t>
            </w:r>
          </w:hyperlink>
        </w:p>
        <w:p>
          <w:pPr>
            <w:pStyle w:val="TOC2"/>
            <w:tabs>
              <w:tab w:pos="1692" w:val="left" w:leader="none"/>
              <w:tab w:pos="8304" w:val="right" w:leader="dot"/>
            </w:tabs>
            <w:rPr>
              <w:rFonts w:ascii="Times New Roman" w:eastAsia="Times New Roman"/>
            </w:rPr>
          </w:pPr>
          <w:hyperlink w:history="true" w:anchor="_TOC_250019">
            <w:r>
              <w:rPr/>
              <w:t>第十二条</w:t>
              <w:tab/>
              <w:t>宽限期</w:t>
              <w:tab/>
            </w:r>
            <w:r>
              <w:rPr>
                <w:rFonts w:ascii="Times New Roman" w:eastAsia="Times New Roman"/>
              </w:rPr>
              <w:t>4</w:t>
            </w:r>
          </w:hyperlink>
        </w:p>
        <w:p>
          <w:pPr>
            <w:pStyle w:val="TOC1"/>
            <w:tabs>
              <w:tab w:pos="8304" w:val="right" w:leader="dot"/>
            </w:tabs>
            <w:rPr>
              <w:rFonts w:ascii="Times New Roman" w:eastAsia="Times New Roman"/>
            </w:rPr>
          </w:pPr>
          <w:hyperlink w:history="true" w:anchor="_TOC_250018">
            <w:r>
              <w:rPr/>
              <w:t>第三部分</w:t>
            </w:r>
            <w:r>
              <w:rPr>
                <w:spacing w:val="-1"/>
              </w:rPr>
              <w:t> </w:t>
            </w:r>
            <w:r>
              <w:rPr/>
              <w:t>保险服务条款</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7">
            <w:r>
              <w:rPr/>
              <w:t>第十三条</w:t>
              <w:tab/>
              <w:t>自动垫交</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6">
            <w:r>
              <w:rPr/>
              <w:t>第十四条</w:t>
              <w:tab/>
              <w:t>保险单贷款</w:t>
              <w:tab/>
            </w:r>
            <w:r>
              <w:rPr>
                <w:rFonts w:ascii="Times New Roman" w:eastAsia="Times New Roman"/>
              </w:rPr>
              <w:t>4</w:t>
            </w:r>
          </w:hyperlink>
        </w:p>
        <w:p>
          <w:pPr>
            <w:pStyle w:val="TOC2"/>
            <w:tabs>
              <w:tab w:pos="1692" w:val="left" w:leader="none"/>
              <w:tab w:pos="8304" w:val="right" w:leader="dot"/>
            </w:tabs>
            <w:rPr>
              <w:rFonts w:ascii="Times New Roman" w:eastAsia="Times New Roman"/>
            </w:rPr>
          </w:pPr>
          <w:hyperlink w:history="true" w:anchor="_TOC_250015">
            <w:r>
              <w:rPr/>
              <w:t>第十五条</w:t>
              <w:tab/>
              <w:t>减额交清</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4">
            <w:r>
              <w:rPr/>
              <w:t>第十六条</w:t>
              <w:tab/>
              <w:t>合同内容变更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3">
            <w:r>
              <w:rPr/>
              <w:t>第十七条</w:t>
              <w:tab/>
              <w:t>受益人指定和变更</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2">
            <w:r>
              <w:rPr/>
              <w:t>第十八条</w:t>
              <w:tab/>
              <w:t>通讯地址变更</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1">
            <w:r>
              <w:rPr/>
              <w:t>第十九条</w:t>
              <w:tab/>
              <w:t>年龄性别错误</w:t>
              <w:tab/>
            </w:r>
            <w:r>
              <w:rPr>
                <w:rFonts w:ascii="Times New Roman" w:eastAsia="Times New Roman"/>
              </w:rPr>
              <w:t>5</w:t>
            </w:r>
          </w:hyperlink>
        </w:p>
        <w:p>
          <w:pPr>
            <w:pStyle w:val="TOC2"/>
            <w:tabs>
              <w:tab w:pos="1692" w:val="left" w:leader="none"/>
              <w:tab w:pos="8304" w:val="right" w:leader="dot"/>
            </w:tabs>
            <w:rPr>
              <w:rFonts w:ascii="Times New Roman" w:eastAsia="Times New Roman"/>
            </w:rPr>
          </w:pPr>
          <w:hyperlink w:history="true" w:anchor="_TOC_250010">
            <w:r>
              <w:rPr/>
              <w:t>第二十条</w:t>
              <w:tab/>
              <w:t>未还款项</w:t>
              <w:tab/>
            </w:r>
            <w:r>
              <w:rPr>
                <w:rFonts w:ascii="Times New Roman" w:eastAsia="Times New Roman"/>
              </w:rPr>
              <w:t>5</w:t>
            </w:r>
          </w:hyperlink>
        </w:p>
        <w:p>
          <w:pPr>
            <w:pStyle w:val="TOC2"/>
            <w:tabs>
              <w:tab w:pos="8305" w:val="right" w:leader="dot"/>
            </w:tabs>
            <w:rPr>
              <w:rFonts w:ascii="Times New Roman" w:eastAsia="Times New Roman"/>
            </w:rPr>
          </w:pPr>
          <w:hyperlink w:history="true" w:anchor="_TOC_250009">
            <w:r>
              <w:rPr/>
              <w:t>第二十一条</w:t>
            </w:r>
            <w:r>
              <w:rPr>
                <w:spacing w:val="-5"/>
              </w:rPr>
              <w:t> </w:t>
            </w:r>
            <w:r>
              <w:rPr/>
              <w:t>合同中止与复效</w:t>
              <w:tab/>
            </w:r>
            <w:r>
              <w:rPr>
                <w:rFonts w:ascii="Times New Roman" w:eastAsia="Times New Roman"/>
              </w:rPr>
              <w:t>5</w:t>
            </w:r>
          </w:hyperlink>
        </w:p>
        <w:p>
          <w:pPr>
            <w:pStyle w:val="TOC2"/>
            <w:tabs>
              <w:tab w:pos="8304" w:val="right" w:leader="dot"/>
            </w:tabs>
            <w:rPr>
              <w:rFonts w:ascii="Times New Roman" w:eastAsia="Times New Roman"/>
            </w:rPr>
          </w:pPr>
          <w:hyperlink w:history="true" w:anchor="_TOC_250008">
            <w:r>
              <w:rPr/>
              <w:t>第二十二条</w:t>
            </w:r>
            <w:r>
              <w:rPr>
                <w:spacing w:val="-4"/>
              </w:rPr>
              <w:t> </w:t>
            </w:r>
            <w:r>
              <w:rPr/>
              <w:t>合同解除</w:t>
              <w:tab/>
            </w:r>
            <w:r>
              <w:rPr>
                <w:rFonts w:ascii="Times New Roman" w:eastAsia="Times New Roman"/>
              </w:rPr>
              <w:t>6</w:t>
            </w:r>
          </w:hyperlink>
        </w:p>
        <w:p>
          <w:pPr>
            <w:pStyle w:val="TOC1"/>
            <w:tabs>
              <w:tab w:pos="8304" w:val="right" w:leader="dot"/>
            </w:tabs>
            <w:rPr>
              <w:rFonts w:ascii="Times New Roman" w:eastAsia="Times New Roman"/>
            </w:rPr>
          </w:pPr>
          <w:hyperlink w:history="true" w:anchor="_TOC_250007">
            <w:r>
              <w:rPr/>
              <w:t>第四部分</w:t>
            </w:r>
            <w:r>
              <w:rPr>
                <w:spacing w:val="-1"/>
              </w:rPr>
              <w:t> </w:t>
            </w:r>
            <w:r>
              <w:rPr/>
              <w:t>保险理赔条款</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6">
            <w:r>
              <w:rPr/>
              <w:t>第二十三条</w:t>
            </w:r>
            <w:r>
              <w:rPr>
                <w:spacing w:val="-5"/>
              </w:rPr>
              <w:t> </w:t>
            </w:r>
            <w:r>
              <w:rPr/>
              <w:t>保险事故通知</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5">
            <w:r>
              <w:rPr/>
              <w:t>第二十四条</w:t>
            </w:r>
            <w:r>
              <w:rPr>
                <w:spacing w:val="-5"/>
              </w:rPr>
              <w:t> </w:t>
            </w:r>
            <w:r>
              <w:rPr/>
              <w:t>保险金申请</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4">
            <w:r>
              <w:rPr/>
              <w:t>第二十五条</w:t>
            </w:r>
            <w:r>
              <w:rPr>
                <w:spacing w:val="-5"/>
              </w:rPr>
              <w:t> </w:t>
            </w:r>
            <w:r>
              <w:rPr/>
              <w:t>保险金给付</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3">
            <w:r>
              <w:rPr/>
              <w:t>第二十六条</w:t>
            </w:r>
            <w:r>
              <w:rPr>
                <w:spacing w:val="-4"/>
              </w:rPr>
              <w:t> </w:t>
            </w:r>
            <w:r>
              <w:rPr/>
              <w:t>诉讼时效</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2">
            <w:r>
              <w:rPr/>
              <w:t>第二十七条</w:t>
            </w:r>
            <w:r>
              <w:rPr>
                <w:spacing w:val="-4"/>
              </w:rPr>
              <w:t> </w:t>
            </w:r>
            <w:r>
              <w:rPr/>
              <w:t>争议处理</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1">
            <w:r>
              <w:rPr/>
              <w:t>第二十八条</w:t>
            </w:r>
            <w:r>
              <w:rPr>
                <w:spacing w:val="-4"/>
              </w:rPr>
              <w:t> </w:t>
            </w:r>
            <w:r>
              <w:rPr/>
              <w:t>司法管辖</w:t>
              <w:tab/>
            </w:r>
            <w:r>
              <w:rPr>
                <w:rFonts w:ascii="Times New Roman" w:eastAsia="Times New Roman"/>
              </w:rPr>
              <w:t>7</w:t>
            </w:r>
          </w:hyperlink>
        </w:p>
        <w:p>
          <w:pPr>
            <w:pStyle w:val="TOC1"/>
            <w:tabs>
              <w:tab w:pos="8307" w:val="right" w:leader="dot"/>
            </w:tabs>
            <w:rPr>
              <w:rFonts w:ascii="Times New Roman" w:eastAsia="Times New Roman"/>
            </w:rPr>
          </w:pPr>
          <w:hyperlink w:history="true" w:anchor="_TOC_250000">
            <w:r>
              <w:rPr/>
              <w:t>第五部分</w:t>
            </w:r>
            <w:r>
              <w:rPr>
                <w:spacing w:val="-1"/>
              </w:rPr>
              <w:t> </w:t>
            </w:r>
            <w:r>
              <w:rPr/>
              <w:t>释义</w:t>
              <w:tab/>
            </w:r>
            <w:r>
              <w:rPr>
                <w:rFonts w:ascii="Times New Roman" w:eastAsia="Times New Roman"/>
              </w:rPr>
              <w:t>7</w:t>
            </w:r>
          </w:hyperlink>
        </w:p>
        <w:p>
          <w:pPr/>
          <w:r>
            <w:fldChar w:fldCharType="end"/>
          </w:r>
        </w:p>
      </w:sdtContent>
    </w:sdt>
    <w:p>
      <w:pPr>
        <w:spacing w:after="0"/>
        <w:sectPr>
          <w:type w:val="continuous"/>
          <w:pgSz w:w="11910" w:h="16840"/>
          <w:pgMar w:top="420" w:bottom="1200" w:left="1680" w:right="400"/>
        </w:sectPr>
      </w:pPr>
    </w:p>
    <w:p>
      <w:pPr>
        <w:pStyle w:val="Heading1"/>
      </w:pPr>
      <w:bookmarkStart w:name="_TOC_250032" w:id="1"/>
      <w:bookmarkEnd w:id="1"/>
      <w:r>
        <w:rPr/>
        <w:t>第一部分 总则</w:t>
      </w:r>
    </w:p>
    <w:p>
      <w:pPr>
        <w:pStyle w:val="BodyText"/>
        <w:spacing w:before="5"/>
        <w:ind w:left="0"/>
        <w:rPr>
          <w:b/>
          <w:sz w:val="25"/>
        </w:rPr>
      </w:pPr>
    </w:p>
    <w:p>
      <w:pPr>
        <w:pStyle w:val="Heading2"/>
        <w:spacing w:before="1"/>
      </w:pPr>
      <w:bookmarkStart w:name="_TOC_250031" w:id="2"/>
      <w:bookmarkEnd w:id="2"/>
      <w:r>
        <w:rPr/>
        <w:t>第一条 合同构成</w:t>
      </w:r>
    </w:p>
    <w:p>
      <w:pPr>
        <w:pStyle w:val="BodyText"/>
        <w:spacing w:line="273" w:lineRule="auto"/>
        <w:ind w:right="112" w:firstLine="420"/>
        <w:jc w:val="both"/>
      </w:pPr>
      <w:r>
        <w:rPr>
          <w:spacing w:val="-4"/>
        </w:rPr>
        <w:t>“昆仑健康保险股份有限公司祥瑞终身重大疾病保险合同”</w:t>
      </w:r>
      <w:r>
        <w:rPr/>
        <w:t>（以下简称本合同）由保险</w:t>
      </w:r>
      <w:r>
        <w:rPr>
          <w:spacing w:val="-8"/>
        </w:rPr>
        <w:t>单及所附条款、投保单、与本合同有关的投保文件、合法有效的声明、批注、附贴批单和其</w:t>
      </w:r>
      <w:r>
        <w:rPr>
          <w:spacing w:val="-1"/>
        </w:rPr>
        <w:t>他书面协议构成。</w:t>
      </w:r>
    </w:p>
    <w:p>
      <w:pPr>
        <w:pStyle w:val="BodyText"/>
        <w:spacing w:before="5"/>
        <w:ind w:left="0"/>
        <w:rPr>
          <w:sz w:val="24"/>
        </w:rPr>
      </w:pPr>
    </w:p>
    <w:p>
      <w:pPr>
        <w:pStyle w:val="Heading2"/>
      </w:pPr>
      <w:bookmarkStart w:name="_TOC_250030" w:id="3"/>
      <w:bookmarkEnd w:id="3"/>
      <w:r>
        <w:rPr/>
        <w:t>第二条 合同成立与生效</w:t>
      </w:r>
    </w:p>
    <w:p>
      <w:pPr>
        <w:pStyle w:val="BodyText"/>
        <w:spacing w:line="273" w:lineRule="auto" w:before="36"/>
        <w:ind w:right="111" w:firstLine="420"/>
        <w:jc w:val="both"/>
      </w:pPr>
      <w:r>
        <w:rPr>
          <w:spacing w:val="-7"/>
        </w:rPr>
        <w:t>投保人提出保险申请、本公司同意承保，本合同成立。自本合同成立、本公司收取首期</w:t>
      </w:r>
      <w:r>
        <w:rPr>
          <w:spacing w:val="-11"/>
        </w:rPr>
        <w:t>保险费并签发保险单的次日零时起本合同生效。合同生效日期在保险单上载明。</w:t>
      </w:r>
      <w:r>
        <w:rPr>
          <w:b/>
        </w:rPr>
        <w:t>保险单年度</w:t>
      </w:r>
      <w:r>
        <w:rPr>
          <w:w w:val="95"/>
        </w:rPr>
        <w:t>和</w:t>
      </w:r>
      <w:r>
        <w:rPr>
          <w:b/>
          <w:w w:val="95"/>
        </w:rPr>
        <w:t>保险费约定交纳日</w:t>
      </w:r>
      <w:r>
        <w:rPr>
          <w:w w:val="95"/>
        </w:rPr>
        <w:t>均以合同生效日为计算基准。</w:t>
      </w:r>
    </w:p>
    <w:p>
      <w:pPr>
        <w:pStyle w:val="BodyText"/>
        <w:spacing w:before="5"/>
        <w:ind w:left="0"/>
        <w:rPr>
          <w:sz w:val="24"/>
        </w:rPr>
      </w:pPr>
    </w:p>
    <w:p>
      <w:pPr>
        <w:pStyle w:val="Heading2"/>
      </w:pPr>
      <w:bookmarkStart w:name="_TOC_250029" w:id="4"/>
      <w:bookmarkEnd w:id="4"/>
      <w:r>
        <w:rPr/>
        <w:t>第三条 犹豫期</w:t>
      </w:r>
    </w:p>
    <w:p>
      <w:pPr>
        <w:pStyle w:val="BodyText"/>
        <w:ind w:left="537"/>
      </w:pPr>
      <w:r>
        <w:rPr/>
        <w:t>自投保人签收本合同之日起，有 10 日的犹豫期。如果投保人在此期间提出撤销合同，</w:t>
      </w:r>
    </w:p>
    <w:p>
      <w:pPr>
        <w:pStyle w:val="BodyText"/>
        <w:spacing w:line="273" w:lineRule="auto"/>
        <w:ind w:right="1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8"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right="1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right="112" w:firstLine="420"/>
        <w:jc w:val="both"/>
      </w:pPr>
      <w:r>
        <w:rPr>
          <w:spacing w:val="-4"/>
        </w:rPr>
        <w:t>投保人故意或者因重大过失未履行如实告知义务，足以影响本公司决定是否同意承保或提高保险费率的，本公司有权解除本合同。</w:t>
      </w:r>
    </w:p>
    <w:p>
      <w:pPr>
        <w:pStyle w:val="BodyText"/>
        <w:spacing w:line="273" w:lineRule="auto" w:before="7"/>
        <w:ind w:right="113" w:firstLine="420"/>
        <w:jc w:val="both"/>
      </w:pPr>
      <w:r>
        <w:rPr>
          <w:spacing w:val="-5"/>
        </w:rPr>
        <w:t>投保人故意不履行如实告知义务的，对于本合同解除前发生的保险事故，本公司不承担给付保险金责任，并不退还保险费。</w:t>
      </w:r>
    </w:p>
    <w:p>
      <w:pPr>
        <w:pStyle w:val="BodyText"/>
        <w:spacing w:line="273" w:lineRule="auto" w:before="7"/>
        <w:ind w:right="113" w:firstLine="420"/>
        <w:jc w:val="both"/>
      </w:pPr>
      <w:r>
        <w:rPr>
          <w:spacing w:val="-5"/>
        </w:rPr>
        <w:t>投保人因重大过失未履行如实告知义务，对保险事故的发生有严重影响的，对于本合同解除前发生的保险事故，本公司不承担给付保险金责任，但会退还保险费。</w:t>
      </w:r>
    </w:p>
    <w:p>
      <w:pPr>
        <w:pStyle w:val="BodyText"/>
        <w:spacing w:line="273" w:lineRule="auto" w:before="7"/>
        <w:ind w:right="113" w:firstLine="420"/>
        <w:jc w:val="both"/>
      </w:pPr>
      <w:r>
        <w:rPr>
          <w:spacing w:val="-4"/>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2"/>
      </w:pPr>
      <w:bookmarkStart w:name="_TOC_250027" w:id="6"/>
      <w:bookmarkEnd w:id="6"/>
      <w:r>
        <w:rPr/>
        <w:t>第五条 本公司合同解除权的限制</w:t>
      </w:r>
    </w:p>
    <w:p>
      <w:pPr>
        <w:pStyle w:val="BodyText"/>
        <w:ind w:left="537"/>
      </w:pPr>
      <w:r>
        <w:rPr/>
        <w:t>本合同第四条和第十九条中规定的合同解除权，自本公司知道有解除事由之日起，超过</w:t>
      </w:r>
    </w:p>
    <w:p>
      <w:pPr>
        <w:pStyle w:val="BodyText"/>
        <w:spacing w:line="273" w:lineRule="auto"/>
        <w:ind w:right="112"/>
      </w:pPr>
      <w:r>
        <w:rPr/>
        <w:t>30</w:t>
      </w:r>
      <w:r>
        <w:rPr>
          <w:spacing w:val="-8"/>
        </w:rPr>
        <w:t> 日不行使而消灭。自本合同成立之日起超过 </w:t>
      </w:r>
      <w:r>
        <w:rPr/>
        <w:t>2</w:t>
      </w:r>
      <w:r>
        <w:rPr>
          <w:spacing w:val="-6"/>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spacing w:before="0"/>
        <w:ind w:right="2988"/>
      </w:pPr>
      <w:bookmarkStart w:name="_TOC_250026" w:id="7"/>
      <w:bookmarkEnd w:id="7"/>
      <w:r>
        <w:rPr/>
        <w:t>第二部分 保障利益条款</w:t>
      </w:r>
    </w:p>
    <w:p>
      <w:pPr>
        <w:pStyle w:val="BodyText"/>
        <w:spacing w:before="5"/>
        <w:ind w:left="0"/>
        <w:rPr>
          <w:b/>
          <w:sz w:val="25"/>
        </w:rPr>
      </w:pPr>
    </w:p>
    <w:p>
      <w:pPr>
        <w:pStyle w:val="Heading2"/>
      </w:pPr>
      <w:bookmarkStart w:name="_TOC_250025" w:id="8"/>
      <w:bookmarkEnd w:id="8"/>
      <w:r>
        <w:rPr/>
        <w:t>第六条 保险对象</w:t>
      </w:r>
    </w:p>
    <w:p>
      <w:pPr>
        <w:pStyle w:val="BodyText"/>
        <w:spacing w:line="273" w:lineRule="auto"/>
        <w:ind w:right="113" w:firstLine="420"/>
        <w:jc w:val="both"/>
      </w:pPr>
      <w:r>
        <w:rPr>
          <w:spacing w:val="-11"/>
        </w:rPr>
        <w:t>凡出生满 </w:t>
      </w:r>
      <w:r>
        <w:rPr/>
        <w:t>60</w:t>
      </w:r>
      <w:r>
        <w:rPr>
          <w:spacing w:val="-28"/>
        </w:rPr>
        <w:t> 日至 </w:t>
      </w:r>
      <w:r>
        <w:rPr/>
        <w:t>65</w:t>
      </w:r>
      <w:r>
        <w:rPr>
          <w:spacing w:val="-54"/>
        </w:rPr>
        <w:t> </w:t>
      </w:r>
      <w:r>
        <w:rPr>
          <w:b/>
        </w:rPr>
        <w:t>周岁</w:t>
      </w:r>
      <w:r>
        <w:rPr>
          <w:spacing w:val="-16"/>
        </w:rPr>
        <w:t>之间</w:t>
      </w:r>
      <w:r>
        <w:rPr/>
        <w:t>（</w:t>
      </w:r>
      <w:r>
        <w:rPr>
          <w:spacing w:val="-28"/>
        </w:rPr>
        <w:t>含 </w:t>
      </w:r>
      <w:r>
        <w:rPr/>
        <w:t>60</w:t>
      </w:r>
      <w:r>
        <w:rPr>
          <w:spacing w:val="-28"/>
        </w:rPr>
        <w:t> 日和 </w:t>
      </w:r>
      <w:r>
        <w:rPr/>
        <w:t>65</w:t>
      </w:r>
      <w:r>
        <w:rPr>
          <w:spacing w:val="-18"/>
        </w:rPr>
        <w:t> 周岁</w:t>
      </w:r>
      <w:r>
        <w:rPr>
          <w:spacing w:val="-31"/>
        </w:rPr>
        <w:t>）</w:t>
      </w:r>
      <w:r>
        <w:rPr>
          <w:spacing w:val="-3"/>
        </w:rPr>
        <w:t>的身体健康者可作为被保险人，由本人或对其具有保险利益的其他人作为投保人向本公司投保本保险。</w:t>
      </w:r>
    </w:p>
    <w:p>
      <w:pPr>
        <w:spacing w:after="0" w:line="273" w:lineRule="auto"/>
        <w:jc w:val="both"/>
        <w:sectPr>
          <w:pgSz w:w="11910" w:h="16840"/>
          <w:pgMar w:header="0" w:footer="1008" w:top="1400" w:bottom="1200" w:left="1680" w:right="1680"/>
        </w:sectPr>
      </w:pPr>
    </w:p>
    <w:p>
      <w:pPr>
        <w:pStyle w:val="BodyText"/>
        <w:spacing w:before="10"/>
        <w:ind w:left="0"/>
        <w:rPr>
          <w:sz w:val="7"/>
        </w:rPr>
      </w:pPr>
    </w:p>
    <w:p>
      <w:pPr>
        <w:pStyle w:val="Heading2"/>
        <w:spacing w:before="35"/>
      </w:pPr>
      <w:bookmarkStart w:name="_TOC_250024" w:id="9"/>
      <w:bookmarkEnd w:id="9"/>
      <w:r>
        <w:rPr/>
        <w:t>第七条 保险责任</w:t>
      </w:r>
    </w:p>
    <w:p>
      <w:pPr>
        <w:pStyle w:val="BodyText"/>
        <w:spacing w:line="273" w:lineRule="auto" w:before="36"/>
        <w:ind w:left="537" w:right="3695"/>
      </w:pPr>
      <w:r>
        <w:rPr/>
        <w:t>在本合同有效期内，本公司承担如下保险责任： 一、重大疾病保险金</w:t>
      </w:r>
    </w:p>
    <w:p>
      <w:pPr>
        <w:pStyle w:val="BodyText"/>
        <w:spacing w:line="273" w:lineRule="auto" w:before="7"/>
        <w:ind w:right="212" w:firstLine="419"/>
        <w:jc w:val="both"/>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w:t>
      </w:r>
      <w:r>
        <w:rPr>
          <w:spacing w:val="-3"/>
        </w:rPr>
        <w:t>或者被保险人在本合同生效日或最后复效日</w:t>
      </w:r>
      <w:r>
        <w:rPr/>
        <w:t>（以较迟者为准</w:t>
      </w:r>
      <w:r>
        <w:rPr>
          <w:spacing w:val="-45"/>
        </w:rPr>
        <w:t>）</w:t>
      </w:r>
      <w:r>
        <w:rPr>
          <w:spacing w:val="-18"/>
        </w:rPr>
        <w:t>起满 </w:t>
      </w:r>
      <w:r>
        <w:rPr/>
        <w:t>180</w:t>
      </w:r>
      <w:r>
        <w:rPr>
          <w:spacing w:val="-8"/>
        </w:rPr>
        <w:t> 日后因疾病首次发生</w:t>
      </w:r>
      <w:r>
        <w:rPr>
          <w:spacing w:val="-5"/>
        </w:rPr>
        <w:t>并被确诊为本合同列明的重大疾病</w:t>
      </w:r>
      <w:r>
        <w:rPr/>
        <w:t>（无论一种或多种</w:t>
      </w:r>
      <w:r>
        <w:rPr>
          <w:spacing w:val="-105"/>
        </w:rPr>
        <w:t>）</w:t>
      </w:r>
      <w:r>
        <w:rPr/>
        <w:t>，本公司按保险金额给付重大疾病保险金，本合同效力终止。</w:t>
      </w:r>
    </w:p>
    <w:p>
      <w:pPr>
        <w:pStyle w:val="BodyText"/>
        <w:spacing w:line="273" w:lineRule="auto" w:before="7"/>
        <w:ind w:right="212" w:firstLine="420"/>
        <w:jc w:val="both"/>
      </w:pPr>
      <w:r>
        <w:rPr>
          <w:spacing w:val="-3"/>
        </w:rPr>
        <w:t>被保险人在本合同生效日或最后复效日</w:t>
      </w:r>
      <w:r>
        <w:rPr/>
        <w:t>（以较迟者为准</w:t>
      </w:r>
      <w:r>
        <w:rPr>
          <w:spacing w:val="-45"/>
        </w:rPr>
        <w:t>）</w:t>
      </w:r>
      <w:r>
        <w:rPr>
          <w:spacing w:val="-27"/>
        </w:rPr>
        <w:t>起 </w:t>
      </w:r>
      <w:r>
        <w:rPr/>
        <w:t>180</w:t>
      </w:r>
      <w:r>
        <w:rPr>
          <w:spacing w:val="-8"/>
        </w:rPr>
        <w:t> 日内因疾病首次发生并</w:t>
      </w:r>
      <w:r>
        <w:rPr>
          <w:spacing w:val="-5"/>
        </w:rPr>
        <w:t>被确诊为本合同列明的重大疾病</w:t>
      </w:r>
      <w:r>
        <w:rPr>
          <w:spacing w:val="0"/>
        </w:rPr>
        <w:t>（</w:t>
      </w:r>
      <w:r>
        <w:rPr/>
        <w:t>无论一种或多种</w:t>
      </w:r>
      <w:r>
        <w:rPr>
          <w:spacing w:val="-105"/>
        </w:rPr>
        <w:t>）</w:t>
      </w:r>
      <w:r>
        <w:rPr/>
        <w:t>，本公司不承担给付保险金责任，但可以无息退还所交保险费，本合同效力终止。</w:t>
      </w:r>
    </w:p>
    <w:p>
      <w:pPr>
        <w:pStyle w:val="BodyText"/>
        <w:spacing w:before="7"/>
        <w:ind w:left="537"/>
      </w:pPr>
      <w:r>
        <w:rPr/>
        <w:t>二、身故保险金</w:t>
      </w:r>
    </w:p>
    <w:p>
      <w:pPr>
        <w:pStyle w:val="BodyText"/>
        <w:spacing w:line="273" w:lineRule="auto"/>
        <w:ind w:right="106" w:firstLine="419"/>
      </w:pPr>
      <w:r>
        <w:rPr>
          <w:spacing w:val="-11"/>
        </w:rPr>
        <w:t>被保险人因意外伤害身故，或者被保险人在本合同生效日或最后复效日</w:t>
      </w:r>
      <w:r>
        <w:rPr/>
        <w:t>（以较迟者为准） </w:t>
      </w:r>
      <w:r>
        <w:rPr>
          <w:spacing w:val="-18"/>
        </w:rPr>
        <w:t>起满 </w:t>
      </w:r>
      <w:r>
        <w:rPr/>
        <w:t>180</w:t>
      </w:r>
      <w:r>
        <w:rPr>
          <w:spacing w:val="-8"/>
        </w:rPr>
        <w:t> 日后因疾病身故，本公司按保险金额给付身故保险金，本合同效力终止。</w:t>
      </w:r>
    </w:p>
    <w:p>
      <w:pPr>
        <w:pStyle w:val="BodyText"/>
        <w:spacing w:line="273" w:lineRule="auto" w:before="7"/>
        <w:ind w:right="211" w:firstLine="420"/>
      </w:pPr>
      <w:r>
        <w:rPr>
          <w:spacing w:val="-2"/>
        </w:rPr>
        <w:t>被保险人在本合同生效日或最后复效日</w:t>
      </w:r>
      <w:r>
        <w:rPr/>
        <w:t>（以较迟者为准</w:t>
      </w:r>
      <w:r>
        <w:rPr>
          <w:spacing w:val="-29"/>
        </w:rPr>
        <w:t>）</w:t>
      </w:r>
      <w:r>
        <w:rPr>
          <w:spacing w:val="-33"/>
        </w:rPr>
        <w:t>起 </w:t>
      </w:r>
      <w:r>
        <w:rPr/>
        <w:t>180</w:t>
      </w:r>
      <w:r>
        <w:rPr>
          <w:spacing w:val="-11"/>
        </w:rPr>
        <w:t> 日内因疾病身故，本公司不承担给付保险金责任，但可以无息退还所交保险费，本合同效力终止。</w:t>
      </w:r>
    </w:p>
    <w:p>
      <w:pPr>
        <w:pStyle w:val="BodyText"/>
        <w:spacing w:before="5"/>
        <w:ind w:left="0"/>
        <w:rPr>
          <w:sz w:val="24"/>
        </w:rPr>
      </w:pPr>
    </w:p>
    <w:p>
      <w:pPr>
        <w:pStyle w:val="Heading2"/>
        <w:rPr>
          <w:rFonts w:ascii="黑体" w:eastAsia="黑体" w:hint="eastAsia"/>
        </w:rPr>
      </w:pPr>
      <w:bookmarkStart w:name="_TOC_250023" w:id="10"/>
      <w:bookmarkEnd w:id="10"/>
      <w:r>
        <w:rPr>
          <w:rFonts w:ascii="黑体" w:eastAsia="黑体" w:hint="eastAsia"/>
        </w:rPr>
        <w:t>第八条 责任免除</w:t>
      </w:r>
    </w:p>
    <w:p>
      <w:pPr>
        <w:pStyle w:val="BodyText"/>
        <w:spacing w:line="273" w:lineRule="auto"/>
        <w:ind w:right="210" w:firstLine="420"/>
        <w:rPr>
          <w:rFonts w:ascii="黑体" w:eastAsia="黑体" w:hint="eastAsia"/>
        </w:rPr>
      </w:pPr>
      <w:r>
        <w:rPr>
          <w:rFonts w:ascii="黑体" w:eastAsia="黑体" w:hint="eastAsia"/>
        </w:rPr>
        <w:t>因下述一种或多种情形导致被保险人身故或首次发Th并被确诊为本合同列明的重大疾病的（无论一种或多种</w:t>
      </w:r>
      <w:r>
        <w:rPr>
          <w:rFonts w:ascii="黑体" w:eastAsia="黑体" w:hint="eastAsia"/>
          <w:spacing w:val="-106"/>
        </w:rPr>
        <w:t>）</w:t>
      </w:r>
      <w:r>
        <w:rPr>
          <w:rFonts w:ascii="黑体" w:eastAsia="黑体" w:hint="eastAsia"/>
          <w:spacing w:val="-1"/>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6" w:after="0"/>
        <w:ind w:left="957" w:right="167"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7"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6"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核爆炸、核辐射或核污染。</w:t>
      </w:r>
    </w:p>
    <w:p>
      <w:pPr>
        <w:pStyle w:val="BodyText"/>
        <w:ind w:left="541"/>
        <w:rPr>
          <w:rFonts w:ascii="黑体" w:eastAsia="黑体" w:hint="eastAsia"/>
        </w:rPr>
      </w:pPr>
      <w:r>
        <w:rPr>
          <w:rFonts w:ascii="黑体" w:eastAsia="黑体" w:hint="eastAsia"/>
        </w:rPr>
        <w:t>被保险人因上述一种或多种情形身故或首次发Th并被确诊为本合同列明的重大疾病的</w:t>
      </w:r>
    </w:p>
    <w:p>
      <w:pPr>
        <w:pStyle w:val="BodyText"/>
        <w:rPr>
          <w:rFonts w:ascii="黑体" w:eastAsia="黑体" w:hint="eastAsia"/>
        </w:rPr>
      </w:pPr>
      <w:r>
        <w:rPr>
          <w:rFonts w:ascii="黑体" w:eastAsia="黑体" w:hint="eastAsia"/>
        </w:rPr>
        <w:t>（无论一种或多种</w:t>
      </w:r>
      <w:r>
        <w:rPr>
          <w:rFonts w:ascii="黑体" w:eastAsia="黑体" w:hint="eastAsia"/>
          <w:spacing w:val="-105"/>
        </w:rPr>
        <w:t>）</w:t>
      </w:r>
      <w:r>
        <w:rPr>
          <w:rFonts w:ascii="黑体" w:eastAsia="黑体" w:hint="eastAsia"/>
          <w:spacing w:val="-1"/>
        </w:rPr>
        <w:t>，本合同效力终止，本公司退还本合同的</w:t>
      </w:r>
      <w:r>
        <w:rPr>
          <w:rFonts w:ascii="黑体" w:eastAsia="黑体" w:hint="eastAsia"/>
          <w:b/>
          <w:w w:val="99"/>
        </w:rPr>
        <w:t>现金价值</w:t>
      </w:r>
      <w:r>
        <w:rPr>
          <w:rFonts w:ascii="黑体" w:eastAsia="黑体" w:hint="eastAsia"/>
        </w:rPr>
        <w:t>。</w:t>
      </w:r>
    </w:p>
    <w:p>
      <w:pPr>
        <w:pStyle w:val="BodyText"/>
        <w:spacing w:before="8"/>
        <w:ind w:left="0"/>
        <w:rPr>
          <w:rFonts w:ascii="黑体"/>
          <w:sz w:val="26"/>
        </w:rPr>
      </w:pPr>
    </w:p>
    <w:p>
      <w:pPr>
        <w:pStyle w:val="Heading2"/>
      </w:pPr>
      <w:bookmarkStart w:name="_TOC_250022" w:id="11"/>
      <w:bookmarkEnd w:id="11"/>
      <w:r>
        <w:rPr/>
        <w:t>第九条 保险期间</w:t>
      </w:r>
    </w:p>
    <w:p>
      <w:pPr>
        <w:pStyle w:val="BodyText"/>
        <w:spacing w:before="36"/>
        <w:ind w:left="537"/>
      </w:pPr>
      <w:r>
        <w:rPr/>
        <w:t>本合同保险期间为终身，本公司自生效日的零时开始承担保险责任。</w:t>
      </w:r>
    </w:p>
    <w:p>
      <w:pPr>
        <w:pStyle w:val="BodyText"/>
        <w:spacing w:before="8"/>
        <w:ind w:left="0"/>
        <w:rPr>
          <w:sz w:val="26"/>
        </w:rPr>
      </w:pPr>
    </w:p>
    <w:p>
      <w:pPr>
        <w:pStyle w:val="Heading2"/>
      </w:pPr>
      <w:bookmarkStart w:name="_TOC_250021" w:id="12"/>
      <w:bookmarkEnd w:id="12"/>
      <w:r>
        <w:rPr/>
        <w:t>第十条 保险金额和保险费</w:t>
      </w:r>
    </w:p>
    <w:p>
      <w:pPr>
        <w:pStyle w:val="BodyText"/>
        <w:spacing w:before="36"/>
        <w:ind w:left="537"/>
      </w:pPr>
      <w:r>
        <w:rPr/>
        <w:t>一、本合同的保险金额由投保人和本公司双方协商约定并在保险单上载明。</w:t>
      </w:r>
    </w:p>
    <w:p>
      <w:pPr>
        <w:pStyle w:val="BodyText"/>
        <w:spacing w:before="36"/>
        <w:ind w:left="537"/>
      </w:pPr>
      <w:r>
        <w:rPr/>
        <w:t>二、本合同的保险费按照保险金额和约定的费率标准确定。交费方式和交费期间由投保</w:t>
      </w:r>
    </w:p>
    <w:p>
      <w:pPr>
        <w:spacing w:after="0"/>
        <w:sectPr>
          <w:pgSz w:w="11910" w:h="16840"/>
          <w:pgMar w:header="0" w:footer="1008" w:top="1600" w:bottom="1200" w:left="1680" w:right="1580"/>
        </w:sectPr>
      </w:pPr>
    </w:p>
    <w:p>
      <w:pPr>
        <w:pStyle w:val="BodyText"/>
        <w:spacing w:line="273" w:lineRule="auto" w:before="25"/>
        <w:ind w:right="132"/>
      </w:pPr>
      <w:r>
        <w:rPr/>
        <w:t>人和本公司约定并在保险单上载明。分期支付保险费的，在交纳首期保险费后，投保人应按保险费约定交纳日交纳其余各期的保险费。</w:t>
      </w:r>
    </w:p>
    <w:p>
      <w:pPr>
        <w:pStyle w:val="BodyText"/>
        <w:spacing w:before="5"/>
        <w:ind w:left="0"/>
        <w:rPr>
          <w:sz w:val="24"/>
        </w:rPr>
      </w:pPr>
    </w:p>
    <w:p>
      <w:pPr>
        <w:pStyle w:val="Heading2"/>
      </w:pPr>
      <w:bookmarkStart w:name="_TOC_250020" w:id="13"/>
      <w:bookmarkEnd w:id="13"/>
      <w:r>
        <w:rPr/>
        <w:t>第十一条 保险费率调整</w:t>
      </w:r>
    </w:p>
    <w:p>
      <w:pPr>
        <w:pStyle w:val="BodyText"/>
        <w:spacing w:before="36"/>
        <w:ind w:left="537"/>
      </w:pPr>
      <w:r>
        <w:rPr/>
        <w:t>本公司保留提高或降低保险费率的权利。</w:t>
      </w:r>
    </w:p>
    <w:p>
      <w:pPr>
        <w:pStyle w:val="BodyText"/>
        <w:spacing w:line="273" w:lineRule="auto" w:before="36"/>
        <w:ind w:right="211" w:firstLine="420"/>
        <w:jc w:val="both"/>
      </w:pPr>
      <w:r>
        <w:rPr>
          <w:spacing w:val="-3"/>
        </w:rPr>
        <w:t>本公司将根据本合同厘定费率所用的重大疾病发生率与实际情况的偏差程度，决定是否</w:t>
      </w:r>
      <w:r>
        <w:rPr>
          <w:spacing w:val="-11"/>
        </w:rPr>
        <w:t>调整保险费率，并向保险监管机关备案。保险费率的调整针对所有被保险人或同一年龄的所</w:t>
      </w:r>
      <w:r>
        <w:rPr>
          <w:spacing w:val="-12"/>
        </w:rPr>
        <w:t>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9" w:id="14"/>
      <w:bookmarkEnd w:id="14"/>
      <w:r>
        <w:rPr/>
        <w:t>第十二条 宽限期</w:t>
      </w:r>
    </w:p>
    <w:p>
      <w:pPr>
        <w:pStyle w:val="BodyText"/>
        <w:spacing w:line="273" w:lineRule="auto"/>
        <w:ind w:right="108" w:firstLine="420"/>
      </w:pPr>
      <w:r>
        <w:rPr>
          <w:spacing w:val="-7"/>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w:t>
      </w:r>
    </w:p>
    <w:p>
      <w:pPr>
        <w:pStyle w:val="BodyText"/>
        <w:spacing w:line="273" w:lineRule="auto" w:before="7"/>
        <w:ind w:right="132" w:firstLine="420"/>
      </w:pPr>
      <w:r>
        <w:rPr/>
        <w:t>若投保人在宽限期结束之后仍未交纳保险费，则本合同自宽限期届满之日次日零时起效力中止。</w:t>
      </w:r>
    </w:p>
    <w:p>
      <w:pPr>
        <w:pStyle w:val="BodyText"/>
        <w:spacing w:before="0"/>
        <w:ind w:left="0"/>
        <w:rPr>
          <w:sz w:val="20"/>
        </w:rPr>
      </w:pPr>
    </w:p>
    <w:p>
      <w:pPr>
        <w:pStyle w:val="BodyText"/>
        <w:spacing w:before="4"/>
        <w:ind w:left="0"/>
        <w:rPr>
          <w:sz w:val="26"/>
        </w:rPr>
      </w:pPr>
    </w:p>
    <w:p>
      <w:pPr>
        <w:pStyle w:val="Heading1"/>
        <w:ind w:left="2991" w:right="3087"/>
      </w:pPr>
      <w:bookmarkStart w:name="_TOC_250018" w:id="15"/>
      <w:bookmarkEnd w:id="15"/>
      <w:r>
        <w:rPr/>
        <w:t>第三部分 保险服务条款</w:t>
      </w:r>
    </w:p>
    <w:p>
      <w:pPr>
        <w:pStyle w:val="BodyText"/>
        <w:spacing w:before="1"/>
        <w:ind w:left="0"/>
        <w:rPr>
          <w:b/>
          <w:sz w:val="20"/>
        </w:rPr>
      </w:pPr>
    </w:p>
    <w:p>
      <w:pPr>
        <w:pStyle w:val="Heading2"/>
      </w:pPr>
      <w:bookmarkStart w:name="_TOC_250017" w:id="16"/>
      <w:bookmarkEnd w:id="16"/>
      <w:r>
        <w:rPr/>
        <w:t>第十三条 自动垫交</w:t>
      </w:r>
    </w:p>
    <w:p>
      <w:pPr>
        <w:pStyle w:val="BodyText"/>
        <w:spacing w:line="273" w:lineRule="auto" w:before="36"/>
        <w:ind w:right="212" w:firstLine="420"/>
        <w:jc w:val="both"/>
      </w:pPr>
      <w:r>
        <w:rPr>
          <w:spacing w:val="-5"/>
        </w:rPr>
        <w:t>若投保人选择了保险费自动垫交，且在宽限期结束时仍未交纳保险费，本公司将以保险</w:t>
      </w:r>
      <w:r>
        <w:rPr>
          <w:spacing w:val="-8"/>
        </w:rPr>
        <w:t>合同的现金价值扣除投保人尚未偿还的各项欠款之后的余额自动垫交到期应交的保险费，保</w:t>
      </w:r>
      <w:r>
        <w:rPr>
          <w:spacing w:val="-8"/>
          <w:w w:val="95"/>
        </w:rPr>
        <w:t>险合同继续有效。所垫交的保险费视同借款，按照本条款</w:t>
      </w:r>
      <w:r>
        <w:rPr>
          <w:b/>
          <w:spacing w:val="-8"/>
          <w:w w:val="95"/>
        </w:rPr>
        <w:t>约定利率</w:t>
      </w:r>
      <w:r>
        <w:rPr>
          <w:spacing w:val="-8"/>
          <w:w w:val="95"/>
        </w:rPr>
        <w:t>计算利息。</w:t>
      </w:r>
    </w:p>
    <w:p>
      <w:pPr>
        <w:pStyle w:val="BodyText"/>
        <w:spacing w:line="273" w:lineRule="auto" w:before="7"/>
        <w:ind w:right="124" w:firstLine="420"/>
      </w:pPr>
      <w:r>
        <w:rPr/>
        <w:t>当现金价值扣除各项欠款后的余额不足以垫交一期保险费的，本公司将根据现金价值的余额计算保险合同可以继续有效的天数。当现金价值余额为零时，保险合同效力即行中止。</w:t>
      </w:r>
    </w:p>
    <w:p>
      <w:pPr>
        <w:pStyle w:val="BodyText"/>
        <w:spacing w:before="7"/>
        <w:ind w:left="537"/>
      </w:pPr>
      <w:r>
        <w:rPr/>
        <w:t>条款中所称的“保险合同”指本合同及其附加合同。</w:t>
      </w:r>
    </w:p>
    <w:p>
      <w:pPr>
        <w:pStyle w:val="BodyText"/>
        <w:spacing w:before="8"/>
        <w:ind w:left="0"/>
        <w:rPr>
          <w:sz w:val="26"/>
        </w:rPr>
      </w:pPr>
    </w:p>
    <w:p>
      <w:pPr>
        <w:pStyle w:val="Heading2"/>
      </w:pPr>
      <w:bookmarkStart w:name="_TOC_250016" w:id="17"/>
      <w:bookmarkEnd w:id="17"/>
      <w:r>
        <w:rPr/>
        <w:t>第十四条 保险单贷款</w:t>
      </w:r>
    </w:p>
    <w:p>
      <w:pPr>
        <w:pStyle w:val="BodyText"/>
        <w:spacing w:line="273" w:lineRule="auto" w:before="36"/>
        <w:ind w:right="107" w:firstLine="420"/>
      </w:pPr>
      <w:r>
        <w:rPr>
          <w:spacing w:val="-7"/>
        </w:rPr>
        <w:t>在本合同有效期内，经本公司同意，投保人可以凭保险单向本公司申请贷款。贷款金额</w:t>
      </w:r>
      <w:r>
        <w:rPr>
          <w:spacing w:val="-9"/>
        </w:rPr>
        <w:t>不得超过保险合同现金价值扣除各项欠款后余额的 </w:t>
      </w:r>
      <w:r>
        <w:rPr>
          <w:spacing w:val="-10"/>
        </w:rPr>
        <w:t>80％</w:t>
      </w:r>
      <w:r>
        <w:rPr>
          <w:spacing w:val="-7"/>
        </w:rPr>
        <w:t>，每次贷款期限最长不超过 </w:t>
      </w:r>
      <w:r>
        <w:rPr/>
        <w:t>6</w:t>
      </w:r>
      <w:r>
        <w:rPr>
          <w:spacing w:val="-14"/>
        </w:rPr>
        <w:t> 个月， </w:t>
      </w:r>
      <w:r>
        <w:rPr>
          <w:spacing w:val="-18"/>
        </w:rPr>
        <w:t>贷款利率按本公司当时确定的利率执行，并在贷款协议中载明。贷款本息在贷款到期时一并</w:t>
      </w:r>
      <w:r>
        <w:rPr>
          <w:spacing w:val="-12"/>
        </w:rPr>
        <w:t>归还。若投保人到期未能足额偿还贷款本息，则投保人所欠的贷款本金及利息将作为新的贷款本金计息。</w:t>
      </w:r>
    </w:p>
    <w:p>
      <w:pPr>
        <w:pStyle w:val="BodyText"/>
        <w:spacing w:line="273" w:lineRule="auto" w:before="7"/>
        <w:ind w:right="132" w:firstLine="420"/>
      </w:pPr>
      <w:r>
        <w:rPr/>
        <w:t>当未还贷款本金及利息加上其他各项欠款达到保险合同现金价值时，保险合同效力即行中止。</w:t>
      </w:r>
    </w:p>
    <w:p>
      <w:pPr>
        <w:pStyle w:val="BodyText"/>
        <w:spacing w:before="5"/>
        <w:ind w:left="0"/>
        <w:rPr>
          <w:sz w:val="24"/>
        </w:rPr>
      </w:pPr>
    </w:p>
    <w:p>
      <w:pPr>
        <w:pStyle w:val="Heading2"/>
      </w:pPr>
      <w:bookmarkStart w:name="_TOC_250015" w:id="18"/>
      <w:bookmarkEnd w:id="18"/>
      <w:r>
        <w:rPr/>
        <w:t>第十五条 减额交清</w:t>
      </w:r>
    </w:p>
    <w:p>
      <w:pPr>
        <w:pStyle w:val="BodyText"/>
        <w:spacing w:line="273" w:lineRule="auto" w:before="36"/>
        <w:ind w:right="133" w:firstLine="420"/>
      </w:pPr>
      <w:r>
        <w:rPr/>
        <w:t>若投保人决定不再交纳续期保险费，可以向本公司书面申请办理减额交清。办理减额交清后，本合同的保险金额减少，投保人不需要再为本合同交纳保险费，本合同继续有效。</w:t>
      </w:r>
    </w:p>
    <w:p>
      <w:pPr>
        <w:pStyle w:val="BodyText"/>
        <w:spacing w:before="12"/>
        <w:ind w:left="0"/>
        <w:rPr>
          <w:sz w:val="18"/>
        </w:rPr>
      </w:pPr>
    </w:p>
    <w:p>
      <w:pPr>
        <w:pStyle w:val="Heading2"/>
        <w:spacing w:before="1"/>
      </w:pPr>
      <w:bookmarkStart w:name="_TOC_250014" w:id="19"/>
      <w:bookmarkEnd w:id="19"/>
      <w:r>
        <w:rPr/>
        <w:t>第十六条 合同内容变更</w:t>
      </w:r>
    </w:p>
    <w:p>
      <w:pPr>
        <w:pStyle w:val="BodyText"/>
        <w:spacing w:line="273" w:lineRule="auto"/>
        <w:ind w:right="2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spacing w:after="0" w:line="273" w:lineRule="auto"/>
        <w:jc w:val="both"/>
        <w:sectPr>
          <w:pgSz w:w="11910" w:h="16840"/>
          <w:pgMar w:header="0" w:footer="1008" w:top="1400" w:bottom="1200" w:left="1680" w:right="1580"/>
        </w:sectPr>
      </w:pPr>
    </w:p>
    <w:p>
      <w:pPr>
        <w:pStyle w:val="BodyText"/>
        <w:spacing w:before="10"/>
        <w:ind w:left="0"/>
        <w:rPr>
          <w:sz w:val="7"/>
        </w:rPr>
      </w:pPr>
    </w:p>
    <w:p>
      <w:pPr>
        <w:pStyle w:val="Heading2"/>
        <w:spacing w:before="35"/>
      </w:pPr>
      <w:bookmarkStart w:name="_TOC_250013" w:id="20"/>
      <w:bookmarkEnd w:id="20"/>
      <w:r>
        <w:rPr/>
        <w:t>第十七条 受益人指定和变更</w:t>
      </w:r>
    </w:p>
    <w:p>
      <w:pPr>
        <w:pStyle w:val="BodyText"/>
        <w:spacing w:before="36"/>
        <w:ind w:left="537"/>
      </w:pPr>
      <w:r>
        <w:rPr/>
        <w:t>除合同另有约定外，本合同重大疾病保险金的受益人为被保险人本人。</w:t>
      </w:r>
    </w:p>
    <w:p>
      <w:pPr>
        <w:pStyle w:val="BodyText"/>
        <w:spacing w:line="273" w:lineRule="auto" w:before="36"/>
        <w:ind w:right="191" w:firstLine="420"/>
        <w:jc w:val="both"/>
      </w:pPr>
      <w:r>
        <w:rPr>
          <w:spacing w:val="-4"/>
        </w:rPr>
        <w:t>被保险人或者投保人可指定一人或数人为身故保险金的受益人。身故保险金受益人为数</w:t>
      </w:r>
      <w:r>
        <w:rPr>
          <w:spacing w:val="-9"/>
        </w:rPr>
        <w:t>人时，可以确定受益顺序和受益份额，未确定受益顺序的，身故保险金受益人按照相同的顺序享有受益权；未确定受益份额的，身故保险金受益人按照相等份额享有受益权。</w:t>
      </w:r>
    </w:p>
    <w:p>
      <w:pPr>
        <w:pStyle w:val="BodyText"/>
        <w:spacing w:line="273" w:lineRule="auto" w:before="7"/>
        <w:ind w:left="537" w:right="10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44"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right="191" w:firstLine="420"/>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3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ind w:right="104" w:firstLine="420"/>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spacing w:before="1"/>
      </w:pPr>
      <w:bookmarkStart w:name="_TOC_250012" w:id="21"/>
      <w:bookmarkEnd w:id="21"/>
      <w:r>
        <w:rPr/>
        <w:t>第十八条 通讯地址变更</w:t>
      </w:r>
    </w:p>
    <w:p>
      <w:pPr>
        <w:pStyle w:val="BodyText"/>
        <w:spacing w:line="273" w:lineRule="auto"/>
        <w:ind w:right="191" w:firstLine="420"/>
      </w:pPr>
      <w:r>
        <w:rPr>
          <w:spacing w:val="-6"/>
        </w:rPr>
        <w:t>投保人变更通讯地址时，应及时通知本公司。投保人未及时通知本公司的，本公司将按本合同载明的最后通讯地址发送有关通知，并视为已送达。</w:t>
      </w:r>
    </w:p>
    <w:p>
      <w:pPr>
        <w:pStyle w:val="BodyText"/>
        <w:spacing w:before="5"/>
        <w:ind w:left="0"/>
        <w:rPr>
          <w:sz w:val="24"/>
        </w:rPr>
      </w:pPr>
    </w:p>
    <w:p>
      <w:pPr>
        <w:pStyle w:val="Heading2"/>
      </w:pPr>
      <w:bookmarkStart w:name="_TOC_250011" w:id="22"/>
      <w:bookmarkEnd w:id="22"/>
      <w:r>
        <w:rPr/>
        <w:t>第十九条 年龄性别错误</w:t>
      </w:r>
    </w:p>
    <w:p>
      <w:pPr>
        <w:pStyle w:val="BodyText"/>
        <w:spacing w:line="273" w:lineRule="auto" w:before="36"/>
        <w:ind w:right="193" w:firstLine="420"/>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right="192" w:firstLine="420"/>
      </w:pPr>
      <w:r>
        <w:rPr>
          <w:spacing w:val="-6"/>
        </w:rPr>
        <w:t>若投保人申报的被保险人年龄不真实，并且其真实年龄不符合本合同约定投保年龄限制的，本公司有权解除合同。对于解除合同的，本公司向投保人退还本合同的现金价值。</w:t>
      </w:r>
    </w:p>
    <w:p>
      <w:pPr>
        <w:pStyle w:val="BodyText"/>
        <w:spacing w:line="273" w:lineRule="auto" w:before="7"/>
        <w:ind w:right="19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right="314" w:firstLine="420"/>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10" w:id="23"/>
      <w:bookmarkEnd w:id="23"/>
      <w:r>
        <w:rPr/>
        <w:t>第二十条 未还款项</w:t>
      </w:r>
    </w:p>
    <w:p>
      <w:pPr>
        <w:pStyle w:val="BodyText"/>
        <w:spacing w:line="273" w:lineRule="auto" w:before="36"/>
        <w:ind w:right="193" w:firstLine="420"/>
        <w:jc w:val="both"/>
      </w:pPr>
      <w:r>
        <w:rPr>
          <w:spacing w:val="-6"/>
        </w:rPr>
        <w:t>本公司在给付各项保险金、退还现金价值或返还保险费时，若投保人有欠交的保险费或</w:t>
      </w:r>
      <w:r>
        <w:rPr>
          <w:spacing w:val="-11"/>
        </w:rPr>
        <w:t>其他未还清款项，本公司将在扣除上述欠款及应付利息后给付。应付利息按本条款约定利率计算，但本合同另有约定的除外。</w:t>
      </w:r>
    </w:p>
    <w:p>
      <w:pPr>
        <w:pStyle w:val="BodyText"/>
        <w:spacing w:before="5"/>
        <w:ind w:left="0"/>
        <w:rPr>
          <w:sz w:val="24"/>
        </w:rPr>
      </w:pPr>
    </w:p>
    <w:p>
      <w:pPr>
        <w:pStyle w:val="Heading2"/>
      </w:pPr>
      <w:bookmarkStart w:name="_TOC_250009" w:id="24"/>
      <w:bookmarkEnd w:id="24"/>
      <w:r>
        <w:rPr/>
        <w:t>第二十一条 合同中止与复效</w:t>
      </w:r>
    </w:p>
    <w:p>
      <w:pPr>
        <w:pStyle w:val="BodyText"/>
        <w:ind w:left="537"/>
      </w:pPr>
      <w:r>
        <w:rPr/>
        <w:t>在本合同效力中止期间，本公司不承担保险责任。</w:t>
      </w:r>
    </w:p>
    <w:p>
      <w:pPr>
        <w:pStyle w:val="BodyText"/>
        <w:spacing w:line="273" w:lineRule="auto"/>
        <w:ind w:right="104" w:firstLine="420"/>
      </w:pPr>
      <w:r>
        <w:rPr>
          <w:spacing w:val="-6"/>
        </w:rPr>
        <w:t>本合同效力中止后 </w:t>
      </w:r>
      <w:r>
        <w:rPr/>
        <w:t>2</w:t>
      </w:r>
      <w:r>
        <w:rPr>
          <w:spacing w:val="-8"/>
        </w:rPr>
        <w:t> 年内，投保人可以申请恢复合同效力。投保人应填写复效申请书， </w:t>
      </w:r>
      <w:r>
        <w:rPr>
          <w:spacing w:val="-12"/>
        </w:rPr>
        <w:t>并提供被保险人的健康声明书、医院出具的体检报告书及其他相关证明文件。经本公司审核</w:t>
      </w:r>
      <w:r>
        <w:rPr>
          <w:spacing w:val="-11"/>
        </w:rPr>
        <w:t>同意，双方达成复效协议，自投保人补交保险费、利息及其他未还款项的次日零时起，合同</w:t>
      </w:r>
    </w:p>
    <w:p>
      <w:pPr>
        <w:spacing w:after="0" w:line="273" w:lineRule="auto"/>
        <w:sectPr>
          <w:pgSz w:w="11910" w:h="16840"/>
          <w:pgMar w:header="0" w:footer="1008" w:top="1600" w:bottom="1200" w:left="1680" w:right="1600"/>
        </w:sectPr>
      </w:pPr>
    </w:p>
    <w:p>
      <w:pPr>
        <w:pStyle w:val="BodyText"/>
        <w:spacing w:before="25"/>
      </w:pPr>
      <w:r>
        <w:rPr/>
        <w:t>效力恢复。应付利息按本条款约定利率计算，但本合同另有约定的除外。</w:t>
      </w:r>
    </w:p>
    <w:p>
      <w:pPr>
        <w:pStyle w:val="BodyText"/>
        <w:spacing w:line="273" w:lineRule="auto"/>
        <w:ind w:right="105" w:firstLine="358"/>
      </w:pPr>
      <w:r>
        <w:rPr>
          <w:spacing w:val="-5"/>
        </w:rPr>
        <w:t>自本合同效力中止之日起满 </w:t>
      </w:r>
      <w:r>
        <w:rPr/>
        <w:t>2</w:t>
      </w:r>
      <w:r>
        <w:rPr>
          <w:spacing w:val="-8"/>
        </w:rPr>
        <w:t> 年投保人和本公司未达成协议的，本公司有权解除合同。对于解除合同的，本公司向投保人退还本合同效力中止时的现金价值。</w:t>
      </w:r>
    </w:p>
    <w:p>
      <w:pPr>
        <w:pStyle w:val="BodyText"/>
        <w:spacing w:before="5"/>
        <w:ind w:left="0"/>
        <w:rPr>
          <w:sz w:val="24"/>
        </w:rPr>
      </w:pPr>
    </w:p>
    <w:p>
      <w:pPr>
        <w:pStyle w:val="Heading2"/>
      </w:pPr>
      <w:bookmarkStart w:name="_TOC_250008" w:id="25"/>
      <w:bookmarkEnd w:id="25"/>
      <w:r>
        <w:rPr/>
        <w:t>第二十二条 合同解除</w:t>
      </w:r>
    </w:p>
    <w:p>
      <w:pPr>
        <w:pStyle w:val="BodyText"/>
        <w:spacing w:line="273" w:lineRule="auto" w:before="36"/>
        <w:ind w:right="130" w:firstLine="420"/>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解除合同申请书。</w:t>
      </w:r>
    </w:p>
    <w:p>
      <w:pPr>
        <w:pStyle w:val="BodyText"/>
        <w:spacing w:line="273" w:lineRule="auto"/>
        <w:ind w:right="53" w:firstLine="420"/>
      </w:pPr>
      <w:r>
        <w:rPr/>
        <w:t>自本公司收到解除合同申请书之日起，本合同效力终止。本公司在收到上述证明和资料之日起 30 日内向投保人退还本合同的现金价值。</w:t>
      </w:r>
    </w:p>
    <w:p>
      <w:pPr>
        <w:pStyle w:val="BodyText"/>
        <w:spacing w:before="0"/>
        <w:ind w:left="0"/>
        <w:rPr>
          <w:sz w:val="20"/>
        </w:rPr>
      </w:pPr>
    </w:p>
    <w:p>
      <w:pPr>
        <w:pStyle w:val="BodyText"/>
        <w:spacing w:before="5"/>
        <w:ind w:left="0"/>
        <w:rPr>
          <w:sz w:val="26"/>
        </w:rPr>
      </w:pPr>
    </w:p>
    <w:p>
      <w:pPr>
        <w:pStyle w:val="Heading1"/>
        <w:spacing w:before="0"/>
        <w:ind w:left="2992" w:right="3007"/>
      </w:pPr>
      <w:bookmarkStart w:name="_TOC_250007" w:id="26"/>
      <w:bookmarkEnd w:id="26"/>
      <w:r>
        <w:rPr/>
        <w:t>第四部分 保险理赔条款</w:t>
      </w:r>
    </w:p>
    <w:p>
      <w:pPr>
        <w:pStyle w:val="BodyText"/>
        <w:spacing w:before="5"/>
        <w:ind w:left="0"/>
        <w:rPr>
          <w:b/>
          <w:sz w:val="25"/>
        </w:rPr>
      </w:pPr>
    </w:p>
    <w:p>
      <w:pPr>
        <w:pStyle w:val="Heading2"/>
      </w:pPr>
      <w:bookmarkStart w:name="_TOC_250006" w:id="27"/>
      <w:bookmarkEnd w:id="27"/>
      <w:r>
        <w:rPr/>
        <w:t>第二十三条 保险事故通知</w:t>
      </w:r>
    </w:p>
    <w:p>
      <w:pPr>
        <w:pStyle w:val="BodyText"/>
        <w:spacing w:before="36"/>
        <w:ind w:left="537"/>
      </w:pPr>
      <w:r>
        <w:rPr/>
        <w:t>投保人、被保险人、受益人或其他有权领取保险金的人应于知道保险事故发生之日起</w:t>
      </w:r>
    </w:p>
    <w:p>
      <w:pPr>
        <w:pStyle w:val="BodyText"/>
        <w:spacing w:line="273" w:lineRule="auto" w:before="36"/>
        <w:ind w:right="13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8"/>
      <w:bookmarkEnd w:id="28"/>
      <w:r>
        <w:rPr/>
        <w:t>第二十四条 保险金申请</w:t>
      </w:r>
    </w:p>
    <w:p>
      <w:pPr>
        <w:pStyle w:val="BodyText"/>
        <w:ind w:left="557"/>
      </w:pPr>
      <w:r>
        <w:rPr/>
        <w:t>一、重大疾病保险金的申请</w:t>
      </w:r>
    </w:p>
    <w:p>
      <w:pPr>
        <w:pStyle w:val="BodyText"/>
        <w:spacing w:line="273" w:lineRule="auto"/>
        <w:ind w:right="131" w:firstLine="440"/>
      </w:pPr>
      <w:r>
        <w:rPr/>
        <w:t>在申请重大疾病保险金时，申请人须填写保险金给付申请书，并提交下列证明和资料向本公司申请给付：</w:t>
      </w:r>
    </w:p>
    <w:p>
      <w:pPr>
        <w:pStyle w:val="ListParagraph"/>
        <w:numPr>
          <w:ilvl w:val="0"/>
          <w:numId w:val="3"/>
        </w:numPr>
        <w:tabs>
          <w:tab w:pos="718" w:val="left" w:leader="none"/>
        </w:tabs>
        <w:spacing w:line="240" w:lineRule="auto" w:before="7" w:after="0"/>
        <w:ind w:left="685" w:right="0" w:hanging="208"/>
        <w:jc w:val="left"/>
        <w:rPr>
          <w:sz w:val="21"/>
        </w:rPr>
      </w:pPr>
      <w:r>
        <w:rPr>
          <w:sz w:val="21"/>
        </w:rPr>
        <w:t>保险合同；</w:t>
      </w:r>
    </w:p>
    <w:p>
      <w:pPr>
        <w:pStyle w:val="ListParagraph"/>
        <w:numPr>
          <w:ilvl w:val="0"/>
          <w:numId w:val="3"/>
        </w:numPr>
        <w:tabs>
          <w:tab w:pos="718" w:val="left" w:leader="none"/>
        </w:tabs>
        <w:spacing w:line="240" w:lineRule="auto" w:before="36"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6"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6" w:after="0"/>
        <w:ind w:left="685" w:right="132" w:hanging="208"/>
        <w:jc w:val="left"/>
        <w:rPr>
          <w:sz w:val="21"/>
        </w:rPr>
      </w:pPr>
      <w:r>
        <w:rPr>
          <w:spacing w:val="-4"/>
          <w:sz w:val="21"/>
        </w:rPr>
        <w:t>由医院出具的附有病理显微镜检查、血液检验及其他科学方法检验报告的疾病诊断证明书；</w:t>
      </w:r>
    </w:p>
    <w:p>
      <w:pPr>
        <w:pStyle w:val="ListParagraph"/>
        <w:numPr>
          <w:ilvl w:val="0"/>
          <w:numId w:val="3"/>
        </w:numPr>
        <w:tabs>
          <w:tab w:pos="718" w:val="left" w:leader="none"/>
        </w:tabs>
        <w:spacing w:line="273" w:lineRule="auto" w:before="7" w:after="0"/>
        <w:ind w:left="558" w:right="1544" w:hanging="81"/>
        <w:jc w:val="left"/>
        <w:rPr>
          <w:sz w:val="21"/>
        </w:rPr>
      </w:pPr>
      <w:r>
        <w:rPr>
          <w:sz w:val="21"/>
        </w:rPr>
        <w:t>所能提供的与确认保险事故的性质、原因等有关的其他证明和资料。二、身故保险金的申请</w:t>
      </w:r>
    </w:p>
    <w:p>
      <w:pPr>
        <w:pStyle w:val="BodyText"/>
        <w:spacing w:line="273" w:lineRule="auto" w:before="7"/>
        <w:ind w:right="131" w:firstLine="440"/>
      </w:pPr>
      <w:r>
        <w:rPr/>
        <w:t>在申请身故保险金时，申请人须填写保险金给付申请书，并提交下列证明和资料向本公司申请给付：</w:t>
      </w:r>
    </w:p>
    <w:p>
      <w:pPr>
        <w:pStyle w:val="ListParagraph"/>
        <w:numPr>
          <w:ilvl w:val="0"/>
          <w:numId w:val="4"/>
        </w:numPr>
        <w:tabs>
          <w:tab w:pos="718" w:val="left" w:leader="none"/>
        </w:tabs>
        <w:spacing w:line="240" w:lineRule="auto" w:before="7" w:after="0"/>
        <w:ind w:left="685" w:right="0" w:hanging="210"/>
        <w:jc w:val="left"/>
        <w:rPr>
          <w:sz w:val="21"/>
        </w:rPr>
      </w:pPr>
      <w:r>
        <w:rPr>
          <w:sz w:val="21"/>
        </w:rPr>
        <w:t>保险合同；</w:t>
      </w:r>
    </w:p>
    <w:p>
      <w:pPr>
        <w:pStyle w:val="ListParagraph"/>
        <w:numPr>
          <w:ilvl w:val="0"/>
          <w:numId w:val="4"/>
        </w:numPr>
        <w:tabs>
          <w:tab w:pos="718" w:val="left" w:leader="none"/>
        </w:tabs>
        <w:spacing w:line="240" w:lineRule="auto" w:before="37" w:after="0"/>
        <w:ind w:left="685" w:right="0" w:hanging="210"/>
        <w:jc w:val="left"/>
        <w:rPr>
          <w:sz w:val="21"/>
        </w:rPr>
      </w:pPr>
      <w:r>
        <w:rPr>
          <w:sz w:val="21"/>
        </w:rPr>
        <w:t>申请人的有效身份证件；</w:t>
      </w:r>
    </w:p>
    <w:p>
      <w:pPr>
        <w:pStyle w:val="ListParagraph"/>
        <w:numPr>
          <w:ilvl w:val="0"/>
          <w:numId w:val="4"/>
        </w:numPr>
        <w:tabs>
          <w:tab w:pos="718" w:val="left" w:leader="none"/>
        </w:tabs>
        <w:spacing w:line="240" w:lineRule="auto" w:before="37" w:after="0"/>
        <w:ind w:left="685" w:right="0" w:hanging="210"/>
        <w:jc w:val="left"/>
        <w:rPr>
          <w:sz w:val="21"/>
        </w:rPr>
      </w:pPr>
      <w:r>
        <w:rPr>
          <w:sz w:val="21"/>
        </w:rPr>
        <w:t>受益人或其他有权领取保险金的人的户籍证明或身份证明；</w:t>
      </w:r>
    </w:p>
    <w:p>
      <w:pPr>
        <w:pStyle w:val="ListParagraph"/>
        <w:numPr>
          <w:ilvl w:val="0"/>
          <w:numId w:val="4"/>
        </w:numPr>
        <w:tabs>
          <w:tab w:pos="718" w:val="left" w:leader="none"/>
        </w:tabs>
        <w:spacing w:line="273" w:lineRule="auto" w:before="37" w:after="0"/>
        <w:ind w:left="685" w:right="132" w:hanging="210"/>
        <w:jc w:val="left"/>
        <w:rPr>
          <w:sz w:val="21"/>
        </w:rPr>
      </w:pPr>
      <w:r>
        <w:rPr>
          <w:spacing w:val="-4"/>
          <w:sz w:val="21"/>
        </w:rPr>
        <w:t>国家卫生行政部门认定的医疗机构、公安部门或其他相关机构出具的被保险人的死亡证明；</w:t>
      </w:r>
    </w:p>
    <w:p>
      <w:pPr>
        <w:pStyle w:val="ListParagraph"/>
        <w:numPr>
          <w:ilvl w:val="0"/>
          <w:numId w:val="4"/>
        </w:numPr>
        <w:tabs>
          <w:tab w:pos="718" w:val="left" w:leader="none"/>
        </w:tabs>
        <w:spacing w:line="240" w:lineRule="auto" w:before="7" w:after="0"/>
        <w:ind w:left="685" w:right="0" w:hanging="210"/>
        <w:jc w:val="left"/>
        <w:rPr>
          <w:sz w:val="21"/>
        </w:rPr>
      </w:pPr>
      <w:r>
        <w:rPr>
          <w:sz w:val="21"/>
        </w:rPr>
        <w:t>如被保险人被宣告死亡，须提供人民法院出具的宣告死亡证明材料；</w:t>
      </w:r>
    </w:p>
    <w:p>
      <w:pPr>
        <w:pStyle w:val="ListParagraph"/>
        <w:numPr>
          <w:ilvl w:val="0"/>
          <w:numId w:val="4"/>
        </w:numPr>
        <w:tabs>
          <w:tab w:pos="718" w:val="left" w:leader="none"/>
        </w:tabs>
        <w:spacing w:line="240" w:lineRule="auto" w:before="36" w:after="0"/>
        <w:ind w:left="685" w:right="0" w:hanging="210"/>
        <w:jc w:val="left"/>
        <w:rPr>
          <w:sz w:val="21"/>
        </w:rPr>
      </w:pPr>
      <w:r>
        <w:rPr>
          <w:sz w:val="21"/>
        </w:rPr>
        <w:t>被保险人的户籍注销证明；</w:t>
      </w:r>
    </w:p>
    <w:p>
      <w:pPr>
        <w:spacing w:after="0" w:line="240" w:lineRule="auto"/>
        <w:jc w:val="left"/>
        <w:rPr>
          <w:sz w:val="21"/>
        </w:rPr>
        <w:sectPr>
          <w:pgSz w:w="11910" w:h="16840"/>
          <w:pgMar w:header="0" w:footer="1008" w:top="1400" w:bottom="1200" w:left="1680" w:right="1660"/>
        </w:sectPr>
      </w:pPr>
    </w:p>
    <w:p>
      <w:pPr>
        <w:pStyle w:val="ListParagraph"/>
        <w:numPr>
          <w:ilvl w:val="0"/>
          <w:numId w:val="4"/>
        </w:numPr>
        <w:tabs>
          <w:tab w:pos="718" w:val="left" w:leader="none"/>
        </w:tabs>
        <w:spacing w:line="240" w:lineRule="auto" w:before="25" w:after="0"/>
        <w:ind w:left="717" w:right="0" w:hanging="242"/>
        <w:jc w:val="left"/>
        <w:rPr>
          <w:sz w:val="21"/>
        </w:rPr>
      </w:pPr>
      <w:r>
        <w:rPr>
          <w:sz w:val="21"/>
        </w:rPr>
        <w:t>所能提供的与确认保险事故的性质、原因等有关的其他证明和资料。</w:t>
      </w:r>
    </w:p>
    <w:p>
      <w:pPr>
        <w:pStyle w:val="BodyText"/>
        <w:spacing w:line="273" w:lineRule="auto"/>
        <w:ind w:left="210" w:right="212" w:firstLine="314"/>
        <w:jc w:val="both"/>
      </w:pPr>
      <w:r>
        <w:rPr>
          <w:spacing w:val="-4"/>
        </w:rPr>
        <w:t>如果被保险人在人民法院宣告死亡后生还，本合同仍然在其被宣告死亡时终止。身故保</w:t>
      </w:r>
      <w:r>
        <w:rPr>
          <w:spacing w:val="-7"/>
        </w:rPr>
        <w:t>险金领取人应于知道或应当知道被保险人生还后 </w:t>
      </w:r>
      <w:r>
        <w:rPr/>
        <w:t>30</w:t>
      </w:r>
      <w:r>
        <w:rPr>
          <w:spacing w:val="-13"/>
        </w:rPr>
        <w:t> 日内，退还本公司已支付的身故保险金中超过被保险人被宣告死亡时的本合同现金价值以上的部分。</w:t>
      </w:r>
    </w:p>
    <w:p>
      <w:pPr>
        <w:pStyle w:val="BodyText"/>
        <w:spacing w:before="7"/>
        <w:ind w:left="524"/>
      </w:pPr>
      <w:r>
        <w:rPr/>
        <w:t>身故保险金作为被保险人遗产时，必须提供可证明合法继承权的相关权利文件。</w:t>
      </w:r>
    </w:p>
    <w:p>
      <w:pPr>
        <w:pStyle w:val="BodyText"/>
        <w:spacing w:before="36"/>
        <w:ind w:left="537"/>
      </w:pPr>
      <w:r>
        <w:rPr/>
        <w:t>以上证明和资料不完整的，本公司将及时一次性通知申请人补充提供有关证明和资料。</w:t>
      </w:r>
    </w:p>
    <w:p>
      <w:pPr>
        <w:pStyle w:val="BodyText"/>
        <w:spacing w:before="8"/>
        <w:ind w:left="0"/>
        <w:rPr>
          <w:sz w:val="26"/>
        </w:rPr>
      </w:pPr>
    </w:p>
    <w:p>
      <w:pPr>
        <w:pStyle w:val="Heading2"/>
      </w:pPr>
      <w:bookmarkStart w:name="_TOC_250004" w:id="29"/>
      <w:bookmarkEnd w:id="29"/>
      <w:r>
        <w:rPr/>
        <w:t>第二十五条 保险金给付</w:t>
      </w:r>
    </w:p>
    <w:p>
      <w:pPr>
        <w:pStyle w:val="BodyText"/>
        <w:spacing w:line="273" w:lineRule="auto" w:before="36"/>
        <w:ind w:right="145" w:firstLine="399"/>
        <w:jc w:val="both"/>
      </w:pPr>
      <w:r>
        <w:rPr/>
        <w:t>本公司在收到申请人的保险金给付申请书及上述有关证明和资料后，将及时作出核定； 情形复杂的，在30日内作出核定。</w:t>
      </w:r>
    </w:p>
    <w:p>
      <w:pPr>
        <w:pStyle w:val="BodyText"/>
        <w:spacing w:line="273" w:lineRule="auto" w:before="7"/>
        <w:ind w:right="23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right="23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right="211" w:firstLine="420"/>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30"/>
      <w:bookmarkEnd w:id="30"/>
      <w:r>
        <w:rPr/>
        <w:t>第二十六条 诉讼时效</w:t>
      </w:r>
    </w:p>
    <w:p>
      <w:pPr>
        <w:pStyle w:val="BodyText"/>
        <w:spacing w:line="273" w:lineRule="auto" w:before="36"/>
        <w:ind w:right="232" w:firstLine="399"/>
        <w:jc w:val="both"/>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31"/>
      <w:bookmarkEnd w:id="31"/>
      <w:r>
        <w:rPr/>
        <w:t>第二十七条 争议处理</w:t>
      </w:r>
    </w:p>
    <w:p>
      <w:pPr>
        <w:pStyle w:val="BodyText"/>
        <w:ind w:left="537"/>
      </w:pPr>
      <w:r>
        <w:rPr/>
        <w:t>合同争议解决方式由当事人在合同约定从下列两种方式中选择一种：</w:t>
      </w:r>
    </w:p>
    <w:p>
      <w:pPr>
        <w:pStyle w:val="BodyText"/>
        <w:tabs>
          <w:tab w:pos="8010" w:val="left" w:leader="none"/>
        </w:tabs>
        <w:spacing w:line="273" w:lineRule="auto"/>
        <w:ind w:right="210" w:firstLine="420"/>
        <w:jc w:val="both"/>
      </w:pPr>
      <w:r>
        <w:rPr/>
        <w:t>一、因履行本合同发生的争议，由当事人协商解决，协商不成的，提交</w:t>
      </w:r>
      <w:r>
        <w:rPr>
          <w:u w:val="single"/>
        </w:rPr>
        <w:t> </w:t>
        <w:tab/>
      </w:r>
      <w:r>
        <w:rPr/>
        <w:t>仲裁委员会仲裁；</w:t>
      </w:r>
    </w:p>
    <w:p>
      <w:pPr>
        <w:pStyle w:val="BodyText"/>
        <w:spacing w:before="7"/>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pPr>
      <w:bookmarkStart w:name="_TOC_250001" w:id="32"/>
      <w:bookmarkEnd w:id="32"/>
      <w:r>
        <w:rPr/>
        <w:t>第二十八条 司法管辖</w:t>
      </w:r>
    </w:p>
    <w:p>
      <w:pPr>
        <w:pStyle w:val="BodyText"/>
        <w:ind w:left="537"/>
      </w:pPr>
      <w:r>
        <w:rPr/>
        <w:t>本合同受中华人民共和国司法管辖，适用中华人民共和国法律。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ind w:left="2991" w:right="3086"/>
      </w:pPr>
      <w:bookmarkStart w:name="_TOC_250000" w:id="33"/>
      <w:bookmarkEnd w:id="33"/>
      <w:r>
        <w:rPr/>
        <w:t>第五部分 释义</w:t>
      </w:r>
    </w:p>
    <w:p>
      <w:pPr>
        <w:pStyle w:val="BodyText"/>
        <w:spacing w:before="5"/>
        <w:ind w:left="0"/>
        <w:rPr>
          <w:b/>
          <w:sz w:val="25"/>
        </w:rPr>
      </w:pPr>
    </w:p>
    <w:p>
      <w:pPr>
        <w:pStyle w:val="ListParagraph"/>
        <w:numPr>
          <w:ilvl w:val="0"/>
          <w:numId w:val="5"/>
        </w:numPr>
        <w:tabs>
          <w:tab w:pos="543" w:val="left" w:leader="none"/>
          <w:tab w:pos="544" w:val="left" w:leader="none"/>
        </w:tabs>
        <w:spacing w:line="273" w:lineRule="auto" w:before="1" w:after="0"/>
        <w:ind w:left="543" w:right="212" w:hanging="426"/>
        <w:jc w:val="left"/>
        <w:rPr>
          <w:sz w:val="21"/>
        </w:rPr>
      </w:pPr>
      <w:r>
        <w:rPr>
          <w:b/>
          <w:sz w:val="21"/>
        </w:rPr>
        <w:t>保险单年度</w:t>
      </w:r>
      <w:r>
        <w:rPr>
          <w:spacing w:val="-11"/>
          <w:sz w:val="21"/>
        </w:rPr>
        <w:t>：从本合同生效日或生效对应日零时起至下一年度本合同生效对应日零时止为一个保险单年度。</w:t>
      </w:r>
    </w:p>
    <w:p>
      <w:pPr>
        <w:pStyle w:val="ListParagraph"/>
        <w:numPr>
          <w:ilvl w:val="0"/>
          <w:numId w:val="5"/>
        </w:numPr>
        <w:tabs>
          <w:tab w:pos="543" w:val="left" w:leader="none"/>
          <w:tab w:pos="544" w:val="left" w:leader="none"/>
        </w:tabs>
        <w:spacing w:line="273" w:lineRule="auto" w:before="8" w:after="0"/>
        <w:ind w:left="543" w:right="112" w:hanging="426"/>
        <w:jc w:val="left"/>
        <w:rPr>
          <w:sz w:val="21"/>
        </w:rPr>
      </w:pPr>
      <w:r>
        <w:rPr>
          <w:b/>
          <w:sz w:val="21"/>
        </w:rPr>
        <w:t>保险费约定交纳日</w:t>
      </w:r>
      <w:r>
        <w:rPr>
          <w:sz w:val="21"/>
        </w:rPr>
        <w:t>：本合同生效日在每月、每季、每半年或每年（根据交费方式确定） 的对应日。如果当月无对应的同一日，则以该月最后一日为对应日。</w:t>
      </w:r>
    </w:p>
    <w:p>
      <w:pPr>
        <w:pStyle w:val="ListParagraph"/>
        <w:numPr>
          <w:ilvl w:val="0"/>
          <w:numId w:val="5"/>
        </w:numPr>
        <w:tabs>
          <w:tab w:pos="543" w:val="left" w:leader="none"/>
          <w:tab w:pos="544" w:val="left" w:leader="none"/>
        </w:tabs>
        <w:spacing w:line="256" w:lineRule="auto" w:before="8" w:after="0"/>
        <w:ind w:left="543" w:right="117" w:hanging="426"/>
        <w:jc w:val="left"/>
        <w:rPr>
          <w:rFonts w:ascii="Times New Roman" w:eastAsia="Times New Roman"/>
          <w:sz w:val="21"/>
        </w:rPr>
      </w:pPr>
      <w:r>
        <w:rPr>
          <w:b/>
          <w:sz w:val="21"/>
        </w:rPr>
        <w:t>周岁</w:t>
      </w:r>
      <w:r>
        <w:rPr>
          <w:sz w:val="21"/>
        </w:rPr>
        <w:t>：指按法定身份证明文件中记载的出生日期计算的年龄，自出生之日起为零周岁， 每经过一年增加一岁，不足一年的不计。</w:t>
      </w:r>
    </w:p>
    <w:p>
      <w:pPr>
        <w:pStyle w:val="ListParagraph"/>
        <w:numPr>
          <w:ilvl w:val="0"/>
          <w:numId w:val="5"/>
        </w:numPr>
        <w:tabs>
          <w:tab w:pos="543" w:val="left" w:leader="none"/>
          <w:tab w:pos="544" w:val="left" w:leader="none"/>
        </w:tabs>
        <w:spacing w:line="240" w:lineRule="auto" w:before="22" w:after="0"/>
        <w:ind w:left="543" w:right="0" w:hanging="426"/>
        <w:jc w:val="left"/>
        <w:rPr>
          <w:sz w:val="21"/>
        </w:rPr>
      </w:pPr>
      <w:r>
        <w:rPr>
          <w:b/>
          <w:w w:val="95"/>
          <w:sz w:val="21"/>
        </w:rPr>
        <w:t>意外伤害：</w:t>
      </w:r>
      <w:r>
        <w:rPr>
          <w:w w:val="95"/>
          <w:sz w:val="21"/>
        </w:rPr>
        <w:t>指遭受外来的、突发的、非本意的、非疾病的使身体受到伤害的客观事件。</w:t>
      </w:r>
    </w:p>
    <w:p>
      <w:pPr>
        <w:pStyle w:val="ListParagraph"/>
        <w:numPr>
          <w:ilvl w:val="0"/>
          <w:numId w:val="5"/>
        </w:numPr>
        <w:tabs>
          <w:tab w:pos="543" w:val="left" w:leader="none"/>
          <w:tab w:pos="544" w:val="left" w:leader="none"/>
        </w:tabs>
        <w:spacing w:line="240" w:lineRule="auto" w:before="36" w:after="0"/>
        <w:ind w:left="543" w:right="0" w:hanging="426"/>
        <w:jc w:val="left"/>
        <w:rPr>
          <w:sz w:val="21"/>
        </w:rPr>
      </w:pPr>
      <w:r>
        <w:rPr>
          <w:b/>
          <w:spacing w:val="-21"/>
          <w:w w:val="95"/>
          <w:sz w:val="21"/>
        </w:rPr>
        <w:t>重大疾病：</w:t>
      </w:r>
      <w:r>
        <w:rPr>
          <w:w w:val="95"/>
          <w:sz w:val="21"/>
        </w:rPr>
        <w:t>指由</w:t>
      </w:r>
      <w:r>
        <w:rPr>
          <w:b/>
          <w:w w:val="95"/>
          <w:sz w:val="21"/>
        </w:rPr>
        <w:t>专科医生</w:t>
      </w:r>
      <w:r>
        <w:rPr>
          <w:spacing w:val="-11"/>
          <w:w w:val="95"/>
          <w:sz w:val="21"/>
        </w:rPr>
        <w:t>明确诊断，被保险人发生的符合以下疾病定义所述条件的疾病。</w:t>
      </w:r>
    </w:p>
    <w:p>
      <w:pPr>
        <w:spacing w:after="0" w:line="240" w:lineRule="auto"/>
        <w:jc w:val="left"/>
        <w:rPr>
          <w:sz w:val="21"/>
        </w:rPr>
        <w:sectPr>
          <w:pgSz w:w="11910" w:h="16840"/>
          <w:pgMar w:header="0" w:footer="1008" w:top="1400" w:bottom="1200" w:left="1680" w:right="1580"/>
        </w:sectPr>
      </w:pPr>
    </w:p>
    <w:p>
      <w:pPr>
        <w:pStyle w:val="ListParagraph"/>
        <w:numPr>
          <w:ilvl w:val="1"/>
          <w:numId w:val="5"/>
        </w:numPr>
        <w:tabs>
          <w:tab w:pos="1244" w:val="left" w:leader="none"/>
        </w:tabs>
        <w:spacing w:line="240" w:lineRule="auto" w:before="25" w:after="0"/>
        <w:ind w:left="1243" w:right="0" w:hanging="420"/>
        <w:jc w:val="left"/>
        <w:rPr>
          <w:sz w:val="21"/>
        </w:rPr>
      </w:pPr>
      <w:r>
        <w:rPr>
          <w:spacing w:val="-1"/>
          <w:sz w:val="21"/>
        </w:rPr>
        <w:t>中国保险行业协会推荐的重大疾病种类</w:t>
      </w:r>
    </w:p>
    <w:p>
      <w:pPr>
        <w:pStyle w:val="ListParagraph"/>
        <w:numPr>
          <w:ilvl w:val="2"/>
          <w:numId w:val="5"/>
        </w:numPr>
        <w:tabs>
          <w:tab w:pos="1468" w:val="left" w:leader="none"/>
        </w:tabs>
        <w:spacing w:line="240" w:lineRule="auto" w:before="37" w:after="0"/>
        <w:ind w:left="835" w:right="0" w:firstLine="2"/>
        <w:jc w:val="left"/>
        <w:rPr>
          <w:sz w:val="21"/>
        </w:rPr>
      </w:pPr>
      <w:r>
        <w:rPr>
          <w:spacing w:val="-1"/>
          <w:sz w:val="21"/>
        </w:rPr>
        <w:t>恶性肿瘤</w:t>
      </w:r>
    </w:p>
    <w:p>
      <w:pPr>
        <w:pStyle w:val="BodyText"/>
        <w:spacing w:line="273" w:lineRule="auto"/>
        <w:ind w:left="1196" w:right="3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716" w:firstLine="29"/>
      </w:pPr>
      <w:r>
        <w:rPr/>
        <w:t>（ICD-10）的恶性肿瘤范畴。下列疾病不在保障范围内：</w:t>
      </w:r>
    </w:p>
    <w:p>
      <w:pPr>
        <w:pStyle w:val="BodyText"/>
        <w:spacing w:before="7"/>
        <w:ind w:left="1272"/>
      </w:pPr>
      <w:r>
        <w:rPr/>
        <w:t>（1）原位癌；</w:t>
      </w:r>
    </w:p>
    <w:p>
      <w:pPr>
        <w:pStyle w:val="BodyText"/>
        <w:ind w:left="1272"/>
      </w:pPr>
      <w:r>
        <w:rPr/>
        <w:t>（2）相当于Binet分期方案A期程度的慢性淋巴细胞白血病；</w:t>
      </w:r>
    </w:p>
    <w:p>
      <w:pPr>
        <w:pStyle w:val="BodyText"/>
        <w:ind w:left="1273"/>
      </w:pPr>
      <w:r>
        <w:rPr/>
        <w:t>（3）相当于Ann Arbor分期方案I期程度的何杰金氏病；</w:t>
      </w:r>
    </w:p>
    <w:p>
      <w:pPr>
        <w:pStyle w:val="BodyText"/>
        <w:ind w:left="1254"/>
      </w:pPr>
      <w:r>
        <w:rPr/>
        <w:t>（4）皮肤癌（不包括恶性黑色素瘤及已发生转移的皮肤癌）；</w:t>
      </w:r>
    </w:p>
    <w:p>
      <w:pPr>
        <w:pStyle w:val="BodyText"/>
        <w:spacing w:line="273" w:lineRule="auto" w:before="36"/>
        <w:ind w:left="1735" w:right="164" w:hanging="48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7"/>
        <w:ind w:left="1254"/>
      </w:pPr>
      <w:r>
        <w:rPr/>
        <w:t>（6）感染艾滋病病毒或患艾滋病期间所患恶性肿瘤。</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急性心肌梗塞</w:t>
      </w:r>
    </w:p>
    <w:p>
      <w:pPr>
        <w:pStyle w:val="BodyText"/>
        <w:spacing w:line="273" w:lineRule="auto"/>
        <w:ind w:left="1196" w:right="210"/>
      </w:pPr>
      <w:r>
        <w:rPr/>
        <w:t>指因冠状动脉阻塞导致的相应区域供血不足造成部分心肌坏死。须满足下列至少三项条件：</w:t>
      </w:r>
    </w:p>
    <w:p>
      <w:pPr>
        <w:pStyle w:val="BodyText"/>
        <w:spacing w:before="7"/>
        <w:ind w:left="1254"/>
      </w:pPr>
      <w:r>
        <w:rPr/>
        <w:t>（1）典型临床表现，例如急性胸痛等；</w:t>
      </w:r>
    </w:p>
    <w:p>
      <w:pPr>
        <w:pStyle w:val="BodyText"/>
        <w:spacing w:before="36"/>
        <w:ind w:left="1254"/>
      </w:pPr>
      <w:r>
        <w:rPr/>
        <w:t>（2）新近的心电图改变提示急性心肌梗塞；</w:t>
      </w:r>
    </w:p>
    <w:p>
      <w:pPr>
        <w:pStyle w:val="BodyText"/>
        <w:spacing w:line="273" w:lineRule="auto" w:before="36"/>
        <w:ind w:left="1735" w:right="141" w:hanging="482"/>
      </w:pPr>
      <w:r>
        <w:rPr/>
        <w:t>（3）心肌酶或肌钙蛋白有诊断意义的升高，或呈符合急性心肌梗塞的动态性变化；</w:t>
      </w:r>
    </w:p>
    <w:p>
      <w:pPr>
        <w:pStyle w:val="BodyText"/>
        <w:spacing w:before="7"/>
        <w:ind w:left="1254"/>
      </w:pPr>
      <w:r>
        <w:rPr/>
        <w:t>（4）发病90天后，经检查证实左心室功能降低，如左心室射血分数低于50%。</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脑中风后遗症</w:t>
      </w:r>
    </w:p>
    <w:p>
      <w:pPr>
        <w:pStyle w:val="BodyText"/>
        <w:spacing w:line="273" w:lineRule="auto"/>
        <w:ind w:left="1196" w:right="210"/>
        <w:jc w:val="both"/>
      </w:pPr>
      <w:r>
        <w:rPr/>
        <w:t>指因脑血管的突发病变引起脑血管出血、栓塞或梗塞，并导致神经系统永久性</w:t>
      </w:r>
      <w:r>
        <w:rPr>
          <w:spacing w:val="-3"/>
        </w:rPr>
        <w:t>的功能障碍。神经系统永久性的功能障碍，指疾病确诊</w:t>
      </w:r>
      <w:r>
        <w:rPr/>
        <w:t>180</w:t>
      </w:r>
      <w:r>
        <w:rPr>
          <w:spacing w:val="-2"/>
        </w:rPr>
        <w:t>天后，仍遗留下列一</w:t>
      </w:r>
      <w:r>
        <w:rPr>
          <w:spacing w:val="-1"/>
        </w:rPr>
        <w:t>种或一种以上障碍：</w:t>
      </w:r>
    </w:p>
    <w:p>
      <w:pPr>
        <w:spacing w:before="7"/>
        <w:ind w:left="1254" w:right="0" w:firstLine="0"/>
        <w:jc w:val="left"/>
        <w:rPr>
          <w:sz w:val="21"/>
        </w:rPr>
      </w:pPr>
      <w:r>
        <w:rPr>
          <w:w w:val="95"/>
          <w:sz w:val="21"/>
        </w:rPr>
        <w:t>（1）一肢或一肢以上</w:t>
      </w:r>
      <w:r>
        <w:rPr>
          <w:b/>
          <w:w w:val="95"/>
          <w:sz w:val="21"/>
        </w:rPr>
        <w:t>肢体机能完全丧失（</w:t>
      </w:r>
      <w:r>
        <w:rPr>
          <w:w w:val="95"/>
          <w:sz w:val="21"/>
        </w:rPr>
        <w:t>见</w:t>
      </w:r>
      <w:r>
        <w:rPr>
          <w:b/>
          <w:w w:val="95"/>
          <w:sz w:val="21"/>
        </w:rPr>
        <w:t>5.3.1）</w:t>
      </w:r>
      <w:r>
        <w:rPr>
          <w:w w:val="95"/>
          <w:sz w:val="21"/>
        </w:rPr>
        <w:t>；</w:t>
      </w:r>
    </w:p>
    <w:p>
      <w:pPr>
        <w:pStyle w:val="Heading2"/>
        <w:spacing w:before="36"/>
        <w:ind w:left="1253"/>
        <w:rPr>
          <w:b w:val="0"/>
        </w:rPr>
      </w:pPr>
      <w:r>
        <w:rPr>
          <w:b w:val="0"/>
          <w:w w:val="95"/>
        </w:rPr>
        <w:t>（2）</w:t>
      </w:r>
      <w:r>
        <w:rPr>
          <w:w w:val="95"/>
        </w:rPr>
        <w:t>语言能力或咀嚼吞咽能力完全丧失（</w:t>
      </w:r>
      <w:r>
        <w:rPr>
          <w:b w:val="0"/>
          <w:w w:val="95"/>
        </w:rPr>
        <w:t>见</w:t>
      </w:r>
      <w:r>
        <w:rPr>
          <w:w w:val="95"/>
        </w:rPr>
        <w:t>5.3.2）</w:t>
      </w:r>
      <w:r>
        <w:rPr>
          <w:b w:val="0"/>
          <w:w w:val="95"/>
        </w:rPr>
        <w:t>；</w:t>
      </w:r>
    </w:p>
    <w:p>
      <w:pPr>
        <w:spacing w:line="273" w:lineRule="auto" w:before="36"/>
        <w:ind w:left="1735" w:right="29" w:hanging="482"/>
        <w:jc w:val="left"/>
        <w:rPr>
          <w:sz w:val="21"/>
        </w:rPr>
      </w:pPr>
      <w:r>
        <w:rPr>
          <w:sz w:val="21"/>
        </w:rPr>
        <w:t>（3）自主生活能力完全丧失，无法独立完成</w:t>
      </w:r>
      <w:r>
        <w:rPr>
          <w:b/>
          <w:sz w:val="21"/>
        </w:rPr>
        <w:t>六项基本日常生活活动（</w:t>
      </w:r>
      <w:r>
        <w:rPr>
          <w:sz w:val="21"/>
        </w:rPr>
        <w:t>见</w:t>
      </w:r>
      <w:r>
        <w:rPr>
          <w:b/>
          <w:sz w:val="21"/>
        </w:rPr>
        <w:t>5.3.3） </w:t>
      </w:r>
      <w:r>
        <w:rPr>
          <w:sz w:val="21"/>
        </w:rPr>
        <w:t>中的三项或三项以上。</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重大器官移植术或造血干细胞移植术</w:t>
      </w:r>
    </w:p>
    <w:p>
      <w:pPr>
        <w:pStyle w:val="BodyText"/>
        <w:spacing w:line="273" w:lineRule="auto"/>
        <w:ind w:left="1196" w:right="210"/>
      </w:pPr>
      <w:r>
        <w:rPr/>
        <w:t>重大器官移植术，指因相应器官功能衰竭，已经实施了肾脏、肝脏、心脏或肺脏的异体移植手术。</w:t>
      </w:r>
    </w:p>
    <w:p>
      <w:pPr>
        <w:pStyle w:val="BodyText"/>
        <w:spacing w:line="273" w:lineRule="auto" w:before="7"/>
        <w:ind w:left="1196"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冠状动脉搭桥术</w:t>
      </w:r>
      <w:r>
        <w:rPr>
          <w:sz w:val="21"/>
        </w:rPr>
        <w:t>（或称冠状动脉旁路移植术）</w:t>
      </w:r>
    </w:p>
    <w:p>
      <w:pPr>
        <w:pStyle w:val="BodyText"/>
        <w:spacing w:line="273" w:lineRule="auto"/>
        <w:ind w:left="1196"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终末期肾病</w:t>
      </w:r>
      <w:r>
        <w:rPr>
          <w:sz w:val="21"/>
        </w:rPr>
        <w:t>（或称慢性肾功能衰竭尿毒症期）</w:t>
      </w:r>
    </w:p>
    <w:p>
      <w:pPr>
        <w:pStyle w:val="BodyText"/>
        <w:spacing w:line="273" w:lineRule="auto" w:before="36"/>
        <w:ind w:left="1196" w:right="208"/>
      </w:pPr>
      <w:r>
        <w:rPr/>
        <w:t>指双肾功能慢性不可逆性衰竭，达到尿毒症期，经诊断后已经进行了至少90天的规律性透析治疗或实施了肾脏移植手术。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多个肢体缺失</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left="1196" w:right="210"/>
      </w:pPr>
      <w:r>
        <w:rPr/>
        <w:t>指因疾病或意外伤害导致两个或两个以上肢体自腕关节或踝关节近端（靠近躯干端）以上完全性断离。</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急性或亚急性重症肝炎</w:t>
      </w:r>
    </w:p>
    <w:p>
      <w:pPr>
        <w:pStyle w:val="BodyText"/>
        <w:spacing w:line="273" w:lineRule="auto" w:before="36"/>
        <w:ind w:left="1196" w:right="210"/>
      </w:pPr>
      <w:r>
        <w:rPr/>
        <w:t>指因肝炎病毒感染引起肝脏组织弥漫性坏死，导致急性肝功能衰竭，且经血清学或病毒学检查证实，并须满足下列全部条件：</w:t>
      </w:r>
    </w:p>
    <w:p>
      <w:pPr>
        <w:pStyle w:val="BodyText"/>
        <w:spacing w:before="7"/>
        <w:ind w:left="1254"/>
        <w:jc w:val="both"/>
      </w:pPr>
      <w:r>
        <w:rPr/>
        <w:t>（1）重度黄疸或黄疸迅速加重；</w:t>
      </w:r>
    </w:p>
    <w:p>
      <w:pPr>
        <w:pStyle w:val="BodyText"/>
        <w:ind w:left="1254"/>
        <w:jc w:val="both"/>
      </w:pPr>
      <w:r>
        <w:rPr/>
        <w:t>（2）肝性脑病；</w:t>
      </w:r>
    </w:p>
    <w:p>
      <w:pPr>
        <w:pStyle w:val="BodyText"/>
        <w:ind w:left="1254"/>
        <w:jc w:val="both"/>
      </w:pPr>
      <w:r>
        <w:rPr/>
        <w:t>（3）B超或其它影像学检查显示肝脏体积急速萎缩；</w:t>
      </w:r>
    </w:p>
    <w:p>
      <w:pPr>
        <w:pStyle w:val="BodyText"/>
        <w:ind w:left="1254"/>
        <w:jc w:val="both"/>
      </w:pPr>
      <w:r>
        <w:rPr/>
        <w:t>（4）肝功能指标进行性恶化。</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良性脑肿瘤</w:t>
      </w:r>
    </w:p>
    <w:p>
      <w:pPr>
        <w:pStyle w:val="BodyText"/>
        <w:spacing w:line="273" w:lineRule="auto"/>
        <w:ind w:left="1196"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8"/>
        <w:ind w:left="1254"/>
        <w:jc w:val="both"/>
      </w:pPr>
      <w:r>
        <w:rPr/>
        <w:t>（1）实际实施了开颅进行的脑肿瘤完全切除或部分切除的手术；</w:t>
      </w:r>
    </w:p>
    <w:p>
      <w:pPr>
        <w:pStyle w:val="BodyText"/>
        <w:ind w:left="1254"/>
        <w:jc w:val="both"/>
      </w:pPr>
      <w:r>
        <w:rPr/>
        <w:t>（2）实际实施了对脑肿瘤进行的放射治疗。</w:t>
      </w:r>
    </w:p>
    <w:p>
      <w:pPr>
        <w:pStyle w:val="BodyText"/>
        <w:ind w:left="1255"/>
        <w:jc w:val="both"/>
      </w:pPr>
      <w:r>
        <w:rPr/>
        <w:t>脑垂体瘤、脑囊肿、脑血管性疾病不在保障范围内。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慢性肝功能衰竭失代偿期</w:t>
      </w:r>
    </w:p>
    <w:p>
      <w:pPr>
        <w:pStyle w:val="BodyText"/>
        <w:ind w:left="1196"/>
        <w:jc w:val="both"/>
      </w:pPr>
      <w:r>
        <w:rPr/>
        <w:t>指因慢性肝脏疾病导致肝功能衰竭。须满足下列全部条件：</w:t>
      </w:r>
    </w:p>
    <w:p>
      <w:pPr>
        <w:pStyle w:val="BodyText"/>
        <w:ind w:left="1254"/>
        <w:jc w:val="both"/>
      </w:pPr>
      <w:r>
        <w:rPr/>
        <w:t>（1）持续性黄疸；</w:t>
      </w:r>
    </w:p>
    <w:p>
      <w:pPr>
        <w:pStyle w:val="BodyText"/>
        <w:ind w:left="1254"/>
        <w:jc w:val="both"/>
      </w:pPr>
      <w:r>
        <w:rPr/>
        <w:t>（2）腹水；</w:t>
      </w:r>
    </w:p>
    <w:p>
      <w:pPr>
        <w:pStyle w:val="BodyText"/>
        <w:ind w:left="1254"/>
        <w:jc w:val="both"/>
      </w:pPr>
      <w:r>
        <w:rPr/>
        <w:t>（3）肝性脑病；</w:t>
      </w:r>
    </w:p>
    <w:p>
      <w:pPr>
        <w:pStyle w:val="BodyText"/>
        <w:spacing w:line="273" w:lineRule="auto"/>
        <w:ind w:left="1255" w:right="2244" w:hanging="2"/>
      </w:pPr>
      <w:r>
        <w:rPr/>
        <w:t>（4）充血性脾肿大伴脾功能亢进或食管胃底静脉曲张。因酗酒或药物滥用导致的肝功能衰竭不在保障范围内。</w:t>
      </w:r>
    </w:p>
    <w:p>
      <w:pPr>
        <w:pStyle w:val="ListParagraph"/>
        <w:numPr>
          <w:ilvl w:val="2"/>
          <w:numId w:val="5"/>
        </w:numPr>
        <w:tabs>
          <w:tab w:pos="1573" w:val="left" w:leader="none"/>
        </w:tabs>
        <w:spacing w:line="240" w:lineRule="auto" w:before="8" w:after="0"/>
        <w:ind w:left="1572" w:right="0" w:hanging="735"/>
        <w:jc w:val="left"/>
        <w:rPr>
          <w:sz w:val="21"/>
        </w:rPr>
      </w:pPr>
      <w:r>
        <w:rPr>
          <w:spacing w:val="-1"/>
          <w:sz w:val="21"/>
        </w:rPr>
        <w:t>脑炎后遗症或脑膜炎后遗症</w:t>
      </w:r>
    </w:p>
    <w:p>
      <w:pPr>
        <w:pStyle w:val="BodyText"/>
        <w:spacing w:line="273" w:lineRule="auto"/>
        <w:ind w:left="1196" w:right="210"/>
      </w:pPr>
      <w:r>
        <w:rPr/>
        <w:t>指因患脑炎或脑膜炎导致的神经系统永久性的功能障碍。神经系统永久性的功能障碍，指疾病确诊180天后，仍遗留下列一种或一种以上障碍：</w:t>
      </w:r>
    </w:p>
    <w:p>
      <w:pPr>
        <w:pStyle w:val="BodyText"/>
        <w:spacing w:before="7"/>
        <w:ind w:left="1254"/>
      </w:pPr>
      <w:r>
        <w:rPr/>
        <w:t>（1）一肢或一肢以上肢体机能完全丧失；</w:t>
      </w:r>
    </w:p>
    <w:p>
      <w:pPr>
        <w:pStyle w:val="BodyText"/>
        <w:spacing w:before="36"/>
        <w:ind w:left="1254"/>
      </w:pPr>
      <w:r>
        <w:rPr/>
        <w:t>（2）语言能力或咀嚼吞咽能力完全丧失；</w:t>
      </w:r>
    </w:p>
    <w:p>
      <w:pPr>
        <w:pStyle w:val="BodyText"/>
        <w:spacing w:line="273" w:lineRule="auto" w:before="36"/>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深度昏迷</w:t>
      </w:r>
    </w:p>
    <w:p>
      <w:pPr>
        <w:pStyle w:val="BodyText"/>
        <w:spacing w:line="273" w:lineRule="auto"/>
        <w:ind w:left="1196" w:right="209"/>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before="8"/>
        <w:ind w:left="1196"/>
      </w:pPr>
      <w:r>
        <w:rPr/>
        <w:t>因酗酒或药物滥用导致的深度昏迷不在保障范围内。</w:t>
      </w:r>
    </w:p>
    <w:p>
      <w:pPr>
        <w:pStyle w:val="ListParagraph"/>
        <w:numPr>
          <w:ilvl w:val="2"/>
          <w:numId w:val="5"/>
        </w:numPr>
        <w:tabs>
          <w:tab w:pos="1573" w:val="left" w:leader="none"/>
        </w:tabs>
        <w:spacing w:line="259" w:lineRule="auto" w:before="37" w:after="0"/>
        <w:ind w:left="835" w:right="213" w:firstLine="2"/>
        <w:jc w:val="left"/>
        <w:rPr>
          <w:sz w:val="21"/>
        </w:rPr>
      </w:pPr>
      <w:r>
        <w:rPr>
          <w:spacing w:val="-22"/>
          <w:sz w:val="21"/>
        </w:rPr>
        <w:t>双耳失聪</w:t>
      </w:r>
      <w:r>
        <w:rPr>
          <w:sz w:val="21"/>
        </w:rPr>
        <w:t>（</w:t>
      </w:r>
      <w:r>
        <w:rPr>
          <w:spacing w:val="-9"/>
          <w:sz w:val="21"/>
        </w:rPr>
        <w:t>被保险人在 </w:t>
      </w:r>
      <w:r>
        <w:rPr>
          <w:rFonts w:ascii="Arial" w:eastAsia="Arial"/>
          <w:sz w:val="21"/>
        </w:rPr>
        <w:t>3</w:t>
      </w:r>
      <w:r>
        <w:rPr>
          <w:rFonts w:ascii="Arial" w:eastAsia="Arial"/>
          <w:spacing w:val="-7"/>
          <w:sz w:val="21"/>
        </w:rPr>
        <w:t> </w:t>
      </w:r>
      <w:r>
        <w:rPr>
          <w:sz w:val="21"/>
        </w:rPr>
        <w:t>周岁的保险单周年日之前所患双耳失聪不在保险责任范围内）</w:t>
      </w:r>
    </w:p>
    <w:p>
      <w:pPr>
        <w:spacing w:before="20"/>
        <w:ind w:left="1196" w:right="0" w:firstLine="0"/>
        <w:jc w:val="left"/>
        <w:rPr>
          <w:sz w:val="21"/>
        </w:rPr>
      </w:pPr>
      <w:r>
        <w:rPr>
          <w:w w:val="95"/>
          <w:sz w:val="21"/>
        </w:rPr>
        <w:t>指因疾病或意外伤害导致双耳听力</w:t>
      </w:r>
      <w:r>
        <w:rPr>
          <w:b/>
          <w:w w:val="95"/>
          <w:sz w:val="21"/>
        </w:rPr>
        <w:t>永久不可逆（</w:t>
      </w:r>
      <w:r>
        <w:rPr>
          <w:w w:val="95"/>
          <w:sz w:val="21"/>
        </w:rPr>
        <w:t>见</w:t>
      </w:r>
      <w:r>
        <w:rPr>
          <w:b/>
          <w:w w:val="95"/>
          <w:sz w:val="21"/>
        </w:rPr>
        <w:t>5.3.4）</w:t>
      </w:r>
      <w:r>
        <w:rPr>
          <w:w w:val="95"/>
          <w:sz w:val="21"/>
        </w:rPr>
        <w:t>性丧失，在500赫兹、</w:t>
      </w:r>
    </w:p>
    <w:p>
      <w:pPr>
        <w:pStyle w:val="BodyText"/>
        <w:spacing w:line="273" w:lineRule="auto"/>
        <w:ind w:left="1196" w:right="213"/>
      </w:pPr>
      <w:r>
        <w:rPr/>
        <w:t>1000赫兹和2000赫兹语音频率下，平均听阈大于90分贝，且经纯音听力测试、声导抗检测或听觉诱发电位检测等证实。</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双目失明</w:t>
      </w:r>
    </w:p>
    <w:p>
      <w:pPr>
        <w:pStyle w:val="BodyText"/>
        <w:spacing w:line="273" w:lineRule="auto" w:before="36"/>
        <w:ind w:left="1196" w:right="210"/>
      </w:pPr>
      <w:r>
        <w:rPr/>
        <w:t>指因疾病或意外伤害导致双眼视力永久不可逆性丧失，双眼中较好眼须满足下列至少一项条件：</w:t>
      </w:r>
    </w:p>
    <w:p>
      <w:pPr>
        <w:spacing w:after="0" w:line="273" w:lineRule="auto"/>
        <w:sectPr>
          <w:pgSz w:w="11910" w:h="16840"/>
          <w:pgMar w:header="0" w:footer="1008" w:top="1400" w:bottom="1200" w:left="1680" w:right="1580"/>
        </w:sectPr>
      </w:pPr>
    </w:p>
    <w:p>
      <w:pPr>
        <w:pStyle w:val="BodyText"/>
        <w:spacing w:before="25"/>
        <w:ind w:left="1253"/>
      </w:pPr>
      <w:r>
        <w:rPr/>
        <w:t>（1）眼球缺失或摘除；</w:t>
      </w:r>
    </w:p>
    <w:p>
      <w:pPr>
        <w:pStyle w:val="BodyText"/>
        <w:spacing w:line="273" w:lineRule="auto"/>
        <w:ind w:left="1735" w:right="141" w:hanging="482"/>
      </w:pPr>
      <w:r>
        <w:rPr/>
        <w:t>（2）矫正视力低于0.02（采用国际标准视力表，如果使用其它视力表应进行换算）；</w:t>
      </w:r>
    </w:p>
    <w:p>
      <w:pPr>
        <w:pStyle w:val="BodyText"/>
        <w:spacing w:before="7"/>
        <w:ind w:left="1253"/>
      </w:pPr>
      <w:r>
        <w:rPr/>
        <w:t>（3）视野半径小于5度。</w:t>
      </w:r>
    </w:p>
    <w:p>
      <w:pPr>
        <w:pStyle w:val="ListParagraph"/>
        <w:numPr>
          <w:ilvl w:val="2"/>
          <w:numId w:val="5"/>
        </w:numPr>
        <w:tabs>
          <w:tab w:pos="1573" w:val="left" w:leader="none"/>
        </w:tabs>
        <w:spacing w:line="240" w:lineRule="auto" w:before="36" w:after="0"/>
        <w:ind w:left="1572" w:right="0" w:hanging="735"/>
        <w:jc w:val="left"/>
        <w:rPr>
          <w:sz w:val="21"/>
        </w:rPr>
      </w:pPr>
      <w:r>
        <w:rPr>
          <w:sz w:val="21"/>
        </w:rPr>
        <w:t>瘫痪</w:t>
      </w:r>
    </w:p>
    <w:p>
      <w:pPr>
        <w:pStyle w:val="BodyText"/>
        <w:spacing w:line="273" w:lineRule="auto" w:before="36"/>
        <w:ind w:left="1196" w:right="210"/>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心脏瓣膜手术</w:t>
      </w:r>
    </w:p>
    <w:p>
      <w:pPr>
        <w:pStyle w:val="BodyText"/>
        <w:ind w:left="1196"/>
      </w:pPr>
      <w:r>
        <w:rPr/>
        <w:t>指为治疗心脏瓣膜疾病，实际实施了开胸进行的心脏瓣膜置换或修复的手术。</w:t>
      </w:r>
    </w:p>
    <w:p>
      <w:pPr>
        <w:pStyle w:val="ListParagraph"/>
        <w:numPr>
          <w:ilvl w:val="2"/>
          <w:numId w:val="5"/>
        </w:numPr>
        <w:tabs>
          <w:tab w:pos="1573" w:val="left" w:leader="none"/>
        </w:tabs>
        <w:spacing w:line="240" w:lineRule="auto" w:before="37" w:after="0"/>
        <w:ind w:left="1572" w:right="0" w:hanging="735"/>
        <w:jc w:val="left"/>
        <w:rPr>
          <w:rFonts w:ascii="Arial" w:eastAsia="Arial"/>
          <w:sz w:val="21"/>
        </w:rPr>
      </w:pPr>
      <w:r>
        <w:rPr>
          <w:spacing w:val="-1"/>
          <w:sz w:val="21"/>
        </w:rPr>
        <w:t>严重阿尔茨海默病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2"/>
        <w:ind w:left="1196" w:right="107"/>
      </w:pPr>
      <w:r>
        <w:rPr/>
        <w:t>指因大脑进行性、不可逆性改变导致智能严重衰退或丧失，临床表现为明显的</w:t>
      </w:r>
      <w:r>
        <w:rPr>
          <w:spacing w:val="-2"/>
        </w:rPr>
        <w:t>认知能力障碍、行为异常和社交能力减退，其日常生活必须持续受到他人监护。</w:t>
      </w:r>
      <w:r>
        <w:rPr>
          <w:spacing w:val="-3"/>
        </w:rPr>
        <w:t>须由头颅断层扫描</w:t>
      </w:r>
      <w:r>
        <w:rPr/>
        <w:t>（CT）</w:t>
      </w:r>
      <w:r>
        <w:rPr>
          <w:spacing w:val="-3"/>
        </w:rPr>
        <w:t>、核磁共振检查</w:t>
      </w:r>
      <w:r>
        <w:rPr/>
        <w:t>（MRI）</w:t>
      </w:r>
      <w:r>
        <w:rPr>
          <w:spacing w:val="-1"/>
        </w:rPr>
        <w:t>或正电子发射断层扫描</w:t>
      </w:r>
      <w:r>
        <w:rPr/>
        <w:t>（PET） 等影像学检查证实，且自主生活能力完全丧失，无法独立完成六项基本日常生</w:t>
      </w:r>
      <w:r>
        <w:rPr>
          <w:spacing w:val="-1"/>
        </w:rPr>
        <w:t>活活动中的三项或三项以上。</w:t>
      </w:r>
    </w:p>
    <w:p>
      <w:pPr>
        <w:pStyle w:val="BodyText"/>
        <w:spacing w:before="7"/>
        <w:ind w:left="1196"/>
      </w:pPr>
      <w:r>
        <w:rPr/>
        <w:t>神经官能症和精神疾病不在保障范围内。</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严重脑损伤</w:t>
      </w:r>
    </w:p>
    <w:p>
      <w:pPr>
        <w:pStyle w:val="BodyText"/>
        <w:spacing w:line="273" w:lineRule="auto" w:before="36"/>
        <w:ind w:left="1196" w:right="169"/>
      </w:pPr>
      <w:r>
        <w:rPr/>
        <w:t>指因头部遭受机械性外力，引起脑重要部位损伤，导致神经系统永久性的功能障碍。须由头颅断层扫描（CT）、核磁共振检查（MRI）或正电子发射断层扫描</w:t>
      </w:r>
    </w:p>
    <w:p>
      <w:pPr>
        <w:pStyle w:val="BodyText"/>
        <w:spacing w:line="273" w:lineRule="auto" w:before="7"/>
        <w:ind w:left="1196" w:right="211"/>
      </w:pPr>
      <w:r>
        <w:rPr/>
        <w:t>（PET）等影像学检查证实。神经系统永久性的功能障碍，指脑损伤180天后， 仍遗留下列一种或一种以上障碍：</w:t>
      </w:r>
    </w:p>
    <w:p>
      <w:pPr>
        <w:pStyle w:val="BodyText"/>
        <w:spacing w:before="7"/>
        <w:ind w:left="1253"/>
      </w:pPr>
      <w:r>
        <w:rPr/>
        <w:t>（1）一肢或一肢以上肢体机能完全丧失；</w:t>
      </w:r>
    </w:p>
    <w:p>
      <w:pPr>
        <w:pStyle w:val="BodyText"/>
        <w:spacing w:before="36"/>
        <w:ind w:left="1253"/>
      </w:pPr>
      <w:r>
        <w:rPr/>
        <w:t>（2）语言能力或咀嚼吞咽能力完全丧失；</w:t>
      </w:r>
    </w:p>
    <w:p>
      <w:pPr>
        <w:pStyle w:val="BodyText"/>
        <w:spacing w:line="273" w:lineRule="auto" w:before="36"/>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rFonts w:ascii="Arial" w:eastAsia="Arial"/>
          <w:sz w:val="21"/>
        </w:rPr>
      </w:pPr>
      <w:r>
        <w:rPr>
          <w:spacing w:val="-1"/>
          <w:sz w:val="21"/>
        </w:rPr>
        <w:t>严重帕金森病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2"/>
        <w:ind w:left="1196" w:right="210"/>
      </w:pPr>
      <w:r>
        <w:rPr/>
        <w:t>是一种中枢神经系统的退行性疾病，临床表现为震颤麻痹、共济失调等。须满足下列全部条件：</w:t>
      </w:r>
    </w:p>
    <w:p>
      <w:pPr>
        <w:pStyle w:val="BodyText"/>
        <w:spacing w:before="7"/>
        <w:ind w:left="1253"/>
      </w:pPr>
      <w:r>
        <w:rPr/>
        <w:t>（1）药物治疗无法控制病情；</w:t>
      </w:r>
    </w:p>
    <w:p>
      <w:pPr>
        <w:pStyle w:val="BodyText"/>
        <w:spacing w:line="273" w:lineRule="auto" w:before="36"/>
        <w:ind w:left="1735" w:right="141" w:hanging="482"/>
      </w:pPr>
      <w:r>
        <w:rPr/>
        <w:t>（2）自主生活能力完全丧失，无法独立完成六项基本日常生活活动中的三项或三项以上。</w:t>
      </w:r>
    </w:p>
    <w:p>
      <w:pPr>
        <w:pStyle w:val="BodyText"/>
        <w:spacing w:before="7"/>
        <w:ind w:left="1196"/>
      </w:pPr>
      <w:r>
        <w:rPr/>
        <w:t>继发性帕金森综合征不在保障范围内。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严重Ⅲ度烧伤</w:t>
      </w:r>
    </w:p>
    <w:p>
      <w:pPr>
        <w:pStyle w:val="BodyText"/>
        <w:spacing w:line="273" w:lineRule="auto"/>
        <w:ind w:left="1196" w:right="210"/>
      </w:pPr>
      <w:r>
        <w:rPr/>
        <w:t>指烧伤程度为Ⅲ度，且Ⅲ度烧伤的面积达到全身体表面积的20％或20％以上。体表面积根据《中国新九分法》计算。</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严重原发性肺动脉高压</w:t>
      </w:r>
    </w:p>
    <w:p>
      <w:pPr>
        <w:pStyle w:val="BodyText"/>
        <w:spacing w:line="273" w:lineRule="auto" w:before="36"/>
        <w:ind w:left="1196" w:right="21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严重运动神经元病</w:t>
      </w:r>
    </w:p>
    <w:p>
      <w:pPr>
        <w:pStyle w:val="BodyText"/>
        <w:spacing w:line="273" w:lineRule="auto"/>
        <w:ind w:left="1196" w:right="21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w:t>
      </w:r>
    </w:p>
    <w:p>
      <w:pPr>
        <w:spacing w:after="0" w:line="273" w:lineRule="auto"/>
        <w:jc w:val="both"/>
        <w:sectPr>
          <w:pgSz w:w="11910" w:h="16840"/>
          <w:pgMar w:header="0" w:footer="1008" w:top="1400" w:bottom="1200" w:left="1680" w:right="1580"/>
        </w:sectPr>
      </w:pPr>
    </w:p>
    <w:p>
      <w:pPr>
        <w:pStyle w:val="BodyText"/>
        <w:spacing w:before="25"/>
        <w:ind w:left="1196"/>
      </w:pPr>
      <w:r>
        <w:rPr/>
        <w:t>条件。</w:t>
      </w:r>
    </w:p>
    <w:p>
      <w:pPr>
        <w:pStyle w:val="ListParagraph"/>
        <w:numPr>
          <w:ilvl w:val="2"/>
          <w:numId w:val="5"/>
        </w:numPr>
        <w:tabs>
          <w:tab w:pos="1573" w:val="left" w:leader="none"/>
        </w:tabs>
        <w:spacing w:line="273" w:lineRule="auto" w:before="37" w:after="0"/>
        <w:ind w:left="835" w:right="213" w:firstLine="2"/>
        <w:jc w:val="left"/>
        <w:rPr>
          <w:sz w:val="21"/>
        </w:rPr>
      </w:pPr>
      <w:r>
        <w:rPr>
          <w:spacing w:val="-1"/>
          <w:sz w:val="21"/>
        </w:rPr>
        <w:t>语言能力丧失 </w:t>
      </w:r>
      <w:r>
        <w:rPr>
          <w:sz w:val="21"/>
        </w:rPr>
        <w:t>（</w:t>
      </w:r>
      <w:r>
        <w:rPr>
          <w:spacing w:val="-7"/>
          <w:sz w:val="21"/>
        </w:rPr>
        <w:t>被保险人在 </w:t>
      </w:r>
      <w:r>
        <w:rPr>
          <w:sz w:val="21"/>
        </w:rPr>
        <w:t>3</w:t>
      </w:r>
      <w:r>
        <w:rPr>
          <w:spacing w:val="-6"/>
          <w:sz w:val="21"/>
        </w:rPr>
        <w:t> 周岁的保险单周年日之前所患语言能力丧失不在保险责任范围内）</w:t>
      </w:r>
    </w:p>
    <w:p>
      <w:pPr>
        <w:pStyle w:val="BodyText"/>
        <w:spacing w:line="273" w:lineRule="auto" w:before="7"/>
        <w:ind w:left="1196" w:right="209"/>
      </w:pPr>
      <w:r>
        <w:rPr/>
        <w:t>指因疾病或意外伤害导致完全丧失语言能力，经过积极治疗至少12个月（声带完全切除不受此时间限制），仍无法通过现有医疗手段恢复。</w:t>
      </w:r>
    </w:p>
    <w:p>
      <w:pPr>
        <w:pStyle w:val="BodyText"/>
        <w:spacing w:before="7"/>
        <w:ind w:left="1196"/>
      </w:pPr>
      <w:r>
        <w:rPr/>
        <w:t>精神心理因素所致的语言能力丧失不在保障范围内。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重型再生障碍性贫血</w:t>
      </w:r>
    </w:p>
    <w:p>
      <w:pPr>
        <w:pStyle w:val="BodyText"/>
        <w:spacing w:line="273" w:lineRule="auto"/>
        <w:ind w:left="1196" w:right="65"/>
      </w:pPr>
      <w:r>
        <w:rPr/>
        <w:t>指因骨髓造血功能慢性持续性衰竭导致的贫血、中性粒细胞减少及血小板减少。须满足下列全部条件：</w:t>
      </w:r>
    </w:p>
    <w:p>
      <w:pPr>
        <w:pStyle w:val="BodyText"/>
        <w:spacing w:before="7"/>
        <w:ind w:left="1254"/>
        <w:jc w:val="both"/>
      </w:pPr>
      <w:r>
        <w:rPr/>
        <w:t>（1）骨髓穿刺检查或骨髓活检结果支持诊断；</w:t>
      </w:r>
    </w:p>
    <w:p>
      <w:pPr>
        <w:pStyle w:val="BodyText"/>
        <w:spacing w:before="36"/>
        <w:ind w:left="1254"/>
        <w:jc w:val="both"/>
      </w:pPr>
      <w:r>
        <w:rPr/>
        <w:t>（2）外周血象须具备以下三项条件：</w:t>
      </w:r>
    </w:p>
    <w:p>
      <w:pPr>
        <w:pStyle w:val="BodyText"/>
        <w:spacing w:before="36"/>
        <w:ind w:left="1395"/>
      </w:pPr>
      <w:r>
        <w:rPr/>
        <w:t>① 中性粒细胞绝对值≤0.5×10</w:t>
      </w:r>
      <w:r>
        <w:rPr>
          <w:position w:val="11"/>
          <w:sz w:val="11"/>
        </w:rPr>
        <w:t>9</w:t>
      </w:r>
      <w:r>
        <w:rPr/>
        <w:t>/L ；</w:t>
      </w:r>
    </w:p>
    <w:p>
      <w:pPr>
        <w:pStyle w:val="BodyText"/>
        <w:spacing w:before="36"/>
        <w:ind w:left="1395"/>
      </w:pPr>
      <w:r>
        <w:rPr/>
        <w:t>② 网织红细胞＜1%；</w:t>
      </w:r>
    </w:p>
    <w:p>
      <w:pPr>
        <w:pStyle w:val="BodyText"/>
        <w:spacing w:before="36"/>
        <w:ind w:left="1395"/>
      </w:pPr>
      <w:r>
        <w:rPr/>
        <w:t>③ 血小板绝对值≤20×10</w:t>
      </w:r>
      <w:r>
        <w:rPr>
          <w:position w:val="11"/>
          <w:sz w:val="11"/>
        </w:rPr>
        <w:t>9</w:t>
      </w:r>
      <w:r>
        <w:rPr/>
        <w:t>/L。</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主动脉手术</w:t>
      </w:r>
    </w:p>
    <w:p>
      <w:pPr>
        <w:pStyle w:val="BodyText"/>
        <w:spacing w:line="273" w:lineRule="auto" w:before="36"/>
        <w:ind w:left="1196" w:right="21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1196"/>
      </w:pPr>
      <w:r>
        <w:rPr/>
        <w:t>动脉内血管成形术不在保障范围内。</w:t>
      </w:r>
    </w:p>
    <w:p>
      <w:pPr>
        <w:pStyle w:val="ListParagraph"/>
        <w:numPr>
          <w:ilvl w:val="1"/>
          <w:numId w:val="6"/>
        </w:numPr>
        <w:tabs>
          <w:tab w:pos="1245" w:val="left" w:leader="none"/>
        </w:tabs>
        <w:spacing w:line="240" w:lineRule="auto" w:before="37" w:after="0"/>
        <w:ind w:left="1244" w:right="0" w:hanging="421"/>
        <w:jc w:val="left"/>
        <w:rPr>
          <w:sz w:val="21"/>
        </w:rPr>
      </w:pPr>
      <w:r>
        <w:rPr>
          <w:spacing w:val="-1"/>
          <w:sz w:val="21"/>
        </w:rPr>
        <w:t>本合同特有的重大疾病种类</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严重心肌病</w:t>
      </w:r>
    </w:p>
    <w:p>
      <w:pPr>
        <w:spacing w:line="273" w:lineRule="auto" w:before="37"/>
        <w:ind w:left="1196" w:right="207" w:firstLine="0"/>
        <w:jc w:val="both"/>
        <w:rPr>
          <w:sz w:val="21"/>
        </w:rPr>
      </w:pPr>
      <w:r>
        <w:rPr>
          <w:sz w:val="21"/>
        </w:rPr>
        <w:t>指被保险人经</w:t>
      </w:r>
      <w:r>
        <w:rPr>
          <w:b/>
          <w:sz w:val="21"/>
        </w:rPr>
        <w:t>医院</w:t>
      </w:r>
      <w:r>
        <w:rPr>
          <w:sz w:val="21"/>
        </w:rPr>
        <w:t>的心脏专科医生确诊被保险人因各种病因而出现的心室功能障碍而使其出现明显的心功能衰竭(至少达</w:t>
      </w:r>
      <w:r>
        <w:rPr>
          <w:b/>
          <w:sz w:val="21"/>
        </w:rPr>
        <w:t>纽约心脏病协会分类标准心功能四级（</w:t>
      </w:r>
      <w:r>
        <w:rPr>
          <w:sz w:val="21"/>
        </w:rPr>
        <w:t>见</w:t>
      </w:r>
      <w:r>
        <w:rPr>
          <w:b/>
          <w:sz w:val="21"/>
        </w:rPr>
        <w:t>5.3.5)</w:t>
      </w:r>
      <w:r>
        <w:rPr>
          <w:sz w:val="21"/>
        </w:rPr>
        <w:t>）。本保障范围内的心肌病包括扩张型心肌病、肥厚型心肌病及限制型心肌病。</w:t>
      </w:r>
    </w:p>
    <w:p>
      <w:pPr>
        <w:pStyle w:val="BodyText"/>
        <w:spacing w:before="7"/>
        <w:ind w:left="1196"/>
      </w:pPr>
      <w:r>
        <w:rPr/>
        <w:t>继发于酒精滥用性的心肌病不在此保障范围之内。</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肌营养不良症</w:t>
      </w:r>
    </w:p>
    <w:p>
      <w:pPr>
        <w:pStyle w:val="BodyText"/>
        <w:spacing w:line="273" w:lineRule="auto" w:before="36"/>
        <w:ind w:left="1196" w:right="207"/>
        <w:jc w:val="both"/>
      </w:pPr>
      <w:r>
        <w:rPr/>
        <w:t>是一组遗传性肌肉病变,临床特征为与神经系统无关的肌肉无力和肌肉萎缩。该疾病诊断需由神经内科主任级医师确诊,并提供肌电图显示有典型肌营养不良症阳性改变的证据及符合肌营养不良症的肌肉细胞变性、坏死等阳性改变的肌肉活检的病理学报告。须满足自主生活能力完全丧失，无法独立完成六项基本日常生活活动中的三项或三项以上的条件。</w:t>
      </w:r>
    </w:p>
    <w:p>
      <w:pPr>
        <w:pStyle w:val="BodyText"/>
        <w:spacing w:before="7"/>
        <w:ind w:left="1196"/>
      </w:pPr>
      <w:r>
        <w:rPr/>
        <w:t>本合同责任免除中的遗传性疾病规定，不适用于本项疾病。</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终末期肺病</w:t>
      </w:r>
    </w:p>
    <w:p>
      <w:pPr>
        <w:pStyle w:val="BodyText"/>
        <w:spacing w:line="273" w:lineRule="auto"/>
        <w:ind w:left="1196" w:right="210"/>
      </w:pPr>
      <w:r>
        <w:rPr/>
        <w:t>指被保险人必须经医院的呼吸科专科医生确诊患有终末期肺病而出现慢性呼吸功能衰竭，其诊断标准包括以下各项：</w:t>
      </w:r>
    </w:p>
    <w:p>
      <w:pPr>
        <w:pStyle w:val="BodyText"/>
        <w:spacing w:before="7"/>
        <w:ind w:left="1254"/>
        <w:jc w:val="both"/>
      </w:pPr>
      <w:r>
        <w:rPr/>
        <w:t>（1）肺功能测试其FEV1持续低于1升；</w:t>
      </w:r>
    </w:p>
    <w:p>
      <w:pPr>
        <w:pStyle w:val="BodyText"/>
        <w:spacing w:before="36"/>
        <w:ind w:left="1254"/>
        <w:jc w:val="both"/>
      </w:pPr>
      <w:r>
        <w:rPr/>
        <w:t>（2）病人血氧不足必须持续地进行输氧治疗；</w:t>
      </w:r>
    </w:p>
    <w:p>
      <w:pPr>
        <w:pStyle w:val="BodyText"/>
        <w:spacing w:before="36"/>
        <w:ind w:left="1254"/>
        <w:jc w:val="both"/>
      </w:pPr>
      <w:r>
        <w:rPr/>
        <w:t>（3）动脉血气分析氧分压等于或低于55mmHg；</w:t>
      </w:r>
    </w:p>
    <w:p>
      <w:pPr>
        <w:pStyle w:val="BodyText"/>
        <w:spacing w:before="36"/>
        <w:ind w:left="1254"/>
        <w:jc w:val="both"/>
      </w:pPr>
      <w:r>
        <w:rPr/>
        <w:t>（4）休息时出现呼吸困难。</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多发性硬化症</w:t>
      </w:r>
    </w:p>
    <w:p>
      <w:pPr>
        <w:pStyle w:val="BodyText"/>
        <w:spacing w:line="273" w:lineRule="auto" w:before="36"/>
        <w:ind w:left="1196" w:right="207"/>
        <w:jc w:val="both"/>
      </w:pPr>
      <w:r>
        <w:rPr/>
        <w:t>指被保险人因脑及脊髓内的脱髓鞘病变而出现的时间超过至少6个月以上的神经系统多部位的病变。该病必须经医院的神经科专科医生确诊，并且有神经系统一次以上的发作，而出现有永久性损害的证据，包括累及视神经、脑干、脊</w:t>
      </w:r>
    </w:p>
    <w:p>
      <w:pPr>
        <w:spacing w:after="0" w:line="273" w:lineRule="auto"/>
        <w:jc w:val="both"/>
        <w:sectPr>
          <w:pgSz w:w="11910" w:h="16840"/>
          <w:pgMar w:header="0" w:footer="1008" w:top="1400" w:bottom="1200" w:left="1680" w:right="1580"/>
        </w:sectPr>
      </w:pPr>
    </w:p>
    <w:p>
      <w:pPr>
        <w:pStyle w:val="BodyText"/>
        <w:spacing w:before="25"/>
        <w:ind w:left="1196"/>
      </w:pPr>
      <w:r>
        <w:rPr/>
        <w:t>髓，出现有共济失调或感觉障碍。</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严重类风湿性关节炎</w:t>
      </w:r>
    </w:p>
    <w:p>
      <w:pPr>
        <w:pStyle w:val="BodyText"/>
        <w:spacing w:line="273" w:lineRule="auto"/>
        <w:ind w:left="1196" w:right="110"/>
        <w:jc w:val="both"/>
      </w:pPr>
      <w:r>
        <w:rPr/>
        <w:t>指广泛的关节损坏,临床上存在三个或三个以上下列关节的畸形:手、腕、肘、颈椎、膝、踝、或足部跖趾关节。须满足自主生活能力完全丧失，无法独立完成六项基本日常生活活动中的三项或三项以上的条件。</w:t>
      </w:r>
    </w:p>
    <w:p>
      <w:pPr>
        <w:pStyle w:val="BodyText"/>
        <w:spacing w:before="7"/>
        <w:ind w:left="1196"/>
      </w:pPr>
      <w:r>
        <w:rPr/>
        <w:t>上述畸形及功能异常须持续至少达180天。</w:t>
      </w:r>
    </w:p>
    <w:p>
      <w:pPr>
        <w:pStyle w:val="ListParagraph"/>
        <w:numPr>
          <w:ilvl w:val="2"/>
          <w:numId w:val="6"/>
        </w:numPr>
        <w:tabs>
          <w:tab w:pos="1468" w:val="left" w:leader="none"/>
        </w:tabs>
        <w:spacing w:line="240" w:lineRule="auto" w:before="36" w:after="0"/>
        <w:ind w:left="1467" w:right="0" w:hanging="630"/>
        <w:jc w:val="left"/>
        <w:rPr>
          <w:sz w:val="21"/>
        </w:rPr>
      </w:pPr>
      <w:r>
        <w:rPr>
          <w:spacing w:val="-1"/>
          <w:sz w:val="21"/>
        </w:rPr>
        <w:t>经输血导致的人类免疫缺陷病毒感染</w:t>
      </w:r>
    </w:p>
    <w:p>
      <w:pPr>
        <w:pStyle w:val="BodyText"/>
        <w:spacing w:line="273" w:lineRule="auto" w:before="36"/>
        <w:ind w:left="1196" w:right="110"/>
      </w:pPr>
      <w:r>
        <w:rPr/>
        <w:t>指在有权从事输血治疗的正规医疗机构接受输血服务而被输入感染的血液或血制品。血清出现艾滋病病毒感染必须发生在接受输血后6个月内。</w:t>
      </w:r>
    </w:p>
    <w:p>
      <w:pPr>
        <w:pStyle w:val="ListParagraph"/>
        <w:numPr>
          <w:ilvl w:val="2"/>
          <w:numId w:val="6"/>
        </w:numPr>
        <w:tabs>
          <w:tab w:pos="1469" w:val="left" w:leader="none"/>
        </w:tabs>
        <w:spacing w:line="240" w:lineRule="auto" w:before="7" w:after="0"/>
        <w:ind w:left="1468" w:right="0" w:hanging="631"/>
        <w:jc w:val="left"/>
        <w:rPr>
          <w:sz w:val="21"/>
        </w:rPr>
      </w:pPr>
      <w:r>
        <w:rPr>
          <w:spacing w:val="-1"/>
          <w:sz w:val="21"/>
        </w:rPr>
        <w:t>系统性红斑狼疮伴肾炎</w:t>
      </w:r>
    </w:p>
    <w:p>
      <w:pPr>
        <w:pStyle w:val="BodyText"/>
        <w:spacing w:line="273" w:lineRule="auto"/>
        <w:ind w:left="1196" w:right="110"/>
      </w:pPr>
      <w:r>
        <w:rPr/>
        <w:t>指以产生多种自身抗体，并由免疫反应介导的炎症为特征的自身免疫性疾病。系统性红斑狼疮的诊断必须有医院合格的免疫学专科医生依据作出。</w:t>
      </w:r>
    </w:p>
    <w:p>
      <w:pPr>
        <w:spacing w:line="273" w:lineRule="auto" w:before="7"/>
        <w:ind w:left="1196" w:right="110" w:firstLine="0"/>
        <w:jc w:val="both"/>
        <w:rPr>
          <w:sz w:val="21"/>
        </w:rPr>
      </w:pPr>
      <w:r>
        <w:rPr>
          <w:sz w:val="21"/>
        </w:rPr>
        <w:t>本合同所保障的系统性红斑狼疮仅限于累及肾脏的状况，且经肾脏活检确认， </w:t>
      </w:r>
      <w:r>
        <w:rPr>
          <w:w w:val="95"/>
          <w:sz w:val="21"/>
        </w:rPr>
        <w:t>符合</w:t>
      </w:r>
      <w:r>
        <w:rPr>
          <w:b/>
          <w:spacing w:val="-1"/>
          <w:w w:val="95"/>
          <w:sz w:val="21"/>
        </w:rPr>
        <w:t>世界卫生组织关于狼疮性肾炎诊断标准</w:t>
      </w:r>
      <w:r>
        <w:rPr>
          <w:b/>
          <w:w w:val="95"/>
          <w:sz w:val="21"/>
        </w:rPr>
        <w:t>（</w:t>
      </w:r>
      <w:r>
        <w:rPr>
          <w:w w:val="95"/>
          <w:sz w:val="21"/>
        </w:rPr>
        <w:t>见</w:t>
      </w:r>
      <w:r>
        <w:rPr>
          <w:b/>
          <w:w w:val="95"/>
          <w:sz w:val="21"/>
        </w:rPr>
        <w:t>5.3.6）</w:t>
      </w:r>
      <w:r>
        <w:rPr>
          <w:spacing w:val="-2"/>
          <w:w w:val="95"/>
          <w:sz w:val="21"/>
        </w:rPr>
        <w:t>第三型至第四型，并伴  </w:t>
      </w:r>
      <w:r>
        <w:rPr>
          <w:spacing w:val="-1"/>
          <w:sz w:val="21"/>
        </w:rPr>
        <w:t>有持续性蛋白尿</w:t>
      </w:r>
      <w:r>
        <w:rPr>
          <w:sz w:val="21"/>
        </w:rPr>
        <w:t>（尿蛋白++以上）。</w:t>
      </w:r>
    </w:p>
    <w:p>
      <w:pPr>
        <w:pStyle w:val="BodyText"/>
        <w:spacing w:line="273" w:lineRule="auto" w:before="7"/>
        <w:ind w:left="1196" w:right="110"/>
      </w:pPr>
      <w:r>
        <w:rPr/>
        <w:t>系统性红斑狼疮的诊断依据国际普遍认可的美国风湿病学会所修订的最新诊断标准。</w:t>
      </w:r>
    </w:p>
    <w:p>
      <w:pPr>
        <w:pStyle w:val="ListParagraph"/>
        <w:numPr>
          <w:ilvl w:val="1"/>
          <w:numId w:val="7"/>
        </w:numPr>
        <w:tabs>
          <w:tab w:pos="1193" w:val="left" w:leader="none"/>
        </w:tabs>
        <w:spacing w:line="240" w:lineRule="auto" w:before="7" w:after="0"/>
        <w:ind w:left="1192" w:right="0" w:hanging="369"/>
        <w:jc w:val="left"/>
        <w:rPr>
          <w:sz w:val="21"/>
        </w:rPr>
      </w:pPr>
      <w:r>
        <w:rPr>
          <w:spacing w:val="-1"/>
          <w:sz w:val="21"/>
        </w:rPr>
        <w:t>重大疾病术语释义</w:t>
      </w:r>
    </w:p>
    <w:p>
      <w:pPr>
        <w:pStyle w:val="ListParagraph"/>
        <w:numPr>
          <w:ilvl w:val="2"/>
          <w:numId w:val="7"/>
        </w:numPr>
        <w:tabs>
          <w:tab w:pos="1469" w:val="left" w:leader="none"/>
        </w:tabs>
        <w:spacing w:line="240" w:lineRule="auto" w:before="36" w:after="0"/>
        <w:ind w:left="1465" w:right="0" w:hanging="628"/>
        <w:jc w:val="left"/>
        <w:rPr>
          <w:sz w:val="21"/>
        </w:rPr>
      </w:pPr>
      <w:r>
        <w:rPr>
          <w:spacing w:val="-1"/>
          <w:sz w:val="21"/>
        </w:rPr>
        <w:t>肢体机能完全丧失</w:t>
      </w:r>
    </w:p>
    <w:p>
      <w:pPr>
        <w:pStyle w:val="BodyText"/>
        <w:spacing w:line="273" w:lineRule="auto" w:before="36"/>
        <w:ind w:left="1467" w:right="112"/>
        <w:jc w:val="both"/>
      </w:pPr>
      <w:r>
        <w:rPr/>
        <w:t>指肢体的三大关节中的两大关节僵硬，或不能随意识活动。肢体是指包括肩关节的整个上肢或包括髋关节的整个下肢。</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语言能力或咀嚼吞咽能力完全丧失</w:t>
      </w:r>
    </w:p>
    <w:p>
      <w:pPr>
        <w:pStyle w:val="BodyText"/>
        <w:spacing w:line="273" w:lineRule="auto"/>
        <w:ind w:left="1467" w:right="112"/>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467" w:right="112"/>
        <w:jc w:val="both"/>
      </w:pPr>
      <w:r>
        <w:rPr/>
        <w:t>咀嚼吞咽能力完全丧失，指因牙齿以外的原因导致器质障碍或机能障碍，以致不能作咀嚼吞咽运动，除流质食物外不能摄取或吞咽的状态。</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六项基本日常生活活动</w:t>
      </w:r>
    </w:p>
    <w:p>
      <w:pPr>
        <w:pStyle w:val="BodyText"/>
        <w:ind w:left="1255"/>
        <w:jc w:val="both"/>
      </w:pPr>
      <w:r>
        <w:rPr/>
        <w:t>（1）穿衣：自己能够穿衣及脱衣；</w:t>
      </w:r>
    </w:p>
    <w:p>
      <w:pPr>
        <w:pStyle w:val="BodyText"/>
        <w:ind w:left="1255"/>
        <w:jc w:val="both"/>
      </w:pPr>
      <w:r>
        <w:rPr/>
        <w:t>（2）移动：自己从一个房间到另一个房间；</w:t>
      </w:r>
    </w:p>
    <w:p>
      <w:pPr>
        <w:pStyle w:val="BodyText"/>
        <w:ind w:left="1255"/>
        <w:jc w:val="both"/>
      </w:pPr>
      <w:r>
        <w:rPr/>
        <w:t>（3）行动：自己上下床或上下轮椅；</w:t>
      </w:r>
    </w:p>
    <w:p>
      <w:pPr>
        <w:pStyle w:val="BodyText"/>
        <w:ind w:left="1255"/>
        <w:jc w:val="both"/>
      </w:pPr>
      <w:r>
        <w:rPr/>
        <w:t>（4）如厕：自己控制进行大小便；</w:t>
      </w:r>
    </w:p>
    <w:p>
      <w:pPr>
        <w:pStyle w:val="BodyText"/>
        <w:ind w:left="1255"/>
        <w:jc w:val="both"/>
      </w:pPr>
      <w:r>
        <w:rPr/>
        <w:t>（5）进食：自己从已准备好的碗或碟中取食物放入口中；</w:t>
      </w:r>
    </w:p>
    <w:p>
      <w:pPr>
        <w:pStyle w:val="BodyText"/>
        <w:ind w:left="1255"/>
        <w:jc w:val="both"/>
      </w:pPr>
      <w:r>
        <w:rPr/>
        <w:t>（6）洗澡：自己进行淋浴或盆浴。</w:t>
      </w:r>
    </w:p>
    <w:p>
      <w:pPr>
        <w:pStyle w:val="ListParagraph"/>
        <w:numPr>
          <w:ilvl w:val="2"/>
          <w:numId w:val="7"/>
        </w:numPr>
        <w:tabs>
          <w:tab w:pos="1416" w:val="left" w:leader="none"/>
        </w:tabs>
        <w:spacing w:line="240" w:lineRule="auto" w:before="37" w:after="0"/>
        <w:ind w:left="1415" w:right="0" w:hanging="578"/>
        <w:jc w:val="left"/>
        <w:rPr>
          <w:sz w:val="21"/>
        </w:rPr>
      </w:pPr>
      <w:r>
        <w:rPr>
          <w:spacing w:val="-1"/>
          <w:sz w:val="21"/>
        </w:rPr>
        <w:t>永久不可逆</w:t>
      </w:r>
    </w:p>
    <w:p>
      <w:pPr>
        <w:pStyle w:val="BodyText"/>
        <w:spacing w:line="273" w:lineRule="auto"/>
        <w:ind w:left="1467" w:right="111"/>
        <w:jc w:val="both"/>
      </w:pPr>
      <w:r>
        <w:rPr>
          <w:spacing w:val="-2"/>
        </w:rPr>
        <w:t>指自疾病确诊或意外伤害发生之日起，经过积极治疗 </w:t>
      </w:r>
      <w:r>
        <w:rPr/>
        <w:t>180</w:t>
      </w:r>
      <w:r>
        <w:rPr>
          <w:spacing w:val="-6"/>
        </w:rPr>
        <w:t> 天后，仍无法通过现有医疗手段恢复。</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纽约心脏病协会分类标准心功能四级</w:t>
      </w:r>
    </w:p>
    <w:p>
      <w:pPr>
        <w:pStyle w:val="BodyText"/>
        <w:spacing w:line="273" w:lineRule="auto" w:before="36"/>
        <w:ind w:left="1467" w:right="112"/>
        <w:jc w:val="both"/>
      </w:pPr>
      <w:r>
        <w:rPr/>
        <w:t>指尽管病人已进行了药物治疗及饮食调节，但其在日常活动中仍出现心衰的症状，并且体检及实验室检查显示有心功能异常的证据。</w:t>
      </w:r>
    </w:p>
    <w:p>
      <w:pPr>
        <w:pStyle w:val="ListParagraph"/>
        <w:numPr>
          <w:ilvl w:val="2"/>
          <w:numId w:val="7"/>
        </w:numPr>
        <w:tabs>
          <w:tab w:pos="1416" w:val="left" w:leader="none"/>
        </w:tabs>
        <w:spacing w:line="273" w:lineRule="auto" w:before="7" w:after="0"/>
        <w:ind w:left="1465" w:right="3557" w:hanging="628"/>
        <w:jc w:val="left"/>
        <w:rPr>
          <w:sz w:val="21"/>
        </w:rPr>
      </w:pPr>
      <w:r>
        <w:rPr>
          <w:sz w:val="21"/>
        </w:rPr>
        <w:t>世界卫生组织关于狼疮性肾炎诊断标准</w:t>
      </w:r>
      <w:r>
        <w:rPr>
          <w:spacing w:val="-1"/>
          <w:sz w:val="21"/>
        </w:rPr>
        <w:t>第一型 微小病变型狼疮性肾炎</w:t>
      </w:r>
    </w:p>
    <w:p>
      <w:pPr>
        <w:pStyle w:val="BodyText"/>
        <w:spacing w:before="7"/>
        <w:ind w:left="1465"/>
        <w:jc w:val="both"/>
      </w:pPr>
      <w:r>
        <w:rPr/>
        <w:t>第二型 系膜增生型狼疮性肾炎</w:t>
      </w:r>
    </w:p>
    <w:p>
      <w:pPr>
        <w:pStyle w:val="BodyText"/>
        <w:spacing w:before="36"/>
        <w:ind w:left="1465"/>
        <w:jc w:val="both"/>
      </w:pPr>
      <w:r>
        <w:rPr/>
        <w:t>第三型 局灶节段增生型狼疮性肾炎</w:t>
      </w:r>
    </w:p>
    <w:p>
      <w:pPr>
        <w:spacing w:after="0"/>
        <w:jc w:val="both"/>
        <w:sectPr>
          <w:pgSz w:w="11910" w:h="16840"/>
          <w:pgMar w:header="0" w:footer="1008" w:top="1400" w:bottom="1200" w:left="1680" w:right="1680"/>
        </w:sectPr>
      </w:pPr>
    </w:p>
    <w:p>
      <w:pPr>
        <w:pStyle w:val="BodyText"/>
        <w:spacing w:line="273" w:lineRule="auto" w:before="25"/>
        <w:ind w:left="1465" w:right="4342" w:hanging="1"/>
      </w:pPr>
      <w:r>
        <w:rPr/>
        <w:t>第四型 弥漫增生型狼疮性肾炎第五型 膜型狼疮性肾炎。</w:t>
      </w:r>
    </w:p>
    <w:p>
      <w:pPr>
        <w:pStyle w:val="ListParagraph"/>
        <w:numPr>
          <w:ilvl w:val="0"/>
          <w:numId w:val="5"/>
        </w:numPr>
        <w:tabs>
          <w:tab w:pos="543" w:val="left" w:leader="none"/>
          <w:tab w:pos="544" w:val="left" w:leader="none"/>
        </w:tabs>
        <w:spacing w:line="240" w:lineRule="auto" w:before="7" w:after="0"/>
        <w:ind w:left="543" w:right="0" w:hanging="426"/>
        <w:jc w:val="left"/>
        <w:rPr>
          <w:sz w:val="21"/>
        </w:rPr>
      </w:pPr>
      <w:r>
        <w:rPr>
          <w:b/>
          <w:w w:val="95"/>
          <w:sz w:val="21"/>
        </w:rPr>
        <w:t>专科医生：</w:t>
      </w:r>
      <w:r>
        <w:rPr>
          <w:w w:val="95"/>
          <w:sz w:val="21"/>
        </w:rPr>
        <w:t>应当同时满足以下四项资格条件：</w:t>
      </w:r>
    </w:p>
    <w:p>
      <w:pPr>
        <w:pStyle w:val="ListParagraph"/>
        <w:numPr>
          <w:ilvl w:val="0"/>
          <w:numId w:val="8"/>
        </w:numPr>
        <w:tabs>
          <w:tab w:pos="958" w:val="left" w:leader="none"/>
        </w:tabs>
        <w:spacing w:line="240" w:lineRule="auto" w:before="36" w:after="0"/>
        <w:ind w:left="957" w:right="0" w:hanging="420"/>
        <w:jc w:val="left"/>
        <w:rPr>
          <w:sz w:val="21"/>
        </w:rPr>
      </w:pPr>
      <w:r>
        <w:rPr>
          <w:spacing w:val="-6"/>
          <w:sz w:val="21"/>
        </w:rPr>
        <w:t>具有有效的中华人民共和国《医师资格证书》；</w:t>
      </w:r>
    </w:p>
    <w:p>
      <w:pPr>
        <w:pStyle w:val="ListParagraph"/>
        <w:numPr>
          <w:ilvl w:val="0"/>
          <w:numId w:val="8"/>
        </w:numPr>
        <w:tabs>
          <w:tab w:pos="958" w:val="left" w:leader="none"/>
        </w:tabs>
        <w:spacing w:line="240" w:lineRule="auto" w:before="36" w:after="0"/>
        <w:ind w:left="957" w:right="0" w:hanging="420"/>
        <w:jc w:val="left"/>
        <w:rPr>
          <w:sz w:val="21"/>
        </w:rPr>
      </w:pPr>
      <w:r>
        <w:rPr>
          <w:spacing w:val="-7"/>
          <w:sz w:val="21"/>
        </w:rPr>
        <w:t>具有有效的中华人民共和国《医师执业证书》，并按期到相关部门登记注册；</w:t>
      </w:r>
    </w:p>
    <w:p>
      <w:pPr>
        <w:pStyle w:val="ListParagraph"/>
        <w:numPr>
          <w:ilvl w:val="0"/>
          <w:numId w:val="8"/>
        </w:numPr>
        <w:tabs>
          <w:tab w:pos="958" w:val="left" w:leader="none"/>
        </w:tabs>
        <w:spacing w:line="240" w:lineRule="auto" w:before="36" w:after="0"/>
        <w:ind w:left="957" w:right="0" w:hanging="420"/>
        <w:jc w:val="left"/>
        <w:rPr>
          <w:sz w:val="21"/>
        </w:rPr>
      </w:pPr>
      <w:r>
        <w:rPr>
          <w:spacing w:val="-4"/>
          <w:sz w:val="21"/>
        </w:rPr>
        <w:t>具有有效的中华人民共和国主治医师或主治医师以上职称的《医师职称证书》；</w:t>
      </w:r>
    </w:p>
    <w:p>
      <w:pPr>
        <w:pStyle w:val="ListParagraph"/>
        <w:numPr>
          <w:ilvl w:val="0"/>
          <w:numId w:val="8"/>
        </w:numPr>
        <w:tabs>
          <w:tab w:pos="958" w:val="left" w:leader="none"/>
        </w:tabs>
        <w:spacing w:line="240" w:lineRule="auto" w:before="36" w:after="0"/>
        <w:ind w:left="957" w:right="0" w:hanging="420"/>
        <w:jc w:val="left"/>
        <w:rPr>
          <w:sz w:val="21"/>
        </w:rPr>
      </w:pPr>
      <w:r>
        <w:rPr>
          <w:sz w:val="21"/>
        </w:rPr>
        <w:t>在二级或二级以上医院的相应科室从事临床工作三年以上。</w:t>
      </w:r>
    </w:p>
    <w:p>
      <w:pPr>
        <w:pStyle w:val="ListParagraph"/>
        <w:numPr>
          <w:ilvl w:val="0"/>
          <w:numId w:val="5"/>
        </w:numPr>
        <w:tabs>
          <w:tab w:pos="543" w:val="left" w:leader="none"/>
          <w:tab w:pos="544" w:val="left" w:leader="none"/>
        </w:tabs>
        <w:spacing w:line="273" w:lineRule="auto" w:before="36" w:after="0"/>
        <w:ind w:left="543" w:right="212" w:hanging="426"/>
        <w:jc w:val="left"/>
        <w:rPr>
          <w:sz w:val="21"/>
        </w:rPr>
      </w:pPr>
      <w:r>
        <w:rPr>
          <w:b/>
          <w:spacing w:val="-16"/>
          <w:sz w:val="21"/>
        </w:rPr>
        <w:t>医院：</w:t>
      </w:r>
      <w:r>
        <w:rPr>
          <w:spacing w:val="-2"/>
          <w:sz w:val="21"/>
        </w:rPr>
        <w:t>指本公司指定医院或国家卫生部医院等级分类中的二级或二级以上的医院，但不包括主要作为康复、护理、疗养、戒酒、戒毒或相类似的医疗机构。</w:t>
      </w:r>
    </w:p>
    <w:p>
      <w:pPr>
        <w:pStyle w:val="ListParagraph"/>
        <w:numPr>
          <w:ilvl w:val="0"/>
          <w:numId w:val="5"/>
        </w:numPr>
        <w:tabs>
          <w:tab w:pos="543" w:val="left" w:leader="none"/>
          <w:tab w:pos="544" w:val="left" w:leader="none"/>
        </w:tabs>
        <w:spacing w:line="273" w:lineRule="auto" w:before="7" w:after="0"/>
        <w:ind w:left="543" w:right="106" w:hanging="426"/>
        <w:jc w:val="left"/>
        <w:rPr>
          <w:sz w:val="21"/>
        </w:rPr>
      </w:pPr>
      <w:r>
        <w:rPr>
          <w:b/>
          <w:spacing w:val="-6"/>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w:t>
      </w:r>
      <w:r>
        <w:rPr>
          <w:spacing w:val="-9"/>
          <w:sz w:val="21"/>
        </w:rPr>
        <w:t>可卡因以及国家规定管制的其他能够使人形成瘾癖的麻醉药品和精神药品。但不包括由医生开具并遵医嘱使用的用于治疗疾病但含有毒品成分的处方药品。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544" w:val="left" w:leader="none"/>
        </w:tabs>
        <w:spacing w:line="273" w:lineRule="auto" w:before="7" w:after="0"/>
        <w:ind w:left="543" w:right="212" w:hanging="426"/>
        <w:jc w:val="both"/>
        <w:rPr>
          <w:sz w:val="21"/>
        </w:rPr>
      </w:pPr>
      <w:r>
        <w:rPr>
          <w:b/>
          <w:spacing w:val="-10"/>
          <w:sz w:val="21"/>
        </w:rPr>
        <w:t>酒后驾驶：</w:t>
      </w:r>
      <w:r>
        <w:rPr>
          <w:spacing w:val="-7"/>
          <w:sz w:val="21"/>
        </w:rPr>
        <w:t>指经检测或鉴定，发生事故时车辆驾驶人员每百毫升血液中的酒精含量达到</w:t>
      </w:r>
      <w:r>
        <w:rPr>
          <w:spacing w:val="-12"/>
          <w:sz w:val="21"/>
        </w:rPr>
        <w:t>或超过一定的标准，公安机关交通管理部门依据《道路交通安全法》的规定认定为饮酒后驾驶或醉酒后驾驶。</w:t>
      </w:r>
    </w:p>
    <w:p>
      <w:pPr>
        <w:pStyle w:val="ListParagraph"/>
        <w:numPr>
          <w:ilvl w:val="0"/>
          <w:numId w:val="5"/>
        </w:numPr>
        <w:tabs>
          <w:tab w:pos="544" w:val="left" w:leader="none"/>
        </w:tabs>
        <w:spacing w:line="240" w:lineRule="auto" w:before="7" w:after="0"/>
        <w:ind w:left="543" w:right="0" w:hanging="426"/>
        <w:jc w:val="left"/>
        <w:rPr>
          <w:sz w:val="21"/>
        </w:rPr>
      </w:pPr>
      <w:r>
        <w:rPr>
          <w:b/>
          <w:spacing w:val="-1"/>
          <w:w w:val="95"/>
          <w:sz w:val="21"/>
        </w:rPr>
        <w:t>无合法有效驾驶证驾驶：</w:t>
      </w:r>
      <w:r>
        <w:rPr>
          <w:w w:val="95"/>
          <w:sz w:val="21"/>
        </w:rPr>
        <w:t>指下列情形之一：</w:t>
      </w:r>
    </w:p>
    <w:p>
      <w:pPr>
        <w:pStyle w:val="ListParagraph"/>
        <w:numPr>
          <w:ilvl w:val="0"/>
          <w:numId w:val="9"/>
        </w:numPr>
        <w:tabs>
          <w:tab w:pos="969" w:val="left" w:leader="none"/>
        </w:tabs>
        <w:spacing w:line="240" w:lineRule="auto" w:before="37" w:after="0"/>
        <w:ind w:left="968" w:right="0" w:hanging="431"/>
        <w:jc w:val="left"/>
        <w:rPr>
          <w:sz w:val="21"/>
        </w:rPr>
      </w:pPr>
      <w:r>
        <w:rPr>
          <w:sz w:val="21"/>
        </w:rPr>
        <w:t>没有取得驾驶资格；</w:t>
      </w:r>
    </w:p>
    <w:p>
      <w:pPr>
        <w:pStyle w:val="ListParagraph"/>
        <w:numPr>
          <w:ilvl w:val="0"/>
          <w:numId w:val="9"/>
        </w:numPr>
        <w:tabs>
          <w:tab w:pos="969" w:val="left" w:leader="none"/>
        </w:tabs>
        <w:spacing w:line="240" w:lineRule="auto" w:before="37" w:after="0"/>
        <w:ind w:left="968" w:right="0" w:hanging="431"/>
        <w:jc w:val="left"/>
        <w:rPr>
          <w:sz w:val="21"/>
        </w:rPr>
      </w:pPr>
      <w:r>
        <w:rPr>
          <w:sz w:val="21"/>
        </w:rPr>
        <w:t>驾驶与驾驶证准驾车型不相符合的车辆；</w:t>
      </w:r>
    </w:p>
    <w:p>
      <w:pPr>
        <w:pStyle w:val="ListParagraph"/>
        <w:numPr>
          <w:ilvl w:val="0"/>
          <w:numId w:val="9"/>
        </w:numPr>
        <w:tabs>
          <w:tab w:pos="969" w:val="left" w:leader="none"/>
        </w:tabs>
        <w:spacing w:line="240" w:lineRule="auto" w:before="37" w:after="0"/>
        <w:ind w:left="968" w:right="0" w:hanging="431"/>
        <w:jc w:val="left"/>
        <w:rPr>
          <w:sz w:val="21"/>
        </w:rPr>
      </w:pPr>
      <w:r>
        <w:rPr>
          <w:sz w:val="21"/>
        </w:rPr>
        <w:t>持审验不合格的驾驶证驾驶；</w:t>
      </w:r>
    </w:p>
    <w:p>
      <w:pPr>
        <w:pStyle w:val="ListParagraph"/>
        <w:numPr>
          <w:ilvl w:val="0"/>
          <w:numId w:val="9"/>
        </w:numPr>
        <w:tabs>
          <w:tab w:pos="969" w:val="left" w:leader="none"/>
        </w:tabs>
        <w:spacing w:line="240" w:lineRule="auto" w:before="37" w:after="0"/>
        <w:ind w:left="968" w:right="0" w:hanging="431"/>
        <w:jc w:val="left"/>
        <w:rPr>
          <w:sz w:val="21"/>
        </w:rPr>
      </w:pPr>
      <w:r>
        <w:rPr>
          <w:sz w:val="21"/>
        </w:rPr>
        <w:t>持学习驾驶证学习驾车时，无教练员随车指导，或不按指定时间路线学习驾车。</w:t>
      </w:r>
    </w:p>
    <w:p>
      <w:pPr>
        <w:pStyle w:val="ListParagraph"/>
        <w:numPr>
          <w:ilvl w:val="0"/>
          <w:numId w:val="5"/>
        </w:numPr>
        <w:tabs>
          <w:tab w:pos="544" w:val="left" w:leader="none"/>
        </w:tabs>
        <w:spacing w:line="240" w:lineRule="auto" w:before="37" w:after="0"/>
        <w:ind w:left="543" w:right="0" w:hanging="426"/>
        <w:jc w:val="left"/>
        <w:rPr>
          <w:sz w:val="21"/>
        </w:rPr>
      </w:pPr>
      <w:r>
        <w:rPr>
          <w:b/>
          <w:w w:val="95"/>
          <w:sz w:val="21"/>
        </w:rPr>
        <w:t>无有效行驶证：</w:t>
      </w:r>
      <w:r>
        <w:rPr>
          <w:w w:val="95"/>
          <w:sz w:val="21"/>
        </w:rPr>
        <w:t>指下列情形之一：</w:t>
      </w:r>
    </w:p>
    <w:p>
      <w:pPr>
        <w:pStyle w:val="ListParagraph"/>
        <w:numPr>
          <w:ilvl w:val="0"/>
          <w:numId w:val="10"/>
        </w:numPr>
        <w:tabs>
          <w:tab w:pos="958" w:val="left" w:leader="none"/>
        </w:tabs>
        <w:spacing w:line="240" w:lineRule="auto" w:before="37" w:after="0"/>
        <w:ind w:left="957" w:right="0" w:hanging="420"/>
        <w:jc w:val="left"/>
        <w:rPr>
          <w:sz w:val="21"/>
        </w:rPr>
      </w:pPr>
      <w:r>
        <w:rPr>
          <w:sz w:val="21"/>
        </w:rPr>
        <w:t>没有机动车行驶证；</w:t>
      </w:r>
    </w:p>
    <w:p>
      <w:pPr>
        <w:pStyle w:val="ListParagraph"/>
        <w:numPr>
          <w:ilvl w:val="0"/>
          <w:numId w:val="10"/>
        </w:numPr>
        <w:tabs>
          <w:tab w:pos="958" w:val="left" w:leader="none"/>
        </w:tabs>
        <w:spacing w:line="240" w:lineRule="auto" w:before="37" w:after="0"/>
        <w:ind w:left="957" w:right="0" w:hanging="420"/>
        <w:jc w:val="left"/>
        <w:rPr>
          <w:sz w:val="21"/>
        </w:rPr>
      </w:pPr>
      <w:r>
        <w:rPr>
          <w:sz w:val="21"/>
        </w:rPr>
        <w:t>未在法律规定期限内按时进行或通过安全技术检验。</w:t>
      </w:r>
    </w:p>
    <w:p>
      <w:pPr>
        <w:pStyle w:val="ListParagraph"/>
        <w:numPr>
          <w:ilvl w:val="0"/>
          <w:numId w:val="5"/>
        </w:numPr>
        <w:tabs>
          <w:tab w:pos="544" w:val="left" w:leader="none"/>
        </w:tabs>
        <w:spacing w:line="273" w:lineRule="auto" w:before="37" w:after="0"/>
        <w:ind w:left="543" w:right="118" w:hanging="426"/>
        <w:jc w:val="both"/>
        <w:rPr>
          <w:sz w:val="21"/>
        </w:rPr>
      </w:pPr>
      <w:r>
        <w:rPr>
          <w:b/>
          <w:sz w:val="21"/>
        </w:rPr>
        <w:t>先天性疾病、先天性畸形</w:t>
      </w:r>
      <w:r>
        <w:rPr>
          <w:sz w:val="21"/>
        </w:rPr>
        <w:t>：指被保险人一出生时就具有的疾病（病症或体征</w:t>
      </w:r>
      <w:r>
        <w:rPr>
          <w:spacing w:val="-105"/>
          <w:sz w:val="21"/>
        </w:rPr>
        <w:t>）</w:t>
      </w:r>
      <w:r>
        <w:rPr>
          <w:sz w:val="21"/>
        </w:rPr>
        <w:t>。这些疾</w:t>
      </w:r>
      <w:r>
        <w:rPr>
          <w:spacing w:val="-5"/>
          <w:sz w:val="21"/>
        </w:rPr>
        <w:t>病是指因人的遗传物质</w:t>
      </w:r>
      <w:r>
        <w:rPr>
          <w:sz w:val="21"/>
        </w:rPr>
        <w:t>（包括染色体以及位于其中的基因</w:t>
      </w:r>
      <w:r>
        <w:rPr>
          <w:spacing w:val="-47"/>
          <w:sz w:val="21"/>
        </w:rPr>
        <w:t>）</w:t>
      </w:r>
      <w:r>
        <w:rPr>
          <w:sz w:val="21"/>
        </w:rPr>
        <w:t>发生了对人体有害的改变而</w:t>
      </w:r>
      <w:r>
        <w:rPr>
          <w:spacing w:val="-9"/>
          <w:sz w:val="21"/>
        </w:rPr>
        <w:t>引起的，或因母亲怀孕期间受到内外环境中某些物理、化学和生物等因素的作用，使胎儿局部体细胞发育不正常，导致婴儿出生时有关器官、系统在形态或功能上呈现异常。</w:t>
      </w:r>
    </w:p>
    <w:p>
      <w:pPr>
        <w:pStyle w:val="ListParagraph"/>
        <w:numPr>
          <w:ilvl w:val="0"/>
          <w:numId w:val="5"/>
        </w:numPr>
        <w:tabs>
          <w:tab w:pos="544" w:val="left" w:leader="none"/>
        </w:tabs>
        <w:spacing w:line="273" w:lineRule="auto" w:before="7" w:after="0"/>
        <w:ind w:left="543" w:right="212" w:hanging="426"/>
        <w:jc w:val="left"/>
        <w:rPr>
          <w:sz w:val="21"/>
        </w:rPr>
      </w:pPr>
      <w:r>
        <w:rPr>
          <w:b/>
          <w:spacing w:val="-9"/>
          <w:sz w:val="21"/>
        </w:rPr>
        <w:t>遗传性疾病：</w:t>
      </w:r>
      <w:r>
        <w:rPr>
          <w:spacing w:val="-2"/>
          <w:sz w:val="21"/>
        </w:rPr>
        <w:t>指由人体生殖细胞或受精卵的遗传物质异常或发生改变而引起的疾病，可以从亲代传至后代，即指单基因遗传病及染色体病。</w:t>
      </w:r>
    </w:p>
    <w:p>
      <w:pPr>
        <w:pStyle w:val="ListParagraph"/>
        <w:numPr>
          <w:ilvl w:val="0"/>
          <w:numId w:val="5"/>
        </w:numPr>
        <w:tabs>
          <w:tab w:pos="544" w:val="left" w:leader="none"/>
        </w:tabs>
        <w:spacing w:line="240" w:lineRule="auto" w:before="7" w:after="0"/>
        <w:ind w:left="543" w:right="0" w:hanging="426"/>
        <w:jc w:val="left"/>
        <w:rPr>
          <w:sz w:val="21"/>
        </w:rPr>
      </w:pPr>
      <w:r>
        <w:rPr>
          <w:b/>
          <w:w w:val="95"/>
          <w:sz w:val="21"/>
        </w:rPr>
        <w:t>潜水：</w:t>
      </w:r>
      <w:r>
        <w:rPr>
          <w:w w:val="95"/>
          <w:sz w:val="21"/>
        </w:rPr>
        <w:t>指使用辅助呼吸器材在江、河、湖、海、水库、运河等水域进行的水下运动。</w:t>
      </w:r>
    </w:p>
    <w:p>
      <w:pPr>
        <w:pStyle w:val="ListParagraph"/>
        <w:numPr>
          <w:ilvl w:val="0"/>
          <w:numId w:val="5"/>
        </w:numPr>
        <w:tabs>
          <w:tab w:pos="544" w:val="left" w:leader="none"/>
        </w:tabs>
        <w:spacing w:line="240" w:lineRule="auto" w:before="37" w:after="0"/>
        <w:ind w:left="543" w:right="0" w:hanging="426"/>
        <w:jc w:val="left"/>
        <w:rPr>
          <w:sz w:val="21"/>
        </w:rPr>
      </w:pPr>
      <w:r>
        <w:rPr>
          <w:b/>
          <w:w w:val="95"/>
          <w:sz w:val="21"/>
        </w:rPr>
        <w:t>攀岩：</w:t>
      </w:r>
      <w:r>
        <w:rPr>
          <w:w w:val="95"/>
          <w:sz w:val="21"/>
        </w:rPr>
        <w:t>指攀登悬崖、楼宇外墙、人造悬崖、冰崖、冰ft等运动。</w:t>
      </w:r>
    </w:p>
    <w:p>
      <w:pPr>
        <w:pStyle w:val="ListParagraph"/>
        <w:numPr>
          <w:ilvl w:val="0"/>
          <w:numId w:val="5"/>
        </w:numPr>
        <w:tabs>
          <w:tab w:pos="544" w:val="left" w:leader="none"/>
        </w:tabs>
        <w:spacing w:line="273" w:lineRule="auto" w:before="37" w:after="0"/>
        <w:ind w:left="543" w:right="212" w:hanging="426"/>
        <w:jc w:val="both"/>
        <w:rPr>
          <w:sz w:val="21"/>
        </w:rPr>
      </w:pPr>
      <w:r>
        <w:rPr>
          <w:b/>
          <w:spacing w:val="-16"/>
          <w:sz w:val="21"/>
        </w:rPr>
        <w:t>探险：</w:t>
      </w:r>
      <w:r>
        <w:rPr>
          <w:spacing w:val="-2"/>
          <w:sz w:val="21"/>
        </w:rPr>
        <w:t>指明知在某种特定的自然条件下有失去生命或使身体受到伤害的危险，而故意使自己置身其中的行为， 包括但不限于江河漂流、徒步穿越沙漠或人迹罕至的原始森林等活动。</w:t>
      </w:r>
    </w:p>
    <w:p>
      <w:pPr>
        <w:pStyle w:val="ListParagraph"/>
        <w:numPr>
          <w:ilvl w:val="0"/>
          <w:numId w:val="5"/>
        </w:numPr>
        <w:tabs>
          <w:tab w:pos="544" w:val="left" w:leader="none"/>
        </w:tabs>
        <w:spacing w:line="273" w:lineRule="auto" w:before="7" w:after="0"/>
        <w:ind w:left="543" w:right="212" w:hanging="426"/>
        <w:jc w:val="left"/>
        <w:rPr>
          <w:sz w:val="21"/>
        </w:rPr>
      </w:pPr>
      <w:r>
        <w:rPr>
          <w:b/>
          <w:spacing w:val="-5"/>
          <w:sz w:val="21"/>
        </w:rPr>
        <w:t>武术比赛：</w:t>
      </w:r>
      <w:r>
        <w:rPr>
          <w:spacing w:val="-5"/>
          <w:sz w:val="21"/>
        </w:rPr>
        <w:t>指两人或两人以上对抗性柔道、空手道、跆拳道、散打、拳击等各种拳术及各种使用器械的对抗性比赛。</w:t>
      </w:r>
    </w:p>
    <w:p>
      <w:pPr>
        <w:pStyle w:val="ListParagraph"/>
        <w:numPr>
          <w:ilvl w:val="0"/>
          <w:numId w:val="5"/>
        </w:numPr>
        <w:tabs>
          <w:tab w:pos="544" w:val="left" w:leader="none"/>
        </w:tabs>
        <w:spacing w:line="240" w:lineRule="auto" w:before="7" w:after="0"/>
        <w:ind w:left="543" w:right="0" w:hanging="426"/>
        <w:jc w:val="left"/>
        <w:rPr>
          <w:sz w:val="21"/>
        </w:rPr>
      </w:pPr>
      <w:r>
        <w:rPr>
          <w:b/>
          <w:w w:val="95"/>
          <w:sz w:val="21"/>
        </w:rPr>
        <w:t>特技表演：</w:t>
      </w:r>
      <w:r>
        <w:rPr>
          <w:w w:val="95"/>
          <w:sz w:val="21"/>
        </w:rPr>
        <w:t>指进行马术、杂技、驯兽等表演。</w:t>
      </w:r>
    </w:p>
    <w:p>
      <w:pPr>
        <w:pStyle w:val="ListParagraph"/>
        <w:numPr>
          <w:ilvl w:val="0"/>
          <w:numId w:val="5"/>
        </w:numPr>
        <w:tabs>
          <w:tab w:pos="544" w:val="left" w:leader="none"/>
        </w:tabs>
        <w:spacing w:line="273" w:lineRule="auto" w:before="37" w:after="0"/>
        <w:ind w:left="543" w:right="211" w:hanging="426"/>
        <w:jc w:val="left"/>
        <w:rPr>
          <w:sz w:val="21"/>
        </w:rPr>
      </w:pPr>
      <w:r>
        <w:rPr>
          <w:b/>
          <w:spacing w:val="-6"/>
          <w:sz w:val="21"/>
        </w:rPr>
        <w:t>现金价值：</w:t>
      </w:r>
      <w:r>
        <w:rPr>
          <w:spacing w:val="-7"/>
          <w:sz w:val="21"/>
        </w:rPr>
        <w:t>指保险单的价值，通常体现为解除合同时，根据精算原理计算的，由本公司退还的那部分金额。本合同保险单年度末的现金价值将在保险单上载明。</w:t>
      </w:r>
    </w:p>
    <w:p>
      <w:pPr>
        <w:pStyle w:val="ListParagraph"/>
        <w:numPr>
          <w:ilvl w:val="0"/>
          <w:numId w:val="5"/>
        </w:numPr>
        <w:tabs>
          <w:tab w:pos="544" w:val="left" w:leader="none"/>
        </w:tabs>
        <w:spacing w:line="273" w:lineRule="auto" w:before="8" w:after="0"/>
        <w:ind w:left="543" w:right="212" w:hanging="426"/>
        <w:jc w:val="left"/>
        <w:rPr>
          <w:sz w:val="21"/>
        </w:rPr>
      </w:pPr>
      <w:r>
        <w:rPr>
          <w:b/>
          <w:sz w:val="21"/>
        </w:rPr>
        <w:t>约定利率：</w:t>
      </w:r>
      <w:r>
        <w:rPr>
          <w:sz w:val="21"/>
        </w:rPr>
        <w:t>按“计息期间人民银行每月第一个营业日适用的人民币 6 个月期贷款利率</w:t>
      </w:r>
      <w:r>
        <w:rPr>
          <w:spacing w:val="-1"/>
          <w:sz w:val="21"/>
        </w:rPr>
        <w:t>平均值与 </w:t>
      </w:r>
      <w:r>
        <w:rPr>
          <w:sz w:val="21"/>
        </w:rPr>
        <w:t>4.5%</w:t>
      </w:r>
      <w:r>
        <w:rPr>
          <w:spacing w:val="-1"/>
          <w:sz w:val="21"/>
        </w:rPr>
        <w:t> 之较大者”计算。</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422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68" w:hanging="241"/>
      </w:pPr>
      <w:rPr>
        <w:rFonts w:hint="default"/>
      </w:rPr>
    </w:lvl>
    <w:lvl w:ilvl="2">
      <w:start w:val="0"/>
      <w:numFmt w:val="bullet"/>
      <w:lvlText w:val="•"/>
      <w:lvlJc w:val="left"/>
      <w:pPr>
        <w:ind w:left="2256" w:hanging="241"/>
      </w:pPr>
      <w:rPr>
        <w:rFonts w:hint="default"/>
      </w:rPr>
    </w:lvl>
    <w:lvl w:ilvl="3">
      <w:start w:val="0"/>
      <w:numFmt w:val="bullet"/>
      <w:lvlText w:val="•"/>
      <w:lvlJc w:val="left"/>
      <w:pPr>
        <w:ind w:left="3045" w:hanging="241"/>
      </w:pPr>
      <w:rPr>
        <w:rFonts w:hint="default"/>
      </w:rPr>
    </w:lvl>
    <w:lvl w:ilvl="4">
      <w:start w:val="0"/>
      <w:numFmt w:val="bullet"/>
      <w:lvlText w:val="•"/>
      <w:lvlJc w:val="left"/>
      <w:pPr>
        <w:ind w:left="3833" w:hanging="241"/>
      </w:pPr>
      <w:rPr>
        <w:rFonts w:hint="default"/>
      </w:rPr>
    </w:lvl>
    <w:lvl w:ilvl="5">
      <w:start w:val="0"/>
      <w:numFmt w:val="bullet"/>
      <w:lvlText w:val="•"/>
      <w:lvlJc w:val="left"/>
      <w:pPr>
        <w:ind w:left="4622" w:hanging="241"/>
      </w:pPr>
      <w:rPr>
        <w:rFonts w:hint="default"/>
      </w:rPr>
    </w:lvl>
    <w:lvl w:ilvl="6">
      <w:start w:val="0"/>
      <w:numFmt w:val="bullet"/>
      <w:lvlText w:val="•"/>
      <w:lvlJc w:val="left"/>
      <w:pPr>
        <w:ind w:left="5410" w:hanging="241"/>
      </w:pPr>
      <w:rPr>
        <w:rFonts w:hint="default"/>
      </w:rPr>
    </w:lvl>
    <w:lvl w:ilvl="7">
      <w:start w:val="0"/>
      <w:numFmt w:val="bullet"/>
      <w:lvlText w:val="•"/>
      <w:lvlJc w:val="left"/>
      <w:pPr>
        <w:ind w:left="6199" w:hanging="241"/>
      </w:pPr>
      <w:rPr>
        <w:rFonts w:hint="default"/>
      </w:rPr>
    </w:lvl>
    <w:lvl w:ilvl="8">
      <w:start w:val="0"/>
      <w:numFmt w:val="bullet"/>
      <w:lvlText w:val="•"/>
      <w:lvlJc w:val="left"/>
      <w:pPr>
        <w:ind w:left="6987" w:hanging="241"/>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9">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8">
    <w:multiLevelType w:val="hybridMultilevel"/>
    <w:lvl w:ilvl="0">
      <w:start w:val="1"/>
      <w:numFmt w:val="decimal"/>
      <w:lvlText w:val="(%1)"/>
      <w:lvlJc w:val="left"/>
      <w:pPr>
        <w:ind w:left="968" w:hanging="431"/>
        <w:jc w:val="left"/>
      </w:pPr>
      <w:rPr>
        <w:rFonts w:hint="default" w:ascii="宋体" w:hAnsi="宋体" w:eastAsia="宋体" w:cs="宋体"/>
        <w:spacing w:val="-1"/>
        <w:w w:val="100"/>
        <w:sz w:val="21"/>
        <w:szCs w:val="21"/>
      </w:rPr>
    </w:lvl>
    <w:lvl w:ilvl="1">
      <w:start w:val="0"/>
      <w:numFmt w:val="bullet"/>
      <w:lvlText w:val="•"/>
      <w:lvlJc w:val="left"/>
      <w:pPr>
        <w:ind w:left="1728" w:hanging="431"/>
      </w:pPr>
      <w:rPr>
        <w:rFonts w:hint="default"/>
      </w:rPr>
    </w:lvl>
    <w:lvl w:ilvl="2">
      <w:start w:val="0"/>
      <w:numFmt w:val="bullet"/>
      <w:lvlText w:val="•"/>
      <w:lvlJc w:val="left"/>
      <w:pPr>
        <w:ind w:left="2496" w:hanging="431"/>
      </w:pPr>
      <w:rPr>
        <w:rFonts w:hint="default"/>
      </w:rPr>
    </w:lvl>
    <w:lvl w:ilvl="3">
      <w:start w:val="0"/>
      <w:numFmt w:val="bullet"/>
      <w:lvlText w:val="•"/>
      <w:lvlJc w:val="left"/>
      <w:pPr>
        <w:ind w:left="3265" w:hanging="431"/>
      </w:pPr>
      <w:rPr>
        <w:rFonts w:hint="default"/>
      </w:rPr>
    </w:lvl>
    <w:lvl w:ilvl="4">
      <w:start w:val="0"/>
      <w:numFmt w:val="bullet"/>
      <w:lvlText w:val="•"/>
      <w:lvlJc w:val="left"/>
      <w:pPr>
        <w:ind w:left="4033" w:hanging="431"/>
      </w:pPr>
      <w:rPr>
        <w:rFonts w:hint="default"/>
      </w:rPr>
    </w:lvl>
    <w:lvl w:ilvl="5">
      <w:start w:val="0"/>
      <w:numFmt w:val="bullet"/>
      <w:lvlText w:val="•"/>
      <w:lvlJc w:val="left"/>
      <w:pPr>
        <w:ind w:left="4802" w:hanging="431"/>
      </w:pPr>
      <w:rPr>
        <w:rFonts w:hint="default"/>
      </w:rPr>
    </w:lvl>
    <w:lvl w:ilvl="6">
      <w:start w:val="0"/>
      <w:numFmt w:val="bullet"/>
      <w:lvlText w:val="•"/>
      <w:lvlJc w:val="left"/>
      <w:pPr>
        <w:ind w:left="5570" w:hanging="431"/>
      </w:pPr>
      <w:rPr>
        <w:rFonts w:hint="default"/>
      </w:rPr>
    </w:lvl>
    <w:lvl w:ilvl="7">
      <w:start w:val="0"/>
      <w:numFmt w:val="bullet"/>
      <w:lvlText w:val="•"/>
      <w:lvlJc w:val="left"/>
      <w:pPr>
        <w:ind w:left="6339" w:hanging="431"/>
      </w:pPr>
      <w:rPr>
        <w:rFonts w:hint="default"/>
      </w:rPr>
    </w:lvl>
    <w:lvl w:ilvl="8">
      <w:start w:val="0"/>
      <w:numFmt w:val="bullet"/>
      <w:lvlText w:val="•"/>
      <w:lvlJc w:val="left"/>
      <w:pPr>
        <w:ind w:left="7107" w:hanging="431"/>
      </w:pPr>
      <w:rPr>
        <w:rFonts w:hint="default"/>
      </w:rPr>
    </w:lvl>
  </w:abstractNum>
  <w:abstractNum w:abstractNumId="7">
    <w:multiLevelType w:val="hybridMultilevel"/>
    <w:lvl w:ilvl="0">
      <w:start w:val="1"/>
      <w:numFmt w:val="decimal"/>
      <w:lvlText w:val="(%1)"/>
      <w:lvlJc w:val="left"/>
      <w:pPr>
        <w:ind w:left="957" w:hanging="420"/>
        <w:jc w:val="left"/>
      </w:pPr>
      <w:rPr>
        <w:rFonts w:hint="default" w:ascii="宋体" w:hAnsi="宋体" w:eastAsia="宋体" w:cs="宋体"/>
        <w:spacing w:val="-105"/>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6">
    <w:multiLevelType w:val="hybridMultilevel"/>
    <w:lvl w:ilvl="0">
      <w:start w:val="5"/>
      <w:numFmt w:val="decimal"/>
      <w:lvlText w:val="%1"/>
      <w:lvlJc w:val="left"/>
      <w:pPr>
        <w:ind w:left="1192" w:hanging="369"/>
        <w:jc w:val="left"/>
      </w:pPr>
      <w:rPr>
        <w:rFonts w:hint="default"/>
      </w:rPr>
    </w:lvl>
    <w:lvl w:ilvl="1">
      <w:start w:val="3"/>
      <w:numFmt w:val="decimal"/>
      <w:lvlText w:val="%1.%2"/>
      <w:lvlJc w:val="left"/>
      <w:pPr>
        <w:ind w:left="1192" w:hanging="369"/>
        <w:jc w:val="left"/>
      </w:pPr>
      <w:rPr>
        <w:rFonts w:hint="default" w:ascii="宋体" w:hAnsi="宋体" w:eastAsia="宋体" w:cs="宋体"/>
        <w:w w:val="100"/>
        <w:sz w:val="21"/>
        <w:szCs w:val="21"/>
      </w:rPr>
    </w:lvl>
    <w:lvl w:ilvl="2">
      <w:start w:val="1"/>
      <w:numFmt w:val="decimal"/>
      <w:lvlText w:val="%1.%2.%3"/>
      <w:lvlJc w:val="left"/>
      <w:pPr>
        <w:ind w:left="1465" w:hanging="631"/>
        <w:jc w:val="left"/>
      </w:pPr>
      <w:rPr>
        <w:rFonts w:hint="default" w:ascii="宋体" w:hAnsi="宋体" w:eastAsia="宋体" w:cs="宋体"/>
        <w:spacing w:val="-2"/>
        <w:w w:val="100"/>
        <w:sz w:val="21"/>
        <w:szCs w:val="21"/>
      </w:rPr>
    </w:lvl>
    <w:lvl w:ilvl="3">
      <w:start w:val="0"/>
      <w:numFmt w:val="bullet"/>
      <w:lvlText w:val="•"/>
      <w:lvlJc w:val="left"/>
      <w:pPr>
        <w:ind w:left="3034" w:hanging="631"/>
      </w:pPr>
      <w:rPr>
        <w:rFonts w:hint="default"/>
      </w:rPr>
    </w:lvl>
    <w:lvl w:ilvl="4">
      <w:start w:val="0"/>
      <w:numFmt w:val="bullet"/>
      <w:lvlText w:val="•"/>
      <w:lvlJc w:val="left"/>
      <w:pPr>
        <w:ind w:left="3821" w:hanging="631"/>
      </w:pPr>
      <w:rPr>
        <w:rFonts w:hint="default"/>
      </w:rPr>
    </w:lvl>
    <w:lvl w:ilvl="5">
      <w:start w:val="0"/>
      <w:numFmt w:val="bullet"/>
      <w:lvlText w:val="•"/>
      <w:lvlJc w:val="left"/>
      <w:pPr>
        <w:ind w:left="4608" w:hanging="631"/>
      </w:pPr>
      <w:rPr>
        <w:rFonts w:hint="default"/>
      </w:rPr>
    </w:lvl>
    <w:lvl w:ilvl="6">
      <w:start w:val="0"/>
      <w:numFmt w:val="bullet"/>
      <w:lvlText w:val="•"/>
      <w:lvlJc w:val="left"/>
      <w:pPr>
        <w:ind w:left="5395" w:hanging="631"/>
      </w:pPr>
      <w:rPr>
        <w:rFonts w:hint="default"/>
      </w:rPr>
    </w:lvl>
    <w:lvl w:ilvl="7">
      <w:start w:val="0"/>
      <w:numFmt w:val="bullet"/>
      <w:lvlText w:val="•"/>
      <w:lvlJc w:val="left"/>
      <w:pPr>
        <w:ind w:left="6182" w:hanging="631"/>
      </w:pPr>
      <w:rPr>
        <w:rFonts w:hint="default"/>
      </w:rPr>
    </w:lvl>
    <w:lvl w:ilvl="8">
      <w:start w:val="0"/>
      <w:numFmt w:val="bullet"/>
      <w:lvlText w:val="•"/>
      <w:lvlJc w:val="left"/>
      <w:pPr>
        <w:ind w:left="6970" w:hanging="631"/>
      </w:pPr>
      <w:rPr>
        <w:rFonts w:hint="default"/>
      </w:rPr>
    </w:lvl>
  </w:abstractNum>
  <w:abstractNum w:abstractNumId="5">
    <w:multiLevelType w:val="hybridMultilevel"/>
    <w:lvl w:ilvl="0">
      <w:start w:val="5"/>
      <w:numFmt w:val="decimal"/>
      <w:lvlText w:val="%1"/>
      <w:lvlJc w:val="left"/>
      <w:pPr>
        <w:ind w:left="1244" w:hanging="421"/>
        <w:jc w:val="left"/>
      </w:pPr>
      <w:rPr>
        <w:rFonts w:hint="default"/>
      </w:rPr>
    </w:lvl>
    <w:lvl w:ilvl="1">
      <w:start w:val="2"/>
      <w:numFmt w:val="decimal"/>
      <w:lvlText w:val="%1.%2"/>
      <w:lvlJc w:val="left"/>
      <w:pPr>
        <w:ind w:left="1244" w:hanging="421"/>
        <w:jc w:val="left"/>
      </w:pPr>
      <w:rPr>
        <w:rFonts w:hint="default" w:ascii="宋体" w:hAnsi="宋体" w:eastAsia="宋体" w:cs="宋体"/>
        <w:spacing w:val="-2"/>
        <w:w w:val="100"/>
        <w:sz w:val="21"/>
        <w:szCs w:val="21"/>
      </w:rPr>
    </w:lvl>
    <w:lvl w:ilvl="2">
      <w:start w:val="1"/>
      <w:numFmt w:val="decimal"/>
      <w:lvlText w:val="%1.%2.%3"/>
      <w:lvlJc w:val="left"/>
      <w:pPr>
        <w:ind w:left="1468" w:hanging="631"/>
        <w:jc w:val="left"/>
      </w:pPr>
      <w:rPr>
        <w:rFonts w:hint="default" w:ascii="宋体" w:hAnsi="宋体" w:eastAsia="宋体" w:cs="宋体"/>
        <w:spacing w:val="-2"/>
        <w:w w:val="100"/>
        <w:sz w:val="21"/>
        <w:szCs w:val="21"/>
      </w:rPr>
    </w:lvl>
    <w:lvl w:ilvl="3">
      <w:start w:val="0"/>
      <w:numFmt w:val="bullet"/>
      <w:lvlText w:val="•"/>
      <w:lvlJc w:val="left"/>
      <w:pPr>
        <w:ind w:left="3056" w:hanging="631"/>
      </w:pPr>
      <w:rPr>
        <w:rFonts w:hint="default"/>
      </w:rPr>
    </w:lvl>
    <w:lvl w:ilvl="4">
      <w:start w:val="0"/>
      <w:numFmt w:val="bullet"/>
      <w:lvlText w:val="•"/>
      <w:lvlJc w:val="left"/>
      <w:pPr>
        <w:ind w:left="3854" w:hanging="631"/>
      </w:pPr>
      <w:rPr>
        <w:rFonts w:hint="default"/>
      </w:rPr>
    </w:lvl>
    <w:lvl w:ilvl="5">
      <w:start w:val="0"/>
      <w:numFmt w:val="bullet"/>
      <w:lvlText w:val="•"/>
      <w:lvlJc w:val="left"/>
      <w:pPr>
        <w:ind w:left="4653" w:hanging="631"/>
      </w:pPr>
      <w:rPr>
        <w:rFonts w:hint="default"/>
      </w:rPr>
    </w:lvl>
    <w:lvl w:ilvl="6">
      <w:start w:val="0"/>
      <w:numFmt w:val="bullet"/>
      <w:lvlText w:val="•"/>
      <w:lvlJc w:val="left"/>
      <w:pPr>
        <w:ind w:left="5451" w:hanging="631"/>
      </w:pPr>
      <w:rPr>
        <w:rFonts w:hint="default"/>
      </w:rPr>
    </w:lvl>
    <w:lvl w:ilvl="7">
      <w:start w:val="0"/>
      <w:numFmt w:val="bullet"/>
      <w:lvlText w:val="•"/>
      <w:lvlJc w:val="left"/>
      <w:pPr>
        <w:ind w:left="6249" w:hanging="631"/>
      </w:pPr>
      <w:rPr>
        <w:rFonts w:hint="default"/>
      </w:rPr>
    </w:lvl>
    <w:lvl w:ilvl="8">
      <w:start w:val="0"/>
      <w:numFmt w:val="bullet"/>
      <w:lvlText w:val="•"/>
      <w:lvlJc w:val="left"/>
      <w:pPr>
        <w:ind w:left="7047" w:hanging="631"/>
      </w:pPr>
      <w:rPr>
        <w:rFonts w:hint="default"/>
      </w:rPr>
    </w:lvl>
  </w:abstractNum>
  <w:abstractNum w:abstractNumId="4">
    <w:multiLevelType w:val="hybridMultilevel"/>
    <w:lvl w:ilvl="0">
      <w:start w:val="1"/>
      <w:numFmt w:val="decimal"/>
      <w:lvlText w:val="%1."/>
      <w:lvlJc w:val="left"/>
      <w:pPr>
        <w:ind w:left="543" w:hanging="427"/>
        <w:jc w:val="left"/>
      </w:pPr>
      <w:rPr>
        <w:rFonts w:hint="default"/>
        <w:spacing w:val="-99"/>
        <w:w w:val="99"/>
      </w:rPr>
    </w:lvl>
    <w:lvl w:ilvl="1">
      <w:start w:val="1"/>
      <w:numFmt w:val="decimal"/>
      <w:lvlText w:val="%1.%2"/>
      <w:lvlJc w:val="left"/>
      <w:pPr>
        <w:ind w:left="1243" w:hanging="421"/>
        <w:jc w:val="left"/>
      </w:pPr>
      <w:rPr>
        <w:rFonts w:hint="default" w:ascii="宋体" w:hAnsi="宋体" w:eastAsia="宋体" w:cs="宋体"/>
        <w:spacing w:val="-2"/>
        <w:w w:val="100"/>
        <w:sz w:val="21"/>
        <w:szCs w:val="21"/>
      </w:rPr>
    </w:lvl>
    <w:lvl w:ilvl="2">
      <w:start w:val="1"/>
      <w:numFmt w:val="decimal"/>
      <w:lvlText w:val="%1.%2.%3"/>
      <w:lvlJc w:val="left"/>
      <w:pPr>
        <w:ind w:left="835" w:hanging="631"/>
        <w:jc w:val="left"/>
      </w:pPr>
      <w:rPr>
        <w:rFonts w:hint="default" w:ascii="宋体" w:hAnsi="宋体" w:eastAsia="宋体" w:cs="宋体"/>
        <w:spacing w:val="-2"/>
        <w:w w:val="100"/>
        <w:sz w:val="21"/>
        <w:szCs w:val="21"/>
      </w:rPr>
    </w:lvl>
    <w:lvl w:ilvl="3">
      <w:start w:val="0"/>
      <w:numFmt w:val="bullet"/>
      <w:lvlText w:val="•"/>
      <w:lvlJc w:val="left"/>
      <w:pPr>
        <w:ind w:left="1740" w:hanging="631"/>
      </w:pPr>
      <w:rPr>
        <w:rFonts w:hint="default"/>
      </w:rPr>
    </w:lvl>
    <w:lvl w:ilvl="4">
      <w:start w:val="0"/>
      <w:numFmt w:val="bullet"/>
      <w:lvlText w:val="•"/>
      <w:lvlJc w:val="left"/>
      <w:pPr>
        <w:ind w:left="1780" w:hanging="631"/>
      </w:pPr>
      <w:rPr>
        <w:rFonts w:hint="default"/>
      </w:rPr>
    </w:lvl>
    <w:lvl w:ilvl="5">
      <w:start w:val="0"/>
      <w:numFmt w:val="bullet"/>
      <w:lvlText w:val="•"/>
      <w:lvlJc w:val="left"/>
      <w:pPr>
        <w:ind w:left="2924" w:hanging="631"/>
      </w:pPr>
      <w:rPr>
        <w:rFonts w:hint="default"/>
      </w:rPr>
    </w:lvl>
    <w:lvl w:ilvl="6">
      <w:start w:val="0"/>
      <w:numFmt w:val="bullet"/>
      <w:lvlText w:val="•"/>
      <w:lvlJc w:val="left"/>
      <w:pPr>
        <w:ind w:left="4068" w:hanging="631"/>
      </w:pPr>
      <w:rPr>
        <w:rFonts w:hint="default"/>
      </w:rPr>
    </w:lvl>
    <w:lvl w:ilvl="7">
      <w:start w:val="0"/>
      <w:numFmt w:val="bullet"/>
      <w:lvlText w:val="•"/>
      <w:lvlJc w:val="left"/>
      <w:pPr>
        <w:ind w:left="5212" w:hanging="631"/>
      </w:pPr>
      <w:rPr>
        <w:rFonts w:hint="default"/>
      </w:rPr>
    </w:lvl>
    <w:lvl w:ilvl="8">
      <w:start w:val="0"/>
      <w:numFmt w:val="bullet"/>
      <w:lvlText w:val="•"/>
      <w:lvlJc w:val="left"/>
      <w:pPr>
        <w:ind w:left="6356" w:hanging="631"/>
      </w:pPr>
      <w:rPr>
        <w:rFonts w:hint="default"/>
      </w:rPr>
    </w:lvl>
  </w:abstractNum>
  <w:abstractNum w:abstractNumId="3">
    <w:multiLevelType w:val="hybridMultilevel"/>
    <w:lvl w:ilvl="0">
      <w:start w:val="1"/>
      <w:numFmt w:val="decimal"/>
      <w:lvlText w:val="%1."/>
      <w:lvlJc w:val="left"/>
      <w:pPr>
        <w:ind w:left="685" w:hanging="243"/>
        <w:jc w:val="left"/>
      </w:pPr>
      <w:rPr>
        <w:rFonts w:hint="default" w:ascii="宋体" w:hAnsi="宋体" w:eastAsia="宋体" w:cs="宋体"/>
        <w:w w:val="100"/>
        <w:sz w:val="21"/>
        <w:szCs w:val="21"/>
      </w:rPr>
    </w:lvl>
    <w:lvl w:ilvl="1">
      <w:start w:val="0"/>
      <w:numFmt w:val="bullet"/>
      <w:lvlText w:val="•"/>
      <w:lvlJc w:val="left"/>
      <w:pPr>
        <w:ind w:left="1468" w:hanging="243"/>
      </w:pPr>
      <w:rPr>
        <w:rFonts w:hint="default"/>
      </w:rPr>
    </w:lvl>
    <w:lvl w:ilvl="2">
      <w:start w:val="0"/>
      <w:numFmt w:val="bullet"/>
      <w:lvlText w:val="•"/>
      <w:lvlJc w:val="left"/>
      <w:pPr>
        <w:ind w:left="2256" w:hanging="243"/>
      </w:pPr>
      <w:rPr>
        <w:rFonts w:hint="default"/>
      </w:rPr>
    </w:lvl>
    <w:lvl w:ilvl="3">
      <w:start w:val="0"/>
      <w:numFmt w:val="bullet"/>
      <w:lvlText w:val="•"/>
      <w:lvlJc w:val="left"/>
      <w:pPr>
        <w:ind w:left="3045" w:hanging="243"/>
      </w:pPr>
      <w:rPr>
        <w:rFonts w:hint="default"/>
      </w:rPr>
    </w:lvl>
    <w:lvl w:ilvl="4">
      <w:start w:val="0"/>
      <w:numFmt w:val="bullet"/>
      <w:lvlText w:val="•"/>
      <w:lvlJc w:val="left"/>
      <w:pPr>
        <w:ind w:left="3833" w:hanging="243"/>
      </w:pPr>
      <w:rPr>
        <w:rFonts w:hint="default"/>
      </w:rPr>
    </w:lvl>
    <w:lvl w:ilvl="5">
      <w:start w:val="0"/>
      <w:numFmt w:val="bullet"/>
      <w:lvlText w:val="•"/>
      <w:lvlJc w:val="left"/>
      <w:pPr>
        <w:ind w:left="4622" w:hanging="243"/>
      </w:pPr>
      <w:rPr>
        <w:rFonts w:hint="default"/>
      </w:rPr>
    </w:lvl>
    <w:lvl w:ilvl="6">
      <w:start w:val="0"/>
      <w:numFmt w:val="bullet"/>
      <w:lvlText w:val="•"/>
      <w:lvlJc w:val="left"/>
      <w:pPr>
        <w:ind w:left="5410" w:hanging="243"/>
      </w:pPr>
      <w:rPr>
        <w:rFonts w:hint="default"/>
      </w:rPr>
    </w:lvl>
    <w:lvl w:ilvl="7">
      <w:start w:val="0"/>
      <w:numFmt w:val="bullet"/>
      <w:lvlText w:val="•"/>
      <w:lvlJc w:val="left"/>
      <w:pPr>
        <w:ind w:left="6199" w:hanging="243"/>
      </w:pPr>
      <w:rPr>
        <w:rFonts w:hint="default"/>
      </w:rPr>
    </w:lvl>
    <w:lvl w:ilvl="8">
      <w:start w:val="0"/>
      <w:numFmt w:val="bullet"/>
      <w:lvlText w:val="•"/>
      <w:lvlJc w:val="left"/>
      <w:pPr>
        <w:ind w:left="6987" w:hanging="243"/>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0" w:hanging="316"/>
      </w:pPr>
      <w:rPr>
        <w:rFonts w:hint="default"/>
      </w:rPr>
    </w:lvl>
    <w:lvl w:ilvl="2">
      <w:start w:val="0"/>
      <w:numFmt w:val="bullet"/>
      <w:lvlText w:val="•"/>
      <w:lvlJc w:val="left"/>
      <w:pPr>
        <w:ind w:left="2400" w:hanging="316"/>
      </w:pPr>
      <w:rPr>
        <w:rFonts w:hint="default"/>
      </w:rPr>
    </w:lvl>
    <w:lvl w:ilvl="3">
      <w:start w:val="0"/>
      <w:numFmt w:val="bullet"/>
      <w:lvlText w:val="•"/>
      <w:lvlJc w:val="left"/>
      <w:pPr>
        <w:ind w:left="3171" w:hanging="316"/>
      </w:pPr>
      <w:rPr>
        <w:rFonts w:hint="default"/>
      </w:rPr>
    </w:lvl>
    <w:lvl w:ilvl="4">
      <w:start w:val="0"/>
      <w:numFmt w:val="bullet"/>
      <w:lvlText w:val="•"/>
      <w:lvlJc w:val="left"/>
      <w:pPr>
        <w:ind w:left="3941" w:hanging="316"/>
      </w:pPr>
      <w:rPr>
        <w:rFonts w:hint="default"/>
      </w:rPr>
    </w:lvl>
    <w:lvl w:ilvl="5">
      <w:start w:val="0"/>
      <w:numFmt w:val="bullet"/>
      <w:lvlText w:val="•"/>
      <w:lvlJc w:val="left"/>
      <w:pPr>
        <w:ind w:left="4712" w:hanging="316"/>
      </w:pPr>
      <w:rPr>
        <w:rFonts w:hint="default"/>
      </w:rPr>
    </w:lvl>
    <w:lvl w:ilvl="6">
      <w:start w:val="0"/>
      <w:numFmt w:val="bullet"/>
      <w:lvlText w:val="•"/>
      <w:lvlJc w:val="left"/>
      <w:pPr>
        <w:ind w:left="5482" w:hanging="316"/>
      </w:pPr>
      <w:rPr>
        <w:rFonts w:hint="default"/>
      </w:rPr>
    </w:lvl>
    <w:lvl w:ilvl="7">
      <w:start w:val="0"/>
      <w:numFmt w:val="bullet"/>
      <w:lvlText w:val="•"/>
      <w:lvlJc w:val="left"/>
      <w:pPr>
        <w:ind w:left="6253" w:hanging="316"/>
      </w:pPr>
      <w:rPr>
        <w:rFonts w:hint="default"/>
      </w:rPr>
    </w:lvl>
    <w:lvl w:ilvl="8">
      <w:start w:val="0"/>
      <w:numFmt w:val="bullet"/>
      <w:lvlText w:val="•"/>
      <w:lvlJc w:val="left"/>
      <w:pPr>
        <w:ind w:left="7023" w:hanging="316"/>
      </w:pPr>
      <w:rPr>
        <w:rFonts w:hint="default"/>
      </w:rPr>
    </w:lvl>
  </w:abstractNum>
  <w:num w:numId="3">
    <w:abstractNumId w:val="2"/>
  </w:num>
  <w:num w:numId="1">
    <w:abstractNumId w:val="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spacing w:before="1"/>
      <w:ind w:left="2990" w:right="2987"/>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543" w:hanging="42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2018-10-20T08:18:04Z</dcterms:created>
  <dcterms:modified xsi:type="dcterms:W3CDTF">2018-10-20T08:18:04Z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2018-10-20T00:00:00Z</vt:filetime>
  </property>
</Properties>
</file>