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15"/>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256459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103 号</w:t>
      </w:r>
    </w:p>
    <w:p>
      <w:pPr>
        <w:pStyle w:val="BodyText"/>
        <w:rPr>
          <w:sz w:val="20"/>
        </w:rPr>
      </w:pPr>
    </w:p>
    <w:p>
      <w:pPr>
        <w:pStyle w:val="BodyText"/>
        <w:spacing w:before="8"/>
        <w:rPr>
          <w:sz w:val="23"/>
        </w:rPr>
      </w:pPr>
    </w:p>
    <w:p>
      <w:pPr>
        <w:pStyle w:val="Heading1"/>
        <w:ind w:left="1881"/>
      </w:pPr>
      <w:r>
        <w:rPr/>
        <w:t>泰康附加豁免保险费 </w:t>
      </w:r>
      <w:r>
        <w:rPr>
          <w:rFonts w:ascii="Microsoft JhengHei UI" w:eastAsia="Microsoft JhengHei UI" w:hint="eastAsia"/>
        </w:rPr>
        <w:t>A </w:t>
      </w:r>
      <w:r>
        <w:rPr/>
        <w:t>款重大疾病保险条款</w:t>
      </w:r>
    </w:p>
    <w:p>
      <w:pPr>
        <w:spacing w:after="0"/>
        <w:sectPr>
          <w:type w:val="continuous"/>
          <w:pgSz w:w="11910" w:h="16840"/>
          <w:pgMar w:top="20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4"/>
        <w:rPr>
          <w:rFonts w:ascii="微软雅黑"/>
          <w:b/>
          <w:sz w:val="10"/>
        </w:rPr>
      </w:pPr>
      <w:r>
        <w:rPr/>
        <w:br w:type="column"/>
      </w:r>
      <w:r>
        <w:rPr>
          <w:rFonts w:ascii="微软雅黑"/>
          <w:b/>
          <w:sz w:val="10"/>
        </w:rPr>
      </w:r>
    </w:p>
    <w:p>
      <w:pPr>
        <w:pStyle w:val="BodyText"/>
        <w:ind w:left="2043"/>
      </w:pPr>
      <w:r>
        <w:rPr/>
        <w:t>请扫描以查询验证条款</w:t>
      </w:r>
    </w:p>
    <w:p>
      <w:pPr>
        <w:spacing w:after="0"/>
        <w:sectPr>
          <w:type w:val="continuous"/>
          <w:pgSz w:w="11910" w:h="16840"/>
          <w:pgMar w:top="20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3"/>
        <w:ind w:left="212" w:right="0" w:firstLine="0"/>
        <w:jc w:val="left"/>
        <w:rPr>
          <w:b/>
          <w:sz w:val="21"/>
        </w:rPr>
      </w:pPr>
      <w:r>
        <w:rPr/>
        <w:pict>
          <v:group style="position:absolute;margin-left:51pt;margin-top:1.797663pt;width:496.8pt;height:586.050pt;mso-position-horizontal-relative:page;mso-position-vertical-relative:paragraph;z-index:-32464" coordorigin="1020,36" coordsize="9936,11721">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757" stroked="true" strokeweight=".48pt" strokecolor="#000000">
              <v:stroke dashstyle="solid"/>
            </v:line>
            <v:line style="position:absolute" from="1030,11752" to="10946,11752" stroked="true" strokeweight=".48004pt" strokecolor="#000000">
              <v:stroke dashstyle="solid"/>
            </v:line>
            <v:line style="position:absolute" from="10951,46" to="10951,1175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0"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0"/>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3"/>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8" w:val="right" w:leader="dot"/>
        </w:tabs>
        <w:spacing w:line="240" w:lineRule="auto" w:before="23"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0" w:val="right" w:leader="dot"/>
        </w:tabs>
        <w:spacing w:line="240" w:lineRule="auto" w:before="22"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861"/>
        <w:gridCol w:w="2679"/>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309"/>
              <w:rPr>
                <w:b/>
                <w:sz w:val="21"/>
              </w:rPr>
            </w:pPr>
            <w:r>
              <w:rPr>
                <w:b/>
                <w:sz w:val="21"/>
              </w:rPr>
              <w:t>5. 现金价值权益</w:t>
            </w:r>
          </w:p>
        </w:tc>
        <w:tc>
          <w:tcPr>
            <w:tcW w:w="861" w:type="dxa"/>
          </w:tcPr>
          <w:p>
            <w:pPr>
              <w:pStyle w:val="TableParagraph"/>
              <w:spacing w:line="211" w:lineRule="exact"/>
              <w:ind w:left="334"/>
              <w:rPr>
                <w:sz w:val="21"/>
              </w:rPr>
            </w:pPr>
            <w:r>
              <w:rPr>
                <w:sz w:val="21"/>
              </w:rPr>
              <w:t>10.6</w:t>
            </w:r>
          </w:p>
        </w:tc>
        <w:tc>
          <w:tcPr>
            <w:tcW w:w="2679" w:type="dxa"/>
          </w:tcPr>
          <w:p>
            <w:pPr>
              <w:pStyle w:val="TableParagraph"/>
              <w:spacing w:line="211" w:lineRule="exact"/>
              <w:ind w:left="-1"/>
              <w:rPr>
                <w:sz w:val="21"/>
              </w:rPr>
            </w:pPr>
            <w:r>
              <w:rPr>
                <w:sz w:val="21"/>
              </w:rPr>
              <w:t>意外伤害</w:t>
            </w:r>
          </w:p>
        </w:tc>
      </w:tr>
      <w:tr>
        <w:trPr>
          <w:trHeight w:val="312" w:hRule="atLeast"/>
        </w:trPr>
        <w:tc>
          <w:tcPr>
            <w:tcW w:w="2578" w:type="dxa"/>
          </w:tcPr>
          <w:p>
            <w:pPr>
              <w:pStyle w:val="TableParagraph"/>
              <w:spacing w:line="262" w:lineRule="exact"/>
              <w:ind w:left="156"/>
              <w:rPr>
                <w:sz w:val="21"/>
              </w:rPr>
            </w:pPr>
            <w:r>
              <w:rPr>
                <w:sz w:val="21"/>
              </w:rPr>
              <w:t>1.1 合同构成</w:t>
            </w:r>
          </w:p>
        </w:tc>
        <w:tc>
          <w:tcPr>
            <w:tcW w:w="3482" w:type="dxa"/>
          </w:tcPr>
          <w:p>
            <w:pPr>
              <w:pStyle w:val="TableParagraph"/>
              <w:spacing w:line="262" w:lineRule="exact"/>
              <w:ind w:left="309"/>
              <w:rPr>
                <w:sz w:val="21"/>
              </w:rPr>
            </w:pPr>
            <w:r>
              <w:rPr>
                <w:sz w:val="21"/>
              </w:rPr>
              <w:t>5.1 现金价值</w:t>
            </w:r>
          </w:p>
        </w:tc>
        <w:tc>
          <w:tcPr>
            <w:tcW w:w="861" w:type="dxa"/>
          </w:tcPr>
          <w:p>
            <w:pPr>
              <w:pStyle w:val="TableParagraph"/>
              <w:spacing w:line="262" w:lineRule="exact"/>
              <w:ind w:left="334"/>
              <w:rPr>
                <w:sz w:val="21"/>
              </w:rPr>
            </w:pPr>
            <w:r>
              <w:rPr>
                <w:sz w:val="21"/>
              </w:rPr>
              <w:t>10.7</w:t>
            </w:r>
          </w:p>
        </w:tc>
        <w:tc>
          <w:tcPr>
            <w:tcW w:w="2679" w:type="dxa"/>
          </w:tcPr>
          <w:p>
            <w:pPr>
              <w:pStyle w:val="TableParagraph"/>
              <w:spacing w:line="262" w:lineRule="exact"/>
              <w:ind w:left="-1"/>
              <w:rPr>
                <w:sz w:val="21"/>
              </w:rPr>
            </w:pPr>
            <w:r>
              <w:rPr>
                <w:sz w:val="21"/>
              </w:rPr>
              <w:t>毒品</w:t>
            </w:r>
          </w:p>
        </w:tc>
      </w:tr>
      <w:tr>
        <w:trPr>
          <w:trHeight w:val="311"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309"/>
              <w:rPr>
                <w:b/>
                <w:sz w:val="21"/>
              </w:rPr>
            </w:pPr>
            <w:r>
              <w:rPr>
                <w:b/>
                <w:sz w:val="21"/>
              </w:rPr>
              <w:t>6. 合同效力的中止及恢复</w:t>
            </w:r>
          </w:p>
        </w:tc>
        <w:tc>
          <w:tcPr>
            <w:tcW w:w="861" w:type="dxa"/>
          </w:tcPr>
          <w:p>
            <w:pPr>
              <w:pStyle w:val="TableParagraph"/>
              <w:spacing w:line="261" w:lineRule="exact"/>
              <w:ind w:left="334"/>
              <w:rPr>
                <w:sz w:val="21"/>
              </w:rPr>
            </w:pPr>
            <w:r>
              <w:rPr>
                <w:sz w:val="21"/>
              </w:rPr>
              <w:t>10.8</w:t>
            </w:r>
          </w:p>
        </w:tc>
        <w:tc>
          <w:tcPr>
            <w:tcW w:w="2679" w:type="dxa"/>
          </w:tcPr>
          <w:p>
            <w:pPr>
              <w:pStyle w:val="TableParagraph"/>
              <w:spacing w:line="261" w:lineRule="exact"/>
              <w:ind w:left="-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6.1 效力中止</w:t>
            </w:r>
          </w:p>
        </w:tc>
        <w:tc>
          <w:tcPr>
            <w:tcW w:w="861" w:type="dxa"/>
          </w:tcPr>
          <w:p>
            <w:pPr>
              <w:pStyle w:val="TableParagraph"/>
              <w:spacing w:line="261" w:lineRule="exact"/>
              <w:ind w:left="334"/>
              <w:rPr>
                <w:sz w:val="21"/>
              </w:rPr>
            </w:pPr>
            <w:r>
              <w:rPr>
                <w:sz w:val="21"/>
              </w:rPr>
              <w:t>10.9</w:t>
            </w:r>
          </w:p>
        </w:tc>
        <w:tc>
          <w:tcPr>
            <w:tcW w:w="2679" w:type="dxa"/>
          </w:tcPr>
          <w:p>
            <w:pPr>
              <w:pStyle w:val="TableParagraph"/>
              <w:spacing w:line="261" w:lineRule="exact"/>
              <w:ind w:left="-1"/>
              <w:rPr>
                <w:sz w:val="21"/>
              </w:rPr>
            </w:pPr>
            <w:r>
              <w:rPr>
                <w:sz w:val="21"/>
              </w:rPr>
              <w:t>无合法有效驾驶证驾驶</w:t>
            </w:r>
          </w:p>
        </w:tc>
      </w:tr>
      <w:tr>
        <w:trPr>
          <w:trHeight w:val="312"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415"/>
              <w:rPr>
                <w:sz w:val="21"/>
              </w:rPr>
            </w:pPr>
            <w:r>
              <w:rPr>
                <w:sz w:val="21"/>
              </w:rPr>
              <w:t>6.2 效力恢复</w:t>
            </w:r>
          </w:p>
        </w:tc>
        <w:tc>
          <w:tcPr>
            <w:tcW w:w="861" w:type="dxa"/>
          </w:tcPr>
          <w:p>
            <w:pPr>
              <w:pStyle w:val="TableParagraph"/>
              <w:spacing w:line="261" w:lineRule="exact"/>
              <w:ind w:left="334" w:right="-15"/>
              <w:rPr>
                <w:sz w:val="21"/>
              </w:rPr>
            </w:pPr>
            <w:r>
              <w:rPr>
                <w:sz w:val="21"/>
              </w:rPr>
              <w:t>10.10</w:t>
            </w:r>
          </w:p>
        </w:tc>
        <w:tc>
          <w:tcPr>
            <w:tcW w:w="2679" w:type="dxa"/>
          </w:tcPr>
          <w:p>
            <w:pPr>
              <w:pStyle w:val="TableParagraph"/>
              <w:spacing w:line="261" w:lineRule="exact"/>
              <w:ind w:left="104"/>
              <w:rPr>
                <w:sz w:val="21"/>
              </w:rPr>
            </w:pPr>
            <w:r>
              <w:rPr>
                <w:sz w:val="21"/>
              </w:rPr>
              <w:t>无有效行驶证</w:t>
            </w:r>
          </w:p>
        </w:tc>
      </w:tr>
      <w:tr>
        <w:trPr>
          <w:trHeight w:val="312"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309"/>
              <w:rPr>
                <w:b/>
                <w:sz w:val="21"/>
              </w:rPr>
            </w:pPr>
            <w:r>
              <w:rPr>
                <w:b/>
                <w:sz w:val="21"/>
              </w:rPr>
              <w:t>7. 合同解除</w:t>
            </w:r>
          </w:p>
        </w:tc>
        <w:tc>
          <w:tcPr>
            <w:tcW w:w="861" w:type="dxa"/>
          </w:tcPr>
          <w:p>
            <w:pPr>
              <w:pStyle w:val="TableParagraph"/>
              <w:spacing w:line="261" w:lineRule="exact"/>
              <w:ind w:left="334" w:right="-15"/>
              <w:rPr>
                <w:sz w:val="21"/>
              </w:rPr>
            </w:pPr>
            <w:r>
              <w:rPr>
                <w:sz w:val="21"/>
              </w:rPr>
              <w:t>10.11</w:t>
            </w:r>
          </w:p>
        </w:tc>
        <w:tc>
          <w:tcPr>
            <w:tcW w:w="2679" w:type="dxa"/>
          </w:tcPr>
          <w:p>
            <w:pPr>
              <w:pStyle w:val="TableParagraph"/>
              <w:spacing w:line="261" w:lineRule="exact"/>
              <w:ind w:left="104"/>
              <w:rPr>
                <w:sz w:val="21"/>
              </w:rPr>
            </w:pPr>
            <w:r>
              <w:rPr>
                <w:sz w:val="21"/>
              </w:rPr>
              <w:t>机动车</w:t>
            </w:r>
          </w:p>
        </w:tc>
      </w:tr>
      <w:tr>
        <w:trPr>
          <w:trHeight w:val="311"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415"/>
              <w:rPr>
                <w:sz w:val="21"/>
              </w:rPr>
            </w:pPr>
            <w:r>
              <w:rPr>
                <w:sz w:val="21"/>
              </w:rPr>
              <w:t>7.1 您解除合同的手续及风险</w:t>
            </w:r>
          </w:p>
        </w:tc>
        <w:tc>
          <w:tcPr>
            <w:tcW w:w="861" w:type="dxa"/>
          </w:tcPr>
          <w:p>
            <w:pPr>
              <w:pStyle w:val="TableParagraph"/>
              <w:spacing w:line="261" w:lineRule="exact"/>
              <w:ind w:left="334" w:right="-15"/>
              <w:rPr>
                <w:sz w:val="21"/>
              </w:rPr>
            </w:pPr>
            <w:r>
              <w:rPr>
                <w:sz w:val="21"/>
              </w:rPr>
              <w:t>10.12</w:t>
            </w:r>
          </w:p>
        </w:tc>
        <w:tc>
          <w:tcPr>
            <w:tcW w:w="2679" w:type="dxa"/>
          </w:tcPr>
          <w:p>
            <w:pPr>
              <w:pStyle w:val="TableParagraph"/>
              <w:spacing w:line="261" w:lineRule="exact"/>
              <w:ind w:left="0" w:right="51"/>
              <w:jc w:val="right"/>
              <w:rPr>
                <w:sz w:val="21"/>
              </w:rPr>
            </w:pPr>
            <w:r>
              <w:rPr>
                <w:sz w:val="21"/>
              </w:rPr>
              <w:t>感染艾滋病病毒或患艾滋病</w:t>
            </w:r>
          </w:p>
        </w:tc>
      </w:tr>
      <w:tr>
        <w:trPr>
          <w:trHeight w:val="311"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309"/>
              <w:rPr>
                <w:b/>
                <w:sz w:val="21"/>
              </w:rPr>
            </w:pPr>
            <w:r>
              <w:rPr>
                <w:b/>
                <w:sz w:val="21"/>
              </w:rPr>
              <w:t>8. 其它需要关注的事项</w:t>
            </w:r>
          </w:p>
        </w:tc>
        <w:tc>
          <w:tcPr>
            <w:tcW w:w="861" w:type="dxa"/>
          </w:tcPr>
          <w:p>
            <w:pPr>
              <w:pStyle w:val="TableParagraph"/>
              <w:spacing w:line="261" w:lineRule="exact"/>
              <w:ind w:left="334" w:right="-15"/>
              <w:rPr>
                <w:sz w:val="21"/>
              </w:rPr>
            </w:pPr>
            <w:r>
              <w:rPr>
                <w:sz w:val="21"/>
              </w:rPr>
              <w:t>10.13</w:t>
            </w:r>
          </w:p>
        </w:tc>
        <w:tc>
          <w:tcPr>
            <w:tcW w:w="2679" w:type="dxa"/>
          </w:tcPr>
          <w:p>
            <w:pPr>
              <w:pStyle w:val="TableParagraph"/>
              <w:spacing w:line="261" w:lineRule="exact"/>
              <w:ind w:left="104"/>
              <w:rPr>
                <w:sz w:val="21"/>
              </w:rPr>
            </w:pPr>
            <w:r>
              <w:rPr>
                <w:sz w:val="21"/>
              </w:rPr>
              <w:t>遗传性疾病</w:t>
            </w:r>
          </w:p>
        </w:tc>
      </w:tr>
      <w:tr>
        <w:trPr>
          <w:trHeight w:val="312"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5"/>
              <w:rPr>
                <w:sz w:val="21"/>
              </w:rPr>
            </w:pPr>
            <w:r>
              <w:rPr>
                <w:sz w:val="21"/>
              </w:rPr>
              <w:t>8.1 效力终止</w:t>
            </w:r>
          </w:p>
        </w:tc>
        <w:tc>
          <w:tcPr>
            <w:tcW w:w="861" w:type="dxa"/>
          </w:tcPr>
          <w:p>
            <w:pPr>
              <w:pStyle w:val="TableParagraph"/>
              <w:spacing w:line="261" w:lineRule="exact"/>
              <w:ind w:left="334" w:right="-15"/>
              <w:rPr>
                <w:sz w:val="21"/>
              </w:rPr>
            </w:pPr>
            <w:r>
              <w:rPr>
                <w:sz w:val="21"/>
              </w:rPr>
              <w:t>10.14</w:t>
            </w:r>
          </w:p>
        </w:tc>
        <w:tc>
          <w:tcPr>
            <w:tcW w:w="2679" w:type="dxa"/>
          </w:tcPr>
          <w:p>
            <w:pPr>
              <w:pStyle w:val="TableParagraph"/>
              <w:spacing w:line="261" w:lineRule="exact"/>
              <w:ind w:left="0" w:right="49"/>
              <w:jc w:val="right"/>
              <w:rPr>
                <w:sz w:val="21"/>
              </w:rPr>
            </w:pPr>
            <w:r>
              <w:rPr>
                <w:sz w:val="21"/>
              </w:rPr>
              <w:t>先天性畸形、变形或染色体</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415"/>
              <w:rPr>
                <w:sz w:val="21"/>
              </w:rPr>
            </w:pPr>
            <w:r>
              <w:rPr>
                <w:sz w:val="21"/>
              </w:rPr>
              <w:t>8.2 适用主合同条款</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异常</w:t>
            </w:r>
          </w:p>
        </w:tc>
      </w:tr>
      <w:tr>
        <w:trPr>
          <w:trHeight w:val="311"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9. 重大疾病定义</w:t>
            </w:r>
          </w:p>
        </w:tc>
        <w:tc>
          <w:tcPr>
            <w:tcW w:w="861" w:type="dxa"/>
          </w:tcPr>
          <w:p>
            <w:pPr>
              <w:pStyle w:val="TableParagraph"/>
              <w:spacing w:line="261" w:lineRule="exact"/>
              <w:ind w:left="334" w:right="-15"/>
              <w:rPr>
                <w:sz w:val="21"/>
              </w:rPr>
            </w:pPr>
            <w:r>
              <w:rPr>
                <w:sz w:val="21"/>
              </w:rPr>
              <w:t>10.15</w:t>
            </w:r>
          </w:p>
        </w:tc>
        <w:tc>
          <w:tcPr>
            <w:tcW w:w="2679" w:type="dxa"/>
          </w:tcPr>
          <w:p>
            <w:pPr>
              <w:pStyle w:val="TableParagraph"/>
              <w:spacing w:line="261" w:lineRule="exact"/>
              <w:ind w:left="104"/>
              <w:rPr>
                <w:sz w:val="21"/>
              </w:rPr>
            </w:pPr>
            <w:r>
              <w:rPr>
                <w:sz w:val="21"/>
              </w:rPr>
              <w:t>现金价值</w:t>
            </w:r>
          </w:p>
        </w:tc>
      </w:tr>
      <w:tr>
        <w:trPr>
          <w:trHeight w:val="312" w:hRule="atLeast"/>
        </w:trPr>
        <w:tc>
          <w:tcPr>
            <w:tcW w:w="2578" w:type="dxa"/>
          </w:tcPr>
          <w:p>
            <w:pPr>
              <w:pStyle w:val="TableParagraph"/>
              <w:spacing w:line="261" w:lineRule="exact"/>
              <w:ind w:left="156"/>
              <w:rPr>
                <w:sz w:val="21"/>
              </w:rPr>
            </w:pPr>
            <w:r>
              <w:rPr>
                <w:sz w:val="21"/>
              </w:rPr>
              <w:t>3.1 保险事故通知</w:t>
            </w:r>
          </w:p>
        </w:tc>
        <w:tc>
          <w:tcPr>
            <w:tcW w:w="3482" w:type="dxa"/>
          </w:tcPr>
          <w:p>
            <w:pPr>
              <w:pStyle w:val="TableParagraph"/>
              <w:spacing w:line="261" w:lineRule="exact"/>
              <w:ind w:left="309"/>
              <w:rPr>
                <w:b/>
                <w:sz w:val="21"/>
              </w:rPr>
            </w:pPr>
            <w:r>
              <w:rPr>
                <w:b/>
                <w:sz w:val="21"/>
              </w:rPr>
              <w:t>10. 释义</w:t>
            </w:r>
          </w:p>
        </w:tc>
        <w:tc>
          <w:tcPr>
            <w:tcW w:w="861" w:type="dxa"/>
          </w:tcPr>
          <w:p>
            <w:pPr>
              <w:pStyle w:val="TableParagraph"/>
              <w:spacing w:line="261" w:lineRule="exact"/>
              <w:ind w:left="334" w:right="-15"/>
              <w:rPr>
                <w:sz w:val="21"/>
              </w:rPr>
            </w:pPr>
            <w:r>
              <w:rPr>
                <w:sz w:val="21"/>
              </w:rPr>
              <w:t>10.16</w:t>
            </w:r>
          </w:p>
        </w:tc>
        <w:tc>
          <w:tcPr>
            <w:tcW w:w="2679" w:type="dxa"/>
          </w:tcPr>
          <w:p>
            <w:pPr>
              <w:pStyle w:val="TableParagraph"/>
              <w:spacing w:line="261" w:lineRule="exact"/>
              <w:ind w:left="104"/>
              <w:rPr>
                <w:sz w:val="21"/>
              </w:rPr>
            </w:pPr>
            <w:r>
              <w:rPr>
                <w:sz w:val="21"/>
              </w:rPr>
              <w:t>专科医生</w:t>
            </w:r>
          </w:p>
        </w:tc>
      </w:tr>
      <w:tr>
        <w:trPr>
          <w:trHeight w:val="312"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10.1 保单年度</w:t>
            </w:r>
          </w:p>
        </w:tc>
        <w:tc>
          <w:tcPr>
            <w:tcW w:w="861" w:type="dxa"/>
          </w:tcPr>
          <w:p>
            <w:pPr>
              <w:pStyle w:val="TableParagraph"/>
              <w:spacing w:line="261" w:lineRule="exact"/>
              <w:ind w:left="334" w:right="-15"/>
              <w:rPr>
                <w:sz w:val="21"/>
              </w:rPr>
            </w:pPr>
            <w:r>
              <w:rPr>
                <w:sz w:val="21"/>
              </w:rPr>
              <w:t>10.17</w:t>
            </w:r>
          </w:p>
        </w:tc>
        <w:tc>
          <w:tcPr>
            <w:tcW w:w="2679" w:type="dxa"/>
          </w:tcPr>
          <w:p>
            <w:pPr>
              <w:pStyle w:val="TableParagraph"/>
              <w:spacing w:line="261" w:lineRule="exact"/>
              <w:ind w:left="104"/>
              <w:rPr>
                <w:sz w:val="21"/>
              </w:rPr>
            </w:pPr>
            <w:r>
              <w:rPr>
                <w:sz w:val="21"/>
              </w:rPr>
              <w:t>肢体机能完全丧失</w:t>
            </w:r>
          </w:p>
        </w:tc>
      </w:tr>
      <w:tr>
        <w:trPr>
          <w:trHeight w:val="312" w:hRule="atLeast"/>
        </w:trPr>
        <w:tc>
          <w:tcPr>
            <w:tcW w:w="2578" w:type="dxa"/>
          </w:tcPr>
          <w:p>
            <w:pPr>
              <w:pStyle w:val="TableParagraph"/>
              <w:spacing w:line="262" w:lineRule="exact"/>
              <w:ind w:left="156"/>
              <w:rPr>
                <w:sz w:val="21"/>
              </w:rPr>
            </w:pPr>
            <w:r>
              <w:rPr>
                <w:sz w:val="21"/>
              </w:rPr>
              <w:t>3.3 诉讼时效</w:t>
            </w:r>
          </w:p>
        </w:tc>
        <w:tc>
          <w:tcPr>
            <w:tcW w:w="3482" w:type="dxa"/>
          </w:tcPr>
          <w:p>
            <w:pPr>
              <w:pStyle w:val="TableParagraph"/>
              <w:spacing w:line="262" w:lineRule="exact"/>
              <w:ind w:left="415"/>
              <w:rPr>
                <w:sz w:val="21"/>
              </w:rPr>
            </w:pPr>
            <w:r>
              <w:rPr>
                <w:sz w:val="21"/>
              </w:rPr>
              <w:t>10.2 保险费约定交纳日</w:t>
            </w:r>
          </w:p>
        </w:tc>
        <w:tc>
          <w:tcPr>
            <w:tcW w:w="861" w:type="dxa"/>
          </w:tcPr>
          <w:p>
            <w:pPr>
              <w:pStyle w:val="TableParagraph"/>
              <w:spacing w:line="262" w:lineRule="exact"/>
              <w:ind w:left="334" w:right="-15"/>
              <w:rPr>
                <w:sz w:val="21"/>
              </w:rPr>
            </w:pPr>
            <w:r>
              <w:rPr>
                <w:sz w:val="21"/>
              </w:rPr>
              <w:t>10.18</w:t>
            </w:r>
          </w:p>
        </w:tc>
        <w:tc>
          <w:tcPr>
            <w:tcW w:w="2679" w:type="dxa"/>
          </w:tcPr>
          <w:p>
            <w:pPr>
              <w:pStyle w:val="TableParagraph"/>
              <w:spacing w:line="262" w:lineRule="exact"/>
              <w:ind w:left="0" w:right="51"/>
              <w:jc w:val="right"/>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10.3 周岁</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全丧失</w:t>
            </w:r>
          </w:p>
        </w:tc>
      </w:tr>
      <w:tr>
        <w:trPr>
          <w:trHeight w:val="312"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10.4 有效身份证件</w:t>
            </w:r>
          </w:p>
        </w:tc>
        <w:tc>
          <w:tcPr>
            <w:tcW w:w="861" w:type="dxa"/>
          </w:tcPr>
          <w:p>
            <w:pPr>
              <w:pStyle w:val="TableParagraph"/>
              <w:spacing w:line="261" w:lineRule="exact"/>
              <w:ind w:left="334" w:right="-15"/>
              <w:rPr>
                <w:sz w:val="21"/>
              </w:rPr>
            </w:pPr>
            <w:r>
              <w:rPr>
                <w:sz w:val="21"/>
              </w:rPr>
              <w:t>10.19</w:t>
            </w:r>
          </w:p>
        </w:tc>
        <w:tc>
          <w:tcPr>
            <w:tcW w:w="2679" w:type="dxa"/>
          </w:tcPr>
          <w:p>
            <w:pPr>
              <w:pStyle w:val="TableParagraph"/>
              <w:spacing w:line="261" w:lineRule="exact"/>
              <w:ind w:left="104"/>
              <w:rPr>
                <w:sz w:val="21"/>
              </w:rPr>
            </w:pPr>
            <w:r>
              <w:rPr>
                <w:sz w:val="21"/>
              </w:rPr>
              <w:t>六项基本日常生活活动</w:t>
            </w:r>
          </w:p>
        </w:tc>
      </w:tr>
      <w:tr>
        <w:trPr>
          <w:trHeight w:val="315"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10.5 医院</w:t>
            </w:r>
          </w:p>
        </w:tc>
        <w:tc>
          <w:tcPr>
            <w:tcW w:w="861" w:type="dxa"/>
          </w:tcPr>
          <w:p>
            <w:pPr>
              <w:pStyle w:val="TableParagraph"/>
              <w:spacing w:line="261" w:lineRule="exact"/>
              <w:ind w:left="334" w:right="-15"/>
              <w:rPr>
                <w:sz w:val="21"/>
              </w:rPr>
            </w:pPr>
            <w:r>
              <w:rPr>
                <w:sz w:val="21"/>
              </w:rPr>
              <w:t>10.20</w:t>
            </w:r>
          </w:p>
        </w:tc>
        <w:tc>
          <w:tcPr>
            <w:tcW w:w="2679" w:type="dxa"/>
          </w:tcPr>
          <w:p>
            <w:pPr>
              <w:pStyle w:val="TableParagraph"/>
              <w:spacing w:line="261" w:lineRule="exact"/>
              <w:ind w:left="104"/>
              <w:rPr>
                <w:sz w:val="21"/>
              </w:rPr>
            </w:pPr>
            <w:r>
              <w:rPr>
                <w:sz w:val="21"/>
              </w:rPr>
              <w:t>永久不可逆</w:t>
            </w:r>
          </w:p>
        </w:tc>
      </w:tr>
    </w:tbl>
    <w:p>
      <w:pPr>
        <w:spacing w:after="0" w:line="261" w:lineRule="exact"/>
        <w:rPr>
          <w:sz w:val="21"/>
        </w:rPr>
        <w:sectPr>
          <w:type w:val="continuous"/>
          <w:pgSz w:w="11910" w:h="16840"/>
          <w:pgMar w:top="200" w:bottom="280" w:left="920" w:right="260"/>
        </w:sectPr>
      </w:pPr>
    </w:p>
    <w:p>
      <w:pPr>
        <w:pStyle w:val="Heading1"/>
        <w:spacing w:line="478" w:lineRule="exact"/>
        <w:ind w:left="3110"/>
      </w:pPr>
      <w:r>
        <w:rPr/>
        <w:t>泰康人寿保险股份有限公司</w:t>
      </w:r>
    </w:p>
    <w:p>
      <w:pPr>
        <w:spacing w:before="71"/>
        <w:ind w:left="1960" w:right="0" w:firstLine="0"/>
        <w:jc w:val="left"/>
        <w:rPr>
          <w:rFonts w:ascii="微软雅黑" w:eastAsia="微软雅黑" w:hint="eastAsia"/>
          <w:b/>
          <w:sz w:val="32"/>
        </w:rPr>
      </w:pPr>
      <w:r>
        <w:rPr>
          <w:rFonts w:ascii="微软雅黑" w:eastAsia="微软雅黑" w:hint="eastAsia"/>
          <w:b/>
          <w:sz w:val="32"/>
        </w:rPr>
        <w:t>泰康附加豁免保险费 </w:t>
      </w:r>
      <w:r>
        <w:rPr>
          <w:rFonts w:ascii="Microsoft JhengHei UI" w:eastAsia="Microsoft JhengHei UI" w:hint="eastAsia"/>
          <w:b/>
          <w:sz w:val="32"/>
        </w:rPr>
        <w:t>A </w:t>
      </w:r>
      <w:r>
        <w:rPr>
          <w:rFonts w:ascii="微软雅黑" w:eastAsia="微软雅黑" w:hint="eastAsia"/>
          <w:b/>
          <w:sz w:val="32"/>
        </w:rPr>
        <w:t>款重大疾病保险条款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0"/>
        </w:rPr>
        <w:t>的分公司，“本附加合同”指您与我们之间订立的“泰康附加豁免保险费 </w:t>
      </w:r>
      <w:r>
        <w:rPr/>
        <w:t>A</w:t>
      </w:r>
      <w:r>
        <w:rPr>
          <w:spacing w:val="-6"/>
        </w:rPr>
        <w:t> 款重大疾病保险合同”，“被</w:t>
      </w:r>
      <w:r>
        <w:rPr>
          <w:spacing w:val="-8"/>
        </w:rPr>
        <w:t>保险人”指本附加合同的被保险人，本附加合同的投保人和被保险人，及本附加合同所豁免保险费的保险</w:t>
      </w:r>
      <w:r>
        <w:rPr>
          <w:spacing w:val="-5"/>
        </w:rPr>
        <w:t>合同的投保人为同一人，其姓名在保险单上载明。</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本附加合同由主保险合同（以下简称“主合同”）的投保人申请，经我们同意， 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37"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3" w:lineRule="auto" w:before="88"/>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02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right="105"/>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180 日内经</w:t>
            </w:r>
            <w:r>
              <w:rPr>
                <w:rFonts w:ascii="黑体" w:eastAsia="黑体" w:hint="eastAsia"/>
                <w:b/>
                <w:sz w:val="21"/>
              </w:rPr>
              <w:t>医院</w:t>
            </w:r>
            <w:r>
              <w:rPr>
                <w:rFonts w:ascii="黑体" w:eastAsia="黑体" w:hint="eastAsia"/>
                <w:spacing w:val="-18"/>
                <w:sz w:val="21"/>
              </w:rPr>
              <w:t>(见 </w:t>
            </w:r>
            <w:r>
              <w:rPr>
                <w:rFonts w:ascii="黑体" w:eastAsia="黑体" w:hint="eastAsia"/>
                <w:sz w:val="21"/>
              </w:rPr>
              <w:t>10.5)</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10.6</w:t>
            </w:r>
            <w:r>
              <w:rPr>
                <w:rFonts w:ascii="黑体" w:eastAsia="黑体" w:hint="eastAsia"/>
                <w:spacing w:val="-3"/>
                <w:sz w:val="21"/>
              </w:rPr>
              <w:t>)导致罹患本附加合同所定</w:t>
            </w:r>
            <w:r>
              <w:rPr>
                <w:rFonts w:ascii="黑体" w:eastAsia="黑体" w:hint="eastAsia"/>
                <w:spacing w:val="-7"/>
                <w:sz w:val="21"/>
              </w:rPr>
              <w:t>义的重大疾病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67"/>
                <w:sz w:val="21"/>
              </w:rPr>
              <w:t>）</w:t>
            </w:r>
            <w:r>
              <w:rPr>
                <w:rFonts w:ascii="黑体" w:eastAsia="黑体" w:hint="eastAsia"/>
                <w:spacing w:val="-10"/>
                <w:sz w:val="21"/>
              </w:rPr>
              <w:t>，我们不承担本附加合同约定的保险责任，并将</w:t>
            </w:r>
            <w:r>
              <w:rPr>
                <w:rFonts w:ascii="黑体" w:eastAsia="黑体" w:hint="eastAsia"/>
                <w:spacing w:val="-7"/>
                <w:sz w:val="21"/>
              </w:rPr>
              <w:t>向您无息退还本附加合同的保险费，本附加合同终止。这 </w:t>
            </w:r>
            <w:r>
              <w:rPr>
                <w:rFonts w:ascii="黑体" w:eastAsia="黑体" w:hint="eastAsia"/>
                <w:sz w:val="21"/>
              </w:rPr>
              <w:t>180</w:t>
            </w:r>
            <w:r>
              <w:rPr>
                <w:rFonts w:ascii="黑体" w:eastAsia="黑体" w:hint="eastAsia"/>
                <w:spacing w:val="-8"/>
                <w:sz w:val="21"/>
              </w:rPr>
              <w:t> 日称为保险责任等待期。</w:t>
            </w:r>
          </w:p>
          <w:p>
            <w:pPr>
              <w:pStyle w:val="TableParagraph"/>
              <w:spacing w:line="255" w:lineRule="exact" w:before="86"/>
              <w:rPr>
                <w:rFonts w:ascii="黑体" w:eastAsia="黑体" w:hint="eastAsia"/>
                <w:sz w:val="21"/>
              </w:rPr>
            </w:pPr>
            <w:r>
              <w:rPr>
                <w:rFonts w:ascii="黑体" w:eastAsia="黑体" w:hint="eastAsia"/>
                <w:spacing w:val="-3"/>
                <w:w w:val="100"/>
                <w:sz w:val="21"/>
              </w:rPr>
              <w:t>被保险人因意外伤害导致罹患本附加合同所定义的重大疾病（无论一种或多种</w:t>
            </w:r>
            <w:r>
              <w:rPr>
                <w:rFonts w:ascii="黑体" w:eastAsia="黑体" w:hint="eastAsia"/>
                <w:spacing w:val="-108"/>
                <w:w w:val="100"/>
                <w:sz w:val="21"/>
              </w:rPr>
              <w:t>）</w:t>
            </w:r>
            <w:r>
              <w:rPr>
                <w:rFonts w:ascii="黑体" w:eastAsia="黑体" w:hint="eastAsia"/>
                <w:w w:val="100"/>
                <w:sz w:val="21"/>
              </w:rPr>
              <w:t>，</w:t>
            </w:r>
          </w:p>
        </w:tc>
      </w:tr>
    </w:tbl>
    <w:p>
      <w:pPr>
        <w:spacing w:after="0" w:line="255" w:lineRule="exact"/>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rFonts w:ascii="黑体" w:eastAsia="黑体" w:hint="eastAsia"/>
                <w:sz w:val="21"/>
              </w:rPr>
            </w:pPr>
            <w:r>
              <w:rPr>
                <w:rFonts w:ascii="黑体" w:eastAsia="黑体" w:hint="eastAsia"/>
                <w:sz w:val="21"/>
              </w:rPr>
              <w:t>保险责任无等待期。</w:t>
            </w:r>
          </w:p>
        </w:tc>
      </w:tr>
      <w:tr>
        <w:trPr>
          <w:trHeight w:val="561"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2900"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71" w:lineRule="auto" w:before="111"/>
              <w:ind w:right="101"/>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2"/>
                <w:sz w:val="21"/>
              </w:rPr>
              <w:t>）</w:t>
            </w:r>
            <w:r>
              <w:rPr>
                <w:spacing w:val="-11"/>
                <w:sz w:val="21"/>
              </w:rPr>
              <w:t>，则自确诊日后首个被豁免合同的保险费约定交纳日开始至</w:t>
            </w:r>
            <w:r>
              <w:rPr>
                <w:spacing w:val="-5"/>
                <w:sz w:val="21"/>
              </w:rPr>
              <w:t>被豁免合同最后一次保险费约定交纳日止，我们豁免前述期间内您应交纳的被豁免合同的保险费。我们视豁免的保险费为您已交纳的保险费。被豁免合同继续有</w:t>
            </w:r>
            <w:r>
              <w:rPr>
                <w:spacing w:val="-4"/>
                <w:sz w:val="21"/>
              </w:rPr>
              <w:t>效，本附加合同终止。</w:t>
            </w:r>
          </w:p>
          <w:p>
            <w:pPr>
              <w:pStyle w:val="TableParagraph"/>
              <w:spacing w:before="88"/>
              <w:jc w:val="both"/>
              <w:rPr>
                <w:rFonts w:ascii="黑体" w:hAnsi="黑体" w:eastAsia="黑体" w:hint="eastAsia"/>
                <w:sz w:val="21"/>
              </w:rPr>
            </w:pPr>
            <w:r>
              <w:rPr>
                <w:rFonts w:ascii="黑体" w:hAnsi="黑体" w:eastAsia="黑体" w:hint="eastAsia"/>
                <w:sz w:val="21"/>
              </w:rPr>
              <w:t>本附加合同所定义的重大疾病见“9.重大疾病定义”。</w:t>
            </w:r>
          </w:p>
          <w:p>
            <w:pPr>
              <w:pStyle w:val="TableParagraph"/>
              <w:spacing w:before="115"/>
              <w:jc w:val="both"/>
              <w:rPr>
                <w:sz w:val="21"/>
              </w:rPr>
            </w:pPr>
            <w:r>
              <w:rPr>
                <w:sz w:val="21"/>
              </w:rPr>
              <w:t>本附加合同所豁免保险费的保险合同在保险单上载明。</w:t>
            </w:r>
          </w:p>
        </w:tc>
      </w:tr>
      <w:tr>
        <w:trPr>
          <w:trHeight w:val="4942"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4" w:type="dxa"/>
          </w:tcPr>
          <w:p>
            <w:pPr>
              <w:pStyle w:val="TableParagraph"/>
              <w:spacing w:line="271" w:lineRule="auto" w:before="110"/>
              <w:ind w:right="132"/>
              <w:rPr>
                <w:rFonts w:ascii="黑体" w:eastAsia="黑体" w:hint="eastAsia"/>
                <w:sz w:val="21"/>
              </w:rPr>
            </w:pPr>
            <w:r>
              <w:rPr>
                <w:rFonts w:ascii="黑体" w:eastAsia="黑体" w:hint="eastAsia"/>
                <w:sz w:val="21"/>
              </w:rPr>
              <w:t>因下列情形之一导致被保险人发Th本附加合同定义的重大疾病的，我们不承担本附加合同约定的保险责任：</w:t>
            </w:r>
          </w:p>
          <w:p>
            <w:pPr>
              <w:pStyle w:val="TableParagraph"/>
              <w:numPr>
                <w:ilvl w:val="0"/>
                <w:numId w:val="2"/>
              </w:numPr>
              <w:tabs>
                <w:tab w:pos="852" w:val="left" w:leader="none"/>
                <w:tab w:pos="853" w:val="left" w:leader="none"/>
              </w:tabs>
              <w:spacing w:line="240" w:lineRule="auto" w:before="89" w:after="0"/>
              <w:ind w:left="852"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52" w:val="left" w:leader="none"/>
                <w:tab w:pos="853" w:val="left" w:leader="none"/>
              </w:tabs>
              <w:spacing w:line="273" w:lineRule="auto" w:before="113" w:after="0"/>
              <w:ind w:left="852" w:right="137" w:hanging="72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52" w:val="left" w:leader="none"/>
                <w:tab w:pos="853" w:val="left" w:leader="none"/>
              </w:tabs>
              <w:spacing w:line="240" w:lineRule="auto" w:before="86" w:after="0"/>
              <w:ind w:left="852" w:right="0"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52" w:val="left" w:leader="none"/>
                <w:tab w:pos="853" w:val="left" w:leader="none"/>
              </w:tabs>
              <w:spacing w:line="240" w:lineRule="auto" w:before="113" w:after="0"/>
              <w:ind w:left="85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52" w:val="left" w:leader="none"/>
                <w:tab w:pos="853" w:val="left" w:leader="none"/>
              </w:tabs>
              <w:spacing w:line="273" w:lineRule="auto" w:before="114" w:after="0"/>
              <w:ind w:left="852" w:right="139" w:hanging="720"/>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10.13)，</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10.14)</w:t>
            </w:r>
            <w:r>
              <w:rPr>
                <w:rFonts w:ascii="黑体" w:eastAsia="黑体" w:hint="eastAsia"/>
                <w:spacing w:val="-3"/>
                <w:sz w:val="21"/>
              </w:rPr>
              <w:t>导致</w:t>
            </w:r>
            <w:r>
              <w:rPr>
                <w:rFonts w:ascii="黑体" w:eastAsia="黑体" w:hint="eastAsia"/>
                <w:sz w:val="21"/>
              </w:rPr>
              <w:t>发Th</w:t>
            </w:r>
            <w:r>
              <w:rPr>
                <w:rFonts w:ascii="黑体" w:eastAsia="黑体" w:hint="eastAsia"/>
                <w:spacing w:val="-3"/>
                <w:sz w:val="21"/>
              </w:rPr>
              <w:t>本附加合同定义的重大疾病的，但本附加合同有特别约定的除外。</w:t>
            </w:r>
          </w:p>
          <w:p>
            <w:pPr>
              <w:pStyle w:val="TableParagraph"/>
              <w:spacing w:line="271" w:lineRule="auto" w:before="87"/>
              <w:ind w:right="132"/>
              <w:rPr>
                <w:rFonts w:ascii="黑体" w:eastAsia="黑体" w:hint="eastAsia"/>
                <w:sz w:val="21"/>
              </w:rPr>
            </w:pPr>
            <w:r>
              <w:rPr>
                <w:rFonts w:ascii="黑体" w:eastAsia="黑体" w:hint="eastAsia"/>
                <w:sz w:val="21"/>
              </w:rPr>
              <w:t>因上述情形之一导致被保险人发Th本附加合同定义的重大疾病的，本附加合同终止，我们向您退还本附加合同终止时的</w:t>
            </w:r>
            <w:r>
              <w:rPr>
                <w:rFonts w:ascii="黑体" w:eastAsia="黑体" w:hint="eastAsia"/>
                <w:b/>
                <w:sz w:val="21"/>
              </w:rPr>
              <w:t>现金价值</w:t>
            </w:r>
            <w:r>
              <w:rPr>
                <w:rFonts w:ascii="黑体" w:eastAsia="黑体" w:hint="eastAsia"/>
                <w:sz w:val="21"/>
              </w:rPr>
              <w:t>（见 10.15)。</w:t>
            </w:r>
          </w:p>
        </w:tc>
      </w:tr>
      <w:tr>
        <w:trPr>
          <w:trHeight w:val="597" w:hRule="atLeast"/>
        </w:trPr>
        <w:tc>
          <w:tcPr>
            <w:tcW w:w="664" w:type="dxa"/>
            <w:tcBorders>
              <w:bottom w:val="single" w:sz="8" w:space="0" w:color="000000"/>
            </w:tcBorders>
          </w:tcPr>
          <w:p>
            <w:pPr>
              <w:pStyle w:val="TableParagraph"/>
              <w:spacing w:before="116"/>
              <w:ind w:left="107"/>
              <w:rPr>
                <w:b/>
                <w:sz w:val="24"/>
              </w:rPr>
            </w:pPr>
            <w:r>
              <w:rPr>
                <w:b/>
                <w:sz w:val="24"/>
              </w:rPr>
              <w:t>3.</w:t>
            </w:r>
          </w:p>
        </w:tc>
        <w:tc>
          <w:tcPr>
            <w:tcW w:w="9262" w:type="dxa"/>
            <w:gridSpan w:val="2"/>
            <w:tcBorders>
              <w:bottom w:val="single" w:sz="8" w:space="0" w:color="000000"/>
            </w:tcBorders>
          </w:tcPr>
          <w:p>
            <w:pPr>
              <w:pStyle w:val="TableParagraph"/>
              <w:spacing w:before="116"/>
              <w:ind w:left="238"/>
              <w:rPr>
                <w:b/>
                <w:sz w:val="24"/>
              </w:rPr>
            </w:pPr>
            <w:r>
              <w:rPr>
                <w:b/>
                <w:w w:val="95"/>
                <w:sz w:val="24"/>
              </w:rPr>
              <w:t>豁免保险费的申请</w:t>
            </w:r>
          </w:p>
        </w:tc>
      </w:tr>
      <w:tr>
        <w:trPr>
          <w:trHeight w:val="1913"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保险事故通知</w:t>
            </w: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03"/>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w:t>
            </w:r>
            <w:r>
              <w:rPr>
                <w:rFonts w:ascii="黑体" w:eastAsia="黑体" w:hint="eastAsia"/>
                <w:spacing w:val="-3"/>
                <w:sz w:val="21"/>
              </w:rPr>
              <w:t>经及时知道或者应当及时知道保险事故发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882"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line="271" w:lineRule="auto" w:before="111"/>
              <w:ind w:left="238" w:right="129"/>
              <w:rPr>
                <w:b/>
                <w:sz w:val="21"/>
              </w:rPr>
            </w:pPr>
            <w:r>
              <w:rPr>
                <w:b/>
                <w:sz w:val="21"/>
              </w:rPr>
              <w:t>豁免保险费申请</w:t>
            </w:r>
          </w:p>
        </w:tc>
        <w:tc>
          <w:tcPr>
            <w:tcW w:w="7624" w:type="dxa"/>
          </w:tcPr>
          <w:p>
            <w:pPr>
              <w:pStyle w:val="TableParagraph"/>
              <w:spacing w:line="271" w:lineRule="auto" w:before="111"/>
              <w:ind w:right="132"/>
              <w:rPr>
                <w:sz w:val="21"/>
              </w:rPr>
            </w:pPr>
            <w:r>
              <w:rPr>
                <w:sz w:val="21"/>
              </w:rPr>
              <w:t>在申请豁免保险费时，被保险人作为申请人须填写豁免保险费申请书，并须提供下列证明和资料的原件：</w:t>
            </w:r>
          </w:p>
          <w:p>
            <w:pPr>
              <w:pStyle w:val="TableParagraph"/>
              <w:numPr>
                <w:ilvl w:val="0"/>
                <w:numId w:val="3"/>
              </w:numPr>
              <w:tabs>
                <w:tab w:pos="869" w:val="left" w:leader="none"/>
                <w:tab w:pos="870" w:val="left" w:leader="none"/>
              </w:tabs>
              <w:spacing w:line="240" w:lineRule="auto" w:before="89" w:after="0"/>
              <w:ind w:left="852" w:right="0" w:hanging="720"/>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6" w:after="0"/>
              <w:ind w:left="852" w:right="0" w:hanging="720"/>
              <w:jc w:val="left"/>
              <w:rPr>
                <w:sz w:val="21"/>
              </w:rPr>
            </w:pPr>
            <w:r>
              <w:rPr>
                <w:spacing w:val="-3"/>
                <w:sz w:val="21"/>
              </w:rPr>
              <w:t>申请人的有效身份证件；</w:t>
            </w:r>
          </w:p>
          <w:p>
            <w:pPr>
              <w:pStyle w:val="TableParagraph"/>
              <w:numPr>
                <w:ilvl w:val="0"/>
                <w:numId w:val="3"/>
              </w:numPr>
              <w:tabs>
                <w:tab w:pos="858" w:val="left" w:leader="none"/>
              </w:tabs>
              <w:spacing w:line="273" w:lineRule="auto" w:before="114" w:after="0"/>
              <w:ind w:left="852" w:right="103" w:hanging="720"/>
              <w:jc w:val="both"/>
              <w:rPr>
                <w:sz w:val="21"/>
              </w:rPr>
            </w:pPr>
            <w:r>
              <w:rPr>
                <w:spacing w:val="-3"/>
                <w:sz w:val="21"/>
              </w:rPr>
              <w:t>由医院</w:t>
            </w:r>
            <w:r>
              <w:rPr>
                <w:b/>
                <w:sz w:val="21"/>
              </w:rPr>
              <w:t>专科医生</w:t>
            </w:r>
            <w:r>
              <w:rPr>
                <w:spacing w:val="-12"/>
                <w:sz w:val="21"/>
              </w:rPr>
              <w:t>(见 </w:t>
            </w:r>
            <w:r>
              <w:rPr>
                <w:sz w:val="21"/>
              </w:rPr>
              <w:t>10.16</w:t>
            </w:r>
            <w:r>
              <w:rPr>
                <w:spacing w:val="-4"/>
                <w:sz w:val="21"/>
              </w:rPr>
              <w:t>)出具的疾病诊断证明书，以及由医院出具的与</w:t>
            </w:r>
            <w:r>
              <w:rPr>
                <w:spacing w:val="-6"/>
                <w:sz w:val="21"/>
              </w:rPr>
              <w:t>该疾病诊断证明书相关的病理显微镜检查、血液检验及其他科学方法检验报告；</w:t>
            </w:r>
          </w:p>
          <w:p>
            <w:pPr>
              <w:pStyle w:val="TableParagraph"/>
              <w:numPr>
                <w:ilvl w:val="0"/>
                <w:numId w:val="3"/>
              </w:numPr>
              <w:tabs>
                <w:tab w:pos="869" w:val="left" w:leader="none"/>
                <w:tab w:pos="870" w:val="left" w:leader="none"/>
              </w:tabs>
              <w:spacing w:line="255" w:lineRule="exact" w:before="87" w:after="0"/>
              <w:ind w:left="852" w:right="0" w:hanging="72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80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以上证明和资料不完整的，我们将及时一次性通知豁免保险费申请人补充提供有</w:t>
            </w:r>
          </w:p>
          <w:p>
            <w:pPr>
              <w:pStyle w:val="TableParagraph"/>
              <w:spacing w:before="37"/>
              <w:rPr>
                <w:sz w:val="21"/>
              </w:rPr>
            </w:pPr>
            <w:r>
              <w:rPr>
                <w:sz w:val="21"/>
              </w:rPr>
              <w:t>关的证明和资料。</w:t>
            </w:r>
          </w:p>
          <w:p>
            <w:pPr>
              <w:pStyle w:val="TableParagraph"/>
              <w:spacing w:line="271" w:lineRule="auto" w:before="116"/>
              <w:ind w:right="132"/>
              <w:rPr>
                <w:sz w:val="21"/>
              </w:rPr>
            </w:pPr>
            <w:r>
              <w:rPr>
                <w:sz w:val="21"/>
              </w:rPr>
              <w:t>委托他人申请豁免保险费时，受托人还必须提供本人的有效身份证件及委托人亲笔签名的授权委托书。</w:t>
            </w:r>
          </w:p>
          <w:p>
            <w:pPr>
              <w:pStyle w:val="TableParagraph"/>
              <w:spacing w:before="88"/>
              <w:ind w:right="-15"/>
              <w:rPr>
                <w:sz w:val="21"/>
              </w:rPr>
            </w:pPr>
            <w:r>
              <w:rPr>
                <w:spacing w:val="-7"/>
                <w:sz w:val="21"/>
              </w:rPr>
              <w:t>如果申请豁免保险费时被保险人已身故，则由被豁免合同的被保险人作为申请人。</w:t>
            </w:r>
          </w:p>
          <w:p>
            <w:pPr>
              <w:pStyle w:val="TableParagraph"/>
              <w:spacing w:line="271" w:lineRule="auto" w:before="116"/>
              <w:ind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8"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right="132"/>
              <w:rPr>
                <w:sz w:val="21"/>
              </w:rPr>
            </w:pPr>
            <w:r>
              <w:rPr>
                <w:spacing w:val="-5"/>
                <w:sz w:val="21"/>
              </w:rPr>
              <w:t>申请人向我们申请豁免保险费的诉讼时效期间为 </w:t>
            </w:r>
            <w:r>
              <w:rPr>
                <w:sz w:val="21"/>
              </w:rPr>
              <w:t>2</w:t>
            </w:r>
            <w:r>
              <w:rPr>
                <w:spacing w:val="-7"/>
                <w:sz w:val="21"/>
              </w:rPr>
              <w:t> 年，自其知道或者应当知道保</w:t>
            </w:r>
            <w:r>
              <w:rPr>
                <w:spacing w:val="-5"/>
                <w:sz w:val="21"/>
              </w:rPr>
              <w:t>险事故发生之日起计算。</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4.</w:t>
            </w:r>
          </w:p>
        </w:tc>
        <w:tc>
          <w:tcPr>
            <w:tcW w:w="1638" w:type="dxa"/>
            <w:tcBorders>
              <w:bottom w:val="single" w:sz="8" w:space="0" w:color="000000"/>
            </w:tcBorders>
          </w:tcPr>
          <w:p>
            <w:pPr>
              <w:pStyle w:val="TableParagraph"/>
              <w:spacing w:before="116"/>
              <w:ind w:left="238"/>
              <w:rPr>
                <w:b/>
                <w:sz w:val="24"/>
              </w:rPr>
            </w:pPr>
            <w:r>
              <w:rPr>
                <w:b/>
                <w:w w:val="95"/>
                <w:sz w:val="24"/>
              </w:rPr>
              <w:t>保险费的交</w:t>
            </w:r>
          </w:p>
        </w:tc>
        <w:tc>
          <w:tcPr>
            <w:tcW w:w="7624" w:type="dxa"/>
            <w:tcBorders>
              <w:bottom w:val="single" w:sz="8" w:space="0" w:color="000000"/>
            </w:tcBorders>
          </w:tcPr>
          <w:p>
            <w:pPr>
              <w:pStyle w:val="TableParagraph"/>
              <w:spacing w:before="116"/>
              <w:ind w:left="-195"/>
              <w:rPr>
                <w:b/>
                <w:sz w:val="24"/>
              </w:rPr>
            </w:pPr>
            <w:r>
              <w:rPr>
                <w:b/>
                <w:w w:val="99"/>
                <w:sz w:val="24"/>
              </w:rPr>
              <w:t>纳</w:t>
            </w:r>
          </w:p>
        </w:tc>
      </w:tr>
      <w:tr>
        <w:trPr>
          <w:trHeight w:val="136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3" w:lineRule="auto" w:before="113"/>
              <w:ind w:right="132"/>
              <w:rPr>
                <w:sz w:val="21"/>
              </w:rPr>
            </w:pPr>
            <w:r>
              <w:rPr>
                <w:sz w:val="21"/>
              </w:rPr>
              <w:t>分期支付保险费的，在交纳首期保险费后，您应当在每个保险费约定交纳日交纳其余各期的保险费。</w:t>
            </w:r>
          </w:p>
        </w:tc>
      </w:tr>
      <w:tr>
        <w:trPr>
          <w:trHeight w:val="1901"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3"/>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3" w:lineRule="auto" w:before="88"/>
              <w:ind w:right="132"/>
              <w:jc w:val="both"/>
              <w:rPr>
                <w:sz w:val="21"/>
              </w:rPr>
            </w:pPr>
            <w:r>
              <w:rPr>
                <w:sz w:val="21"/>
              </w:rPr>
              <w:t>如果您在宽限期内未交纳保险费，则本附加合同自宽限期满的次日零时起效力中止，但本附加合同另有约定的除外。</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5.</w:t>
            </w:r>
          </w:p>
        </w:tc>
        <w:tc>
          <w:tcPr>
            <w:tcW w:w="1638" w:type="dxa"/>
            <w:tcBorders>
              <w:bottom w:val="single" w:sz="8" w:space="0" w:color="000000"/>
            </w:tcBorders>
          </w:tcPr>
          <w:p>
            <w:pPr>
              <w:pStyle w:val="TableParagraph"/>
              <w:spacing w:before="116"/>
              <w:ind w:left="238"/>
              <w:rPr>
                <w:b/>
                <w:sz w:val="24"/>
              </w:rPr>
            </w:pPr>
            <w:r>
              <w:rPr>
                <w:b/>
                <w:w w:val="95"/>
                <w:sz w:val="24"/>
              </w:rPr>
              <w:t>现金价值权</w:t>
            </w:r>
          </w:p>
        </w:tc>
        <w:tc>
          <w:tcPr>
            <w:tcW w:w="7624" w:type="dxa"/>
            <w:tcBorders>
              <w:bottom w:val="single" w:sz="8" w:space="0" w:color="000000"/>
            </w:tcBorders>
          </w:tcPr>
          <w:p>
            <w:pPr>
              <w:pStyle w:val="TableParagraph"/>
              <w:spacing w:before="116"/>
              <w:ind w:left="-195"/>
              <w:rPr>
                <w:b/>
                <w:sz w:val="24"/>
              </w:rPr>
            </w:pPr>
            <w:r>
              <w:rPr>
                <w:b/>
                <w:w w:val="99"/>
                <w:sz w:val="24"/>
              </w:rPr>
              <w:t>益</w:t>
            </w:r>
          </w:p>
        </w:tc>
      </w:tr>
      <w:tr>
        <w:trPr>
          <w:trHeight w:val="680"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5"/>
              <w:ind w:left="0"/>
              <w:rPr>
                <w:sz w:val="16"/>
              </w:rPr>
            </w:pPr>
          </w:p>
          <w:p>
            <w:pPr>
              <w:pStyle w:val="TableParagraph"/>
              <w:rPr>
                <w:sz w:val="21"/>
              </w:rPr>
            </w:pPr>
            <w:r>
              <w:rPr>
                <w:sz w:val="21"/>
              </w:rPr>
              <w:t>本附加合同的现金价值在保险单上载明。</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6.</w:t>
            </w:r>
          </w:p>
        </w:tc>
        <w:tc>
          <w:tcPr>
            <w:tcW w:w="9262" w:type="dxa"/>
            <w:gridSpan w:val="2"/>
            <w:tcBorders>
              <w:bottom w:val="single" w:sz="8" w:space="0" w:color="000000"/>
            </w:tcBorders>
          </w:tcPr>
          <w:p>
            <w:pPr>
              <w:pStyle w:val="TableParagraph"/>
              <w:spacing w:before="11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32"/>
              <w:jc w:val="both"/>
              <w:rPr>
                <w:sz w:val="21"/>
              </w:rPr>
            </w:pPr>
            <w:r>
              <w:rPr>
                <w:spacing w:val="-6"/>
                <w:sz w:val="21"/>
              </w:rPr>
              <w:t>本附加合同效力中止后 </w:t>
            </w:r>
            <w:r>
              <w:rPr>
                <w:sz w:val="21"/>
              </w:rPr>
              <w:t>2</w:t>
            </w:r>
            <w:r>
              <w:rPr>
                <w:spacing w:val="-8"/>
                <w:sz w:val="21"/>
              </w:rPr>
              <w:t> 年内，您可以申请恢复合同效力。经您与我们协商并达</w:t>
            </w:r>
            <w:r>
              <w:rPr>
                <w:spacing w:val="-5"/>
                <w:sz w:val="21"/>
              </w:rPr>
              <w:t>成协议，在您补交保险费之日起，本附加合同效力恢复。</w:t>
            </w:r>
          </w:p>
          <w:p>
            <w:pPr>
              <w:pStyle w:val="TableParagraph"/>
              <w:spacing w:line="271" w:lineRule="auto" w:before="86"/>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1638" w:type="dxa"/>
            <w:tcBorders>
              <w:bottom w:val="single" w:sz="8" w:space="0" w:color="000000"/>
            </w:tcBorders>
          </w:tcPr>
          <w:p>
            <w:pPr>
              <w:pStyle w:val="TableParagraph"/>
              <w:spacing w:before="11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1584"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若被保险人未发生保险事故，且您在犹豫期后要求解除本附加合同，请填写解除合同申请书并向我们提供下列资料的原件：</w:t>
            </w:r>
          </w:p>
          <w:p>
            <w:pPr>
              <w:pStyle w:val="TableParagraph"/>
              <w:numPr>
                <w:ilvl w:val="0"/>
                <w:numId w:val="4"/>
              </w:numPr>
              <w:tabs>
                <w:tab w:pos="866" w:val="left" w:leader="none"/>
                <w:tab w:pos="867" w:val="left" w:leader="none"/>
              </w:tabs>
              <w:spacing w:line="240" w:lineRule="auto" w:before="86" w:after="0"/>
              <w:ind w:left="867" w:right="0" w:hanging="735"/>
              <w:jc w:val="left"/>
              <w:rPr>
                <w:sz w:val="21"/>
              </w:rPr>
            </w:pPr>
            <w:r>
              <w:rPr>
                <w:spacing w:val="-2"/>
                <w:sz w:val="21"/>
              </w:rPr>
              <w:t>本附加合同；</w:t>
            </w:r>
          </w:p>
          <w:p>
            <w:pPr>
              <w:pStyle w:val="TableParagraph"/>
              <w:numPr>
                <w:ilvl w:val="0"/>
                <w:numId w:val="4"/>
              </w:numPr>
              <w:tabs>
                <w:tab w:pos="866" w:val="left" w:leader="none"/>
                <w:tab w:pos="867" w:val="left" w:leader="none"/>
              </w:tabs>
              <w:spacing w:line="255" w:lineRule="exact" w:before="113" w:after="0"/>
              <w:ind w:left="867" w:right="0" w:hanging="735"/>
              <w:jc w:val="left"/>
              <w:rPr>
                <w:sz w:val="21"/>
              </w:rPr>
            </w:pPr>
            <w:r>
              <w:rPr>
                <w:spacing w:val="-3"/>
                <w:sz w:val="21"/>
              </w:rPr>
              <w:t>您的有效身份证件。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1104" w:hRule="atLeast"/>
        </w:trPr>
        <w:tc>
          <w:tcPr>
            <w:tcW w:w="664"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630" w:type="dxa"/>
          </w:tcPr>
          <w:p>
            <w:pPr>
              <w:pStyle w:val="TableParagraph"/>
              <w:spacing w:line="211" w:lineRule="exact"/>
              <w:ind w:left="138"/>
              <w:rPr>
                <w:sz w:val="21"/>
              </w:rPr>
            </w:pPr>
            <w:r>
              <w:rPr>
                <w:sz w:val="21"/>
              </w:rPr>
              <w:t>自我们收到解除合同申请书时起，本附加合同终止，我们自收到解除合同申请书</w:t>
            </w:r>
          </w:p>
          <w:p>
            <w:pPr>
              <w:pStyle w:val="TableParagraph"/>
              <w:spacing w:line="343" w:lineRule="auto" w:before="37"/>
              <w:ind w:left="138" w:right="2340"/>
              <w:rPr>
                <w:sz w:val="21"/>
              </w:rPr>
            </w:pPr>
            <w:r>
              <w:rPr>
                <w:spacing w:val="-12"/>
                <w:sz w:val="21"/>
              </w:rPr>
              <w:t>之日起 </w:t>
            </w:r>
            <w:r>
              <w:rPr>
                <w:sz w:val="21"/>
              </w:rPr>
              <w:t>30</w:t>
            </w:r>
            <w:r>
              <w:rPr>
                <w:spacing w:val="-8"/>
                <w:sz w:val="21"/>
              </w:rPr>
              <w:t> 日内向您退还本附加合同终止时的现金价值。</w:t>
            </w:r>
            <w:r>
              <w:rPr>
                <w:spacing w:val="-5"/>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15"/>
              <w:ind w:left="107"/>
              <w:rPr>
                <w:b/>
                <w:sz w:val="24"/>
              </w:rPr>
            </w:pPr>
            <w:r>
              <w:rPr>
                <w:b/>
                <w:sz w:val="24"/>
              </w:rPr>
              <w:t>8.</w:t>
            </w:r>
          </w:p>
        </w:tc>
        <w:tc>
          <w:tcPr>
            <w:tcW w:w="9262" w:type="dxa"/>
            <w:gridSpan w:val="2"/>
            <w:tcBorders>
              <w:bottom w:val="single" w:sz="8" w:space="0" w:color="000000"/>
            </w:tcBorders>
          </w:tcPr>
          <w:p>
            <w:pPr>
              <w:pStyle w:val="TableParagraph"/>
              <w:spacing w:before="11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spacing w:before="5"/>
              <w:ind w:left="0"/>
              <w:rPr>
                <w:sz w:val="16"/>
              </w:rPr>
            </w:pPr>
          </w:p>
          <w:p>
            <w:pPr>
              <w:pStyle w:val="TableParagraph"/>
              <w:ind w:left="138"/>
              <w:rPr>
                <w:sz w:val="21"/>
              </w:rPr>
            </w:pPr>
            <w:r>
              <w:rPr>
                <w:sz w:val="21"/>
              </w:rPr>
              <w:t>下列情况之一发生时，本附加合同效力终止：</w:t>
            </w:r>
          </w:p>
          <w:p>
            <w:pPr>
              <w:pStyle w:val="TableParagraph"/>
              <w:numPr>
                <w:ilvl w:val="0"/>
                <w:numId w:val="5"/>
              </w:numPr>
              <w:tabs>
                <w:tab w:pos="875" w:val="left" w:leader="none"/>
                <w:tab w:pos="876" w:val="left" w:leader="none"/>
              </w:tabs>
              <w:spacing w:line="240" w:lineRule="auto" w:before="115" w:after="0"/>
              <w:ind w:left="875" w:right="0" w:hanging="737"/>
              <w:jc w:val="left"/>
              <w:rPr>
                <w:sz w:val="21"/>
              </w:rPr>
            </w:pPr>
            <w:r>
              <w:rPr>
                <w:spacing w:val="-3"/>
                <w:sz w:val="21"/>
              </w:rPr>
              <w:t>被豁免合同效力终止；</w:t>
            </w:r>
          </w:p>
          <w:p>
            <w:pPr>
              <w:pStyle w:val="TableParagraph"/>
              <w:numPr>
                <w:ilvl w:val="0"/>
                <w:numId w:val="5"/>
              </w:numPr>
              <w:tabs>
                <w:tab w:pos="875" w:val="left" w:leader="none"/>
                <w:tab w:pos="876" w:val="left" w:leader="none"/>
              </w:tabs>
              <w:spacing w:line="240" w:lineRule="auto" w:before="113" w:after="0"/>
              <w:ind w:left="875" w:right="0" w:hanging="737"/>
              <w:jc w:val="left"/>
              <w:rPr>
                <w:sz w:val="21"/>
              </w:rPr>
            </w:pPr>
            <w:r>
              <w:rPr>
                <w:spacing w:val="-3"/>
                <w:sz w:val="21"/>
              </w:rPr>
              <w:t>本附加合同约定的合同效力终止情况。</w:t>
            </w:r>
          </w:p>
        </w:tc>
      </w:tr>
      <w:tr>
        <w:trPr>
          <w:trHeight w:val="3696" w:hRule="atLeast"/>
        </w:trPr>
        <w:tc>
          <w:tcPr>
            <w:tcW w:w="664" w:type="dxa"/>
          </w:tcPr>
          <w:p>
            <w:pPr>
              <w:pStyle w:val="TableParagraph"/>
              <w:spacing w:before="111"/>
              <w:ind w:left="107"/>
              <w:rPr>
                <w:b/>
                <w:sz w:val="21"/>
              </w:rPr>
            </w:pPr>
            <w:r>
              <w:rPr>
                <w:b/>
                <w:sz w:val="21"/>
              </w:rPr>
              <w:t>8.2</w:t>
            </w:r>
          </w:p>
        </w:tc>
        <w:tc>
          <w:tcPr>
            <w:tcW w:w="1632" w:type="dxa"/>
          </w:tcPr>
          <w:p>
            <w:pPr>
              <w:pStyle w:val="TableParagraph"/>
              <w:spacing w:line="271" w:lineRule="auto" w:before="111"/>
              <w:ind w:left="238" w:right="123"/>
              <w:rPr>
                <w:b/>
                <w:sz w:val="21"/>
              </w:rPr>
            </w:pPr>
            <w:r>
              <w:rPr>
                <w:b/>
                <w:sz w:val="21"/>
              </w:rPr>
              <w:t>适用主合同条款</w:t>
            </w:r>
          </w:p>
        </w:tc>
        <w:tc>
          <w:tcPr>
            <w:tcW w:w="7630" w:type="dxa"/>
          </w:tcPr>
          <w:p>
            <w:pPr>
              <w:pStyle w:val="TableParagraph"/>
              <w:spacing w:before="111"/>
              <w:ind w:left="138"/>
              <w:rPr>
                <w:sz w:val="21"/>
              </w:rPr>
            </w:pPr>
            <w:r>
              <w:rPr>
                <w:sz w:val="21"/>
              </w:rPr>
              <w:t>主合同订立的下列各项条款适用于本附加合同：</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3"/>
                <w:sz w:val="21"/>
              </w:rPr>
              <w:t>明确说明与如实告知；</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3"/>
                <w:sz w:val="21"/>
              </w:rPr>
              <w:t>我们合同解除权的限制；</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年龄性别错误；</w:t>
            </w:r>
          </w:p>
          <w:p>
            <w:pPr>
              <w:pStyle w:val="TableParagraph"/>
              <w:numPr>
                <w:ilvl w:val="0"/>
                <w:numId w:val="6"/>
              </w:numPr>
              <w:tabs>
                <w:tab w:pos="846" w:val="left" w:leader="none"/>
                <w:tab w:pos="847" w:val="left" w:leader="none"/>
              </w:tabs>
              <w:spacing w:line="240" w:lineRule="auto" w:before="115" w:after="0"/>
              <w:ind w:left="846" w:right="0" w:hanging="720"/>
              <w:jc w:val="left"/>
              <w:rPr>
                <w:sz w:val="21"/>
              </w:rPr>
            </w:pPr>
            <w:r>
              <w:rPr>
                <w:spacing w:val="-1"/>
                <w:sz w:val="21"/>
              </w:rPr>
              <w:t>未还款项；</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争议处理；</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15"/>
              <w:ind w:left="107"/>
              <w:rPr>
                <w:b/>
                <w:sz w:val="24"/>
              </w:rPr>
            </w:pPr>
            <w:r>
              <w:rPr>
                <w:b/>
                <w:sz w:val="24"/>
              </w:rPr>
              <w:t>9.</w:t>
            </w:r>
          </w:p>
        </w:tc>
        <w:tc>
          <w:tcPr>
            <w:tcW w:w="9262" w:type="dxa"/>
            <w:gridSpan w:val="2"/>
            <w:tcBorders>
              <w:bottom w:val="single" w:sz="8" w:space="0" w:color="000000"/>
            </w:tcBorders>
          </w:tcPr>
          <w:p>
            <w:pPr>
              <w:pStyle w:val="TableParagraph"/>
              <w:spacing w:before="115"/>
              <w:ind w:left="238"/>
              <w:rPr>
                <w:b/>
                <w:sz w:val="24"/>
              </w:rPr>
            </w:pPr>
            <w:r>
              <w:rPr>
                <w:b/>
                <w:w w:val="95"/>
                <w:sz w:val="24"/>
              </w:rPr>
              <w:t>重大疾病定义</w:t>
            </w:r>
          </w:p>
        </w:tc>
      </w:tr>
      <w:tr>
        <w:trPr>
          <w:trHeight w:val="1602"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8"/>
              <w:ind w:left="0"/>
              <w:rPr>
                <w:sz w:val="16"/>
              </w:rPr>
            </w:pPr>
          </w:p>
          <w:p>
            <w:pPr>
              <w:pStyle w:val="TableParagraph"/>
              <w:spacing w:line="273" w:lineRule="auto"/>
              <w:ind w:left="138"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spacing w:before="110"/>
              <w:ind w:left="107"/>
              <w:rPr>
                <w:b/>
                <w:sz w:val="21"/>
              </w:rPr>
            </w:pPr>
            <w:r>
              <w:rPr>
                <w:b/>
                <w:sz w:val="21"/>
              </w:rPr>
              <w:t>9.1</w:t>
            </w:r>
          </w:p>
        </w:tc>
        <w:tc>
          <w:tcPr>
            <w:tcW w:w="1632" w:type="dxa"/>
          </w:tcPr>
          <w:p>
            <w:pPr>
              <w:pStyle w:val="TableParagraph"/>
              <w:spacing w:before="110"/>
              <w:ind w:left="238"/>
              <w:rPr>
                <w:b/>
                <w:sz w:val="21"/>
              </w:rPr>
            </w:pPr>
            <w:r>
              <w:rPr>
                <w:b/>
                <w:sz w:val="21"/>
              </w:rPr>
              <w:t>恶性肿瘤</w:t>
            </w:r>
          </w:p>
        </w:tc>
        <w:tc>
          <w:tcPr>
            <w:tcW w:w="7630" w:type="dxa"/>
          </w:tcPr>
          <w:p>
            <w:pPr>
              <w:pStyle w:val="TableParagraph"/>
              <w:spacing w:line="273" w:lineRule="auto" w:before="110"/>
              <w:ind w:left="13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3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75" w:val="left" w:leader="none"/>
                <w:tab w:pos="876" w:val="left" w:leader="none"/>
              </w:tabs>
              <w:spacing w:line="240" w:lineRule="auto" w:before="114" w:after="0"/>
              <w:ind w:left="87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75" w:val="left" w:leader="none"/>
                <w:tab w:pos="876" w:val="left" w:leader="none"/>
              </w:tabs>
              <w:spacing w:line="240" w:lineRule="auto" w:before="117" w:after="0"/>
              <w:ind w:left="87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7"/>
              </w:numPr>
              <w:tabs>
                <w:tab w:pos="875" w:val="left" w:leader="none"/>
                <w:tab w:pos="876" w:val="left" w:leader="none"/>
              </w:tabs>
              <w:spacing w:line="240" w:lineRule="auto" w:before="116" w:after="0"/>
              <w:ind w:left="875" w:right="0" w:hanging="737"/>
              <w:jc w:val="left"/>
              <w:rPr>
                <w:sz w:val="21"/>
              </w:rPr>
            </w:pPr>
            <w:r>
              <w:rPr>
                <w:rFonts w:ascii="黑体" w:eastAsia="黑体" w:hint="eastAsia"/>
                <w:spacing w:val="-3"/>
                <w:sz w:val="21"/>
              </w:rPr>
              <w:t>感染艾滋病病毒或患艾滋病期间所患恶性肿瘤</w:t>
            </w:r>
            <w:r>
              <w:rPr>
                <w:sz w:val="21"/>
              </w:rPr>
              <w:t>。</w:t>
            </w:r>
          </w:p>
        </w:tc>
      </w:tr>
      <w:tr>
        <w:trPr>
          <w:trHeight w:val="697" w:hRule="atLeast"/>
        </w:trPr>
        <w:tc>
          <w:tcPr>
            <w:tcW w:w="664" w:type="dxa"/>
          </w:tcPr>
          <w:p>
            <w:pPr>
              <w:pStyle w:val="TableParagraph"/>
              <w:spacing w:before="110"/>
              <w:ind w:left="107"/>
              <w:rPr>
                <w:b/>
                <w:sz w:val="21"/>
              </w:rPr>
            </w:pPr>
            <w:r>
              <w:rPr>
                <w:b/>
                <w:sz w:val="21"/>
              </w:rPr>
              <w:t>9.2</w:t>
            </w:r>
          </w:p>
        </w:tc>
        <w:tc>
          <w:tcPr>
            <w:tcW w:w="1632" w:type="dxa"/>
          </w:tcPr>
          <w:p>
            <w:pPr>
              <w:pStyle w:val="TableParagraph"/>
              <w:spacing w:before="110"/>
              <w:ind w:left="238"/>
              <w:rPr>
                <w:b/>
                <w:sz w:val="21"/>
              </w:rPr>
            </w:pPr>
            <w:r>
              <w:rPr>
                <w:b/>
                <w:sz w:val="21"/>
              </w:rPr>
              <w:t>急性心肌梗塞</w:t>
            </w:r>
          </w:p>
        </w:tc>
        <w:tc>
          <w:tcPr>
            <w:tcW w:w="7630" w:type="dxa"/>
          </w:tcPr>
          <w:p>
            <w:pPr>
              <w:pStyle w:val="TableParagraph"/>
              <w:spacing w:line="310" w:lineRule="atLeast" w:before="75"/>
              <w:ind w:left="138" w:right="132"/>
              <w:rPr>
                <w:sz w:val="21"/>
              </w:rPr>
            </w:pPr>
            <w:r>
              <w:rPr>
                <w:sz w:val="21"/>
              </w:rPr>
              <w:t>指因冠状动脉阻塞导致的相应区域供血不足造成部分心肌坏死。须满足下列至少三项条件：</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868"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numPr>
                <w:ilvl w:val="0"/>
                <w:numId w:val="8"/>
              </w:numPr>
              <w:tabs>
                <w:tab w:pos="869" w:val="left" w:leader="none"/>
                <w:tab w:pos="870" w:val="left" w:leader="none"/>
              </w:tabs>
              <w:spacing w:line="211" w:lineRule="exact" w:before="0" w:after="0"/>
              <w:ind w:left="852" w:right="0" w:hanging="720"/>
              <w:jc w:val="left"/>
              <w:rPr>
                <w:sz w:val="21"/>
              </w:rPr>
            </w:pPr>
            <w:r>
              <w:rPr>
                <w:spacing w:val="-3"/>
                <w:sz w:val="21"/>
              </w:rPr>
              <w:t>典型临床表现，例如急性胸痛等；</w:t>
            </w:r>
          </w:p>
          <w:p>
            <w:pPr>
              <w:pStyle w:val="TableParagraph"/>
              <w:numPr>
                <w:ilvl w:val="0"/>
                <w:numId w:val="8"/>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8"/>
              </w:numPr>
              <w:tabs>
                <w:tab w:pos="834" w:val="left" w:leader="none"/>
              </w:tabs>
              <w:spacing w:line="273" w:lineRule="auto" w:before="114"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8"/>
              </w:numPr>
              <w:tabs>
                <w:tab w:pos="862" w:val="left" w:leader="none"/>
                <w:tab w:pos="863" w:val="left" w:leader="none"/>
              </w:tabs>
              <w:spacing w:line="240" w:lineRule="auto" w:before="87"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3"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9"/>
              </w:numPr>
              <w:tabs>
                <w:tab w:pos="869" w:val="left" w:leader="none"/>
                <w:tab w:pos="870" w:val="left" w:leader="none"/>
              </w:tabs>
              <w:spacing w:line="240" w:lineRule="auto" w:before="8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9"/>
              </w:numPr>
              <w:tabs>
                <w:tab w:pos="855" w:val="left" w:leader="none"/>
              </w:tabs>
              <w:spacing w:line="271" w:lineRule="auto" w:before="116"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6"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3" w:lineRule="auto" w:before="111"/>
              <w:ind w:left="238" w:right="129"/>
              <w:jc w:val="both"/>
              <w:rPr>
                <w:b/>
                <w:sz w:val="21"/>
              </w:rPr>
            </w:pPr>
            <w:r>
              <w:rPr>
                <w:b/>
                <w:sz w:val="21"/>
              </w:rPr>
              <w:t>重大器官移植术或造血干细胞移植术</w:t>
            </w:r>
          </w:p>
        </w:tc>
        <w:tc>
          <w:tcPr>
            <w:tcW w:w="7824" w:type="dxa"/>
          </w:tcPr>
          <w:p>
            <w:pPr>
              <w:pStyle w:val="TableParagraph"/>
              <w:spacing w:line="273"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1" w:lineRule="auto" w:before="86"/>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spacing w:before="111"/>
              <w:ind w:left="200"/>
              <w:rPr>
                <w:b/>
                <w:sz w:val="21"/>
              </w:rPr>
            </w:pPr>
            <w:r>
              <w:rPr>
                <w:b/>
                <w:sz w:val="21"/>
              </w:rPr>
              <w:t>9.5</w:t>
            </w:r>
          </w:p>
        </w:tc>
        <w:tc>
          <w:tcPr>
            <w:tcW w:w="1638" w:type="dxa"/>
          </w:tcPr>
          <w:p>
            <w:pPr>
              <w:pStyle w:val="TableParagraph"/>
              <w:spacing w:line="271" w:lineRule="auto" w:before="111"/>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7" w:hRule="atLeast"/>
        </w:trPr>
        <w:tc>
          <w:tcPr>
            <w:tcW w:w="756" w:type="dxa"/>
          </w:tcPr>
          <w:p>
            <w:pPr>
              <w:pStyle w:val="TableParagraph"/>
              <w:spacing w:before="111"/>
              <w:ind w:left="200"/>
              <w:rPr>
                <w:b/>
                <w:sz w:val="21"/>
              </w:rPr>
            </w:pPr>
            <w:r>
              <w:rPr>
                <w:b/>
                <w:sz w:val="21"/>
              </w:rPr>
              <w:t>9.6</w:t>
            </w:r>
          </w:p>
        </w:tc>
        <w:tc>
          <w:tcPr>
            <w:tcW w:w="1638" w:type="dxa"/>
          </w:tcPr>
          <w:p>
            <w:pPr>
              <w:pStyle w:val="TableParagraph"/>
              <w:spacing w:before="111"/>
              <w:ind w:left="238"/>
              <w:rPr>
                <w:b/>
                <w:sz w:val="21"/>
              </w:rPr>
            </w:pPr>
            <w:r>
              <w:rPr>
                <w:b/>
                <w:sz w:val="21"/>
              </w:rPr>
              <w:t>终末期肾病</w:t>
            </w:r>
          </w:p>
          <w:p>
            <w:pPr>
              <w:pStyle w:val="TableParagraph"/>
              <w:spacing w:line="273" w:lineRule="auto" w:before="36"/>
              <w:ind w:left="238" w:right="129"/>
              <w:jc w:val="both"/>
              <w:rPr>
                <w:b/>
                <w:sz w:val="21"/>
              </w:rPr>
            </w:pPr>
            <w:r>
              <w:rPr>
                <w:b/>
                <w:sz w:val="21"/>
              </w:rPr>
              <w:t>（或称慢性肾功能衰竭尿毒症期）</w:t>
            </w:r>
          </w:p>
        </w:tc>
        <w:tc>
          <w:tcPr>
            <w:tcW w:w="7824" w:type="dxa"/>
          </w:tcPr>
          <w:p>
            <w:pPr>
              <w:pStyle w:val="TableParagraph"/>
              <w:spacing w:line="273"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756" w:type="dxa"/>
          </w:tcPr>
          <w:p>
            <w:pPr>
              <w:pStyle w:val="TableParagraph"/>
              <w:spacing w:before="111"/>
              <w:ind w:left="200"/>
              <w:rPr>
                <w:b/>
                <w:sz w:val="21"/>
              </w:rPr>
            </w:pPr>
            <w:r>
              <w:rPr>
                <w:b/>
                <w:sz w:val="21"/>
              </w:rPr>
              <w:t>9.7</w:t>
            </w:r>
          </w:p>
        </w:tc>
        <w:tc>
          <w:tcPr>
            <w:tcW w:w="1638" w:type="dxa"/>
          </w:tcPr>
          <w:p>
            <w:pPr>
              <w:pStyle w:val="TableParagraph"/>
              <w:spacing w:before="111"/>
              <w:ind w:left="238"/>
              <w:rPr>
                <w:b/>
                <w:sz w:val="21"/>
              </w:rPr>
            </w:pPr>
            <w:r>
              <w:rPr>
                <w:b/>
                <w:sz w:val="21"/>
              </w:rPr>
              <w:t>多个肢体缺失</w:t>
            </w:r>
          </w:p>
        </w:tc>
        <w:tc>
          <w:tcPr>
            <w:tcW w:w="7824" w:type="dxa"/>
          </w:tcPr>
          <w:p>
            <w:pPr>
              <w:pStyle w:val="TableParagraph"/>
              <w:spacing w:line="271" w:lineRule="auto" w:before="111"/>
              <w:ind w:right="332"/>
              <w:rPr>
                <w:sz w:val="21"/>
              </w:rPr>
            </w:pPr>
            <w:r>
              <w:rPr>
                <w:sz w:val="21"/>
              </w:rPr>
              <w:t>指因疾病或意外伤害导致两个或两个以上肢体自腕关节或踝关节近端（靠近躯干端）以上完全性断离。</w:t>
            </w:r>
          </w:p>
        </w:tc>
      </w:tr>
      <w:tr>
        <w:trPr>
          <w:trHeight w:val="2433" w:hRule="atLeast"/>
        </w:trPr>
        <w:tc>
          <w:tcPr>
            <w:tcW w:w="756" w:type="dxa"/>
          </w:tcPr>
          <w:p>
            <w:pPr>
              <w:pStyle w:val="TableParagraph"/>
              <w:spacing w:before="111"/>
              <w:ind w:left="200"/>
              <w:rPr>
                <w:b/>
                <w:sz w:val="21"/>
              </w:rPr>
            </w:pPr>
            <w:r>
              <w:rPr>
                <w:b/>
                <w:sz w:val="21"/>
              </w:rPr>
              <w:t>9.8</w:t>
            </w:r>
          </w:p>
        </w:tc>
        <w:tc>
          <w:tcPr>
            <w:tcW w:w="1638" w:type="dxa"/>
          </w:tcPr>
          <w:p>
            <w:pPr>
              <w:pStyle w:val="TableParagraph"/>
              <w:spacing w:line="271" w:lineRule="auto" w:before="111"/>
              <w:ind w:left="238" w:right="129"/>
              <w:rPr>
                <w:b/>
                <w:sz w:val="21"/>
              </w:rPr>
            </w:pPr>
            <w:r>
              <w:rPr>
                <w:b/>
                <w:sz w:val="21"/>
              </w:rPr>
              <w:t>急性或亚急性重症肝炎</w:t>
            </w:r>
          </w:p>
        </w:tc>
        <w:tc>
          <w:tcPr>
            <w:tcW w:w="7824" w:type="dxa"/>
          </w:tcPr>
          <w:p>
            <w:pPr>
              <w:pStyle w:val="TableParagraph"/>
              <w:spacing w:line="271" w:lineRule="auto" w:before="111"/>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0"/>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0"/>
              </w:numPr>
              <w:tabs>
                <w:tab w:pos="869" w:val="left" w:leader="none"/>
                <w:tab w:pos="870" w:val="left" w:leader="none"/>
              </w:tabs>
              <w:spacing w:line="240" w:lineRule="auto" w:before="114"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1400" w:hRule="atLeast"/>
        </w:trPr>
        <w:tc>
          <w:tcPr>
            <w:tcW w:w="756" w:type="dxa"/>
          </w:tcPr>
          <w:p>
            <w:pPr>
              <w:pStyle w:val="TableParagraph"/>
              <w:spacing w:before="110"/>
              <w:ind w:left="200"/>
              <w:rPr>
                <w:b/>
                <w:sz w:val="21"/>
              </w:rPr>
            </w:pPr>
            <w:r>
              <w:rPr>
                <w:b/>
                <w:sz w:val="21"/>
              </w:rPr>
              <w:t>9.9</w:t>
            </w:r>
          </w:p>
        </w:tc>
        <w:tc>
          <w:tcPr>
            <w:tcW w:w="1638" w:type="dxa"/>
          </w:tcPr>
          <w:p>
            <w:pPr>
              <w:pStyle w:val="TableParagraph"/>
              <w:spacing w:before="110"/>
              <w:ind w:left="238"/>
              <w:rPr>
                <w:b/>
                <w:sz w:val="21"/>
              </w:rPr>
            </w:pPr>
            <w:r>
              <w:rPr>
                <w:b/>
                <w:sz w:val="21"/>
              </w:rPr>
              <w:t>良性脑肿瘤</w:t>
            </w:r>
          </w:p>
        </w:tc>
        <w:tc>
          <w:tcPr>
            <w:tcW w:w="7824" w:type="dxa"/>
          </w:tcPr>
          <w:p>
            <w:pPr>
              <w:pStyle w:val="TableParagraph"/>
              <w:spacing w:line="273" w:lineRule="auto" w:before="110"/>
              <w:ind w:right="200"/>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55" w:lineRule="exact" w:before="86"/>
              <w:jc w:val="both"/>
              <w:rPr>
                <w:sz w:val="21"/>
              </w:rPr>
            </w:pPr>
            <w:r>
              <w:rPr>
                <w:sz w:val="21"/>
              </w:rPr>
              <w:t>（1）  实际实施了开颅进行的脑肿瘤完全切除或部分切除的手术；</w:t>
            </w:r>
          </w:p>
        </w:tc>
      </w:tr>
    </w:tbl>
    <w:p>
      <w:pPr>
        <w:spacing w:after="0" w:line="255" w:lineRule="exac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38"/>
      </w:tblGrid>
      <w:tr>
        <w:trPr>
          <w:trHeight w:val="77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38" w:type="dxa"/>
          </w:tcPr>
          <w:p>
            <w:pPr>
              <w:pStyle w:val="TableParagraph"/>
              <w:tabs>
                <w:tab w:pos="868" w:val="left" w:leader="none"/>
              </w:tabs>
              <w:spacing w:line="211" w:lineRule="exact"/>
              <w:rPr>
                <w:sz w:val="21"/>
              </w:rPr>
            </w:pPr>
            <w:r>
              <w:rPr>
                <w:sz w:val="21"/>
              </w:rPr>
              <w:t>（2）</w:t>
              <w:tab/>
            </w:r>
            <w:r>
              <w:rPr>
                <w:spacing w:val="-3"/>
                <w:sz w:val="21"/>
              </w:rPr>
              <w:t>实际实施了对脑肿瘤进行的放射治疗。</w:t>
            </w:r>
          </w:p>
          <w:p>
            <w:pPr>
              <w:pStyle w:val="TableParagraph"/>
              <w:spacing w:before="116"/>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6" w:type="dxa"/>
          </w:tcPr>
          <w:p>
            <w:pPr>
              <w:pStyle w:val="TableParagraph"/>
              <w:spacing w:line="273" w:lineRule="auto" w:before="110"/>
              <w:ind w:left="185" w:right="130"/>
              <w:rPr>
                <w:b/>
                <w:sz w:val="21"/>
              </w:rPr>
            </w:pPr>
            <w:r>
              <w:rPr>
                <w:b/>
                <w:sz w:val="21"/>
              </w:rPr>
              <w:t>慢性肝功能衰竭失代偿期</w:t>
            </w:r>
          </w:p>
        </w:tc>
        <w:tc>
          <w:tcPr>
            <w:tcW w:w="7738" w:type="dxa"/>
          </w:tcPr>
          <w:p>
            <w:pPr>
              <w:pStyle w:val="TableParagraph"/>
              <w:spacing w:before="110"/>
              <w:rPr>
                <w:sz w:val="21"/>
              </w:rPr>
            </w:pPr>
            <w:r>
              <w:rPr>
                <w:sz w:val="21"/>
              </w:rPr>
              <w:t>指因慢性肝脏疾病导致肝功能衰竭。须满足下列全部条件：</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1"/>
              </w:numPr>
              <w:tabs>
                <w:tab w:pos="868" w:val="left" w:leader="none"/>
                <w:tab w:pos="869" w:val="left" w:leader="none"/>
              </w:tabs>
              <w:spacing w:line="240" w:lineRule="auto" w:before="114" w:after="0"/>
              <w:ind w:left="868" w:right="0" w:hanging="737"/>
              <w:jc w:val="left"/>
              <w:rPr>
                <w:sz w:val="21"/>
              </w:rPr>
            </w:pPr>
            <w:r>
              <w:rPr>
                <w:spacing w:val="-2"/>
                <w:sz w:val="21"/>
              </w:rPr>
              <w:t>腹水；</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肝性脑病；</w:t>
            </w:r>
          </w:p>
          <w:p>
            <w:pPr>
              <w:pStyle w:val="TableParagraph"/>
              <w:numPr>
                <w:ilvl w:val="0"/>
                <w:numId w:val="11"/>
              </w:numPr>
              <w:tabs>
                <w:tab w:pos="868" w:val="left" w:leader="none"/>
                <w:tab w:pos="869" w:val="left" w:leader="none"/>
              </w:tabs>
              <w:spacing w:line="240" w:lineRule="auto" w:before="113" w:after="0"/>
              <w:ind w:left="868" w:right="0" w:hanging="737"/>
              <w:jc w:val="left"/>
              <w:rPr>
                <w:sz w:val="21"/>
              </w:rPr>
            </w:pPr>
            <w:r>
              <w:rPr>
                <w:spacing w:val="-3"/>
                <w:sz w:val="21"/>
              </w:rPr>
              <w:t>充血性脾肿大伴脾功能亢进或食管胃底静脉曲张。</w:t>
            </w:r>
          </w:p>
          <w:p>
            <w:pPr>
              <w:pStyle w:val="TableParagraph"/>
              <w:spacing w:before="115"/>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0"/>
              <w:ind w:left="200"/>
              <w:rPr>
                <w:b/>
                <w:sz w:val="21"/>
              </w:rPr>
            </w:pPr>
            <w:r>
              <w:rPr>
                <w:b/>
                <w:sz w:val="21"/>
              </w:rPr>
              <w:t>9.11</w:t>
            </w:r>
          </w:p>
        </w:tc>
        <w:tc>
          <w:tcPr>
            <w:tcW w:w="1586" w:type="dxa"/>
          </w:tcPr>
          <w:p>
            <w:pPr>
              <w:pStyle w:val="TableParagraph"/>
              <w:spacing w:line="273" w:lineRule="auto" w:before="110"/>
              <w:ind w:left="185" w:right="130"/>
              <w:rPr>
                <w:b/>
                <w:sz w:val="21"/>
              </w:rPr>
            </w:pPr>
            <w:r>
              <w:rPr>
                <w:b/>
                <w:sz w:val="21"/>
              </w:rPr>
              <w:t>脑炎后遗症或脑膜炎后遗症</w:t>
            </w:r>
          </w:p>
        </w:tc>
        <w:tc>
          <w:tcPr>
            <w:tcW w:w="7738" w:type="dxa"/>
          </w:tcPr>
          <w:p>
            <w:pPr>
              <w:pStyle w:val="TableParagraph"/>
              <w:spacing w:line="273" w:lineRule="auto" w:before="110"/>
              <w:ind w:right="247"/>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12"/>
              </w:numPr>
              <w:tabs>
                <w:tab w:pos="868" w:val="left" w:leader="none"/>
                <w:tab w:pos="869" w:val="left" w:leader="none"/>
              </w:tabs>
              <w:spacing w:line="240" w:lineRule="auto" w:before="114" w:after="0"/>
              <w:ind w:left="851" w:right="0" w:hanging="720"/>
              <w:jc w:val="left"/>
              <w:rPr>
                <w:sz w:val="21"/>
              </w:rPr>
            </w:pPr>
            <w:r>
              <w:rPr>
                <w:spacing w:val="-3"/>
                <w:sz w:val="21"/>
              </w:rPr>
              <w:t>语言能力或咀嚼吞咽能力完全丧失；</w:t>
            </w:r>
          </w:p>
          <w:p>
            <w:pPr>
              <w:pStyle w:val="TableParagraph"/>
              <w:numPr>
                <w:ilvl w:val="0"/>
                <w:numId w:val="12"/>
              </w:numPr>
              <w:tabs>
                <w:tab w:pos="833" w:val="left" w:leader="none"/>
              </w:tabs>
              <w:spacing w:line="271" w:lineRule="auto" w:before="116" w:after="0"/>
              <w:ind w:left="851" w:right="218"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6" w:type="dxa"/>
          </w:tcPr>
          <w:p>
            <w:pPr>
              <w:pStyle w:val="TableParagraph"/>
              <w:spacing w:before="111"/>
              <w:ind w:left="185"/>
              <w:rPr>
                <w:b/>
                <w:sz w:val="21"/>
              </w:rPr>
            </w:pPr>
            <w:r>
              <w:rPr>
                <w:b/>
                <w:sz w:val="21"/>
              </w:rPr>
              <w:t>深度昏迷</w:t>
            </w:r>
          </w:p>
        </w:tc>
        <w:tc>
          <w:tcPr>
            <w:tcW w:w="7738" w:type="dxa"/>
          </w:tcPr>
          <w:p>
            <w:pPr>
              <w:pStyle w:val="TableParagraph"/>
              <w:spacing w:line="271" w:lineRule="auto" w:before="111"/>
              <w:ind w:right="250"/>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11"/>
              <w:ind w:left="200"/>
              <w:rPr>
                <w:b/>
                <w:sz w:val="21"/>
              </w:rPr>
            </w:pPr>
            <w:r>
              <w:rPr>
                <w:b/>
                <w:sz w:val="21"/>
              </w:rPr>
              <w:t>9.13</w:t>
            </w:r>
          </w:p>
        </w:tc>
        <w:tc>
          <w:tcPr>
            <w:tcW w:w="1586" w:type="dxa"/>
          </w:tcPr>
          <w:p>
            <w:pPr>
              <w:pStyle w:val="TableParagraph"/>
              <w:spacing w:before="111"/>
              <w:ind w:left="185"/>
              <w:rPr>
                <w:b/>
                <w:sz w:val="21"/>
              </w:rPr>
            </w:pPr>
            <w:r>
              <w:rPr>
                <w:b/>
                <w:sz w:val="21"/>
              </w:rPr>
              <w:t>双耳失聪</w:t>
            </w:r>
          </w:p>
        </w:tc>
        <w:tc>
          <w:tcPr>
            <w:tcW w:w="7738" w:type="dxa"/>
          </w:tcPr>
          <w:p>
            <w:pPr>
              <w:pStyle w:val="TableParagraph"/>
              <w:spacing w:before="111"/>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4"/>
              <w:ind w:right="199"/>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738" w:type="dxa"/>
          </w:tcPr>
          <w:p>
            <w:pPr>
              <w:pStyle w:val="TableParagraph"/>
              <w:spacing w:line="273" w:lineRule="auto" w:before="111"/>
              <w:ind w:right="247"/>
              <w:rPr>
                <w:sz w:val="21"/>
              </w:rPr>
            </w:pPr>
            <w:r>
              <w:rPr>
                <w:sz w:val="21"/>
              </w:rPr>
              <w:t>指因疾病或意外伤害导致双眼视力永久不可逆性丧失，双眼中较好眼须满足下列至少一项条件：</w:t>
            </w:r>
          </w:p>
          <w:p>
            <w:pPr>
              <w:pStyle w:val="TableParagraph"/>
              <w:numPr>
                <w:ilvl w:val="0"/>
                <w:numId w:val="13"/>
              </w:numPr>
              <w:tabs>
                <w:tab w:pos="868" w:val="left" w:leader="none"/>
                <w:tab w:pos="869" w:val="left" w:leader="none"/>
              </w:tabs>
              <w:spacing w:line="240" w:lineRule="auto" w:before="86" w:after="0"/>
              <w:ind w:left="851" w:right="0" w:hanging="720"/>
              <w:jc w:val="left"/>
              <w:rPr>
                <w:sz w:val="21"/>
              </w:rPr>
            </w:pPr>
            <w:r>
              <w:rPr>
                <w:spacing w:val="-3"/>
                <w:sz w:val="21"/>
              </w:rPr>
              <w:t>眼球缺失或摘除；</w:t>
            </w:r>
          </w:p>
          <w:p>
            <w:pPr>
              <w:pStyle w:val="TableParagraph"/>
              <w:numPr>
                <w:ilvl w:val="0"/>
                <w:numId w:val="13"/>
              </w:numPr>
              <w:tabs>
                <w:tab w:pos="868" w:val="left" w:leader="none"/>
                <w:tab w:pos="869" w:val="left" w:leader="none"/>
              </w:tabs>
              <w:spacing w:line="273" w:lineRule="auto" w:before="113" w:after="0"/>
              <w:ind w:left="851" w:right="305"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3"/>
              </w:numPr>
              <w:tabs>
                <w:tab w:pos="868" w:val="left" w:leader="none"/>
                <w:tab w:pos="869" w:val="left" w:leader="none"/>
              </w:tabs>
              <w:spacing w:line="240" w:lineRule="auto" w:before="86" w:after="0"/>
              <w:ind w:left="851" w:right="0" w:hanging="720"/>
              <w:jc w:val="left"/>
              <w:rPr>
                <w:sz w:val="21"/>
              </w:rPr>
            </w:pPr>
            <w:r>
              <w:rPr>
                <w:spacing w:val="-10"/>
                <w:sz w:val="21"/>
              </w:rPr>
              <w:t>视野半径小于 </w:t>
            </w:r>
            <w:r>
              <w:rPr>
                <w:sz w:val="21"/>
              </w:rPr>
              <w:t>5</w:t>
            </w:r>
            <w:r>
              <w:rPr>
                <w:spacing w:val="-19"/>
                <w:sz w:val="21"/>
              </w:rPr>
              <w:t> 度。</w:t>
            </w:r>
          </w:p>
        </w:tc>
      </w:tr>
      <w:tr>
        <w:trPr>
          <w:trHeight w:val="1182"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738" w:type="dxa"/>
          </w:tcPr>
          <w:p>
            <w:pPr>
              <w:pStyle w:val="TableParagraph"/>
              <w:spacing w:line="271" w:lineRule="auto" w:before="110"/>
              <w:ind w:right="247"/>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1" w:hRule="atLeast"/>
        </w:trPr>
        <w:tc>
          <w:tcPr>
            <w:tcW w:w="809" w:type="dxa"/>
          </w:tcPr>
          <w:p>
            <w:pPr>
              <w:pStyle w:val="TableParagraph"/>
              <w:spacing w:before="111"/>
              <w:ind w:left="200"/>
              <w:rPr>
                <w:b/>
                <w:sz w:val="21"/>
              </w:rPr>
            </w:pPr>
            <w:r>
              <w:rPr>
                <w:b/>
                <w:sz w:val="21"/>
              </w:rPr>
              <w:t>9.16</w:t>
            </w:r>
          </w:p>
        </w:tc>
        <w:tc>
          <w:tcPr>
            <w:tcW w:w="1586" w:type="dxa"/>
          </w:tcPr>
          <w:p>
            <w:pPr>
              <w:pStyle w:val="TableParagraph"/>
              <w:spacing w:before="111"/>
              <w:ind w:left="185"/>
              <w:rPr>
                <w:b/>
                <w:sz w:val="21"/>
              </w:rPr>
            </w:pPr>
            <w:r>
              <w:rPr>
                <w:b/>
                <w:sz w:val="21"/>
              </w:rPr>
              <w:t>心脏瓣膜手术</w:t>
            </w:r>
          </w:p>
        </w:tc>
        <w:tc>
          <w:tcPr>
            <w:tcW w:w="7738" w:type="dxa"/>
          </w:tcPr>
          <w:p>
            <w:pPr>
              <w:pStyle w:val="TableParagraph"/>
              <w:spacing w:before="111"/>
              <w:rPr>
                <w:sz w:val="21"/>
              </w:rPr>
            </w:pPr>
            <w:r>
              <w:rPr>
                <w:sz w:val="21"/>
              </w:rPr>
              <w:t>指为治疗心脏瓣膜疾病，实际实施了开胸进行的心脏瓣膜置换或修复的手术。</w:t>
            </w:r>
          </w:p>
        </w:tc>
      </w:tr>
      <w:tr>
        <w:trPr>
          <w:trHeight w:val="1631" w:hRule="atLeast"/>
        </w:trPr>
        <w:tc>
          <w:tcPr>
            <w:tcW w:w="809" w:type="dxa"/>
          </w:tcPr>
          <w:p>
            <w:pPr>
              <w:pStyle w:val="TableParagraph"/>
              <w:spacing w:before="111"/>
              <w:ind w:left="200"/>
              <w:rPr>
                <w:b/>
                <w:sz w:val="21"/>
              </w:rPr>
            </w:pPr>
            <w:r>
              <w:rPr>
                <w:b/>
                <w:sz w:val="21"/>
              </w:rPr>
              <w:t>9.17</w:t>
            </w:r>
          </w:p>
        </w:tc>
        <w:tc>
          <w:tcPr>
            <w:tcW w:w="1586" w:type="dxa"/>
          </w:tcPr>
          <w:p>
            <w:pPr>
              <w:pStyle w:val="TableParagraph"/>
              <w:spacing w:line="271" w:lineRule="auto" w:before="111"/>
              <w:ind w:left="185" w:right="130"/>
              <w:rPr>
                <w:b/>
                <w:sz w:val="21"/>
              </w:rPr>
            </w:pPr>
            <w:r>
              <w:rPr>
                <w:b/>
                <w:sz w:val="21"/>
              </w:rPr>
              <w:t>严重阿尔茨海默病</w:t>
            </w:r>
          </w:p>
        </w:tc>
        <w:tc>
          <w:tcPr>
            <w:tcW w:w="7738" w:type="dxa"/>
          </w:tcPr>
          <w:p>
            <w:pPr>
              <w:pStyle w:val="TableParagraph"/>
              <w:spacing w:line="271" w:lineRule="auto" w:before="111"/>
              <w:ind w:right="220"/>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w:t>
            </w:r>
          </w:p>
          <w:p>
            <w:pPr>
              <w:pStyle w:val="TableParagraph"/>
              <w:spacing w:line="255" w:lineRule="exact" w:before="9"/>
              <w:jc w:val="both"/>
              <w:rPr>
                <w:sz w:val="21"/>
              </w:rPr>
            </w:pPr>
            <w:r>
              <w:rPr>
                <w:sz w:val="21"/>
              </w:rPr>
              <w:t>中的三项或三项以上。</w:t>
            </w:r>
          </w:p>
        </w:tc>
      </w:tr>
    </w:tbl>
    <w:p>
      <w:pPr>
        <w:spacing w:after="0" w:line="255" w:lineRule="exact"/>
        <w:jc w:val="both"/>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77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rFonts w:ascii="黑体" w:eastAsia="黑体" w:hint="eastAsia"/>
                <w:sz w:val="21"/>
              </w:rPr>
            </w:pPr>
            <w:r>
              <w:rPr>
                <w:rFonts w:ascii="黑体" w:eastAsia="黑体" w:hint="eastAsia"/>
                <w:sz w:val="21"/>
              </w:rPr>
              <w:t>神经官能症和精神疾病不在保障范围内。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2977"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4"/>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14"/>
              </w:numPr>
              <w:tabs>
                <w:tab w:pos="868" w:val="left" w:leader="none"/>
                <w:tab w:pos="869" w:val="left" w:leader="none"/>
              </w:tabs>
              <w:spacing w:line="240" w:lineRule="auto" w:before="113" w:after="0"/>
              <w:ind w:left="851" w:right="0" w:hanging="720"/>
              <w:jc w:val="left"/>
              <w:rPr>
                <w:sz w:val="21"/>
              </w:rPr>
            </w:pPr>
            <w:r>
              <w:rPr>
                <w:spacing w:val="-3"/>
                <w:sz w:val="21"/>
              </w:rPr>
              <w:t>语言能力或咀嚼吞咽能力完全丧失；</w:t>
            </w:r>
          </w:p>
          <w:p>
            <w:pPr>
              <w:pStyle w:val="TableParagraph"/>
              <w:numPr>
                <w:ilvl w:val="0"/>
                <w:numId w:val="14"/>
              </w:numPr>
              <w:tabs>
                <w:tab w:pos="833" w:val="left" w:leader="none"/>
              </w:tabs>
              <w:spacing w:line="271" w:lineRule="auto" w:before="116"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spacing w:before="111"/>
              <w:ind w:left="200"/>
              <w:rPr>
                <w:b/>
                <w:sz w:val="21"/>
              </w:rPr>
            </w:pPr>
            <w:r>
              <w:rPr>
                <w:b/>
                <w:sz w:val="21"/>
              </w:rPr>
              <w:t>9.19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3"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5"/>
              </w:numPr>
              <w:tabs>
                <w:tab w:pos="868" w:val="left" w:leader="none"/>
                <w:tab w:pos="869" w:val="left" w:leader="none"/>
              </w:tabs>
              <w:spacing w:line="240" w:lineRule="auto" w:before="86" w:after="0"/>
              <w:ind w:left="851" w:right="0" w:hanging="720"/>
              <w:jc w:val="left"/>
              <w:rPr>
                <w:sz w:val="21"/>
              </w:rPr>
            </w:pPr>
            <w:r>
              <w:rPr>
                <w:spacing w:val="-3"/>
                <w:sz w:val="21"/>
              </w:rPr>
              <w:t>药物治疗无法控制病情；</w:t>
            </w:r>
          </w:p>
          <w:p>
            <w:pPr>
              <w:pStyle w:val="TableParagraph"/>
              <w:numPr>
                <w:ilvl w:val="0"/>
                <w:numId w:val="15"/>
              </w:numPr>
              <w:tabs>
                <w:tab w:pos="833" w:val="left" w:leader="none"/>
              </w:tabs>
              <w:spacing w:line="273" w:lineRule="auto" w:before="113"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6" w:type="dxa"/>
          </w:tcPr>
          <w:p>
            <w:pPr>
              <w:pStyle w:val="TableParagraph"/>
              <w:spacing w:before="110"/>
              <w:ind w:left="185"/>
              <w:rPr>
                <w:b/>
                <w:sz w:val="21"/>
              </w:rPr>
            </w:pPr>
            <w:r>
              <w:rPr>
                <w:b/>
                <w:sz w:val="21"/>
              </w:rPr>
              <w:t>严重Ⅲ度烧伤</w:t>
            </w:r>
          </w:p>
        </w:tc>
        <w:tc>
          <w:tcPr>
            <w:tcW w:w="7825" w:type="dxa"/>
          </w:tcPr>
          <w:p>
            <w:pPr>
              <w:pStyle w:val="TableParagraph"/>
              <w:spacing w:line="273" w:lineRule="auto" w:before="110"/>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9.21</w:t>
            </w:r>
          </w:p>
        </w:tc>
        <w:tc>
          <w:tcPr>
            <w:tcW w:w="1586" w:type="dxa"/>
          </w:tcPr>
          <w:p>
            <w:pPr>
              <w:pStyle w:val="TableParagraph"/>
              <w:spacing w:line="271" w:lineRule="auto" w:before="111"/>
              <w:ind w:left="185" w:right="130"/>
              <w:rPr>
                <w:b/>
                <w:sz w:val="21"/>
              </w:rPr>
            </w:pPr>
            <w:r>
              <w:rPr>
                <w:b/>
                <w:sz w:val="21"/>
              </w:rPr>
              <w:t>严重原发性肺动脉高压</w:t>
            </w:r>
          </w:p>
        </w:tc>
        <w:tc>
          <w:tcPr>
            <w:tcW w:w="7825" w:type="dxa"/>
          </w:tcPr>
          <w:p>
            <w:pPr>
              <w:pStyle w:val="TableParagraph"/>
              <w:spacing w:line="271" w:lineRule="auto" w:before="111"/>
              <w:ind w:right="303"/>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spacing w:before="111"/>
              <w:ind w:left="200"/>
              <w:rPr>
                <w:b/>
                <w:sz w:val="21"/>
              </w:rPr>
            </w:pPr>
            <w:r>
              <w:rPr>
                <w:b/>
                <w:sz w:val="21"/>
              </w:rPr>
              <w:t>9.22</w:t>
            </w:r>
          </w:p>
        </w:tc>
        <w:tc>
          <w:tcPr>
            <w:tcW w:w="1586" w:type="dxa"/>
          </w:tcPr>
          <w:p>
            <w:pPr>
              <w:pStyle w:val="TableParagraph"/>
              <w:spacing w:line="273" w:lineRule="auto" w:before="111"/>
              <w:ind w:left="185" w:right="130"/>
              <w:rPr>
                <w:b/>
                <w:sz w:val="21"/>
              </w:rPr>
            </w:pPr>
            <w:r>
              <w:rPr>
                <w:b/>
                <w:sz w:val="21"/>
              </w:rPr>
              <w:t>严重运动神经元病</w:t>
            </w:r>
          </w:p>
        </w:tc>
        <w:tc>
          <w:tcPr>
            <w:tcW w:w="7825" w:type="dxa"/>
          </w:tcPr>
          <w:p>
            <w:pPr>
              <w:pStyle w:val="TableParagraph"/>
              <w:spacing w:line="273" w:lineRule="auto" w:before="111"/>
              <w:ind w:right="33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0"/>
              <w:ind w:left="200"/>
              <w:rPr>
                <w:b/>
                <w:sz w:val="21"/>
              </w:rPr>
            </w:pPr>
            <w:r>
              <w:rPr>
                <w:b/>
                <w:sz w:val="21"/>
              </w:rPr>
              <w:t>9.23</w:t>
            </w:r>
          </w:p>
        </w:tc>
        <w:tc>
          <w:tcPr>
            <w:tcW w:w="1586" w:type="dxa"/>
          </w:tcPr>
          <w:p>
            <w:pPr>
              <w:pStyle w:val="TableParagraph"/>
              <w:spacing w:before="110"/>
              <w:ind w:left="185"/>
              <w:rPr>
                <w:b/>
                <w:sz w:val="21"/>
              </w:rPr>
            </w:pPr>
            <w:r>
              <w:rPr>
                <w:b/>
                <w:sz w:val="21"/>
              </w:rPr>
              <w:t>语言能力丧失</w:t>
            </w:r>
          </w:p>
        </w:tc>
        <w:tc>
          <w:tcPr>
            <w:tcW w:w="7825" w:type="dxa"/>
          </w:tcPr>
          <w:p>
            <w:pPr>
              <w:pStyle w:val="TableParagraph"/>
              <w:spacing w:line="273" w:lineRule="auto" w:before="110"/>
              <w:ind w:right="305"/>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6" w:type="dxa"/>
          </w:tcPr>
          <w:p>
            <w:pPr>
              <w:pStyle w:val="TableParagraph"/>
              <w:spacing w:line="273" w:lineRule="auto" w:before="110"/>
              <w:ind w:left="185" w:right="130"/>
              <w:rPr>
                <w:b/>
                <w:sz w:val="21"/>
              </w:rPr>
            </w:pPr>
            <w:r>
              <w:rPr>
                <w:b/>
                <w:sz w:val="21"/>
              </w:rPr>
              <w:t>重型再生障碍性贫血</w:t>
            </w:r>
          </w:p>
        </w:tc>
        <w:tc>
          <w:tcPr>
            <w:tcW w:w="7825" w:type="dxa"/>
          </w:tcPr>
          <w:p>
            <w:pPr>
              <w:pStyle w:val="TableParagraph"/>
              <w:spacing w:line="273" w:lineRule="auto" w:before="110"/>
              <w:ind w:right="334"/>
              <w:rPr>
                <w:sz w:val="21"/>
              </w:rPr>
            </w:pPr>
            <w:r>
              <w:rPr>
                <w:sz w:val="21"/>
              </w:rPr>
              <w:t>指因骨髓造血功能慢性持续性衰竭导致的贫血、中性粒细胞减少及血小板减少。须满足下列全部条件：</w:t>
            </w:r>
          </w:p>
          <w:p>
            <w:pPr>
              <w:pStyle w:val="TableParagraph"/>
              <w:numPr>
                <w:ilvl w:val="0"/>
                <w:numId w:val="16"/>
              </w:numPr>
              <w:tabs>
                <w:tab w:pos="868" w:val="left" w:leader="none"/>
                <w:tab w:pos="869" w:val="left" w:leader="none"/>
              </w:tabs>
              <w:spacing w:line="240" w:lineRule="auto" w:before="87" w:after="0"/>
              <w:ind w:left="868" w:right="0" w:hanging="737"/>
              <w:jc w:val="left"/>
              <w:rPr>
                <w:sz w:val="21"/>
              </w:rPr>
            </w:pPr>
            <w:r>
              <w:rPr>
                <w:spacing w:val="-3"/>
                <w:sz w:val="21"/>
              </w:rPr>
              <w:t>骨髓穿刺检查或骨髓活检结果支持诊断；</w:t>
            </w:r>
          </w:p>
          <w:p>
            <w:pPr>
              <w:pStyle w:val="TableParagraph"/>
              <w:numPr>
                <w:ilvl w:val="0"/>
                <w:numId w:val="16"/>
              </w:numPr>
              <w:tabs>
                <w:tab w:pos="868" w:val="left" w:leader="none"/>
                <w:tab w:pos="869" w:val="left" w:leader="none"/>
              </w:tabs>
              <w:spacing w:line="240" w:lineRule="auto" w:before="113" w:after="0"/>
              <w:ind w:left="868" w:right="0" w:hanging="737"/>
              <w:jc w:val="left"/>
              <w:rPr>
                <w:sz w:val="21"/>
              </w:rPr>
            </w:pPr>
            <w:r>
              <w:rPr>
                <w:spacing w:val="-3"/>
                <w:sz w:val="21"/>
              </w:rPr>
              <w:t>外周血象须具备以下三项条件：</w:t>
            </w:r>
          </w:p>
          <w:p>
            <w:pPr>
              <w:pStyle w:val="TableParagraph"/>
              <w:spacing w:before="115"/>
              <w:ind w:left="844"/>
              <w:rPr>
                <w:sz w:val="21"/>
              </w:rPr>
            </w:pPr>
            <w:r>
              <w:rPr>
                <w:sz w:val="21"/>
              </w:rPr>
              <w:t>① 中性粒细胞绝对值≤0.5×10</w:t>
            </w:r>
            <w:r>
              <w:rPr>
                <w:position w:val="11"/>
                <w:sz w:val="11"/>
              </w:rPr>
              <w:t>9</w:t>
            </w:r>
            <w:r>
              <w:rPr>
                <w:sz w:val="21"/>
              </w:rPr>
              <w:t>/L ；</w:t>
            </w:r>
          </w:p>
          <w:p>
            <w:pPr>
              <w:pStyle w:val="TableParagraph"/>
              <w:spacing w:before="113"/>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100"/>
              <w:ind w:left="844"/>
              <w:rPr>
                <w:sz w:val="21"/>
              </w:rPr>
            </w:pPr>
            <w:r>
              <w:rPr>
                <w:sz w:val="21"/>
              </w:rPr>
              <w:t>③ 血小板绝对值≤20×10</w:t>
            </w:r>
            <w:r>
              <w:rPr>
                <w:position w:val="11"/>
                <w:sz w:val="11"/>
              </w:rPr>
              <w:t>9</w:t>
            </w:r>
            <w:r>
              <w:rPr>
                <w:sz w:val="21"/>
              </w:rPr>
              <w:t>/L。</w:t>
            </w:r>
          </w:p>
        </w:tc>
      </w:tr>
      <w:tr>
        <w:trPr>
          <w:trHeight w:val="385" w:hRule="atLeast"/>
        </w:trPr>
        <w:tc>
          <w:tcPr>
            <w:tcW w:w="809" w:type="dxa"/>
          </w:tcPr>
          <w:p>
            <w:pPr>
              <w:pStyle w:val="TableParagraph"/>
              <w:spacing w:line="255" w:lineRule="exact" w:before="110"/>
              <w:ind w:left="200"/>
              <w:rPr>
                <w:b/>
                <w:sz w:val="21"/>
              </w:rPr>
            </w:pPr>
            <w:r>
              <w:rPr>
                <w:b/>
                <w:sz w:val="21"/>
              </w:rPr>
              <w:t>9.25</w:t>
            </w:r>
          </w:p>
        </w:tc>
        <w:tc>
          <w:tcPr>
            <w:tcW w:w="1586" w:type="dxa"/>
          </w:tcPr>
          <w:p>
            <w:pPr>
              <w:pStyle w:val="TableParagraph"/>
              <w:spacing w:line="255" w:lineRule="exact" w:before="110"/>
              <w:ind w:left="185"/>
              <w:rPr>
                <w:b/>
                <w:sz w:val="21"/>
              </w:rPr>
            </w:pPr>
            <w:r>
              <w:rPr>
                <w:b/>
                <w:sz w:val="21"/>
              </w:rPr>
              <w:t>主动脉手术</w:t>
            </w:r>
          </w:p>
        </w:tc>
        <w:tc>
          <w:tcPr>
            <w:tcW w:w="7825" w:type="dxa"/>
          </w:tcPr>
          <w:p>
            <w:pPr>
              <w:pStyle w:val="TableParagraph"/>
              <w:spacing w:line="255" w:lineRule="exact" w:before="110"/>
              <w:rPr>
                <w:sz w:val="21"/>
              </w:rPr>
            </w:pPr>
            <w:r>
              <w:rPr>
                <w:sz w:val="21"/>
              </w:rPr>
              <w:t>指为治疗主动脉疾病，实际实施了开胸或开腹进行的切除、置换、修补病损主动</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4"/>
      </w:tblGrid>
      <w:tr>
        <w:trPr>
          <w:trHeight w:val="1090" w:hRule="atLeast"/>
        </w:trPr>
        <w:tc>
          <w:tcPr>
            <w:tcW w:w="717"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脉血管的手术。主动脉指胸主动脉和腹主动脉，不包括胸主动脉和腹主动脉的分</w:t>
            </w:r>
          </w:p>
          <w:p>
            <w:pPr>
              <w:pStyle w:val="TableParagraph"/>
              <w:spacing w:before="37"/>
              <w:rPr>
                <w:sz w:val="21"/>
              </w:rPr>
            </w:pPr>
            <w:r>
              <w:rPr>
                <w:sz w:val="21"/>
              </w:rPr>
              <w:t>支血管。</w:t>
            </w:r>
          </w:p>
          <w:p>
            <w:pPr>
              <w:pStyle w:val="TableParagraph"/>
              <w:spacing w:before="116"/>
              <w:rPr>
                <w:rFonts w:ascii="黑体" w:eastAsia="黑体" w:hint="eastAsia"/>
                <w:sz w:val="21"/>
              </w:rPr>
            </w:pPr>
            <w:r>
              <w:rPr>
                <w:rFonts w:ascii="黑体" w:eastAsia="黑体" w:hint="eastAsia"/>
                <w:sz w:val="21"/>
              </w:rPr>
              <w:t>动脉内血管成形术不在保障范围内。</w:t>
            </w:r>
          </w:p>
        </w:tc>
      </w:tr>
      <w:tr>
        <w:trPr>
          <w:trHeight w:val="1807" w:hRule="atLeast"/>
        </w:trPr>
        <w:tc>
          <w:tcPr>
            <w:tcW w:w="717" w:type="dxa"/>
          </w:tcPr>
          <w:p>
            <w:pPr>
              <w:pStyle w:val="TableParagraph"/>
              <w:spacing w:before="111"/>
              <w:ind w:left="107"/>
              <w:rPr>
                <w:b/>
                <w:sz w:val="21"/>
              </w:rPr>
            </w:pPr>
            <w:r>
              <w:rPr>
                <w:b/>
                <w:sz w:val="21"/>
              </w:rPr>
              <w:t>9.26</w:t>
            </w:r>
          </w:p>
        </w:tc>
        <w:tc>
          <w:tcPr>
            <w:tcW w:w="1586" w:type="dxa"/>
          </w:tcPr>
          <w:p>
            <w:pPr>
              <w:pStyle w:val="TableParagraph"/>
              <w:spacing w:before="111"/>
              <w:ind w:left="185"/>
              <w:rPr>
                <w:b/>
                <w:sz w:val="21"/>
              </w:rPr>
            </w:pPr>
            <w:r>
              <w:rPr>
                <w:b/>
                <w:sz w:val="21"/>
              </w:rPr>
              <w:t>多发性硬化</w:t>
            </w:r>
          </w:p>
        </w:tc>
        <w:tc>
          <w:tcPr>
            <w:tcW w:w="7624" w:type="dxa"/>
          </w:tcPr>
          <w:p>
            <w:pPr>
              <w:pStyle w:val="TableParagraph"/>
              <w:spacing w:line="271" w:lineRule="auto" w:before="111"/>
              <w:ind w:right="102"/>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9"/>
              <w:ind w:right="35"/>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0" w:hRule="atLeast"/>
        </w:trPr>
        <w:tc>
          <w:tcPr>
            <w:tcW w:w="717" w:type="dxa"/>
          </w:tcPr>
          <w:p>
            <w:pPr>
              <w:pStyle w:val="TableParagraph"/>
              <w:spacing w:before="111"/>
              <w:ind w:left="107"/>
              <w:rPr>
                <w:b/>
                <w:sz w:val="21"/>
              </w:rPr>
            </w:pPr>
            <w:r>
              <w:rPr>
                <w:b/>
                <w:sz w:val="21"/>
              </w:rPr>
              <w:t>9.27</w:t>
            </w:r>
          </w:p>
        </w:tc>
        <w:tc>
          <w:tcPr>
            <w:tcW w:w="1586" w:type="dxa"/>
          </w:tcPr>
          <w:p>
            <w:pPr>
              <w:pStyle w:val="TableParagraph"/>
              <w:spacing w:before="111"/>
              <w:ind w:left="185"/>
              <w:rPr>
                <w:b/>
                <w:sz w:val="21"/>
              </w:rPr>
            </w:pPr>
            <w:r>
              <w:rPr>
                <w:b/>
                <w:sz w:val="21"/>
              </w:rPr>
              <w:t>终末期肺病</w:t>
            </w:r>
          </w:p>
        </w:tc>
        <w:tc>
          <w:tcPr>
            <w:tcW w:w="7624"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17"/>
              </w:numPr>
              <w:tabs>
                <w:tab w:pos="868" w:val="left" w:leader="none"/>
                <w:tab w:pos="869" w:val="left" w:leader="none"/>
              </w:tabs>
              <w:spacing w:line="240" w:lineRule="auto" w:before="116"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7"/>
              </w:numPr>
              <w:tabs>
                <w:tab w:pos="868" w:val="left" w:leader="none"/>
                <w:tab w:pos="869" w:val="left" w:leader="none"/>
              </w:tabs>
              <w:spacing w:line="240" w:lineRule="auto" w:before="114" w:after="0"/>
              <w:ind w:left="868" w:right="0" w:hanging="737"/>
              <w:jc w:val="left"/>
              <w:rPr>
                <w:sz w:val="21"/>
              </w:rPr>
            </w:pPr>
            <w:r>
              <w:rPr>
                <w:spacing w:val="-3"/>
                <w:sz w:val="21"/>
              </w:rPr>
              <w:t>病人缺氧必须广泛而持续地进行输氧治疗；</w:t>
            </w:r>
          </w:p>
          <w:p>
            <w:pPr>
              <w:pStyle w:val="TableParagraph"/>
              <w:numPr>
                <w:ilvl w:val="0"/>
                <w:numId w:val="17"/>
              </w:numPr>
              <w:tabs>
                <w:tab w:pos="868" w:val="left" w:leader="none"/>
                <w:tab w:pos="869" w:val="left" w:leader="none"/>
              </w:tabs>
              <w:spacing w:line="240" w:lineRule="auto" w:before="116" w:after="0"/>
              <w:ind w:left="868"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1652" w:hRule="atLeast"/>
        </w:trPr>
        <w:tc>
          <w:tcPr>
            <w:tcW w:w="717" w:type="dxa"/>
          </w:tcPr>
          <w:p>
            <w:pPr>
              <w:pStyle w:val="TableParagraph"/>
              <w:spacing w:before="110"/>
              <w:ind w:left="107"/>
              <w:rPr>
                <w:b/>
                <w:sz w:val="21"/>
              </w:rPr>
            </w:pPr>
            <w:r>
              <w:rPr>
                <w:b/>
                <w:sz w:val="21"/>
              </w:rPr>
              <w:t>9.28</w:t>
            </w:r>
          </w:p>
        </w:tc>
        <w:tc>
          <w:tcPr>
            <w:tcW w:w="1586" w:type="dxa"/>
          </w:tcPr>
          <w:p>
            <w:pPr>
              <w:pStyle w:val="TableParagraph"/>
              <w:spacing w:before="110"/>
              <w:ind w:left="185"/>
              <w:rPr>
                <w:b/>
                <w:sz w:val="21"/>
              </w:rPr>
            </w:pPr>
            <w:r>
              <w:rPr>
                <w:b/>
                <w:sz w:val="21"/>
              </w:rPr>
              <w:t>颅脑手术</w:t>
            </w:r>
          </w:p>
        </w:tc>
        <w:tc>
          <w:tcPr>
            <w:tcW w:w="7624" w:type="dxa"/>
          </w:tcPr>
          <w:p>
            <w:pPr>
              <w:pStyle w:val="TableParagraph"/>
              <w:spacing w:line="273" w:lineRule="auto" w:before="110"/>
              <w:ind w:right="345"/>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sz w:val="21"/>
              </w:rPr>
            </w:pPr>
            <w:r>
              <w:rPr>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586" w:type="dxa"/>
          </w:tcPr>
          <w:p>
            <w:pPr>
              <w:pStyle w:val="TableParagraph"/>
              <w:spacing w:before="111"/>
              <w:ind w:left="185"/>
              <w:rPr>
                <w:b/>
                <w:sz w:val="21"/>
              </w:rPr>
            </w:pPr>
            <w:r>
              <w:rPr>
                <w:b/>
                <w:sz w:val="21"/>
              </w:rPr>
              <w:t>脊髓灰质炎</w:t>
            </w:r>
          </w:p>
        </w:tc>
        <w:tc>
          <w:tcPr>
            <w:tcW w:w="7624" w:type="dxa"/>
          </w:tcPr>
          <w:p>
            <w:pPr>
              <w:pStyle w:val="TableParagraph"/>
              <w:spacing w:line="271" w:lineRule="auto" w:before="111"/>
              <w:ind w:right="133"/>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3"/>
              <w:rPr>
                <w:sz w:val="21"/>
              </w:rPr>
            </w:pPr>
            <w:r>
              <w:rPr>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6" w:type="dxa"/>
          </w:tcPr>
          <w:p>
            <w:pPr>
              <w:pStyle w:val="TableParagraph"/>
              <w:spacing w:line="271" w:lineRule="auto" w:before="111"/>
              <w:ind w:left="185" w:right="130"/>
              <w:rPr>
                <w:b/>
                <w:sz w:val="21"/>
              </w:rPr>
            </w:pPr>
            <w:r>
              <w:rPr>
                <w:b/>
                <w:sz w:val="21"/>
              </w:rPr>
              <w:t>严重肌营养不良症</w:t>
            </w:r>
          </w:p>
        </w:tc>
        <w:tc>
          <w:tcPr>
            <w:tcW w:w="7624" w:type="dxa"/>
          </w:tcPr>
          <w:p>
            <w:pPr>
              <w:pStyle w:val="TableParagraph"/>
              <w:spacing w:line="271" w:lineRule="auto" w:before="111"/>
              <w:ind w:right="133"/>
              <w:rPr>
                <w:sz w:val="21"/>
              </w:rPr>
            </w:pPr>
            <w:r>
              <w:rPr>
                <w:sz w:val="21"/>
              </w:rPr>
              <w:t>指一组原发于肌肉的遗传性疾病，临床表现为与神经系统无关的肌肉无力和肌肉萎缩。须满足下列全部条件：</w:t>
            </w:r>
          </w:p>
          <w:p>
            <w:pPr>
              <w:pStyle w:val="TableParagraph"/>
              <w:numPr>
                <w:ilvl w:val="0"/>
                <w:numId w:val="18"/>
              </w:numPr>
              <w:tabs>
                <w:tab w:pos="868" w:val="left" w:leader="none"/>
                <w:tab w:pos="869" w:val="left" w:leader="none"/>
              </w:tabs>
              <w:spacing w:line="240" w:lineRule="auto" w:before="88"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18"/>
              </w:numPr>
              <w:tabs>
                <w:tab w:pos="833" w:val="left" w:leader="none"/>
              </w:tabs>
              <w:spacing w:line="271" w:lineRule="auto" w:before="116" w:after="0"/>
              <w:ind w:left="851" w:right="104"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6" w:type="dxa"/>
          </w:tcPr>
          <w:p>
            <w:pPr>
              <w:pStyle w:val="TableParagraph"/>
              <w:spacing w:line="271" w:lineRule="auto" w:before="111"/>
              <w:ind w:left="185" w:right="130"/>
              <w:rPr>
                <w:b/>
                <w:sz w:val="21"/>
              </w:rPr>
            </w:pPr>
            <w:r>
              <w:rPr>
                <w:b/>
                <w:sz w:val="21"/>
              </w:rPr>
              <w:t>急性出血坏死性胰腺炎</w:t>
            </w:r>
          </w:p>
        </w:tc>
        <w:tc>
          <w:tcPr>
            <w:tcW w:w="7624" w:type="dxa"/>
          </w:tcPr>
          <w:p>
            <w:pPr>
              <w:pStyle w:val="TableParagraph"/>
              <w:spacing w:line="271" w:lineRule="auto" w:before="111"/>
              <w:ind w:right="133"/>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01" w:hRule="atLeast"/>
        </w:trPr>
        <w:tc>
          <w:tcPr>
            <w:tcW w:w="717" w:type="dxa"/>
          </w:tcPr>
          <w:p>
            <w:pPr>
              <w:pStyle w:val="TableParagraph"/>
              <w:spacing w:before="111"/>
              <w:ind w:left="107"/>
              <w:rPr>
                <w:b/>
                <w:sz w:val="21"/>
              </w:rPr>
            </w:pPr>
            <w:r>
              <w:rPr>
                <w:b/>
                <w:sz w:val="21"/>
              </w:rPr>
              <w:t>9.32</w:t>
            </w:r>
          </w:p>
        </w:tc>
        <w:tc>
          <w:tcPr>
            <w:tcW w:w="1586" w:type="dxa"/>
          </w:tcPr>
          <w:p>
            <w:pPr>
              <w:pStyle w:val="TableParagraph"/>
              <w:spacing w:before="111"/>
              <w:ind w:left="185"/>
              <w:rPr>
                <w:b/>
                <w:sz w:val="21"/>
              </w:rPr>
            </w:pPr>
            <w:r>
              <w:rPr>
                <w:b/>
                <w:sz w:val="21"/>
              </w:rPr>
              <w:t>侵蚀性葡萄胎</w:t>
            </w:r>
          </w:p>
          <w:p>
            <w:pPr>
              <w:pStyle w:val="TableParagraph"/>
              <w:spacing w:line="273" w:lineRule="auto" w:before="37"/>
              <w:ind w:left="185" w:right="130"/>
              <w:rPr>
                <w:b/>
                <w:sz w:val="21"/>
              </w:rPr>
            </w:pPr>
            <w:r>
              <w:rPr>
                <w:b/>
                <w:sz w:val="21"/>
              </w:rPr>
              <w:t>（或称恶性葡萄胎）</w:t>
            </w:r>
          </w:p>
        </w:tc>
        <w:tc>
          <w:tcPr>
            <w:tcW w:w="7624" w:type="dxa"/>
          </w:tcPr>
          <w:p>
            <w:pPr>
              <w:pStyle w:val="TableParagraph"/>
              <w:spacing w:line="273" w:lineRule="auto" w:before="111"/>
              <w:ind w:right="133"/>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6"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802"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6"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12"/>
              <w:ind w:left="0"/>
              <w:rPr>
                <w:sz w:val="13"/>
              </w:rPr>
            </w:pPr>
          </w:p>
          <w:p>
            <w:pPr>
              <w:pStyle w:val="TableParagraph"/>
              <w:spacing w:line="310" w:lineRule="atLeast"/>
              <w:ind w:right="133"/>
              <w:rPr>
                <w:sz w:val="21"/>
              </w:rPr>
            </w:pPr>
            <w:r>
              <w:rPr>
                <w:sz w:val="21"/>
              </w:rPr>
              <w:t>从保险合同生效日或生效对应日零时起至下一年度保险合同生效对应日零时止为一个保单年度。如果当月无对应的同一日，则以该月最后一日为对应日。</w:t>
            </w:r>
          </w:p>
        </w:tc>
      </w:tr>
    </w:tbl>
    <w:p>
      <w:pPr>
        <w:spacing w:after="0" w:line="310" w:lineRule="atLeas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793"/>
      </w:tblGrid>
      <w:tr>
        <w:trPr>
          <w:trHeight w:val="698" w:hRule="atLeast"/>
        </w:trPr>
        <w:tc>
          <w:tcPr>
            <w:tcW w:w="862" w:type="dxa"/>
          </w:tcPr>
          <w:p>
            <w:pPr>
              <w:pStyle w:val="TableParagraph"/>
              <w:spacing w:line="211" w:lineRule="exact"/>
              <w:ind w:left="200"/>
              <w:rPr>
                <w:b/>
                <w:sz w:val="21"/>
              </w:rPr>
            </w:pPr>
            <w:r>
              <w:rPr>
                <w:b/>
                <w:sz w:val="21"/>
              </w:rPr>
              <w:t>10.2</w:t>
            </w:r>
          </w:p>
        </w:tc>
        <w:tc>
          <w:tcPr>
            <w:tcW w:w="1533" w:type="dxa"/>
          </w:tcPr>
          <w:p>
            <w:pPr>
              <w:pStyle w:val="TableParagraph"/>
              <w:spacing w:line="211" w:lineRule="exact"/>
              <w:ind w:left="132"/>
              <w:rPr>
                <w:b/>
                <w:sz w:val="21"/>
              </w:rPr>
            </w:pPr>
            <w:r>
              <w:rPr>
                <w:b/>
                <w:sz w:val="21"/>
              </w:rPr>
              <w:t>保险费约定交</w:t>
            </w:r>
          </w:p>
          <w:p>
            <w:pPr>
              <w:pStyle w:val="TableParagraph"/>
              <w:spacing w:before="37"/>
              <w:ind w:left="132"/>
              <w:rPr>
                <w:b/>
                <w:sz w:val="21"/>
              </w:rPr>
            </w:pPr>
            <w:r>
              <w:rPr>
                <w:b/>
                <w:sz w:val="21"/>
              </w:rPr>
              <w:t>纳日</w:t>
            </w:r>
          </w:p>
        </w:tc>
        <w:tc>
          <w:tcPr>
            <w:tcW w:w="7793" w:type="dxa"/>
          </w:tcPr>
          <w:p>
            <w:pPr>
              <w:pStyle w:val="TableParagraph"/>
              <w:spacing w:line="211" w:lineRule="exact"/>
              <w:ind w:left="130"/>
              <w:rPr>
                <w:sz w:val="21"/>
              </w:rPr>
            </w:pPr>
            <w:r>
              <w:rPr>
                <w:sz w:val="21"/>
              </w:rPr>
              <w:t>保险合同生效日在每月、每季、每半年或每年（根据交费方式确定）的对应日。</w:t>
            </w:r>
          </w:p>
          <w:p>
            <w:pPr>
              <w:pStyle w:val="TableParagraph"/>
              <w:spacing w:before="37"/>
              <w:ind w:left="130"/>
              <w:rPr>
                <w:sz w:val="21"/>
              </w:rPr>
            </w:pPr>
            <w:r>
              <w:rPr>
                <w:sz w:val="21"/>
              </w:rPr>
              <w:t>如果当月无对应的同一日，则以该月最后一日为对应日。</w:t>
            </w:r>
          </w:p>
        </w:tc>
      </w:tr>
      <w:tr>
        <w:trPr>
          <w:trHeight w:val="1482" w:hRule="atLeast"/>
        </w:trPr>
        <w:tc>
          <w:tcPr>
            <w:tcW w:w="862" w:type="dxa"/>
          </w:tcPr>
          <w:p>
            <w:pPr>
              <w:pStyle w:val="TableParagraph"/>
              <w:spacing w:before="111"/>
              <w:ind w:left="200"/>
              <w:rPr>
                <w:b/>
                <w:sz w:val="21"/>
              </w:rPr>
            </w:pPr>
            <w:r>
              <w:rPr>
                <w:b/>
                <w:sz w:val="21"/>
              </w:rPr>
              <w:t>10.3</w:t>
            </w:r>
          </w:p>
        </w:tc>
        <w:tc>
          <w:tcPr>
            <w:tcW w:w="1533" w:type="dxa"/>
          </w:tcPr>
          <w:p>
            <w:pPr>
              <w:pStyle w:val="TableParagraph"/>
              <w:spacing w:before="111"/>
              <w:ind w:left="132"/>
              <w:rPr>
                <w:b/>
                <w:sz w:val="21"/>
              </w:rPr>
            </w:pPr>
            <w:r>
              <w:rPr>
                <w:b/>
                <w:sz w:val="21"/>
              </w:rPr>
              <w:t>周岁</w:t>
            </w:r>
          </w:p>
        </w:tc>
        <w:tc>
          <w:tcPr>
            <w:tcW w:w="7793" w:type="dxa"/>
          </w:tcPr>
          <w:p>
            <w:pPr>
              <w:pStyle w:val="TableParagraph"/>
              <w:spacing w:line="271" w:lineRule="auto" w:before="111"/>
              <w:ind w:left="130" w:right="27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9"/>
              <w:ind w:left="130"/>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ind w:left="130"/>
              <w:rPr>
                <w:sz w:val="21"/>
              </w:rPr>
            </w:pPr>
            <w:r>
              <w:rPr>
                <w:sz w:val="21"/>
              </w:rPr>
              <w:t>8 月 31 日期间为 1 周岁，依此类推。</w:t>
            </w:r>
          </w:p>
        </w:tc>
      </w:tr>
      <w:tr>
        <w:trPr>
          <w:trHeight w:val="857" w:hRule="atLeast"/>
        </w:trPr>
        <w:tc>
          <w:tcPr>
            <w:tcW w:w="862" w:type="dxa"/>
          </w:tcPr>
          <w:p>
            <w:pPr>
              <w:pStyle w:val="TableParagraph"/>
              <w:spacing w:before="98"/>
              <w:ind w:left="200"/>
              <w:rPr>
                <w:b/>
                <w:sz w:val="21"/>
              </w:rPr>
            </w:pPr>
            <w:r>
              <w:rPr>
                <w:b/>
                <w:sz w:val="21"/>
              </w:rPr>
              <w:t>10.4</w:t>
            </w:r>
          </w:p>
        </w:tc>
        <w:tc>
          <w:tcPr>
            <w:tcW w:w="1533" w:type="dxa"/>
          </w:tcPr>
          <w:p>
            <w:pPr>
              <w:pStyle w:val="TableParagraph"/>
              <w:spacing w:before="98"/>
              <w:ind w:left="132"/>
              <w:rPr>
                <w:b/>
                <w:sz w:val="21"/>
              </w:rPr>
            </w:pPr>
            <w:r>
              <w:rPr>
                <w:b/>
                <w:sz w:val="21"/>
              </w:rPr>
              <w:t>有效身份证件</w:t>
            </w:r>
          </w:p>
        </w:tc>
        <w:tc>
          <w:tcPr>
            <w:tcW w:w="7793" w:type="dxa"/>
          </w:tcPr>
          <w:p>
            <w:pPr>
              <w:pStyle w:val="TableParagraph"/>
              <w:spacing w:line="271" w:lineRule="auto" w:before="98"/>
              <w:ind w:left="130" w:right="302"/>
              <w:rPr>
                <w:sz w:val="21"/>
              </w:rPr>
            </w:pPr>
            <w:r>
              <w:rPr>
                <w:sz w:val="21"/>
              </w:rPr>
              <w:t>指由政府主管部门规定的证明其身份的证件，如：居民身份证、按规定可使用的有效护照、军官证、警官证、士兵证、户口簿等证件。</w:t>
            </w:r>
          </w:p>
        </w:tc>
      </w:tr>
      <w:tr>
        <w:trPr>
          <w:trHeight w:val="873" w:hRule="atLeast"/>
        </w:trPr>
        <w:tc>
          <w:tcPr>
            <w:tcW w:w="862" w:type="dxa"/>
          </w:tcPr>
          <w:p>
            <w:pPr>
              <w:pStyle w:val="TableParagraph"/>
              <w:spacing w:before="111"/>
              <w:ind w:left="200"/>
              <w:rPr>
                <w:b/>
                <w:sz w:val="21"/>
              </w:rPr>
            </w:pPr>
            <w:r>
              <w:rPr>
                <w:b/>
                <w:sz w:val="21"/>
              </w:rPr>
              <w:t>10.5</w:t>
            </w:r>
          </w:p>
        </w:tc>
        <w:tc>
          <w:tcPr>
            <w:tcW w:w="1533" w:type="dxa"/>
          </w:tcPr>
          <w:p>
            <w:pPr>
              <w:pStyle w:val="TableParagraph"/>
              <w:spacing w:before="111"/>
              <w:ind w:left="132"/>
              <w:rPr>
                <w:b/>
                <w:sz w:val="21"/>
              </w:rPr>
            </w:pPr>
            <w:r>
              <w:rPr>
                <w:b/>
                <w:sz w:val="21"/>
              </w:rPr>
              <w:t>医院</w:t>
            </w:r>
          </w:p>
        </w:tc>
        <w:tc>
          <w:tcPr>
            <w:tcW w:w="7793" w:type="dxa"/>
          </w:tcPr>
          <w:p>
            <w:pPr>
              <w:pStyle w:val="TableParagraph"/>
              <w:spacing w:line="273" w:lineRule="auto" w:before="111"/>
              <w:ind w:left="130" w:right="302"/>
              <w:rPr>
                <w:sz w:val="21"/>
              </w:rPr>
            </w:pPr>
            <w:r>
              <w:rPr>
                <w:sz w:val="21"/>
              </w:rPr>
              <w:t>指国家卫生部医院等级分类中的二级合格或二级合格以上的医院，但不包括主要作为康复、护理、疗养、戒酒、戒毒或相类似的医疗机构。</w:t>
            </w:r>
          </w:p>
        </w:tc>
      </w:tr>
      <w:tr>
        <w:trPr>
          <w:trHeight w:val="1183" w:hRule="atLeast"/>
        </w:trPr>
        <w:tc>
          <w:tcPr>
            <w:tcW w:w="862" w:type="dxa"/>
          </w:tcPr>
          <w:p>
            <w:pPr>
              <w:pStyle w:val="TableParagraph"/>
              <w:spacing w:before="111"/>
              <w:ind w:left="200"/>
              <w:rPr>
                <w:b/>
                <w:sz w:val="21"/>
              </w:rPr>
            </w:pPr>
            <w:r>
              <w:rPr>
                <w:b/>
                <w:sz w:val="21"/>
              </w:rPr>
              <w:t>10.6</w:t>
            </w:r>
          </w:p>
        </w:tc>
        <w:tc>
          <w:tcPr>
            <w:tcW w:w="1533" w:type="dxa"/>
          </w:tcPr>
          <w:p>
            <w:pPr>
              <w:pStyle w:val="TableParagraph"/>
              <w:spacing w:before="111"/>
              <w:ind w:left="132"/>
              <w:rPr>
                <w:b/>
                <w:sz w:val="21"/>
              </w:rPr>
            </w:pPr>
            <w:r>
              <w:rPr>
                <w:b/>
                <w:sz w:val="21"/>
              </w:rPr>
              <w:t>意外伤害</w:t>
            </w:r>
          </w:p>
        </w:tc>
        <w:tc>
          <w:tcPr>
            <w:tcW w:w="7793" w:type="dxa"/>
          </w:tcPr>
          <w:p>
            <w:pPr>
              <w:pStyle w:val="TableParagraph"/>
              <w:spacing w:line="271" w:lineRule="auto" w:before="111"/>
              <w:ind w:left="130" w:right="30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862" w:type="dxa"/>
          </w:tcPr>
          <w:p>
            <w:pPr>
              <w:pStyle w:val="TableParagraph"/>
              <w:spacing w:before="111"/>
              <w:ind w:left="200"/>
              <w:rPr>
                <w:b/>
                <w:sz w:val="21"/>
              </w:rPr>
            </w:pPr>
            <w:r>
              <w:rPr>
                <w:b/>
                <w:sz w:val="21"/>
              </w:rPr>
              <w:t>10.7</w:t>
            </w:r>
          </w:p>
        </w:tc>
        <w:tc>
          <w:tcPr>
            <w:tcW w:w="1533" w:type="dxa"/>
          </w:tcPr>
          <w:p>
            <w:pPr>
              <w:pStyle w:val="TableParagraph"/>
              <w:spacing w:before="111"/>
              <w:ind w:left="132"/>
              <w:rPr>
                <w:b/>
                <w:sz w:val="21"/>
              </w:rPr>
            </w:pPr>
            <w:r>
              <w:rPr>
                <w:b/>
                <w:sz w:val="21"/>
              </w:rPr>
              <w:t>毒品</w:t>
            </w:r>
          </w:p>
        </w:tc>
        <w:tc>
          <w:tcPr>
            <w:tcW w:w="7793" w:type="dxa"/>
          </w:tcPr>
          <w:p>
            <w:pPr>
              <w:pStyle w:val="TableParagraph"/>
              <w:spacing w:line="271" w:lineRule="auto" w:before="111"/>
              <w:ind w:left="130"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5" w:hRule="atLeast"/>
        </w:trPr>
        <w:tc>
          <w:tcPr>
            <w:tcW w:w="862" w:type="dxa"/>
          </w:tcPr>
          <w:p>
            <w:pPr>
              <w:pStyle w:val="TableParagraph"/>
              <w:spacing w:before="111"/>
              <w:ind w:left="200"/>
              <w:rPr>
                <w:b/>
                <w:sz w:val="21"/>
              </w:rPr>
            </w:pPr>
            <w:r>
              <w:rPr>
                <w:b/>
                <w:sz w:val="21"/>
              </w:rPr>
              <w:t>10.8</w:t>
            </w:r>
          </w:p>
        </w:tc>
        <w:tc>
          <w:tcPr>
            <w:tcW w:w="1533" w:type="dxa"/>
          </w:tcPr>
          <w:p>
            <w:pPr>
              <w:pStyle w:val="TableParagraph"/>
              <w:spacing w:before="111"/>
              <w:ind w:left="132"/>
              <w:rPr>
                <w:b/>
                <w:sz w:val="21"/>
              </w:rPr>
            </w:pPr>
            <w:r>
              <w:rPr>
                <w:b/>
                <w:sz w:val="21"/>
              </w:rPr>
              <w:t>酒后驾驶</w:t>
            </w:r>
          </w:p>
        </w:tc>
        <w:tc>
          <w:tcPr>
            <w:tcW w:w="7793" w:type="dxa"/>
          </w:tcPr>
          <w:p>
            <w:pPr>
              <w:pStyle w:val="TableParagraph"/>
              <w:spacing w:line="273" w:lineRule="auto" w:before="111"/>
              <w:ind w:left="130"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1"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line="271" w:lineRule="auto" w:before="111"/>
              <w:ind w:left="132" w:right="130"/>
              <w:rPr>
                <w:b/>
                <w:sz w:val="21"/>
              </w:rPr>
            </w:pPr>
            <w:r>
              <w:rPr>
                <w:b/>
                <w:sz w:val="21"/>
              </w:rPr>
              <w:t>无合法有效驾驶证驾驶</w:t>
            </w:r>
          </w:p>
        </w:tc>
        <w:tc>
          <w:tcPr>
            <w:tcW w:w="7793" w:type="dxa"/>
          </w:tcPr>
          <w:p>
            <w:pPr>
              <w:pStyle w:val="TableParagraph"/>
              <w:spacing w:before="111"/>
              <w:ind w:left="130"/>
              <w:rPr>
                <w:sz w:val="21"/>
              </w:rPr>
            </w:pPr>
            <w:r>
              <w:rPr>
                <w:sz w:val="21"/>
              </w:rPr>
              <w:t>指下列情形之一：</w:t>
            </w:r>
          </w:p>
          <w:p>
            <w:pPr>
              <w:pStyle w:val="TableParagraph"/>
              <w:numPr>
                <w:ilvl w:val="0"/>
                <w:numId w:val="19"/>
              </w:numPr>
              <w:tabs>
                <w:tab w:pos="865" w:val="left" w:leader="none"/>
                <w:tab w:pos="866" w:val="left" w:leader="none"/>
              </w:tabs>
              <w:spacing w:line="240" w:lineRule="auto" w:before="114" w:after="0"/>
              <w:ind w:left="866" w:right="0" w:hanging="735"/>
              <w:jc w:val="left"/>
              <w:rPr>
                <w:sz w:val="21"/>
              </w:rPr>
            </w:pPr>
            <w:r>
              <w:rPr>
                <w:spacing w:val="-3"/>
                <w:sz w:val="21"/>
              </w:rPr>
              <w:t>没有取得驾驶资格；</w:t>
            </w:r>
          </w:p>
          <w:p>
            <w:pPr>
              <w:pStyle w:val="TableParagraph"/>
              <w:numPr>
                <w:ilvl w:val="0"/>
                <w:numId w:val="19"/>
              </w:numPr>
              <w:tabs>
                <w:tab w:pos="865" w:val="left" w:leader="none"/>
                <w:tab w:pos="866" w:val="left" w:leader="none"/>
              </w:tabs>
              <w:spacing w:line="240" w:lineRule="auto" w:before="116" w:after="0"/>
              <w:ind w:left="866" w:right="0" w:hanging="735"/>
              <w:jc w:val="left"/>
              <w:rPr>
                <w:sz w:val="21"/>
              </w:rPr>
            </w:pPr>
            <w:r>
              <w:rPr>
                <w:spacing w:val="-3"/>
                <w:sz w:val="21"/>
              </w:rPr>
              <w:t>驾驶与驾驶证准驾车型不相符合的车辆；</w:t>
            </w:r>
          </w:p>
          <w:p>
            <w:pPr>
              <w:pStyle w:val="TableParagraph"/>
              <w:numPr>
                <w:ilvl w:val="0"/>
                <w:numId w:val="19"/>
              </w:numPr>
              <w:tabs>
                <w:tab w:pos="865" w:val="left" w:leader="none"/>
                <w:tab w:pos="866" w:val="left" w:leader="none"/>
              </w:tabs>
              <w:spacing w:line="240" w:lineRule="auto" w:before="113" w:after="0"/>
              <w:ind w:left="866" w:right="0" w:hanging="735"/>
              <w:jc w:val="left"/>
              <w:rPr>
                <w:sz w:val="21"/>
              </w:rPr>
            </w:pPr>
            <w:r>
              <w:rPr>
                <w:spacing w:val="-3"/>
                <w:sz w:val="21"/>
              </w:rPr>
              <w:t>持审验不合格的驾驶证驾驶；</w:t>
            </w:r>
          </w:p>
          <w:p>
            <w:pPr>
              <w:pStyle w:val="TableParagraph"/>
              <w:numPr>
                <w:ilvl w:val="0"/>
                <w:numId w:val="19"/>
              </w:numPr>
              <w:tabs>
                <w:tab w:pos="865" w:val="left" w:leader="none"/>
                <w:tab w:pos="866" w:val="left" w:leader="none"/>
              </w:tabs>
              <w:spacing w:line="271" w:lineRule="auto" w:before="116" w:after="0"/>
              <w:ind w:left="866" w:right="273"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1"/>
              <w:ind w:left="200"/>
              <w:rPr>
                <w:b/>
                <w:sz w:val="21"/>
              </w:rPr>
            </w:pPr>
            <w:r>
              <w:rPr>
                <w:b/>
                <w:sz w:val="21"/>
              </w:rPr>
              <w:t>10.10</w:t>
            </w:r>
          </w:p>
        </w:tc>
        <w:tc>
          <w:tcPr>
            <w:tcW w:w="1533" w:type="dxa"/>
          </w:tcPr>
          <w:p>
            <w:pPr>
              <w:pStyle w:val="TableParagraph"/>
              <w:spacing w:before="111"/>
              <w:ind w:left="132"/>
              <w:rPr>
                <w:b/>
                <w:sz w:val="21"/>
              </w:rPr>
            </w:pPr>
            <w:r>
              <w:rPr>
                <w:b/>
                <w:sz w:val="21"/>
              </w:rPr>
              <w:t>无有效行驶证</w:t>
            </w:r>
          </w:p>
        </w:tc>
        <w:tc>
          <w:tcPr>
            <w:tcW w:w="7793" w:type="dxa"/>
          </w:tcPr>
          <w:p>
            <w:pPr>
              <w:pStyle w:val="TableParagraph"/>
              <w:spacing w:before="111"/>
              <w:ind w:left="130"/>
              <w:rPr>
                <w:sz w:val="21"/>
              </w:rPr>
            </w:pPr>
            <w:r>
              <w:rPr>
                <w:sz w:val="21"/>
              </w:rPr>
              <w:t>指下列情形之一：</w:t>
            </w:r>
          </w:p>
          <w:p>
            <w:pPr>
              <w:pStyle w:val="TableParagraph"/>
              <w:numPr>
                <w:ilvl w:val="0"/>
                <w:numId w:val="20"/>
              </w:numPr>
              <w:tabs>
                <w:tab w:pos="865" w:val="left" w:leader="none"/>
                <w:tab w:pos="866" w:val="left" w:leader="none"/>
              </w:tabs>
              <w:spacing w:line="240" w:lineRule="auto" w:before="113" w:after="0"/>
              <w:ind w:left="866" w:right="0" w:hanging="735"/>
              <w:jc w:val="left"/>
              <w:rPr>
                <w:sz w:val="21"/>
              </w:rPr>
            </w:pPr>
            <w:r>
              <w:rPr>
                <w:spacing w:val="-3"/>
                <w:sz w:val="21"/>
              </w:rPr>
              <w:t>机动车被依法注销登记的；</w:t>
            </w:r>
          </w:p>
          <w:p>
            <w:pPr>
              <w:pStyle w:val="TableParagraph"/>
              <w:numPr>
                <w:ilvl w:val="0"/>
                <w:numId w:val="20"/>
              </w:numPr>
              <w:tabs>
                <w:tab w:pos="852" w:val="left" w:leader="none"/>
              </w:tabs>
              <w:spacing w:line="240" w:lineRule="auto" w:before="116" w:after="0"/>
              <w:ind w:left="851" w:right="0" w:hanging="720"/>
              <w:jc w:val="left"/>
              <w:rPr>
                <w:sz w:val="21"/>
              </w:rPr>
            </w:pPr>
            <w:r>
              <w:rPr>
                <w:spacing w:val="-3"/>
                <w:sz w:val="21"/>
              </w:rPr>
              <w:t>未依法按时进行或通过机动车安全技术检验。</w:t>
            </w:r>
          </w:p>
        </w:tc>
      </w:tr>
      <w:tr>
        <w:trPr>
          <w:trHeight w:val="872" w:hRule="atLeast"/>
        </w:trPr>
        <w:tc>
          <w:tcPr>
            <w:tcW w:w="862" w:type="dxa"/>
          </w:tcPr>
          <w:p>
            <w:pPr>
              <w:pStyle w:val="TableParagraph"/>
              <w:spacing w:before="110"/>
              <w:ind w:left="200"/>
              <w:rPr>
                <w:b/>
                <w:sz w:val="21"/>
              </w:rPr>
            </w:pPr>
            <w:r>
              <w:rPr>
                <w:b/>
                <w:sz w:val="21"/>
              </w:rPr>
              <w:t>10.11</w:t>
            </w:r>
          </w:p>
        </w:tc>
        <w:tc>
          <w:tcPr>
            <w:tcW w:w="1533" w:type="dxa"/>
          </w:tcPr>
          <w:p>
            <w:pPr>
              <w:pStyle w:val="TableParagraph"/>
              <w:spacing w:before="110"/>
              <w:ind w:left="132"/>
              <w:rPr>
                <w:b/>
                <w:sz w:val="21"/>
              </w:rPr>
            </w:pPr>
            <w:r>
              <w:rPr>
                <w:b/>
                <w:sz w:val="21"/>
              </w:rPr>
              <w:t>机动车</w:t>
            </w:r>
          </w:p>
        </w:tc>
        <w:tc>
          <w:tcPr>
            <w:tcW w:w="7793" w:type="dxa"/>
          </w:tcPr>
          <w:p>
            <w:pPr>
              <w:pStyle w:val="TableParagraph"/>
              <w:spacing w:line="273" w:lineRule="auto" w:before="110"/>
              <w:ind w:left="130" w:right="302"/>
              <w:rPr>
                <w:sz w:val="21"/>
              </w:rPr>
            </w:pPr>
            <w:r>
              <w:rPr>
                <w:sz w:val="21"/>
              </w:rPr>
              <w:t>指以动力装置驱动或者牵引，上道路行驶的供人员乘用或者用于运送物品以及进行工程专项作业的轮式车辆。</w:t>
            </w:r>
          </w:p>
        </w:tc>
      </w:tr>
      <w:tr>
        <w:trPr>
          <w:trHeight w:val="1711" w:hRule="atLeast"/>
        </w:trPr>
        <w:tc>
          <w:tcPr>
            <w:tcW w:w="862" w:type="dxa"/>
          </w:tcPr>
          <w:p>
            <w:pPr>
              <w:pStyle w:val="TableParagraph"/>
              <w:spacing w:before="111"/>
              <w:ind w:left="200"/>
              <w:rPr>
                <w:b/>
                <w:sz w:val="21"/>
              </w:rPr>
            </w:pPr>
            <w:r>
              <w:rPr>
                <w:b/>
                <w:sz w:val="21"/>
              </w:rPr>
              <w:t>10.12</w:t>
            </w:r>
          </w:p>
        </w:tc>
        <w:tc>
          <w:tcPr>
            <w:tcW w:w="1533" w:type="dxa"/>
          </w:tcPr>
          <w:p>
            <w:pPr>
              <w:pStyle w:val="TableParagraph"/>
              <w:spacing w:line="271" w:lineRule="auto" w:before="111"/>
              <w:ind w:left="132" w:right="130"/>
              <w:rPr>
                <w:b/>
                <w:sz w:val="21"/>
              </w:rPr>
            </w:pPr>
            <w:r>
              <w:rPr>
                <w:b/>
                <w:sz w:val="21"/>
              </w:rPr>
              <w:t>感染艾滋病病毒或患艾滋病</w:t>
            </w:r>
          </w:p>
        </w:tc>
        <w:tc>
          <w:tcPr>
            <w:tcW w:w="7793" w:type="dxa"/>
          </w:tcPr>
          <w:p>
            <w:pPr>
              <w:pStyle w:val="TableParagraph"/>
              <w:spacing w:line="271" w:lineRule="auto" w:before="111"/>
              <w:ind w:left="130" w:right="355"/>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0" w:lineRule="atLeast" w:before="53"/>
              <w:ind w:left="130" w:right="30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0" w:lineRule="atLeast"/>
        <w:jc w:val="both"/>
        <w:rPr>
          <w:sz w:val="21"/>
        </w:rPr>
        <w:sectPr>
          <w:pgSz w:w="11910" w:h="16840"/>
          <w:pgMar w:top="124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698" w:hRule="atLeast"/>
        </w:trPr>
        <w:tc>
          <w:tcPr>
            <w:tcW w:w="862" w:type="dxa"/>
          </w:tcPr>
          <w:p>
            <w:pPr>
              <w:pStyle w:val="TableParagraph"/>
              <w:spacing w:line="211" w:lineRule="exact"/>
              <w:ind w:left="0" w:right="131"/>
              <w:jc w:val="right"/>
              <w:rPr>
                <w:b/>
                <w:sz w:val="21"/>
              </w:rPr>
            </w:pPr>
            <w:r>
              <w:rPr>
                <w:b/>
                <w:sz w:val="21"/>
              </w:rPr>
              <w:t>10.13</w:t>
            </w:r>
          </w:p>
        </w:tc>
        <w:tc>
          <w:tcPr>
            <w:tcW w:w="1533" w:type="dxa"/>
          </w:tcPr>
          <w:p>
            <w:pPr>
              <w:pStyle w:val="TableParagraph"/>
              <w:spacing w:line="211" w:lineRule="exact"/>
              <w:ind w:left="132"/>
              <w:rPr>
                <w:b/>
                <w:sz w:val="21"/>
              </w:rPr>
            </w:pPr>
            <w:r>
              <w:rPr>
                <w:b/>
                <w:sz w:val="21"/>
              </w:rPr>
              <w:t>遗传性疾病</w:t>
            </w:r>
          </w:p>
        </w:tc>
        <w:tc>
          <w:tcPr>
            <w:tcW w:w="7827" w:type="dxa"/>
          </w:tcPr>
          <w:p>
            <w:pPr>
              <w:pStyle w:val="TableParagraph"/>
              <w:spacing w:line="211" w:lineRule="exact"/>
              <w:ind w:left="130"/>
              <w:rPr>
                <w:sz w:val="21"/>
              </w:rPr>
            </w:pPr>
            <w:r>
              <w:rPr>
                <w:sz w:val="21"/>
              </w:rPr>
              <w:t>指生殖细胞或受精卵的遗传物质（染色体和基因）发生突变或畸变所引起的疾病，</w:t>
            </w:r>
          </w:p>
          <w:p>
            <w:pPr>
              <w:pStyle w:val="TableParagraph"/>
              <w:spacing w:before="37"/>
              <w:ind w:left="130"/>
              <w:rPr>
                <w:sz w:val="21"/>
              </w:rPr>
            </w:pPr>
            <w:r>
              <w:rPr>
                <w:sz w:val="21"/>
              </w:rPr>
              <w:t>通常具有由亲代传至后代的垂直传递的特征。</w:t>
            </w:r>
          </w:p>
        </w:tc>
      </w:tr>
      <w:tr>
        <w:trPr>
          <w:trHeight w:val="1183" w:hRule="atLeast"/>
        </w:trPr>
        <w:tc>
          <w:tcPr>
            <w:tcW w:w="862" w:type="dxa"/>
          </w:tcPr>
          <w:p>
            <w:pPr>
              <w:pStyle w:val="TableParagraph"/>
              <w:spacing w:before="111"/>
              <w:ind w:left="0" w:right="131"/>
              <w:jc w:val="right"/>
              <w:rPr>
                <w:b/>
                <w:sz w:val="21"/>
              </w:rPr>
            </w:pPr>
            <w:r>
              <w:rPr>
                <w:b/>
                <w:w w:val="95"/>
                <w:sz w:val="21"/>
              </w:rPr>
              <w:t>10.14</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3" w:lineRule="auto" w:before="111"/>
              <w:ind w:left="130" w:right="336"/>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专科医生</w:t>
            </w:r>
          </w:p>
        </w:tc>
        <w:tc>
          <w:tcPr>
            <w:tcW w:w="7827" w:type="dxa"/>
          </w:tcPr>
          <w:p>
            <w:pPr>
              <w:pStyle w:val="TableParagraph"/>
              <w:spacing w:before="110"/>
              <w:ind w:left="130"/>
              <w:rPr>
                <w:sz w:val="21"/>
              </w:rPr>
            </w:pPr>
            <w:r>
              <w:rPr>
                <w:sz w:val="21"/>
              </w:rPr>
              <w:t>专科医生应当同时满足以下四项资格条件：</w:t>
            </w:r>
          </w:p>
          <w:p>
            <w:pPr>
              <w:pStyle w:val="TableParagraph"/>
              <w:numPr>
                <w:ilvl w:val="0"/>
                <w:numId w:val="21"/>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1"/>
              </w:numPr>
              <w:tabs>
                <w:tab w:pos="868" w:val="left" w:leader="none"/>
                <w:tab w:pos="869" w:val="left" w:leader="none"/>
              </w:tabs>
              <w:spacing w:line="273" w:lineRule="auto" w:before="114"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1"/>
              </w:numPr>
              <w:tabs>
                <w:tab w:pos="833" w:val="left" w:leader="none"/>
              </w:tabs>
              <w:spacing w:line="271" w:lineRule="auto" w:before="87"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1"/>
              </w:numPr>
              <w:tabs>
                <w:tab w:pos="868" w:val="left" w:leader="none"/>
                <w:tab w:pos="869" w:val="left" w:leader="none"/>
              </w:tabs>
              <w:spacing w:line="240" w:lineRule="auto" w:before="88" w:after="0"/>
              <w:ind w:left="851" w:right="0" w:hanging="720"/>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line="271" w:lineRule="auto" w:before="111"/>
              <w:ind w:left="132" w:right="130"/>
              <w:rPr>
                <w:b/>
                <w:sz w:val="21"/>
              </w:rPr>
            </w:pPr>
            <w:r>
              <w:rPr>
                <w:b/>
                <w:sz w:val="21"/>
              </w:rPr>
              <w:t>肢体机能完全丧失</w:t>
            </w:r>
          </w:p>
        </w:tc>
        <w:tc>
          <w:tcPr>
            <w:tcW w:w="7827" w:type="dxa"/>
          </w:tcPr>
          <w:p>
            <w:pPr>
              <w:pStyle w:val="TableParagraph"/>
              <w:spacing w:line="271" w:lineRule="auto" w:before="111"/>
              <w:ind w:left="130" w:right="336"/>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827" w:type="dxa"/>
          </w:tcPr>
          <w:p>
            <w:pPr>
              <w:pStyle w:val="TableParagraph"/>
              <w:spacing w:line="273"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0" w:hRule="atLeast"/>
        </w:trPr>
        <w:tc>
          <w:tcPr>
            <w:tcW w:w="862" w:type="dxa"/>
          </w:tcPr>
          <w:p>
            <w:pPr>
              <w:pStyle w:val="TableParagraph"/>
              <w:spacing w:before="110"/>
              <w:ind w:left="0" w:right="131"/>
              <w:jc w:val="right"/>
              <w:rPr>
                <w:b/>
                <w:sz w:val="21"/>
              </w:rPr>
            </w:pPr>
            <w:r>
              <w:rPr>
                <w:b/>
                <w:sz w:val="21"/>
              </w:rPr>
              <w:t>10.19</w:t>
            </w:r>
          </w:p>
        </w:tc>
        <w:tc>
          <w:tcPr>
            <w:tcW w:w="1533" w:type="dxa"/>
          </w:tcPr>
          <w:p>
            <w:pPr>
              <w:pStyle w:val="TableParagraph"/>
              <w:spacing w:line="273" w:lineRule="auto" w:before="110"/>
              <w:ind w:left="132" w:right="130"/>
              <w:rPr>
                <w:b/>
                <w:sz w:val="21"/>
              </w:rPr>
            </w:pPr>
            <w:r>
              <w:rPr>
                <w:b/>
                <w:sz w:val="21"/>
              </w:rPr>
              <w:t>六项基本日常生活活动</w:t>
            </w:r>
          </w:p>
        </w:tc>
        <w:tc>
          <w:tcPr>
            <w:tcW w:w="7827" w:type="dxa"/>
          </w:tcPr>
          <w:p>
            <w:pPr>
              <w:pStyle w:val="TableParagraph"/>
              <w:spacing w:before="110"/>
              <w:ind w:left="130"/>
              <w:rPr>
                <w:sz w:val="21"/>
              </w:rPr>
            </w:pPr>
            <w:r>
              <w:rPr>
                <w:sz w:val="21"/>
              </w:rPr>
              <w:t>六项基本日常生活活动是指：</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2"/>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2"/>
              </w:numPr>
              <w:tabs>
                <w:tab w:pos="868" w:val="left" w:leader="none"/>
                <w:tab w:pos="869" w:val="left" w:leader="none"/>
              </w:tabs>
              <w:spacing w:line="240" w:lineRule="auto" w:before="115" w:after="0"/>
              <w:ind w:left="868" w:right="0" w:hanging="737"/>
              <w:jc w:val="left"/>
              <w:rPr>
                <w:sz w:val="21"/>
              </w:rPr>
            </w:pPr>
            <w:r>
              <w:rPr>
                <w:spacing w:val="-3"/>
                <w:sz w:val="21"/>
              </w:rPr>
              <w:t>进食：自己从已准备好的碗或碟中取食物放入口中；</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696" w:hRule="atLeast"/>
        </w:trPr>
        <w:tc>
          <w:tcPr>
            <w:tcW w:w="862" w:type="dxa"/>
          </w:tcPr>
          <w:p>
            <w:pPr>
              <w:pStyle w:val="TableParagraph"/>
              <w:spacing w:before="111"/>
              <w:ind w:left="0" w:right="131"/>
              <w:jc w:val="right"/>
              <w:rPr>
                <w:b/>
                <w:sz w:val="21"/>
              </w:rPr>
            </w:pPr>
            <w:r>
              <w:rPr>
                <w:b/>
                <w:sz w:val="21"/>
              </w:rPr>
              <w:t>10.20</w:t>
            </w:r>
          </w:p>
        </w:tc>
        <w:tc>
          <w:tcPr>
            <w:tcW w:w="1533" w:type="dxa"/>
          </w:tcPr>
          <w:p>
            <w:pPr>
              <w:pStyle w:val="TableParagraph"/>
              <w:spacing w:before="111"/>
              <w:ind w:left="132"/>
              <w:rPr>
                <w:b/>
                <w:sz w:val="21"/>
              </w:rPr>
            </w:pPr>
            <w:r>
              <w:rPr>
                <w:b/>
                <w:sz w:val="21"/>
              </w:rPr>
              <w:t>永久不可逆</w:t>
            </w:r>
          </w:p>
        </w:tc>
        <w:tc>
          <w:tcPr>
            <w:tcW w:w="7827" w:type="dxa"/>
          </w:tcPr>
          <w:p>
            <w:pPr>
              <w:pStyle w:val="TableParagraph"/>
              <w:spacing w:line="310" w:lineRule="atLeast" w:before="76"/>
              <w:ind w:left="130" w:right="336"/>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0">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9">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8">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7">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5">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4">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11">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1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6">
    <w:multiLevelType w:val="hybridMultilevel"/>
    <w:lvl w:ilvl="0">
      <w:start w:val="1"/>
      <w:numFmt w:val="decimal"/>
      <w:lvlText w:val="（%1）"/>
      <w:lvlJc w:val="left"/>
      <w:pPr>
        <w:ind w:left="875" w:hanging="738"/>
        <w:jc w:val="left"/>
      </w:pPr>
      <w:rPr>
        <w:rFonts w:hint="default" w:ascii="黑体" w:hAnsi="黑体" w:eastAsia="黑体" w:cs="黑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5">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
    <w:multiLevelType w:val="hybridMultilevel"/>
    <w:lvl w:ilvl="0">
      <w:start w:val="1"/>
      <w:numFmt w:val="decimal"/>
      <w:lvlText w:val="（%1）"/>
      <w:lvlJc w:val="left"/>
      <w:pPr>
        <w:ind w:left="852" w:hanging="721"/>
        <w:jc w:val="left"/>
      </w:pPr>
      <w:rPr>
        <w:rFonts w:hint="default" w:ascii="黑体" w:hAnsi="黑体" w:eastAsia="黑体" w:cs="黑体"/>
        <w:w w:val="99"/>
        <w:sz w:val="20"/>
        <w:szCs w:val="20"/>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2018-10-20T08:18:59Z</dcterms:created>
  <dcterms:modified xsi:type="dcterms:W3CDTF">2018-10-20T08:18:59Z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2018-10-20T00:00:00Z</vt:filetime>
  </property>
</Properties>
</file>