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175" w:right="0" w:firstLine="0"/>
        <w:jc w:val="left"/>
        <w:rPr>
          <w:rFonts w:ascii="微软雅黑" w:eastAsia="微软雅黑" w:hint="eastAsia"/>
          <w:b/>
          <w:sz w:val="28"/>
        </w:rPr>
      </w:pPr>
      <w:r>
        <w:rPr>
          <w:rFonts w:ascii="微软雅黑" w:eastAsia="微软雅黑" w:hint="eastAsia"/>
          <w:b/>
          <w:sz w:val="28"/>
        </w:rPr>
        <w:t>生命附加保得康重大疾病保险（</w:t>
      </w:r>
      <w:r>
        <w:rPr>
          <w:rFonts w:ascii="Times New Roman" w:eastAsia="Times New Roman"/>
          <w:b/>
          <w:sz w:val="28"/>
        </w:rPr>
        <w:t>B</w:t>
      </w:r>
      <w:r>
        <w:rPr>
          <w:rFonts w:ascii="Times New Roman" w:eastAsia="Times New Roman"/>
          <w:b/>
          <w:spacing w:val="63"/>
          <w:sz w:val="28"/>
        </w:rPr>
        <w:t> </w:t>
      </w:r>
      <w:r>
        <w:rPr>
          <w:rFonts w:ascii="微软雅黑" w:eastAsia="微软雅黑" w:hint="eastAsia"/>
          <w:b/>
          <w:sz w:val="28"/>
        </w:rPr>
        <w:t>款）</w:t>
      </w:r>
    </w:p>
    <w:p>
      <w:pPr>
        <w:pStyle w:val="BodyText"/>
        <w:spacing w:before="8"/>
        <w:rPr>
          <w:rFonts w:ascii="微软雅黑"/>
          <w:b/>
          <w:sz w:val="25"/>
        </w:rPr>
      </w:pPr>
    </w:p>
    <w:p>
      <w:pPr>
        <w:pStyle w:val="BodyText"/>
        <w:spacing w:before="0"/>
        <w:ind w:left="2411"/>
      </w:pPr>
      <w:r>
        <w:rPr>
          <w:rFonts w:ascii="Times New Roman" w:eastAsia="Times New Roman"/>
        </w:rPr>
        <w:t>2009 </w:t>
      </w:r>
      <w:r>
        <w:rPr/>
        <w:t>年 </w:t>
      </w:r>
      <w:r>
        <w:rPr>
          <w:rFonts w:ascii="Times New Roman" w:eastAsia="Times New Roman"/>
        </w:rPr>
        <w:t>9 </w:t>
      </w:r>
      <w:r>
        <w:rPr/>
        <w:t>月经中国保险监督管理委员会备案</w:t>
      </w:r>
    </w:p>
    <w:p>
      <w:pPr>
        <w:pStyle w:val="BodyText"/>
        <w:spacing w:line="271" w:lineRule="auto" w:before="60"/>
        <w:ind w:left="188" w:right="388"/>
      </w:pPr>
      <w:r>
        <w:rPr/>
        <w:br w:type="column"/>
      </w:r>
      <w:r>
        <w:rPr/>
        <w:t>生命人寿[2009] 疾病保险 055 号</w:t>
      </w:r>
    </w:p>
    <w:p>
      <w:pPr>
        <w:spacing w:after="0" w:line="271" w:lineRule="auto"/>
        <w:sectPr>
          <w:type w:val="continuous"/>
          <w:pgSz w:w="11910" w:h="16840"/>
          <w:pgMar w:top="1540" w:bottom="960" w:left="1600" w:right="1120"/>
          <w:cols w:num="2" w:equalWidth="0">
            <w:col w:w="6986" w:space="40"/>
            <w:col w:w="2164"/>
          </w:cols>
        </w:sectPr>
      </w:pPr>
    </w:p>
    <w:p>
      <w:pPr>
        <w:pStyle w:val="BodyText"/>
        <w:spacing w:before="2"/>
        <w:rPr>
          <w:sz w:val="25"/>
        </w:rPr>
      </w:pPr>
    </w:p>
    <w:p>
      <w:pPr>
        <w:pStyle w:val="Heading1"/>
        <w:spacing w:before="35"/>
        <w:ind w:left="101"/>
      </w:pPr>
      <w:r>
        <w:rPr/>
        <w:drawing>
          <wp:anchor distT="0" distB="0" distL="0" distR="0" allowOverlap="1" layoutInCell="1" locked="0" behindDoc="0" simplePos="0" relativeHeight="1048">
            <wp:simplePos x="0" y="0"/>
            <wp:positionH relativeFrom="page">
              <wp:posOffset>5738558</wp:posOffset>
            </wp:positionH>
            <wp:positionV relativeFrom="paragraph">
              <wp:posOffset>-504834</wp:posOffset>
            </wp:positionV>
            <wp:extent cx="731583" cy="7232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1583" cy="723265"/>
                    </a:xfrm>
                    <a:prstGeom prst="rect">
                      <a:avLst/>
                    </a:prstGeom>
                  </pic:spPr>
                </pic:pic>
              </a:graphicData>
            </a:graphic>
          </wp:anchor>
        </w:drawing>
      </w:r>
      <w:r>
        <w:rPr>
          <w:w w:val="95"/>
        </w:rPr>
        <w:t>本保险条款的每一部分都关乎您的切身利益，请务必逐条仔细阅读。</w:t>
      </w:r>
    </w:p>
    <w:p>
      <w:pPr>
        <w:tabs>
          <w:tab w:pos="6872" w:val="left" w:leader="none"/>
        </w:tabs>
        <w:spacing w:before="89"/>
        <w:ind w:left="0" w:right="6" w:firstLine="0"/>
        <w:jc w:val="center"/>
        <w:rPr>
          <w:sz w:val="21"/>
        </w:rPr>
      </w:pPr>
      <w:r>
        <w:rPr>
          <w:b/>
          <w:sz w:val="21"/>
        </w:rPr>
        <w:t>以下为阅读指引和条款目录，将有助于您阅读条款。</w:t>
        <w:tab/>
      </w:r>
      <w:r>
        <w:rPr>
          <w:position w:val="1"/>
          <w:sz w:val="21"/>
        </w:rPr>
        <w:t>请扫描以查询验证条款</w:t>
      </w:r>
    </w:p>
    <w:p>
      <w:pPr>
        <w:pStyle w:val="BodyText"/>
        <w:spacing w:before="0"/>
        <w:rPr>
          <w:sz w:val="22"/>
        </w:rPr>
      </w:pPr>
    </w:p>
    <w:p>
      <w:pPr>
        <w:pStyle w:val="BodyText"/>
        <w:spacing w:before="0"/>
        <w:rPr>
          <w:sz w:val="22"/>
        </w:rPr>
      </w:pPr>
    </w:p>
    <w:p>
      <w:pPr>
        <w:pStyle w:val="Heading1"/>
        <w:spacing w:before="176"/>
        <w:ind w:right="21"/>
        <w:jc w:val="center"/>
        <w:rPr>
          <w:rFonts w:ascii="微软雅黑" w:eastAsia="微软雅黑" w:hint="eastAsia"/>
        </w:rPr>
      </w:pPr>
      <w:r>
        <w:rPr>
          <w:rFonts w:ascii="微软雅黑" w:eastAsia="微软雅黑" w:hint="eastAsia"/>
        </w:rPr>
        <w:t>【 阅 读 指 引 】</w:t>
      </w:r>
    </w:p>
    <w:p>
      <w:pPr>
        <w:pStyle w:val="BodyText"/>
        <w:spacing w:before="8"/>
        <w:rPr>
          <w:rFonts w:ascii="微软雅黑"/>
          <w:b/>
          <w:sz w:val="16"/>
        </w:rPr>
      </w:pPr>
    </w:p>
    <w:p>
      <w:pPr>
        <w:spacing w:before="35"/>
        <w:ind w:left="0" w:right="20" w:firstLine="0"/>
        <w:jc w:val="center"/>
        <w:rPr>
          <w:b/>
          <w:sz w:val="21"/>
        </w:rPr>
      </w:pPr>
      <w:r>
        <w:rPr>
          <w:b/>
          <w:w w:val="95"/>
          <w:sz w:val="21"/>
        </w:rPr>
        <w:t>您享有的重要权益</w:t>
      </w:r>
    </w:p>
    <w:p>
      <w:pPr>
        <w:pStyle w:val="BodyText"/>
        <w:spacing w:before="10"/>
        <w:ind w:right="22"/>
        <w:jc w:val="center"/>
      </w:pPr>
      <w:r>
        <w:rPr/>
        <w:t>犹豫期内您可以选择撤销保险合同................................................ 第四条</w:t>
      </w:r>
    </w:p>
    <w:p>
      <w:pPr>
        <w:pStyle w:val="BodyText"/>
        <w:spacing w:before="37"/>
        <w:ind w:right="21"/>
        <w:jc w:val="center"/>
      </w:pPr>
      <w:r>
        <w:rPr/>
        <w:t>被保险人享有保险责任的保障.................................................... 第五条</w:t>
      </w:r>
    </w:p>
    <w:p>
      <w:pPr>
        <w:pStyle w:val="BodyText"/>
        <w:spacing w:before="11"/>
        <w:rPr>
          <w:sz w:val="23"/>
        </w:rPr>
      </w:pPr>
    </w:p>
    <w:p>
      <w:pPr>
        <w:pStyle w:val="Heading1"/>
        <w:ind w:right="22"/>
        <w:jc w:val="center"/>
      </w:pPr>
      <w:r>
        <w:rPr>
          <w:w w:val="95"/>
        </w:rPr>
        <w:t>您应当特别注意的事项</w:t>
      </w:r>
    </w:p>
    <w:p>
      <w:pPr>
        <w:pStyle w:val="BodyText"/>
        <w:spacing w:before="2"/>
        <w:rPr>
          <w:b/>
          <w:sz w:val="22"/>
        </w:rPr>
      </w:pPr>
    </w:p>
    <w:p>
      <w:pPr>
        <w:spacing w:before="0"/>
        <w:ind w:left="0" w:right="20" w:firstLine="0"/>
        <w:jc w:val="center"/>
        <w:rPr>
          <w:b/>
          <w:sz w:val="21"/>
        </w:rPr>
      </w:pPr>
      <w:r>
        <w:rPr>
          <w:b/>
          <w:sz w:val="21"/>
        </w:rPr>
        <w:t>在责任免除的情况下，我们不承担保险责任........................................ 第六条</w:t>
      </w:r>
    </w:p>
    <w:p>
      <w:pPr>
        <w:spacing w:before="36"/>
        <w:ind w:left="0" w:right="21" w:firstLine="0"/>
        <w:jc w:val="center"/>
        <w:rPr>
          <w:b/>
          <w:sz w:val="21"/>
        </w:rPr>
      </w:pPr>
      <w:r>
        <w:rPr>
          <w:b/>
          <w:sz w:val="21"/>
        </w:rPr>
        <w:t>请您特别注意“重大疾病的定义” ..............................................第十四条</w:t>
      </w:r>
    </w:p>
    <w:p>
      <w:pPr>
        <w:pStyle w:val="BodyText"/>
        <w:ind w:right="55"/>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spacing w:before="1"/>
        <w:ind w:right="21"/>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4655" w:val="left" w:leader="none"/>
          <w:tab w:pos="5499" w:val="left" w:leader="none"/>
        </w:tabs>
        <w:spacing w:before="0"/>
        <w:ind w:left="420" w:right="0" w:firstLine="0"/>
        <w:jc w:val="left"/>
        <w:rPr>
          <w:b/>
          <w:sz w:val="21"/>
        </w:rPr>
      </w:pPr>
      <w:r>
        <w:rPr/>
        <w:drawing>
          <wp:anchor distT="0" distB="0" distL="0" distR="0" allowOverlap="1" layoutInCell="1" locked="0" behindDoc="1" simplePos="0" relativeHeight="268423391">
            <wp:simplePos x="0" y="0"/>
            <wp:positionH relativeFrom="page">
              <wp:posOffset>3902201</wp:posOffset>
            </wp:positionH>
            <wp:positionV relativeFrom="paragraph">
              <wp:posOffset>13254</wp:posOffset>
            </wp:positionV>
            <wp:extent cx="6096" cy="177850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7"/>
                    </a:xfrm>
                    <a:prstGeom prst="rect">
                      <a:avLst/>
                    </a:prstGeom>
                  </pic:spPr>
                </pic:pic>
              </a:graphicData>
            </a:graphic>
          </wp:anchor>
        </w:drawing>
      </w:r>
      <w:r>
        <w:rPr>
          <w:b/>
          <w:sz w:val="21"/>
        </w:rPr>
        <w:t>第一章</w:t>
        <w:tab/>
        <w:t>保险合同的构成</w:t>
        <w:tab/>
        <w:t>第四章</w:t>
        <w:tab/>
      </w:r>
      <w:r>
        <w:rPr>
          <w:b/>
          <w:w w:val="95"/>
          <w:sz w:val="21"/>
        </w:rPr>
        <w:t>保险金的申请</w:t>
      </w:r>
    </w:p>
    <w:p>
      <w:pPr>
        <w:pStyle w:val="BodyText"/>
        <w:tabs>
          <w:tab w:pos="1681" w:val="left" w:leader="none"/>
          <w:tab w:pos="5075" w:val="left" w:leader="none"/>
          <w:tab w:pos="5916" w:val="left" w:leader="none"/>
        </w:tabs>
        <w:spacing w:before="5"/>
        <w:ind w:left="840"/>
      </w:pPr>
      <w:r>
        <w:rPr/>
        <w:t>第一条</w:t>
        <w:tab/>
        <w:t>保险合同的构成</w:t>
        <w:tab/>
        <w:t>第八条</w:t>
        <w:tab/>
      </w:r>
      <w:r>
        <w:rPr>
          <w:spacing w:val="-1"/>
        </w:rPr>
        <w:t>受益</w:t>
      </w:r>
      <w:r>
        <w:rPr/>
        <w:t>人的指定和变更</w:t>
      </w:r>
    </w:p>
    <w:p>
      <w:pPr>
        <w:pStyle w:val="BodyText"/>
        <w:tabs>
          <w:tab w:pos="1680" w:val="left" w:leader="none"/>
          <w:tab w:pos="5076" w:val="left" w:leader="none"/>
          <w:tab w:pos="5916" w:val="left" w:leader="none"/>
        </w:tabs>
        <w:spacing w:before="4"/>
        <w:ind w:left="840"/>
      </w:pPr>
      <w:r>
        <w:rPr/>
        <w:t>第二条</w:t>
        <w:tab/>
        <w:t>保险合同成立与生效</w:t>
        <w:tab/>
        <w:t>第九条</w:t>
        <w:tab/>
      </w:r>
      <w:r>
        <w:rPr>
          <w:spacing w:val="-1"/>
        </w:rPr>
        <w:t>保险</w:t>
      </w:r>
      <w:r>
        <w:rPr/>
        <w:t>金的申请</w:t>
      </w:r>
    </w:p>
    <w:p>
      <w:pPr>
        <w:pStyle w:val="BodyText"/>
        <w:tabs>
          <w:tab w:pos="1679" w:val="left" w:leader="none"/>
          <w:tab w:pos="4655" w:val="left" w:leader="none"/>
          <w:tab w:pos="5075" w:val="left" w:leader="none"/>
          <w:tab w:pos="5499" w:val="left" w:leader="none"/>
          <w:tab w:pos="5914" w:val="left" w:leader="none"/>
        </w:tabs>
        <w:spacing w:line="244" w:lineRule="auto" w:before="4"/>
        <w:ind w:left="840" w:right="2427"/>
        <w:rPr>
          <w:b/>
        </w:rPr>
      </w:pPr>
      <w:r>
        <w:rPr/>
        <w:t>第三条</w:t>
        <w:tab/>
        <w:t>保险期间</w:t>
        <w:tab/>
        <w:tab/>
        <w:t>第十条</w:t>
        <w:tab/>
        <w:t>司法鉴定第四条</w:t>
        <w:tab/>
        <w:t>犹豫期内撤销保险合同</w:t>
        <w:tab/>
      </w:r>
      <w:r>
        <w:rPr>
          <w:b/>
        </w:rPr>
        <w:t>第五章</w:t>
        <w:tab/>
      </w:r>
      <w:r>
        <w:rPr>
          <w:b/>
          <w:w w:val="95"/>
        </w:rPr>
        <w:t>一般约定</w:t>
      </w:r>
    </w:p>
    <w:p>
      <w:pPr>
        <w:tabs>
          <w:tab w:pos="1264" w:val="left" w:leader="none"/>
          <w:tab w:pos="1681" w:val="left" w:leader="none"/>
          <w:tab w:pos="5074" w:val="left" w:leader="none"/>
          <w:tab w:pos="6125" w:val="left" w:leader="none"/>
        </w:tabs>
        <w:spacing w:line="244" w:lineRule="auto" w:before="0"/>
        <w:ind w:left="840" w:right="956" w:hanging="420"/>
        <w:jc w:val="left"/>
        <w:rPr>
          <w:sz w:val="21"/>
        </w:rPr>
      </w:pPr>
      <w:r>
        <w:rPr>
          <w:b/>
          <w:sz w:val="21"/>
        </w:rPr>
        <w:t>第二章</w:t>
        <w:tab/>
        <w:t>保险合同提供的保障</w:t>
        <w:tab/>
      </w:r>
      <w:r>
        <w:rPr>
          <w:sz w:val="21"/>
        </w:rPr>
        <w:t>第十一条</w:t>
        <w:tab/>
      </w:r>
      <w:r>
        <w:rPr>
          <w:spacing w:val="-1"/>
          <w:sz w:val="21"/>
        </w:rPr>
        <w:t>年龄确定与错误处理</w:t>
      </w:r>
      <w:r>
        <w:rPr>
          <w:sz w:val="21"/>
        </w:rPr>
        <w:t> 第五条</w:t>
        <w:tab/>
        <w:t>保险责任</w:t>
        <w:tab/>
        <w:t>第十二条</w:t>
        <w:tab/>
        <w:t>投保人解除合同的手续</w:t>
      </w:r>
    </w:p>
    <w:p>
      <w:pPr>
        <w:tabs>
          <w:tab w:pos="1264" w:val="left" w:leader="none"/>
          <w:tab w:pos="1681" w:val="left" w:leader="none"/>
          <w:tab w:pos="5074" w:val="left" w:leader="none"/>
          <w:tab w:pos="6125" w:val="left" w:leader="none"/>
        </w:tabs>
        <w:spacing w:line="244" w:lineRule="auto" w:before="2"/>
        <w:ind w:left="420" w:right="1166" w:firstLine="420"/>
        <w:jc w:val="left"/>
        <w:rPr>
          <w:sz w:val="21"/>
        </w:rPr>
      </w:pPr>
      <w:r>
        <w:rPr>
          <w:sz w:val="21"/>
        </w:rPr>
        <w:t>第六条</w:t>
        <w:tab/>
        <w:t>责任免除</w:t>
        <w:tab/>
        <w:t>第十三条</w:t>
        <w:tab/>
        <w:t>附加保险合同的效力</w:t>
      </w:r>
      <w:r>
        <w:rPr>
          <w:b/>
          <w:sz w:val="21"/>
        </w:rPr>
        <w:t>第三章</w:t>
        <w:tab/>
        <w:t>风险保险费</w:t>
        <w:tab/>
      </w:r>
      <w:r>
        <w:rPr>
          <w:sz w:val="21"/>
        </w:rPr>
        <w:t>第十四条</w:t>
        <w:tab/>
        <w:t>重大疾病的定义</w:t>
      </w:r>
    </w:p>
    <w:p>
      <w:pPr>
        <w:pStyle w:val="BodyText"/>
        <w:tabs>
          <w:tab w:pos="1681" w:val="left" w:leader="none"/>
        </w:tabs>
        <w:spacing w:before="0"/>
        <w:ind w:left="840"/>
      </w:pPr>
      <w:r>
        <w:rPr/>
        <w:t>第七条</w:t>
        <w:tab/>
      </w:r>
      <w:r>
        <w:rPr>
          <w:spacing w:val="-1"/>
        </w:rPr>
        <w:t>风险</w:t>
      </w:r>
      <w:r>
        <w:rPr/>
        <w:t>保险费</w:t>
      </w:r>
    </w:p>
    <w:p>
      <w:pPr>
        <w:pStyle w:val="BodyText"/>
        <w:spacing w:before="0"/>
        <w:rPr>
          <w:sz w:val="20"/>
        </w:rPr>
      </w:pPr>
    </w:p>
    <w:p>
      <w:pPr>
        <w:pStyle w:val="BodyText"/>
        <w:spacing w:before="7"/>
        <w:rPr>
          <w:sz w:val="28"/>
        </w:rPr>
      </w:pPr>
    </w:p>
    <w:p>
      <w:pPr>
        <w:pStyle w:val="Heading1"/>
        <w:ind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10"/>
      </w:pPr>
      <w:r>
        <w:rPr>
          <w:spacing w:val="-2"/>
        </w:rPr>
        <w:t>生命附加保得康重大疾病保险</w:t>
      </w:r>
      <w:r>
        <w:rPr/>
        <w:t>（B</w:t>
      </w:r>
      <w:r>
        <w:rPr>
          <w:spacing w:val="-2"/>
        </w:rPr>
        <w:t> 款</w:t>
      </w:r>
      <w:r>
        <w:rPr>
          <w:spacing w:val="-25"/>
        </w:rPr>
        <w:t>）</w:t>
      </w:r>
      <w:r>
        <w:rPr>
          <w:spacing w:val="-2"/>
        </w:rPr>
        <w:t>合同(以下简称本附加合同)依本公司万能保险合同</w:t>
      </w:r>
      <w:r>
        <w:rPr/>
        <w:t>（以下简称主保险合同）投保人的申请，经生命人寿保险股份有限公司（以下简称本公司）同意， </w:t>
      </w:r>
      <w:r>
        <w:rPr>
          <w:spacing w:val="-8"/>
        </w:rPr>
        <w:t>附加于主保险合同后始为有效。本附加合同包括生命附加保得康重大疾病保险</w:t>
      </w:r>
      <w:r>
        <w:rPr/>
        <w:t>（B</w:t>
      </w:r>
      <w:r>
        <w:rPr>
          <w:spacing w:val="-1"/>
        </w:rPr>
        <w:t> 款</w:t>
      </w:r>
      <w:r>
        <w:rPr>
          <w:spacing w:val="-71"/>
        </w:rPr>
        <w:t>）</w:t>
      </w:r>
      <w:r>
        <w:rPr>
          <w:spacing w:val="-36"/>
        </w:rPr>
        <w:t>条款</w:t>
      </w:r>
      <w:r>
        <w:rPr/>
        <w:t>（以下简称本条款）和主保险合同中与本附加合同相关的内容和文件。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ind w:left="101"/>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81"/>
      </w:pPr>
      <w:r>
        <w:rPr/>
        <w:t>投保人在投保时可以与本公司约定本附加合同的生效日为主保险合同生效日或其后某个保险</w:t>
      </w:r>
      <w:r>
        <w:rPr>
          <w:w w:val="95"/>
        </w:rPr>
        <w:t>年度</w:t>
      </w:r>
      <w:r>
        <w:rPr>
          <w:rFonts w:ascii="Times New Roman" w:eastAsia="Times New Roman"/>
          <w:w w:val="95"/>
          <w:vertAlign w:val="superscript"/>
        </w:rPr>
        <w:t>1</w:t>
      </w:r>
      <w:r>
        <w:rPr>
          <w:rFonts w:ascii="Times New Roman" w:eastAsia="Times New Roman"/>
          <w:w w:val="95"/>
          <w:vertAlign w:val="baseline"/>
        </w:rPr>
      </w:r>
      <w:r>
        <w:rPr>
          <w:w w:val="95"/>
          <w:vertAlign w:val="baseline"/>
        </w:rPr>
        <w:t>的第一个结算日。本附加合同的生效日载明于保险单上。</w:t>
      </w:r>
    </w:p>
    <w:p>
      <w:pPr>
        <w:pStyle w:val="BodyText"/>
        <w:spacing w:line="264" w:lineRule="exact" w:before="0"/>
        <w:ind w:left="521"/>
      </w:pPr>
      <w:r>
        <w:rPr/>
        <w:t>本公司自本附加合同生效时开始承担保险责任。</w:t>
      </w:r>
    </w:p>
    <w:p>
      <w:pPr>
        <w:pStyle w:val="BodyText"/>
        <w:spacing w:before="9"/>
        <w:rPr>
          <w:sz w:val="26"/>
        </w:rPr>
      </w:pPr>
    </w:p>
    <w:p>
      <w:pPr>
        <w:pStyle w:val="Heading1"/>
        <w:tabs>
          <w:tab w:pos="941" w:val="left" w:leader="none"/>
        </w:tabs>
        <w:ind w:left="101"/>
      </w:pPr>
      <w:r>
        <w:rPr/>
        <w:t>第三条</w:t>
        <w:tab/>
        <w:t>保险期间</w:t>
      </w:r>
    </w:p>
    <w:p>
      <w:pPr>
        <w:pStyle w:val="BodyText"/>
        <w:spacing w:before="37"/>
        <w:ind w:left="470"/>
      </w:pPr>
      <w:r>
        <w:rPr/>
        <w:t>本附加合同的保险期间为终身。</w:t>
      </w:r>
    </w:p>
    <w:p>
      <w:pPr>
        <w:pStyle w:val="BodyText"/>
        <w:spacing w:before="8"/>
        <w:rPr>
          <w:sz w:val="26"/>
        </w:rPr>
      </w:pPr>
    </w:p>
    <w:p>
      <w:pPr>
        <w:pStyle w:val="Heading1"/>
        <w:tabs>
          <w:tab w:pos="941" w:val="left" w:leader="none"/>
        </w:tabs>
        <w:spacing w:before="1"/>
        <w:ind w:left="10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pPr>
      <w:r>
        <w:rPr/>
        <w:t>在本附加合同保险责任开始后的有效期内，本公司依照下列约定承担保险责任：</w:t>
      </w:r>
    </w:p>
    <w:p>
      <w:pPr>
        <w:pStyle w:val="BodyText"/>
        <w:spacing w:before="8"/>
        <w:rPr>
          <w:sz w:val="26"/>
        </w:rPr>
      </w:pPr>
    </w:p>
    <w:p>
      <w:pPr>
        <w:pStyle w:val="BodyText"/>
        <w:spacing w:before="0"/>
        <w:ind w:left="837"/>
      </w:pPr>
      <w:r>
        <w:rPr/>
        <w:t>一、本附加合同和主保险合同生效日为同一日的</w:t>
      </w:r>
    </w:p>
    <w:p>
      <w:pPr>
        <w:pStyle w:val="ListParagraph"/>
        <w:numPr>
          <w:ilvl w:val="0"/>
          <w:numId w:val="1"/>
        </w:numPr>
        <w:tabs>
          <w:tab w:pos="1362" w:val="left" w:leader="none"/>
        </w:tabs>
        <w:spacing w:line="273" w:lineRule="auto" w:before="36" w:after="0"/>
        <w:ind w:left="1361" w:right="181" w:hanging="360"/>
        <w:jc w:val="both"/>
        <w:rPr>
          <w:sz w:val="21"/>
        </w:rPr>
      </w:pPr>
      <w:r>
        <w:rPr>
          <w:sz w:val="21"/>
        </w:rPr>
        <w:t>若被保险人于本附加合同生效日起九十日内（含第九十日</w:t>
      </w:r>
      <w:r>
        <w:rPr>
          <w:spacing w:val="-106"/>
          <w:sz w:val="21"/>
        </w:rPr>
        <w:t>）</w:t>
      </w:r>
      <w:r>
        <w:rPr>
          <w:sz w:val="21"/>
        </w:rPr>
        <w:t>，因疾病导致首次达到本</w:t>
      </w:r>
      <w:r>
        <w:rPr>
          <w:spacing w:val="-5"/>
          <w:sz w:val="21"/>
        </w:rPr>
        <w:t>附加合同定义的重大疾病之疾病状态，或者因疾病导致被确诊首次患本附加合同定义</w:t>
      </w:r>
      <w:r>
        <w:rPr>
          <w:spacing w:val="-9"/>
          <w:sz w:val="21"/>
        </w:rPr>
        <w:t>的重大疾病或进行本附加合同定义的手术，本公司将向投保人无息退还主保险合同的</w:t>
      </w:r>
      <w:r>
        <w:rPr>
          <w:spacing w:val="-12"/>
          <w:sz w:val="21"/>
        </w:rPr>
        <w:t>已缴保险费，本附加合同终止，主保险合同同时终止。如果主保险合同发生过个人账户价值部分领取，将扣除实际领取金额。</w:t>
      </w:r>
    </w:p>
    <w:p>
      <w:pPr>
        <w:pStyle w:val="BodyText"/>
        <w:spacing w:before="5"/>
        <w:rPr>
          <w:sz w:val="24"/>
        </w:rPr>
      </w:pPr>
    </w:p>
    <w:p>
      <w:pPr>
        <w:pStyle w:val="ListParagraph"/>
        <w:numPr>
          <w:ilvl w:val="0"/>
          <w:numId w:val="1"/>
        </w:numPr>
        <w:tabs>
          <w:tab w:pos="1362" w:val="left" w:leader="none"/>
        </w:tabs>
        <w:spacing w:line="273" w:lineRule="auto" w:before="0" w:after="0"/>
        <w:ind w:left="1361" w:right="182" w:hanging="360"/>
        <w:jc w:val="both"/>
        <w:rPr>
          <w:sz w:val="21"/>
        </w:rPr>
      </w:pPr>
      <w:r>
        <w:rPr>
          <w:spacing w:val="-4"/>
          <w:sz w:val="21"/>
        </w:rPr>
        <w:t>若被保险人于本附加合同生效日起九十日后，因疾病导致首次达到本附加合同定义的</w:t>
      </w:r>
      <w:r>
        <w:rPr>
          <w:spacing w:val="-10"/>
          <w:sz w:val="21"/>
        </w:rPr>
        <w:t>重大疾病之疾病状态，或者因疾病导致被确诊首次患本附加合同定义的重大疾病或进</w:t>
      </w:r>
    </w:p>
    <w:p>
      <w:pPr>
        <w:pStyle w:val="BodyText"/>
        <w:spacing w:before="1"/>
        <w:rPr>
          <w:sz w:val="27"/>
        </w:rPr>
      </w:pPr>
      <w:r>
        <w:rPr/>
        <w:pict>
          <v:line style="position:absolute;mso-position-horizontal-relative:page;mso-position-vertical-relative:paragraph;z-index:1072;mso-wrap-distance-left:0;mso-wrap-distance-right:0" from="85.080002pt,19.999611pt" to="229.080002pt,19.999611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185" w:firstLine="0"/>
        <w:jc w:val="left"/>
        <w:rPr>
          <w:sz w:val="18"/>
        </w:rPr>
      </w:pPr>
      <w:r>
        <w:rPr>
          <w:spacing w:val="-6"/>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spacing w:after="0" w:line="240" w:lineRule="auto"/>
        <w:jc w:val="left"/>
        <w:rPr>
          <w:sz w:val="18"/>
        </w:rPr>
        <w:sectPr>
          <w:pgSz w:w="11910" w:h="16840"/>
          <w:pgMar w:header="0" w:footer="776" w:top="1180" w:bottom="960" w:left="1600" w:right="1060"/>
        </w:sectPr>
      </w:pPr>
    </w:p>
    <w:p>
      <w:pPr>
        <w:pStyle w:val="BodyText"/>
        <w:spacing w:line="273" w:lineRule="auto" w:before="12"/>
        <w:ind w:left="1361" w:right="182"/>
      </w:pPr>
      <w:r>
        <w:rPr>
          <w:spacing w:val="-7"/>
        </w:rPr>
        <w:t>行本附加合同定义的手术，本公司将按主保险合同当时的保险金额给付重大疾病保险金，本附加合同终止，主保险合同同时终止。</w:t>
      </w:r>
    </w:p>
    <w:p>
      <w:pPr>
        <w:pStyle w:val="ListParagraph"/>
        <w:numPr>
          <w:ilvl w:val="0"/>
          <w:numId w:val="1"/>
        </w:numPr>
        <w:tabs>
          <w:tab w:pos="1362" w:val="left" w:leader="none"/>
        </w:tabs>
        <w:spacing w:line="266" w:lineRule="auto" w:before="8" w:after="0"/>
        <w:ind w:left="1361" w:right="180" w:hanging="360"/>
        <w:jc w:val="both"/>
        <w:rPr>
          <w:sz w:val="21"/>
        </w:rPr>
      </w:pPr>
      <w:r>
        <w:rPr>
          <w:sz w:val="21"/>
        </w:rPr>
        <w:t>若被保险人因意外伤害事故</w:t>
      </w:r>
      <w:r>
        <w:rPr>
          <w:rFonts w:ascii="Times New Roman" w:eastAsia="Times New Roman"/>
          <w:sz w:val="21"/>
          <w:vertAlign w:val="superscript"/>
        </w:rPr>
        <w:t>2</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7"/>
          <w:sz w:val="21"/>
          <w:vertAlign w:val="baseline"/>
        </w:rPr>
        <w:t>同定义的手术，本公司将按主保险合同当时的保险金额给付重大疾病保险金，本附加合同终止，主保险合同同时终止。</w:t>
      </w:r>
    </w:p>
    <w:p>
      <w:pPr>
        <w:pStyle w:val="BodyText"/>
        <w:spacing w:before="12"/>
        <w:rPr>
          <w:sz w:val="24"/>
        </w:rPr>
      </w:pPr>
    </w:p>
    <w:p>
      <w:pPr>
        <w:pStyle w:val="BodyText"/>
        <w:spacing w:before="0"/>
        <w:ind w:left="837"/>
      </w:pPr>
      <w:r>
        <w:rPr/>
        <w:t>二、本附加合同的生效日为主保险合同生效日后某个保险年度的第一个结算日的</w:t>
      </w:r>
    </w:p>
    <w:p>
      <w:pPr>
        <w:pStyle w:val="ListParagraph"/>
        <w:numPr>
          <w:ilvl w:val="0"/>
          <w:numId w:val="3"/>
        </w:numPr>
        <w:tabs>
          <w:tab w:pos="1422" w:val="left" w:leader="none"/>
        </w:tabs>
        <w:spacing w:line="266" w:lineRule="auto" w:before="37" w:after="0"/>
        <w:ind w:left="1421" w:right="181" w:hanging="420"/>
        <w:jc w:val="both"/>
        <w:rPr>
          <w:sz w:val="21"/>
        </w:rPr>
      </w:pPr>
      <w:r>
        <w:rPr>
          <w:sz w:val="21"/>
        </w:rPr>
        <w:t>若被保险人在本附加合同生效日后，首次达到本附加合同定义的重大疾病之疾病状态，或者被确诊首次患本附加合同定义的重大疾病或进行本附加合同定义的手术</w:t>
      </w:r>
      <w:r>
        <w:rPr>
          <w:rFonts w:ascii="Times New Roman" w:eastAsia="Times New Roman"/>
          <w:sz w:val="21"/>
        </w:rPr>
        <w:t>,</w:t>
      </w:r>
      <w:r>
        <w:rPr>
          <w:sz w:val="21"/>
        </w:rPr>
        <w:t>本公司将按主保险合同当时的保险金额给付重大疾病保险金，本附加合同终止，主保险合同同时终止。</w:t>
      </w:r>
    </w:p>
    <w:p>
      <w:pPr>
        <w:pStyle w:val="BodyText"/>
        <w:spacing w:before="11"/>
        <w:rPr>
          <w:sz w:val="24"/>
        </w:rPr>
      </w:pPr>
    </w:p>
    <w:p>
      <w:pPr>
        <w:pStyle w:val="ListParagraph"/>
        <w:numPr>
          <w:ilvl w:val="0"/>
          <w:numId w:val="3"/>
        </w:numPr>
        <w:tabs>
          <w:tab w:pos="1421" w:val="left" w:leader="none"/>
          <w:tab w:pos="1422" w:val="left" w:leader="none"/>
        </w:tabs>
        <w:spacing w:line="266" w:lineRule="auto" w:before="1" w:after="0"/>
        <w:ind w:left="1421" w:right="103" w:hanging="420"/>
        <w:jc w:val="left"/>
        <w:rPr>
          <w:sz w:val="21"/>
        </w:rPr>
      </w:pPr>
      <w:r>
        <w:rPr>
          <w:sz w:val="21"/>
        </w:rPr>
        <w:t>若被保险人在主保险合同生效日后本附加合同生效日前，首次达到本附加合同定义的重大疾病之疾病状态，或者被确诊首次患本附加合同定义的重大疾病或进行本附加合同定义的手术</w:t>
      </w:r>
      <w:r>
        <w:rPr>
          <w:rFonts w:ascii="Times New Roman" w:eastAsia="Times New Roman"/>
          <w:sz w:val="21"/>
        </w:rPr>
        <w:t>,</w:t>
      </w:r>
      <w:r>
        <w:rPr>
          <w:spacing w:val="-6"/>
          <w:sz w:val="21"/>
        </w:rPr>
        <w:t>投保人可在下列两种方式中选择其中一种：</w:t>
      </w:r>
      <w:r>
        <w:rPr>
          <w:sz w:val="21"/>
        </w:rPr>
        <w:t>（</w:t>
      </w:r>
      <w:r>
        <w:rPr>
          <w:spacing w:val="-1"/>
          <w:sz w:val="21"/>
        </w:rPr>
        <w:t>投保人未做选择的，按照方式二处理）</w:t>
      </w:r>
    </w:p>
    <w:p>
      <w:pPr>
        <w:pStyle w:val="BodyText"/>
        <w:spacing w:line="273" w:lineRule="auto" w:before="14"/>
        <w:ind w:left="2577" w:right="180" w:hanging="840"/>
        <w:jc w:val="both"/>
      </w:pPr>
      <w:r>
        <w:rPr>
          <w:spacing w:val="-5"/>
        </w:rPr>
        <w:t>方式一：本附加合同解除，主保险合同终止，本公司退还主保险合同在被保险人</w:t>
      </w:r>
      <w:r>
        <w:rPr>
          <w:spacing w:val="-7"/>
        </w:rPr>
        <w:t>首次达到本附加合同定义的重大疾病之疾病状态，或者被确诊首次患本</w:t>
      </w:r>
      <w:r>
        <w:rPr>
          <w:spacing w:val="5"/>
        </w:rPr>
        <w:t>附加合同定义的重大疾病或进行本附加合同定义的手术时的个人账户</w:t>
      </w:r>
      <w:r>
        <w:rPr/>
        <w:t>价值；</w:t>
      </w:r>
    </w:p>
    <w:p>
      <w:pPr>
        <w:pStyle w:val="BodyText"/>
        <w:spacing w:line="273" w:lineRule="auto" w:before="7"/>
        <w:ind w:left="2577" w:right="182" w:hanging="840"/>
        <w:jc w:val="both"/>
      </w:pPr>
      <w:r>
        <w:rPr>
          <w:spacing w:val="-5"/>
        </w:rPr>
        <w:t>方式二：主保险合同继续有效，本附加合同在约定的日期生效，但已经达到的重</w:t>
      </w:r>
      <w:r>
        <w:rPr>
          <w:spacing w:val="-8"/>
        </w:rPr>
        <w:t>大疾病之疾病状态，或者已经确诊的重大疾病或进行的手术作为本附加合同的责任免除项目之一。</w:t>
      </w:r>
    </w:p>
    <w:p>
      <w:pPr>
        <w:pStyle w:val="BodyText"/>
        <w:spacing w:before="5"/>
        <w:rPr>
          <w:sz w:val="24"/>
        </w:rPr>
      </w:pPr>
    </w:p>
    <w:p>
      <w:pPr>
        <w:pStyle w:val="BodyText"/>
        <w:spacing w:before="0"/>
        <w:ind w:left="521"/>
      </w:pPr>
      <w:r>
        <w:rPr/>
        <w:t>本公司按上述约定退还保险费后，主保险合同个人账户价值即为零，主保险合同终止。</w:t>
      </w:r>
    </w:p>
    <w:p>
      <w:pPr>
        <w:pStyle w:val="BodyText"/>
        <w:spacing w:line="273" w:lineRule="auto" w:before="37"/>
        <w:ind w:left="521" w:right="110"/>
      </w:pPr>
      <w:r>
        <w:rPr/>
        <w:t>本公司所给付的重大疾病保险金中包含主保险合同个人账户价值。本公司给付重大疾病保险金后，主保险合同个人账户价值即为零，主保险合同终止。</w:t>
      </w:r>
    </w:p>
    <w:p>
      <w:pPr>
        <w:pStyle w:val="BodyText"/>
        <w:spacing w:before="5"/>
        <w:rPr>
          <w:sz w:val="24"/>
        </w:rPr>
      </w:pPr>
    </w:p>
    <w:p>
      <w:pPr>
        <w:pStyle w:val="Heading1"/>
        <w:tabs>
          <w:tab w:pos="941" w:val="left" w:leader="none"/>
        </w:tabs>
        <w:ind w:left="101"/>
      </w:pPr>
      <w:r>
        <w:rPr/>
        <w:t>第六条</w:t>
        <w:tab/>
        <w:t>责任免除</w:t>
      </w:r>
    </w:p>
    <w:p>
      <w:pPr>
        <w:spacing w:line="273" w:lineRule="auto" w:before="36"/>
        <w:ind w:left="521" w:right="208" w:firstLine="0"/>
        <w:jc w:val="left"/>
        <w:rPr>
          <w:b/>
          <w:sz w:val="21"/>
        </w:rPr>
      </w:pPr>
      <w:r>
        <w:rPr>
          <w:b/>
          <w:sz w:val="21"/>
        </w:rPr>
        <w:t>因下列情形之一，导致被保险人达到本附加合同定义的重大疾病之疾病状态，或者被确诊首</w:t>
      </w:r>
      <w:r>
        <w:rPr>
          <w:b/>
          <w:w w:val="95"/>
          <w:sz w:val="21"/>
        </w:rPr>
        <w:t>次患本附加合同定义的重大疾病或进行本附加合同定义的手术的，本公司不承担保险责任：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3</w:t>
      </w:r>
      <w:r>
        <w:rPr>
          <w:b/>
          <w:sz w:val="21"/>
        </w:rPr>
        <w:t>；</w:t>
      </w:r>
    </w:p>
    <w:p>
      <w:pPr>
        <w:spacing w:before="36"/>
        <w:ind w:left="821" w:right="0" w:firstLine="0"/>
        <w:jc w:val="left"/>
        <w:rPr>
          <w:b/>
          <w:sz w:val="21"/>
        </w:rPr>
      </w:pPr>
      <w:r>
        <w:rPr>
          <w:b/>
          <w:sz w:val="21"/>
        </w:rPr>
        <w:t>五、 被保险人酒后驾驶</w:t>
      </w:r>
      <w:r>
        <w:rPr>
          <w:b/>
          <w:position w:val="11"/>
          <w:sz w:val="11"/>
        </w:rPr>
        <w:t>4</w:t>
      </w:r>
      <w:r>
        <w:rPr>
          <w:b/>
          <w:sz w:val="21"/>
        </w:rPr>
        <w:t>，无合法有效驾驶证驾驶</w:t>
      </w:r>
      <w:r>
        <w:rPr>
          <w:b/>
          <w:position w:val="11"/>
          <w:sz w:val="11"/>
        </w:rPr>
        <w:t>5</w:t>
      </w:r>
      <w:r>
        <w:rPr>
          <w:b/>
          <w:sz w:val="21"/>
        </w:rPr>
        <w:t>，或驾驶无有效行驶证</w:t>
      </w:r>
      <w:r>
        <w:rPr>
          <w:b/>
          <w:position w:val="11"/>
          <w:sz w:val="11"/>
        </w:rPr>
        <w:t>6</w:t>
      </w:r>
      <w:r>
        <w:rPr>
          <w:b/>
          <w:sz w:val="21"/>
        </w:rPr>
        <w:t>的机动车；</w:t>
      </w:r>
    </w:p>
    <w:p>
      <w:pPr>
        <w:pStyle w:val="BodyText"/>
        <w:spacing w:before="10"/>
        <w:rPr>
          <w:b/>
          <w:sz w:val="28"/>
        </w:rPr>
      </w:pPr>
      <w:r>
        <w:rPr/>
        <w:pict>
          <v:line style="position:absolute;mso-position-horizontal-relative:page;mso-position-vertical-relative:paragraph;z-index:1096;mso-wrap-distance-left:0;mso-wrap-distance-right:0" from="85.080002pt,21.088263pt" to="229.080002pt,21.088263pt" stroked="true" strokeweight=".53999pt" strokecolor="#000000">
            <v:stroke dashstyle="solid"/>
            <w10:wrap type="topAndBottom"/>
          </v:line>
        </w:pict>
      </w:r>
    </w:p>
    <w:p>
      <w:pPr>
        <w:pStyle w:val="ListParagraph"/>
        <w:numPr>
          <w:ilvl w:val="0"/>
          <w:numId w:val="2"/>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5" w:lineRule="exact" w:before="0"/>
        <w:ind w:left="101" w:right="0" w:firstLine="0"/>
        <w:jc w:val="both"/>
        <w:rPr>
          <w:sz w:val="18"/>
        </w:rPr>
      </w:pPr>
      <w:r>
        <w:rPr>
          <w:sz w:val="18"/>
        </w:rPr>
        <w:t>（3）持审验不合格的驾驶证驾驶；</w:t>
      </w:r>
    </w:p>
    <w:p>
      <w:pPr>
        <w:spacing w:after="0" w:line="235" w:lineRule="exact"/>
        <w:jc w:val="both"/>
        <w:rPr>
          <w:sz w:val="18"/>
        </w:rPr>
        <w:sectPr>
          <w:pgSz w:w="11910" w:h="16840"/>
          <w:pgMar w:header="0" w:footer="776" w:top="1220" w:bottom="960" w:left="1600" w:right="1060"/>
        </w:sectPr>
      </w:pPr>
    </w:p>
    <w:p>
      <w:pPr>
        <w:pStyle w:val="Heading1"/>
        <w:spacing w:line="273" w:lineRule="auto" w:before="12"/>
        <w:ind w:left="821" w:right="4510"/>
      </w:pPr>
      <w:r>
        <w:rPr/>
        <w:t>六、 战争、军事冲突、暴乱或武装叛乱； 七、 核爆炸、核辐射或核污染；</w:t>
      </w:r>
    </w:p>
    <w:p>
      <w:pPr>
        <w:spacing w:before="8"/>
        <w:ind w:left="821" w:right="0" w:firstLine="0"/>
        <w:jc w:val="left"/>
        <w:rPr>
          <w:b/>
          <w:sz w:val="21"/>
        </w:rPr>
      </w:pPr>
      <w:r>
        <w:rPr>
          <w:b/>
          <w:sz w:val="21"/>
        </w:rPr>
        <w:t>八、 被保险人感染艾滋病病毒</w:t>
      </w:r>
      <w:r>
        <w:rPr>
          <w:b/>
          <w:position w:val="11"/>
          <w:sz w:val="11"/>
        </w:rPr>
        <w:t>7</w:t>
      </w:r>
      <w:r>
        <w:rPr>
          <w:b/>
          <w:sz w:val="21"/>
        </w:rPr>
        <w:t>或患艾滋病</w:t>
      </w:r>
      <w:r>
        <w:rPr>
          <w:b/>
          <w:position w:val="11"/>
          <w:sz w:val="11"/>
        </w:rPr>
        <w:t>8</w:t>
      </w:r>
      <w:r>
        <w:rPr>
          <w:b/>
          <w:sz w:val="21"/>
        </w:rPr>
        <w:t>；</w:t>
      </w:r>
    </w:p>
    <w:p>
      <w:pPr>
        <w:spacing w:before="37"/>
        <w:ind w:left="821" w:right="0" w:firstLine="0"/>
        <w:jc w:val="left"/>
        <w:rPr>
          <w:b/>
          <w:sz w:val="21"/>
        </w:rPr>
      </w:pPr>
      <w:r>
        <w:rPr>
          <w:b/>
          <w:sz w:val="21"/>
        </w:rPr>
        <w:t>九、 遗传性疾病</w:t>
      </w:r>
      <w:r>
        <w:rPr>
          <w:b/>
          <w:position w:val="11"/>
          <w:sz w:val="11"/>
        </w:rPr>
        <w:t>9</w:t>
      </w:r>
      <w:r>
        <w:rPr>
          <w:b/>
          <w:sz w:val="21"/>
        </w:rPr>
        <w:t>，先天性畸形、变形或染色体异常</w:t>
      </w:r>
      <w:r>
        <w:rPr>
          <w:b/>
          <w:position w:val="11"/>
          <w:sz w:val="11"/>
        </w:rPr>
        <w:t>10</w:t>
      </w:r>
      <w:r>
        <w:rPr>
          <w:b/>
          <w:sz w:val="21"/>
        </w:rPr>
        <w:t>。</w:t>
      </w:r>
    </w:p>
    <w:p>
      <w:pPr>
        <w:pStyle w:val="BodyText"/>
        <w:spacing w:before="0"/>
        <w:rPr>
          <w:b/>
          <w:sz w:val="22"/>
        </w:rPr>
      </w:pPr>
    </w:p>
    <w:p>
      <w:pPr>
        <w:pStyle w:val="BodyText"/>
        <w:spacing w:before="6"/>
        <w:rPr>
          <w:b/>
          <w:sz w:val="28"/>
        </w:rPr>
      </w:pPr>
    </w:p>
    <w:p>
      <w:pPr>
        <w:tabs>
          <w:tab w:pos="843" w:val="left" w:leader="none"/>
        </w:tabs>
        <w:spacing w:before="0"/>
        <w:ind w:left="0" w:right="80" w:firstLine="0"/>
        <w:jc w:val="center"/>
        <w:rPr>
          <w:b/>
          <w:sz w:val="21"/>
        </w:rPr>
      </w:pPr>
      <w:r>
        <w:rPr>
          <w:b/>
          <w:sz w:val="21"/>
        </w:rPr>
        <w:t>第三章</w:t>
        <w:tab/>
      </w:r>
      <w:r>
        <w:rPr>
          <w:b/>
          <w:w w:val="95"/>
          <w:sz w:val="21"/>
        </w:rPr>
        <w:t>风险保险费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风险保险费</w:t>
      </w:r>
    </w:p>
    <w:p>
      <w:pPr>
        <w:pStyle w:val="BodyText"/>
        <w:spacing w:line="273" w:lineRule="auto" w:before="37"/>
        <w:ind w:left="521" w:right="101" w:hanging="1"/>
      </w:pPr>
      <w:r>
        <w:rPr/>
        <w:t>本附加合同生效后，本公司将按照主保险合同周年日</w:t>
      </w:r>
      <w:r>
        <w:rPr>
          <w:position w:val="11"/>
          <w:sz w:val="11"/>
        </w:rPr>
        <w:t>11</w:t>
      </w:r>
      <w:r>
        <w:rPr/>
        <w:t>被保险人的周岁</w:t>
      </w:r>
      <w:r>
        <w:rPr>
          <w:position w:val="11"/>
          <w:sz w:val="11"/>
        </w:rPr>
        <w:t>12</w:t>
      </w:r>
      <w:r>
        <w:rPr/>
        <w:t>年龄收取风险保险费。本附加合同风险保险费缴付方式同主保险合同，每月随同主保险合同风险保险费一起从主保险合同个人账户价值中收取。</w:t>
      </w:r>
    </w:p>
    <w:p>
      <w:pPr>
        <w:pStyle w:val="BodyText"/>
        <w:spacing w:before="5"/>
        <w:rPr>
          <w:sz w:val="24"/>
        </w:rPr>
      </w:pPr>
    </w:p>
    <w:p>
      <w:pPr>
        <w:pStyle w:val="BodyText"/>
        <w:spacing w:before="1"/>
        <w:ind w:left="521"/>
      </w:pPr>
      <w:r>
        <w:rPr/>
        <w:t>本附加合同当月风险保险费 = 风险保额/1000×本附加合同当月风险保险费费率</w:t>
      </w:r>
      <w:r>
        <w:rPr>
          <w:position w:val="11"/>
          <w:sz w:val="11"/>
        </w:rPr>
        <w:t>13</w:t>
      </w:r>
      <w:r>
        <w:rPr/>
        <w:t>。</w:t>
      </w:r>
    </w:p>
    <w:p>
      <w:pPr>
        <w:pStyle w:val="BodyText"/>
        <w:spacing w:line="273" w:lineRule="auto" w:before="37"/>
        <w:ind w:left="1677" w:right="321" w:hanging="1156"/>
      </w:pPr>
      <w:r>
        <w:rPr/>
        <w:t>风险保额 = 主保险合同结算日保险金额 - 主保险合同扣除当月保单管理费后的结算日个人账户价值</w:t>
      </w:r>
    </w:p>
    <w:p>
      <w:pPr>
        <w:pStyle w:val="BodyText"/>
        <w:spacing w:before="0"/>
        <w:rPr>
          <w:sz w:val="20"/>
        </w:rPr>
      </w:pPr>
    </w:p>
    <w:p>
      <w:pPr>
        <w:pStyle w:val="BodyText"/>
        <w:spacing w:before="3"/>
        <w:rPr>
          <w:sz w:val="28"/>
        </w:rPr>
      </w:pPr>
    </w:p>
    <w:p>
      <w:pPr>
        <w:pStyle w:val="Heading1"/>
        <w:ind w:right="80"/>
        <w:jc w:val="center"/>
      </w:pPr>
      <w:r>
        <w:rPr/>
        <w:t>第四章 保险金的申请</w:t>
      </w:r>
    </w:p>
    <w:p>
      <w:pPr>
        <w:pStyle w:val="BodyText"/>
        <w:spacing w:before="8"/>
        <w:rPr>
          <w:b/>
          <w:sz w:val="26"/>
        </w:rPr>
      </w:pPr>
    </w:p>
    <w:p>
      <w:pPr>
        <w:tabs>
          <w:tab w:pos="941" w:val="left" w:leader="none"/>
        </w:tabs>
        <w:spacing w:before="0"/>
        <w:ind w:left="101" w:right="0" w:firstLine="0"/>
        <w:jc w:val="left"/>
        <w:rPr>
          <w:b/>
          <w:sz w:val="21"/>
        </w:rPr>
      </w:pPr>
      <w:r>
        <w:rPr>
          <w:b/>
          <w:sz w:val="21"/>
        </w:rPr>
        <w:t>第八条</w:t>
        <w:tab/>
      </w:r>
      <w:r>
        <w:rPr>
          <w:b/>
          <w:w w:val="95"/>
          <w:sz w:val="21"/>
        </w:rPr>
        <w:t>受益人的指定和变更</w:t>
      </w:r>
    </w:p>
    <w:p>
      <w:pPr>
        <w:pStyle w:val="BodyText"/>
        <w:ind w:left="521"/>
      </w:pPr>
      <w:r>
        <w:rPr/>
        <w:t>本附加合同受益人约定为被保险人本人。</w:t>
      </w:r>
    </w:p>
    <w:p>
      <w:pPr>
        <w:pStyle w:val="BodyText"/>
        <w:spacing w:line="273" w:lineRule="auto"/>
        <w:ind w:left="521" w:right="18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before="8"/>
        <w:rPr>
          <w:sz w:val="26"/>
        </w:rPr>
      </w:pPr>
    </w:p>
    <w:p>
      <w:pPr>
        <w:pStyle w:val="Heading1"/>
        <w:tabs>
          <w:tab w:pos="941" w:val="left" w:leader="none"/>
        </w:tabs>
        <w:ind w:left="101"/>
      </w:pPr>
      <w:r>
        <w:rPr/>
        <w:t>第九条</w:t>
        <w:tab/>
      </w:r>
      <w:r>
        <w:rPr>
          <w:w w:val="95"/>
        </w:rPr>
        <w:t>保险金的申请</w:t>
      </w:r>
    </w:p>
    <w:p>
      <w:pPr>
        <w:pStyle w:val="BodyText"/>
        <w:ind w:left="461"/>
      </w:pPr>
      <w:r>
        <w:rPr/>
        <w:t>一、 重大疾病保险金给付的申请</w:t>
      </w:r>
    </w:p>
    <w:p>
      <w:pPr>
        <w:pStyle w:val="BodyText"/>
        <w:ind w:left="941"/>
      </w:pPr>
      <w:r>
        <w:rPr/>
        <w:t>在申请重大疾病保险金时，申请人须提供下列证明和资料：</w:t>
      </w:r>
    </w:p>
    <w:p>
      <w:pPr>
        <w:pStyle w:val="ListParagraph"/>
        <w:numPr>
          <w:ilvl w:val="1"/>
          <w:numId w:val="2"/>
        </w:numPr>
        <w:tabs>
          <w:tab w:pos="1362" w:val="left" w:leader="none"/>
        </w:tabs>
        <w:spacing w:line="240" w:lineRule="auto" w:before="36" w:after="0"/>
        <w:ind w:left="1361" w:right="0" w:hanging="360"/>
        <w:jc w:val="left"/>
        <w:rPr>
          <w:sz w:val="21"/>
        </w:rPr>
      </w:pPr>
      <w:r>
        <w:rPr>
          <w:sz w:val="21"/>
        </w:rPr>
        <w:t>保险金给付申请书；</w:t>
      </w:r>
    </w:p>
    <w:p>
      <w:pPr>
        <w:pStyle w:val="ListParagraph"/>
        <w:numPr>
          <w:ilvl w:val="1"/>
          <w:numId w:val="2"/>
        </w:numPr>
        <w:tabs>
          <w:tab w:pos="1362" w:val="left" w:leader="none"/>
        </w:tabs>
        <w:spacing w:line="240" w:lineRule="auto" w:before="36" w:after="0"/>
        <w:ind w:left="1361" w:right="0" w:hanging="360"/>
        <w:jc w:val="left"/>
        <w:rPr>
          <w:sz w:val="21"/>
        </w:rPr>
      </w:pPr>
      <w:r>
        <w:rPr>
          <w:sz w:val="21"/>
        </w:rPr>
        <w:t>本附加合同原件及主保险合同原件，或其他保险凭证；</w:t>
      </w:r>
    </w:p>
    <w:p>
      <w:pPr>
        <w:pStyle w:val="ListParagraph"/>
        <w:numPr>
          <w:ilvl w:val="1"/>
          <w:numId w:val="2"/>
        </w:numPr>
        <w:tabs>
          <w:tab w:pos="1362" w:val="left" w:leader="none"/>
        </w:tabs>
        <w:spacing w:line="240" w:lineRule="auto" w:before="36" w:after="0"/>
        <w:ind w:left="1361" w:right="0" w:hanging="360"/>
        <w:jc w:val="left"/>
        <w:rPr>
          <w:sz w:val="21"/>
        </w:rPr>
      </w:pPr>
      <w:r>
        <w:rPr>
          <w:sz w:val="21"/>
        </w:rPr>
        <w:t>受益人的户籍证明与身份证件；</w:t>
      </w:r>
    </w:p>
    <w:p>
      <w:pPr>
        <w:pStyle w:val="BodyText"/>
        <w:spacing w:before="1"/>
        <w:rPr>
          <w:sz w:val="23"/>
        </w:rPr>
      </w:pPr>
      <w:r>
        <w:rPr/>
        <w:pict>
          <v:line style="position:absolute;mso-position-horizontal-relative:page;mso-position-vertical-relative:paragraph;z-index:1120;mso-wrap-distance-left:0;mso-wrap-distance-right:0" from="85.080002pt,17.373632pt" to="532.980002pt,17.373632pt" stroked="true" strokeweight=".54001pt" strokecolor="#000000">
            <v:stroke dashstyle="solid"/>
            <w10:wrap type="topAndBottom"/>
          </v:line>
        </w:pict>
      </w:r>
    </w:p>
    <w:p>
      <w:pPr>
        <w:spacing w:line="235" w:lineRule="exact" w:before="30"/>
        <w:ind w:left="101" w:right="0" w:firstLine="0"/>
        <w:jc w:val="left"/>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4" w:lineRule="exact" w:before="0" w:after="0"/>
        <w:ind w:left="101" w:right="0" w:firstLine="0"/>
        <w:jc w:val="left"/>
        <w:rPr>
          <w:sz w:val="18"/>
        </w:rPr>
      </w:pPr>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2"/>
        </w:numPr>
        <w:tabs>
          <w:tab w:pos="282" w:val="left" w:leader="none"/>
        </w:tabs>
        <w:spacing w:line="237" w:lineRule="auto" w:before="1"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2"/>
        </w:numPr>
        <w:tabs>
          <w:tab w:pos="282" w:val="left" w:leader="none"/>
        </w:tabs>
        <w:spacing w:line="237" w:lineRule="auto" w:before="0" w:after="0"/>
        <w:ind w:left="101" w:right="18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282" w:val="left" w:leader="none"/>
        </w:tabs>
        <w:spacing w:line="237" w:lineRule="auto" w:before="0" w:after="0"/>
        <w:ind w:left="10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23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23" w:lineRule="auto" w:before="16" w:after="0"/>
        <w:ind w:left="101" w:right="230" w:firstLine="0"/>
        <w:jc w:val="left"/>
        <w:rPr>
          <w:rFonts w:ascii="Times New Roman" w:eastAsia="Times New Roman"/>
          <w:sz w:val="18"/>
        </w:rPr>
      </w:pPr>
      <w:r>
        <w:rPr>
          <w:sz w:val="18"/>
        </w:rPr>
        <w:t>保险合同周年日：指保险合同生效日以后每年对应于保险合同生效日的日期。生效日为闰年二月二十九日的， 以后非闰年对应于生效日的日期为二月二十八日。</w:t>
      </w:r>
    </w:p>
    <w:p>
      <w:pPr>
        <w:pStyle w:val="ListParagraph"/>
        <w:numPr>
          <w:ilvl w:val="0"/>
          <w:numId w:val="2"/>
        </w:numPr>
        <w:tabs>
          <w:tab w:pos="372" w:val="left" w:leader="none"/>
        </w:tabs>
        <w:spacing w:line="239" w:lineRule="exact" w:before="0" w:after="0"/>
        <w:ind w:left="371" w:right="0" w:hanging="270"/>
        <w:jc w:val="left"/>
        <w:rPr>
          <w:rFonts w:ascii="Times New Roman" w:eastAsia="Times New Roman"/>
          <w:sz w:val="18"/>
        </w:rPr>
      </w:pPr>
      <w:r>
        <w:rPr>
          <w:sz w:val="18"/>
        </w:rPr>
        <w:t>周岁：指以法定身份证件中记载的出生日期为基础计算的年龄。</w:t>
      </w:r>
    </w:p>
    <w:p>
      <w:pPr>
        <w:pStyle w:val="ListParagraph"/>
        <w:numPr>
          <w:ilvl w:val="0"/>
          <w:numId w:val="2"/>
        </w:numPr>
        <w:tabs>
          <w:tab w:pos="372" w:val="left" w:leader="none"/>
        </w:tabs>
        <w:spacing w:line="225" w:lineRule="auto" w:before="6" w:after="0"/>
        <w:ind w:left="101" w:right="230" w:firstLine="0"/>
        <w:jc w:val="left"/>
        <w:rPr>
          <w:rFonts w:ascii="Times New Roman" w:eastAsia="Times New Roman"/>
          <w:sz w:val="18"/>
        </w:rPr>
      </w:pPr>
      <w:r>
        <w:rPr>
          <w:sz w:val="18"/>
        </w:rPr>
        <w:t>本附加合同当月风险保险费费率：具体费率依照本附加合同所附的《年风险保险费费率表》中的年风险保险费费率计算得出，月风险保险费计算时四舍五入到分。</w:t>
      </w:r>
    </w:p>
    <w:p>
      <w:pPr>
        <w:spacing w:after="0" w:line="225" w:lineRule="auto"/>
        <w:jc w:val="left"/>
        <w:rPr>
          <w:rFonts w:ascii="Times New Roman" w:eastAsia="Times New Roman"/>
          <w:sz w:val="18"/>
        </w:rPr>
        <w:sectPr>
          <w:pgSz w:w="11910" w:h="16840"/>
          <w:pgMar w:header="0" w:footer="776" w:top="1220" w:bottom="960" w:left="1600" w:right="1060"/>
        </w:sectPr>
      </w:pPr>
    </w:p>
    <w:p>
      <w:pPr>
        <w:pStyle w:val="ListParagraph"/>
        <w:numPr>
          <w:ilvl w:val="0"/>
          <w:numId w:val="4"/>
        </w:numPr>
        <w:tabs>
          <w:tab w:pos="1362" w:val="left" w:leader="none"/>
        </w:tabs>
        <w:spacing w:line="273" w:lineRule="auto" w:before="32" w:after="0"/>
        <w:ind w:left="1361" w:right="230" w:hanging="360"/>
        <w:jc w:val="left"/>
        <w:rPr>
          <w:sz w:val="21"/>
        </w:rPr>
      </w:pPr>
      <w:r>
        <w:rPr>
          <w:sz w:val="21"/>
        </w:rPr>
        <w:t>由医院</w:t>
      </w:r>
      <w:r>
        <w:rPr>
          <w:position w:val="11"/>
          <w:sz w:val="11"/>
        </w:rPr>
        <w:t>14</w:t>
      </w:r>
      <w:r>
        <w:rPr>
          <w:sz w:val="21"/>
        </w:rPr>
        <w:t>出具的可证明被保险人患重大疾病的诊断证明书和诊断所患重大疾病必需的检查报告；</w:t>
      </w:r>
    </w:p>
    <w:p>
      <w:pPr>
        <w:pStyle w:val="ListParagraph"/>
        <w:numPr>
          <w:ilvl w:val="0"/>
          <w:numId w:val="4"/>
        </w:numPr>
        <w:tabs>
          <w:tab w:pos="1362" w:val="left" w:leader="none"/>
        </w:tabs>
        <w:spacing w:line="240" w:lineRule="auto" w:before="8" w:after="0"/>
        <w:ind w:left="1361" w:right="0" w:hanging="360"/>
        <w:jc w:val="left"/>
        <w:rPr>
          <w:sz w:val="21"/>
        </w:rPr>
      </w:pPr>
      <w:r>
        <w:rPr>
          <w:sz w:val="21"/>
        </w:rPr>
        <w:t>受益人所能提供的与确认保险事故的性质、原因等相关的其他证明、资料；</w:t>
      </w:r>
    </w:p>
    <w:p>
      <w:pPr>
        <w:pStyle w:val="ListParagraph"/>
        <w:numPr>
          <w:ilvl w:val="0"/>
          <w:numId w:val="4"/>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0"/>
        <w:rPr>
          <w:sz w:val="20"/>
        </w:rPr>
      </w:pPr>
    </w:p>
    <w:p>
      <w:pPr>
        <w:pStyle w:val="BodyText"/>
        <w:spacing w:line="273" w:lineRule="auto" w:before="171"/>
        <w:ind w:left="521" w:right="130"/>
      </w:pPr>
      <w:r>
        <w:rPr/>
        <w:t>以上保险金申请所提交的证明和资料不完整的，本公司将及时一次性通知申请人补充提供有关证明和资料。</w:t>
      </w:r>
    </w:p>
    <w:p>
      <w:pPr>
        <w:pStyle w:val="BodyText"/>
        <w:spacing w:before="7"/>
        <w:rPr>
          <w:sz w:val="29"/>
        </w:rPr>
      </w:pPr>
    </w:p>
    <w:p>
      <w:pPr>
        <w:pStyle w:val="BodyText"/>
        <w:spacing w:line="237" w:lineRule="auto" w:before="0"/>
        <w:ind w:left="941" w:right="202" w:hanging="420"/>
        <w:jc w:val="both"/>
      </w:pPr>
      <w:r>
        <w:rPr>
          <w:spacing w:val="-5"/>
        </w:rPr>
        <w:t>二、受益人申请领取重大疾病保险金时，本公司有权聘请医疗专家对被保险人所患的重大疾病进行检查核实和会诊。</w:t>
      </w:r>
    </w:p>
    <w:p>
      <w:pPr>
        <w:pStyle w:val="BodyText"/>
        <w:spacing w:before="0"/>
        <w:rPr>
          <w:sz w:val="20"/>
        </w:rPr>
      </w:pPr>
    </w:p>
    <w:p>
      <w:pPr>
        <w:pStyle w:val="BodyText"/>
        <w:spacing w:line="237" w:lineRule="auto" w:before="134"/>
        <w:ind w:left="94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202"/>
      </w:pPr>
      <w:r>
        <w:rPr>
          <w:spacing w:val="-8"/>
        </w:rPr>
        <w:t>对不属于保险责任的，本公司自作出核定之日起三日内向受益人发出拒绝给付保险金通知书并说明理由。</w:t>
      </w:r>
    </w:p>
    <w:p>
      <w:pPr>
        <w:pStyle w:val="BodyText"/>
        <w:spacing w:line="237" w:lineRule="auto" w:before="63"/>
        <w:ind w:left="94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4"/>
        <w:ind w:left="941" w:right="202" w:hanging="420"/>
        <w:jc w:val="both"/>
      </w:pPr>
      <w:r>
        <w:rPr>
          <w:spacing w:val="-3"/>
        </w:rPr>
        <w:t>四、受益人向本公司请求给付重大疾病保险金的诉讼时效期间为两年，自其知道或者应当知道保险事故发生之日起计算。</w:t>
      </w:r>
    </w:p>
    <w:p>
      <w:pPr>
        <w:pStyle w:val="BodyText"/>
        <w:spacing w:before="11"/>
        <w:rPr>
          <w:sz w:val="29"/>
        </w:rPr>
      </w:pPr>
    </w:p>
    <w:p>
      <w:pPr>
        <w:pStyle w:val="Heading1"/>
        <w:tabs>
          <w:tab w:pos="941" w:val="left" w:leader="none"/>
        </w:tabs>
        <w:ind w:left="101"/>
      </w:pPr>
      <w:r>
        <w:rPr/>
        <w:t>第十条</w:t>
        <w:tab/>
        <w:t>司法鉴定</w:t>
      </w:r>
    </w:p>
    <w:p>
      <w:pPr>
        <w:pStyle w:val="BodyText"/>
        <w:spacing w:before="37"/>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8"/>
        <w:ind w:right="100"/>
        <w:jc w:val="center"/>
      </w:pPr>
      <w:r>
        <w:rPr/>
        <w:t>第五章</w:t>
        <w:tab/>
      </w:r>
      <w:r>
        <w:rPr>
          <w:w w:val="95"/>
        </w:rPr>
        <w:t>一般约定</w:t>
      </w:r>
    </w:p>
    <w:p>
      <w:pPr>
        <w:pStyle w:val="BodyText"/>
        <w:spacing w:before="9"/>
        <w:rPr>
          <w:b/>
          <w:sz w:val="26"/>
        </w:rPr>
      </w:pPr>
    </w:p>
    <w:p>
      <w:pPr>
        <w:tabs>
          <w:tab w:pos="1361" w:val="left" w:leader="none"/>
        </w:tabs>
        <w:spacing w:before="0"/>
        <w:ind w:left="101" w:right="0" w:firstLine="0"/>
        <w:jc w:val="left"/>
        <w:rPr>
          <w:b/>
          <w:sz w:val="21"/>
        </w:rPr>
      </w:pPr>
      <w:r>
        <w:rPr>
          <w:b/>
          <w:sz w:val="21"/>
        </w:rPr>
        <w:t>第十一条</w:t>
        <w:tab/>
      </w:r>
      <w:r>
        <w:rPr>
          <w:b/>
          <w:w w:val="95"/>
          <w:sz w:val="21"/>
        </w:rPr>
        <w:t>年龄确定与错误处理</w:t>
      </w:r>
    </w:p>
    <w:p>
      <w:pPr>
        <w:pStyle w:val="BodyText"/>
        <w:spacing w:line="237" w:lineRule="auto" w:before="82"/>
        <w:ind w:left="941" w:right="200" w:hanging="421"/>
        <w:jc w:val="both"/>
      </w:pPr>
      <w:r>
        <w:rPr/>
        <w:t>一、被保险人的投保年龄以法定证件登记的周岁</w:t>
      </w:r>
      <w:r>
        <w:rPr>
          <w:position w:val="11"/>
          <w:sz w:val="11"/>
        </w:rPr>
        <w:t>15</w:t>
      </w:r>
      <w:r>
        <w:rPr/>
        <w:t>计算。本附加合同可接受的被保险人的投保年龄为年满十六周岁以上。</w:t>
      </w:r>
    </w:p>
    <w:p>
      <w:pPr>
        <w:pStyle w:val="BodyText"/>
        <w:spacing w:before="0"/>
        <w:rPr>
          <w:sz w:val="20"/>
        </w:rPr>
      </w:pPr>
    </w:p>
    <w:p>
      <w:pPr>
        <w:pStyle w:val="BodyText"/>
        <w:spacing w:line="237" w:lineRule="auto" w:before="134"/>
        <w:ind w:left="941" w:right="130" w:hanging="420"/>
        <w:jc w:val="both"/>
      </w:pPr>
      <w:r>
        <w:rPr/>
        <w:t>二、投保人在申请投保时，应将与有效身份证件相符的被保险人的出生日期在投保单上填明， 如果发生错误按照下列方式办理：</w:t>
      </w:r>
    </w:p>
    <w:p>
      <w:pPr>
        <w:pStyle w:val="BodyText"/>
        <w:spacing w:before="10"/>
        <w:rPr>
          <w:sz w:val="25"/>
        </w:rPr>
      </w:pPr>
      <w:r>
        <w:rPr/>
        <w:pict>
          <v:line style="position:absolute;mso-position-horizontal-relative:page;mso-position-vertical-relative:paragraph;z-index:1144;mso-wrap-distance-left:0;mso-wrap-distance-right:0" from="85.080002pt,19.156986pt" to="229.080002pt,19.156986pt" stroked="true" strokeweight=".54001pt" strokecolor="#000000">
            <v:stroke dashstyle="solid"/>
            <w10:wrap type="topAndBottom"/>
          </v:line>
        </w:pict>
      </w:r>
    </w:p>
    <w:p>
      <w:pPr>
        <w:pStyle w:val="ListParagraph"/>
        <w:numPr>
          <w:ilvl w:val="0"/>
          <w:numId w:val="2"/>
        </w:numPr>
        <w:tabs>
          <w:tab w:pos="372" w:val="left" w:leader="none"/>
        </w:tabs>
        <w:spacing w:line="237" w:lineRule="auto" w:before="33"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50" w:firstLine="0"/>
        <w:jc w:val="both"/>
        <w:rPr>
          <w:sz w:val="18"/>
        </w:rPr>
      </w:pPr>
      <w:r>
        <w:rPr>
          <w:spacing w:val="-5"/>
          <w:sz w:val="18"/>
        </w:rPr>
        <w:t>医生：医生应当同时满足以下四项资格条件：</w:t>
      </w:r>
      <w:r>
        <w:rPr>
          <w:sz w:val="18"/>
        </w:rPr>
        <w:t>（1）</w:t>
      </w:r>
      <w:r>
        <w:rPr>
          <w:spacing w:val="-10"/>
          <w:sz w:val="18"/>
        </w:rPr>
        <w:t>具有有效的中华人民共和国《医师资格证书》；</w:t>
      </w:r>
      <w:r>
        <w:rPr>
          <w:sz w:val="18"/>
        </w:rPr>
        <w:t>（2）具有有效的</w:t>
      </w:r>
      <w:r>
        <w:rPr>
          <w:spacing w:val="-9"/>
          <w:sz w:val="18"/>
        </w:rPr>
        <w:t>中华人民共和国《医师执业证书》，并按期到相关部门登记注册；</w:t>
      </w:r>
      <w:r>
        <w:rPr>
          <w:sz w:val="18"/>
        </w:rPr>
        <w:t>（3）具有有效的中华人民共和国主治医师或主治</w:t>
      </w:r>
      <w:r>
        <w:rPr>
          <w:spacing w:val="-12"/>
          <w:sz w:val="18"/>
        </w:rPr>
        <w:t>医师以上职称的《医师职称证书》；</w:t>
      </w:r>
      <w:r>
        <w:rPr>
          <w:sz w:val="18"/>
        </w:rPr>
        <w:t>（4）在二级或二级以上医院的相应科室从事临床工作三年以上。</w:t>
      </w:r>
    </w:p>
    <w:p>
      <w:pPr>
        <w:pStyle w:val="ListParagraph"/>
        <w:numPr>
          <w:ilvl w:val="0"/>
          <w:numId w:val="2"/>
        </w:numPr>
        <w:tabs>
          <w:tab w:pos="372" w:val="left" w:leader="none"/>
        </w:tabs>
        <w:spacing w:line="248" w:lineRule="exact" w:before="1" w:after="0"/>
        <w:ind w:left="371" w:right="0" w:hanging="270"/>
        <w:jc w:val="left"/>
        <w:rPr>
          <w:rFonts w:ascii="Times New Roman" w:eastAsia="Times New Roman"/>
          <w:sz w:val="18"/>
        </w:rPr>
      </w:pPr>
      <w:r>
        <w:rPr>
          <w:sz w:val="18"/>
        </w:rPr>
        <w:t>周岁：指以法定身份证件中记载的出生日期为基础计算的年龄。</w:t>
      </w:r>
    </w:p>
    <w:p>
      <w:pPr>
        <w:spacing w:after="0" w:line="248" w:lineRule="exact"/>
        <w:jc w:val="left"/>
        <w:rPr>
          <w:rFonts w:ascii="Times New Roman" w:eastAsia="Times New Roman"/>
          <w:sz w:val="18"/>
        </w:rPr>
        <w:sectPr>
          <w:pgSz w:w="11910" w:h="16840"/>
          <w:pgMar w:header="0" w:footer="776" w:top="1200" w:bottom="960" w:left="1600" w:right="1040"/>
        </w:sectPr>
      </w:pPr>
    </w:p>
    <w:p>
      <w:pPr>
        <w:pStyle w:val="ListParagraph"/>
        <w:numPr>
          <w:ilvl w:val="1"/>
          <w:numId w:val="2"/>
        </w:numPr>
        <w:tabs>
          <w:tab w:pos="1362" w:val="left" w:leader="none"/>
        </w:tabs>
        <w:spacing w:line="273" w:lineRule="auto" w:before="12" w:after="0"/>
        <w:ind w:left="1361" w:right="181" w:hanging="360"/>
        <w:jc w:val="both"/>
        <w:rPr>
          <w:sz w:val="21"/>
        </w:rPr>
      </w:pPr>
      <w:r>
        <w:rPr>
          <w:spacing w:val="-5"/>
          <w:sz w:val="21"/>
        </w:rPr>
        <w:t>投保人申报的被保险人年龄不真实，并且其真实年龄不符合本附加合同约定投保年龄限制的，本公司有权解除合同。本公司行使合同解除权适用主保险合同中 “本公司合同解除权的限制”的规定。</w:t>
      </w:r>
    </w:p>
    <w:p>
      <w:pPr>
        <w:pStyle w:val="ListParagraph"/>
        <w:numPr>
          <w:ilvl w:val="1"/>
          <w:numId w:val="2"/>
        </w:numPr>
        <w:tabs>
          <w:tab w:pos="1362" w:val="left" w:leader="none"/>
        </w:tabs>
        <w:spacing w:line="273" w:lineRule="auto" w:before="8" w:after="0"/>
        <w:ind w:left="1361" w:right="182" w:hanging="360"/>
        <w:jc w:val="both"/>
        <w:rPr>
          <w:sz w:val="21"/>
        </w:rPr>
      </w:pPr>
      <w:r>
        <w:rPr>
          <w:spacing w:val="-5"/>
          <w:sz w:val="21"/>
        </w:rPr>
        <w:t>投保人申报的被保险人年龄不真实，致使投保人实付风险保险费少于应付风险保险费</w:t>
      </w:r>
      <w:r>
        <w:rPr>
          <w:spacing w:val="-8"/>
          <w:sz w:val="21"/>
        </w:rPr>
        <w:t>的，本公司有权更正并要求投保人补交风险保险费。若已经发生保险事故，本公司将从给付的保险金中扣除少交的风险保险费。</w:t>
      </w:r>
    </w:p>
    <w:p>
      <w:pPr>
        <w:pStyle w:val="ListParagraph"/>
        <w:numPr>
          <w:ilvl w:val="1"/>
          <w:numId w:val="2"/>
        </w:numPr>
        <w:tabs>
          <w:tab w:pos="1362" w:val="left" w:leader="none"/>
        </w:tabs>
        <w:spacing w:line="273" w:lineRule="auto" w:before="8" w:after="0"/>
        <w:ind w:left="1361" w:right="182" w:hanging="360"/>
        <w:jc w:val="left"/>
        <w:rPr>
          <w:sz w:val="21"/>
        </w:rPr>
      </w:pPr>
      <w:r>
        <w:rPr>
          <w:spacing w:val="-5"/>
          <w:sz w:val="21"/>
        </w:rPr>
        <w:t>投保人申报的被保险人年龄不真实，致使投保人实付风险保险费多于应付风险保险费的，本公司会将多收的风险保险费无息退还给投保人。</w:t>
      </w:r>
    </w:p>
    <w:p>
      <w:pPr>
        <w:tabs>
          <w:tab w:pos="1361" w:val="left" w:leader="none"/>
        </w:tabs>
        <w:spacing w:line="620" w:lineRule="atLeast" w:before="58"/>
        <w:ind w:left="101" w:right="950" w:firstLine="420"/>
        <w:jc w:val="left"/>
        <w:rPr>
          <w:b/>
          <w:sz w:val="21"/>
        </w:rPr>
      </w:pPr>
      <w:r>
        <w:rPr>
          <w:sz w:val="21"/>
        </w:rPr>
        <w:t>本公司在收到保险金给付申请书时，有权要求申请人出具被保险人的年龄证明文件。</w:t>
      </w:r>
      <w:r>
        <w:rPr>
          <w:b/>
          <w:sz w:val="21"/>
        </w:rPr>
        <w:t>第十二条</w:t>
        <w:tab/>
      </w:r>
      <w:r>
        <w:rPr>
          <w:b/>
          <w:w w:val="95"/>
          <w:sz w:val="21"/>
        </w:rPr>
        <w:t>投保人解除合同的手续</w:t>
      </w:r>
    </w:p>
    <w:p>
      <w:pPr>
        <w:pStyle w:val="BodyText"/>
        <w:spacing w:line="273" w:lineRule="auto"/>
        <w:ind w:left="521" w:right="11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7"/>
        <w:ind w:left="821" w:right="5061"/>
      </w:pPr>
      <w:r>
        <w:rPr/>
        <w:t>二、保险合同原件或其它保险凭证； 三、投保人的身份证件；</w:t>
      </w:r>
    </w:p>
    <w:p>
      <w:pPr>
        <w:pStyle w:val="BodyText"/>
        <w:spacing w:before="8"/>
        <w:ind w:left="821"/>
      </w:pPr>
      <w:r>
        <w:rPr/>
        <w:t>四、若经办人为代理人，则应另提供授权委托书、代理人身份证件等证明文件。</w:t>
      </w:r>
    </w:p>
    <w:p>
      <w:pPr>
        <w:pStyle w:val="BodyText"/>
        <w:spacing w:line="273" w:lineRule="auto" w:before="37"/>
        <w:ind w:left="521" w:right="110"/>
      </w:pPr>
      <w:r>
        <w:rPr/>
        <w:t>自本公司收到解除合同申请书的当日二十四时起，本附加合同终止。本公司将停止收取以后各月的风险保险费。</w:t>
      </w:r>
    </w:p>
    <w:p>
      <w:pPr>
        <w:pStyle w:val="BodyText"/>
        <w:spacing w:before="5"/>
        <w:rPr>
          <w:sz w:val="24"/>
        </w:rPr>
      </w:pPr>
    </w:p>
    <w:p>
      <w:pPr>
        <w:pStyle w:val="Heading1"/>
        <w:tabs>
          <w:tab w:pos="1361" w:val="left" w:leader="none"/>
        </w:tabs>
        <w:ind w:left="101"/>
      </w:pPr>
      <w:r>
        <w:rPr/>
        <w:t>第十三条</w:t>
        <w:tab/>
      </w:r>
      <w:r>
        <w:rPr>
          <w:w w:val="95"/>
        </w:rPr>
        <w:t>附加保险合同的效力</w:t>
      </w:r>
    </w:p>
    <w:p>
      <w:pPr>
        <w:pStyle w:val="BodyText"/>
        <w:spacing w:line="292" w:lineRule="auto" w:before="78"/>
        <w:ind w:left="521" w:right="2840"/>
      </w:pPr>
      <w:r>
        <w:rPr/>
        <w:t>一、主保险合同撤销、解除、期满、终止时，本附加合同终止。二、本附加合同不可以单独撤销、解除。</w:t>
      </w:r>
    </w:p>
    <w:p>
      <w:pPr>
        <w:pStyle w:val="BodyText"/>
        <w:spacing w:before="3"/>
        <w:rPr>
          <w:sz w:val="26"/>
        </w:rPr>
      </w:pPr>
    </w:p>
    <w:p>
      <w:pPr>
        <w:pStyle w:val="Heading1"/>
        <w:tabs>
          <w:tab w:pos="1361" w:val="left" w:leader="none"/>
        </w:tabs>
        <w:spacing w:before="1"/>
        <w:ind w:left="101"/>
      </w:pPr>
      <w:r>
        <w:rPr/>
        <w:t>第十四条</w:t>
        <w:tab/>
      </w:r>
      <w:r>
        <w:rPr>
          <w:w w:val="95"/>
        </w:rPr>
        <w:t>重大疾病的定义</w:t>
      </w:r>
    </w:p>
    <w:p>
      <w:pPr>
        <w:pStyle w:val="BodyText"/>
        <w:spacing w:line="273" w:lineRule="auto" w:before="37"/>
        <w:ind w:left="521" w:right="110"/>
      </w:pPr>
      <w:r>
        <w:rPr/>
        <w:t>本条第一至二十五项重大疾病定义是中国保险行业协会制订的重大疾病保险的疾病定义；第二十六至三十二项为非中国保险行业协会制订的重大疾病定义。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5"/>
        <w:rPr>
          <w:sz w:val="24"/>
        </w:rPr>
      </w:pPr>
    </w:p>
    <w:p>
      <w:pPr>
        <w:pStyle w:val="BodyText"/>
        <w:spacing w:before="0"/>
        <w:ind w:left="521"/>
      </w:pPr>
      <w:r>
        <w:rPr/>
        <w:t>一、恶性肿瘤</w:t>
      </w:r>
    </w:p>
    <w:p>
      <w:pPr>
        <w:pStyle w:val="BodyText"/>
        <w:spacing w:line="273" w:lineRule="auto" w:before="37"/>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原位癌；</w:t>
      </w:r>
    </w:p>
    <w:p>
      <w:pPr>
        <w:pStyle w:val="ListParagraph"/>
        <w:numPr>
          <w:ilvl w:val="0"/>
          <w:numId w:val="5"/>
        </w:numPr>
        <w:tabs>
          <w:tab w:pos="1362" w:val="left" w:leader="none"/>
        </w:tabs>
        <w:spacing w:line="240" w:lineRule="auto" w:before="36"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5"/>
        </w:numPr>
        <w:tabs>
          <w:tab w:pos="1361" w:val="left" w:leader="none"/>
        </w:tabs>
        <w:spacing w:line="240" w:lineRule="auto" w:before="36"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5"/>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ind w:left="941"/>
        <w:jc w:val="both"/>
      </w:pPr>
      <w:r>
        <w:rPr/>
        <w:t>指因冠状动脉阻塞导致的相应区域供血不足造成部分心肌坏死。须满足下列至少三项条</w:t>
      </w:r>
    </w:p>
    <w:p>
      <w:pPr>
        <w:spacing w:after="0"/>
        <w:jc w:val="both"/>
        <w:sectPr>
          <w:pgSz w:w="11910" w:h="16840"/>
          <w:pgMar w:header="0" w:footer="776" w:top="1220" w:bottom="960" w:left="1600" w:right="1060"/>
        </w:sectPr>
      </w:pPr>
    </w:p>
    <w:p>
      <w:pPr>
        <w:pStyle w:val="BodyText"/>
        <w:spacing w:before="12"/>
        <w:ind w:left="941"/>
      </w:pPr>
      <w:r>
        <w:rPr/>
        <w:t>件：</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典型临床表现，例如急性胸痛等；</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新近的心电图改变提示急性心肌梗塞；</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心肌酶或肌钙蛋白有诊断意义的升高，或呈符合急性心肌梗塞的动态性变化；</w:t>
      </w:r>
    </w:p>
    <w:p>
      <w:pPr>
        <w:pStyle w:val="ListParagraph"/>
        <w:numPr>
          <w:ilvl w:val="0"/>
          <w:numId w:val="6"/>
        </w:numPr>
        <w:tabs>
          <w:tab w:pos="1363" w:val="left" w:leader="none"/>
        </w:tabs>
        <w:spacing w:line="240" w:lineRule="auto" w:before="37" w:after="0"/>
        <w:ind w:left="1362" w:right="0" w:hanging="315"/>
        <w:jc w:val="left"/>
        <w:rPr>
          <w:sz w:val="21"/>
        </w:rPr>
      </w:pPr>
      <w:r>
        <w:rPr>
          <w:spacing w:val="-1"/>
          <w:sz w:val="21"/>
        </w:rPr>
        <w:t>发病</w:t>
      </w:r>
      <w:r>
        <w:rPr>
          <w:sz w:val="21"/>
        </w:rPr>
        <w:t>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before="37"/>
        <w:ind w:left="837" w:right="44"/>
      </w:pPr>
      <w:r>
        <w:rPr/>
        <w:t>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7"/>
        </w:numPr>
        <w:tabs>
          <w:tab w:pos="1363" w:val="left" w:leader="none"/>
        </w:tabs>
        <w:spacing w:line="240" w:lineRule="auto" w:before="7" w:after="0"/>
        <w:ind w:left="1362" w:right="0" w:hanging="315"/>
        <w:jc w:val="left"/>
        <w:rPr>
          <w:sz w:val="21"/>
        </w:rPr>
      </w:pPr>
      <w:r>
        <w:rPr>
          <w:spacing w:val="-1"/>
          <w:sz w:val="21"/>
        </w:rPr>
        <w:t>一肢或一肢以上肢体机能完全丧失</w:t>
      </w:r>
      <w:r>
        <w:rPr>
          <w:position w:val="11"/>
          <w:sz w:val="11"/>
        </w:rPr>
        <w:t>16</w:t>
      </w:r>
      <w:r>
        <w:rPr>
          <w:sz w:val="21"/>
        </w:rPr>
        <w:t>；</w:t>
      </w:r>
    </w:p>
    <w:p>
      <w:pPr>
        <w:pStyle w:val="ListParagraph"/>
        <w:numPr>
          <w:ilvl w:val="0"/>
          <w:numId w:val="7"/>
        </w:numPr>
        <w:tabs>
          <w:tab w:pos="1363" w:val="left" w:leader="none"/>
        </w:tabs>
        <w:spacing w:line="240" w:lineRule="auto" w:before="36" w:after="0"/>
        <w:ind w:left="1362" w:right="0" w:hanging="315"/>
        <w:jc w:val="left"/>
        <w:rPr>
          <w:sz w:val="21"/>
        </w:rPr>
      </w:pPr>
      <w:r>
        <w:rPr>
          <w:spacing w:val="-1"/>
          <w:sz w:val="21"/>
        </w:rPr>
        <w:t>语言能力或咀嚼吞咽能力完全丧失</w:t>
      </w:r>
      <w:r>
        <w:rPr>
          <w:position w:val="11"/>
          <w:sz w:val="11"/>
        </w:rPr>
        <w:t>17</w:t>
      </w:r>
      <w:r>
        <w:rPr>
          <w:sz w:val="21"/>
        </w:rPr>
        <w:t>；</w:t>
      </w:r>
    </w:p>
    <w:p>
      <w:pPr>
        <w:pStyle w:val="ListParagraph"/>
        <w:numPr>
          <w:ilvl w:val="0"/>
          <w:numId w:val="7"/>
        </w:numPr>
        <w:tabs>
          <w:tab w:pos="1363" w:val="left" w:leader="none"/>
        </w:tabs>
        <w:spacing w:line="240" w:lineRule="auto" w:before="36" w:after="0"/>
        <w:ind w:left="1362" w:right="0" w:hanging="315"/>
        <w:jc w:val="left"/>
        <w:rPr>
          <w:sz w:val="21"/>
        </w:rPr>
      </w:pPr>
      <w:r>
        <w:rPr>
          <w:spacing w:val="-8"/>
          <w:sz w:val="21"/>
        </w:rPr>
        <w:t>自主生活能力完全丧失，无法独立完成六项基本日常生活活动</w:t>
      </w:r>
      <w:r>
        <w:rPr>
          <w:position w:val="11"/>
          <w:sz w:val="11"/>
        </w:rPr>
        <w:t>18</w:t>
      </w:r>
      <w:r>
        <w:rPr>
          <w:sz w:val="21"/>
        </w:rPr>
        <w:t>中的三项或三项以上。</w:t>
      </w:r>
    </w:p>
    <w:p>
      <w:pPr>
        <w:pStyle w:val="BodyText"/>
        <w:spacing w:before="8"/>
        <w:rPr>
          <w:sz w:val="26"/>
        </w:rPr>
      </w:pPr>
    </w:p>
    <w:p>
      <w:pPr>
        <w:pStyle w:val="BodyText"/>
        <w:spacing w:before="0"/>
        <w:ind w:left="521"/>
      </w:pPr>
      <w:r>
        <w:rPr/>
        <w:t>四、重大器官移植术或造血干细胞移植术</w:t>
      </w:r>
    </w:p>
    <w:p>
      <w:pPr>
        <w:pStyle w:val="BodyText"/>
        <w:spacing w:line="273" w:lineRule="auto" w:before="37"/>
        <w:ind w:left="837" w:right="220"/>
      </w:pPr>
      <w:r>
        <w:rPr/>
        <w:t>重大器官移植术，指因相应器官功能衰竭，已经实施了肾脏、肝脏、心脏或肺脏的异体移植手术。</w:t>
      </w:r>
    </w:p>
    <w:p>
      <w:pPr>
        <w:pStyle w:val="BodyText"/>
        <w:spacing w:line="273" w:lineRule="auto" w:before="8"/>
        <w:ind w:left="837" w:right="22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ind w:left="837"/>
      </w:pPr>
      <w:r>
        <w:rPr/>
        <w:t>指为治疗严重的冠心病，实际实施了开胸进行的冠状动脉血管旁路移植的手术。</w:t>
      </w:r>
    </w:p>
    <w:p>
      <w:pPr>
        <w:pStyle w:val="BodyText"/>
        <w:spacing w:line="273" w:lineRule="auto"/>
        <w:ind w:left="837" w:right="220"/>
      </w:pPr>
      <w:r>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before="37"/>
        <w:ind w:left="837" w:right="220"/>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ind w:left="837" w:right="22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before="37"/>
        <w:ind w:left="837" w:right="220"/>
      </w:pPr>
      <w:r>
        <w:rPr/>
        <w:t>指因肝炎病毒感染引起肝脏组织弥漫性坏死，导致急性肝功能衰竭，且经血清学或病毒学检查证实，并须满足下列全部条件：</w:t>
      </w:r>
    </w:p>
    <w:p>
      <w:pPr>
        <w:pStyle w:val="ListParagraph"/>
        <w:numPr>
          <w:ilvl w:val="0"/>
          <w:numId w:val="8"/>
        </w:numPr>
        <w:tabs>
          <w:tab w:pos="1363" w:val="left" w:leader="none"/>
        </w:tabs>
        <w:spacing w:line="240" w:lineRule="auto" w:before="7" w:after="0"/>
        <w:ind w:left="1362" w:right="0" w:hanging="315"/>
        <w:jc w:val="left"/>
        <w:rPr>
          <w:sz w:val="21"/>
        </w:rPr>
      </w:pPr>
      <w:r>
        <w:rPr>
          <w:spacing w:val="-1"/>
          <w:sz w:val="21"/>
        </w:rPr>
        <w:t>重度黄疸或黄疸迅速加重；</w:t>
      </w:r>
    </w:p>
    <w:p>
      <w:pPr>
        <w:pStyle w:val="ListParagraph"/>
        <w:numPr>
          <w:ilvl w:val="0"/>
          <w:numId w:val="8"/>
        </w:numPr>
        <w:tabs>
          <w:tab w:pos="1363" w:val="left" w:leader="none"/>
        </w:tabs>
        <w:spacing w:line="240" w:lineRule="auto" w:before="36" w:after="0"/>
        <w:ind w:left="1362" w:right="0" w:hanging="315"/>
        <w:jc w:val="left"/>
        <w:rPr>
          <w:sz w:val="21"/>
        </w:rPr>
      </w:pPr>
      <w:r>
        <w:rPr>
          <w:spacing w:val="-1"/>
          <w:sz w:val="21"/>
        </w:rPr>
        <w:t>肝性脑病；</w:t>
      </w:r>
    </w:p>
    <w:p>
      <w:pPr>
        <w:pStyle w:val="ListParagraph"/>
        <w:numPr>
          <w:ilvl w:val="0"/>
          <w:numId w:val="8"/>
        </w:numPr>
        <w:tabs>
          <w:tab w:pos="1363" w:val="left" w:leader="none"/>
        </w:tabs>
        <w:spacing w:line="240" w:lineRule="auto" w:before="36" w:after="0"/>
        <w:ind w:left="1362" w:right="0" w:hanging="315"/>
        <w:jc w:val="left"/>
        <w:rPr>
          <w:sz w:val="21"/>
        </w:rPr>
      </w:pPr>
      <w:r>
        <w:rPr>
          <w:spacing w:val="-1"/>
          <w:sz w:val="21"/>
        </w:rPr>
        <w:t>B超或其它影像学检查显示肝脏体积急速萎缩；</w:t>
      </w:r>
    </w:p>
    <w:p>
      <w:pPr>
        <w:pStyle w:val="ListParagraph"/>
        <w:numPr>
          <w:ilvl w:val="0"/>
          <w:numId w:val="8"/>
        </w:numPr>
        <w:tabs>
          <w:tab w:pos="1363" w:val="left" w:leader="none"/>
        </w:tabs>
        <w:spacing w:line="240" w:lineRule="auto" w:before="36" w:after="0"/>
        <w:ind w:left="1362" w:right="0" w:hanging="315"/>
        <w:jc w:val="left"/>
        <w:rPr>
          <w:sz w:val="21"/>
        </w:rPr>
      </w:pPr>
      <w:r>
        <w:rPr>
          <w:spacing w:val="-1"/>
          <w:sz w:val="21"/>
        </w:rPr>
        <w:t>肝功能指标进行性恶化。</w:t>
      </w:r>
    </w:p>
    <w:p>
      <w:pPr>
        <w:pStyle w:val="BodyText"/>
        <w:spacing w:before="10"/>
        <w:rPr>
          <w:sz w:val="16"/>
        </w:rPr>
      </w:pPr>
      <w:r>
        <w:rPr/>
        <w:pict>
          <v:line style="position:absolute;mso-position-horizontal-relative:page;mso-position-vertical-relative:paragraph;z-index:1168;mso-wrap-distance-left:0;mso-wrap-distance-right:0" from="85.080002pt,13.228951pt" to="229.080002pt,13.228951pt" stroked="true" strokeweight=".54001pt" strokecolor="#000000">
            <v:stroke dashstyle="solid"/>
            <w10:wrap type="topAndBottom"/>
          </v:line>
        </w:pict>
      </w:r>
    </w:p>
    <w:p>
      <w:pPr>
        <w:pStyle w:val="ListParagraph"/>
        <w:numPr>
          <w:ilvl w:val="0"/>
          <w:numId w:val="2"/>
        </w:numPr>
        <w:tabs>
          <w:tab w:pos="372" w:val="left" w:leader="none"/>
        </w:tabs>
        <w:spacing w:line="225" w:lineRule="auto" w:before="45" w:after="0"/>
        <w:ind w:left="101" w:right="270" w:firstLine="0"/>
        <w:jc w:val="both"/>
        <w:rPr>
          <w:rFonts w:ascii="Times New Roman" w:eastAsia="Times New Roman"/>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0" w:lineRule="auto" w:before="7" w:after="0"/>
        <w:ind w:left="101" w:right="22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25" w:lineRule="auto" w:before="13" w:after="0"/>
        <w:ind w:left="101" w:right="22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z w:val="18"/>
        </w:rPr>
        <w:t>1</w:t>
      </w:r>
      <w:r>
        <w:rPr>
          <w:sz w:val="18"/>
        </w:rPr>
        <w:t>）</w:t>
      </w:r>
      <w:r>
        <w:rPr>
          <w:spacing w:val="-7"/>
          <w:sz w:val="18"/>
        </w:rPr>
        <w:t>穿衣：自己能够穿衣及脱衣；</w:t>
      </w:r>
      <w:r>
        <w:rPr>
          <w:sz w:val="18"/>
        </w:rPr>
        <w:t>（</w:t>
      </w:r>
      <w:r>
        <w:rPr>
          <w:rFonts w:ascii="Times New Roman" w:eastAsia="Times New Roman"/>
          <w:sz w:val="18"/>
        </w:rPr>
        <w:t>2</w:t>
      </w:r>
      <w:r>
        <w:rPr>
          <w:sz w:val="18"/>
        </w:rPr>
        <w:t>）</w:t>
      </w:r>
      <w:r>
        <w:rPr>
          <w:spacing w:val="-6"/>
          <w:sz w:val="18"/>
        </w:rPr>
        <w:t>移动：自己从一个房间到另一个房间；</w:t>
      </w:r>
      <w:r>
        <w:rPr>
          <w:sz w:val="18"/>
        </w:rPr>
        <w:t>（</w:t>
      </w:r>
      <w:r>
        <w:rPr>
          <w:rFonts w:ascii="Times New Roman" w:eastAsia="Times New Roman"/>
          <w:sz w:val="18"/>
        </w:rPr>
        <w:t>3</w:t>
      </w:r>
      <w:r>
        <w:rPr>
          <w:sz w:val="18"/>
        </w:rPr>
        <w:t>）行</w:t>
      </w:r>
      <w:r>
        <w:rPr>
          <w:spacing w:val="-10"/>
          <w:sz w:val="18"/>
        </w:rPr>
        <w:t>动：自己上下床或上下轮椅；</w:t>
      </w:r>
      <w:r>
        <w:rPr>
          <w:sz w:val="18"/>
        </w:rPr>
        <w:t>（</w:t>
      </w:r>
      <w:r>
        <w:rPr>
          <w:rFonts w:ascii="Times New Roman" w:eastAsia="Times New Roman"/>
          <w:sz w:val="18"/>
        </w:rPr>
        <w:t>4</w:t>
      </w:r>
      <w:r>
        <w:rPr>
          <w:spacing w:val="-6"/>
          <w:sz w:val="18"/>
        </w:rPr>
        <w:t>）</w:t>
      </w:r>
      <w:r>
        <w:rPr>
          <w:spacing w:val="-10"/>
          <w:sz w:val="18"/>
        </w:rPr>
        <w:t>如厕：自己控制进行大小便；</w:t>
      </w:r>
      <w:r>
        <w:rPr>
          <w:sz w:val="18"/>
        </w:rPr>
        <w:t>（</w:t>
      </w:r>
      <w:r>
        <w:rPr>
          <w:rFonts w:ascii="Times New Roman" w:eastAsia="Times New Roman"/>
          <w:sz w:val="18"/>
        </w:rPr>
        <w:t>5</w:t>
      </w:r>
      <w:r>
        <w:rPr>
          <w:spacing w:val="-6"/>
          <w:sz w:val="18"/>
        </w:rPr>
        <w:t>）</w:t>
      </w:r>
      <w:r>
        <w:rPr>
          <w:spacing w:val="-2"/>
          <w:sz w:val="18"/>
        </w:rPr>
        <w:t>进食：自己从已准备好的碗或碟中取食物放入</w:t>
      </w:r>
      <w:r>
        <w:rPr>
          <w:spacing w:val="-32"/>
          <w:sz w:val="18"/>
        </w:rPr>
        <w:t>口中；</w:t>
      </w:r>
      <w:r>
        <w:rPr>
          <w:sz w:val="18"/>
        </w:rPr>
        <w:t>（</w:t>
      </w:r>
      <w:r>
        <w:rPr>
          <w:rFonts w:ascii="Times New Roman" w:eastAsia="Times New Roman"/>
          <w:sz w:val="18"/>
        </w:rPr>
        <w:t>6</w:t>
      </w:r>
      <w:r>
        <w:rPr>
          <w:sz w:val="18"/>
        </w:rPr>
        <w:t>）洗澡：自己进行淋浴或盆浴。</w:t>
      </w:r>
    </w:p>
    <w:p>
      <w:pPr>
        <w:spacing w:after="0" w:line="225" w:lineRule="auto"/>
        <w:jc w:val="both"/>
        <w:rPr>
          <w:rFonts w:ascii="Times New Roman" w:eastAsia="Times New Roman"/>
          <w:sz w:val="18"/>
        </w:rPr>
        <w:sectPr>
          <w:pgSz w:w="11910" w:h="16840"/>
          <w:pgMar w:header="0" w:footer="776" w:top="1220" w:bottom="960" w:left="1600" w:right="1020"/>
        </w:sectPr>
      </w:pPr>
    </w:p>
    <w:p>
      <w:pPr>
        <w:pStyle w:val="BodyText"/>
        <w:spacing w:before="24"/>
        <w:ind w:left="521"/>
      </w:pPr>
      <w:r>
        <w:rPr/>
        <w:t>九、良性脑肿瘤</w:t>
      </w:r>
    </w:p>
    <w:p>
      <w:pPr>
        <w:pStyle w:val="BodyText"/>
        <w:spacing w:line="273" w:lineRule="auto" w:before="37"/>
        <w:ind w:left="837" w:right="220"/>
        <w:jc w:val="both"/>
      </w:pPr>
      <w:r>
        <w:rPr/>
        <w:t>指脑的良性肿瘤，已经引起颅内压增高，临床表现为视神经乳头水肿、精神症状、癫痫及运动感觉障碍等，并危及生命。须由头颅断层扫描</w:t>
      </w:r>
      <w:r>
        <w:rPr>
          <w:spacing w:val="0"/>
        </w:rPr>
        <w:t>（</w:t>
      </w:r>
      <w:r>
        <w:rPr>
          <w:spacing w:val="-1"/>
        </w:rPr>
        <w:t>C</w:t>
      </w:r>
      <w:r>
        <w:rPr>
          <w:spacing w:val="0"/>
        </w:rPr>
        <w:t>T</w:t>
      </w:r>
      <w:r>
        <w:rPr>
          <w:spacing w:val="-105"/>
        </w:rPr>
        <w:t>）</w:t>
      </w:r>
      <w:r>
        <w:rPr/>
        <w:t>、核磁共振检查</w:t>
      </w:r>
      <w:r>
        <w:rPr>
          <w:spacing w:val="0"/>
        </w:rPr>
        <w:t>（</w:t>
      </w:r>
      <w:r>
        <w:rPr>
          <w:spacing w:val="-1"/>
        </w:rPr>
        <w:t>M</w:t>
      </w:r>
      <w:r>
        <w:rPr>
          <w:spacing w:val="0"/>
        </w:rPr>
        <w:t>RI）</w:t>
      </w:r>
      <w:r>
        <w:rPr/>
        <w:t>或正电子</w:t>
      </w:r>
      <w:r>
        <w:rPr>
          <w:spacing w:val="-1"/>
        </w:rPr>
        <w:t>发射断层扫描</w:t>
      </w:r>
      <w:r>
        <w:rPr/>
        <w:t>（PET）等影像学检查证实，并须满足下列至少一项条件：</w:t>
      </w:r>
    </w:p>
    <w:p>
      <w:pPr>
        <w:pStyle w:val="ListParagraph"/>
        <w:numPr>
          <w:ilvl w:val="1"/>
          <w:numId w:val="2"/>
        </w:numPr>
        <w:tabs>
          <w:tab w:pos="1363" w:val="left" w:leader="none"/>
        </w:tabs>
        <w:spacing w:line="240" w:lineRule="auto" w:before="7" w:after="0"/>
        <w:ind w:left="1362" w:right="0" w:hanging="315"/>
        <w:jc w:val="left"/>
        <w:rPr>
          <w:sz w:val="21"/>
        </w:rPr>
      </w:pPr>
      <w:r>
        <w:rPr>
          <w:spacing w:val="-1"/>
          <w:sz w:val="21"/>
        </w:rPr>
        <w:t>实际实施了开颅进行的脑肿瘤完全切除或部分切除的手术；</w:t>
      </w:r>
    </w:p>
    <w:p>
      <w:pPr>
        <w:pStyle w:val="ListParagraph"/>
        <w:numPr>
          <w:ilvl w:val="1"/>
          <w:numId w:val="2"/>
        </w:numPr>
        <w:tabs>
          <w:tab w:pos="1363" w:val="left" w:leader="none"/>
        </w:tabs>
        <w:spacing w:line="240" w:lineRule="auto" w:before="36" w:after="0"/>
        <w:ind w:left="1362" w:right="0" w:hanging="315"/>
        <w:jc w:val="left"/>
        <w:rPr>
          <w:sz w:val="21"/>
        </w:rPr>
      </w:pPr>
      <w:r>
        <w:rPr>
          <w:spacing w:val="-1"/>
          <w:sz w:val="21"/>
        </w:rPr>
        <w:t>实际实施了对脑肿瘤进行的放射治疗。</w:t>
      </w:r>
    </w:p>
    <w:p>
      <w:pPr>
        <w:pStyle w:val="BodyText"/>
        <w:ind w:left="837"/>
        <w:jc w:val="both"/>
      </w:pPr>
      <w:r>
        <w:rPr/>
        <w:t>脑垂体瘤、脑囊肿、脑血管性疾病不在保障范围内。</w:t>
      </w:r>
    </w:p>
    <w:p>
      <w:pPr>
        <w:pStyle w:val="BodyText"/>
        <w:spacing w:before="8"/>
        <w:rPr>
          <w:sz w:val="26"/>
        </w:rPr>
      </w:pPr>
    </w:p>
    <w:p>
      <w:pPr>
        <w:pStyle w:val="BodyText"/>
        <w:spacing w:before="0"/>
        <w:ind w:left="521"/>
      </w:pPr>
      <w:r>
        <w:rPr/>
        <w:t>十、慢性肝功能衰竭失代偿期</w:t>
      </w:r>
    </w:p>
    <w:p>
      <w:pPr>
        <w:pStyle w:val="BodyText"/>
        <w:ind w:left="941"/>
      </w:pPr>
      <w:r>
        <w:rPr/>
        <w:t>指因慢性肝脏疾病导致肝功能衰竭。须满足下列全部条件：</w:t>
      </w:r>
    </w:p>
    <w:p>
      <w:pPr>
        <w:pStyle w:val="ListParagraph"/>
        <w:numPr>
          <w:ilvl w:val="0"/>
          <w:numId w:val="9"/>
        </w:numPr>
        <w:tabs>
          <w:tab w:pos="1363" w:val="left" w:leader="none"/>
        </w:tabs>
        <w:spacing w:line="240" w:lineRule="auto" w:before="36" w:after="0"/>
        <w:ind w:left="1000" w:right="0" w:firstLine="47"/>
        <w:jc w:val="left"/>
        <w:rPr>
          <w:sz w:val="21"/>
        </w:rPr>
      </w:pPr>
      <w:r>
        <w:rPr>
          <w:spacing w:val="-1"/>
          <w:sz w:val="21"/>
        </w:rPr>
        <w:t>持续性黄疸；</w:t>
      </w:r>
    </w:p>
    <w:p>
      <w:pPr>
        <w:pStyle w:val="ListParagraph"/>
        <w:numPr>
          <w:ilvl w:val="0"/>
          <w:numId w:val="9"/>
        </w:numPr>
        <w:tabs>
          <w:tab w:pos="1363" w:val="left" w:leader="none"/>
        </w:tabs>
        <w:spacing w:line="240" w:lineRule="auto" w:before="36" w:after="0"/>
        <w:ind w:left="1362" w:right="0" w:hanging="315"/>
        <w:jc w:val="left"/>
        <w:rPr>
          <w:sz w:val="21"/>
        </w:rPr>
      </w:pPr>
      <w:r>
        <w:rPr>
          <w:sz w:val="21"/>
        </w:rPr>
        <w:t>腹水；</w:t>
      </w:r>
    </w:p>
    <w:p>
      <w:pPr>
        <w:pStyle w:val="ListParagraph"/>
        <w:numPr>
          <w:ilvl w:val="0"/>
          <w:numId w:val="9"/>
        </w:numPr>
        <w:tabs>
          <w:tab w:pos="1363" w:val="left" w:leader="none"/>
        </w:tabs>
        <w:spacing w:line="240" w:lineRule="auto" w:before="36" w:after="0"/>
        <w:ind w:left="1000" w:right="0" w:firstLine="47"/>
        <w:jc w:val="left"/>
        <w:rPr>
          <w:sz w:val="21"/>
        </w:rPr>
      </w:pPr>
      <w:r>
        <w:rPr>
          <w:spacing w:val="-1"/>
          <w:sz w:val="21"/>
        </w:rPr>
        <w:t>肝性脑病；</w:t>
      </w:r>
    </w:p>
    <w:p>
      <w:pPr>
        <w:pStyle w:val="ListParagraph"/>
        <w:numPr>
          <w:ilvl w:val="0"/>
          <w:numId w:val="9"/>
        </w:numPr>
        <w:tabs>
          <w:tab w:pos="1363" w:val="left" w:leader="none"/>
        </w:tabs>
        <w:spacing w:line="273" w:lineRule="auto" w:before="36" w:after="0"/>
        <w:ind w:left="1000" w:right="3243" w:firstLine="47"/>
        <w:jc w:val="left"/>
        <w:rPr>
          <w:sz w:val="21"/>
        </w:rPr>
      </w:pPr>
      <w:r>
        <w:rPr>
          <w:sz w:val="21"/>
        </w:rPr>
        <w:t>充血性脾肿大伴脾功能亢进或食管胃底静脉曲张。因酗酒或药物滥用导致的肝功能衰竭不在保障范围内。</w:t>
      </w:r>
    </w:p>
    <w:p>
      <w:pPr>
        <w:pStyle w:val="BodyText"/>
        <w:spacing w:before="4"/>
        <w:rPr>
          <w:sz w:val="24"/>
        </w:rPr>
      </w:pPr>
    </w:p>
    <w:p>
      <w:pPr>
        <w:pStyle w:val="BodyText"/>
        <w:spacing w:before="1"/>
        <w:ind w:left="521"/>
      </w:pPr>
      <w:r>
        <w:rPr/>
        <w:t>十一、脑炎后遗症或脑膜炎后遗症</w:t>
      </w:r>
    </w:p>
    <w:p>
      <w:pPr>
        <w:pStyle w:val="BodyText"/>
        <w:spacing w:line="273" w:lineRule="auto" w:before="37"/>
        <w:ind w:left="837" w:right="220"/>
        <w:jc w:val="both"/>
      </w:pPr>
      <w:r>
        <w:rPr/>
        <w:t>指因患脑炎或脑膜炎导致的神经系统永久性的功能障碍。神经系统永久性的功能障碍，指疾病确诊180天后，仍遗留下列一种或一种以上障碍：</w:t>
      </w:r>
    </w:p>
    <w:p>
      <w:pPr>
        <w:pStyle w:val="ListParagraph"/>
        <w:numPr>
          <w:ilvl w:val="0"/>
          <w:numId w:val="10"/>
        </w:numPr>
        <w:tabs>
          <w:tab w:pos="1363" w:val="left" w:leader="none"/>
        </w:tabs>
        <w:spacing w:line="240" w:lineRule="auto" w:before="7" w:after="0"/>
        <w:ind w:left="1362" w:right="0" w:hanging="315"/>
        <w:jc w:val="left"/>
        <w:rPr>
          <w:sz w:val="21"/>
        </w:rPr>
      </w:pPr>
      <w:r>
        <w:rPr>
          <w:spacing w:val="-1"/>
          <w:sz w:val="21"/>
        </w:rPr>
        <w:t>一肢或一肢以上肢体机能完全丧失；</w:t>
      </w:r>
    </w:p>
    <w:p>
      <w:pPr>
        <w:pStyle w:val="ListParagraph"/>
        <w:numPr>
          <w:ilvl w:val="0"/>
          <w:numId w:val="10"/>
        </w:numPr>
        <w:tabs>
          <w:tab w:pos="1363" w:val="left" w:leader="none"/>
        </w:tabs>
        <w:spacing w:line="240" w:lineRule="auto" w:before="36" w:after="0"/>
        <w:ind w:left="1362" w:right="0" w:hanging="315"/>
        <w:jc w:val="left"/>
        <w:rPr>
          <w:sz w:val="21"/>
        </w:rPr>
      </w:pPr>
      <w:r>
        <w:rPr>
          <w:spacing w:val="-1"/>
          <w:sz w:val="21"/>
        </w:rPr>
        <w:t>语言能力或咀嚼吞咽能力完全丧失；</w:t>
      </w:r>
    </w:p>
    <w:p>
      <w:pPr>
        <w:pStyle w:val="ListParagraph"/>
        <w:numPr>
          <w:ilvl w:val="0"/>
          <w:numId w:val="10"/>
        </w:numPr>
        <w:tabs>
          <w:tab w:pos="1363" w:val="left" w:leader="none"/>
        </w:tabs>
        <w:spacing w:line="240" w:lineRule="auto" w:before="36" w:after="0"/>
        <w:ind w:left="1362" w:right="0" w:hanging="315"/>
        <w:jc w:val="left"/>
        <w:rPr>
          <w:sz w:val="21"/>
        </w:rPr>
      </w:pPr>
      <w:r>
        <w:rPr>
          <w:spacing w:val="-1"/>
          <w:sz w:val="21"/>
        </w:rPr>
        <w:t>自主生活能力完全丧失，无法独立完成六项基本日常生活活动中的三项或三项以上。</w:t>
      </w:r>
    </w:p>
    <w:p>
      <w:pPr>
        <w:pStyle w:val="BodyText"/>
        <w:spacing w:before="8"/>
        <w:rPr>
          <w:sz w:val="26"/>
        </w:rPr>
      </w:pPr>
    </w:p>
    <w:p>
      <w:pPr>
        <w:pStyle w:val="BodyText"/>
        <w:spacing w:before="0"/>
        <w:ind w:left="521"/>
      </w:pPr>
      <w:r>
        <w:rPr/>
        <w:t>十二、深度昏迷</w:t>
      </w:r>
    </w:p>
    <w:p>
      <w:pPr>
        <w:pStyle w:val="BodyText"/>
        <w:spacing w:line="273" w:lineRule="auto" w:before="37"/>
        <w:ind w:left="837" w:right="21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8"/>
        <w:ind w:left="837"/>
      </w:pPr>
      <w:r>
        <w:rPr/>
        <w:t>因酗酒或药物滥用导致的深度昏迷不在保障范围内。</w:t>
      </w:r>
    </w:p>
    <w:p>
      <w:pPr>
        <w:pStyle w:val="BodyText"/>
        <w:spacing w:before="8"/>
        <w:rPr>
          <w:sz w:val="26"/>
        </w:rPr>
      </w:pPr>
    </w:p>
    <w:p>
      <w:pPr>
        <w:pStyle w:val="BodyText"/>
        <w:spacing w:before="1"/>
        <w:ind w:left="521"/>
      </w:pPr>
      <w:r>
        <w:rPr/>
        <w:t>十三、双耳失聪</w:t>
      </w:r>
    </w:p>
    <w:p>
      <w:pPr>
        <w:pStyle w:val="BodyText"/>
        <w:spacing w:line="273" w:lineRule="auto" w:before="37"/>
        <w:ind w:left="837" w:right="220"/>
        <w:jc w:val="both"/>
      </w:pPr>
      <w:r>
        <w:rPr/>
        <w:t>指因疾病或意外伤害导致双耳听力永久不可逆</w:t>
      </w:r>
      <w:r>
        <w:rPr>
          <w:position w:val="11"/>
          <w:sz w:val="11"/>
        </w:rPr>
        <w:t>19</w:t>
      </w:r>
      <w:r>
        <w:rPr/>
        <w:t>性丧失，在500赫兹、1000赫兹和2000赫兹语音频率下，平均听阈大于90分贝，且经纯音听力测试、声导抗检测或听觉诱发电位检测等证实。</w:t>
      </w:r>
    </w:p>
    <w:p>
      <w:pPr>
        <w:pStyle w:val="BodyText"/>
        <w:spacing w:before="5"/>
        <w:rPr>
          <w:sz w:val="24"/>
        </w:rPr>
      </w:pPr>
    </w:p>
    <w:p>
      <w:pPr>
        <w:pStyle w:val="BodyText"/>
        <w:spacing w:before="0"/>
        <w:ind w:left="521"/>
      </w:pPr>
      <w:r>
        <w:rPr/>
        <w:t>十四、双目失明</w:t>
      </w:r>
    </w:p>
    <w:p>
      <w:pPr>
        <w:pStyle w:val="BodyText"/>
        <w:spacing w:line="273" w:lineRule="auto"/>
        <w:ind w:left="837" w:right="220"/>
        <w:jc w:val="both"/>
      </w:pPr>
      <w:r>
        <w:rPr/>
        <w:t>指因疾病或意外伤害导致双眼视力永久不可逆性丧失，双眼中较好眼须满足下列至少一项条件：</w:t>
      </w:r>
    </w:p>
    <w:p>
      <w:pPr>
        <w:pStyle w:val="ListParagraph"/>
        <w:numPr>
          <w:ilvl w:val="0"/>
          <w:numId w:val="11"/>
        </w:numPr>
        <w:tabs>
          <w:tab w:pos="1363" w:val="left" w:leader="none"/>
        </w:tabs>
        <w:spacing w:line="240" w:lineRule="auto" w:before="7" w:after="0"/>
        <w:ind w:left="1362" w:right="0" w:hanging="315"/>
        <w:jc w:val="left"/>
        <w:rPr>
          <w:sz w:val="21"/>
        </w:rPr>
      </w:pPr>
      <w:r>
        <w:rPr>
          <w:spacing w:val="-1"/>
          <w:sz w:val="21"/>
        </w:rPr>
        <w:t>眼球缺失或摘除；</w:t>
      </w:r>
    </w:p>
    <w:p>
      <w:pPr>
        <w:pStyle w:val="ListParagraph"/>
        <w:numPr>
          <w:ilvl w:val="0"/>
          <w:numId w:val="11"/>
        </w:numPr>
        <w:tabs>
          <w:tab w:pos="1363" w:val="left" w:leader="none"/>
        </w:tabs>
        <w:spacing w:line="240" w:lineRule="auto" w:before="37" w:after="0"/>
        <w:ind w:left="1362" w:right="0" w:hanging="315"/>
        <w:jc w:val="left"/>
        <w:rPr>
          <w:sz w:val="21"/>
        </w:rPr>
      </w:pPr>
      <w:r>
        <w:rPr>
          <w:spacing w:val="-1"/>
          <w:sz w:val="21"/>
        </w:rPr>
        <w:t>矫正视力低于</w:t>
      </w:r>
      <w:r>
        <w:rPr>
          <w:sz w:val="21"/>
        </w:rPr>
        <w:t>0.02</w:t>
      </w:r>
      <w:r>
        <w:rPr>
          <w:spacing w:val="-2"/>
          <w:sz w:val="21"/>
        </w:rPr>
        <w:t>（</w:t>
      </w:r>
      <w:r>
        <w:rPr>
          <w:sz w:val="21"/>
        </w:rPr>
        <w:t>采用国际标准视力表，如果使用其它视力表应进行换算</w:t>
      </w:r>
      <w:r>
        <w:rPr>
          <w:spacing w:val="-105"/>
          <w:sz w:val="21"/>
        </w:rPr>
        <w:t>）</w:t>
      </w:r>
      <w:r>
        <w:rPr>
          <w:sz w:val="21"/>
        </w:rPr>
        <w:t>；</w:t>
      </w:r>
    </w:p>
    <w:p>
      <w:pPr>
        <w:pStyle w:val="ListParagraph"/>
        <w:numPr>
          <w:ilvl w:val="0"/>
          <w:numId w:val="11"/>
        </w:numPr>
        <w:tabs>
          <w:tab w:pos="1363" w:val="left" w:leader="none"/>
        </w:tabs>
        <w:spacing w:line="240" w:lineRule="auto" w:before="37" w:after="0"/>
        <w:ind w:left="1362" w:right="0" w:hanging="315"/>
        <w:jc w:val="left"/>
        <w:rPr>
          <w:sz w:val="21"/>
        </w:rPr>
      </w:pPr>
      <w:r>
        <w:rPr>
          <w:spacing w:val="-1"/>
          <w:sz w:val="21"/>
        </w:rPr>
        <w:t>视野半径小于</w:t>
      </w:r>
      <w:r>
        <w:rPr>
          <w:sz w:val="21"/>
        </w:rPr>
        <w:t>5度。</w:t>
      </w:r>
    </w:p>
    <w:p>
      <w:pPr>
        <w:pStyle w:val="BodyText"/>
        <w:spacing w:before="8"/>
        <w:rPr>
          <w:sz w:val="26"/>
        </w:rPr>
      </w:pPr>
    </w:p>
    <w:p>
      <w:pPr>
        <w:pStyle w:val="BodyText"/>
        <w:spacing w:before="1"/>
        <w:ind w:left="521"/>
      </w:pPr>
      <w:r>
        <w:rPr/>
        <w:t>十五、瘫痪</w:t>
      </w:r>
    </w:p>
    <w:p>
      <w:pPr>
        <w:pStyle w:val="BodyText"/>
        <w:spacing w:before="37"/>
        <w:ind w:left="837"/>
        <w:jc w:val="both"/>
      </w:pPr>
      <w:r>
        <w:rPr/>
        <w:t>指因疾病或意外伤害导致两肢或两肢以上肢体机能永久完全丧失。肢体机能永久完全丧失，</w:t>
      </w:r>
    </w:p>
    <w:p>
      <w:pPr>
        <w:pStyle w:val="BodyText"/>
        <w:spacing w:before="6"/>
        <w:rPr>
          <w:sz w:val="22"/>
        </w:rPr>
      </w:pPr>
      <w:r>
        <w:rPr/>
        <w:pict>
          <v:line style="position:absolute;mso-position-horizontal-relative:page;mso-position-vertical-relative:paragraph;z-index:1192;mso-wrap-distance-left:0;mso-wrap-distance-right:0" from="85.080002pt,16.958275pt" to="229.080002pt,16.95827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rFonts w:ascii="Times New Roman" w:eastAsia="Times New Roman"/>
          <w:sz w:val="18"/>
        </w:rPr>
      </w:pPr>
      <w:r>
        <w:rPr>
          <w:spacing w:val="-2"/>
          <w:sz w:val="18"/>
        </w:rPr>
        <w:t>永久不可逆：指自疾病确诊或意外伤害发生之日起，经过积极治疗 </w:t>
      </w:r>
      <w:r>
        <w:rPr>
          <w:rFonts w:ascii="Times New Roman" w:eastAsia="Times New Roman"/>
          <w:sz w:val="18"/>
        </w:rPr>
        <w:t>180</w:t>
      </w:r>
      <w:r>
        <w:rPr>
          <w:rFonts w:ascii="Times New Roman" w:eastAsia="Times New Roman"/>
          <w:spacing w:val="-1"/>
          <w:sz w:val="18"/>
        </w:rPr>
        <w:t> </w:t>
      </w:r>
      <w:r>
        <w:rPr>
          <w:sz w:val="18"/>
        </w:rPr>
        <w:t>天后，仍无法通过现有医疗手段恢复。</w:t>
      </w:r>
    </w:p>
    <w:p>
      <w:pPr>
        <w:spacing w:after="0" w:line="240" w:lineRule="auto"/>
        <w:jc w:val="left"/>
        <w:rPr>
          <w:rFonts w:ascii="Times New Roman" w:eastAsia="Times New Roman"/>
          <w:sz w:val="18"/>
        </w:rPr>
        <w:sectPr>
          <w:pgSz w:w="11910" w:h="16840"/>
          <w:pgMar w:header="0" w:footer="776" w:top="1520" w:bottom="960" w:left="1600" w:right="1020"/>
        </w:sectPr>
      </w:pPr>
    </w:p>
    <w:p>
      <w:pPr>
        <w:pStyle w:val="BodyText"/>
        <w:spacing w:line="273" w:lineRule="auto" w:before="12"/>
        <w:ind w:left="757" w:right="198"/>
        <w:jc w:val="both"/>
      </w:pPr>
      <w:r>
        <w:rPr/>
        <w:t>指疾病确诊180天后或意外伤害发生180天后，每肢三大关节中的两大关节仍然完全僵硬， 或不能随意识活动。</w:t>
      </w:r>
    </w:p>
    <w:p>
      <w:pPr>
        <w:pStyle w:val="BodyText"/>
        <w:spacing w:before="5"/>
        <w:rPr>
          <w:sz w:val="24"/>
        </w:rPr>
      </w:pPr>
    </w:p>
    <w:p>
      <w:pPr>
        <w:pStyle w:val="BodyText"/>
        <w:spacing w:before="1"/>
        <w:ind w:left="441"/>
      </w:pPr>
      <w:r>
        <w:rPr/>
        <w:t>十六、心脏瓣膜手术</w:t>
      </w:r>
    </w:p>
    <w:p>
      <w:pPr>
        <w:pStyle w:val="BodyText"/>
        <w:spacing w:before="37"/>
        <w:ind w:left="861"/>
      </w:pPr>
      <w:r>
        <w:rPr/>
        <w:t>指为治疗心脏瓣膜疾病，实际实施了开胸进行的心脏瓣膜置换或修复的手术。</w:t>
      </w:r>
    </w:p>
    <w:p>
      <w:pPr>
        <w:pStyle w:val="BodyText"/>
        <w:spacing w:before="8"/>
        <w:rPr>
          <w:sz w:val="26"/>
        </w:rPr>
      </w:pPr>
    </w:p>
    <w:p>
      <w:pPr>
        <w:pStyle w:val="BodyText"/>
        <w:spacing w:before="0"/>
        <w:ind w:left="441"/>
      </w:pPr>
      <w:r>
        <w:rPr/>
        <w:t>十七、严重阿尔茨海默病</w:t>
      </w:r>
    </w:p>
    <w:p>
      <w:pPr>
        <w:pStyle w:val="BodyText"/>
        <w:spacing w:line="273" w:lineRule="auto"/>
        <w:ind w:left="757" w:right="9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757"/>
      </w:pPr>
      <w:r>
        <w:rPr/>
        <w:t>神经官能症和精神疾病不在保障范围内。</w:t>
      </w:r>
    </w:p>
    <w:p>
      <w:pPr>
        <w:pStyle w:val="BodyText"/>
        <w:spacing w:before="8"/>
        <w:rPr>
          <w:sz w:val="26"/>
        </w:rPr>
      </w:pPr>
    </w:p>
    <w:p>
      <w:pPr>
        <w:pStyle w:val="BodyText"/>
        <w:spacing w:before="0"/>
        <w:ind w:left="441"/>
      </w:pPr>
      <w:r>
        <w:rPr/>
        <w:t>十八、严重脑损伤</w:t>
      </w:r>
    </w:p>
    <w:p>
      <w:pPr>
        <w:pStyle w:val="BodyText"/>
        <w:spacing w:line="273" w:lineRule="auto"/>
        <w:ind w:left="757" w:right="20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ListParagraph"/>
        <w:numPr>
          <w:ilvl w:val="1"/>
          <w:numId w:val="2"/>
        </w:numPr>
        <w:tabs>
          <w:tab w:pos="1261" w:val="left" w:leader="none"/>
        </w:tabs>
        <w:spacing w:line="240" w:lineRule="auto" w:before="7" w:after="0"/>
        <w:ind w:left="1260" w:right="0" w:hanging="315"/>
        <w:jc w:val="left"/>
        <w:rPr>
          <w:sz w:val="21"/>
        </w:rPr>
      </w:pPr>
      <w:r>
        <w:rPr>
          <w:spacing w:val="-1"/>
          <w:sz w:val="21"/>
        </w:rPr>
        <w:t>一肢或一肢以上肢体机能完全丧失；</w:t>
      </w:r>
    </w:p>
    <w:p>
      <w:pPr>
        <w:pStyle w:val="ListParagraph"/>
        <w:numPr>
          <w:ilvl w:val="1"/>
          <w:numId w:val="2"/>
        </w:numPr>
        <w:tabs>
          <w:tab w:pos="1261" w:val="left" w:leader="none"/>
        </w:tabs>
        <w:spacing w:line="240" w:lineRule="auto" w:before="37" w:after="0"/>
        <w:ind w:left="1260" w:right="0" w:hanging="315"/>
        <w:jc w:val="left"/>
        <w:rPr>
          <w:sz w:val="21"/>
        </w:rPr>
      </w:pPr>
      <w:r>
        <w:rPr>
          <w:spacing w:val="-1"/>
          <w:sz w:val="21"/>
        </w:rPr>
        <w:t>语言能力或咀嚼吞咽能力完全丧失；</w:t>
      </w:r>
    </w:p>
    <w:p>
      <w:pPr>
        <w:pStyle w:val="ListParagraph"/>
        <w:numPr>
          <w:ilvl w:val="1"/>
          <w:numId w:val="2"/>
        </w:numPr>
        <w:tabs>
          <w:tab w:pos="1261" w:val="left" w:leader="none"/>
        </w:tabs>
        <w:spacing w:line="240" w:lineRule="auto" w:before="37" w:after="0"/>
        <w:ind w:left="1260" w:right="0" w:hanging="315"/>
        <w:jc w:val="left"/>
        <w:rPr>
          <w:sz w:val="21"/>
        </w:rPr>
      </w:pPr>
      <w:r>
        <w:rPr>
          <w:spacing w:val="-1"/>
          <w:sz w:val="21"/>
        </w:rPr>
        <w:t>自主生活能力完全丧失，无法独立完成六项基本日常生活活动中的三项或三项以上。</w:t>
      </w:r>
    </w:p>
    <w:p>
      <w:pPr>
        <w:pStyle w:val="BodyText"/>
        <w:spacing w:before="8"/>
        <w:rPr>
          <w:sz w:val="26"/>
        </w:rPr>
      </w:pPr>
    </w:p>
    <w:p>
      <w:pPr>
        <w:pStyle w:val="BodyText"/>
        <w:spacing w:before="0"/>
        <w:ind w:left="441"/>
      </w:pPr>
      <w:r>
        <w:rPr/>
        <w:t>十九、严重帕金森病</w:t>
      </w:r>
    </w:p>
    <w:p>
      <w:pPr>
        <w:pStyle w:val="BodyText"/>
        <w:spacing w:line="273" w:lineRule="auto"/>
        <w:ind w:left="757" w:right="200"/>
        <w:jc w:val="both"/>
      </w:pPr>
      <w:r>
        <w:rPr/>
        <w:t>是一种中枢神经系统的退行性疾病，临床表现为震颤麻痹、共济失调等。须满足下列全部条件：</w:t>
      </w:r>
    </w:p>
    <w:p>
      <w:pPr>
        <w:pStyle w:val="ListParagraph"/>
        <w:numPr>
          <w:ilvl w:val="0"/>
          <w:numId w:val="12"/>
        </w:numPr>
        <w:tabs>
          <w:tab w:pos="1261" w:val="left" w:leader="none"/>
        </w:tabs>
        <w:spacing w:line="240" w:lineRule="auto" w:before="7" w:after="0"/>
        <w:ind w:left="848" w:right="0" w:firstLine="97"/>
        <w:jc w:val="left"/>
        <w:rPr>
          <w:sz w:val="21"/>
        </w:rPr>
      </w:pPr>
      <w:r>
        <w:rPr>
          <w:spacing w:val="-1"/>
          <w:sz w:val="21"/>
        </w:rPr>
        <w:t>药物治疗无法控制病情；</w:t>
      </w:r>
    </w:p>
    <w:p>
      <w:pPr>
        <w:pStyle w:val="ListParagraph"/>
        <w:numPr>
          <w:ilvl w:val="0"/>
          <w:numId w:val="12"/>
        </w:numPr>
        <w:tabs>
          <w:tab w:pos="1261" w:val="left" w:leader="none"/>
        </w:tabs>
        <w:spacing w:line="273" w:lineRule="auto" w:before="37" w:after="0"/>
        <w:ind w:left="848" w:right="152" w:firstLine="97"/>
        <w:jc w:val="left"/>
        <w:rPr>
          <w:sz w:val="21"/>
        </w:rPr>
      </w:pPr>
      <w:r>
        <w:rPr>
          <w:sz w:val="21"/>
        </w:rPr>
        <w:t>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441"/>
      </w:pPr>
      <w:r>
        <w:rPr/>
        <w:t>二十、严重Ⅲ度烧伤</w:t>
      </w:r>
    </w:p>
    <w:p>
      <w:pPr>
        <w:pStyle w:val="BodyText"/>
        <w:spacing w:line="273" w:lineRule="auto"/>
        <w:ind w:left="757" w:right="200"/>
        <w:jc w:val="both"/>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441"/>
      </w:pPr>
      <w:r>
        <w:rPr/>
        <w:t>二十一、严重原发性肺动脉高压</w:t>
      </w:r>
    </w:p>
    <w:p>
      <w:pPr>
        <w:pStyle w:val="BodyText"/>
        <w:spacing w:line="273" w:lineRule="auto" w:before="37"/>
        <w:ind w:left="757" w:right="200"/>
        <w:jc w:val="both"/>
      </w:pPr>
      <w:r>
        <w:rPr/>
        <w:t>指不明原因的肺动脉压力持续性增高，进行性发展而导致的慢性疾病，已经造成永久不可</w:t>
      </w:r>
      <w:r>
        <w:rPr>
          <w:spacing w:val="-3"/>
        </w:rPr>
        <w:t>逆性的体力活动能力受限，达到美国纽约心脏病学会心功能状态分级</w:t>
      </w:r>
      <w:r>
        <w:rPr/>
        <w:t>IV</w:t>
      </w:r>
      <w:r>
        <w:rPr>
          <w:spacing w:val="-9"/>
        </w:rPr>
        <w:t> 级，且静息状态下肺动脉平均压超过30mmHg。</w:t>
      </w:r>
    </w:p>
    <w:p>
      <w:pPr>
        <w:pStyle w:val="BodyText"/>
        <w:spacing w:before="5"/>
        <w:rPr>
          <w:sz w:val="24"/>
        </w:rPr>
      </w:pPr>
    </w:p>
    <w:p>
      <w:pPr>
        <w:pStyle w:val="BodyText"/>
        <w:spacing w:before="0"/>
        <w:ind w:left="441"/>
      </w:pPr>
      <w:r>
        <w:rPr/>
        <w:t>二十二、严重运动神经元病</w:t>
      </w:r>
    </w:p>
    <w:p>
      <w:pPr>
        <w:pStyle w:val="BodyText"/>
        <w:spacing w:line="273" w:lineRule="auto"/>
        <w:ind w:left="757"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441"/>
      </w:pPr>
      <w:r>
        <w:rPr/>
        <w:t>二十三、语言能力丧失</w:t>
      </w:r>
    </w:p>
    <w:p>
      <w:pPr>
        <w:pStyle w:val="BodyText"/>
        <w:spacing w:line="273" w:lineRule="auto" w:before="37"/>
        <w:ind w:left="757" w:right="1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8"/>
        <w:ind w:left="861"/>
      </w:pPr>
      <w:r>
        <w:rPr/>
        <w:t>精神心理因素所致的语言能力丧失不在保障范围内。</w:t>
      </w:r>
    </w:p>
    <w:p>
      <w:pPr>
        <w:spacing w:after="0"/>
        <w:sectPr>
          <w:pgSz w:w="11910" w:h="16840"/>
          <w:pgMar w:header="0" w:footer="776" w:top="1220" w:bottom="960" w:left="1680" w:right="1040"/>
        </w:sectPr>
      </w:pPr>
    </w:p>
    <w:p>
      <w:pPr>
        <w:pStyle w:val="BodyText"/>
        <w:spacing w:before="24"/>
        <w:ind w:left="441"/>
      </w:pPr>
      <w:r>
        <w:rPr/>
        <w:t>二十四、重型再生障碍性贫血</w:t>
      </w:r>
    </w:p>
    <w:p>
      <w:pPr>
        <w:pStyle w:val="BodyText"/>
        <w:spacing w:line="273" w:lineRule="auto" w:before="37"/>
        <w:ind w:left="757" w:right="200"/>
      </w:pPr>
      <w:r>
        <w:rPr/>
        <w:t>指因骨髓造血功能慢性持续性衰竭导致的贫血、中性粒细胞减少及血小板减少。须满足下列全部条件：</w:t>
      </w:r>
    </w:p>
    <w:p>
      <w:pPr>
        <w:pStyle w:val="ListParagraph"/>
        <w:numPr>
          <w:ilvl w:val="0"/>
          <w:numId w:val="13"/>
        </w:numPr>
        <w:tabs>
          <w:tab w:pos="1283" w:val="left" w:leader="none"/>
        </w:tabs>
        <w:spacing w:line="240" w:lineRule="auto" w:before="7" w:after="0"/>
        <w:ind w:left="1282" w:right="0" w:hanging="315"/>
        <w:jc w:val="left"/>
        <w:rPr>
          <w:sz w:val="21"/>
        </w:rPr>
      </w:pPr>
      <w:r>
        <w:rPr>
          <w:spacing w:val="-1"/>
          <w:sz w:val="21"/>
        </w:rPr>
        <w:t>骨髓穿刺检查或骨髓活检结果支持诊断；</w:t>
      </w:r>
    </w:p>
    <w:p>
      <w:pPr>
        <w:pStyle w:val="ListParagraph"/>
        <w:numPr>
          <w:ilvl w:val="0"/>
          <w:numId w:val="13"/>
        </w:numPr>
        <w:tabs>
          <w:tab w:pos="1283" w:val="left" w:leader="none"/>
        </w:tabs>
        <w:spacing w:line="240" w:lineRule="auto" w:before="36" w:after="0"/>
        <w:ind w:left="1282" w:right="0" w:hanging="315"/>
        <w:jc w:val="left"/>
        <w:rPr>
          <w:sz w:val="21"/>
        </w:rPr>
      </w:pPr>
      <w:r>
        <w:rPr>
          <w:spacing w:val="-1"/>
          <w:sz w:val="21"/>
        </w:rPr>
        <w:t>外周血象须具备以下三项条件：</w:t>
      </w:r>
    </w:p>
    <w:p>
      <w:pPr>
        <w:pStyle w:val="BodyText"/>
        <w:ind w:left="1387"/>
      </w:pPr>
      <w:r>
        <w:rPr/>
        <w:t>① 中性粒细胞绝对值≤0.5×10</w:t>
      </w:r>
      <w:r>
        <w:rPr>
          <w:position w:val="11"/>
          <w:sz w:val="11"/>
        </w:rPr>
        <w:t>9</w:t>
      </w:r>
      <w:r>
        <w:rPr/>
        <w:t>/L ；</w:t>
      </w:r>
    </w:p>
    <w:p>
      <w:pPr>
        <w:pStyle w:val="BodyText"/>
        <w:ind w:left="1387"/>
      </w:pPr>
      <w:r>
        <w:rPr/>
        <w:t>② 网织红细胞＜1%；</w:t>
      </w:r>
    </w:p>
    <w:p>
      <w:pPr>
        <w:pStyle w:val="BodyText"/>
        <w:ind w:left="1387"/>
      </w:pPr>
      <w:r>
        <w:rPr/>
        <w:t>③ 血小板绝对值≤20×10</w:t>
      </w:r>
      <w:r>
        <w:rPr>
          <w:position w:val="11"/>
          <w:sz w:val="11"/>
        </w:rPr>
        <w:t>9</w:t>
      </w:r>
      <w:r>
        <w:rPr/>
        <w:t>/L。</w:t>
      </w:r>
    </w:p>
    <w:p>
      <w:pPr>
        <w:pStyle w:val="BodyText"/>
        <w:spacing w:before="8"/>
        <w:rPr>
          <w:sz w:val="26"/>
        </w:rPr>
      </w:pPr>
    </w:p>
    <w:p>
      <w:pPr>
        <w:pStyle w:val="BodyText"/>
        <w:spacing w:before="0"/>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1"/>
        <w:ind w:left="441"/>
      </w:pPr>
      <w:r>
        <w:rPr/>
        <w:t>二十六、慢性呼吸功能衰竭</w:t>
      </w:r>
    </w:p>
    <w:p>
      <w:pPr>
        <w:pStyle w:val="BodyText"/>
        <w:spacing w:line="273" w:lineRule="auto" w:before="37"/>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ind w:left="861"/>
        <w:jc w:val="both"/>
      </w:pPr>
      <w:r>
        <w:rPr>
          <w:position w:val="1"/>
        </w:rPr>
        <w:t>（2）动脉血氧分压 （PaO</w:t>
      </w:r>
      <w:r>
        <w:rPr>
          <w:sz w:val="11"/>
        </w:rPr>
        <w:t>2</w:t>
      </w:r>
      <w:r>
        <w:rPr>
          <w:position w:val="1"/>
        </w:rPr>
        <w:t>）&lt; 50mmHg；</w:t>
      </w:r>
    </w:p>
    <w:p>
      <w:pPr>
        <w:pStyle w:val="BodyText"/>
        <w:spacing w:before="37"/>
        <w:ind w:left="861"/>
        <w:jc w:val="both"/>
      </w:pPr>
      <w:r>
        <w:rPr>
          <w:position w:val="1"/>
        </w:rPr>
        <w:t>（3）动脉血氧饱和度 （SaO</w:t>
      </w:r>
      <w:r>
        <w:rPr>
          <w:sz w:val="11"/>
        </w:rPr>
        <w:t>2</w:t>
      </w:r>
      <w:r>
        <w:rPr>
          <w:position w:val="1"/>
        </w:rPr>
        <w:t>）&lt; 80％；</w:t>
      </w:r>
    </w:p>
    <w:p>
      <w:pPr>
        <w:pStyle w:val="BodyText"/>
        <w:spacing w:before="37"/>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7"/>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8"/>
        <w:ind w:left="861"/>
      </w:pPr>
      <w:r>
        <w:rPr/>
        <w:t>（1）移动：自己从一个房间到另一个房间；或者</w:t>
      </w:r>
    </w:p>
    <w:p>
      <w:pPr>
        <w:pStyle w:val="BodyText"/>
        <w:spacing w:before="37"/>
        <w:ind w:left="861"/>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7"/>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8"/>
        <w:rPr>
          <w:sz w:val="26"/>
        </w:rPr>
      </w:pPr>
    </w:p>
    <w:p>
      <w:pPr>
        <w:pStyle w:val="BodyText"/>
        <w:spacing w:before="0"/>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spacing w:after="0" w:line="273" w:lineRule="auto"/>
        <w:sectPr>
          <w:footerReference w:type="default" r:id="rId9"/>
          <w:pgSz w:w="11910" w:h="16840"/>
          <w:pgMar w:footer="776" w:header="0" w:top="1520" w:bottom="960" w:left="1680" w:right="1040"/>
          <w:pgNumType w:start="10"/>
        </w:sectPr>
      </w:pPr>
    </w:p>
    <w:p>
      <w:pPr>
        <w:pStyle w:val="BodyText"/>
        <w:spacing w:line="273" w:lineRule="auto" w:before="12"/>
        <w:ind w:left="861" w:right="102"/>
        <w:jc w:val="both"/>
      </w:pPr>
      <w:r>
        <w:rPr>
          <w:spacing w:val="-8"/>
        </w:rPr>
        <w:t>Ⅱ级以上，并且接受了外科剖腹手术治疗，以进行坏死组织清除、坏死病灶切除或胰腺切除。</w:t>
      </w:r>
    </w:p>
    <w:p>
      <w:pPr>
        <w:pStyle w:val="BodyText"/>
        <w:spacing w:before="8"/>
        <w:ind w:left="861"/>
      </w:pPr>
      <w:r>
        <w:rPr/>
        <w:t>因酗酒或饮酒过量所致的急性坏死性胰腺炎以及腹腔镜手术不在保障范围内。</w:t>
      </w:r>
    </w:p>
    <w:p>
      <w:pPr>
        <w:pStyle w:val="BodyText"/>
        <w:spacing w:before="9"/>
        <w:rPr>
          <w:sz w:val="26"/>
        </w:rPr>
      </w:pPr>
    </w:p>
    <w:p>
      <w:pPr>
        <w:pStyle w:val="BodyText"/>
        <w:spacing w:before="0"/>
        <w:ind w:left="441"/>
      </w:pPr>
      <w:r>
        <w:rPr/>
        <w:t>三十一、肌营养不良症</w:t>
      </w:r>
    </w:p>
    <w:p>
      <w:pPr>
        <w:pStyle w:val="BodyText"/>
        <w:spacing w:line="273" w:lineRule="auto" w:before="37"/>
        <w:ind w:left="861" w:right="101"/>
        <w:jc w:val="both"/>
      </w:pPr>
      <w:r>
        <w:rPr>
          <w:spacing w:val="-4"/>
        </w:rPr>
        <w:t>肌营养不良症是一组遗传性肌肉变性性病变，临床特征为与神经系统无关的肌肉无力和肌</w:t>
      </w:r>
      <w:r>
        <w:rPr>
          <w:spacing w:val="-10"/>
        </w:rPr>
        <w:t>肉萎缩。本附加合同仅对肌营养不良症已造成永久不可逆性的神经系统功能损害导致被保</w:t>
      </w:r>
      <w:r>
        <w:rPr>
          <w:spacing w:val="-6"/>
        </w:rPr>
        <w:t>险人无法丧失独立完成六项基本日常生活活动中的三项或三项以上的活动能力的情况予以理赔。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ind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0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04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01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11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282" w:hanging="316"/>
        <w:jc w:val="left"/>
      </w:pPr>
      <w:rPr>
        <w:rFonts w:hint="default" w:ascii="宋体" w:hAnsi="宋体" w:eastAsia="宋体" w:cs="宋体"/>
        <w:spacing w:val="-2"/>
        <w:w w:val="100"/>
        <w:sz w:val="21"/>
        <w:szCs w:val="21"/>
      </w:rPr>
    </w:lvl>
    <w:lvl w:ilvl="1">
      <w:start w:val="0"/>
      <w:numFmt w:val="bullet"/>
      <w:lvlText w:val="•"/>
      <w:lvlJc w:val="left"/>
      <w:pPr>
        <w:ind w:left="2070" w:hanging="316"/>
      </w:pPr>
      <w:rPr>
        <w:rFonts w:hint="default"/>
      </w:rPr>
    </w:lvl>
    <w:lvl w:ilvl="2">
      <w:start w:val="0"/>
      <w:numFmt w:val="bullet"/>
      <w:lvlText w:val="•"/>
      <w:lvlJc w:val="left"/>
      <w:pPr>
        <w:ind w:left="2860" w:hanging="316"/>
      </w:pPr>
      <w:rPr>
        <w:rFonts w:hint="default"/>
      </w:rPr>
    </w:lvl>
    <w:lvl w:ilvl="3">
      <w:start w:val="0"/>
      <w:numFmt w:val="bullet"/>
      <w:lvlText w:val="•"/>
      <w:lvlJc w:val="left"/>
      <w:pPr>
        <w:ind w:left="3651" w:hanging="316"/>
      </w:pPr>
      <w:rPr>
        <w:rFonts w:hint="default"/>
      </w:rPr>
    </w:lvl>
    <w:lvl w:ilvl="4">
      <w:start w:val="0"/>
      <w:numFmt w:val="bullet"/>
      <w:lvlText w:val="•"/>
      <w:lvlJc w:val="left"/>
      <w:pPr>
        <w:ind w:left="4441" w:hanging="316"/>
      </w:pPr>
      <w:rPr>
        <w:rFonts w:hint="default"/>
      </w:rPr>
    </w:lvl>
    <w:lvl w:ilvl="5">
      <w:start w:val="0"/>
      <w:numFmt w:val="bullet"/>
      <w:lvlText w:val="•"/>
      <w:lvlJc w:val="left"/>
      <w:pPr>
        <w:ind w:left="5232" w:hanging="316"/>
      </w:pPr>
      <w:rPr>
        <w:rFonts w:hint="default"/>
      </w:rPr>
    </w:lvl>
    <w:lvl w:ilvl="6">
      <w:start w:val="0"/>
      <w:numFmt w:val="bullet"/>
      <w:lvlText w:val="•"/>
      <w:lvlJc w:val="left"/>
      <w:pPr>
        <w:ind w:left="6022" w:hanging="316"/>
      </w:pPr>
      <w:rPr>
        <w:rFonts w:hint="default"/>
      </w:rPr>
    </w:lvl>
    <w:lvl w:ilvl="7">
      <w:start w:val="0"/>
      <w:numFmt w:val="bullet"/>
      <w:lvlText w:val="•"/>
      <w:lvlJc w:val="left"/>
      <w:pPr>
        <w:ind w:left="6813" w:hanging="316"/>
      </w:pPr>
      <w:rPr>
        <w:rFonts w:hint="default"/>
      </w:rPr>
    </w:lvl>
    <w:lvl w:ilvl="8">
      <w:start w:val="0"/>
      <w:numFmt w:val="bullet"/>
      <w:lvlText w:val="•"/>
      <w:lvlJc w:val="left"/>
      <w:pPr>
        <w:ind w:left="7603" w:hanging="316"/>
      </w:pPr>
      <w:rPr>
        <w:rFonts w:hint="default"/>
      </w:rPr>
    </w:lvl>
  </w:abstractNum>
  <w:abstractNum w:abstractNumId="11">
    <w:multiLevelType w:val="hybridMultilevel"/>
    <w:lvl w:ilvl="0">
      <w:start w:val="1"/>
      <w:numFmt w:val="decimal"/>
      <w:lvlText w:val="%1."/>
      <w:lvlJc w:val="left"/>
      <w:pPr>
        <w:ind w:left="848" w:hanging="316"/>
        <w:jc w:val="left"/>
      </w:pPr>
      <w:rPr>
        <w:rFonts w:hint="default" w:ascii="宋体" w:hAnsi="宋体" w:eastAsia="宋体" w:cs="宋体"/>
        <w:spacing w:val="-2"/>
        <w:w w:val="100"/>
        <w:sz w:val="21"/>
        <w:szCs w:val="21"/>
      </w:rPr>
    </w:lvl>
    <w:lvl w:ilvl="1">
      <w:start w:val="0"/>
      <w:numFmt w:val="bullet"/>
      <w:lvlText w:val="•"/>
      <w:lvlJc w:val="left"/>
      <w:pPr>
        <w:ind w:left="1674" w:hanging="316"/>
      </w:pPr>
      <w:rPr>
        <w:rFonts w:hint="default"/>
      </w:rPr>
    </w:lvl>
    <w:lvl w:ilvl="2">
      <w:start w:val="0"/>
      <w:numFmt w:val="bullet"/>
      <w:lvlText w:val="•"/>
      <w:lvlJc w:val="left"/>
      <w:pPr>
        <w:ind w:left="2508" w:hanging="316"/>
      </w:pPr>
      <w:rPr>
        <w:rFonts w:hint="default"/>
      </w:rPr>
    </w:lvl>
    <w:lvl w:ilvl="3">
      <w:start w:val="0"/>
      <w:numFmt w:val="bullet"/>
      <w:lvlText w:val="•"/>
      <w:lvlJc w:val="left"/>
      <w:pPr>
        <w:ind w:left="3343" w:hanging="316"/>
      </w:pPr>
      <w:rPr>
        <w:rFonts w:hint="default"/>
      </w:rPr>
    </w:lvl>
    <w:lvl w:ilvl="4">
      <w:start w:val="0"/>
      <w:numFmt w:val="bullet"/>
      <w:lvlText w:val="•"/>
      <w:lvlJc w:val="left"/>
      <w:pPr>
        <w:ind w:left="4177" w:hanging="316"/>
      </w:pPr>
      <w:rPr>
        <w:rFonts w:hint="default"/>
      </w:rPr>
    </w:lvl>
    <w:lvl w:ilvl="5">
      <w:start w:val="0"/>
      <w:numFmt w:val="bullet"/>
      <w:lvlText w:val="•"/>
      <w:lvlJc w:val="left"/>
      <w:pPr>
        <w:ind w:left="5012" w:hanging="316"/>
      </w:pPr>
      <w:rPr>
        <w:rFonts w:hint="default"/>
      </w:rPr>
    </w:lvl>
    <w:lvl w:ilvl="6">
      <w:start w:val="0"/>
      <w:numFmt w:val="bullet"/>
      <w:lvlText w:val="•"/>
      <w:lvlJc w:val="left"/>
      <w:pPr>
        <w:ind w:left="584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15" w:hanging="316"/>
      </w:pPr>
      <w:rPr>
        <w:rFonts w:hint="default"/>
      </w:rPr>
    </w:lvl>
  </w:abstractNum>
  <w:abstractNum w:abstractNumId="10">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9">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8">
    <w:multiLevelType w:val="hybridMultilevel"/>
    <w:lvl w:ilvl="0">
      <w:start w:val="1"/>
      <w:numFmt w:val="decimal"/>
      <w:lvlText w:val="%1."/>
      <w:lvlJc w:val="left"/>
      <w:pPr>
        <w:ind w:left="1000" w:hanging="316"/>
        <w:jc w:val="left"/>
      </w:pPr>
      <w:rPr>
        <w:rFonts w:hint="default" w:ascii="宋体" w:hAnsi="宋体" w:eastAsia="宋体" w:cs="宋体"/>
        <w:spacing w:val="-2"/>
        <w:w w:val="100"/>
        <w:sz w:val="21"/>
        <w:szCs w:val="21"/>
      </w:rPr>
    </w:lvl>
    <w:lvl w:ilvl="1">
      <w:start w:val="0"/>
      <w:numFmt w:val="bullet"/>
      <w:lvlText w:val="•"/>
      <w:lvlJc w:val="left"/>
      <w:pPr>
        <w:ind w:left="1828" w:hanging="316"/>
      </w:pPr>
      <w:rPr>
        <w:rFonts w:hint="default"/>
      </w:rPr>
    </w:lvl>
    <w:lvl w:ilvl="2">
      <w:start w:val="0"/>
      <w:numFmt w:val="bullet"/>
      <w:lvlText w:val="•"/>
      <w:lvlJc w:val="left"/>
      <w:pPr>
        <w:ind w:left="2656" w:hanging="316"/>
      </w:pPr>
      <w:rPr>
        <w:rFonts w:hint="default"/>
      </w:rPr>
    </w:lvl>
    <w:lvl w:ilvl="3">
      <w:start w:val="0"/>
      <w:numFmt w:val="bullet"/>
      <w:lvlText w:val="•"/>
      <w:lvlJc w:val="left"/>
      <w:pPr>
        <w:ind w:left="3485" w:hanging="316"/>
      </w:pPr>
      <w:rPr>
        <w:rFonts w:hint="default"/>
      </w:rPr>
    </w:lvl>
    <w:lvl w:ilvl="4">
      <w:start w:val="0"/>
      <w:numFmt w:val="bullet"/>
      <w:lvlText w:val="•"/>
      <w:lvlJc w:val="left"/>
      <w:pPr>
        <w:ind w:left="4313" w:hanging="316"/>
      </w:pPr>
      <w:rPr>
        <w:rFonts w:hint="default"/>
      </w:rPr>
    </w:lvl>
    <w:lvl w:ilvl="5">
      <w:start w:val="0"/>
      <w:numFmt w:val="bullet"/>
      <w:lvlText w:val="•"/>
      <w:lvlJc w:val="left"/>
      <w:pPr>
        <w:ind w:left="5142" w:hanging="316"/>
      </w:pPr>
      <w:rPr>
        <w:rFonts w:hint="default"/>
      </w:rPr>
    </w:lvl>
    <w:lvl w:ilvl="6">
      <w:start w:val="0"/>
      <w:numFmt w:val="bullet"/>
      <w:lvlText w:val="•"/>
      <w:lvlJc w:val="left"/>
      <w:pPr>
        <w:ind w:left="5970" w:hanging="316"/>
      </w:pPr>
      <w:rPr>
        <w:rFonts w:hint="default"/>
      </w:rPr>
    </w:lvl>
    <w:lvl w:ilvl="7">
      <w:start w:val="0"/>
      <w:numFmt w:val="bullet"/>
      <w:lvlText w:val="•"/>
      <w:lvlJc w:val="left"/>
      <w:pPr>
        <w:ind w:left="6799" w:hanging="316"/>
      </w:pPr>
      <w:rPr>
        <w:rFonts w:hint="default"/>
      </w:rPr>
    </w:lvl>
    <w:lvl w:ilvl="8">
      <w:start w:val="0"/>
      <w:numFmt w:val="bullet"/>
      <w:lvlText w:val="•"/>
      <w:lvlJc w:val="left"/>
      <w:pPr>
        <w:ind w:left="7627" w:hanging="316"/>
      </w:pPr>
      <w:rPr>
        <w:rFonts w:hint="default"/>
      </w:rPr>
    </w:lvl>
  </w:abstractNum>
  <w:abstractNum w:abstractNumId="7">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6">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5">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52" w:hanging="316"/>
      </w:pPr>
      <w:rPr>
        <w:rFonts w:hint="default"/>
      </w:rPr>
    </w:lvl>
    <w:lvl w:ilvl="2">
      <w:start w:val="0"/>
      <w:numFmt w:val="bullet"/>
      <w:lvlText w:val="•"/>
      <w:lvlJc w:val="left"/>
      <w:pPr>
        <w:ind w:left="2944" w:hanging="316"/>
      </w:pPr>
      <w:rPr>
        <w:rFonts w:hint="default"/>
      </w:rPr>
    </w:lvl>
    <w:lvl w:ilvl="3">
      <w:start w:val="0"/>
      <w:numFmt w:val="bullet"/>
      <w:lvlText w:val="•"/>
      <w:lvlJc w:val="left"/>
      <w:pPr>
        <w:ind w:left="3737" w:hanging="316"/>
      </w:pPr>
      <w:rPr>
        <w:rFonts w:hint="default"/>
      </w:rPr>
    </w:lvl>
    <w:lvl w:ilvl="4">
      <w:start w:val="0"/>
      <w:numFmt w:val="bullet"/>
      <w:lvlText w:val="•"/>
      <w:lvlJc w:val="left"/>
      <w:pPr>
        <w:ind w:left="4529" w:hanging="316"/>
      </w:pPr>
      <w:rPr>
        <w:rFonts w:hint="default"/>
      </w:rPr>
    </w:lvl>
    <w:lvl w:ilvl="5">
      <w:start w:val="0"/>
      <w:numFmt w:val="bullet"/>
      <w:lvlText w:val="•"/>
      <w:lvlJc w:val="left"/>
      <w:pPr>
        <w:ind w:left="5322" w:hanging="316"/>
      </w:pPr>
      <w:rPr>
        <w:rFonts w:hint="default"/>
      </w:rPr>
    </w:lvl>
    <w:lvl w:ilvl="6">
      <w:start w:val="0"/>
      <w:numFmt w:val="bullet"/>
      <w:lvlText w:val="•"/>
      <w:lvlJc w:val="left"/>
      <w:pPr>
        <w:ind w:left="6114" w:hanging="316"/>
      </w:pPr>
      <w:rPr>
        <w:rFonts w:hint="default"/>
      </w:rPr>
    </w:lvl>
    <w:lvl w:ilvl="7">
      <w:start w:val="0"/>
      <w:numFmt w:val="bullet"/>
      <w:lvlText w:val="•"/>
      <w:lvlJc w:val="left"/>
      <w:pPr>
        <w:ind w:left="6907" w:hanging="316"/>
      </w:pPr>
      <w:rPr>
        <w:rFonts w:hint="default"/>
      </w:rPr>
    </w:lvl>
    <w:lvl w:ilvl="8">
      <w:start w:val="0"/>
      <w:numFmt w:val="bullet"/>
      <w:lvlText w:val="•"/>
      <w:lvlJc w:val="left"/>
      <w:pPr>
        <w:ind w:left="7699" w:hanging="316"/>
      </w:pPr>
      <w:rPr>
        <w:rFonts w:hint="default"/>
      </w:rPr>
    </w:lvl>
  </w:abstractNum>
  <w:abstractNum w:abstractNumId="4">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8" w:hanging="315"/>
      </w:pPr>
      <w:rPr>
        <w:rFonts w:hint="default"/>
      </w:rPr>
    </w:lvl>
    <w:lvl w:ilvl="2">
      <w:start w:val="0"/>
      <w:numFmt w:val="bullet"/>
      <w:lvlText w:val="•"/>
      <w:lvlJc w:val="left"/>
      <w:pPr>
        <w:ind w:left="2936" w:hanging="315"/>
      </w:pPr>
      <w:rPr>
        <w:rFonts w:hint="default"/>
      </w:rPr>
    </w:lvl>
    <w:lvl w:ilvl="3">
      <w:start w:val="0"/>
      <w:numFmt w:val="bullet"/>
      <w:lvlText w:val="•"/>
      <w:lvlJc w:val="left"/>
      <w:pPr>
        <w:ind w:left="3725" w:hanging="315"/>
      </w:pPr>
      <w:rPr>
        <w:rFonts w:hint="default"/>
      </w:rPr>
    </w:lvl>
    <w:lvl w:ilvl="4">
      <w:start w:val="0"/>
      <w:numFmt w:val="bullet"/>
      <w:lvlText w:val="•"/>
      <w:lvlJc w:val="left"/>
      <w:pPr>
        <w:ind w:left="4513" w:hanging="315"/>
      </w:pPr>
      <w:rPr>
        <w:rFonts w:hint="default"/>
      </w:rPr>
    </w:lvl>
    <w:lvl w:ilvl="5">
      <w:start w:val="0"/>
      <w:numFmt w:val="bullet"/>
      <w:lvlText w:val="•"/>
      <w:lvlJc w:val="left"/>
      <w:pPr>
        <w:ind w:left="5302" w:hanging="315"/>
      </w:pPr>
      <w:rPr>
        <w:rFonts w:hint="default"/>
      </w:rPr>
    </w:lvl>
    <w:lvl w:ilvl="6">
      <w:start w:val="0"/>
      <w:numFmt w:val="bullet"/>
      <w:lvlText w:val="•"/>
      <w:lvlJc w:val="left"/>
      <w:pPr>
        <w:ind w:left="6090" w:hanging="315"/>
      </w:pPr>
      <w:rPr>
        <w:rFonts w:hint="default"/>
      </w:rPr>
    </w:lvl>
    <w:lvl w:ilvl="7">
      <w:start w:val="0"/>
      <w:numFmt w:val="bullet"/>
      <w:lvlText w:val="•"/>
      <w:lvlJc w:val="left"/>
      <w:pPr>
        <w:ind w:left="6879" w:hanging="315"/>
      </w:pPr>
      <w:rPr>
        <w:rFonts w:hint="default"/>
      </w:rPr>
    </w:lvl>
    <w:lvl w:ilvl="8">
      <w:start w:val="0"/>
      <w:numFmt w:val="bullet"/>
      <w:lvlText w:val="•"/>
      <w:lvlJc w:val="left"/>
      <w:pPr>
        <w:ind w:left="7667" w:hanging="315"/>
      </w:pPr>
      <w:rPr>
        <w:rFonts w:hint="default"/>
      </w:rPr>
    </w:lvl>
  </w:abstractNum>
  <w:abstractNum w:abstractNumId="3">
    <w:multiLevelType w:val="hybridMultilevel"/>
    <w:lvl w:ilvl="0">
      <w:start w:val="4"/>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abstractNum w:abstractNumId="2">
    <w:multiLevelType w:val="hybridMultilevel"/>
    <w:lvl w:ilvl="0">
      <w:start w:val="1"/>
      <w:numFmt w:val="decimal"/>
      <w:lvlText w:val="%1."/>
      <w:lvlJc w:val="left"/>
      <w:pPr>
        <w:ind w:left="1421" w:hanging="420"/>
        <w:jc w:val="left"/>
      </w:pPr>
      <w:rPr>
        <w:rFonts w:hint="default" w:ascii="宋体" w:hAnsi="宋体" w:eastAsia="宋体" w:cs="宋体"/>
        <w:spacing w:val="-1"/>
        <w:w w:val="100"/>
        <w:sz w:val="21"/>
        <w:szCs w:val="21"/>
      </w:rPr>
    </w:lvl>
    <w:lvl w:ilvl="1">
      <w:start w:val="0"/>
      <w:numFmt w:val="bullet"/>
      <w:lvlText w:val="•"/>
      <w:lvlJc w:val="left"/>
      <w:pPr>
        <w:ind w:left="2202" w:hanging="420"/>
      </w:pPr>
      <w:rPr>
        <w:rFonts w:hint="default"/>
      </w:rPr>
    </w:lvl>
    <w:lvl w:ilvl="2">
      <w:start w:val="0"/>
      <w:numFmt w:val="bullet"/>
      <w:lvlText w:val="•"/>
      <w:lvlJc w:val="left"/>
      <w:pPr>
        <w:ind w:left="2984" w:hanging="420"/>
      </w:pPr>
      <w:rPr>
        <w:rFonts w:hint="default"/>
      </w:rPr>
    </w:lvl>
    <w:lvl w:ilvl="3">
      <w:start w:val="0"/>
      <w:numFmt w:val="bullet"/>
      <w:lvlText w:val="•"/>
      <w:lvlJc w:val="left"/>
      <w:pPr>
        <w:ind w:left="3767" w:hanging="420"/>
      </w:pPr>
      <w:rPr>
        <w:rFonts w:hint="default"/>
      </w:rPr>
    </w:lvl>
    <w:lvl w:ilvl="4">
      <w:start w:val="0"/>
      <w:numFmt w:val="bullet"/>
      <w:lvlText w:val="•"/>
      <w:lvlJc w:val="left"/>
      <w:pPr>
        <w:ind w:left="4549"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14" w:hanging="420"/>
      </w:pPr>
      <w:rPr>
        <w:rFonts w:hint="default"/>
      </w:rPr>
    </w:lvl>
    <w:lvl w:ilvl="7">
      <w:start w:val="0"/>
      <w:numFmt w:val="bullet"/>
      <w:lvlText w:val="•"/>
      <w:lvlJc w:val="left"/>
      <w:pPr>
        <w:ind w:left="6897" w:hanging="420"/>
      </w:pPr>
      <w:rPr>
        <w:rFonts w:hint="default"/>
      </w:rPr>
    </w:lvl>
    <w:lvl w:ilvl="8">
      <w:start w:val="0"/>
      <w:numFmt w:val="bullet"/>
      <w:lvlText w:val="•"/>
      <w:lvlJc w:val="left"/>
      <w:pPr>
        <w:ind w:left="7679" w:hanging="420"/>
      </w:pPr>
      <w:rPr>
        <w:rFonts w:hint="default"/>
      </w:rPr>
    </w:lvl>
  </w:abstractNum>
  <w:abstractNum w:abstractNumId="1">
    <w:multiLevelType w:val="hybridMultilevel"/>
    <w:lvl w:ilvl="0">
      <w:start w:val="1"/>
      <w:numFmt w:val="decimal"/>
      <w:lvlText w:val="%1"/>
      <w:lvlJc w:val="left"/>
      <w:pPr>
        <w:ind w:left="101" w:hanging="180"/>
        <w:jc w:val="left"/>
      </w:pPr>
      <w:rPr>
        <w:rFonts w:hint="default"/>
        <w:spacing w:val="-22"/>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1360" w:hanging="361"/>
      </w:pPr>
      <w:rPr>
        <w:rFonts w:hint="default"/>
      </w:rPr>
    </w:lvl>
    <w:lvl w:ilvl="3">
      <w:start w:val="0"/>
      <w:numFmt w:val="bullet"/>
      <w:lvlText w:val="•"/>
      <w:lvlJc w:val="left"/>
      <w:pPr>
        <w:ind w:left="2335" w:hanging="361"/>
      </w:pPr>
      <w:rPr>
        <w:rFonts w:hint="default"/>
      </w:rPr>
    </w:lvl>
    <w:lvl w:ilvl="4">
      <w:start w:val="0"/>
      <w:numFmt w:val="bullet"/>
      <w:lvlText w:val="•"/>
      <w:lvlJc w:val="left"/>
      <w:pPr>
        <w:ind w:left="3311" w:hanging="361"/>
      </w:pPr>
      <w:rPr>
        <w:rFonts w:hint="default"/>
      </w:rPr>
    </w:lvl>
    <w:lvl w:ilvl="5">
      <w:start w:val="0"/>
      <w:numFmt w:val="bullet"/>
      <w:lvlText w:val="•"/>
      <w:lvlJc w:val="left"/>
      <w:pPr>
        <w:ind w:left="4286" w:hanging="361"/>
      </w:pPr>
      <w:rPr>
        <w:rFonts w:hint="default"/>
      </w:rPr>
    </w:lvl>
    <w:lvl w:ilvl="6">
      <w:start w:val="0"/>
      <w:numFmt w:val="bullet"/>
      <w:lvlText w:val="•"/>
      <w:lvlJc w:val="left"/>
      <w:pPr>
        <w:ind w:left="5262" w:hanging="361"/>
      </w:pPr>
      <w:rPr>
        <w:rFonts w:hint="default"/>
      </w:rPr>
    </w:lvl>
    <w:lvl w:ilvl="7">
      <w:start w:val="0"/>
      <w:numFmt w:val="bullet"/>
      <w:lvlText w:val="•"/>
      <w:lvlJc w:val="left"/>
      <w:pPr>
        <w:ind w:left="6237" w:hanging="361"/>
      </w:pPr>
      <w:rPr>
        <w:rFonts w:hint="default"/>
      </w:rPr>
    </w:lvl>
    <w:lvl w:ilvl="8">
      <w:start w:val="0"/>
      <w:numFmt w:val="bullet"/>
      <w:lvlText w:val="•"/>
      <w:lvlJc w:val="left"/>
      <w:pPr>
        <w:ind w:left="7213"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362"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&lt;4D6963726F736F667420576F7264202D20C9FAC3FCB8BDBCD3B1A3B5C3BFB5D6D8B4F3BCB2B2A1B1A3CFD5A3A842BFEEA3A92DCCF5BFEE2D32303039C4EA39D4C2BAACB6FECEACC2EB2E646F63&gt;</dc:title>
  <dcterms:created xsi:type="dcterms:W3CDTF">2018-10-20T08:22:49Z</dcterms:created>
  <dcterms:modified xsi:type="dcterms:W3CDTF">2018-10-20T08:22:49Z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PScript5.dll Version 5.2.2</vt:lpwstr>
  </property>
  <property fmtid="{D5CDD505-2E9C-101B-9397-08002B2CF9AE}" pid="4" name="LastSaved">
    <vt:filetime>2018-10-20T00:00:00Z</vt:filetime>
  </property>
</Properties>
</file>